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FA0" w:rsidRDefault="00B64FA0" w:rsidP="009B633D">
      <w:pPr>
        <w:jc w:val="center"/>
        <w:rPr>
          <w:i/>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456179" w:rsidP="009B633D">
      <w:pPr>
        <w:jc w:val="center"/>
        <w:rPr>
          <w:b/>
          <w:sz w:val="28"/>
          <w:szCs w:val="28"/>
        </w:rPr>
      </w:pPr>
      <w:r w:rsidRPr="00456179">
        <w:rPr>
          <w:b/>
          <w:sz w:val="28"/>
          <w:szCs w:val="28"/>
        </w:rPr>
        <w:t>SUPPORTING STATEMENT</w:t>
      </w:r>
    </w:p>
    <w:p w:rsidR="00635119" w:rsidRDefault="00635119" w:rsidP="009B633D">
      <w:pPr>
        <w:jc w:val="center"/>
        <w:rPr>
          <w:b/>
          <w:sz w:val="28"/>
          <w:szCs w:val="28"/>
        </w:rPr>
      </w:pPr>
    </w:p>
    <w:p w:rsidR="009B633D" w:rsidRDefault="00456179" w:rsidP="009B633D">
      <w:pPr>
        <w:jc w:val="center"/>
        <w:rPr>
          <w:sz w:val="28"/>
          <w:szCs w:val="28"/>
        </w:rPr>
      </w:pPr>
      <w:r>
        <w:rPr>
          <w:b/>
          <w:sz w:val="28"/>
          <w:szCs w:val="28"/>
        </w:rPr>
        <w:t>Part A</w:t>
      </w: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217D40" w:rsidRDefault="00217D40"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Pr="00217D40" w:rsidRDefault="00217D40" w:rsidP="009B633D">
      <w:pPr>
        <w:jc w:val="center"/>
        <w:rPr>
          <w:i/>
          <w:sz w:val="32"/>
          <w:szCs w:val="28"/>
        </w:rPr>
      </w:pPr>
      <w:r w:rsidRPr="00217D40">
        <w:rPr>
          <w:rFonts w:eastAsia="Calibri"/>
          <w:b/>
          <w:sz w:val="28"/>
        </w:rPr>
        <w:t>Continuing Education for Comparative Effectiveness Research Survey</w:t>
      </w: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Pr="00C4006D" w:rsidRDefault="00BB1C2F" w:rsidP="009B633D">
      <w:pPr>
        <w:jc w:val="center"/>
        <w:rPr>
          <w:i/>
          <w:sz w:val="28"/>
          <w:szCs w:val="28"/>
        </w:rPr>
      </w:pPr>
      <w:r>
        <w:rPr>
          <w:b/>
          <w:sz w:val="28"/>
          <w:szCs w:val="28"/>
        </w:rPr>
        <w:t>Version</w:t>
      </w:r>
      <w:r w:rsidR="00FF42BD">
        <w:rPr>
          <w:b/>
          <w:sz w:val="28"/>
          <w:szCs w:val="28"/>
        </w:rPr>
        <w:t>:</w:t>
      </w:r>
      <w:r>
        <w:rPr>
          <w:b/>
          <w:sz w:val="28"/>
          <w:szCs w:val="28"/>
        </w:rPr>
        <w:t xml:space="preserve"> </w:t>
      </w:r>
      <w:r w:rsidR="00581FD2">
        <w:rPr>
          <w:i/>
          <w:sz w:val="28"/>
          <w:szCs w:val="28"/>
        </w:rPr>
        <w:t>(</w:t>
      </w:r>
      <w:r w:rsidR="00A77D91">
        <w:rPr>
          <w:i/>
          <w:sz w:val="28"/>
          <w:szCs w:val="28"/>
        </w:rPr>
        <w:t>July 8</w:t>
      </w:r>
      <w:r w:rsidR="00A77D91" w:rsidRPr="00A77D91">
        <w:rPr>
          <w:i/>
          <w:sz w:val="28"/>
          <w:szCs w:val="28"/>
          <w:vertAlign w:val="superscript"/>
        </w:rPr>
        <w:t>th</w:t>
      </w:r>
      <w:r w:rsidR="00A77D91">
        <w:rPr>
          <w:i/>
          <w:sz w:val="28"/>
          <w:szCs w:val="28"/>
        </w:rPr>
        <w:t>, 2014</w:t>
      </w:r>
      <w:r w:rsidR="00EB58F3" w:rsidRPr="00C4006D">
        <w:rPr>
          <w:i/>
          <w:sz w:val="28"/>
          <w:szCs w:val="28"/>
        </w:rPr>
        <w:t>)</w:t>
      </w:r>
    </w:p>
    <w:p w:rsidR="009B633D" w:rsidRDefault="009B633D" w:rsidP="009B633D">
      <w:pPr>
        <w:jc w:val="center"/>
        <w:rPr>
          <w:i/>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p>
    <w:p w:rsidR="009B633D" w:rsidRDefault="009B633D" w:rsidP="009B633D">
      <w:pPr>
        <w:jc w:val="center"/>
        <w:rPr>
          <w:sz w:val="28"/>
          <w:szCs w:val="28"/>
        </w:rPr>
      </w:pPr>
      <w:r w:rsidRPr="00677A0B">
        <w:rPr>
          <w:sz w:val="28"/>
          <w:szCs w:val="28"/>
        </w:rPr>
        <w:t xml:space="preserve">Agency </w:t>
      </w:r>
      <w:r w:rsidR="00A8749D">
        <w:rPr>
          <w:sz w:val="28"/>
          <w:szCs w:val="28"/>
        </w:rPr>
        <w:t>for</w:t>
      </w:r>
      <w:r w:rsidRPr="00677A0B">
        <w:rPr>
          <w:sz w:val="28"/>
          <w:szCs w:val="28"/>
        </w:rPr>
        <w:t xml:space="preserve"> Healthcare Research and Quality (AHRQ)</w:t>
      </w:r>
    </w:p>
    <w:p w:rsidR="009B633D" w:rsidRDefault="009B633D">
      <w:pPr>
        <w:rPr>
          <w:sz w:val="28"/>
          <w:szCs w:val="28"/>
        </w:rPr>
      </w:pPr>
    </w:p>
    <w:p w:rsidR="009B633D" w:rsidRDefault="009B633D">
      <w:pPr>
        <w:rPr>
          <w:sz w:val="28"/>
          <w:szCs w:val="28"/>
        </w:rPr>
      </w:pPr>
    </w:p>
    <w:p w:rsidR="00B64FA0" w:rsidRDefault="00B64FA0">
      <w:pPr>
        <w:rPr>
          <w:i/>
        </w:rPr>
      </w:pPr>
      <w:r>
        <w:rPr>
          <w:i/>
        </w:rPr>
        <w:br w:type="page"/>
      </w:r>
    </w:p>
    <w:p w:rsidR="00EB58F3" w:rsidRDefault="00EB58F3" w:rsidP="009B633D">
      <w:pPr>
        <w:jc w:val="center"/>
        <w:rPr>
          <w:b/>
        </w:rPr>
      </w:pPr>
    </w:p>
    <w:p w:rsidR="00EB58F3" w:rsidRDefault="008C580E" w:rsidP="007B3A8E">
      <w:pPr>
        <w:tabs>
          <w:tab w:val="left" w:leader="dot" w:pos="8280"/>
        </w:tabs>
      </w:pPr>
      <w:r w:rsidRPr="008C580E">
        <w:t>A. Justification</w:t>
      </w:r>
      <w:r w:rsidR="007B3A8E">
        <w:tab/>
        <w:t>3</w:t>
      </w:r>
    </w:p>
    <w:p w:rsidR="007B3A8E" w:rsidRDefault="007B3A8E" w:rsidP="007B3A8E">
      <w:pPr>
        <w:tabs>
          <w:tab w:val="left" w:pos="360"/>
          <w:tab w:val="left" w:leader="dot" w:pos="8280"/>
        </w:tabs>
      </w:pPr>
      <w:r>
        <w:tab/>
        <w:t xml:space="preserve">1. </w:t>
      </w:r>
      <w:r w:rsidR="006014DB">
        <w:t>Circumstances that make the collection of information necessary</w:t>
      </w:r>
      <w:r>
        <w:tab/>
      </w:r>
      <w:r w:rsidR="00094648">
        <w:t>3</w:t>
      </w:r>
    </w:p>
    <w:p w:rsidR="007B3A8E" w:rsidRDefault="007B3A8E" w:rsidP="007B3A8E">
      <w:pPr>
        <w:tabs>
          <w:tab w:val="left" w:pos="360"/>
          <w:tab w:val="left" w:leader="dot" w:pos="8280"/>
        </w:tabs>
      </w:pPr>
      <w:r>
        <w:tab/>
        <w:t xml:space="preserve">2. </w:t>
      </w:r>
      <w:r w:rsidR="006014DB">
        <w:t>Purpose and use of i</w:t>
      </w:r>
      <w:r w:rsidRPr="007B3A8E">
        <w:t>nformation</w:t>
      </w:r>
      <w:r>
        <w:tab/>
      </w:r>
      <w:r w:rsidR="008F66C4">
        <w:t>4</w:t>
      </w:r>
    </w:p>
    <w:p w:rsidR="007B3A8E" w:rsidRDefault="007B3A8E" w:rsidP="007B3A8E">
      <w:pPr>
        <w:tabs>
          <w:tab w:val="left" w:pos="360"/>
          <w:tab w:val="left" w:leader="dot" w:pos="8280"/>
        </w:tabs>
      </w:pPr>
      <w:r>
        <w:tab/>
        <w:t xml:space="preserve">3. </w:t>
      </w:r>
      <w:r w:rsidRPr="007B3A8E">
        <w:t>Use of Improved Information Technology</w:t>
      </w:r>
      <w:r>
        <w:tab/>
      </w:r>
      <w:r w:rsidR="008F66C4">
        <w:t>5</w:t>
      </w:r>
    </w:p>
    <w:p w:rsidR="007B3A8E" w:rsidRDefault="007B3A8E" w:rsidP="007B3A8E">
      <w:pPr>
        <w:tabs>
          <w:tab w:val="left" w:pos="360"/>
          <w:tab w:val="left" w:leader="dot" w:pos="8280"/>
        </w:tabs>
      </w:pPr>
      <w:r>
        <w:tab/>
        <w:t xml:space="preserve">4. </w:t>
      </w:r>
      <w:r w:rsidRPr="007B3A8E">
        <w:t>Efforts to Identify Duplication</w:t>
      </w:r>
      <w:r>
        <w:tab/>
      </w:r>
      <w:r w:rsidR="008F66C4">
        <w:t>5</w:t>
      </w:r>
    </w:p>
    <w:p w:rsidR="007B3A8E" w:rsidRDefault="007B3A8E" w:rsidP="007B3A8E">
      <w:pPr>
        <w:tabs>
          <w:tab w:val="left" w:pos="360"/>
          <w:tab w:val="left" w:leader="dot" w:pos="8280"/>
        </w:tabs>
      </w:pPr>
      <w:r>
        <w:tab/>
        <w:t xml:space="preserve">5. </w:t>
      </w:r>
      <w:r w:rsidR="00556066" w:rsidRPr="00556066">
        <w:t>Involvement of Small Entities</w:t>
      </w:r>
      <w:r w:rsidR="00556066">
        <w:tab/>
      </w:r>
      <w:r w:rsidR="008F66C4">
        <w:t>6</w:t>
      </w:r>
    </w:p>
    <w:p w:rsidR="00556066" w:rsidRDefault="00556066" w:rsidP="007B3A8E">
      <w:pPr>
        <w:tabs>
          <w:tab w:val="left" w:pos="360"/>
          <w:tab w:val="left" w:leader="dot" w:pos="8280"/>
        </w:tabs>
      </w:pPr>
      <w:r>
        <w:tab/>
        <w:t xml:space="preserve">6. </w:t>
      </w:r>
      <w:r w:rsidRPr="00556066">
        <w:t xml:space="preserve">Consequences if Information </w:t>
      </w:r>
      <w:r w:rsidR="00A8749D">
        <w:t xml:space="preserve">is </w:t>
      </w:r>
      <w:r w:rsidRPr="00556066">
        <w:t>Collected Less Frequently</w:t>
      </w:r>
      <w:r>
        <w:tab/>
      </w:r>
      <w:r w:rsidR="008F66C4">
        <w:t>6</w:t>
      </w:r>
    </w:p>
    <w:p w:rsidR="00556066" w:rsidRDefault="00556066" w:rsidP="007B3A8E">
      <w:pPr>
        <w:tabs>
          <w:tab w:val="left" w:pos="360"/>
          <w:tab w:val="left" w:leader="dot" w:pos="8280"/>
        </w:tabs>
      </w:pPr>
      <w:r>
        <w:tab/>
        <w:t xml:space="preserve">7. </w:t>
      </w:r>
      <w:r w:rsidRPr="00556066">
        <w:t>Special Circumstances</w:t>
      </w:r>
      <w:r>
        <w:tab/>
      </w:r>
      <w:r w:rsidR="008F66C4">
        <w:t>6</w:t>
      </w:r>
    </w:p>
    <w:p w:rsidR="00556066" w:rsidRDefault="00556066" w:rsidP="007B3A8E">
      <w:pPr>
        <w:tabs>
          <w:tab w:val="left" w:pos="360"/>
          <w:tab w:val="left" w:leader="dot" w:pos="8280"/>
        </w:tabs>
      </w:pPr>
      <w:r>
        <w:tab/>
        <w:t xml:space="preserve">8. </w:t>
      </w:r>
      <w:r w:rsidR="00A8749D">
        <w:t>Consultation O</w:t>
      </w:r>
      <w:r w:rsidRPr="00556066">
        <w:t>utside the Agency</w:t>
      </w:r>
      <w:r>
        <w:tab/>
      </w:r>
      <w:r w:rsidR="008F66C4">
        <w:t>6</w:t>
      </w:r>
    </w:p>
    <w:p w:rsidR="00556066" w:rsidRDefault="00556066" w:rsidP="007B3A8E">
      <w:pPr>
        <w:tabs>
          <w:tab w:val="left" w:pos="360"/>
          <w:tab w:val="left" w:leader="dot" w:pos="8280"/>
        </w:tabs>
      </w:pPr>
      <w:r>
        <w:tab/>
        <w:t xml:space="preserve">9. </w:t>
      </w:r>
      <w:r w:rsidRPr="00556066">
        <w:t>Payments/Gifts to Respondents</w:t>
      </w:r>
      <w:r>
        <w:tab/>
      </w:r>
      <w:r w:rsidR="007E1BA7">
        <w:t>6</w:t>
      </w:r>
    </w:p>
    <w:p w:rsidR="00556066" w:rsidRDefault="00556066" w:rsidP="007B3A8E">
      <w:pPr>
        <w:tabs>
          <w:tab w:val="left" w:pos="360"/>
          <w:tab w:val="left" w:leader="dot" w:pos="8280"/>
        </w:tabs>
      </w:pPr>
      <w:r>
        <w:tab/>
        <w:t xml:space="preserve">10. </w:t>
      </w:r>
      <w:r w:rsidRPr="00556066">
        <w:t>Assurance of Confidentiality</w:t>
      </w:r>
      <w:r>
        <w:tab/>
      </w:r>
      <w:r w:rsidR="008F66C4">
        <w:t>7</w:t>
      </w:r>
    </w:p>
    <w:p w:rsidR="00556066" w:rsidRDefault="00556066" w:rsidP="007B3A8E">
      <w:pPr>
        <w:tabs>
          <w:tab w:val="left" w:pos="360"/>
          <w:tab w:val="left" w:leader="dot" w:pos="8280"/>
        </w:tabs>
      </w:pPr>
      <w:r>
        <w:tab/>
        <w:t xml:space="preserve">11. </w:t>
      </w:r>
      <w:r w:rsidRPr="00556066">
        <w:t>Questions of a Sensitive Nature</w:t>
      </w:r>
      <w:r>
        <w:tab/>
      </w:r>
      <w:r w:rsidR="008F66C4">
        <w:t>7</w:t>
      </w:r>
    </w:p>
    <w:p w:rsidR="00556066" w:rsidRDefault="00556066" w:rsidP="007B3A8E">
      <w:pPr>
        <w:tabs>
          <w:tab w:val="left" w:pos="360"/>
          <w:tab w:val="left" w:leader="dot" w:pos="8280"/>
        </w:tabs>
      </w:pPr>
      <w:r>
        <w:tab/>
        <w:t xml:space="preserve">12. </w:t>
      </w:r>
      <w:r w:rsidRPr="00556066">
        <w:t>Estimates of Annualized Burden Hours and Costs</w:t>
      </w:r>
      <w:r>
        <w:tab/>
      </w:r>
      <w:r w:rsidR="000637C8">
        <w:t>7</w:t>
      </w:r>
    </w:p>
    <w:p w:rsidR="00556066" w:rsidRDefault="00556066" w:rsidP="007B3A8E">
      <w:pPr>
        <w:tabs>
          <w:tab w:val="left" w:pos="360"/>
          <w:tab w:val="left" w:leader="dot" w:pos="8280"/>
        </w:tabs>
      </w:pPr>
      <w:r>
        <w:tab/>
        <w:t xml:space="preserve">13. </w:t>
      </w:r>
      <w:r w:rsidRPr="00556066">
        <w:t>Estimates of Annualized Respondent Capital and Maintenance Costs</w:t>
      </w:r>
      <w:r>
        <w:tab/>
      </w:r>
      <w:r w:rsidR="006C38FC">
        <w:t>8</w:t>
      </w:r>
    </w:p>
    <w:p w:rsidR="00556066" w:rsidRDefault="00556066" w:rsidP="007B3A8E">
      <w:pPr>
        <w:tabs>
          <w:tab w:val="left" w:pos="360"/>
          <w:tab w:val="left" w:leader="dot" w:pos="8280"/>
        </w:tabs>
      </w:pPr>
      <w:r>
        <w:tab/>
        <w:t xml:space="preserve">14. </w:t>
      </w:r>
      <w:r w:rsidRPr="00556066">
        <w:t>Estimates of Annualized Cost to the Government</w:t>
      </w:r>
      <w:r>
        <w:tab/>
      </w:r>
      <w:r w:rsidR="006C38FC">
        <w:t>8</w:t>
      </w:r>
    </w:p>
    <w:p w:rsidR="00556066" w:rsidRDefault="00556066" w:rsidP="007B3A8E">
      <w:pPr>
        <w:tabs>
          <w:tab w:val="left" w:pos="360"/>
          <w:tab w:val="left" w:leader="dot" w:pos="8280"/>
        </w:tabs>
      </w:pPr>
      <w:r>
        <w:tab/>
        <w:t xml:space="preserve">15. </w:t>
      </w:r>
      <w:r w:rsidRPr="00556066">
        <w:t>Changes in Hour Burden</w:t>
      </w:r>
      <w:r>
        <w:tab/>
      </w:r>
      <w:r w:rsidR="008F66C4">
        <w:t>9</w:t>
      </w:r>
    </w:p>
    <w:p w:rsidR="006014DB" w:rsidRDefault="006014DB" w:rsidP="007B3A8E">
      <w:pPr>
        <w:tabs>
          <w:tab w:val="left" w:pos="360"/>
          <w:tab w:val="left" w:leader="dot" w:pos="8280"/>
        </w:tabs>
      </w:pPr>
      <w:r>
        <w:tab/>
        <w:t xml:space="preserve">16. </w:t>
      </w:r>
      <w:r w:rsidRPr="006014DB">
        <w:t>Time Schedule, Publication and Analysis Plans</w:t>
      </w:r>
      <w:r>
        <w:tab/>
      </w:r>
      <w:r w:rsidR="001F0C4B">
        <w:t>9</w:t>
      </w:r>
    </w:p>
    <w:p w:rsidR="006014DB" w:rsidRDefault="006014DB" w:rsidP="007B3A8E">
      <w:pPr>
        <w:tabs>
          <w:tab w:val="left" w:pos="360"/>
          <w:tab w:val="left" w:leader="dot" w:pos="8280"/>
        </w:tabs>
      </w:pPr>
      <w:r>
        <w:tab/>
        <w:t xml:space="preserve">17. </w:t>
      </w:r>
      <w:r w:rsidRPr="006014DB">
        <w:t>Exemption for Display of Expiration Date</w:t>
      </w:r>
      <w:r>
        <w:tab/>
      </w:r>
      <w:r w:rsidR="00C844D7">
        <w:t>10</w:t>
      </w:r>
    </w:p>
    <w:p w:rsidR="00556066" w:rsidRPr="00556066" w:rsidRDefault="006014DB" w:rsidP="007B3A8E">
      <w:pPr>
        <w:tabs>
          <w:tab w:val="left" w:pos="360"/>
          <w:tab w:val="left" w:leader="dot" w:pos="8280"/>
        </w:tabs>
      </w:pPr>
      <w:r>
        <w:tab/>
      </w:r>
      <w:r w:rsidR="00904CC3">
        <w:t>List of Attachments</w:t>
      </w:r>
      <w:r w:rsidR="00904CC3">
        <w:tab/>
      </w:r>
      <w:r w:rsidR="00827C69">
        <w:t>10</w:t>
      </w:r>
    </w:p>
    <w:p w:rsidR="00556066" w:rsidRPr="00556066" w:rsidRDefault="00556066" w:rsidP="007B3A8E">
      <w:pPr>
        <w:tabs>
          <w:tab w:val="left" w:pos="360"/>
          <w:tab w:val="left" w:leader="dot" w:pos="8280"/>
        </w:tabs>
      </w:pPr>
      <w:r>
        <w:tab/>
      </w:r>
    </w:p>
    <w:p w:rsidR="009B633D" w:rsidRDefault="009B633D" w:rsidP="009B633D">
      <w:pPr>
        <w:jc w:val="center"/>
        <w:rPr>
          <w:b/>
        </w:rPr>
      </w:pPr>
    </w:p>
    <w:p w:rsidR="009B633D" w:rsidRDefault="00623108">
      <w:pPr>
        <w:pStyle w:val="TOC2"/>
        <w:tabs>
          <w:tab w:val="right" w:leader="dot" w:pos="8630"/>
        </w:tabs>
        <w:rPr>
          <w:noProof/>
        </w:rPr>
      </w:pPr>
      <w:r>
        <w:rPr>
          <w:b/>
        </w:rPr>
        <w:fldChar w:fldCharType="begin"/>
      </w:r>
      <w:r w:rsidR="009B633D">
        <w:rPr>
          <w:b/>
        </w:rPr>
        <w:instrText xml:space="preserve"> TOC \o "1-3" \h \z \u </w:instrText>
      </w:r>
      <w:r>
        <w:rPr>
          <w:b/>
        </w:rPr>
        <w:fldChar w:fldCharType="separate"/>
      </w:r>
    </w:p>
    <w:p w:rsidR="009B633D" w:rsidRPr="001D0454" w:rsidRDefault="00623108" w:rsidP="009B633D">
      <w:pPr>
        <w:jc w:val="center"/>
        <w:rPr>
          <w:b/>
        </w:rPr>
      </w:pPr>
      <w:r>
        <w:rPr>
          <w:b/>
        </w:rPr>
        <w:fldChar w:fldCharType="end"/>
      </w:r>
    </w:p>
    <w:p w:rsidR="009B633D" w:rsidRPr="006014DB" w:rsidRDefault="009B633D" w:rsidP="009B633D">
      <w:pPr>
        <w:pStyle w:val="Heading1"/>
        <w:rPr>
          <w:sz w:val="24"/>
          <w:szCs w:val="24"/>
        </w:rPr>
      </w:pPr>
      <w:r>
        <w:br w:type="page"/>
      </w:r>
      <w:bookmarkStart w:id="0" w:name="_Toc151782175"/>
      <w:bookmarkStart w:id="1" w:name="_Toc158526215"/>
      <w:r w:rsidRPr="006014DB">
        <w:rPr>
          <w:sz w:val="24"/>
          <w:szCs w:val="24"/>
        </w:rPr>
        <w:lastRenderedPageBreak/>
        <w:t>A. Justification</w:t>
      </w:r>
      <w:bookmarkEnd w:id="0"/>
      <w:bookmarkEnd w:id="1"/>
    </w:p>
    <w:p w:rsidR="009B633D" w:rsidRPr="006014DB" w:rsidRDefault="009B633D" w:rsidP="009B633D"/>
    <w:p w:rsidR="009B633D" w:rsidRDefault="009B633D" w:rsidP="006014DB">
      <w:pPr>
        <w:pStyle w:val="Heading2"/>
        <w:spacing w:before="0" w:after="0"/>
        <w:rPr>
          <w:sz w:val="24"/>
          <w:szCs w:val="24"/>
        </w:rPr>
      </w:pPr>
      <w:bookmarkStart w:id="2" w:name="_Toc151782176"/>
      <w:bookmarkStart w:id="3" w:name="_Toc158526216"/>
      <w:r w:rsidRPr="006014DB">
        <w:rPr>
          <w:sz w:val="24"/>
          <w:szCs w:val="24"/>
        </w:rPr>
        <w:t xml:space="preserve">1. </w:t>
      </w:r>
      <w:bookmarkEnd w:id="2"/>
      <w:bookmarkEnd w:id="3"/>
      <w:r w:rsidR="006014DB" w:rsidRPr="006014DB">
        <w:rPr>
          <w:sz w:val="24"/>
          <w:szCs w:val="24"/>
        </w:rPr>
        <w:t>Circumstances that make the collection of information necessary</w:t>
      </w:r>
    </w:p>
    <w:p w:rsidR="006014DB" w:rsidRDefault="006014DB" w:rsidP="006014DB"/>
    <w:p w:rsidR="00606400" w:rsidRDefault="000A140E" w:rsidP="00217D40">
      <w:pPr>
        <w:ind w:firstLine="360"/>
      </w:pPr>
      <w:r>
        <w:t xml:space="preserve">The mission of the Agency for Healthcare Research and Quality (AHRQ) set out in its authorizing legislation, The Healthcare Research and Quality Act of 1999 (see </w:t>
      </w:r>
      <w:hyperlink r:id="rId8" w:history="1">
        <w:r w:rsidR="00217D40" w:rsidRPr="00F84769">
          <w:rPr>
            <w:rStyle w:val="Hyperlink"/>
          </w:rPr>
          <w:t>http://www.ahrq.gov/hrqa99.pdf</w:t>
        </w:r>
      </w:hyperlink>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325B9C" w:rsidRDefault="00A8749D" w:rsidP="00217D40">
      <w:pPr>
        <w:tabs>
          <w:tab w:val="left" w:pos="360"/>
        </w:tabs>
        <w:spacing w:before="120"/>
        <w:ind w:left="360"/>
      </w:pPr>
      <w:r>
        <w:t>1.</w:t>
      </w:r>
      <w:r>
        <w:tab/>
        <w:t>R</w:t>
      </w:r>
      <w:r w:rsidR="00606400">
        <w:t>esearch that develops and presents scientific evidence regardi</w:t>
      </w:r>
      <w:r w:rsidR="00AA1DDC">
        <w:t xml:space="preserve">ng all aspects of </w:t>
      </w:r>
      <w:r w:rsidR="00AA1DDC">
        <w:tab/>
      </w:r>
      <w:r w:rsidR="00AA1DDC">
        <w:tab/>
        <w:t>health care</w:t>
      </w:r>
      <w:r>
        <w:t>.</w:t>
      </w:r>
    </w:p>
    <w:p w:rsidR="00B645ED" w:rsidRDefault="00325B9C" w:rsidP="00217D40">
      <w:pPr>
        <w:tabs>
          <w:tab w:val="left" w:pos="360"/>
        </w:tabs>
        <w:spacing w:before="120"/>
        <w:ind w:left="360"/>
      </w:pPr>
      <w:r>
        <w:t>2.</w:t>
      </w:r>
      <w:r>
        <w:tab/>
      </w:r>
      <w:r w:rsidR="00A8749D">
        <w:t>T</w:t>
      </w:r>
      <w:r w:rsidR="00B645ED">
        <w:t xml:space="preserve">he synthesis and dissemination of available scientific evidence for use by </w:t>
      </w:r>
      <w:r w:rsidR="00B645ED">
        <w:tab/>
        <w:t>patients, consumers, practitioners, providers, purchasers, po</w:t>
      </w:r>
      <w:r w:rsidR="00A8749D">
        <w:t xml:space="preserve">licy makers, and </w:t>
      </w:r>
      <w:r w:rsidR="00A8749D">
        <w:tab/>
        <w:t>educators.</w:t>
      </w:r>
    </w:p>
    <w:p w:rsidR="00B645ED" w:rsidRDefault="00A8749D" w:rsidP="00217D40">
      <w:pPr>
        <w:tabs>
          <w:tab w:val="left" w:pos="360"/>
        </w:tabs>
        <w:spacing w:before="120"/>
        <w:ind w:left="360"/>
      </w:pPr>
      <w:r>
        <w:t>3.</w:t>
      </w:r>
      <w:r>
        <w:tab/>
        <w:t>I</w:t>
      </w:r>
      <w:r w:rsidR="00B645ED">
        <w:t>nitiatives to advance private and public efforts to improve health care quality.</w:t>
      </w:r>
    </w:p>
    <w:p w:rsidR="00B645ED" w:rsidRDefault="00B645ED" w:rsidP="00B645ED">
      <w:pPr>
        <w:tabs>
          <w:tab w:val="left" w:pos="360"/>
        </w:tabs>
      </w:pPr>
    </w:p>
    <w:p w:rsidR="008450C0" w:rsidRDefault="00217D40" w:rsidP="00B645ED">
      <w:pPr>
        <w:tabs>
          <w:tab w:val="left" w:pos="360"/>
        </w:tabs>
      </w:pPr>
      <w:r>
        <w:tab/>
      </w:r>
      <w:r w:rsidR="008450C0">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217D40" w:rsidRDefault="00217D40" w:rsidP="00217D40">
      <w:pPr>
        <w:pStyle w:val="BodyText"/>
        <w:spacing w:before="72"/>
        <w:ind w:right="389" w:firstLine="720"/>
      </w:pPr>
      <w:r>
        <w:t xml:space="preserve">Patient-centered outcomes research (PCOR) is an area that has seen increased focus from research agencies and other government entities. Also known as comparative effectiveness research, PCOR is the focus of one of AHRQ’s research portfolios, which has the mission of providing health care decision-makers (e.g., patients, healthcare providers, purchasers, and policymakers) with recent evidence-based information about the harms, benefits, and effectiveness of various treatment options. The purpose of PCOR is to inform health care decisions without providing clinical recommendations by comparing medical devices, surgeries, tests, drugs, or ways to deliver health care. </w:t>
      </w:r>
    </w:p>
    <w:p w:rsidR="00217D40" w:rsidRDefault="00217D40" w:rsidP="00217D40">
      <w:pPr>
        <w:pStyle w:val="BodyText"/>
        <w:spacing w:before="72"/>
        <w:ind w:right="389"/>
      </w:pPr>
      <w:r>
        <w:tab/>
        <w:t xml:space="preserve">Section 1013 of the Medicare Prescription Drug, Improvement, and Modernization Act of 2003 created AHRQ’s Effective Health Care (EHC) Program, which became the first federal program to conduct PCOR and disseminate those findings to the public. AHRQ works with researchers, academic organizations, and research centers through the EHC program to produce research focused on effectiveness and comparative effectiveness across a variety of clinical areas and translate that research into products for a variety of stakeholders to help spread awareness and knowledge about PCOR. It is important for AHRQ to be able to measure the effectiveness of these products, which include training modules and publications, specifically around how they are affecting health care professionals’ </w:t>
      </w:r>
      <w:r>
        <w:lastRenderedPageBreak/>
        <w:t>understanding, awareness, and use of PCOR and its related concepts. The Affordable Care Act of 2010 cast new light and emphasis on the importance of PCOR, and it is important for AHRQ to be able to gauge the effectiveness of its current materials and identify ways to improve how this information is being disseminated to the medical community.</w:t>
      </w:r>
    </w:p>
    <w:p w:rsidR="00217D40" w:rsidRDefault="00217D40" w:rsidP="00217D40">
      <w:pPr>
        <w:spacing w:before="120"/>
        <w:ind w:firstLine="720"/>
        <w:rPr>
          <w:spacing w:val="-1"/>
        </w:rPr>
      </w:pPr>
      <w:r w:rsidRPr="00B120EE">
        <w:rPr>
          <w:spacing w:val="-1"/>
        </w:rPr>
        <w:t>The</w:t>
      </w:r>
      <w:r w:rsidRPr="00B120EE">
        <w:rPr>
          <w:spacing w:val="-2"/>
        </w:rPr>
        <w:t xml:space="preserve"> </w:t>
      </w:r>
      <w:r w:rsidRPr="00217D40">
        <w:rPr>
          <w:rFonts w:eastAsia="Calibri"/>
        </w:rPr>
        <w:t>Continuing Education for Comparative Effectiveness Research Project</w:t>
      </w:r>
      <w:r w:rsidRPr="00217D40">
        <w:t xml:space="preserve"> </w:t>
      </w:r>
      <w:r w:rsidRPr="00217D40">
        <w:rPr>
          <w:rFonts w:eastAsia="Calibri"/>
        </w:rPr>
        <w:t xml:space="preserve">is </w:t>
      </w:r>
      <w:r>
        <w:rPr>
          <w:rFonts w:eastAsia="Calibri"/>
        </w:rPr>
        <w:t xml:space="preserve">designed </w:t>
      </w:r>
      <w:r w:rsidRPr="00217D40">
        <w:rPr>
          <w:rFonts w:eastAsia="Calibri"/>
        </w:rPr>
        <w:t>to provide online continuing education materials that inform physicians and other healthcare provide</w:t>
      </w:r>
      <w:r w:rsidR="002029AC">
        <w:rPr>
          <w:rFonts w:eastAsia="Calibri"/>
        </w:rPr>
        <w:t>rs about patient-</w:t>
      </w:r>
      <w:r w:rsidRPr="00217D40">
        <w:rPr>
          <w:rFonts w:eastAsia="Calibri"/>
        </w:rPr>
        <w:t>centered health research from the Effective Health Care Program, specifically comparative effectiveness research reports, and other similar reports from AHRQ-approved sources</w:t>
      </w:r>
      <w:r w:rsidRPr="001D759F">
        <w:rPr>
          <w:rFonts w:eastAsia="Calibri"/>
        </w:rPr>
        <w:t xml:space="preserve">. </w:t>
      </w:r>
      <w:r w:rsidR="001D759F" w:rsidRPr="001D759F">
        <w:rPr>
          <w:rFonts w:eastAsia="Calibri"/>
        </w:rPr>
        <w:t xml:space="preserve">Online multimedia continuing education modules based on the Effective Health Care Program comparative effectiveness research reports will be planned, developed, </w:t>
      </w:r>
      <w:r w:rsidRPr="001D759F">
        <w:rPr>
          <w:rFonts w:eastAsia="Calibri"/>
        </w:rPr>
        <w:t>disseminate</w:t>
      </w:r>
      <w:r w:rsidR="001D759F" w:rsidRPr="001D759F">
        <w:rPr>
          <w:rFonts w:eastAsia="Calibri"/>
        </w:rPr>
        <w:t>d</w:t>
      </w:r>
      <w:r w:rsidRPr="001D759F">
        <w:rPr>
          <w:rFonts w:eastAsia="Calibri"/>
        </w:rPr>
        <w:t>,</w:t>
      </w:r>
      <w:r w:rsidR="001D759F" w:rsidRPr="001D759F">
        <w:rPr>
          <w:rFonts w:eastAsia="Calibri"/>
        </w:rPr>
        <w:t xml:space="preserve"> and</w:t>
      </w:r>
      <w:r w:rsidRPr="001D759F">
        <w:rPr>
          <w:rFonts w:eastAsia="Calibri"/>
        </w:rPr>
        <w:t xml:space="preserve"> promote</w:t>
      </w:r>
      <w:r w:rsidR="001D759F" w:rsidRPr="001D759F">
        <w:rPr>
          <w:rFonts w:eastAsia="Calibri"/>
        </w:rPr>
        <w:t>d. In addition, data will be collected on the modules to assess their effectiveness and impact.</w:t>
      </w:r>
    </w:p>
    <w:p w:rsidR="00527BBD" w:rsidRDefault="00527BBD" w:rsidP="006014DB"/>
    <w:p w:rsidR="00527BBD" w:rsidRPr="00075D4A" w:rsidRDefault="00527BBD" w:rsidP="006014DB">
      <w:r>
        <w:t xml:space="preserve">To </w:t>
      </w:r>
      <w:r w:rsidRPr="00075D4A">
        <w:t>achieve the goals of this project the following data collections will be implemented:</w:t>
      </w:r>
    </w:p>
    <w:p w:rsidR="0077144F" w:rsidRPr="008F66C4" w:rsidRDefault="004A7C7E" w:rsidP="004A7C7E">
      <w:pPr>
        <w:numPr>
          <w:ilvl w:val="0"/>
          <w:numId w:val="47"/>
        </w:numPr>
      </w:pPr>
      <w:r w:rsidRPr="008F66C4">
        <w:t xml:space="preserve">Each </w:t>
      </w:r>
      <w:r w:rsidR="00623493" w:rsidRPr="008F66C4">
        <w:t>participant</w:t>
      </w:r>
      <w:r w:rsidR="0077144F" w:rsidRPr="008F66C4">
        <w:t xml:space="preserve"> will complete a pre-module assessment to determine their baseline understanding and knowledge around the topics covered in the module.</w:t>
      </w:r>
      <w:r w:rsidR="00623493" w:rsidRPr="008F66C4">
        <w:t xml:space="preserve"> Anticipated r</w:t>
      </w:r>
      <w:r w:rsidR="00623493" w:rsidRPr="00075D4A">
        <w:rPr>
          <w:rFonts w:eastAsia="Calibri"/>
        </w:rPr>
        <w:t xml:space="preserve">espondents to this data collection will </w:t>
      </w:r>
      <w:r w:rsidR="00623493" w:rsidRPr="008F66C4">
        <w:rPr>
          <w:rFonts w:eastAsia="Calibri"/>
        </w:rPr>
        <w:t>include n</w:t>
      </w:r>
      <w:r w:rsidR="00623493" w:rsidRPr="008F66C4">
        <w:t>urses, nurse practitioners, physicians, physician assistants, pharmacists, health education specialists, case managers, dieticians, psychologists, medical assistants, social workers, and other allied health professionals</w:t>
      </w:r>
      <w:r w:rsidR="00623493" w:rsidRPr="008F66C4">
        <w:rPr>
          <w:spacing w:val="-2"/>
        </w:rPr>
        <w:t>.</w:t>
      </w:r>
    </w:p>
    <w:p w:rsidR="00681080" w:rsidRPr="007A27EF" w:rsidRDefault="0077144F" w:rsidP="004A7C7E">
      <w:pPr>
        <w:numPr>
          <w:ilvl w:val="0"/>
          <w:numId w:val="47"/>
        </w:numPr>
      </w:pPr>
      <w:r w:rsidRPr="007A27EF">
        <w:t>Immediately upon completing the module, learners will also complete</w:t>
      </w:r>
      <w:r w:rsidR="00681080" w:rsidRPr="007A27EF">
        <w:t>:</w:t>
      </w:r>
    </w:p>
    <w:p w:rsidR="00681080" w:rsidRPr="007A27EF" w:rsidRDefault="00681080" w:rsidP="00681080">
      <w:pPr>
        <w:numPr>
          <w:ilvl w:val="1"/>
          <w:numId w:val="47"/>
        </w:numPr>
      </w:pPr>
      <w:r w:rsidRPr="007A27EF">
        <w:t xml:space="preserve">A program evaluation </w:t>
      </w:r>
      <w:r w:rsidR="007A27EF" w:rsidRPr="007A27EF">
        <w:t>assessing the training in terms of meeting objectives, faculty performance and ways to improve future training events.</w:t>
      </w:r>
    </w:p>
    <w:p w:rsidR="0077144F" w:rsidRPr="007A27EF" w:rsidRDefault="00681080" w:rsidP="00681080">
      <w:pPr>
        <w:numPr>
          <w:ilvl w:val="1"/>
          <w:numId w:val="47"/>
        </w:numPr>
      </w:pPr>
      <w:r w:rsidRPr="007A27EF">
        <w:t xml:space="preserve"> A</w:t>
      </w:r>
      <w:r w:rsidR="0077144F" w:rsidRPr="007A27EF">
        <w:t xml:space="preserve"> post-module assessment </w:t>
      </w:r>
      <w:r w:rsidR="00623493" w:rsidRPr="007A27EF">
        <w:t>to capture</w:t>
      </w:r>
      <w:r w:rsidR="0077144F" w:rsidRPr="007A27EF">
        <w:t xml:space="preserve"> the change in comprehension around comparative effectiveness research that has occurred as a result of the module.</w:t>
      </w:r>
    </w:p>
    <w:p w:rsidR="001D759F" w:rsidRPr="008F66C4" w:rsidRDefault="0077144F" w:rsidP="006014DB">
      <w:pPr>
        <w:numPr>
          <w:ilvl w:val="0"/>
          <w:numId w:val="47"/>
        </w:numPr>
      </w:pPr>
      <w:r w:rsidRPr="008F66C4">
        <w:t xml:space="preserve">Each </w:t>
      </w:r>
      <w:r w:rsidR="004A7C7E" w:rsidRPr="008F66C4">
        <w:t>training module will</w:t>
      </w:r>
      <w:r w:rsidRPr="008F66C4">
        <w:t xml:space="preserve"> also</w:t>
      </w:r>
      <w:r w:rsidR="004A7C7E" w:rsidRPr="008F66C4">
        <w:t xml:space="preserve"> involve one follow-up questionnaire that is administered six months after the completion of the course for the purposes of tracking the longer-term effectiveness of the modules. </w:t>
      </w:r>
    </w:p>
    <w:p w:rsidR="00623493" w:rsidRPr="008F66C4" w:rsidRDefault="00623493" w:rsidP="00623493">
      <w:r w:rsidRPr="00075D4A">
        <w:t>Simple inferential tests (e.g. paired t-tests) will be employed to exami</w:t>
      </w:r>
      <w:r w:rsidRPr="008F66C4">
        <w:t xml:space="preserve">ne changes over time between questions asked pre-module, post-module, and 6-months post-module. </w:t>
      </w:r>
    </w:p>
    <w:p w:rsidR="008A3B87" w:rsidRPr="00075D4A" w:rsidRDefault="008A3B87" w:rsidP="006014DB"/>
    <w:p w:rsidR="008A3B87" w:rsidRPr="008F66C4" w:rsidRDefault="008A3B87" w:rsidP="008A3B87">
      <w:pPr>
        <w:tabs>
          <w:tab w:val="left" w:pos="720"/>
          <w:tab w:val="left" w:pos="1080"/>
          <w:tab w:val="left" w:pos="1440"/>
          <w:tab w:val="left" w:pos="1800"/>
        </w:tabs>
        <w:spacing w:line="264" w:lineRule="auto"/>
      </w:pPr>
      <w:r w:rsidRPr="00075D4A">
        <w:t xml:space="preserve">This study is being conducted by AHRQ through its contractor, </w:t>
      </w:r>
      <w:r w:rsidRPr="008F66C4">
        <w:t>Hayes</w:t>
      </w:r>
      <w:r w:rsidR="004A73ED" w:rsidRPr="008F66C4">
        <w:t xml:space="preserve"> Inc.</w:t>
      </w:r>
      <w:r w:rsidR="002E4FF8" w:rsidRPr="008F66C4">
        <w:t xml:space="preserve"> (Hayes) and Hayes’ subcontractors, Deloitte Consulting LLP (Deloitte)</w:t>
      </w:r>
      <w:r w:rsidR="004A73ED" w:rsidRPr="008F66C4">
        <w:t>,</w:t>
      </w:r>
      <w:r w:rsidRPr="00075D4A">
        <w:t xml:space="preserve"> pursuant to A</w:t>
      </w:r>
      <w:r w:rsidRPr="008F66C4">
        <w:t xml:space="preserve">HRQ’s statutory authority to support the agency’s dissemination of comparative clinical effectiveness research findings.  42 U.S.C. 299b-37(a)-(c).  </w:t>
      </w:r>
    </w:p>
    <w:p w:rsidR="008A3B87" w:rsidRPr="00527BBD" w:rsidRDefault="008A3B87" w:rsidP="006014DB"/>
    <w:p w:rsidR="009B633D" w:rsidRPr="00983636" w:rsidRDefault="009B633D" w:rsidP="009B633D">
      <w:pPr>
        <w:pStyle w:val="Heading2"/>
        <w:rPr>
          <w:sz w:val="24"/>
        </w:rPr>
      </w:pPr>
      <w:bookmarkStart w:id="4" w:name="_Toc151782177"/>
      <w:bookmarkStart w:id="5" w:name="_Toc158526217"/>
      <w:r w:rsidRPr="00983636">
        <w:rPr>
          <w:sz w:val="24"/>
        </w:rPr>
        <w:t>2. Purpose and Use of Information</w:t>
      </w:r>
      <w:bookmarkEnd w:id="4"/>
      <w:bookmarkEnd w:id="5"/>
    </w:p>
    <w:p w:rsidR="0066118A" w:rsidRPr="00892ACD" w:rsidRDefault="0066118A" w:rsidP="00FE65ED">
      <w:pPr>
        <w:keepNext/>
        <w:tabs>
          <w:tab w:val="left" w:pos="240"/>
        </w:tabs>
        <w:overflowPunct w:val="0"/>
        <w:autoSpaceDE w:val="0"/>
        <w:autoSpaceDN w:val="0"/>
        <w:adjustRightInd w:val="0"/>
        <w:spacing w:after="40"/>
        <w:ind w:right="-120"/>
        <w:textAlignment w:val="baseline"/>
        <w:outlineLvl w:val="1"/>
        <w:rPr>
          <w:rFonts w:ascii="Arial" w:hAnsi="Arial" w:cs="Arial"/>
          <w:b/>
          <w:iCs/>
          <w:sz w:val="22"/>
        </w:rPr>
      </w:pPr>
      <w:bookmarkStart w:id="6" w:name="_Toc256608085"/>
      <w:r w:rsidRPr="00892ACD">
        <w:rPr>
          <w:rFonts w:ascii="Arial" w:hAnsi="Arial" w:cs="Arial"/>
          <w:b/>
          <w:sz w:val="22"/>
        </w:rPr>
        <w:t xml:space="preserve">2.1: </w:t>
      </w:r>
      <w:r w:rsidRPr="00892ACD">
        <w:rPr>
          <w:rFonts w:ascii="Arial" w:hAnsi="Arial" w:cs="Arial"/>
          <w:b/>
          <w:iCs/>
          <w:sz w:val="22"/>
        </w:rPr>
        <w:t>Purpose of the Data Collection</w:t>
      </w:r>
      <w:bookmarkEnd w:id="6"/>
    </w:p>
    <w:p w:rsidR="004A73ED" w:rsidRPr="0066118A" w:rsidRDefault="004A73ED" w:rsidP="0066118A">
      <w:pPr>
        <w:tabs>
          <w:tab w:val="left" w:pos="720"/>
          <w:tab w:val="left" w:pos="1080"/>
          <w:tab w:val="left" w:pos="1440"/>
          <w:tab w:val="left" w:pos="1800"/>
        </w:tabs>
        <w:spacing w:line="264" w:lineRule="auto"/>
      </w:pPr>
      <w:r w:rsidRPr="00B83F00">
        <w:t xml:space="preserve">This data collection will help to meet </w:t>
      </w:r>
      <w:r>
        <w:t>AHRQ’s</w:t>
      </w:r>
      <w:r w:rsidRPr="00B83F00">
        <w:t xml:space="preserve"> objectives to:</w:t>
      </w:r>
    </w:p>
    <w:p w:rsidR="0066118A" w:rsidRDefault="004A73ED" w:rsidP="0066118A">
      <w:pPr>
        <w:pStyle w:val="ListParagraph"/>
        <w:numPr>
          <w:ilvl w:val="0"/>
          <w:numId w:val="46"/>
        </w:numPr>
        <w:autoSpaceDE w:val="0"/>
        <w:autoSpaceDN w:val="0"/>
        <w:adjustRightInd w:val="0"/>
        <w:spacing w:before="120"/>
        <w:ind w:left="1080"/>
      </w:pPr>
      <w:r w:rsidRPr="002A0F10">
        <w:rPr>
          <w:rFonts w:cs="Arial"/>
          <w:szCs w:val="22"/>
        </w:rPr>
        <w:t xml:space="preserve">Understand the extent to which these </w:t>
      </w:r>
      <w:r w:rsidR="002029AC">
        <w:rPr>
          <w:rFonts w:cs="Arial"/>
          <w:szCs w:val="22"/>
        </w:rPr>
        <w:t xml:space="preserve">online </w:t>
      </w:r>
      <w:r w:rsidR="002029AC" w:rsidRPr="001D759F">
        <w:rPr>
          <w:rFonts w:eastAsia="Calibri"/>
        </w:rPr>
        <w:t>continuing education modules based on the Effective Health Care Program comparative effectiveness research reports</w:t>
      </w:r>
      <w:r w:rsidR="002029AC" w:rsidRPr="002A0F10">
        <w:rPr>
          <w:rFonts w:cs="Arial"/>
          <w:szCs w:val="22"/>
        </w:rPr>
        <w:t xml:space="preserve"> </w:t>
      </w:r>
      <w:r w:rsidRPr="002A0F10">
        <w:rPr>
          <w:rFonts w:cs="Arial"/>
          <w:szCs w:val="22"/>
        </w:rPr>
        <w:t xml:space="preserve">improve knowledge of each topic and change participants’ </w:t>
      </w:r>
      <w:r w:rsidRPr="002A0F10">
        <w:rPr>
          <w:rFonts w:cs="Arial"/>
          <w:szCs w:val="22"/>
        </w:rPr>
        <w:lastRenderedPageBreak/>
        <w:t>awareness of, attitude towards, and/or confidence to apply</w:t>
      </w:r>
      <w:r w:rsidR="002029AC">
        <w:rPr>
          <w:rFonts w:cs="Arial"/>
          <w:szCs w:val="22"/>
        </w:rPr>
        <w:t xml:space="preserve"> CER</w:t>
      </w:r>
      <w:r w:rsidRPr="002A0F10">
        <w:rPr>
          <w:rFonts w:cs="Arial"/>
          <w:szCs w:val="22"/>
        </w:rPr>
        <w:t xml:space="preserve"> in their clinical practice</w:t>
      </w:r>
      <w:r w:rsidRPr="002A0F10">
        <w:t>.</w:t>
      </w:r>
    </w:p>
    <w:p w:rsidR="0066118A" w:rsidRDefault="004A73ED" w:rsidP="0066118A">
      <w:pPr>
        <w:pStyle w:val="ListParagraph"/>
        <w:numPr>
          <w:ilvl w:val="0"/>
          <w:numId w:val="46"/>
        </w:numPr>
        <w:autoSpaceDE w:val="0"/>
        <w:autoSpaceDN w:val="0"/>
        <w:adjustRightInd w:val="0"/>
        <w:spacing w:before="120"/>
        <w:ind w:left="1080"/>
      </w:pPr>
      <w:r w:rsidRPr="0066118A">
        <w:rPr>
          <w:rFonts w:cs="Arial"/>
          <w:szCs w:val="22"/>
        </w:rPr>
        <w:t>Track information about the dissemination efforts employed</w:t>
      </w:r>
      <w:r w:rsidR="00075D4A">
        <w:rPr>
          <w:rFonts w:cs="Arial"/>
          <w:szCs w:val="22"/>
        </w:rPr>
        <w:t xml:space="preserve"> for CE/CER information specific to the modules</w:t>
      </w:r>
      <w:r w:rsidRPr="0066118A">
        <w:rPr>
          <w:rFonts w:cs="Arial"/>
          <w:szCs w:val="22"/>
        </w:rPr>
        <w:t>, and the uptake of AHRQ’s other Effective Health Care Program materials as a result of the project, including the Clinician and Consumer Summaries when available</w:t>
      </w:r>
      <w:r w:rsidR="0066118A">
        <w:t>.</w:t>
      </w:r>
    </w:p>
    <w:p w:rsidR="0066118A" w:rsidRPr="0066118A" w:rsidRDefault="004A73ED" w:rsidP="0066118A">
      <w:pPr>
        <w:pStyle w:val="ListParagraph"/>
        <w:numPr>
          <w:ilvl w:val="0"/>
          <w:numId w:val="46"/>
        </w:numPr>
        <w:autoSpaceDE w:val="0"/>
        <w:autoSpaceDN w:val="0"/>
        <w:adjustRightInd w:val="0"/>
        <w:spacing w:before="120"/>
        <w:ind w:left="1080"/>
      </w:pPr>
      <w:r w:rsidRPr="002A0F10">
        <w:t xml:space="preserve">Determine </w:t>
      </w:r>
      <w:r w:rsidRPr="0066118A">
        <w:rPr>
          <w:rFonts w:cs="Arial"/>
          <w:szCs w:val="22"/>
        </w:rPr>
        <w:t xml:space="preserve">implementation practices </w:t>
      </w:r>
      <w:r w:rsidR="002029AC" w:rsidRPr="0066118A">
        <w:rPr>
          <w:rFonts w:cs="Arial"/>
          <w:szCs w:val="22"/>
        </w:rPr>
        <w:t xml:space="preserve">(e.g. changes in practice behavior or implementation of the information conveyed in the modules) </w:t>
      </w:r>
      <w:r w:rsidRPr="0066118A">
        <w:rPr>
          <w:rFonts w:cs="Arial"/>
          <w:szCs w:val="22"/>
        </w:rPr>
        <w:t>that occur as a result of the learning.</w:t>
      </w:r>
    </w:p>
    <w:p w:rsidR="004A73ED" w:rsidRPr="00FE65ED" w:rsidRDefault="004A73ED" w:rsidP="0066118A">
      <w:pPr>
        <w:pStyle w:val="ListParagraph"/>
        <w:numPr>
          <w:ilvl w:val="0"/>
          <w:numId w:val="46"/>
        </w:numPr>
        <w:autoSpaceDE w:val="0"/>
        <w:autoSpaceDN w:val="0"/>
        <w:adjustRightInd w:val="0"/>
        <w:spacing w:before="120"/>
        <w:ind w:left="1080"/>
      </w:pPr>
      <w:r w:rsidRPr="002A0F10">
        <w:t>I</w:t>
      </w:r>
      <w:r w:rsidRPr="0066118A">
        <w:rPr>
          <w:rFonts w:cs="Arial"/>
          <w:szCs w:val="22"/>
        </w:rPr>
        <w:t>dentify opportunities for improving the presentation and delivery of CE modules by gathering information on the participants’ reactions to the modules and to the faculty presenters</w:t>
      </w:r>
      <w:r w:rsidR="007A27EF">
        <w:rPr>
          <w:rFonts w:cs="Arial"/>
          <w:szCs w:val="22"/>
        </w:rPr>
        <w:t xml:space="preserve"> through the post-event evaluation assessment</w:t>
      </w:r>
      <w:r w:rsidRPr="0066118A">
        <w:rPr>
          <w:rFonts w:cs="Arial"/>
          <w:szCs w:val="22"/>
        </w:rPr>
        <w:t>.</w:t>
      </w:r>
      <w:r w:rsidRPr="0066118A">
        <w:rPr>
          <w:rFonts w:cs="Arial"/>
          <w:szCs w:val="22"/>
          <w:u w:val="single"/>
        </w:rPr>
        <w:t xml:space="preserve"> </w:t>
      </w:r>
    </w:p>
    <w:p w:rsidR="00FE65ED" w:rsidRDefault="00FE65ED" w:rsidP="00FE65ED">
      <w:pPr>
        <w:keepNext/>
        <w:tabs>
          <w:tab w:val="left" w:pos="240"/>
        </w:tabs>
        <w:overflowPunct w:val="0"/>
        <w:autoSpaceDE w:val="0"/>
        <w:autoSpaceDN w:val="0"/>
        <w:adjustRightInd w:val="0"/>
        <w:spacing w:after="40"/>
        <w:ind w:right="-120"/>
        <w:textAlignment w:val="baseline"/>
        <w:outlineLvl w:val="1"/>
        <w:rPr>
          <w:b/>
        </w:rPr>
      </w:pPr>
    </w:p>
    <w:p w:rsidR="00FE65ED" w:rsidRPr="00892ACD" w:rsidRDefault="00FE65ED" w:rsidP="00FE65ED">
      <w:pPr>
        <w:keepNext/>
        <w:tabs>
          <w:tab w:val="left" w:pos="240"/>
        </w:tabs>
        <w:overflowPunct w:val="0"/>
        <w:autoSpaceDE w:val="0"/>
        <w:autoSpaceDN w:val="0"/>
        <w:adjustRightInd w:val="0"/>
        <w:spacing w:after="40"/>
        <w:ind w:right="-120"/>
        <w:textAlignment w:val="baseline"/>
        <w:outlineLvl w:val="1"/>
        <w:rPr>
          <w:rFonts w:ascii="Arial" w:hAnsi="Arial" w:cs="Arial"/>
          <w:b/>
          <w:sz w:val="22"/>
        </w:rPr>
      </w:pPr>
      <w:r w:rsidRPr="00892ACD">
        <w:rPr>
          <w:rFonts w:ascii="Arial" w:hAnsi="Arial" w:cs="Arial"/>
          <w:b/>
          <w:sz w:val="22"/>
        </w:rPr>
        <w:t>2.2: Who Will Use the Information</w:t>
      </w:r>
    </w:p>
    <w:p w:rsidR="00FE65ED" w:rsidRPr="0066118A" w:rsidRDefault="00FE65ED" w:rsidP="00FE65ED">
      <w:pPr>
        <w:keepNext/>
        <w:tabs>
          <w:tab w:val="left" w:pos="240"/>
        </w:tabs>
        <w:overflowPunct w:val="0"/>
        <w:autoSpaceDE w:val="0"/>
        <w:autoSpaceDN w:val="0"/>
        <w:adjustRightInd w:val="0"/>
        <w:spacing w:after="40"/>
        <w:ind w:right="-120"/>
        <w:textAlignment w:val="baseline"/>
        <w:outlineLvl w:val="1"/>
        <w:rPr>
          <w:b/>
          <w:iCs/>
        </w:rPr>
      </w:pPr>
      <w:r>
        <w:t>AHRQ and the EHC Program staff will use the information collected through this Information Collection Request to assess the short- and long-term progress in achieving the dissemination and implementation aims of the Continuing Education project</w:t>
      </w:r>
    </w:p>
    <w:p w:rsidR="00FE65ED" w:rsidRPr="004A73ED" w:rsidRDefault="00FE65ED" w:rsidP="00FE65ED">
      <w:pPr>
        <w:pStyle w:val="ListParagraph"/>
        <w:autoSpaceDE w:val="0"/>
        <w:autoSpaceDN w:val="0"/>
        <w:adjustRightInd w:val="0"/>
        <w:spacing w:before="120"/>
        <w:ind w:left="0"/>
      </w:pPr>
    </w:p>
    <w:p w:rsidR="009B633D" w:rsidRPr="00983636" w:rsidRDefault="009B633D" w:rsidP="009B633D">
      <w:pPr>
        <w:pStyle w:val="Heading2"/>
        <w:rPr>
          <w:sz w:val="24"/>
        </w:rPr>
      </w:pPr>
      <w:bookmarkStart w:id="7" w:name="_Toc151782178"/>
      <w:bookmarkStart w:id="8" w:name="_Toc158526218"/>
      <w:r w:rsidRPr="00983636">
        <w:rPr>
          <w:sz w:val="24"/>
        </w:rPr>
        <w:t>3. Use of Improved Information Technology</w:t>
      </w:r>
      <w:bookmarkEnd w:id="7"/>
      <w:bookmarkEnd w:id="8"/>
    </w:p>
    <w:p w:rsidR="00A935CA" w:rsidRDefault="00A935CA" w:rsidP="00A935CA">
      <w:pPr>
        <w:pStyle w:val="CommentText"/>
        <w:rPr>
          <w:iCs/>
          <w:sz w:val="24"/>
          <w:szCs w:val="24"/>
        </w:rPr>
      </w:pPr>
      <w:bookmarkStart w:id="9" w:name="_Toc151782179"/>
      <w:bookmarkStart w:id="10" w:name="_Toc158526219"/>
      <w:r w:rsidRPr="00E2668B">
        <w:rPr>
          <w:iCs/>
          <w:sz w:val="24"/>
          <w:szCs w:val="24"/>
        </w:rPr>
        <w:t>The survey will be administered as a web-based survey</w:t>
      </w:r>
      <w:r>
        <w:rPr>
          <w:iCs/>
          <w:sz w:val="24"/>
          <w:szCs w:val="24"/>
        </w:rPr>
        <w:t xml:space="preserve">.  </w:t>
      </w:r>
      <w:r w:rsidRPr="00E2668B">
        <w:rPr>
          <w:iCs/>
          <w:sz w:val="24"/>
          <w:szCs w:val="24"/>
        </w:rPr>
        <w:t xml:space="preserve">AHRQ will use contractor, </w:t>
      </w:r>
      <w:r>
        <w:rPr>
          <w:iCs/>
          <w:sz w:val="24"/>
          <w:szCs w:val="24"/>
        </w:rPr>
        <w:t xml:space="preserve">Hayes Inc. (Hayes), and subcontractor, </w:t>
      </w:r>
      <w:r w:rsidRPr="00E2668B">
        <w:rPr>
          <w:iCs/>
          <w:sz w:val="24"/>
          <w:szCs w:val="24"/>
        </w:rPr>
        <w:t xml:space="preserve">Deloitte Consulting LLC </w:t>
      </w:r>
      <w:r>
        <w:rPr>
          <w:iCs/>
          <w:sz w:val="24"/>
          <w:szCs w:val="24"/>
        </w:rPr>
        <w:t xml:space="preserve">(Deloitte), </w:t>
      </w:r>
      <w:r w:rsidRPr="00E2668B">
        <w:rPr>
          <w:iCs/>
          <w:sz w:val="24"/>
          <w:szCs w:val="24"/>
        </w:rPr>
        <w:t xml:space="preserve">to manage the online data collection and development of </w:t>
      </w:r>
      <w:r w:rsidRPr="00375926">
        <w:rPr>
          <w:iCs/>
          <w:sz w:val="24"/>
          <w:szCs w:val="24"/>
        </w:rPr>
        <w:t xml:space="preserve">the </w:t>
      </w:r>
      <w:r w:rsidRPr="00A935CA">
        <w:rPr>
          <w:rFonts w:eastAsia="Calibri"/>
          <w:sz w:val="24"/>
          <w:szCs w:val="24"/>
        </w:rPr>
        <w:t xml:space="preserve">Continuing Education for Comparative Effectiveness Research Survey </w:t>
      </w:r>
      <w:r w:rsidRPr="00E2668B">
        <w:rPr>
          <w:iCs/>
          <w:sz w:val="24"/>
          <w:szCs w:val="24"/>
        </w:rPr>
        <w:t xml:space="preserve">web interface. </w:t>
      </w:r>
    </w:p>
    <w:p w:rsidR="00A935CA" w:rsidRDefault="00A935CA" w:rsidP="00A935CA">
      <w:pPr>
        <w:pStyle w:val="CommentText"/>
        <w:rPr>
          <w:iCs/>
          <w:sz w:val="24"/>
          <w:szCs w:val="24"/>
        </w:rPr>
      </w:pPr>
    </w:p>
    <w:p w:rsidR="00A935CA" w:rsidRPr="00E2668B" w:rsidRDefault="00A935CA" w:rsidP="00A935CA">
      <w:pPr>
        <w:pStyle w:val="CommentText"/>
        <w:rPr>
          <w:sz w:val="24"/>
          <w:szCs w:val="24"/>
        </w:rPr>
      </w:pPr>
      <w:r w:rsidRPr="00E97E50">
        <w:rPr>
          <w:iCs/>
          <w:sz w:val="24"/>
          <w:szCs w:val="24"/>
        </w:rPr>
        <w:t xml:space="preserve">The </w:t>
      </w:r>
      <w:r>
        <w:rPr>
          <w:iCs/>
          <w:sz w:val="24"/>
          <w:szCs w:val="24"/>
        </w:rPr>
        <w:t>six</w:t>
      </w:r>
      <w:r w:rsidRPr="00E2668B">
        <w:rPr>
          <w:iCs/>
          <w:sz w:val="24"/>
          <w:szCs w:val="24"/>
        </w:rPr>
        <w:t xml:space="preserve">-month </w:t>
      </w:r>
      <w:r w:rsidR="004E2B49">
        <w:rPr>
          <w:iCs/>
          <w:sz w:val="24"/>
          <w:szCs w:val="24"/>
        </w:rPr>
        <w:t>follow-up survey data</w:t>
      </w:r>
      <w:r w:rsidRPr="00E2668B">
        <w:rPr>
          <w:iCs/>
          <w:sz w:val="24"/>
          <w:szCs w:val="24"/>
        </w:rPr>
        <w:t xml:space="preserve"> will be gathered through a Learning Management </w:t>
      </w:r>
      <w:r>
        <w:rPr>
          <w:iCs/>
          <w:sz w:val="24"/>
          <w:szCs w:val="24"/>
        </w:rPr>
        <w:t>System</w:t>
      </w:r>
      <w:r w:rsidRPr="00E2668B">
        <w:rPr>
          <w:iCs/>
          <w:sz w:val="24"/>
          <w:szCs w:val="24"/>
        </w:rPr>
        <w:t xml:space="preserve"> as part of each learning activity. Utilizing the Lea</w:t>
      </w:r>
      <w:r>
        <w:rPr>
          <w:iCs/>
          <w:sz w:val="24"/>
          <w:szCs w:val="24"/>
        </w:rPr>
        <w:t>rning Management System, Deloitte will send a digitally-signed</w:t>
      </w:r>
      <w:r w:rsidRPr="00E2668B">
        <w:rPr>
          <w:iCs/>
          <w:sz w:val="24"/>
          <w:szCs w:val="24"/>
        </w:rPr>
        <w:t xml:space="preserve"> email </w:t>
      </w:r>
      <w:r>
        <w:rPr>
          <w:iCs/>
          <w:sz w:val="24"/>
          <w:szCs w:val="24"/>
        </w:rPr>
        <w:t xml:space="preserve">to each learner six months after he/she has completed the CE activity.  The email will include a link (URL) </w:t>
      </w:r>
      <w:r w:rsidRPr="00E2668B">
        <w:rPr>
          <w:iCs/>
          <w:sz w:val="24"/>
          <w:szCs w:val="24"/>
        </w:rPr>
        <w:t>to the web-based survey and provide a text explanation of the study to help encourage learners to participate. The respondents will be able to complete the survey using</w:t>
      </w:r>
      <w:r>
        <w:rPr>
          <w:iCs/>
          <w:sz w:val="24"/>
          <w:szCs w:val="24"/>
        </w:rPr>
        <w:t xml:space="preserve"> their personal computers, tablet, or other web-enabled mobile device.</w:t>
      </w:r>
      <w:r>
        <w:rPr>
          <w:iCs/>
          <w:color w:val="FF0000"/>
          <w:sz w:val="24"/>
          <w:szCs w:val="24"/>
        </w:rPr>
        <w:t xml:space="preserve"> </w:t>
      </w:r>
      <w:r w:rsidRPr="00E2668B">
        <w:rPr>
          <w:iCs/>
          <w:sz w:val="24"/>
          <w:szCs w:val="24"/>
        </w:rPr>
        <w:t xml:space="preserve">All responses will be kept confidential. </w:t>
      </w:r>
      <w:r w:rsidRPr="00E2668B">
        <w:rPr>
          <w:sz w:val="24"/>
          <w:szCs w:val="24"/>
        </w:rPr>
        <w:t xml:space="preserve"> All responses will be stored on computer servers with software and hardware solutions that have a high degree of resistance to tampering and circumvention, including both hardware and software firewalls.</w:t>
      </w:r>
    </w:p>
    <w:p w:rsidR="00A935CA" w:rsidRPr="006015F1" w:rsidRDefault="00A935CA" w:rsidP="00A935CA">
      <w:pPr>
        <w:pStyle w:val="BodyText"/>
        <w:tabs>
          <w:tab w:val="left" w:pos="360"/>
        </w:tabs>
        <w:rPr>
          <w:rFonts w:ascii="Arial" w:hAnsi="Arial" w:cs="Arial"/>
          <w:sz w:val="22"/>
          <w:szCs w:val="22"/>
        </w:rPr>
      </w:pPr>
    </w:p>
    <w:p w:rsidR="009B633D" w:rsidRDefault="009B633D" w:rsidP="009B633D">
      <w:pPr>
        <w:pStyle w:val="Heading2"/>
        <w:rPr>
          <w:sz w:val="24"/>
        </w:rPr>
      </w:pPr>
      <w:r w:rsidRPr="00983636">
        <w:rPr>
          <w:sz w:val="24"/>
        </w:rPr>
        <w:t>4. Efforts to Identify Duplication</w:t>
      </w:r>
      <w:bookmarkEnd w:id="9"/>
      <w:bookmarkEnd w:id="10"/>
    </w:p>
    <w:p w:rsidR="00A935CA" w:rsidRPr="001D3B34" w:rsidRDefault="00A935CA" w:rsidP="00A935CA">
      <w:pPr>
        <w:pStyle w:val="CommentText"/>
        <w:rPr>
          <w:sz w:val="24"/>
          <w:szCs w:val="24"/>
        </w:rPr>
      </w:pPr>
      <w:r w:rsidRPr="001D3B34">
        <w:rPr>
          <w:sz w:val="24"/>
          <w:szCs w:val="24"/>
        </w:rPr>
        <w:t xml:space="preserve">In designing the survey, available information on each subject was carefully reviewed to ensure that the survey gathers information not available from existing sources.  The current request is intended to support a new training program for the Agency and, therefore, the instruments are specific and unique to this project. Similar data was collected from a previous continuing education contract which resulted in over 62,000 continuing education certificates being issued to health care professionals  The data collected from the previous continuing education contract is being used to inform the </w:t>
      </w:r>
      <w:r w:rsidRPr="001D3B34">
        <w:rPr>
          <w:sz w:val="24"/>
          <w:szCs w:val="24"/>
        </w:rPr>
        <w:lastRenderedPageBreak/>
        <w:t>present project. This new data collectio</w:t>
      </w:r>
      <w:r w:rsidR="008F02AB">
        <w:rPr>
          <w:sz w:val="24"/>
          <w:szCs w:val="24"/>
        </w:rPr>
        <w:t xml:space="preserve">n is for a new set </w:t>
      </w:r>
      <w:r w:rsidR="000B4749">
        <w:rPr>
          <w:sz w:val="24"/>
          <w:szCs w:val="24"/>
        </w:rPr>
        <w:t xml:space="preserve">of </w:t>
      </w:r>
      <w:r w:rsidR="008F02AB">
        <w:rPr>
          <w:sz w:val="24"/>
          <w:szCs w:val="24"/>
        </w:rPr>
        <w:t xml:space="preserve">educational </w:t>
      </w:r>
      <w:r w:rsidRPr="001D3B34">
        <w:rPr>
          <w:sz w:val="24"/>
          <w:szCs w:val="24"/>
        </w:rPr>
        <w:t>modules that will be released beginning June 2014.</w:t>
      </w:r>
    </w:p>
    <w:p w:rsidR="007E4359" w:rsidRDefault="007E4359" w:rsidP="007E4359"/>
    <w:p w:rsidR="009B633D" w:rsidRPr="00983636" w:rsidRDefault="009B633D" w:rsidP="009B633D">
      <w:pPr>
        <w:pStyle w:val="Heading2"/>
        <w:rPr>
          <w:sz w:val="24"/>
        </w:rPr>
      </w:pPr>
      <w:bookmarkStart w:id="11" w:name="_Toc151782180"/>
      <w:bookmarkStart w:id="12" w:name="_Toc158526220"/>
      <w:r w:rsidRPr="00983636">
        <w:rPr>
          <w:sz w:val="24"/>
        </w:rPr>
        <w:t>5. Involvement of Small Entities</w:t>
      </w:r>
      <w:bookmarkEnd w:id="11"/>
      <w:bookmarkEnd w:id="12"/>
    </w:p>
    <w:p w:rsidR="00A935CA" w:rsidRPr="00A935CA" w:rsidRDefault="00A935CA" w:rsidP="00A935CA">
      <w:pPr>
        <w:spacing w:after="200"/>
        <w:rPr>
          <w:rFonts w:eastAsia="Calibri"/>
        </w:rPr>
      </w:pPr>
      <w:bookmarkStart w:id="13" w:name="_Toc151782181"/>
      <w:bookmarkStart w:id="14" w:name="_Toc158526221"/>
      <w:r w:rsidRPr="00A935CA">
        <w:rPr>
          <w:rFonts w:eastAsia="Calibri"/>
        </w:rPr>
        <w:t>No small businesses or other small entities will be involved as respondents in the proposed data collection effort.  Respondents to this data collection will be n</w:t>
      </w:r>
      <w:r w:rsidRPr="00CB12CE">
        <w:t>urses, nurse practitioners, physicians, physician assistants, pharmacists, health education specialists, case managers, dieticians, psychologists, medical assistants, social workers</w:t>
      </w:r>
      <w:r>
        <w:t>, and other allied health professionals</w:t>
      </w:r>
      <w:r w:rsidRPr="005E40B4">
        <w:rPr>
          <w:spacing w:val="-2"/>
        </w:rPr>
        <w:t>.</w:t>
      </w:r>
      <w:r w:rsidRPr="00A935CA">
        <w:rPr>
          <w:rFonts w:eastAsia="Calibri"/>
        </w:rPr>
        <w:t xml:space="preserve"> Efforts have been made to minimize response burden on respondents through careful design of the data collection strategy and efficient construction of the data collection instrument. </w:t>
      </w:r>
    </w:p>
    <w:p w:rsidR="009B633D" w:rsidRPr="00983636" w:rsidRDefault="009B633D" w:rsidP="009B633D">
      <w:pPr>
        <w:pStyle w:val="Heading2"/>
        <w:rPr>
          <w:sz w:val="24"/>
        </w:rPr>
      </w:pPr>
      <w:r w:rsidRPr="00983636">
        <w:rPr>
          <w:sz w:val="24"/>
        </w:rPr>
        <w:t>6. Consequences if Information Collected Less Frequently</w:t>
      </w:r>
      <w:bookmarkEnd w:id="13"/>
      <w:bookmarkEnd w:id="14"/>
    </w:p>
    <w:p w:rsidR="00A935CA" w:rsidRPr="00201457" w:rsidRDefault="00A935CA" w:rsidP="00A935CA">
      <w:pPr>
        <w:rPr>
          <w:color w:val="FF0000"/>
        </w:rPr>
      </w:pPr>
      <w:bookmarkStart w:id="15" w:name="_Toc151782182"/>
      <w:bookmarkStart w:id="16" w:name="_Toc158526222"/>
      <w:r w:rsidRPr="00644FDF">
        <w:t xml:space="preserve">Each training module will involve one follow-up questionnaire that is administered six months after the completion of the course for the purposes of tracking the longer-term effectiveness of the modules. </w:t>
      </w:r>
      <w:r>
        <w:t xml:space="preserve">Gathering this information less frequently would prohibit AHRQ from being able to determine the impact of these modules on variables like dissemination of information and application of CER information in practice. This data cannot be captured in the post-module evaluation as participants would not yet have had a chance to act on the information they have learned. Administering the survey after more than six months runs the risk of being too long after the module, and will affect respondents’ abilities to recall instances where they have applied their learning.  </w:t>
      </w:r>
    </w:p>
    <w:p w:rsidR="009B633D" w:rsidRDefault="009B633D" w:rsidP="009B633D">
      <w:pPr>
        <w:pStyle w:val="Heading2"/>
        <w:rPr>
          <w:sz w:val="24"/>
        </w:rPr>
      </w:pPr>
      <w:r w:rsidRPr="00412C6F">
        <w:rPr>
          <w:sz w:val="24"/>
        </w:rPr>
        <w:t>7. Special Circumstances</w:t>
      </w:r>
      <w:bookmarkEnd w:id="15"/>
      <w:bookmarkEnd w:id="16"/>
    </w:p>
    <w:p w:rsidR="00A935CA" w:rsidRPr="00A935CA" w:rsidRDefault="00A935CA" w:rsidP="00A935CA">
      <w:pPr>
        <w:spacing w:after="200" w:line="276" w:lineRule="auto"/>
        <w:rPr>
          <w:rFonts w:eastAsia="Calibri"/>
        </w:rPr>
      </w:pPr>
      <w:bookmarkStart w:id="17" w:name="_Toc151782183"/>
      <w:bookmarkStart w:id="18" w:name="_Toc158526223"/>
      <w:r w:rsidRPr="00A935CA">
        <w:rPr>
          <w:rFonts w:eastAsia="Calibri"/>
        </w:rPr>
        <w:t xml:space="preserve">There are no special circumstances that require deviation from </w:t>
      </w:r>
      <w:r w:rsidRPr="005B3D08">
        <w:t>the general information collection guidelines of 5 CFR 1320.5(d)(2).</w:t>
      </w:r>
      <w:r w:rsidRPr="00A935CA">
        <w:rPr>
          <w:rFonts w:eastAsia="Calibri"/>
        </w:rPr>
        <w:t>.</w:t>
      </w:r>
    </w:p>
    <w:p w:rsidR="004E3A1B" w:rsidRDefault="009B633D" w:rsidP="004E3A1B">
      <w:pPr>
        <w:pStyle w:val="Heading2"/>
        <w:rPr>
          <w:sz w:val="24"/>
          <w:szCs w:val="24"/>
        </w:rPr>
      </w:pPr>
      <w:r w:rsidRPr="00412C6F">
        <w:rPr>
          <w:sz w:val="24"/>
        </w:rPr>
        <w:t>8.</w:t>
      </w:r>
      <w:r w:rsidRPr="004E3A1B">
        <w:rPr>
          <w:sz w:val="24"/>
          <w:szCs w:val="24"/>
        </w:rPr>
        <w:t xml:space="preserve"> </w:t>
      </w:r>
      <w:bookmarkEnd w:id="17"/>
      <w:bookmarkEnd w:id="18"/>
      <w:r w:rsidR="004E3A1B" w:rsidRPr="004E3A1B">
        <w:rPr>
          <w:sz w:val="24"/>
          <w:szCs w:val="24"/>
        </w:rPr>
        <w:t>Federal Register Notice and Outside Consultations</w:t>
      </w:r>
    </w:p>
    <w:p w:rsidR="004E3A1B" w:rsidRDefault="004E3A1B" w:rsidP="004E3A1B"/>
    <w:p w:rsidR="00131443" w:rsidRDefault="004E3A1B" w:rsidP="004E3A1B">
      <w:pPr>
        <w:rPr>
          <w:rFonts w:ascii="Arial" w:hAnsi="Arial" w:cs="Arial"/>
          <w:b/>
          <w:bCs/>
          <w:i/>
          <w:iCs/>
        </w:rPr>
      </w:pPr>
      <w:proofErr w:type="gramStart"/>
      <w:r w:rsidRPr="004E3A1B">
        <w:rPr>
          <w:rFonts w:ascii="Arial" w:hAnsi="Arial" w:cs="Arial"/>
          <w:b/>
          <w:i/>
        </w:rPr>
        <w:t>8.a</w:t>
      </w:r>
      <w:proofErr w:type="gramEnd"/>
      <w:r w:rsidRPr="004E3A1B">
        <w:rPr>
          <w:rFonts w:ascii="Arial" w:hAnsi="Arial" w:cs="Arial"/>
          <w:b/>
          <w:i/>
        </w:rPr>
        <w:t>.</w:t>
      </w:r>
      <w:r>
        <w:t xml:space="preserve"> </w:t>
      </w:r>
      <w:r w:rsidRPr="004E3A1B">
        <w:rPr>
          <w:rFonts w:ascii="Arial" w:hAnsi="Arial" w:cs="Arial"/>
          <w:b/>
          <w:bCs/>
          <w:i/>
          <w:iCs/>
        </w:rPr>
        <w:t>Federal Register Notice</w:t>
      </w:r>
    </w:p>
    <w:p w:rsidR="00A77D91" w:rsidRPr="000028ED" w:rsidRDefault="00A77D91" w:rsidP="00A77D91">
      <w:pPr>
        <w:spacing w:after="200" w:line="276" w:lineRule="auto"/>
        <w:rPr>
          <w:rFonts w:eastAsia="Calibri"/>
        </w:rPr>
      </w:pPr>
      <w:r w:rsidRPr="000028ED">
        <w:rPr>
          <w:rFonts w:eastAsia="Calibri"/>
        </w:rPr>
        <w:t xml:space="preserve">In accordance with 5 CFR 1320.8(d), this information collection soliciting public </w:t>
      </w:r>
      <w:r w:rsidRPr="00C521CF">
        <w:rPr>
          <w:rFonts w:eastAsia="Calibri"/>
          <w:sz w:val="22"/>
        </w:rPr>
        <w:t xml:space="preserve">comments was announced in the </w:t>
      </w:r>
      <w:r w:rsidRPr="00C521CF">
        <w:rPr>
          <w:rFonts w:eastAsia="Calibri"/>
          <w:i/>
          <w:iCs/>
          <w:sz w:val="22"/>
        </w:rPr>
        <w:t>Federal Register</w:t>
      </w:r>
      <w:r w:rsidRPr="00C521CF">
        <w:rPr>
          <w:rFonts w:eastAsia="Calibri"/>
          <w:sz w:val="22"/>
        </w:rPr>
        <w:t xml:space="preserve"> on August 4, 2014 (Volume 79 </w:t>
      </w:r>
      <w:r w:rsidRPr="000028ED">
        <w:rPr>
          <w:rFonts w:eastAsia="Calibri"/>
        </w:rPr>
        <w:t>Number</w:t>
      </w:r>
      <w:r>
        <w:rPr>
          <w:rFonts w:eastAsia="Calibri"/>
        </w:rPr>
        <w:t>149</w:t>
      </w:r>
      <w:r w:rsidRPr="000028ED">
        <w:rPr>
          <w:rFonts w:eastAsia="Calibri"/>
        </w:rPr>
        <w:t>, Page</w:t>
      </w:r>
      <w:r>
        <w:rPr>
          <w:rFonts w:eastAsia="Calibri"/>
        </w:rPr>
        <w:t xml:space="preserve"> 45192</w:t>
      </w:r>
      <w:r w:rsidRPr="000028ED">
        <w:rPr>
          <w:rFonts w:eastAsia="Calibri"/>
        </w:rPr>
        <w:t>)</w:t>
      </w:r>
      <w:r>
        <w:rPr>
          <w:rFonts w:eastAsia="Calibri"/>
        </w:rPr>
        <w:t xml:space="preserve"> for 60 days</w:t>
      </w:r>
      <w:r w:rsidR="001D5A4A">
        <w:rPr>
          <w:rFonts w:eastAsia="Calibri"/>
        </w:rPr>
        <w:t xml:space="preserve"> (Attachment C)</w:t>
      </w:r>
      <w:r w:rsidRPr="000028ED">
        <w:rPr>
          <w:rFonts w:eastAsia="Calibri"/>
        </w:rPr>
        <w:t xml:space="preserve">. AHRQ’s contractor, Hayes Inc. worked with its subcontractor, Deloitte, to develop the data collection instrument and data collection methodology in consultation with staff from AHRQ.  </w:t>
      </w:r>
    </w:p>
    <w:p w:rsidR="000028ED" w:rsidRPr="000028ED" w:rsidRDefault="000028ED" w:rsidP="000028ED">
      <w:pPr>
        <w:spacing w:after="200" w:line="276" w:lineRule="auto"/>
        <w:rPr>
          <w:rFonts w:eastAsia="Calibri"/>
        </w:rPr>
      </w:pPr>
      <w:r w:rsidRPr="000028ED">
        <w:rPr>
          <w:rFonts w:eastAsia="Calibri"/>
        </w:rPr>
        <w:t xml:space="preserve">  </w:t>
      </w:r>
    </w:p>
    <w:p w:rsidR="0038217D" w:rsidRPr="000B4749" w:rsidRDefault="009B633D" w:rsidP="0038217D">
      <w:pPr>
        <w:pStyle w:val="Heading2"/>
        <w:rPr>
          <w:sz w:val="22"/>
        </w:rPr>
      </w:pPr>
      <w:bookmarkStart w:id="19" w:name="_Toc457285506"/>
      <w:bookmarkStart w:id="20" w:name="_Toc58725294"/>
      <w:bookmarkStart w:id="21" w:name="_Toc151782184"/>
      <w:bookmarkStart w:id="22" w:name="_Toc158526224"/>
      <w:r w:rsidRPr="000B4749">
        <w:rPr>
          <w:sz w:val="24"/>
        </w:rPr>
        <w:t>9. Payments/Gifts to Respondents</w:t>
      </w:r>
      <w:bookmarkEnd w:id="19"/>
      <w:bookmarkEnd w:id="20"/>
      <w:bookmarkEnd w:id="21"/>
      <w:bookmarkEnd w:id="22"/>
    </w:p>
    <w:p w:rsidR="00B915F1" w:rsidRPr="000028ED" w:rsidRDefault="000028ED" w:rsidP="000028ED">
      <w:pPr>
        <w:spacing w:after="200" w:line="276" w:lineRule="auto"/>
        <w:rPr>
          <w:rFonts w:eastAsia="Calibri"/>
        </w:rPr>
      </w:pPr>
      <w:r w:rsidRPr="000028ED">
        <w:rPr>
          <w:rFonts w:eastAsia="Calibri"/>
        </w:rPr>
        <w:t>All respondents are being asked to complete the survey voluntarily. No payments will be provided for participation.</w:t>
      </w:r>
    </w:p>
    <w:p w:rsidR="009B633D" w:rsidRPr="00412C6F" w:rsidRDefault="009B633D" w:rsidP="009B633D">
      <w:pPr>
        <w:pStyle w:val="Heading2"/>
        <w:rPr>
          <w:sz w:val="24"/>
        </w:rPr>
      </w:pPr>
      <w:bookmarkStart w:id="23" w:name="_Toc151782185"/>
      <w:bookmarkStart w:id="24" w:name="_Toc158526225"/>
      <w:r w:rsidRPr="00412C6F">
        <w:rPr>
          <w:sz w:val="24"/>
        </w:rPr>
        <w:lastRenderedPageBreak/>
        <w:t>10. Assurance of Confidentiality</w:t>
      </w:r>
      <w:bookmarkEnd w:id="23"/>
      <w:bookmarkEnd w:id="24"/>
    </w:p>
    <w:p w:rsidR="000028ED" w:rsidRPr="00644FDF" w:rsidRDefault="000028ED" w:rsidP="000028ED">
      <w:pPr>
        <w:spacing w:line="276" w:lineRule="auto"/>
        <w:ind w:firstLine="720"/>
      </w:pPr>
      <w:r w:rsidRPr="00644FDF">
        <w:t xml:space="preserve">The surveys will also include the OMB control number, expiration date, and the Public Burden Statement.  This document specifies the Authority supporting the request for information, the purpose for its collection, the routine uses to which it will be put, the scope of anonymity in the use of personal identifiers and the voluntary nature of participation. </w:t>
      </w:r>
    </w:p>
    <w:p w:rsidR="000028ED" w:rsidRPr="000028ED" w:rsidRDefault="000028ED" w:rsidP="000028ED">
      <w:pPr>
        <w:spacing w:line="276" w:lineRule="auto"/>
        <w:ind w:firstLine="720"/>
      </w:pPr>
      <w:r w:rsidRPr="000028ED">
        <w:t xml:space="preserve">Email addresses provided by health care professionals at the time of taking the online educational activity will be used to contact learners for the survey described in this supporting statement.  The contractor involved in this survey, Hayes Inc., has signed a confidentiality agreement, assuring that any contact information and information provided by respondents will be used solely for the purposes of this survey.  Hayes is bound to keep this type of information confidential by its contract with AHRQ and the contract contains a data use agreement, which establishes AHRQ as the “owner” of this data. There will be an option at the end of the survey for learners to provide additional contact information if they are willing to be contacted by AHRQ about their experience. </w:t>
      </w:r>
    </w:p>
    <w:p w:rsidR="000028ED" w:rsidRPr="000028ED" w:rsidRDefault="000028ED" w:rsidP="000028ED">
      <w:pPr>
        <w:spacing w:line="276" w:lineRule="auto"/>
        <w:ind w:firstLine="720"/>
      </w:pPr>
      <w:r w:rsidRPr="00B3535B">
        <w:t xml:space="preserve">Survey participants will be notified via digitally signed email that </w:t>
      </w:r>
      <w:r w:rsidR="0001739D" w:rsidRPr="00B3535B">
        <w:t xml:space="preserve">contains a link to the posttest assessment, and describes that </w:t>
      </w:r>
      <w:r w:rsidRPr="00B3535B">
        <w:t>their information will be kept confidential, will not be released to third parties other than AHRQ, and will not be reported except in an aggregated manner.</w:t>
      </w:r>
      <w:r w:rsidRPr="000028ED">
        <w:t xml:space="preserve"> </w:t>
      </w:r>
    </w:p>
    <w:p w:rsidR="007208E0" w:rsidRPr="000028ED" w:rsidRDefault="000028ED" w:rsidP="000028ED">
      <w:pPr>
        <w:spacing w:line="276" w:lineRule="auto"/>
        <w:ind w:firstLine="720"/>
      </w:pPr>
      <w:r w:rsidRPr="000028ED">
        <w:t>The information collected will be handled using procedures designed to keep sensitive personal information secure</w:t>
      </w:r>
      <w:r w:rsidRPr="000028ED">
        <w:rPr>
          <w:rFonts w:eastAsia="Calibri"/>
        </w:rPr>
        <w:t xml:space="preserve">.  Electronic data files will be password protected and any files transferred will be encrypted and password protected.  </w:t>
      </w:r>
      <w:r w:rsidRPr="003D5337">
        <w:t xml:space="preserve">Upon completion of the fieldwork, data is extracted and processed using SPSS software. The finished SPSS (Statistical Package for Social Sciences) data file </w:t>
      </w:r>
      <w:r>
        <w:t>will</w:t>
      </w:r>
      <w:r w:rsidRPr="003D5337">
        <w:t xml:space="preserve"> not contain any identifiable information.</w:t>
      </w:r>
      <w:r w:rsidR="007208E0">
        <w:rPr>
          <w:i/>
        </w:rPr>
        <w:t xml:space="preserve"> </w:t>
      </w:r>
    </w:p>
    <w:p w:rsidR="00BB7136" w:rsidRPr="00706164" w:rsidRDefault="009B633D" w:rsidP="00075D4A">
      <w:pPr>
        <w:pStyle w:val="Heading2"/>
      </w:pPr>
      <w:bookmarkStart w:id="25" w:name="_Toc151782186"/>
      <w:bookmarkStart w:id="26" w:name="_Toc158526226"/>
      <w:r w:rsidRPr="00412C6F">
        <w:rPr>
          <w:sz w:val="24"/>
        </w:rPr>
        <w:t>11. Questions of a Sensitive Nature</w:t>
      </w:r>
      <w:bookmarkEnd w:id="25"/>
      <w:bookmarkEnd w:id="26"/>
    </w:p>
    <w:p w:rsidR="000B4749" w:rsidRPr="000B2BD0" w:rsidRDefault="000B4749" w:rsidP="000B4749">
      <w:pPr>
        <w:spacing w:after="200" w:line="276" w:lineRule="auto"/>
        <w:rPr>
          <w:rFonts w:eastAsia="Calibri"/>
        </w:rPr>
      </w:pPr>
      <w:r w:rsidRPr="00706164">
        <w:rPr>
          <w:rFonts w:eastAsia="Calibri"/>
        </w:rPr>
        <w:t xml:space="preserve">The survey does not contain questions that are considered sensitive in nature. </w:t>
      </w:r>
      <w:r w:rsidRPr="00075D4A">
        <w:rPr>
          <w:rFonts w:eastAsia="Calibri"/>
        </w:rPr>
        <w:t>Participants will be given the option to provide their contact information to enable follow up on their experience with the CME / CE and how it impacted their practice, but this question will not ask for anything beyond name and contact information (e.g.</w:t>
      </w:r>
      <w:r w:rsidR="000567A0" w:rsidRPr="00075D4A">
        <w:rPr>
          <w:rFonts w:eastAsia="Calibri"/>
        </w:rPr>
        <w:t>,</w:t>
      </w:r>
      <w:r w:rsidRPr="00075D4A">
        <w:rPr>
          <w:rFonts w:eastAsia="Calibri"/>
        </w:rPr>
        <w:t xml:space="preserve"> email address).</w:t>
      </w:r>
      <w:r w:rsidRPr="00706164">
        <w:rPr>
          <w:rFonts w:eastAsia="Calibri"/>
        </w:rPr>
        <w:t xml:space="preserve"> </w:t>
      </w:r>
    </w:p>
    <w:p w:rsidR="000B4749" w:rsidRDefault="000B4749" w:rsidP="00ED0EBB">
      <w:pPr>
        <w:rPr>
          <w:i/>
        </w:rPr>
      </w:pPr>
    </w:p>
    <w:p w:rsidR="00B3246C" w:rsidRDefault="00B3246C" w:rsidP="009B633D">
      <w:pPr>
        <w:pStyle w:val="Heading2"/>
        <w:rPr>
          <w:sz w:val="24"/>
        </w:rPr>
      </w:pPr>
      <w:bookmarkStart w:id="27" w:name="_Toc151782188"/>
      <w:bookmarkStart w:id="28" w:name="_Toc158526228"/>
    </w:p>
    <w:p w:rsidR="00B3246C" w:rsidRPr="00412C6F" w:rsidRDefault="00B3246C" w:rsidP="00B3246C">
      <w:pPr>
        <w:pStyle w:val="Heading2"/>
        <w:rPr>
          <w:sz w:val="24"/>
        </w:rPr>
      </w:pPr>
      <w:r w:rsidRPr="00412C6F">
        <w:rPr>
          <w:sz w:val="24"/>
        </w:rPr>
        <w:t>12. Estimates of Annualized Burden Hours and Costs</w:t>
      </w:r>
    </w:p>
    <w:p w:rsidR="00B3246C" w:rsidRDefault="00B3246C" w:rsidP="00B3246C">
      <w:pPr>
        <w:spacing w:after="200"/>
        <w:rPr>
          <w:rFonts w:eastAsia="Calibri"/>
        </w:rPr>
      </w:pPr>
      <w:r w:rsidRPr="00166566">
        <w:rPr>
          <w:rFonts w:eastAsia="Calibri"/>
        </w:rPr>
        <w:t xml:space="preserve">Exhibit </w:t>
      </w:r>
      <w:r>
        <w:rPr>
          <w:rFonts w:eastAsia="Calibri"/>
        </w:rPr>
        <w:t>1</w:t>
      </w:r>
      <w:r w:rsidRPr="00166566">
        <w:rPr>
          <w:rFonts w:eastAsia="Calibri"/>
        </w:rPr>
        <w:t xml:space="preserve"> provides information on the estimated time to complete the data collection survey.  These educational activities are enduring training modules and will be available for a 2-year period.  The survey will be administered to each individual 6 months after completing the training</w:t>
      </w:r>
      <w:r w:rsidRPr="008F66C4">
        <w:rPr>
          <w:rFonts w:eastAsia="Calibri"/>
        </w:rPr>
        <w:t xml:space="preserve">. As many as 4,400 health care professionals are expected to complete the survey, </w:t>
      </w:r>
      <w:r w:rsidRPr="008F66C4">
        <w:t>based on an average of 2,000 health care providers taking each module with a 10% response rate, or 200; 200 x 22 modules = 4,400</w:t>
      </w:r>
      <w:r w:rsidRPr="008F66C4">
        <w:rPr>
          <w:rFonts w:eastAsia="Calibri"/>
        </w:rPr>
        <w:t xml:space="preserve">. </w:t>
      </w:r>
      <w:r w:rsidRPr="00166566">
        <w:rPr>
          <w:rFonts w:eastAsia="Calibri"/>
        </w:rPr>
        <w:t xml:space="preserve">On average, </w:t>
      </w:r>
      <w:r w:rsidRPr="00166566">
        <w:rPr>
          <w:rFonts w:eastAsia="Calibri"/>
        </w:rPr>
        <w:lastRenderedPageBreak/>
        <w:t>respondents will spend 5 minutes completing the survey. Therefore the total burden for data collection for the survey is estimated at .08 x (# respondents) hours.</w:t>
      </w:r>
    </w:p>
    <w:p w:rsidR="00B3246C" w:rsidRDefault="00B3246C" w:rsidP="00B3246C">
      <w:pPr>
        <w:spacing w:after="200"/>
        <w:rPr>
          <w:rFonts w:eastAsia="Calibri"/>
        </w:rPr>
      </w:pPr>
    </w:p>
    <w:p w:rsidR="00B3246C" w:rsidRPr="003235B8" w:rsidRDefault="00B3246C" w:rsidP="00B3246C">
      <w:pPr>
        <w:spacing w:after="200" w:line="276" w:lineRule="auto"/>
        <w:rPr>
          <w:rFonts w:eastAsia="Calibri"/>
          <w:b/>
          <w:highlight w:val="yellow"/>
        </w:rPr>
      </w:pPr>
      <w:r w:rsidRPr="003235B8">
        <w:rPr>
          <w:rFonts w:eastAsia="Calibri"/>
          <w:b/>
        </w:rPr>
        <w:t xml:space="preserve">Exhibit 1: </w:t>
      </w:r>
      <w:r>
        <w:rPr>
          <w:rFonts w:eastAsia="Calibri"/>
          <w:b/>
        </w:rPr>
        <w:t xml:space="preserve">Estimated </w:t>
      </w:r>
      <w:r w:rsidRPr="003235B8">
        <w:rPr>
          <w:rFonts w:eastAsia="Calibri"/>
          <w:b/>
        </w:rPr>
        <w:t>Respondent Burden</w:t>
      </w:r>
    </w:p>
    <w:tbl>
      <w:tblPr>
        <w:tblW w:w="8460" w:type="dxa"/>
        <w:tblInd w:w="87" w:type="dxa"/>
        <w:tblBorders>
          <w:top w:val="single" w:sz="8" w:space="0" w:color="000000"/>
          <w:left w:val="single" w:sz="8" w:space="0" w:color="000000"/>
          <w:bottom w:val="single" w:sz="8" w:space="0" w:color="000000"/>
          <w:right w:val="single" w:sz="8" w:space="0" w:color="000000"/>
          <w:insideH w:val="single" w:sz="2" w:space="0" w:color="000000"/>
          <w:insideV w:val="single" w:sz="2" w:space="0" w:color="000000"/>
        </w:tblBorders>
        <w:tblLayout w:type="fixed"/>
        <w:tblCellMar>
          <w:left w:w="87" w:type="dxa"/>
          <w:right w:w="87" w:type="dxa"/>
        </w:tblCellMar>
        <w:tblLook w:val="0000" w:firstRow="0" w:lastRow="0" w:firstColumn="0" w:lastColumn="0" w:noHBand="0" w:noVBand="0"/>
      </w:tblPr>
      <w:tblGrid>
        <w:gridCol w:w="1170"/>
        <w:gridCol w:w="1170"/>
        <w:gridCol w:w="1170"/>
        <w:gridCol w:w="1260"/>
        <w:gridCol w:w="1170"/>
        <w:gridCol w:w="1260"/>
        <w:gridCol w:w="1260"/>
      </w:tblGrid>
      <w:tr w:rsidR="00B3246C" w:rsidRPr="006C265F" w:rsidTr="00041CF5">
        <w:tc>
          <w:tcPr>
            <w:tcW w:w="1170" w:type="dxa"/>
            <w:tcBorders>
              <w:top w:val="single" w:sz="8" w:space="0" w:color="000000"/>
              <w:bottom w:val="single" w:sz="2" w:space="0" w:color="000000"/>
            </w:tcBorders>
            <w:shd w:val="clear" w:color="C0C0C0" w:fill="E6E6E6"/>
          </w:tcPr>
          <w:p w:rsidR="00B3246C" w:rsidRPr="006C265F" w:rsidRDefault="00B3246C" w:rsidP="00041CF5">
            <w:pPr>
              <w:tabs>
                <w:tab w:val="left" w:pos="720"/>
                <w:tab w:val="left" w:pos="1080"/>
                <w:tab w:val="left" w:pos="1440"/>
                <w:tab w:val="left" w:pos="1800"/>
              </w:tabs>
              <w:spacing w:line="264" w:lineRule="auto"/>
              <w:rPr>
                <w:sz w:val="20"/>
                <w:szCs w:val="20"/>
              </w:rPr>
            </w:pPr>
          </w:p>
          <w:p w:rsidR="00B3246C" w:rsidRPr="006C265F" w:rsidRDefault="00B3246C" w:rsidP="00041CF5">
            <w:pPr>
              <w:tabs>
                <w:tab w:val="left" w:pos="720"/>
                <w:tab w:val="left" w:pos="1080"/>
                <w:tab w:val="left" w:pos="1440"/>
                <w:tab w:val="left" w:pos="1800"/>
              </w:tabs>
              <w:spacing w:line="264" w:lineRule="auto"/>
              <w:rPr>
                <w:b/>
                <w:sz w:val="20"/>
                <w:szCs w:val="20"/>
              </w:rPr>
            </w:pPr>
            <w:r w:rsidRPr="006C265F">
              <w:rPr>
                <w:b/>
                <w:sz w:val="20"/>
                <w:szCs w:val="20"/>
              </w:rPr>
              <w:t>A</w:t>
            </w:r>
          </w:p>
        </w:tc>
        <w:tc>
          <w:tcPr>
            <w:tcW w:w="1170" w:type="dxa"/>
            <w:tcBorders>
              <w:top w:val="single" w:sz="8" w:space="0" w:color="000000"/>
              <w:bottom w:val="single" w:sz="2" w:space="0" w:color="000000"/>
            </w:tcBorders>
            <w:shd w:val="clear" w:color="C0C0C0" w:fill="E6E6E6"/>
          </w:tcPr>
          <w:p w:rsidR="00B3246C" w:rsidRPr="006C265F" w:rsidRDefault="00B3246C" w:rsidP="00041CF5">
            <w:pPr>
              <w:tabs>
                <w:tab w:val="left" w:pos="720"/>
                <w:tab w:val="left" w:pos="1080"/>
                <w:tab w:val="left" w:pos="1440"/>
                <w:tab w:val="left" w:pos="1800"/>
              </w:tabs>
              <w:spacing w:line="264" w:lineRule="auto"/>
              <w:rPr>
                <w:b/>
                <w:sz w:val="20"/>
                <w:szCs w:val="20"/>
              </w:rPr>
            </w:pPr>
          </w:p>
          <w:p w:rsidR="00B3246C" w:rsidRPr="006C265F" w:rsidRDefault="00B3246C" w:rsidP="00041CF5">
            <w:pPr>
              <w:tabs>
                <w:tab w:val="left" w:pos="720"/>
                <w:tab w:val="left" w:pos="1080"/>
                <w:tab w:val="left" w:pos="1440"/>
                <w:tab w:val="left" w:pos="1800"/>
              </w:tabs>
              <w:spacing w:line="264" w:lineRule="auto"/>
              <w:rPr>
                <w:b/>
                <w:sz w:val="20"/>
                <w:szCs w:val="20"/>
              </w:rPr>
            </w:pPr>
            <w:r w:rsidRPr="006C265F">
              <w:rPr>
                <w:b/>
                <w:sz w:val="20"/>
                <w:szCs w:val="20"/>
              </w:rPr>
              <w:t>B</w:t>
            </w:r>
          </w:p>
        </w:tc>
        <w:tc>
          <w:tcPr>
            <w:tcW w:w="1170" w:type="dxa"/>
            <w:tcBorders>
              <w:top w:val="single" w:sz="8" w:space="0" w:color="000000"/>
              <w:bottom w:val="single" w:sz="2" w:space="0" w:color="000000"/>
            </w:tcBorders>
            <w:shd w:val="clear" w:color="C0C0C0" w:fill="E6E6E6"/>
          </w:tcPr>
          <w:p w:rsidR="00B3246C" w:rsidRPr="006C265F" w:rsidRDefault="00B3246C" w:rsidP="00041CF5">
            <w:pPr>
              <w:tabs>
                <w:tab w:val="left" w:pos="720"/>
                <w:tab w:val="left" w:pos="1080"/>
                <w:tab w:val="left" w:pos="1440"/>
                <w:tab w:val="left" w:pos="1800"/>
              </w:tabs>
              <w:spacing w:line="264" w:lineRule="auto"/>
              <w:rPr>
                <w:b/>
                <w:sz w:val="20"/>
                <w:szCs w:val="20"/>
              </w:rPr>
            </w:pPr>
          </w:p>
          <w:p w:rsidR="00B3246C" w:rsidRPr="006C265F" w:rsidRDefault="00B3246C" w:rsidP="00041CF5">
            <w:pPr>
              <w:tabs>
                <w:tab w:val="left" w:pos="720"/>
                <w:tab w:val="left" w:pos="1080"/>
                <w:tab w:val="left" w:pos="1440"/>
                <w:tab w:val="left" w:pos="1800"/>
              </w:tabs>
              <w:spacing w:line="264" w:lineRule="auto"/>
              <w:rPr>
                <w:b/>
                <w:sz w:val="20"/>
                <w:szCs w:val="20"/>
              </w:rPr>
            </w:pPr>
            <w:r w:rsidRPr="006C265F">
              <w:rPr>
                <w:b/>
                <w:sz w:val="20"/>
                <w:szCs w:val="20"/>
              </w:rPr>
              <w:t>C</w:t>
            </w:r>
          </w:p>
        </w:tc>
        <w:tc>
          <w:tcPr>
            <w:tcW w:w="1260" w:type="dxa"/>
            <w:tcBorders>
              <w:top w:val="single" w:sz="8" w:space="0" w:color="000000"/>
              <w:bottom w:val="single" w:sz="2" w:space="0" w:color="000000"/>
            </w:tcBorders>
            <w:shd w:val="clear" w:color="C0C0C0" w:fill="E6E6E6"/>
          </w:tcPr>
          <w:p w:rsidR="00B3246C" w:rsidRPr="006C265F" w:rsidRDefault="00B3246C" w:rsidP="00041CF5">
            <w:pPr>
              <w:tabs>
                <w:tab w:val="left" w:pos="720"/>
                <w:tab w:val="left" w:pos="1080"/>
                <w:tab w:val="left" w:pos="1440"/>
                <w:tab w:val="left" w:pos="1800"/>
              </w:tabs>
              <w:spacing w:line="264" w:lineRule="auto"/>
              <w:rPr>
                <w:b/>
                <w:sz w:val="20"/>
                <w:szCs w:val="20"/>
              </w:rPr>
            </w:pPr>
          </w:p>
          <w:p w:rsidR="00B3246C" w:rsidRPr="006C265F" w:rsidRDefault="00B3246C" w:rsidP="00041CF5">
            <w:pPr>
              <w:tabs>
                <w:tab w:val="left" w:pos="720"/>
                <w:tab w:val="left" w:pos="1080"/>
                <w:tab w:val="left" w:pos="1440"/>
                <w:tab w:val="left" w:pos="1800"/>
              </w:tabs>
              <w:spacing w:line="264" w:lineRule="auto"/>
              <w:rPr>
                <w:b/>
                <w:sz w:val="20"/>
                <w:szCs w:val="20"/>
              </w:rPr>
            </w:pPr>
            <w:r w:rsidRPr="006C265F">
              <w:rPr>
                <w:b/>
                <w:sz w:val="20"/>
                <w:szCs w:val="20"/>
              </w:rPr>
              <w:t>D</w:t>
            </w:r>
          </w:p>
        </w:tc>
        <w:tc>
          <w:tcPr>
            <w:tcW w:w="1170" w:type="dxa"/>
            <w:tcBorders>
              <w:top w:val="single" w:sz="8" w:space="0" w:color="000000"/>
              <w:bottom w:val="single" w:sz="2" w:space="0" w:color="000000"/>
            </w:tcBorders>
            <w:shd w:val="clear" w:color="C0C0C0" w:fill="E6E6E6"/>
          </w:tcPr>
          <w:p w:rsidR="00B3246C" w:rsidRPr="006C265F" w:rsidRDefault="00B3246C" w:rsidP="00041CF5">
            <w:pPr>
              <w:tabs>
                <w:tab w:val="left" w:pos="720"/>
                <w:tab w:val="left" w:pos="1080"/>
                <w:tab w:val="left" w:pos="1440"/>
                <w:tab w:val="left" w:pos="1800"/>
              </w:tabs>
              <w:spacing w:line="264" w:lineRule="auto"/>
              <w:rPr>
                <w:b/>
                <w:sz w:val="20"/>
                <w:szCs w:val="20"/>
              </w:rPr>
            </w:pPr>
          </w:p>
          <w:p w:rsidR="00B3246C" w:rsidRPr="006C265F" w:rsidRDefault="00B3246C" w:rsidP="00041CF5">
            <w:pPr>
              <w:tabs>
                <w:tab w:val="left" w:pos="720"/>
                <w:tab w:val="left" w:pos="1080"/>
                <w:tab w:val="left" w:pos="1440"/>
                <w:tab w:val="left" w:pos="1800"/>
              </w:tabs>
              <w:spacing w:line="264" w:lineRule="auto"/>
              <w:rPr>
                <w:b/>
                <w:sz w:val="20"/>
                <w:szCs w:val="20"/>
              </w:rPr>
            </w:pPr>
            <w:r w:rsidRPr="006C265F">
              <w:rPr>
                <w:b/>
                <w:sz w:val="20"/>
                <w:szCs w:val="20"/>
              </w:rPr>
              <w:t>E</w:t>
            </w:r>
          </w:p>
        </w:tc>
        <w:tc>
          <w:tcPr>
            <w:tcW w:w="1260" w:type="dxa"/>
            <w:tcBorders>
              <w:top w:val="single" w:sz="8" w:space="0" w:color="000000"/>
              <w:bottom w:val="single" w:sz="2" w:space="0" w:color="000000"/>
              <w:right w:val="single" w:sz="12" w:space="0" w:color="000000"/>
            </w:tcBorders>
            <w:shd w:val="clear" w:color="C0C0C0" w:fill="E6E6E6"/>
          </w:tcPr>
          <w:p w:rsidR="00B3246C" w:rsidRPr="006C265F" w:rsidRDefault="00B3246C" w:rsidP="00041CF5">
            <w:pPr>
              <w:tabs>
                <w:tab w:val="left" w:pos="720"/>
                <w:tab w:val="left" w:pos="1080"/>
                <w:tab w:val="left" w:pos="1440"/>
                <w:tab w:val="left" w:pos="1800"/>
              </w:tabs>
              <w:spacing w:line="264" w:lineRule="auto"/>
              <w:rPr>
                <w:b/>
                <w:sz w:val="20"/>
                <w:szCs w:val="20"/>
              </w:rPr>
            </w:pPr>
          </w:p>
          <w:p w:rsidR="00B3246C" w:rsidRPr="006C265F" w:rsidRDefault="00B3246C" w:rsidP="00041CF5">
            <w:pPr>
              <w:tabs>
                <w:tab w:val="left" w:pos="720"/>
                <w:tab w:val="left" w:pos="1080"/>
                <w:tab w:val="left" w:pos="1440"/>
                <w:tab w:val="left" w:pos="1800"/>
              </w:tabs>
              <w:spacing w:line="264" w:lineRule="auto"/>
              <w:rPr>
                <w:b/>
                <w:sz w:val="20"/>
                <w:szCs w:val="20"/>
              </w:rPr>
            </w:pPr>
            <w:r w:rsidRPr="006C265F">
              <w:rPr>
                <w:b/>
                <w:sz w:val="20"/>
                <w:szCs w:val="20"/>
              </w:rPr>
              <w:t>F</w:t>
            </w:r>
          </w:p>
        </w:tc>
        <w:tc>
          <w:tcPr>
            <w:tcW w:w="1260" w:type="dxa"/>
            <w:tcBorders>
              <w:top w:val="single" w:sz="12" w:space="0" w:color="000000"/>
              <w:left w:val="single" w:sz="12" w:space="0" w:color="000000"/>
              <w:bottom w:val="single" w:sz="2" w:space="0" w:color="000000"/>
              <w:right w:val="single" w:sz="12" w:space="0" w:color="000000"/>
            </w:tcBorders>
            <w:shd w:val="clear" w:color="C0C0C0" w:fill="E6E6E6"/>
          </w:tcPr>
          <w:p w:rsidR="00B3246C" w:rsidRPr="006C265F" w:rsidRDefault="00B3246C" w:rsidP="00041CF5">
            <w:pPr>
              <w:tabs>
                <w:tab w:val="left" w:pos="720"/>
                <w:tab w:val="left" w:pos="1080"/>
                <w:tab w:val="left" w:pos="1440"/>
                <w:tab w:val="left" w:pos="1800"/>
              </w:tabs>
              <w:spacing w:line="264" w:lineRule="auto"/>
              <w:rPr>
                <w:b/>
                <w:sz w:val="20"/>
                <w:szCs w:val="20"/>
              </w:rPr>
            </w:pPr>
          </w:p>
          <w:p w:rsidR="00B3246C" w:rsidRPr="006C265F" w:rsidRDefault="00B3246C" w:rsidP="00041CF5">
            <w:pPr>
              <w:tabs>
                <w:tab w:val="left" w:pos="720"/>
                <w:tab w:val="left" w:pos="1080"/>
                <w:tab w:val="left" w:pos="1440"/>
                <w:tab w:val="left" w:pos="1800"/>
              </w:tabs>
              <w:spacing w:line="264" w:lineRule="auto"/>
              <w:rPr>
                <w:b/>
                <w:sz w:val="20"/>
                <w:szCs w:val="20"/>
              </w:rPr>
            </w:pPr>
            <w:r w:rsidRPr="006C265F">
              <w:rPr>
                <w:b/>
                <w:sz w:val="20"/>
                <w:szCs w:val="20"/>
              </w:rPr>
              <w:t>G</w:t>
            </w:r>
          </w:p>
        </w:tc>
      </w:tr>
      <w:tr w:rsidR="00B3246C" w:rsidRPr="006C265F" w:rsidTr="00041CF5">
        <w:tc>
          <w:tcPr>
            <w:tcW w:w="1170" w:type="dxa"/>
            <w:tcBorders>
              <w:top w:val="single" w:sz="2" w:space="0" w:color="000000"/>
            </w:tcBorders>
            <w:vAlign w:val="bottom"/>
          </w:tcPr>
          <w:p w:rsidR="00B3246C" w:rsidRPr="006C265F" w:rsidRDefault="00B3246C" w:rsidP="00041CF5">
            <w:pPr>
              <w:tabs>
                <w:tab w:val="left" w:pos="720"/>
                <w:tab w:val="left" w:pos="1080"/>
                <w:tab w:val="left" w:pos="1440"/>
                <w:tab w:val="left" w:pos="1800"/>
              </w:tabs>
              <w:spacing w:line="264" w:lineRule="auto"/>
              <w:rPr>
                <w:sz w:val="18"/>
                <w:szCs w:val="18"/>
              </w:rPr>
            </w:pPr>
          </w:p>
          <w:p w:rsidR="00B3246C" w:rsidRPr="006C265F" w:rsidRDefault="00B3246C" w:rsidP="00041CF5">
            <w:pPr>
              <w:tabs>
                <w:tab w:val="left" w:pos="720"/>
                <w:tab w:val="left" w:pos="1080"/>
                <w:tab w:val="left" w:pos="1440"/>
                <w:tab w:val="left" w:pos="1800"/>
              </w:tabs>
              <w:spacing w:line="264" w:lineRule="auto"/>
              <w:rPr>
                <w:sz w:val="18"/>
                <w:szCs w:val="18"/>
              </w:rPr>
            </w:pPr>
            <w:r w:rsidRPr="006C265F">
              <w:rPr>
                <w:sz w:val="18"/>
                <w:szCs w:val="18"/>
              </w:rPr>
              <w:t>Estimated Number of Respondents</w:t>
            </w:r>
          </w:p>
        </w:tc>
        <w:tc>
          <w:tcPr>
            <w:tcW w:w="1170" w:type="dxa"/>
            <w:tcBorders>
              <w:top w:val="single" w:sz="2" w:space="0" w:color="000000"/>
            </w:tcBorders>
            <w:vAlign w:val="bottom"/>
          </w:tcPr>
          <w:p w:rsidR="00B3246C" w:rsidRPr="006C265F" w:rsidRDefault="00B3246C" w:rsidP="00041CF5">
            <w:pPr>
              <w:tabs>
                <w:tab w:val="left" w:pos="720"/>
                <w:tab w:val="left" w:pos="1080"/>
                <w:tab w:val="left" w:pos="1440"/>
                <w:tab w:val="left" w:pos="1800"/>
              </w:tabs>
              <w:spacing w:line="264" w:lineRule="auto"/>
              <w:rPr>
                <w:sz w:val="18"/>
                <w:szCs w:val="18"/>
              </w:rPr>
            </w:pPr>
          </w:p>
          <w:p w:rsidR="00B3246C" w:rsidRPr="006C265F" w:rsidRDefault="00B3246C" w:rsidP="00041CF5">
            <w:pPr>
              <w:tabs>
                <w:tab w:val="left" w:pos="720"/>
                <w:tab w:val="left" w:pos="1080"/>
                <w:tab w:val="left" w:pos="1440"/>
                <w:tab w:val="left" w:pos="1800"/>
              </w:tabs>
              <w:spacing w:line="264" w:lineRule="auto"/>
              <w:rPr>
                <w:sz w:val="18"/>
                <w:szCs w:val="18"/>
              </w:rPr>
            </w:pPr>
            <w:r w:rsidRPr="006C265F">
              <w:rPr>
                <w:sz w:val="18"/>
                <w:szCs w:val="18"/>
              </w:rPr>
              <w:t>Average Burden per Respondent</w:t>
            </w:r>
          </w:p>
          <w:p w:rsidR="00B3246C" w:rsidRPr="006C265F" w:rsidRDefault="00B3246C" w:rsidP="00041CF5">
            <w:pPr>
              <w:tabs>
                <w:tab w:val="left" w:pos="720"/>
                <w:tab w:val="left" w:pos="1080"/>
                <w:tab w:val="left" w:pos="1440"/>
                <w:tab w:val="left" w:pos="1800"/>
              </w:tabs>
              <w:spacing w:line="264" w:lineRule="auto"/>
              <w:rPr>
                <w:sz w:val="18"/>
                <w:szCs w:val="18"/>
              </w:rPr>
            </w:pPr>
            <w:r w:rsidRPr="006C265F">
              <w:rPr>
                <w:sz w:val="18"/>
                <w:szCs w:val="18"/>
              </w:rPr>
              <w:t>(Minutes)</w:t>
            </w:r>
          </w:p>
        </w:tc>
        <w:tc>
          <w:tcPr>
            <w:tcW w:w="1170" w:type="dxa"/>
            <w:tcBorders>
              <w:top w:val="single" w:sz="2" w:space="0" w:color="000000"/>
            </w:tcBorders>
            <w:vAlign w:val="bottom"/>
          </w:tcPr>
          <w:p w:rsidR="00B3246C" w:rsidRPr="006C265F" w:rsidRDefault="00B3246C" w:rsidP="00041CF5">
            <w:pPr>
              <w:tabs>
                <w:tab w:val="left" w:pos="720"/>
                <w:tab w:val="left" w:pos="1080"/>
                <w:tab w:val="left" w:pos="1440"/>
                <w:tab w:val="left" w:pos="1800"/>
              </w:tabs>
              <w:spacing w:line="264" w:lineRule="auto"/>
              <w:rPr>
                <w:sz w:val="18"/>
                <w:szCs w:val="18"/>
              </w:rPr>
            </w:pPr>
          </w:p>
          <w:p w:rsidR="00B3246C" w:rsidRPr="006C265F" w:rsidRDefault="00B3246C" w:rsidP="00041CF5">
            <w:pPr>
              <w:tabs>
                <w:tab w:val="left" w:pos="720"/>
                <w:tab w:val="left" w:pos="1080"/>
                <w:tab w:val="left" w:pos="1440"/>
                <w:tab w:val="left" w:pos="1800"/>
              </w:tabs>
              <w:spacing w:line="264" w:lineRule="auto"/>
              <w:rPr>
                <w:sz w:val="18"/>
                <w:szCs w:val="18"/>
              </w:rPr>
            </w:pPr>
            <w:r w:rsidRPr="006C265F">
              <w:rPr>
                <w:sz w:val="18"/>
                <w:szCs w:val="18"/>
              </w:rPr>
              <w:t>Total Annual Burden</w:t>
            </w:r>
          </w:p>
          <w:p w:rsidR="00B3246C" w:rsidRPr="006C265F" w:rsidRDefault="00B3246C" w:rsidP="00041CF5">
            <w:pPr>
              <w:tabs>
                <w:tab w:val="left" w:pos="720"/>
                <w:tab w:val="left" w:pos="1080"/>
                <w:tab w:val="left" w:pos="1440"/>
                <w:tab w:val="left" w:pos="1800"/>
              </w:tabs>
              <w:spacing w:line="264" w:lineRule="auto"/>
              <w:rPr>
                <w:sz w:val="18"/>
                <w:szCs w:val="18"/>
              </w:rPr>
            </w:pPr>
            <w:r w:rsidRPr="006C265F">
              <w:rPr>
                <w:sz w:val="18"/>
                <w:szCs w:val="18"/>
              </w:rPr>
              <w:t>(Minutes)</w:t>
            </w:r>
          </w:p>
        </w:tc>
        <w:tc>
          <w:tcPr>
            <w:tcW w:w="1260" w:type="dxa"/>
            <w:tcBorders>
              <w:top w:val="single" w:sz="2" w:space="0" w:color="000000"/>
            </w:tcBorders>
            <w:vAlign w:val="bottom"/>
          </w:tcPr>
          <w:p w:rsidR="00B3246C" w:rsidRPr="006C265F" w:rsidRDefault="00B3246C" w:rsidP="00041CF5">
            <w:pPr>
              <w:tabs>
                <w:tab w:val="left" w:pos="720"/>
                <w:tab w:val="left" w:pos="1080"/>
                <w:tab w:val="left" w:pos="1440"/>
                <w:tab w:val="left" w:pos="1800"/>
              </w:tabs>
              <w:spacing w:line="264" w:lineRule="auto"/>
              <w:rPr>
                <w:sz w:val="18"/>
                <w:szCs w:val="18"/>
              </w:rPr>
            </w:pPr>
          </w:p>
          <w:p w:rsidR="00B3246C" w:rsidRPr="006C265F" w:rsidRDefault="00B3246C" w:rsidP="00041CF5">
            <w:pPr>
              <w:tabs>
                <w:tab w:val="left" w:pos="720"/>
                <w:tab w:val="left" w:pos="1080"/>
                <w:tab w:val="left" w:pos="1440"/>
                <w:tab w:val="left" w:pos="1800"/>
              </w:tabs>
              <w:spacing w:line="264" w:lineRule="auto"/>
              <w:rPr>
                <w:sz w:val="18"/>
                <w:szCs w:val="18"/>
              </w:rPr>
            </w:pPr>
            <w:r w:rsidRPr="006C265F">
              <w:rPr>
                <w:sz w:val="18"/>
                <w:szCs w:val="18"/>
              </w:rPr>
              <w:t>Number of Responses per Respondent</w:t>
            </w:r>
          </w:p>
        </w:tc>
        <w:tc>
          <w:tcPr>
            <w:tcW w:w="1170" w:type="dxa"/>
            <w:tcBorders>
              <w:top w:val="single" w:sz="2" w:space="0" w:color="000000"/>
            </w:tcBorders>
            <w:vAlign w:val="bottom"/>
          </w:tcPr>
          <w:p w:rsidR="00B3246C" w:rsidRPr="006C265F" w:rsidRDefault="00B3246C" w:rsidP="00041CF5">
            <w:pPr>
              <w:tabs>
                <w:tab w:val="left" w:pos="720"/>
                <w:tab w:val="left" w:pos="1080"/>
                <w:tab w:val="left" w:pos="1440"/>
                <w:tab w:val="left" w:pos="1800"/>
              </w:tabs>
              <w:spacing w:line="264" w:lineRule="auto"/>
              <w:rPr>
                <w:sz w:val="18"/>
                <w:szCs w:val="18"/>
              </w:rPr>
            </w:pPr>
            <w:r w:rsidRPr="006C265F">
              <w:rPr>
                <w:sz w:val="18"/>
                <w:szCs w:val="18"/>
              </w:rPr>
              <w:t>Total Respondent Burden</w:t>
            </w:r>
          </w:p>
          <w:p w:rsidR="00B3246C" w:rsidRPr="006C265F" w:rsidRDefault="00B3246C" w:rsidP="00041CF5">
            <w:pPr>
              <w:tabs>
                <w:tab w:val="left" w:pos="720"/>
                <w:tab w:val="left" w:pos="1080"/>
                <w:tab w:val="left" w:pos="1440"/>
                <w:tab w:val="left" w:pos="1800"/>
              </w:tabs>
              <w:spacing w:line="264" w:lineRule="auto"/>
              <w:rPr>
                <w:sz w:val="18"/>
                <w:szCs w:val="18"/>
              </w:rPr>
            </w:pPr>
            <w:r w:rsidRPr="006C265F">
              <w:rPr>
                <w:sz w:val="18"/>
                <w:szCs w:val="18"/>
              </w:rPr>
              <w:t>(Minutes)</w:t>
            </w:r>
          </w:p>
        </w:tc>
        <w:tc>
          <w:tcPr>
            <w:tcW w:w="1260" w:type="dxa"/>
            <w:tcBorders>
              <w:top w:val="single" w:sz="2" w:space="0" w:color="000000"/>
              <w:right w:val="single" w:sz="12" w:space="0" w:color="000000"/>
            </w:tcBorders>
            <w:vAlign w:val="bottom"/>
          </w:tcPr>
          <w:p w:rsidR="00B3246C" w:rsidRPr="006C265F" w:rsidRDefault="00B3246C" w:rsidP="00041CF5">
            <w:pPr>
              <w:tabs>
                <w:tab w:val="left" w:pos="720"/>
                <w:tab w:val="left" w:pos="1080"/>
                <w:tab w:val="left" w:pos="1440"/>
                <w:tab w:val="left" w:pos="1800"/>
              </w:tabs>
              <w:spacing w:line="264" w:lineRule="auto"/>
              <w:rPr>
                <w:sz w:val="18"/>
                <w:szCs w:val="18"/>
              </w:rPr>
            </w:pPr>
            <w:r w:rsidRPr="006C265F">
              <w:rPr>
                <w:sz w:val="18"/>
                <w:szCs w:val="18"/>
              </w:rPr>
              <w:t>Total Burden per Respondent</w:t>
            </w:r>
          </w:p>
          <w:p w:rsidR="00B3246C" w:rsidRPr="006C265F" w:rsidRDefault="00B3246C" w:rsidP="00041CF5">
            <w:pPr>
              <w:tabs>
                <w:tab w:val="left" w:pos="720"/>
                <w:tab w:val="left" w:pos="1080"/>
                <w:tab w:val="left" w:pos="1440"/>
                <w:tab w:val="left" w:pos="1800"/>
              </w:tabs>
              <w:spacing w:line="264" w:lineRule="auto"/>
              <w:rPr>
                <w:sz w:val="18"/>
                <w:szCs w:val="18"/>
              </w:rPr>
            </w:pPr>
            <w:r w:rsidRPr="006C265F">
              <w:rPr>
                <w:sz w:val="18"/>
                <w:szCs w:val="18"/>
              </w:rPr>
              <w:t>(Minutes)</w:t>
            </w:r>
          </w:p>
        </w:tc>
        <w:tc>
          <w:tcPr>
            <w:tcW w:w="1260" w:type="dxa"/>
            <w:tcBorders>
              <w:top w:val="single" w:sz="2" w:space="0" w:color="000000"/>
              <w:left w:val="single" w:sz="12" w:space="0" w:color="000000"/>
              <w:bottom w:val="single" w:sz="2" w:space="0" w:color="000000"/>
              <w:right w:val="single" w:sz="12" w:space="0" w:color="000000"/>
            </w:tcBorders>
            <w:vAlign w:val="bottom"/>
          </w:tcPr>
          <w:p w:rsidR="00B3246C" w:rsidRPr="006C265F" w:rsidRDefault="00B3246C" w:rsidP="00041CF5">
            <w:pPr>
              <w:tabs>
                <w:tab w:val="left" w:pos="720"/>
                <w:tab w:val="left" w:pos="1080"/>
                <w:tab w:val="left" w:pos="1440"/>
                <w:tab w:val="left" w:pos="1800"/>
              </w:tabs>
              <w:spacing w:line="264" w:lineRule="auto"/>
              <w:rPr>
                <w:sz w:val="18"/>
                <w:szCs w:val="18"/>
              </w:rPr>
            </w:pPr>
          </w:p>
          <w:p w:rsidR="00B3246C" w:rsidRPr="006C265F" w:rsidRDefault="00B3246C" w:rsidP="00041CF5">
            <w:pPr>
              <w:tabs>
                <w:tab w:val="left" w:pos="720"/>
                <w:tab w:val="left" w:pos="1080"/>
                <w:tab w:val="left" w:pos="1440"/>
                <w:tab w:val="left" w:pos="1800"/>
              </w:tabs>
              <w:spacing w:line="264" w:lineRule="auto"/>
              <w:rPr>
                <w:sz w:val="18"/>
                <w:szCs w:val="18"/>
              </w:rPr>
            </w:pPr>
            <w:r w:rsidRPr="006C265F">
              <w:rPr>
                <w:sz w:val="18"/>
                <w:szCs w:val="18"/>
              </w:rPr>
              <w:t xml:space="preserve">Total </w:t>
            </w:r>
          </w:p>
          <w:p w:rsidR="00B3246C" w:rsidRPr="006C265F" w:rsidRDefault="00B3246C" w:rsidP="00041CF5">
            <w:pPr>
              <w:tabs>
                <w:tab w:val="left" w:pos="720"/>
                <w:tab w:val="left" w:pos="1080"/>
                <w:tab w:val="left" w:pos="1440"/>
                <w:tab w:val="left" w:pos="1800"/>
              </w:tabs>
              <w:spacing w:line="264" w:lineRule="auto"/>
              <w:rPr>
                <w:sz w:val="18"/>
                <w:szCs w:val="18"/>
              </w:rPr>
            </w:pPr>
            <w:r w:rsidRPr="006C265F">
              <w:rPr>
                <w:sz w:val="18"/>
                <w:szCs w:val="18"/>
              </w:rPr>
              <w:t>Respondent Burden</w:t>
            </w:r>
          </w:p>
          <w:p w:rsidR="00B3246C" w:rsidRPr="006C265F" w:rsidRDefault="00B3246C" w:rsidP="00041CF5">
            <w:pPr>
              <w:tabs>
                <w:tab w:val="left" w:pos="720"/>
                <w:tab w:val="left" w:pos="1080"/>
                <w:tab w:val="left" w:pos="1440"/>
                <w:tab w:val="left" w:pos="1800"/>
              </w:tabs>
              <w:spacing w:line="264" w:lineRule="auto"/>
              <w:rPr>
                <w:sz w:val="18"/>
                <w:szCs w:val="18"/>
              </w:rPr>
            </w:pPr>
            <w:r w:rsidRPr="006C265F">
              <w:rPr>
                <w:sz w:val="18"/>
                <w:szCs w:val="18"/>
              </w:rPr>
              <w:t>(Hours)</w:t>
            </w:r>
          </w:p>
        </w:tc>
      </w:tr>
      <w:tr w:rsidR="00B3246C" w:rsidRPr="006C265F" w:rsidTr="00041CF5">
        <w:tc>
          <w:tcPr>
            <w:tcW w:w="1170" w:type="dxa"/>
          </w:tcPr>
          <w:p w:rsidR="00B3246C" w:rsidRPr="006C265F" w:rsidRDefault="00B3246C" w:rsidP="00041CF5">
            <w:pPr>
              <w:tabs>
                <w:tab w:val="left" w:pos="720"/>
                <w:tab w:val="left" w:pos="1080"/>
                <w:tab w:val="left" w:pos="1440"/>
                <w:tab w:val="left" w:pos="1800"/>
              </w:tabs>
              <w:spacing w:line="264" w:lineRule="auto"/>
              <w:rPr>
                <w:sz w:val="18"/>
                <w:szCs w:val="20"/>
              </w:rPr>
            </w:pPr>
          </w:p>
          <w:p w:rsidR="00B3246C" w:rsidRPr="006C265F" w:rsidRDefault="00B3246C" w:rsidP="00041CF5">
            <w:pPr>
              <w:tabs>
                <w:tab w:val="left" w:pos="720"/>
                <w:tab w:val="left" w:pos="1080"/>
                <w:tab w:val="left" w:pos="1440"/>
                <w:tab w:val="left" w:pos="1800"/>
              </w:tabs>
              <w:spacing w:line="264" w:lineRule="auto"/>
              <w:rPr>
                <w:sz w:val="18"/>
                <w:szCs w:val="20"/>
              </w:rPr>
            </w:pPr>
          </w:p>
        </w:tc>
        <w:tc>
          <w:tcPr>
            <w:tcW w:w="1170" w:type="dxa"/>
          </w:tcPr>
          <w:p w:rsidR="00B3246C" w:rsidRPr="006C265F" w:rsidRDefault="00B3246C" w:rsidP="00041CF5">
            <w:pPr>
              <w:tabs>
                <w:tab w:val="left" w:pos="720"/>
                <w:tab w:val="left" w:pos="1080"/>
                <w:tab w:val="left" w:pos="1440"/>
                <w:tab w:val="left" w:pos="1800"/>
              </w:tabs>
              <w:spacing w:line="264" w:lineRule="auto"/>
              <w:rPr>
                <w:sz w:val="18"/>
                <w:szCs w:val="20"/>
              </w:rPr>
            </w:pPr>
          </w:p>
          <w:p w:rsidR="00B3246C" w:rsidRPr="006C265F" w:rsidRDefault="00B3246C" w:rsidP="00041CF5">
            <w:pPr>
              <w:tabs>
                <w:tab w:val="left" w:pos="720"/>
                <w:tab w:val="left" w:pos="1080"/>
                <w:tab w:val="left" w:pos="1440"/>
                <w:tab w:val="left" w:pos="1800"/>
              </w:tabs>
              <w:spacing w:line="264" w:lineRule="auto"/>
              <w:rPr>
                <w:sz w:val="18"/>
                <w:szCs w:val="20"/>
              </w:rPr>
            </w:pPr>
          </w:p>
        </w:tc>
        <w:tc>
          <w:tcPr>
            <w:tcW w:w="1170" w:type="dxa"/>
          </w:tcPr>
          <w:p w:rsidR="00B3246C" w:rsidRPr="006C265F" w:rsidRDefault="00B3246C" w:rsidP="00041CF5">
            <w:pPr>
              <w:tabs>
                <w:tab w:val="left" w:pos="720"/>
                <w:tab w:val="left" w:pos="1080"/>
                <w:tab w:val="left" w:pos="1440"/>
                <w:tab w:val="left" w:pos="1800"/>
              </w:tabs>
              <w:spacing w:line="264" w:lineRule="auto"/>
              <w:rPr>
                <w:sz w:val="18"/>
                <w:szCs w:val="20"/>
              </w:rPr>
            </w:pPr>
          </w:p>
          <w:p w:rsidR="00B3246C" w:rsidRPr="006C265F" w:rsidRDefault="00B3246C" w:rsidP="00041CF5">
            <w:pPr>
              <w:tabs>
                <w:tab w:val="left" w:pos="720"/>
                <w:tab w:val="left" w:pos="1080"/>
                <w:tab w:val="left" w:pos="1440"/>
                <w:tab w:val="left" w:pos="1800"/>
              </w:tabs>
              <w:spacing w:line="264" w:lineRule="auto"/>
              <w:rPr>
                <w:sz w:val="18"/>
                <w:szCs w:val="20"/>
              </w:rPr>
            </w:pPr>
            <w:r w:rsidRPr="006C265F">
              <w:rPr>
                <w:sz w:val="18"/>
                <w:szCs w:val="20"/>
              </w:rPr>
              <w:t>(A*B)</w:t>
            </w:r>
          </w:p>
        </w:tc>
        <w:tc>
          <w:tcPr>
            <w:tcW w:w="1260" w:type="dxa"/>
          </w:tcPr>
          <w:p w:rsidR="00B3246C" w:rsidRPr="006C265F" w:rsidRDefault="00B3246C" w:rsidP="00041CF5">
            <w:pPr>
              <w:tabs>
                <w:tab w:val="left" w:pos="720"/>
                <w:tab w:val="left" w:pos="1080"/>
                <w:tab w:val="left" w:pos="1440"/>
                <w:tab w:val="left" w:pos="1800"/>
              </w:tabs>
              <w:spacing w:line="264" w:lineRule="auto"/>
              <w:rPr>
                <w:sz w:val="18"/>
                <w:szCs w:val="20"/>
              </w:rPr>
            </w:pPr>
          </w:p>
          <w:p w:rsidR="00B3246C" w:rsidRPr="006C265F" w:rsidRDefault="00B3246C" w:rsidP="00041CF5">
            <w:pPr>
              <w:tabs>
                <w:tab w:val="left" w:pos="720"/>
                <w:tab w:val="left" w:pos="1080"/>
                <w:tab w:val="left" w:pos="1440"/>
                <w:tab w:val="left" w:pos="1800"/>
              </w:tabs>
              <w:spacing w:line="264" w:lineRule="auto"/>
              <w:rPr>
                <w:sz w:val="18"/>
                <w:szCs w:val="20"/>
              </w:rPr>
            </w:pPr>
          </w:p>
        </w:tc>
        <w:tc>
          <w:tcPr>
            <w:tcW w:w="1170" w:type="dxa"/>
          </w:tcPr>
          <w:p w:rsidR="00B3246C" w:rsidRPr="006C265F" w:rsidRDefault="00B3246C" w:rsidP="00041CF5">
            <w:pPr>
              <w:tabs>
                <w:tab w:val="left" w:pos="720"/>
                <w:tab w:val="left" w:pos="1080"/>
                <w:tab w:val="left" w:pos="1440"/>
                <w:tab w:val="left" w:pos="1800"/>
              </w:tabs>
              <w:spacing w:line="264" w:lineRule="auto"/>
              <w:rPr>
                <w:sz w:val="18"/>
                <w:szCs w:val="20"/>
              </w:rPr>
            </w:pPr>
          </w:p>
          <w:p w:rsidR="00B3246C" w:rsidRPr="006C265F" w:rsidRDefault="00B3246C" w:rsidP="00041CF5">
            <w:pPr>
              <w:tabs>
                <w:tab w:val="left" w:pos="720"/>
                <w:tab w:val="left" w:pos="1080"/>
                <w:tab w:val="left" w:pos="1440"/>
                <w:tab w:val="left" w:pos="1800"/>
              </w:tabs>
              <w:spacing w:line="264" w:lineRule="auto"/>
              <w:rPr>
                <w:sz w:val="18"/>
                <w:szCs w:val="20"/>
              </w:rPr>
            </w:pPr>
            <w:r w:rsidRPr="006C265F">
              <w:rPr>
                <w:sz w:val="18"/>
                <w:szCs w:val="20"/>
              </w:rPr>
              <w:t>(C*D)</w:t>
            </w:r>
          </w:p>
        </w:tc>
        <w:tc>
          <w:tcPr>
            <w:tcW w:w="1260" w:type="dxa"/>
            <w:tcBorders>
              <w:right w:val="single" w:sz="12" w:space="0" w:color="000000"/>
            </w:tcBorders>
          </w:tcPr>
          <w:p w:rsidR="00B3246C" w:rsidRPr="006C265F" w:rsidRDefault="00B3246C" w:rsidP="00041CF5">
            <w:pPr>
              <w:tabs>
                <w:tab w:val="left" w:pos="720"/>
                <w:tab w:val="left" w:pos="1080"/>
                <w:tab w:val="left" w:pos="1440"/>
                <w:tab w:val="left" w:pos="1800"/>
              </w:tabs>
              <w:spacing w:line="264" w:lineRule="auto"/>
              <w:rPr>
                <w:sz w:val="18"/>
                <w:szCs w:val="20"/>
              </w:rPr>
            </w:pPr>
          </w:p>
          <w:p w:rsidR="00B3246C" w:rsidRPr="006C265F" w:rsidRDefault="00B3246C" w:rsidP="00041CF5">
            <w:pPr>
              <w:tabs>
                <w:tab w:val="left" w:pos="720"/>
                <w:tab w:val="left" w:pos="1080"/>
                <w:tab w:val="left" w:pos="1440"/>
                <w:tab w:val="left" w:pos="1800"/>
              </w:tabs>
              <w:spacing w:line="264" w:lineRule="auto"/>
              <w:rPr>
                <w:sz w:val="18"/>
                <w:szCs w:val="20"/>
              </w:rPr>
            </w:pPr>
            <w:r w:rsidRPr="006C265F">
              <w:rPr>
                <w:sz w:val="18"/>
                <w:szCs w:val="20"/>
              </w:rPr>
              <w:t>(B*D)</w:t>
            </w:r>
          </w:p>
        </w:tc>
        <w:tc>
          <w:tcPr>
            <w:tcW w:w="1260" w:type="dxa"/>
            <w:tcBorders>
              <w:top w:val="single" w:sz="2" w:space="0" w:color="000000"/>
              <w:left w:val="single" w:sz="12" w:space="0" w:color="000000"/>
              <w:bottom w:val="single" w:sz="2" w:space="0" w:color="000000"/>
              <w:right w:val="single" w:sz="12" w:space="0" w:color="000000"/>
            </w:tcBorders>
          </w:tcPr>
          <w:p w:rsidR="00B3246C" w:rsidRPr="006C265F" w:rsidRDefault="00B3246C" w:rsidP="00041CF5">
            <w:pPr>
              <w:tabs>
                <w:tab w:val="left" w:pos="720"/>
                <w:tab w:val="left" w:pos="1080"/>
                <w:tab w:val="left" w:pos="1440"/>
                <w:tab w:val="left" w:pos="1800"/>
              </w:tabs>
              <w:spacing w:line="264" w:lineRule="auto"/>
              <w:rPr>
                <w:sz w:val="18"/>
                <w:szCs w:val="20"/>
              </w:rPr>
            </w:pPr>
          </w:p>
          <w:p w:rsidR="00B3246C" w:rsidRPr="006C265F" w:rsidRDefault="00B3246C" w:rsidP="00041CF5">
            <w:pPr>
              <w:tabs>
                <w:tab w:val="left" w:pos="720"/>
                <w:tab w:val="left" w:pos="1080"/>
                <w:tab w:val="left" w:pos="1440"/>
                <w:tab w:val="left" w:pos="1800"/>
              </w:tabs>
              <w:spacing w:line="264" w:lineRule="auto"/>
              <w:rPr>
                <w:sz w:val="18"/>
                <w:szCs w:val="20"/>
              </w:rPr>
            </w:pPr>
            <w:r w:rsidRPr="006C265F">
              <w:rPr>
                <w:sz w:val="18"/>
                <w:szCs w:val="20"/>
              </w:rPr>
              <w:t>(E/60)</w:t>
            </w:r>
          </w:p>
        </w:tc>
      </w:tr>
      <w:tr w:rsidR="00B3246C" w:rsidRPr="006C265F" w:rsidTr="00041CF5">
        <w:trPr>
          <w:trHeight w:val="485"/>
        </w:trPr>
        <w:tc>
          <w:tcPr>
            <w:tcW w:w="1170" w:type="dxa"/>
            <w:vAlign w:val="center"/>
          </w:tcPr>
          <w:p w:rsidR="00B3246C" w:rsidRPr="006C265F" w:rsidRDefault="00B3246C" w:rsidP="00041CF5">
            <w:pPr>
              <w:tabs>
                <w:tab w:val="left" w:pos="720"/>
                <w:tab w:val="left" w:pos="1080"/>
                <w:tab w:val="left" w:pos="1440"/>
                <w:tab w:val="left" w:pos="1800"/>
              </w:tabs>
              <w:spacing w:line="264" w:lineRule="auto"/>
              <w:jc w:val="center"/>
              <w:rPr>
                <w:sz w:val="20"/>
                <w:szCs w:val="20"/>
              </w:rPr>
            </w:pPr>
            <w:r w:rsidRPr="00D32A67">
              <w:rPr>
                <w:color w:val="000000"/>
                <w:sz w:val="20"/>
                <w:szCs w:val="22"/>
              </w:rPr>
              <w:t>4400</w:t>
            </w:r>
          </w:p>
        </w:tc>
        <w:tc>
          <w:tcPr>
            <w:tcW w:w="1170" w:type="dxa"/>
            <w:vAlign w:val="center"/>
          </w:tcPr>
          <w:p w:rsidR="00B3246C" w:rsidRPr="006C265F" w:rsidRDefault="00B3246C" w:rsidP="00041CF5">
            <w:pPr>
              <w:tabs>
                <w:tab w:val="left" w:pos="720"/>
                <w:tab w:val="left" w:pos="1080"/>
                <w:tab w:val="left" w:pos="1440"/>
                <w:tab w:val="left" w:pos="1800"/>
              </w:tabs>
              <w:spacing w:line="264" w:lineRule="auto"/>
              <w:jc w:val="center"/>
              <w:rPr>
                <w:sz w:val="20"/>
                <w:szCs w:val="20"/>
              </w:rPr>
            </w:pPr>
            <w:r w:rsidRPr="006C265F">
              <w:rPr>
                <w:sz w:val="20"/>
                <w:szCs w:val="20"/>
              </w:rPr>
              <w:t>5</w:t>
            </w:r>
          </w:p>
        </w:tc>
        <w:tc>
          <w:tcPr>
            <w:tcW w:w="1170" w:type="dxa"/>
            <w:vAlign w:val="center"/>
          </w:tcPr>
          <w:p w:rsidR="00B3246C" w:rsidRPr="006C265F" w:rsidRDefault="00B3246C" w:rsidP="00041CF5">
            <w:pPr>
              <w:jc w:val="center"/>
              <w:rPr>
                <w:sz w:val="20"/>
                <w:szCs w:val="20"/>
              </w:rPr>
            </w:pPr>
            <w:r w:rsidRPr="006C265F">
              <w:rPr>
                <w:sz w:val="20"/>
                <w:szCs w:val="20"/>
              </w:rPr>
              <w:t>22,000</w:t>
            </w:r>
          </w:p>
        </w:tc>
        <w:tc>
          <w:tcPr>
            <w:tcW w:w="1260" w:type="dxa"/>
            <w:vAlign w:val="center"/>
          </w:tcPr>
          <w:p w:rsidR="00B3246C" w:rsidRPr="006C265F" w:rsidRDefault="00B3246C" w:rsidP="00041CF5">
            <w:pPr>
              <w:tabs>
                <w:tab w:val="left" w:pos="720"/>
                <w:tab w:val="left" w:pos="1080"/>
                <w:tab w:val="left" w:pos="1440"/>
                <w:tab w:val="left" w:pos="1800"/>
              </w:tabs>
              <w:spacing w:line="264" w:lineRule="auto"/>
              <w:jc w:val="center"/>
              <w:rPr>
                <w:sz w:val="20"/>
                <w:szCs w:val="20"/>
              </w:rPr>
            </w:pPr>
            <w:r w:rsidRPr="006C265F">
              <w:rPr>
                <w:sz w:val="20"/>
                <w:szCs w:val="20"/>
              </w:rPr>
              <w:t>1</w:t>
            </w:r>
          </w:p>
        </w:tc>
        <w:tc>
          <w:tcPr>
            <w:tcW w:w="1170" w:type="dxa"/>
            <w:vAlign w:val="center"/>
          </w:tcPr>
          <w:p w:rsidR="00B3246C" w:rsidRPr="006C265F" w:rsidRDefault="00B3246C" w:rsidP="00041CF5">
            <w:pPr>
              <w:tabs>
                <w:tab w:val="left" w:pos="720"/>
                <w:tab w:val="left" w:pos="1080"/>
                <w:tab w:val="left" w:pos="1440"/>
                <w:tab w:val="left" w:pos="1800"/>
              </w:tabs>
              <w:spacing w:line="264" w:lineRule="auto"/>
              <w:jc w:val="center"/>
              <w:rPr>
                <w:sz w:val="20"/>
                <w:szCs w:val="20"/>
              </w:rPr>
            </w:pPr>
            <w:r w:rsidRPr="006C265F">
              <w:rPr>
                <w:sz w:val="20"/>
                <w:szCs w:val="20"/>
              </w:rPr>
              <w:t>22,000</w:t>
            </w:r>
          </w:p>
        </w:tc>
        <w:tc>
          <w:tcPr>
            <w:tcW w:w="1260" w:type="dxa"/>
            <w:tcBorders>
              <w:right w:val="single" w:sz="12" w:space="0" w:color="000000"/>
            </w:tcBorders>
            <w:vAlign w:val="center"/>
          </w:tcPr>
          <w:p w:rsidR="00B3246C" w:rsidRPr="006C265F" w:rsidRDefault="00B3246C" w:rsidP="00041CF5">
            <w:pPr>
              <w:tabs>
                <w:tab w:val="left" w:pos="720"/>
                <w:tab w:val="left" w:pos="1080"/>
                <w:tab w:val="left" w:pos="1440"/>
                <w:tab w:val="left" w:pos="1800"/>
              </w:tabs>
              <w:spacing w:line="264" w:lineRule="auto"/>
              <w:jc w:val="center"/>
              <w:rPr>
                <w:sz w:val="20"/>
                <w:szCs w:val="20"/>
              </w:rPr>
            </w:pPr>
            <w:r w:rsidRPr="006C265F">
              <w:rPr>
                <w:sz w:val="20"/>
                <w:szCs w:val="20"/>
              </w:rPr>
              <w:t>5</w:t>
            </w:r>
          </w:p>
        </w:tc>
        <w:tc>
          <w:tcPr>
            <w:tcW w:w="1260" w:type="dxa"/>
            <w:tcBorders>
              <w:top w:val="single" w:sz="2" w:space="0" w:color="000000"/>
              <w:left w:val="single" w:sz="12" w:space="0" w:color="000000"/>
              <w:bottom w:val="single" w:sz="12" w:space="0" w:color="000000"/>
              <w:right w:val="single" w:sz="12" w:space="0" w:color="000000"/>
            </w:tcBorders>
            <w:vAlign w:val="center"/>
          </w:tcPr>
          <w:p w:rsidR="00B3246C" w:rsidRPr="006C265F" w:rsidRDefault="00B3246C" w:rsidP="00041CF5">
            <w:pPr>
              <w:jc w:val="center"/>
              <w:rPr>
                <w:sz w:val="20"/>
                <w:szCs w:val="20"/>
              </w:rPr>
            </w:pPr>
            <w:r w:rsidRPr="006C265F">
              <w:rPr>
                <w:sz w:val="20"/>
                <w:szCs w:val="20"/>
              </w:rPr>
              <w:t>36</w:t>
            </w:r>
            <w:r>
              <w:rPr>
                <w:sz w:val="20"/>
                <w:szCs w:val="20"/>
              </w:rPr>
              <w:t>7</w:t>
            </w:r>
          </w:p>
        </w:tc>
      </w:tr>
    </w:tbl>
    <w:p w:rsidR="00B3246C" w:rsidRDefault="00B3246C" w:rsidP="00B3246C">
      <w:pPr>
        <w:pStyle w:val="Heading2"/>
        <w:rPr>
          <w:sz w:val="24"/>
        </w:rPr>
      </w:pPr>
    </w:p>
    <w:p w:rsidR="00B3246C" w:rsidRPr="003F2B04" w:rsidRDefault="00B3246C" w:rsidP="00B3246C">
      <w:pPr>
        <w:pStyle w:val="Heading2"/>
        <w:tabs>
          <w:tab w:val="left" w:pos="2970"/>
        </w:tabs>
        <w:rPr>
          <w:rFonts w:ascii="Times New Roman" w:hAnsi="Times New Roman" w:cs="Times New Roman"/>
          <w:i w:val="0"/>
          <w:sz w:val="24"/>
          <w:szCs w:val="24"/>
        </w:rPr>
      </w:pPr>
      <w:proofErr w:type="gramStart"/>
      <w:r w:rsidRPr="003F2B04">
        <w:rPr>
          <w:rFonts w:ascii="Times New Roman" w:hAnsi="Times New Roman" w:cs="Times New Roman"/>
          <w:i w:val="0"/>
          <w:sz w:val="24"/>
          <w:szCs w:val="24"/>
        </w:rPr>
        <w:t>Exhibit 2.</w:t>
      </w:r>
      <w:proofErr w:type="gramEnd"/>
      <w:r w:rsidRPr="003F2B04">
        <w:rPr>
          <w:rFonts w:ascii="Times New Roman" w:hAnsi="Times New Roman" w:cs="Times New Roman"/>
          <w:i w:val="0"/>
          <w:sz w:val="24"/>
          <w:szCs w:val="24"/>
        </w:rPr>
        <w:t xml:space="preserve"> Estimated Annualized Cost Burden</w:t>
      </w:r>
    </w:p>
    <w:tbl>
      <w:tblPr>
        <w:tblW w:w="0" w:type="auto"/>
        <w:tblInd w:w="2" w:type="dxa"/>
        <w:tblCellMar>
          <w:left w:w="0" w:type="dxa"/>
          <w:right w:w="0" w:type="dxa"/>
        </w:tblCellMar>
        <w:tblLook w:val="0000" w:firstRow="0" w:lastRow="0" w:firstColumn="0" w:lastColumn="0" w:noHBand="0" w:noVBand="0"/>
      </w:tblPr>
      <w:tblGrid>
        <w:gridCol w:w="3407"/>
        <w:gridCol w:w="1469"/>
        <w:gridCol w:w="1123"/>
        <w:gridCol w:w="1471"/>
        <w:gridCol w:w="1384"/>
      </w:tblGrid>
      <w:tr w:rsidR="00B3246C" w:rsidRPr="003F2B04" w:rsidTr="00041CF5">
        <w:trPr>
          <w:tblHeader/>
        </w:trPr>
        <w:tc>
          <w:tcPr>
            <w:tcW w:w="34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3246C" w:rsidRPr="003F2B04" w:rsidRDefault="00B3246C" w:rsidP="00041CF5">
            <w:pPr>
              <w:pStyle w:val="Heading2"/>
              <w:rPr>
                <w:rFonts w:ascii="Times New Roman" w:hAnsi="Times New Roman" w:cs="Times New Roman"/>
                <w:b w:val="0"/>
                <w:i w:val="0"/>
                <w:sz w:val="20"/>
                <w:szCs w:val="20"/>
              </w:rPr>
            </w:pPr>
            <w:r w:rsidRPr="003F2B04">
              <w:rPr>
                <w:rFonts w:ascii="Times New Roman" w:hAnsi="Times New Roman" w:cs="Times New Roman"/>
                <w:b w:val="0"/>
                <w:i w:val="0"/>
                <w:sz w:val="20"/>
                <w:szCs w:val="20"/>
              </w:rPr>
              <w:t>Form Name</w:t>
            </w:r>
          </w:p>
        </w:tc>
        <w:tc>
          <w:tcPr>
            <w:tcW w:w="14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3246C" w:rsidRPr="003F2B04" w:rsidRDefault="00B3246C" w:rsidP="00041CF5">
            <w:pPr>
              <w:pStyle w:val="Heading2"/>
              <w:rPr>
                <w:rFonts w:ascii="Times New Roman" w:hAnsi="Times New Roman" w:cs="Times New Roman"/>
                <w:b w:val="0"/>
                <w:i w:val="0"/>
                <w:sz w:val="20"/>
                <w:szCs w:val="20"/>
              </w:rPr>
            </w:pPr>
            <w:r w:rsidRPr="003F2B04">
              <w:rPr>
                <w:rFonts w:ascii="Times New Roman" w:hAnsi="Times New Roman" w:cs="Times New Roman"/>
                <w:b w:val="0"/>
                <w:i w:val="0"/>
                <w:sz w:val="20"/>
                <w:szCs w:val="20"/>
              </w:rPr>
              <w:t>Number of respondents</w:t>
            </w:r>
          </w:p>
        </w:tc>
        <w:tc>
          <w:tcPr>
            <w:tcW w:w="11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3246C" w:rsidRPr="003F2B04" w:rsidRDefault="00B3246C" w:rsidP="00041CF5">
            <w:pPr>
              <w:pStyle w:val="Heading2"/>
              <w:rPr>
                <w:rFonts w:ascii="Times New Roman" w:hAnsi="Times New Roman" w:cs="Times New Roman"/>
                <w:b w:val="0"/>
                <w:i w:val="0"/>
                <w:sz w:val="20"/>
                <w:szCs w:val="20"/>
              </w:rPr>
            </w:pPr>
            <w:r w:rsidRPr="003F2B04">
              <w:rPr>
                <w:rFonts w:ascii="Times New Roman" w:hAnsi="Times New Roman" w:cs="Times New Roman"/>
                <w:b w:val="0"/>
                <w:i w:val="0"/>
                <w:sz w:val="20"/>
                <w:szCs w:val="20"/>
              </w:rPr>
              <w:t>Total burden hours</w:t>
            </w:r>
          </w:p>
        </w:tc>
        <w:tc>
          <w:tcPr>
            <w:tcW w:w="14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3246C" w:rsidRPr="003F2B04" w:rsidRDefault="00B3246C" w:rsidP="00041CF5">
            <w:pPr>
              <w:pStyle w:val="Heading2"/>
              <w:rPr>
                <w:rFonts w:ascii="Times New Roman" w:hAnsi="Times New Roman" w:cs="Times New Roman"/>
                <w:b w:val="0"/>
                <w:i w:val="0"/>
                <w:sz w:val="20"/>
                <w:szCs w:val="20"/>
              </w:rPr>
            </w:pPr>
            <w:r w:rsidRPr="003F2B04">
              <w:rPr>
                <w:rFonts w:ascii="Times New Roman" w:hAnsi="Times New Roman" w:cs="Times New Roman"/>
                <w:b w:val="0"/>
                <w:i w:val="0"/>
                <w:sz w:val="20"/>
                <w:szCs w:val="20"/>
              </w:rPr>
              <w:t>Average hourly wage rate*</w:t>
            </w:r>
          </w:p>
        </w:tc>
        <w:tc>
          <w:tcPr>
            <w:tcW w:w="13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3246C" w:rsidRPr="003F2B04" w:rsidRDefault="00B3246C" w:rsidP="00041CF5">
            <w:pPr>
              <w:pStyle w:val="Heading2"/>
              <w:rPr>
                <w:rFonts w:ascii="Times New Roman" w:hAnsi="Times New Roman" w:cs="Times New Roman"/>
                <w:b w:val="0"/>
                <w:i w:val="0"/>
                <w:sz w:val="20"/>
                <w:szCs w:val="20"/>
              </w:rPr>
            </w:pPr>
            <w:r w:rsidRPr="003F2B04">
              <w:rPr>
                <w:rFonts w:ascii="Times New Roman" w:hAnsi="Times New Roman" w:cs="Times New Roman"/>
                <w:b w:val="0"/>
                <w:i w:val="0"/>
                <w:sz w:val="20"/>
                <w:szCs w:val="20"/>
              </w:rPr>
              <w:t>Total cost burden</w:t>
            </w:r>
          </w:p>
        </w:tc>
      </w:tr>
      <w:tr w:rsidR="00B3246C" w:rsidRPr="003F2B04" w:rsidTr="00041CF5">
        <w:tc>
          <w:tcPr>
            <w:tcW w:w="34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246C" w:rsidRPr="003F2B04" w:rsidRDefault="00B3246C" w:rsidP="00041CF5">
            <w:pPr>
              <w:pStyle w:val="Heading2"/>
              <w:rPr>
                <w:rFonts w:ascii="Times New Roman" w:hAnsi="Times New Roman" w:cs="Times New Roman"/>
                <w:b w:val="0"/>
                <w:i w:val="0"/>
                <w:sz w:val="20"/>
                <w:szCs w:val="20"/>
              </w:rPr>
            </w:pPr>
            <w:r w:rsidRPr="003F2B04">
              <w:rPr>
                <w:rFonts w:ascii="Times New Roman" w:hAnsi="Times New Roman" w:cs="Times New Roman"/>
                <w:b w:val="0"/>
                <w:i w:val="0"/>
                <w:sz w:val="20"/>
                <w:szCs w:val="20"/>
              </w:rPr>
              <w:t>AHRQ Online CME/CE 6-Month Evaluation</w:t>
            </w:r>
          </w:p>
        </w:tc>
        <w:tc>
          <w:tcPr>
            <w:tcW w:w="1469" w:type="dxa"/>
            <w:tcBorders>
              <w:top w:val="nil"/>
              <w:left w:val="nil"/>
              <w:bottom w:val="single" w:sz="8" w:space="0" w:color="auto"/>
              <w:right w:val="single" w:sz="8" w:space="0" w:color="auto"/>
            </w:tcBorders>
            <w:tcMar>
              <w:top w:w="0" w:type="dxa"/>
              <w:left w:w="108" w:type="dxa"/>
              <w:bottom w:w="0" w:type="dxa"/>
              <w:right w:w="108" w:type="dxa"/>
            </w:tcMar>
          </w:tcPr>
          <w:p w:rsidR="00B3246C" w:rsidRPr="003F2B04" w:rsidRDefault="00B3246C" w:rsidP="00041CF5">
            <w:pPr>
              <w:pStyle w:val="Heading2"/>
              <w:jc w:val="center"/>
              <w:rPr>
                <w:rFonts w:ascii="Times New Roman" w:hAnsi="Times New Roman" w:cs="Times New Roman"/>
                <w:b w:val="0"/>
                <w:i w:val="0"/>
                <w:sz w:val="20"/>
                <w:szCs w:val="20"/>
              </w:rPr>
            </w:pPr>
            <w:r w:rsidRPr="003F2B04">
              <w:rPr>
                <w:rFonts w:ascii="Times New Roman" w:hAnsi="Times New Roman" w:cs="Times New Roman"/>
                <w:b w:val="0"/>
                <w:i w:val="0"/>
                <w:sz w:val="20"/>
                <w:szCs w:val="20"/>
              </w:rPr>
              <w:t>4,400</w:t>
            </w:r>
          </w:p>
        </w:tc>
        <w:tc>
          <w:tcPr>
            <w:tcW w:w="1123" w:type="dxa"/>
            <w:tcBorders>
              <w:top w:val="nil"/>
              <w:left w:val="nil"/>
              <w:bottom w:val="single" w:sz="8" w:space="0" w:color="auto"/>
              <w:right w:val="single" w:sz="8" w:space="0" w:color="auto"/>
            </w:tcBorders>
            <w:tcMar>
              <w:top w:w="0" w:type="dxa"/>
              <w:left w:w="108" w:type="dxa"/>
              <w:bottom w:w="0" w:type="dxa"/>
              <w:right w:w="108" w:type="dxa"/>
            </w:tcMar>
          </w:tcPr>
          <w:p w:rsidR="00B3246C" w:rsidRPr="003F2B04" w:rsidRDefault="00B3246C" w:rsidP="00041CF5">
            <w:pPr>
              <w:pStyle w:val="Heading2"/>
              <w:jc w:val="center"/>
              <w:rPr>
                <w:rFonts w:ascii="Times New Roman" w:hAnsi="Times New Roman" w:cs="Times New Roman"/>
                <w:b w:val="0"/>
                <w:i w:val="0"/>
                <w:sz w:val="20"/>
                <w:szCs w:val="20"/>
              </w:rPr>
            </w:pPr>
            <w:r w:rsidRPr="003F2B04">
              <w:rPr>
                <w:rFonts w:ascii="Times New Roman" w:hAnsi="Times New Roman" w:cs="Times New Roman"/>
                <w:b w:val="0"/>
                <w:i w:val="0"/>
                <w:sz w:val="20"/>
                <w:szCs w:val="20"/>
              </w:rPr>
              <w:t>367</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B3246C" w:rsidRPr="003F2B04" w:rsidRDefault="00B3246C" w:rsidP="00041CF5">
            <w:pPr>
              <w:pStyle w:val="Heading2"/>
              <w:jc w:val="center"/>
              <w:rPr>
                <w:rFonts w:ascii="Times New Roman" w:hAnsi="Times New Roman" w:cs="Times New Roman"/>
                <w:b w:val="0"/>
                <w:i w:val="0"/>
                <w:sz w:val="20"/>
                <w:szCs w:val="20"/>
              </w:rPr>
            </w:pPr>
            <w:r w:rsidRPr="003F2B04">
              <w:rPr>
                <w:rFonts w:ascii="Times New Roman" w:hAnsi="Times New Roman" w:cs="Times New Roman"/>
                <w:b w:val="0"/>
                <w:i w:val="0"/>
                <w:sz w:val="20"/>
                <w:szCs w:val="20"/>
              </w:rPr>
              <w:t>$49.83</w:t>
            </w:r>
          </w:p>
        </w:tc>
        <w:tc>
          <w:tcPr>
            <w:tcW w:w="1384" w:type="dxa"/>
            <w:tcBorders>
              <w:top w:val="nil"/>
              <w:left w:val="nil"/>
              <w:bottom w:val="single" w:sz="8" w:space="0" w:color="auto"/>
              <w:right w:val="single" w:sz="8" w:space="0" w:color="auto"/>
            </w:tcBorders>
            <w:tcMar>
              <w:top w:w="0" w:type="dxa"/>
              <w:left w:w="108" w:type="dxa"/>
              <w:bottom w:w="0" w:type="dxa"/>
              <w:right w:w="108" w:type="dxa"/>
            </w:tcMar>
          </w:tcPr>
          <w:p w:rsidR="00B3246C" w:rsidRPr="003F2B04" w:rsidRDefault="00B3246C" w:rsidP="00041CF5">
            <w:pPr>
              <w:pStyle w:val="Heading2"/>
              <w:jc w:val="center"/>
              <w:rPr>
                <w:rFonts w:ascii="Times New Roman" w:hAnsi="Times New Roman" w:cs="Times New Roman"/>
                <w:b w:val="0"/>
                <w:i w:val="0"/>
                <w:sz w:val="20"/>
                <w:szCs w:val="20"/>
              </w:rPr>
            </w:pPr>
            <w:r w:rsidRPr="003F2B04">
              <w:rPr>
                <w:rFonts w:ascii="Times New Roman" w:hAnsi="Times New Roman" w:cs="Times New Roman"/>
                <w:b w:val="0"/>
                <w:i w:val="0"/>
                <w:sz w:val="20"/>
                <w:szCs w:val="20"/>
              </w:rPr>
              <w:t>$18,288</w:t>
            </w:r>
          </w:p>
        </w:tc>
      </w:tr>
      <w:tr w:rsidR="00B3246C" w:rsidRPr="003F2B04" w:rsidTr="00041CF5">
        <w:tc>
          <w:tcPr>
            <w:tcW w:w="340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3246C" w:rsidRPr="003F2B04" w:rsidRDefault="00B3246C" w:rsidP="00041CF5">
            <w:pPr>
              <w:pStyle w:val="Heading2"/>
              <w:rPr>
                <w:rFonts w:ascii="Times New Roman" w:hAnsi="Times New Roman" w:cs="Times New Roman"/>
                <w:b w:val="0"/>
                <w:i w:val="0"/>
                <w:sz w:val="20"/>
                <w:szCs w:val="20"/>
              </w:rPr>
            </w:pPr>
            <w:r w:rsidRPr="003F2B04">
              <w:rPr>
                <w:rFonts w:ascii="Times New Roman" w:hAnsi="Times New Roman" w:cs="Times New Roman"/>
                <w:b w:val="0"/>
                <w:i w:val="0"/>
                <w:sz w:val="20"/>
                <w:szCs w:val="20"/>
              </w:rPr>
              <w:t>Total</w:t>
            </w:r>
          </w:p>
        </w:tc>
        <w:tc>
          <w:tcPr>
            <w:tcW w:w="1469" w:type="dxa"/>
            <w:tcBorders>
              <w:top w:val="nil"/>
              <w:left w:val="nil"/>
              <w:bottom w:val="single" w:sz="8" w:space="0" w:color="auto"/>
              <w:right w:val="single" w:sz="8" w:space="0" w:color="auto"/>
            </w:tcBorders>
            <w:tcMar>
              <w:top w:w="0" w:type="dxa"/>
              <w:left w:w="108" w:type="dxa"/>
              <w:bottom w:w="0" w:type="dxa"/>
              <w:right w:w="108" w:type="dxa"/>
            </w:tcMar>
          </w:tcPr>
          <w:p w:rsidR="00B3246C" w:rsidRPr="003F2B04" w:rsidRDefault="00B3246C" w:rsidP="00041CF5">
            <w:pPr>
              <w:pStyle w:val="Heading2"/>
              <w:jc w:val="center"/>
              <w:rPr>
                <w:rFonts w:ascii="Times New Roman" w:hAnsi="Times New Roman" w:cs="Times New Roman"/>
                <w:b w:val="0"/>
                <w:i w:val="0"/>
                <w:sz w:val="20"/>
                <w:szCs w:val="20"/>
              </w:rPr>
            </w:pPr>
            <w:r w:rsidRPr="003F2B04">
              <w:rPr>
                <w:rFonts w:ascii="Times New Roman" w:hAnsi="Times New Roman" w:cs="Times New Roman"/>
                <w:b w:val="0"/>
                <w:i w:val="0"/>
                <w:sz w:val="20"/>
                <w:szCs w:val="20"/>
              </w:rPr>
              <w:t>4,400</w:t>
            </w:r>
          </w:p>
        </w:tc>
        <w:tc>
          <w:tcPr>
            <w:tcW w:w="1123" w:type="dxa"/>
            <w:tcBorders>
              <w:top w:val="nil"/>
              <w:left w:val="nil"/>
              <w:bottom w:val="single" w:sz="8" w:space="0" w:color="auto"/>
              <w:right w:val="single" w:sz="8" w:space="0" w:color="auto"/>
            </w:tcBorders>
            <w:tcMar>
              <w:top w:w="0" w:type="dxa"/>
              <w:left w:w="108" w:type="dxa"/>
              <w:bottom w:w="0" w:type="dxa"/>
              <w:right w:w="108" w:type="dxa"/>
            </w:tcMar>
          </w:tcPr>
          <w:p w:rsidR="00B3246C" w:rsidRPr="003F2B04" w:rsidRDefault="00B3246C" w:rsidP="00041CF5">
            <w:pPr>
              <w:pStyle w:val="Heading2"/>
              <w:jc w:val="center"/>
              <w:rPr>
                <w:rFonts w:ascii="Times New Roman" w:hAnsi="Times New Roman" w:cs="Times New Roman"/>
                <w:b w:val="0"/>
                <w:i w:val="0"/>
                <w:sz w:val="20"/>
                <w:szCs w:val="20"/>
              </w:rPr>
            </w:pPr>
            <w:r w:rsidRPr="003F2B04">
              <w:rPr>
                <w:rFonts w:ascii="Times New Roman" w:hAnsi="Times New Roman" w:cs="Times New Roman"/>
                <w:b w:val="0"/>
                <w:i w:val="0"/>
                <w:sz w:val="20"/>
                <w:szCs w:val="20"/>
              </w:rPr>
              <w:t>367</w:t>
            </w:r>
          </w:p>
        </w:tc>
        <w:tc>
          <w:tcPr>
            <w:tcW w:w="1471" w:type="dxa"/>
            <w:tcBorders>
              <w:top w:val="nil"/>
              <w:left w:val="nil"/>
              <w:bottom w:val="single" w:sz="8" w:space="0" w:color="auto"/>
              <w:right w:val="single" w:sz="8" w:space="0" w:color="auto"/>
            </w:tcBorders>
            <w:tcMar>
              <w:top w:w="0" w:type="dxa"/>
              <w:left w:w="108" w:type="dxa"/>
              <w:bottom w:w="0" w:type="dxa"/>
              <w:right w:w="108" w:type="dxa"/>
            </w:tcMar>
          </w:tcPr>
          <w:p w:rsidR="00B3246C" w:rsidRPr="003F2B04" w:rsidRDefault="00B3246C" w:rsidP="00041CF5">
            <w:pPr>
              <w:pStyle w:val="Heading2"/>
              <w:rPr>
                <w:rFonts w:ascii="Times New Roman" w:hAnsi="Times New Roman" w:cs="Times New Roman"/>
                <w:b w:val="0"/>
                <w:i w:val="0"/>
                <w:sz w:val="20"/>
                <w:szCs w:val="20"/>
              </w:rPr>
            </w:pPr>
            <w:r w:rsidRPr="003F2B04">
              <w:rPr>
                <w:rFonts w:ascii="Times New Roman" w:hAnsi="Times New Roman" w:cs="Times New Roman"/>
                <w:b w:val="0"/>
                <w:i w:val="0"/>
                <w:sz w:val="20"/>
                <w:szCs w:val="20"/>
              </w:rPr>
              <w:t>N/A</w:t>
            </w:r>
          </w:p>
        </w:tc>
        <w:tc>
          <w:tcPr>
            <w:tcW w:w="1384" w:type="dxa"/>
            <w:tcBorders>
              <w:top w:val="nil"/>
              <w:left w:val="nil"/>
              <w:bottom w:val="single" w:sz="8" w:space="0" w:color="auto"/>
              <w:right w:val="single" w:sz="8" w:space="0" w:color="auto"/>
            </w:tcBorders>
            <w:tcMar>
              <w:top w:w="0" w:type="dxa"/>
              <w:left w:w="108" w:type="dxa"/>
              <w:bottom w:w="0" w:type="dxa"/>
              <w:right w:w="108" w:type="dxa"/>
            </w:tcMar>
            <w:vAlign w:val="center"/>
          </w:tcPr>
          <w:p w:rsidR="00B3246C" w:rsidRPr="003F2B04" w:rsidRDefault="00B3246C" w:rsidP="00041CF5">
            <w:pPr>
              <w:pStyle w:val="Heading2"/>
              <w:jc w:val="center"/>
              <w:rPr>
                <w:rFonts w:ascii="Times New Roman" w:hAnsi="Times New Roman" w:cs="Times New Roman"/>
                <w:b w:val="0"/>
                <w:i w:val="0"/>
                <w:sz w:val="20"/>
                <w:szCs w:val="20"/>
              </w:rPr>
            </w:pPr>
            <w:r w:rsidRPr="003F2B04">
              <w:rPr>
                <w:rFonts w:ascii="Times New Roman" w:hAnsi="Times New Roman" w:cs="Times New Roman"/>
                <w:b w:val="0"/>
                <w:i w:val="0"/>
                <w:sz w:val="20"/>
                <w:szCs w:val="20"/>
              </w:rPr>
              <w:t>$18,288</w:t>
            </w:r>
          </w:p>
        </w:tc>
      </w:tr>
    </w:tbl>
    <w:p w:rsidR="00B3246C" w:rsidRPr="003F2B04" w:rsidRDefault="00B3246C" w:rsidP="00B3246C">
      <w:pPr>
        <w:pStyle w:val="ListParagraph"/>
        <w:ind w:left="0"/>
        <w:rPr>
          <w:sz w:val="18"/>
          <w:szCs w:val="18"/>
        </w:rPr>
      </w:pPr>
      <w:r w:rsidRPr="003F2B04">
        <w:rPr>
          <w:sz w:val="18"/>
          <w:szCs w:val="18"/>
        </w:rPr>
        <w:t xml:space="preserve">*Based upon the mean of the average hourly wages for Physicians (29-1069; $92.25), Pharmacists (29-1051; $56.01), Physician Assistants (29-1071; $45.36), Nurse Practitioners (29-1171; $45.71), Registered Nurses (29-1111; $33.13), and Healthcare Practitioners (29-9099; $26.54), </w:t>
      </w:r>
      <w:r w:rsidRPr="003F2B04">
        <w:rPr>
          <w:color w:val="183061"/>
          <w:kern w:val="36"/>
          <w:sz w:val="18"/>
          <w:szCs w:val="18"/>
        </w:rPr>
        <w:t xml:space="preserve">May 2013 National Occupational Employment and Wage Estimates, United States, U.S. Department of Labor, Bureau of Labor Statistics. </w:t>
      </w:r>
      <w:hyperlink r:id="rId9" w:anchor="29-0000" w:history="1">
        <w:r w:rsidRPr="003F2B04">
          <w:rPr>
            <w:rStyle w:val="Hyperlink"/>
            <w:sz w:val="18"/>
            <w:szCs w:val="18"/>
          </w:rPr>
          <w:t>http://www.bls.gov/oes/current/oes_nat.htm#29-0000</w:t>
        </w:r>
      </w:hyperlink>
      <w:r w:rsidRPr="003F2B04">
        <w:rPr>
          <w:sz w:val="18"/>
          <w:szCs w:val="18"/>
        </w:rPr>
        <w:t xml:space="preserve"> viewed May 5, 2014.</w:t>
      </w:r>
    </w:p>
    <w:p w:rsidR="00B3246C" w:rsidRDefault="00B3246C" w:rsidP="009B633D">
      <w:pPr>
        <w:pStyle w:val="Heading2"/>
        <w:rPr>
          <w:sz w:val="24"/>
        </w:rPr>
      </w:pPr>
    </w:p>
    <w:p w:rsidR="00B3246C" w:rsidRDefault="00B3246C" w:rsidP="009B633D">
      <w:pPr>
        <w:pStyle w:val="Heading2"/>
        <w:rPr>
          <w:sz w:val="24"/>
        </w:rPr>
      </w:pPr>
    </w:p>
    <w:p w:rsidR="009B633D" w:rsidRPr="00412C6F" w:rsidRDefault="009B633D" w:rsidP="009B633D">
      <w:pPr>
        <w:pStyle w:val="Heading2"/>
        <w:rPr>
          <w:sz w:val="24"/>
        </w:rPr>
      </w:pPr>
      <w:r w:rsidRPr="00412C6F">
        <w:rPr>
          <w:sz w:val="24"/>
        </w:rPr>
        <w:t>13. Estimates of Annualized Respondent Capital and Maintenance Costs</w:t>
      </w:r>
      <w:bookmarkEnd w:id="27"/>
      <w:bookmarkEnd w:id="28"/>
    </w:p>
    <w:p w:rsidR="00E14FC3" w:rsidRPr="001C37A3" w:rsidRDefault="001C37A3" w:rsidP="001C37A3">
      <w:pPr>
        <w:spacing w:after="200" w:line="276" w:lineRule="auto"/>
        <w:rPr>
          <w:rFonts w:eastAsia="Calibri"/>
        </w:rPr>
      </w:pPr>
      <w:r w:rsidRPr="001C37A3">
        <w:rPr>
          <w:rFonts w:eastAsia="Calibri"/>
        </w:rPr>
        <w:t>There is no cost to respondents, other than the time required to respond to the survey.</w:t>
      </w:r>
    </w:p>
    <w:p w:rsidR="00851FDA" w:rsidRDefault="00851FDA" w:rsidP="009B633D">
      <w:pPr>
        <w:pStyle w:val="Heading2"/>
        <w:rPr>
          <w:sz w:val="24"/>
        </w:rPr>
      </w:pPr>
      <w:bookmarkStart w:id="29" w:name="_Toc58725299"/>
      <w:bookmarkStart w:id="30" w:name="_Toc151782189"/>
      <w:bookmarkStart w:id="31" w:name="_Toc158526229"/>
    </w:p>
    <w:p w:rsidR="009B633D" w:rsidRPr="00412C6F" w:rsidRDefault="009B633D" w:rsidP="009B633D">
      <w:pPr>
        <w:pStyle w:val="Heading2"/>
        <w:rPr>
          <w:sz w:val="24"/>
        </w:rPr>
      </w:pPr>
      <w:r w:rsidRPr="00412C6F">
        <w:rPr>
          <w:sz w:val="24"/>
        </w:rPr>
        <w:t>14. Estimates of Annualized Cost to the Government</w:t>
      </w:r>
      <w:bookmarkEnd w:id="29"/>
      <w:bookmarkEnd w:id="30"/>
      <w:bookmarkEnd w:id="31"/>
    </w:p>
    <w:p w:rsidR="001C37A3" w:rsidRPr="001C37A3" w:rsidRDefault="001C37A3" w:rsidP="001C37A3">
      <w:pPr>
        <w:spacing w:after="200" w:line="276" w:lineRule="auto"/>
        <w:rPr>
          <w:rFonts w:eastAsia="Calibri"/>
        </w:rPr>
      </w:pPr>
      <w:bookmarkStart w:id="32" w:name="_Toc151782190"/>
      <w:bookmarkStart w:id="33" w:name="_Toc158526230"/>
      <w:r w:rsidRPr="001C37A3">
        <w:rPr>
          <w:rFonts w:eastAsia="Calibri"/>
        </w:rPr>
        <w:t>The total contracted cost to the federal government for the Continuing Education for Comparative Effectiveness Research Survey</w:t>
      </w:r>
      <w:r w:rsidR="00701950">
        <w:rPr>
          <w:rFonts w:eastAsia="Calibri"/>
        </w:rPr>
        <w:t>s</w:t>
      </w:r>
      <w:r w:rsidRPr="001C37A3" w:rsidDel="009E53EA">
        <w:rPr>
          <w:rFonts w:eastAsia="Calibri"/>
        </w:rPr>
        <w:t xml:space="preserve"> </w:t>
      </w:r>
      <w:r w:rsidR="00701950">
        <w:rPr>
          <w:rFonts w:eastAsia="Calibri"/>
        </w:rPr>
        <w:t>to be administered analyzed and reported</w:t>
      </w:r>
      <w:r w:rsidRPr="001C37A3">
        <w:rPr>
          <w:rFonts w:eastAsia="Calibri"/>
        </w:rPr>
        <w:t xml:space="preserve"> </w:t>
      </w:r>
      <w:r w:rsidR="00701950">
        <w:rPr>
          <w:rFonts w:eastAsia="Calibri"/>
        </w:rPr>
        <w:t xml:space="preserve">under this contract is </w:t>
      </w:r>
      <w:r w:rsidRPr="00C65CC1">
        <w:t>$</w:t>
      </w:r>
      <w:r w:rsidR="00701950">
        <w:t>276,242</w:t>
      </w:r>
      <w:r w:rsidRPr="00E55BA7">
        <w:t>.</w:t>
      </w:r>
      <w:r w:rsidRPr="00C65CC1">
        <w:t xml:space="preserve"> </w:t>
      </w:r>
      <w:r w:rsidRPr="001C37A3">
        <w:rPr>
          <w:rFonts w:eastAsia="Calibri"/>
        </w:rPr>
        <w:t xml:space="preserve">This includes costs to </w:t>
      </w:r>
      <w:r w:rsidR="00851FDA">
        <w:rPr>
          <w:rFonts w:eastAsia="Calibri"/>
        </w:rPr>
        <w:t xml:space="preserve">develop, </w:t>
      </w:r>
      <w:r w:rsidRPr="001C37A3">
        <w:rPr>
          <w:rFonts w:eastAsia="Calibri"/>
        </w:rPr>
        <w:t>program and pre-test the survey</w:t>
      </w:r>
      <w:r w:rsidR="00701950">
        <w:rPr>
          <w:rFonts w:eastAsia="Calibri"/>
        </w:rPr>
        <w:t>s</w:t>
      </w:r>
      <w:r w:rsidRPr="001C37A3">
        <w:rPr>
          <w:rFonts w:eastAsia="Calibri"/>
        </w:rPr>
        <w:t>, administer the survey</w:t>
      </w:r>
      <w:r w:rsidR="00701950">
        <w:rPr>
          <w:rFonts w:eastAsia="Calibri"/>
        </w:rPr>
        <w:t>s</w:t>
      </w:r>
      <w:r w:rsidRPr="001C37A3">
        <w:rPr>
          <w:rFonts w:eastAsia="Calibri"/>
        </w:rPr>
        <w:t xml:space="preserve">, provide survey responses and costs to analyze survey </w:t>
      </w:r>
      <w:r w:rsidRPr="001C37A3">
        <w:rPr>
          <w:rFonts w:eastAsia="Calibri"/>
        </w:rPr>
        <w:lastRenderedPageBreak/>
        <w:t>res</w:t>
      </w:r>
      <w:r w:rsidR="00701950">
        <w:rPr>
          <w:rFonts w:eastAsia="Calibri"/>
        </w:rPr>
        <w:t>ponses and develop and produce the accompanying 30-day, 6-month, 18-month and 2-year</w:t>
      </w:r>
      <w:r w:rsidRPr="001C37A3">
        <w:rPr>
          <w:rFonts w:eastAsia="Calibri"/>
        </w:rPr>
        <w:t xml:space="preserve"> report</w:t>
      </w:r>
      <w:r w:rsidR="00701950">
        <w:rPr>
          <w:rFonts w:eastAsia="Calibri"/>
        </w:rPr>
        <w:t>s</w:t>
      </w:r>
      <w:r w:rsidRPr="001C37A3">
        <w:rPr>
          <w:rFonts w:eastAsia="Calibri"/>
        </w:rPr>
        <w:t>.</w:t>
      </w:r>
      <w:r w:rsidR="00E80325">
        <w:rPr>
          <w:rFonts w:eastAsia="Calibri"/>
        </w:rPr>
        <w:t xml:space="preserve"> These costs have been calculated over a three-year period (36 months total) and are assumed to be consistent across each year.</w:t>
      </w:r>
    </w:p>
    <w:p w:rsidR="00012FB9" w:rsidRDefault="00012FB9" w:rsidP="00012FB9">
      <w:r>
        <w:rPr>
          <w:b/>
          <w:bCs/>
          <w:color w:val="000000"/>
        </w:rPr>
        <w:t>Exhibit 3</w:t>
      </w:r>
      <w:r w:rsidR="00851FDA">
        <w:rPr>
          <w:b/>
          <w:bCs/>
          <w:color w:val="000000"/>
        </w:rPr>
        <w:t>a</w:t>
      </w:r>
      <w:r>
        <w:rPr>
          <w:b/>
          <w:bCs/>
          <w:color w:val="000000"/>
        </w:rPr>
        <w:t>.  Estimated</w:t>
      </w:r>
      <w:r w:rsidR="00FD1D9C">
        <w:rPr>
          <w:b/>
          <w:bCs/>
          <w:color w:val="000000"/>
        </w:rPr>
        <w:t xml:space="preserve"> Total and Annualized</w:t>
      </w:r>
      <w:r>
        <w:rPr>
          <w:b/>
          <w:bCs/>
          <w:color w:val="000000"/>
        </w:rPr>
        <w:t xml:space="preserve"> Cost</w:t>
      </w:r>
    </w:p>
    <w:tbl>
      <w:tblPr>
        <w:tblW w:w="0" w:type="auto"/>
        <w:tblInd w:w="108" w:type="dxa"/>
        <w:tblCellMar>
          <w:left w:w="0" w:type="dxa"/>
          <w:right w:w="0" w:type="dxa"/>
        </w:tblCellMar>
        <w:tblLook w:val="0000" w:firstRow="0" w:lastRow="0" w:firstColumn="0" w:lastColumn="0" w:noHBand="0" w:noVBand="0"/>
      </w:tblPr>
      <w:tblGrid>
        <w:gridCol w:w="3330"/>
        <w:gridCol w:w="1710"/>
        <w:gridCol w:w="1980"/>
      </w:tblGrid>
      <w:tr w:rsidR="00012FB9" w:rsidTr="00701950">
        <w:tc>
          <w:tcPr>
            <w:tcW w:w="33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12FB9" w:rsidRPr="00012FB9" w:rsidRDefault="00012FB9" w:rsidP="00012FB9">
            <w:pPr>
              <w:rPr>
                <w:b/>
              </w:rPr>
            </w:pPr>
            <w:r w:rsidRPr="00012FB9">
              <w:rPr>
                <w:b/>
                <w:color w:val="000000"/>
              </w:rPr>
              <w:t xml:space="preserve">Cost Component </w:t>
            </w:r>
          </w:p>
        </w:tc>
        <w:tc>
          <w:tcPr>
            <w:tcW w:w="17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12FB9" w:rsidRPr="00012FB9" w:rsidRDefault="00012FB9" w:rsidP="001A28C0">
            <w:pPr>
              <w:jc w:val="center"/>
              <w:rPr>
                <w:b/>
              </w:rPr>
            </w:pPr>
            <w:r w:rsidRPr="00012FB9">
              <w:rPr>
                <w:b/>
              </w:rPr>
              <w:t>Total Cost</w:t>
            </w:r>
          </w:p>
        </w:tc>
        <w:tc>
          <w:tcPr>
            <w:tcW w:w="19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12FB9" w:rsidRPr="00012FB9" w:rsidRDefault="00012FB9" w:rsidP="001A28C0">
            <w:pPr>
              <w:jc w:val="center"/>
              <w:rPr>
                <w:b/>
              </w:rPr>
            </w:pPr>
            <w:r w:rsidRPr="00012FB9">
              <w:rPr>
                <w:b/>
              </w:rPr>
              <w:t>Annualized Cost</w:t>
            </w:r>
          </w:p>
        </w:tc>
      </w:tr>
      <w:tr w:rsidR="00E80325" w:rsidTr="00701950">
        <w:tc>
          <w:tcPr>
            <w:tcW w:w="33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80325" w:rsidRDefault="00E80325" w:rsidP="001A28C0">
            <w:r>
              <w:t>Project Development</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E80325" w:rsidRPr="00E80325" w:rsidRDefault="00E80325" w:rsidP="001A28C0">
            <w:pPr>
              <w:jc w:val="center"/>
            </w:pPr>
            <w:r w:rsidRPr="00E80325">
              <w:rPr>
                <w:color w:val="000000"/>
                <w:sz w:val="22"/>
                <w:szCs w:val="22"/>
              </w:rPr>
              <w:t xml:space="preserve"> $    3</w:t>
            </w:r>
            <w:r w:rsidR="00701950">
              <w:rPr>
                <w:color w:val="000000"/>
                <w:sz w:val="22"/>
                <w:szCs w:val="22"/>
              </w:rPr>
              <w:t>4,724</w:t>
            </w:r>
            <w:r w:rsidRPr="00E80325">
              <w:rPr>
                <w:color w:val="000000"/>
                <w:sz w:val="22"/>
                <w:szCs w:val="22"/>
              </w:rPr>
              <w:t xml:space="preserve">.00 </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E80325" w:rsidRPr="00E80325" w:rsidRDefault="00701950" w:rsidP="001A28C0">
            <w:pPr>
              <w:jc w:val="center"/>
            </w:pPr>
            <w:r>
              <w:rPr>
                <w:color w:val="000000"/>
                <w:sz w:val="22"/>
                <w:szCs w:val="22"/>
              </w:rPr>
              <w:t xml:space="preserve"> $  11,574.67</w:t>
            </w:r>
            <w:r w:rsidR="00E80325" w:rsidRPr="00E80325">
              <w:rPr>
                <w:color w:val="000000"/>
                <w:sz w:val="22"/>
                <w:szCs w:val="22"/>
              </w:rPr>
              <w:t xml:space="preserve"> </w:t>
            </w:r>
          </w:p>
        </w:tc>
      </w:tr>
      <w:tr w:rsidR="00E80325" w:rsidTr="00701950">
        <w:tc>
          <w:tcPr>
            <w:tcW w:w="33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80325" w:rsidRDefault="00E80325" w:rsidP="001A28C0">
            <w:r>
              <w:t>Data Collection Activities</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E80325" w:rsidRPr="00E80325" w:rsidRDefault="00701950" w:rsidP="001A28C0">
            <w:pPr>
              <w:jc w:val="center"/>
            </w:pPr>
            <w:r>
              <w:rPr>
                <w:color w:val="000000"/>
                <w:sz w:val="22"/>
                <w:szCs w:val="22"/>
              </w:rPr>
              <w:t xml:space="preserve"> $    116,811</w:t>
            </w:r>
            <w:r w:rsidR="00E80325" w:rsidRPr="00E80325">
              <w:rPr>
                <w:color w:val="000000"/>
                <w:sz w:val="22"/>
                <w:szCs w:val="22"/>
              </w:rPr>
              <w:t xml:space="preserve">.00 </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E80325" w:rsidRPr="00E80325" w:rsidRDefault="00701950" w:rsidP="001A28C0">
            <w:pPr>
              <w:jc w:val="center"/>
            </w:pPr>
            <w:r>
              <w:rPr>
                <w:color w:val="000000"/>
                <w:sz w:val="22"/>
                <w:szCs w:val="22"/>
              </w:rPr>
              <w:t xml:space="preserve"> $ 38,937</w:t>
            </w:r>
            <w:r w:rsidR="00E80325" w:rsidRPr="00E80325">
              <w:rPr>
                <w:color w:val="000000"/>
                <w:sz w:val="22"/>
                <w:szCs w:val="22"/>
              </w:rPr>
              <w:t xml:space="preserve">.00 </w:t>
            </w:r>
          </w:p>
        </w:tc>
      </w:tr>
      <w:tr w:rsidR="00E80325" w:rsidTr="00701950">
        <w:tc>
          <w:tcPr>
            <w:tcW w:w="33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80325" w:rsidRDefault="00E80325" w:rsidP="001A28C0">
            <w:r>
              <w:t>Data Processing and Analysis</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E80325" w:rsidRPr="00E80325" w:rsidRDefault="00701950" w:rsidP="001A28C0">
            <w:pPr>
              <w:jc w:val="center"/>
            </w:pPr>
            <w:r>
              <w:rPr>
                <w:color w:val="000000"/>
                <w:sz w:val="22"/>
                <w:szCs w:val="22"/>
              </w:rPr>
              <w:t xml:space="preserve"> $  51,535</w:t>
            </w:r>
            <w:r w:rsidR="00E80325" w:rsidRPr="00E80325">
              <w:rPr>
                <w:color w:val="000000"/>
                <w:sz w:val="22"/>
                <w:szCs w:val="22"/>
              </w:rPr>
              <w:t xml:space="preserve">.00 </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E80325" w:rsidRPr="00E80325" w:rsidRDefault="00701950" w:rsidP="001A28C0">
            <w:pPr>
              <w:jc w:val="center"/>
            </w:pPr>
            <w:r>
              <w:rPr>
                <w:color w:val="000000"/>
                <w:sz w:val="22"/>
                <w:szCs w:val="22"/>
              </w:rPr>
              <w:t xml:space="preserve"> $ 17,178.33</w:t>
            </w:r>
            <w:r w:rsidR="00E80325" w:rsidRPr="00E80325">
              <w:rPr>
                <w:color w:val="000000"/>
                <w:sz w:val="22"/>
                <w:szCs w:val="22"/>
              </w:rPr>
              <w:t xml:space="preserve"> </w:t>
            </w:r>
          </w:p>
        </w:tc>
      </w:tr>
      <w:tr w:rsidR="00E80325" w:rsidTr="00701950">
        <w:tc>
          <w:tcPr>
            <w:tcW w:w="33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80325" w:rsidRDefault="00E80325" w:rsidP="001A28C0">
            <w:r>
              <w:t>Publication of Results</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E80325" w:rsidRPr="00E80325" w:rsidRDefault="00701950" w:rsidP="001A28C0">
            <w:pPr>
              <w:jc w:val="center"/>
            </w:pPr>
            <w:r>
              <w:rPr>
                <w:color w:val="000000"/>
                <w:sz w:val="22"/>
                <w:szCs w:val="22"/>
              </w:rPr>
              <w:t xml:space="preserve"> $    19,724</w:t>
            </w:r>
            <w:r w:rsidR="00E80325" w:rsidRPr="00E80325">
              <w:rPr>
                <w:color w:val="000000"/>
                <w:sz w:val="22"/>
                <w:szCs w:val="22"/>
              </w:rPr>
              <w:t xml:space="preserve">.00 </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E80325" w:rsidRPr="00E80325" w:rsidRDefault="00701950" w:rsidP="001A28C0">
            <w:pPr>
              <w:jc w:val="center"/>
            </w:pPr>
            <w:r>
              <w:rPr>
                <w:color w:val="000000"/>
                <w:sz w:val="22"/>
                <w:szCs w:val="22"/>
              </w:rPr>
              <w:t xml:space="preserve"> $  6,574.67</w:t>
            </w:r>
            <w:r w:rsidR="00E80325" w:rsidRPr="00E80325">
              <w:rPr>
                <w:color w:val="000000"/>
                <w:sz w:val="22"/>
                <w:szCs w:val="22"/>
              </w:rPr>
              <w:t xml:space="preserve"> </w:t>
            </w:r>
          </w:p>
        </w:tc>
      </w:tr>
      <w:tr w:rsidR="00E80325" w:rsidTr="00701950">
        <w:tc>
          <w:tcPr>
            <w:tcW w:w="33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80325" w:rsidRDefault="00E80325" w:rsidP="001A28C0">
            <w:r>
              <w:t>Project Management</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E80325" w:rsidRPr="00E80325" w:rsidRDefault="00701950" w:rsidP="001A28C0">
            <w:pPr>
              <w:jc w:val="center"/>
            </w:pPr>
            <w:r>
              <w:rPr>
                <w:color w:val="000000"/>
                <w:sz w:val="22"/>
                <w:szCs w:val="22"/>
              </w:rPr>
              <w:t xml:space="preserve"> $    29,086</w:t>
            </w:r>
            <w:r w:rsidR="00E80325" w:rsidRPr="00E80325">
              <w:rPr>
                <w:color w:val="000000"/>
                <w:sz w:val="22"/>
                <w:szCs w:val="22"/>
              </w:rPr>
              <w:t xml:space="preserve">.00 </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E80325" w:rsidRPr="00E80325" w:rsidRDefault="00E80325" w:rsidP="001A28C0">
            <w:pPr>
              <w:jc w:val="center"/>
            </w:pPr>
            <w:r w:rsidRPr="00E80325">
              <w:rPr>
                <w:color w:val="000000"/>
                <w:sz w:val="22"/>
                <w:szCs w:val="22"/>
              </w:rPr>
              <w:t xml:space="preserve"> $  1,650.00 </w:t>
            </w:r>
          </w:p>
        </w:tc>
      </w:tr>
      <w:tr w:rsidR="00E80325" w:rsidTr="00701950">
        <w:tc>
          <w:tcPr>
            <w:tcW w:w="33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80325" w:rsidRDefault="00E80325" w:rsidP="001A28C0">
            <w:r>
              <w:t>Overhead</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E80325" w:rsidRPr="00E80325" w:rsidRDefault="00701950" w:rsidP="001A28C0">
            <w:pPr>
              <w:jc w:val="center"/>
            </w:pPr>
            <w:r>
              <w:rPr>
                <w:color w:val="000000"/>
                <w:sz w:val="22"/>
                <w:szCs w:val="22"/>
              </w:rPr>
              <w:t xml:space="preserve"> $    24,362</w:t>
            </w:r>
            <w:r w:rsidR="00E80325" w:rsidRPr="00E80325">
              <w:rPr>
                <w:color w:val="000000"/>
                <w:sz w:val="22"/>
                <w:szCs w:val="22"/>
              </w:rPr>
              <w:t xml:space="preserve">.00 </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E80325" w:rsidRPr="00E80325" w:rsidRDefault="00701950" w:rsidP="001A28C0">
            <w:pPr>
              <w:jc w:val="center"/>
            </w:pPr>
            <w:r>
              <w:rPr>
                <w:color w:val="000000"/>
                <w:sz w:val="22"/>
                <w:szCs w:val="22"/>
              </w:rPr>
              <w:t xml:space="preserve"> $  9,695.33</w:t>
            </w:r>
            <w:r w:rsidR="00E80325" w:rsidRPr="00E80325">
              <w:rPr>
                <w:color w:val="000000"/>
                <w:sz w:val="22"/>
                <w:szCs w:val="22"/>
              </w:rPr>
              <w:t xml:space="preserve"> </w:t>
            </w:r>
          </w:p>
        </w:tc>
      </w:tr>
      <w:tr w:rsidR="00E80325" w:rsidTr="00701950">
        <w:tc>
          <w:tcPr>
            <w:tcW w:w="333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80325" w:rsidRPr="006D1C5E" w:rsidRDefault="00E80325" w:rsidP="001A28C0">
            <w:r w:rsidRPr="006D1C5E">
              <w:rPr>
                <w:b/>
                <w:bCs/>
                <w:color w:val="000000"/>
              </w:rPr>
              <w:t>Total</w:t>
            </w:r>
          </w:p>
        </w:tc>
        <w:tc>
          <w:tcPr>
            <w:tcW w:w="171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E80325" w:rsidRPr="00E80325" w:rsidRDefault="00701950" w:rsidP="001A28C0">
            <w:pPr>
              <w:jc w:val="center"/>
              <w:rPr>
                <w:color w:val="000000"/>
                <w:sz w:val="22"/>
                <w:szCs w:val="22"/>
              </w:rPr>
            </w:pPr>
            <w:r>
              <w:rPr>
                <w:color w:val="000000"/>
                <w:sz w:val="22"/>
                <w:szCs w:val="22"/>
              </w:rPr>
              <w:t xml:space="preserve"> $  276,242</w:t>
            </w:r>
            <w:r w:rsidR="00E80325" w:rsidRPr="00E80325">
              <w:rPr>
                <w:color w:val="000000"/>
                <w:sz w:val="22"/>
                <w:szCs w:val="22"/>
              </w:rPr>
              <w:t xml:space="preserve">.00 </w:t>
            </w:r>
          </w:p>
        </w:tc>
        <w:tc>
          <w:tcPr>
            <w:tcW w:w="19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E80325" w:rsidRPr="00E80325" w:rsidRDefault="00701950" w:rsidP="001A28C0">
            <w:pPr>
              <w:jc w:val="center"/>
              <w:rPr>
                <w:color w:val="000000"/>
                <w:sz w:val="22"/>
                <w:szCs w:val="22"/>
              </w:rPr>
            </w:pPr>
            <w:r>
              <w:rPr>
                <w:color w:val="000000"/>
                <w:sz w:val="22"/>
                <w:szCs w:val="22"/>
              </w:rPr>
              <w:t xml:space="preserve"> $ 92,080.67</w:t>
            </w:r>
            <w:r w:rsidR="00E80325" w:rsidRPr="00E80325">
              <w:rPr>
                <w:color w:val="000000"/>
                <w:sz w:val="22"/>
                <w:szCs w:val="22"/>
              </w:rPr>
              <w:t xml:space="preserve"> </w:t>
            </w:r>
          </w:p>
        </w:tc>
      </w:tr>
    </w:tbl>
    <w:p w:rsidR="00851FDA" w:rsidRDefault="00851FDA" w:rsidP="00851FDA">
      <w:pPr>
        <w:ind w:firstLine="90"/>
        <w:rPr>
          <w:b/>
        </w:rPr>
      </w:pPr>
    </w:p>
    <w:p w:rsidR="00A77D91" w:rsidRDefault="00A77D91" w:rsidP="00851FDA">
      <w:pPr>
        <w:ind w:firstLine="90"/>
        <w:rPr>
          <w:b/>
        </w:rPr>
      </w:pPr>
    </w:p>
    <w:p w:rsidR="00A77D91" w:rsidRDefault="00A77D91" w:rsidP="00851FDA">
      <w:pPr>
        <w:ind w:firstLine="90"/>
        <w:rPr>
          <w:b/>
        </w:rPr>
      </w:pPr>
    </w:p>
    <w:p w:rsidR="00A77D91" w:rsidRDefault="00A77D91" w:rsidP="00851FDA">
      <w:pPr>
        <w:ind w:firstLine="90"/>
        <w:rPr>
          <w:b/>
        </w:rPr>
      </w:pPr>
    </w:p>
    <w:p w:rsidR="00851FDA" w:rsidRPr="00DA79B5" w:rsidRDefault="00851FDA" w:rsidP="00851FDA">
      <w:pPr>
        <w:ind w:firstLine="90"/>
        <w:rPr>
          <w:b/>
        </w:rPr>
      </w:pPr>
      <w:proofErr w:type="gramStart"/>
      <w:r w:rsidRPr="00DA79B5">
        <w:rPr>
          <w:b/>
        </w:rPr>
        <w:t>Exhibit 3b.</w:t>
      </w:r>
      <w:proofErr w:type="gramEnd"/>
      <w:r w:rsidRPr="00DA79B5">
        <w:rPr>
          <w:b/>
        </w:rPr>
        <w:t xml:space="preserve"> Federal Government Personnel Cost</w:t>
      </w:r>
    </w:p>
    <w:tbl>
      <w:tblPr>
        <w:tblW w:w="9466" w:type="dxa"/>
        <w:jc w:val="center"/>
        <w:tblInd w:w="-1261" w:type="dxa"/>
        <w:tblLayout w:type="fixed"/>
        <w:tblCellMar>
          <w:left w:w="100" w:type="dxa"/>
          <w:right w:w="100" w:type="dxa"/>
        </w:tblCellMar>
        <w:tblLook w:val="04A0" w:firstRow="1" w:lastRow="0" w:firstColumn="1" w:lastColumn="0" w:noHBand="0" w:noVBand="1"/>
      </w:tblPr>
      <w:tblGrid>
        <w:gridCol w:w="1763"/>
        <w:gridCol w:w="2790"/>
        <w:gridCol w:w="2677"/>
        <w:gridCol w:w="918"/>
        <w:gridCol w:w="1318"/>
      </w:tblGrid>
      <w:tr w:rsidR="00851FDA" w:rsidRPr="00DA79B5" w:rsidTr="00221B97">
        <w:trPr>
          <w:cantSplit/>
          <w:trHeight w:val="403"/>
          <w:jc w:val="center"/>
        </w:trPr>
        <w:tc>
          <w:tcPr>
            <w:tcW w:w="1763" w:type="dxa"/>
            <w:tcBorders>
              <w:top w:val="single" w:sz="6" w:space="0" w:color="auto"/>
              <w:left w:val="single" w:sz="6" w:space="0" w:color="auto"/>
              <w:bottom w:val="nil"/>
              <w:right w:val="nil"/>
            </w:tcBorders>
            <w:vAlign w:val="bottom"/>
          </w:tcPr>
          <w:p w:rsidR="00851FDA" w:rsidRPr="00DA79B5" w:rsidRDefault="00851FDA" w:rsidP="00C2183A">
            <w:pPr>
              <w:jc w:val="center"/>
              <w:rPr>
                <w:b/>
                <w:bCs/>
              </w:rPr>
            </w:pPr>
            <w:r w:rsidRPr="00DA79B5">
              <w:rPr>
                <w:b/>
                <w:bCs/>
              </w:rPr>
              <w:t>Activity</w:t>
            </w:r>
          </w:p>
        </w:tc>
        <w:tc>
          <w:tcPr>
            <w:tcW w:w="2790" w:type="dxa"/>
            <w:tcBorders>
              <w:top w:val="single" w:sz="6" w:space="0" w:color="auto"/>
              <w:left w:val="single" w:sz="6" w:space="0" w:color="auto"/>
              <w:bottom w:val="single" w:sz="6" w:space="0" w:color="auto"/>
              <w:right w:val="nil"/>
            </w:tcBorders>
            <w:vAlign w:val="bottom"/>
          </w:tcPr>
          <w:p w:rsidR="00851FDA" w:rsidRPr="00DA79B5" w:rsidRDefault="00851FDA" w:rsidP="00C2183A">
            <w:pPr>
              <w:jc w:val="center"/>
              <w:rPr>
                <w:b/>
                <w:bCs/>
              </w:rPr>
            </w:pPr>
            <w:r w:rsidRPr="00DA79B5">
              <w:rPr>
                <w:b/>
                <w:bCs/>
              </w:rPr>
              <w:t>Federal Personnel</w:t>
            </w:r>
          </w:p>
        </w:tc>
        <w:tc>
          <w:tcPr>
            <w:tcW w:w="2677" w:type="dxa"/>
            <w:tcBorders>
              <w:top w:val="single" w:sz="6" w:space="0" w:color="auto"/>
              <w:left w:val="single" w:sz="6" w:space="0" w:color="auto"/>
              <w:bottom w:val="single" w:sz="6" w:space="0" w:color="auto"/>
              <w:right w:val="single" w:sz="6" w:space="0" w:color="auto"/>
            </w:tcBorders>
            <w:vAlign w:val="bottom"/>
          </w:tcPr>
          <w:p w:rsidR="00851FDA" w:rsidRPr="00DA79B5" w:rsidRDefault="00851FDA" w:rsidP="00C2183A">
            <w:pPr>
              <w:jc w:val="center"/>
              <w:rPr>
                <w:b/>
                <w:bCs/>
              </w:rPr>
            </w:pPr>
            <w:r w:rsidRPr="00DA79B5">
              <w:rPr>
                <w:b/>
                <w:bCs/>
              </w:rPr>
              <w:t>Hourly Rate</w:t>
            </w:r>
          </w:p>
        </w:tc>
        <w:tc>
          <w:tcPr>
            <w:tcW w:w="918" w:type="dxa"/>
            <w:tcBorders>
              <w:top w:val="single" w:sz="6" w:space="0" w:color="auto"/>
              <w:left w:val="single" w:sz="6" w:space="0" w:color="auto"/>
              <w:bottom w:val="single" w:sz="6" w:space="0" w:color="auto"/>
              <w:right w:val="nil"/>
            </w:tcBorders>
            <w:vAlign w:val="bottom"/>
          </w:tcPr>
          <w:p w:rsidR="00851FDA" w:rsidRPr="00DA79B5" w:rsidRDefault="00851FDA" w:rsidP="00C2183A">
            <w:pPr>
              <w:jc w:val="center"/>
              <w:rPr>
                <w:b/>
                <w:bCs/>
              </w:rPr>
            </w:pPr>
            <w:r w:rsidRPr="00DA79B5">
              <w:rPr>
                <w:b/>
                <w:bCs/>
              </w:rPr>
              <w:t>Estimated Hours</w:t>
            </w:r>
          </w:p>
        </w:tc>
        <w:tc>
          <w:tcPr>
            <w:tcW w:w="1318" w:type="dxa"/>
            <w:tcBorders>
              <w:top w:val="single" w:sz="6" w:space="0" w:color="auto"/>
              <w:left w:val="single" w:sz="6" w:space="0" w:color="auto"/>
              <w:bottom w:val="single" w:sz="6" w:space="0" w:color="auto"/>
              <w:right w:val="single" w:sz="6" w:space="0" w:color="auto"/>
            </w:tcBorders>
            <w:vAlign w:val="bottom"/>
          </w:tcPr>
          <w:p w:rsidR="00851FDA" w:rsidRPr="00DA79B5" w:rsidRDefault="00851FDA" w:rsidP="00C2183A">
            <w:pPr>
              <w:jc w:val="center"/>
              <w:rPr>
                <w:b/>
                <w:bCs/>
              </w:rPr>
            </w:pPr>
            <w:r w:rsidRPr="00DA79B5">
              <w:rPr>
                <w:b/>
                <w:bCs/>
              </w:rPr>
              <w:t>Cost</w:t>
            </w:r>
          </w:p>
        </w:tc>
      </w:tr>
      <w:tr w:rsidR="00851FDA" w:rsidRPr="00DA79B5" w:rsidTr="00221B97">
        <w:trPr>
          <w:cantSplit/>
          <w:trHeight w:val="403"/>
          <w:jc w:val="center"/>
        </w:trPr>
        <w:tc>
          <w:tcPr>
            <w:tcW w:w="1763" w:type="dxa"/>
            <w:tcBorders>
              <w:top w:val="single" w:sz="6" w:space="0" w:color="auto"/>
              <w:left w:val="single" w:sz="6" w:space="0" w:color="auto"/>
              <w:bottom w:val="nil"/>
              <w:right w:val="nil"/>
            </w:tcBorders>
            <w:vAlign w:val="bottom"/>
          </w:tcPr>
          <w:p w:rsidR="00851FDA" w:rsidRPr="00DA79B5" w:rsidRDefault="00851FDA" w:rsidP="00C2183A">
            <w:r w:rsidRPr="00DA79B5">
              <w:t>Data Collection Oversight</w:t>
            </w:r>
          </w:p>
        </w:tc>
        <w:tc>
          <w:tcPr>
            <w:tcW w:w="2790" w:type="dxa"/>
            <w:tcBorders>
              <w:top w:val="single" w:sz="6" w:space="0" w:color="auto"/>
              <w:left w:val="single" w:sz="6" w:space="0" w:color="auto"/>
              <w:bottom w:val="single" w:sz="6" w:space="0" w:color="auto"/>
              <w:right w:val="nil"/>
            </w:tcBorders>
          </w:tcPr>
          <w:p w:rsidR="00851FDA" w:rsidRPr="00DA79B5" w:rsidRDefault="00F80515" w:rsidP="00C2183A">
            <w:pPr>
              <w:jc w:val="center"/>
            </w:pPr>
            <w:r>
              <w:t>Health Communications Specialist</w:t>
            </w:r>
            <w:r w:rsidR="00221B97">
              <w:t xml:space="preserve"> </w:t>
            </w:r>
          </w:p>
        </w:tc>
        <w:tc>
          <w:tcPr>
            <w:tcW w:w="2677" w:type="dxa"/>
            <w:tcBorders>
              <w:top w:val="single" w:sz="6" w:space="0" w:color="auto"/>
              <w:left w:val="single" w:sz="6" w:space="0" w:color="auto"/>
              <w:bottom w:val="single" w:sz="6" w:space="0" w:color="auto"/>
              <w:right w:val="single" w:sz="6" w:space="0" w:color="auto"/>
            </w:tcBorders>
            <w:vAlign w:val="bottom"/>
          </w:tcPr>
          <w:p w:rsidR="00221B97" w:rsidRDefault="00851FDA" w:rsidP="00C2183A">
            <w:pPr>
              <w:jc w:val="center"/>
            </w:pPr>
            <w:r>
              <w:t xml:space="preserve"> </w:t>
            </w:r>
            <w:r w:rsidR="00221B97">
              <w:t>Grade13/Step 10</w:t>
            </w:r>
          </w:p>
          <w:p w:rsidR="00851FDA" w:rsidRPr="00DA79B5" w:rsidRDefault="00F80515" w:rsidP="00C2183A">
            <w:pPr>
              <w:jc w:val="center"/>
            </w:pPr>
            <w:r>
              <w:t>$56.01</w:t>
            </w:r>
          </w:p>
        </w:tc>
        <w:tc>
          <w:tcPr>
            <w:tcW w:w="918" w:type="dxa"/>
            <w:tcBorders>
              <w:top w:val="single" w:sz="6" w:space="0" w:color="auto"/>
              <w:left w:val="single" w:sz="6" w:space="0" w:color="auto"/>
              <w:bottom w:val="single" w:sz="6" w:space="0" w:color="auto"/>
              <w:right w:val="nil"/>
            </w:tcBorders>
            <w:vAlign w:val="bottom"/>
          </w:tcPr>
          <w:p w:rsidR="00851FDA" w:rsidRPr="00DA79B5" w:rsidRDefault="00851FDA" w:rsidP="00F80515">
            <w:pPr>
              <w:jc w:val="center"/>
            </w:pPr>
            <w:r>
              <w:t xml:space="preserve"> </w:t>
            </w:r>
            <w:r w:rsidR="00F80515">
              <w:t>50</w:t>
            </w:r>
          </w:p>
        </w:tc>
        <w:tc>
          <w:tcPr>
            <w:tcW w:w="1318" w:type="dxa"/>
            <w:tcBorders>
              <w:top w:val="single" w:sz="6" w:space="0" w:color="auto"/>
              <w:left w:val="single" w:sz="6" w:space="0" w:color="auto"/>
              <w:bottom w:val="single" w:sz="6" w:space="0" w:color="auto"/>
              <w:right w:val="single" w:sz="6" w:space="0" w:color="auto"/>
            </w:tcBorders>
            <w:vAlign w:val="bottom"/>
          </w:tcPr>
          <w:p w:rsidR="00851FDA" w:rsidRPr="00DA79B5" w:rsidRDefault="00F80515" w:rsidP="00F80515">
            <w:pPr>
              <w:jc w:val="center"/>
            </w:pPr>
            <w:r>
              <w:t>$2,800.50</w:t>
            </w:r>
            <w:r w:rsidR="00851FDA">
              <w:t xml:space="preserve"> </w:t>
            </w:r>
          </w:p>
        </w:tc>
      </w:tr>
      <w:tr w:rsidR="00851FDA" w:rsidRPr="00DA79B5" w:rsidTr="00221B97">
        <w:trPr>
          <w:cantSplit/>
          <w:trHeight w:val="403"/>
          <w:jc w:val="center"/>
        </w:trPr>
        <w:tc>
          <w:tcPr>
            <w:tcW w:w="1763" w:type="dxa"/>
            <w:tcBorders>
              <w:top w:val="single" w:sz="6" w:space="0" w:color="auto"/>
              <w:left w:val="single" w:sz="6" w:space="0" w:color="auto"/>
              <w:bottom w:val="nil"/>
              <w:right w:val="nil"/>
            </w:tcBorders>
            <w:vAlign w:val="bottom"/>
          </w:tcPr>
          <w:p w:rsidR="00851FDA" w:rsidRPr="00DA79B5" w:rsidRDefault="00851FDA" w:rsidP="00C2183A">
            <w:r w:rsidRPr="00DA79B5">
              <w:t>Review of Results</w:t>
            </w:r>
          </w:p>
        </w:tc>
        <w:tc>
          <w:tcPr>
            <w:tcW w:w="2790" w:type="dxa"/>
            <w:tcBorders>
              <w:top w:val="single" w:sz="6" w:space="0" w:color="auto"/>
              <w:left w:val="single" w:sz="6" w:space="0" w:color="auto"/>
              <w:bottom w:val="single" w:sz="6" w:space="0" w:color="auto"/>
              <w:right w:val="nil"/>
            </w:tcBorders>
          </w:tcPr>
          <w:p w:rsidR="00851FDA" w:rsidRPr="00DA79B5" w:rsidRDefault="00F80515" w:rsidP="00C2183A">
            <w:pPr>
              <w:jc w:val="center"/>
            </w:pPr>
            <w:r>
              <w:t>Health Communications Specialist</w:t>
            </w:r>
          </w:p>
        </w:tc>
        <w:tc>
          <w:tcPr>
            <w:tcW w:w="2677" w:type="dxa"/>
            <w:tcBorders>
              <w:top w:val="single" w:sz="6" w:space="0" w:color="auto"/>
              <w:left w:val="single" w:sz="6" w:space="0" w:color="auto"/>
              <w:bottom w:val="single" w:sz="6" w:space="0" w:color="auto"/>
              <w:right w:val="single" w:sz="6" w:space="0" w:color="auto"/>
            </w:tcBorders>
            <w:vAlign w:val="bottom"/>
          </w:tcPr>
          <w:p w:rsidR="00221B97" w:rsidRDefault="00221B97" w:rsidP="00221B97">
            <w:pPr>
              <w:jc w:val="center"/>
            </w:pPr>
            <w:r>
              <w:t>Grade13/Step 10</w:t>
            </w:r>
          </w:p>
          <w:p w:rsidR="00851FDA" w:rsidRPr="00DA79B5" w:rsidRDefault="00221B97" w:rsidP="00221B97">
            <w:pPr>
              <w:jc w:val="center"/>
            </w:pPr>
            <w:r>
              <w:t>$56.01</w:t>
            </w:r>
          </w:p>
        </w:tc>
        <w:tc>
          <w:tcPr>
            <w:tcW w:w="918" w:type="dxa"/>
            <w:tcBorders>
              <w:top w:val="single" w:sz="6" w:space="0" w:color="auto"/>
              <w:left w:val="single" w:sz="6" w:space="0" w:color="auto"/>
              <w:bottom w:val="single" w:sz="6" w:space="0" w:color="auto"/>
              <w:right w:val="nil"/>
            </w:tcBorders>
            <w:vAlign w:val="bottom"/>
          </w:tcPr>
          <w:p w:rsidR="00851FDA" w:rsidRPr="00DA79B5" w:rsidRDefault="00851FDA" w:rsidP="00C2183A">
            <w:pPr>
              <w:jc w:val="center"/>
            </w:pPr>
            <w:r>
              <w:t xml:space="preserve"> </w:t>
            </w:r>
            <w:r w:rsidR="00F80515">
              <w:t>40</w:t>
            </w:r>
          </w:p>
        </w:tc>
        <w:tc>
          <w:tcPr>
            <w:tcW w:w="1318" w:type="dxa"/>
            <w:tcBorders>
              <w:top w:val="single" w:sz="6" w:space="0" w:color="auto"/>
              <w:left w:val="single" w:sz="6" w:space="0" w:color="auto"/>
              <w:bottom w:val="single" w:sz="6" w:space="0" w:color="auto"/>
              <w:right w:val="single" w:sz="6" w:space="0" w:color="auto"/>
            </w:tcBorders>
            <w:vAlign w:val="bottom"/>
          </w:tcPr>
          <w:p w:rsidR="00851FDA" w:rsidRPr="00DA79B5" w:rsidRDefault="00F80515" w:rsidP="00C2183A">
            <w:pPr>
              <w:jc w:val="center"/>
            </w:pPr>
            <w:r>
              <w:t>$2,240.40</w:t>
            </w:r>
            <w:r w:rsidR="00851FDA">
              <w:t xml:space="preserve"> </w:t>
            </w:r>
          </w:p>
        </w:tc>
      </w:tr>
      <w:tr w:rsidR="00851FDA" w:rsidRPr="00DA79B5" w:rsidTr="00221B97">
        <w:trPr>
          <w:cantSplit/>
          <w:trHeight w:val="403"/>
          <w:jc w:val="center"/>
        </w:trPr>
        <w:tc>
          <w:tcPr>
            <w:tcW w:w="8148" w:type="dxa"/>
            <w:gridSpan w:val="4"/>
            <w:tcBorders>
              <w:top w:val="single" w:sz="6" w:space="0" w:color="auto"/>
              <w:left w:val="single" w:sz="6" w:space="0" w:color="auto"/>
              <w:bottom w:val="single" w:sz="6" w:space="0" w:color="auto"/>
              <w:right w:val="nil"/>
            </w:tcBorders>
            <w:vAlign w:val="bottom"/>
            <w:hideMark/>
          </w:tcPr>
          <w:p w:rsidR="00851FDA" w:rsidRPr="00DA79B5" w:rsidRDefault="00851FDA" w:rsidP="00C2183A">
            <w:pPr>
              <w:rPr>
                <w:b/>
                <w:bCs/>
              </w:rPr>
            </w:pPr>
            <w:r w:rsidRPr="00DA79B5">
              <w:rPr>
                <w:b/>
                <w:bCs/>
              </w:rPr>
              <w:t>Total</w:t>
            </w:r>
          </w:p>
        </w:tc>
        <w:tc>
          <w:tcPr>
            <w:tcW w:w="1318" w:type="dxa"/>
            <w:tcBorders>
              <w:top w:val="single" w:sz="6" w:space="0" w:color="auto"/>
              <w:left w:val="single" w:sz="6" w:space="0" w:color="auto"/>
              <w:bottom w:val="single" w:sz="6" w:space="0" w:color="auto"/>
              <w:right w:val="single" w:sz="6" w:space="0" w:color="auto"/>
            </w:tcBorders>
            <w:vAlign w:val="bottom"/>
            <w:hideMark/>
          </w:tcPr>
          <w:p w:rsidR="00851FDA" w:rsidRPr="00DA79B5" w:rsidRDefault="00D028D8" w:rsidP="00C2183A">
            <w:pPr>
              <w:jc w:val="center"/>
              <w:rPr>
                <w:b/>
                <w:bCs/>
              </w:rPr>
            </w:pPr>
            <w:r>
              <w:rPr>
                <w:b/>
                <w:bCs/>
              </w:rPr>
              <w:t>$5,040.90</w:t>
            </w:r>
          </w:p>
        </w:tc>
      </w:tr>
    </w:tbl>
    <w:p w:rsidR="00012FB9" w:rsidRDefault="001D5A4A" w:rsidP="00124917">
      <w:pPr>
        <w:spacing w:before="100" w:beforeAutospacing="1" w:after="100" w:afterAutospacing="1"/>
      </w:pPr>
      <w:hyperlink r:id="rId10" w:history="1">
        <w:r w:rsidR="00221B97" w:rsidRPr="002C4B1F">
          <w:rPr>
            <w:rStyle w:val="Hyperlink"/>
          </w:rPr>
          <w:t>http://www.opm.gov/policy-data-oversight/pay-leave/salaries-wages/2014/general-schedule/</w:t>
        </w:r>
      </w:hyperlink>
    </w:p>
    <w:p w:rsidR="00221B97" w:rsidRDefault="00221B97" w:rsidP="00124917">
      <w:pPr>
        <w:spacing w:before="100" w:beforeAutospacing="1" w:after="100" w:afterAutospacing="1"/>
      </w:pPr>
    </w:p>
    <w:p w:rsidR="009B633D" w:rsidRPr="00412C6F" w:rsidRDefault="009B633D" w:rsidP="009B633D">
      <w:pPr>
        <w:pStyle w:val="Heading2"/>
        <w:rPr>
          <w:sz w:val="24"/>
        </w:rPr>
      </w:pPr>
      <w:r w:rsidRPr="00412C6F">
        <w:rPr>
          <w:sz w:val="24"/>
        </w:rPr>
        <w:t>15. Changes in Hour Burden</w:t>
      </w:r>
      <w:bookmarkEnd w:id="32"/>
      <w:bookmarkEnd w:id="33"/>
    </w:p>
    <w:p w:rsidR="001C37A3" w:rsidRPr="001C37A3" w:rsidRDefault="001C37A3" w:rsidP="001C37A3">
      <w:pPr>
        <w:spacing w:after="200" w:line="276" w:lineRule="auto"/>
        <w:rPr>
          <w:rFonts w:eastAsia="Calibri"/>
        </w:rPr>
      </w:pPr>
      <w:bookmarkStart w:id="34" w:name="_Toc151782191"/>
      <w:bookmarkStart w:id="35" w:name="_Toc158526231"/>
      <w:r w:rsidRPr="001C37A3">
        <w:rPr>
          <w:rFonts w:eastAsia="Calibri"/>
        </w:rPr>
        <w:t>This submission to OMB is a new request for approval; there is no change in burden.</w:t>
      </w:r>
    </w:p>
    <w:p w:rsidR="009B633D" w:rsidRPr="00412C6F" w:rsidRDefault="009B633D" w:rsidP="009B633D">
      <w:pPr>
        <w:pStyle w:val="Heading2"/>
        <w:rPr>
          <w:sz w:val="24"/>
        </w:rPr>
      </w:pPr>
      <w:r w:rsidRPr="00412C6F">
        <w:rPr>
          <w:sz w:val="24"/>
        </w:rPr>
        <w:t>16. Time Schedule, Publication and Analysis Plans</w:t>
      </w:r>
      <w:bookmarkEnd w:id="34"/>
      <w:bookmarkEnd w:id="35"/>
    </w:p>
    <w:p w:rsidR="001C37A3" w:rsidRPr="00A130F9" w:rsidRDefault="001C37A3" w:rsidP="001C37A3">
      <w:pPr>
        <w:spacing w:after="120"/>
        <w:rPr>
          <w:color w:val="000000"/>
        </w:rPr>
      </w:pPr>
      <w:bookmarkStart w:id="36" w:name="_Toc151782196"/>
      <w:bookmarkStart w:id="37" w:name="_Toc158526232"/>
      <w:r w:rsidRPr="00A130F9">
        <w:t xml:space="preserve">Contingent upon OMB approval, this survey is scheduled to be administered </w:t>
      </w:r>
      <w:r>
        <w:t>from December 2014 through December 2017.</w:t>
      </w:r>
      <w:r w:rsidRPr="00A130F9">
        <w:t xml:space="preserve"> </w:t>
      </w:r>
      <w:r w:rsidRPr="00C65CC1">
        <w:t xml:space="preserve">The primary objective of the analysis of the data collected will be to evaluate </w:t>
      </w:r>
      <w:r w:rsidRPr="00A130F9">
        <w:rPr>
          <w:color w:val="000000"/>
        </w:rPr>
        <w:t xml:space="preserve">the effectiveness of the training modules with respect to knowledge gained, changes in attitudes and confidence regarding CER, application of CER knowledge, and dissemination efforts. </w:t>
      </w:r>
    </w:p>
    <w:p w:rsidR="001C37A3" w:rsidRPr="00524DAB" w:rsidRDefault="001C37A3" w:rsidP="001C37A3">
      <w:pPr>
        <w:spacing w:after="120"/>
      </w:pPr>
      <w:r>
        <w:tab/>
      </w:r>
      <w:r w:rsidRPr="00C65CC1">
        <w:t xml:space="preserve">Tabulations will be conducted for multiple questions via a frequency analysis to </w:t>
      </w:r>
      <w:r w:rsidRPr="00524DAB">
        <w:t xml:space="preserve">measure effectiveness of the modules among </w:t>
      </w:r>
      <w:r w:rsidRPr="000E012C">
        <w:t>nurses, nurse practitioners, physicians, physician assistants, pharmacists, health education specialists, case managers, dieticians, psychologists, medical assistants, social workers</w:t>
      </w:r>
      <w:r>
        <w:t xml:space="preserve">, </w:t>
      </w:r>
      <w:r w:rsidRPr="00524DAB">
        <w:rPr>
          <w:spacing w:val="-2"/>
        </w:rPr>
        <w:t>and</w:t>
      </w:r>
      <w:r w:rsidRPr="00524DAB">
        <w:rPr>
          <w:spacing w:val="81"/>
        </w:rPr>
        <w:t xml:space="preserve"> </w:t>
      </w:r>
      <w:r w:rsidRPr="00524DAB">
        <w:rPr>
          <w:spacing w:val="-1"/>
        </w:rPr>
        <w:t>other</w:t>
      </w:r>
      <w:r w:rsidRPr="00524DAB">
        <w:rPr>
          <w:spacing w:val="16"/>
        </w:rPr>
        <w:t xml:space="preserve"> </w:t>
      </w:r>
      <w:r w:rsidRPr="00524DAB">
        <w:rPr>
          <w:spacing w:val="-3"/>
        </w:rPr>
        <w:t>allied</w:t>
      </w:r>
      <w:r w:rsidRPr="00524DAB">
        <w:rPr>
          <w:spacing w:val="15"/>
        </w:rPr>
        <w:t xml:space="preserve"> </w:t>
      </w:r>
      <w:r w:rsidRPr="00524DAB">
        <w:rPr>
          <w:spacing w:val="-1"/>
        </w:rPr>
        <w:t>health</w:t>
      </w:r>
      <w:r w:rsidRPr="00524DAB">
        <w:rPr>
          <w:spacing w:val="15"/>
        </w:rPr>
        <w:t xml:space="preserve"> </w:t>
      </w:r>
      <w:r w:rsidRPr="00524DAB">
        <w:rPr>
          <w:spacing w:val="-2"/>
        </w:rPr>
        <w:t>professionals.</w:t>
      </w:r>
      <w:r w:rsidRPr="00524DAB">
        <w:t xml:space="preserve"> </w:t>
      </w:r>
      <w:r w:rsidRPr="00524DAB">
        <w:lastRenderedPageBreak/>
        <w:t>The majority of data will be descriptive data and will be presented in the form of frequency tables. Simple inferential tests (e.g. paired t-tests) will be employed to examine changes over time between questions asked pre-module, post-module, and 6-months post-module. Should parametric test assumptions not be met, it is also possible to create a categorical variable representing percent change in score (e.g., 0%-25% change; 26%-50% change, 51%-75% change, 76%-100% change) and perform a chi-square goodness-of-fit test to examine the extent to which different background characteristics are distributed as expected across the parameter change categories.  Qualitative responses to open-ended questions related to participants’ reactions to the training and experience applying the learning in practice will be analyzed for common themes. Subject to the quantity of qualitative data, themes will either be analyzed manually or upload</w:t>
      </w:r>
      <w:r>
        <w:t>ed</w:t>
      </w:r>
      <w:r w:rsidRPr="00524DAB">
        <w:t xml:space="preserve"> into AtlasTI for thematic content analysis. </w:t>
      </w:r>
    </w:p>
    <w:p w:rsidR="009B633D" w:rsidRPr="00424E6E" w:rsidRDefault="009B633D" w:rsidP="009B633D">
      <w:pPr>
        <w:pStyle w:val="Heading2"/>
        <w:rPr>
          <w:sz w:val="24"/>
        </w:rPr>
      </w:pPr>
      <w:r w:rsidRPr="00424E6E">
        <w:rPr>
          <w:sz w:val="24"/>
        </w:rPr>
        <w:t>17. Exemption for Display of Expiration Date</w:t>
      </w:r>
      <w:bookmarkEnd w:id="36"/>
      <w:bookmarkEnd w:id="37"/>
    </w:p>
    <w:p w:rsidR="009B633D" w:rsidRDefault="009B633D" w:rsidP="009B633D">
      <w:r w:rsidRPr="004F03D2">
        <w:t>AHRQ does not seek this exemption</w:t>
      </w:r>
      <w:r>
        <w:t>.</w:t>
      </w:r>
    </w:p>
    <w:p w:rsidR="007069D2" w:rsidRDefault="007069D2" w:rsidP="00450538">
      <w:pPr>
        <w:pStyle w:val="NormalWeb"/>
        <w:rPr>
          <w:rFonts w:ascii="Arial" w:hAnsi="Arial" w:cs="Arial"/>
          <w:b/>
        </w:rPr>
      </w:pPr>
    </w:p>
    <w:p w:rsidR="00016560" w:rsidRPr="00016560" w:rsidRDefault="00904CC3" w:rsidP="00450538">
      <w:pPr>
        <w:pStyle w:val="NormalWeb"/>
        <w:rPr>
          <w:rFonts w:ascii="Arial" w:hAnsi="Arial" w:cs="Arial"/>
          <w:b/>
        </w:rPr>
      </w:pPr>
      <w:r>
        <w:rPr>
          <w:rFonts w:ascii="Arial" w:hAnsi="Arial" w:cs="Arial"/>
          <w:b/>
        </w:rPr>
        <w:t xml:space="preserve">List of </w:t>
      </w:r>
      <w:r w:rsidR="00016560" w:rsidRPr="00016560">
        <w:rPr>
          <w:rFonts w:ascii="Arial" w:hAnsi="Arial" w:cs="Arial"/>
          <w:b/>
        </w:rPr>
        <w:t>Attachments:</w:t>
      </w:r>
    </w:p>
    <w:p w:rsidR="00621380" w:rsidRDefault="008573ED" w:rsidP="00621380">
      <w:r>
        <w:t xml:space="preserve">Attachment </w:t>
      </w:r>
      <w:r w:rsidR="00621380">
        <w:t>A</w:t>
      </w:r>
      <w:r w:rsidR="008E4FC9">
        <w:t xml:space="preserve"> </w:t>
      </w:r>
      <w:r w:rsidR="00621380">
        <w:t>– “Measuring Attitudes on AHRQ’s Continuing Education Resources:</w:t>
      </w:r>
    </w:p>
    <w:p w:rsidR="00414FF4" w:rsidRDefault="00621380" w:rsidP="007208E0">
      <w:r>
        <w:t xml:space="preserve"> A Survey after 6 Months”</w:t>
      </w:r>
    </w:p>
    <w:p w:rsidR="00414FF4" w:rsidRDefault="00414FF4" w:rsidP="007208E0"/>
    <w:p w:rsidR="00414FF4" w:rsidRDefault="00414FF4" w:rsidP="007208E0">
      <w:r w:rsidRPr="00B3535B">
        <w:t>Attachment B – “6 Month Follow Up Survey Email”</w:t>
      </w:r>
    </w:p>
    <w:p w:rsidR="00414FF4" w:rsidRDefault="00414FF4" w:rsidP="007208E0"/>
    <w:p w:rsidR="00A15D49" w:rsidRDefault="00A15D49" w:rsidP="007208E0">
      <w:r>
        <w:t xml:space="preserve">Attachment </w:t>
      </w:r>
      <w:r w:rsidR="001D5A4A">
        <w:t>C</w:t>
      </w:r>
      <w:bookmarkStart w:id="38" w:name="_GoBack"/>
      <w:bookmarkEnd w:id="38"/>
      <w:r w:rsidR="008E4FC9">
        <w:t xml:space="preserve"> --</w:t>
      </w:r>
      <w:r w:rsidR="008573ED">
        <w:t xml:space="preserve">  </w:t>
      </w:r>
      <w:r>
        <w:t>Federal Register Notice</w:t>
      </w:r>
    </w:p>
    <w:p w:rsidR="00955553" w:rsidRDefault="00955553" w:rsidP="00F94B00">
      <w:pPr>
        <w:pStyle w:val="EndnoteText"/>
        <w:tabs>
          <w:tab w:val="left" w:pos="360"/>
          <w:tab w:val="left" w:pos="720"/>
          <w:tab w:val="left" w:pos="1080"/>
          <w:tab w:val="left" w:pos="4680"/>
          <w:tab w:val="left" w:pos="5940"/>
        </w:tabs>
      </w:pPr>
    </w:p>
    <w:sectPr w:rsidR="00955553" w:rsidSect="009B633D">
      <w:footerReference w:type="even" r:id="rId11"/>
      <w:footerReference w:type="default" r:id="rId12"/>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D79" w:rsidRDefault="00086D79">
      <w:r>
        <w:separator/>
      </w:r>
    </w:p>
  </w:endnote>
  <w:endnote w:type="continuationSeparator" w:id="0">
    <w:p w:rsidR="00086D79" w:rsidRDefault="0008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CE" w:rsidRDefault="00623108" w:rsidP="009B633D">
    <w:pPr>
      <w:pStyle w:val="Footer"/>
      <w:framePr w:wrap="around" w:vAnchor="text" w:hAnchor="margin" w:xAlign="center" w:y="1"/>
      <w:rPr>
        <w:rStyle w:val="PageNumber"/>
      </w:rPr>
    </w:pPr>
    <w:r>
      <w:rPr>
        <w:rStyle w:val="PageNumber"/>
      </w:rPr>
      <w:fldChar w:fldCharType="begin"/>
    </w:r>
    <w:r w:rsidR="00B556CE">
      <w:rPr>
        <w:rStyle w:val="PageNumber"/>
      </w:rPr>
      <w:instrText xml:space="preserve">PAGE  </w:instrText>
    </w:r>
    <w:r>
      <w:rPr>
        <w:rStyle w:val="PageNumber"/>
      </w:rPr>
      <w:fldChar w:fldCharType="end"/>
    </w:r>
  </w:p>
  <w:p w:rsidR="00B556CE" w:rsidRDefault="00B556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6CE" w:rsidRDefault="00623108" w:rsidP="009B633D">
    <w:pPr>
      <w:pStyle w:val="Footer"/>
      <w:framePr w:wrap="around" w:vAnchor="text" w:hAnchor="margin" w:xAlign="center" w:y="1"/>
      <w:rPr>
        <w:rStyle w:val="PageNumber"/>
      </w:rPr>
    </w:pPr>
    <w:r>
      <w:rPr>
        <w:rStyle w:val="PageNumber"/>
      </w:rPr>
      <w:fldChar w:fldCharType="begin"/>
    </w:r>
    <w:r w:rsidR="00B556CE">
      <w:rPr>
        <w:rStyle w:val="PageNumber"/>
      </w:rPr>
      <w:instrText xml:space="preserve">PAGE  </w:instrText>
    </w:r>
    <w:r>
      <w:rPr>
        <w:rStyle w:val="PageNumber"/>
      </w:rPr>
      <w:fldChar w:fldCharType="separate"/>
    </w:r>
    <w:r w:rsidR="001D5A4A">
      <w:rPr>
        <w:rStyle w:val="PageNumber"/>
        <w:noProof/>
      </w:rPr>
      <w:t>- 10 -</w:t>
    </w:r>
    <w:r>
      <w:rPr>
        <w:rStyle w:val="PageNumber"/>
      </w:rPr>
      <w:fldChar w:fldCharType="end"/>
    </w:r>
  </w:p>
  <w:p w:rsidR="00B556CE" w:rsidRDefault="00B556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D79" w:rsidRDefault="00086D79">
      <w:r>
        <w:separator/>
      </w:r>
    </w:p>
  </w:footnote>
  <w:footnote w:type="continuationSeparator" w:id="0">
    <w:p w:rsidR="00086D79" w:rsidRDefault="00086D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
    <w:nsid w:val="02B206E1"/>
    <w:multiLevelType w:val="hybridMultilevel"/>
    <w:tmpl w:val="26AA8D38"/>
    <w:lvl w:ilvl="0" w:tplc="0409000F">
      <w:start w:val="1"/>
      <w:numFmt w:val="decimal"/>
      <w:lvlText w:val="%1."/>
      <w:lvlJc w:val="left"/>
      <w:pPr>
        <w:tabs>
          <w:tab w:val="num" w:pos="720"/>
        </w:tabs>
        <w:ind w:left="720" w:hanging="360"/>
      </w:pPr>
      <w:rPr>
        <w:rFonts w:hint="default"/>
        <w:sz w:val="16"/>
        <w:szCs w:val="16"/>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0">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A995858"/>
    <w:multiLevelType w:val="hybridMultilevel"/>
    <w:tmpl w:val="45E014A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Times New (W1)"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Times New (W1)"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Times New (W1)"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4">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W1)"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18">
    <w:nsid w:val="45742510"/>
    <w:multiLevelType w:val="hybridMultilevel"/>
    <w:tmpl w:val="5E7C2A18"/>
    <w:lvl w:ilvl="0" w:tplc="FA2C2326">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8">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cs="Times New (W1)"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cs="Times New (W1)"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cs="Times New (W1)" w:hint="default"/>
      </w:rPr>
    </w:lvl>
    <w:lvl w:ilvl="8">
      <w:start w:val="1"/>
      <w:numFmt w:val="bullet"/>
      <w:lvlText w:val=""/>
      <w:lvlJc w:val="left"/>
      <w:pPr>
        <w:tabs>
          <w:tab w:val="num" w:pos="6372"/>
        </w:tabs>
        <w:ind w:left="6372" w:hanging="360"/>
      </w:pPr>
      <w:rPr>
        <w:rFonts w:ascii="Wingdings" w:hAnsi="Wingdings" w:hint="default"/>
      </w:rPr>
    </w:lvl>
  </w:abstractNum>
  <w:abstractNum w:abstractNumId="29">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26875F0"/>
    <w:multiLevelType w:val="hybridMultilevel"/>
    <w:tmpl w:val="42BCA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W1)"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W1)"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6DB2E79"/>
    <w:multiLevelType w:val="hybridMultilevel"/>
    <w:tmpl w:val="4886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cs="Times New (W1)"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Times New (W1)"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Times New (W1)"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2713B2B"/>
    <w:multiLevelType w:val="hybridMultilevel"/>
    <w:tmpl w:val="3DD2108A"/>
    <w:lvl w:ilvl="0" w:tplc="0409000F">
      <w:start w:val="1"/>
      <w:numFmt w:val="decimal"/>
      <w:lvlText w:val="%1."/>
      <w:lvlJc w:val="left"/>
      <w:pPr>
        <w:ind w:left="168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43">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Times New (W1)"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W1)"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W1)"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77850503"/>
    <w:multiLevelType w:val="hybridMultilevel"/>
    <w:tmpl w:val="06B6AF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8836DA"/>
    <w:multiLevelType w:val="hybridMultilevel"/>
    <w:tmpl w:val="1DC69BC0"/>
    <w:lvl w:ilvl="0" w:tplc="D9E81D0E">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47">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New (W1)"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46"/>
  </w:num>
  <w:num w:numId="7">
    <w:abstractNumId w:val="34"/>
  </w:num>
  <w:num w:numId="8">
    <w:abstractNumId w:val="30"/>
  </w:num>
  <w:num w:numId="9">
    <w:abstractNumId w:val="33"/>
  </w:num>
  <w:num w:numId="10">
    <w:abstractNumId w:val="11"/>
  </w:num>
  <w:num w:numId="11">
    <w:abstractNumId w:val="29"/>
  </w:num>
  <w:num w:numId="12">
    <w:abstractNumId w:val="45"/>
  </w:num>
  <w:num w:numId="13">
    <w:abstractNumId w:val="7"/>
  </w:num>
  <w:num w:numId="14">
    <w:abstractNumId w:val="14"/>
  </w:num>
  <w:num w:numId="15">
    <w:abstractNumId w:val="27"/>
  </w:num>
  <w:num w:numId="16">
    <w:abstractNumId w:val="43"/>
  </w:num>
  <w:num w:numId="17">
    <w:abstractNumId w:val="37"/>
  </w:num>
  <w:num w:numId="18">
    <w:abstractNumId w:val="16"/>
  </w:num>
  <w:num w:numId="19">
    <w:abstractNumId w:val="26"/>
  </w:num>
  <w:num w:numId="20">
    <w:abstractNumId w:val="8"/>
  </w:num>
  <w:num w:numId="21">
    <w:abstractNumId w:val="40"/>
  </w:num>
  <w:num w:numId="22">
    <w:abstractNumId w:val="1"/>
  </w:num>
  <w:num w:numId="23">
    <w:abstractNumId w:val="35"/>
  </w:num>
  <w:num w:numId="24">
    <w:abstractNumId w:val="32"/>
  </w:num>
  <w:num w:numId="25">
    <w:abstractNumId w:val="4"/>
  </w:num>
  <w:num w:numId="26">
    <w:abstractNumId w:val="9"/>
  </w:num>
  <w:num w:numId="27">
    <w:abstractNumId w:val="28"/>
  </w:num>
  <w:num w:numId="28">
    <w:abstractNumId w:val="0"/>
  </w:num>
  <w:num w:numId="29">
    <w:abstractNumId w:val="17"/>
  </w:num>
  <w:num w:numId="30">
    <w:abstractNumId w:val="13"/>
  </w:num>
  <w:num w:numId="31">
    <w:abstractNumId w:val="41"/>
  </w:num>
  <w:num w:numId="32">
    <w:abstractNumId w:val="38"/>
  </w:num>
  <w:num w:numId="33">
    <w:abstractNumId w:val="47"/>
  </w:num>
  <w:num w:numId="34">
    <w:abstractNumId w:val="19"/>
  </w:num>
  <w:num w:numId="35">
    <w:abstractNumId w:val="25"/>
  </w:num>
  <w:num w:numId="36">
    <w:abstractNumId w:val="20"/>
  </w:num>
  <w:num w:numId="37">
    <w:abstractNumId w:val="31"/>
  </w:num>
  <w:num w:numId="38">
    <w:abstractNumId w:val="12"/>
  </w:num>
  <w:num w:numId="39">
    <w:abstractNumId w:val="3"/>
  </w:num>
  <w:num w:numId="40">
    <w:abstractNumId w:val="24"/>
  </w:num>
  <w:num w:numId="41">
    <w:abstractNumId w:val="5"/>
  </w:num>
  <w:num w:numId="42">
    <w:abstractNumId w:val="6"/>
  </w:num>
  <w:num w:numId="43">
    <w:abstractNumId w:val="21"/>
  </w:num>
  <w:num w:numId="44">
    <w:abstractNumId w:val="39"/>
  </w:num>
  <w:num w:numId="45">
    <w:abstractNumId w:val="18"/>
  </w:num>
  <w:num w:numId="46">
    <w:abstractNumId w:val="42"/>
  </w:num>
  <w:num w:numId="47">
    <w:abstractNumId w:val="44"/>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28ED"/>
    <w:rsid w:val="00011E85"/>
    <w:rsid w:val="00012921"/>
    <w:rsid w:val="00012FB9"/>
    <w:rsid w:val="00015AAF"/>
    <w:rsid w:val="00016560"/>
    <w:rsid w:val="0001739D"/>
    <w:rsid w:val="00024FEE"/>
    <w:rsid w:val="00033301"/>
    <w:rsid w:val="00037998"/>
    <w:rsid w:val="000427B7"/>
    <w:rsid w:val="00043473"/>
    <w:rsid w:val="00045959"/>
    <w:rsid w:val="00046359"/>
    <w:rsid w:val="000567A0"/>
    <w:rsid w:val="0006207D"/>
    <w:rsid w:val="000637C8"/>
    <w:rsid w:val="00075D4A"/>
    <w:rsid w:val="000769F7"/>
    <w:rsid w:val="000779A9"/>
    <w:rsid w:val="00082047"/>
    <w:rsid w:val="00086D79"/>
    <w:rsid w:val="00094648"/>
    <w:rsid w:val="000A140E"/>
    <w:rsid w:val="000A3475"/>
    <w:rsid w:val="000B2BD0"/>
    <w:rsid w:val="000B4749"/>
    <w:rsid w:val="000B78CB"/>
    <w:rsid w:val="000D429E"/>
    <w:rsid w:val="000D523C"/>
    <w:rsid w:val="000E01D1"/>
    <w:rsid w:val="000E4300"/>
    <w:rsid w:val="000F1328"/>
    <w:rsid w:val="000F2B59"/>
    <w:rsid w:val="00110190"/>
    <w:rsid w:val="00112DF2"/>
    <w:rsid w:val="00120A0C"/>
    <w:rsid w:val="00124917"/>
    <w:rsid w:val="001301AA"/>
    <w:rsid w:val="00131443"/>
    <w:rsid w:val="00166566"/>
    <w:rsid w:val="00166A69"/>
    <w:rsid w:val="001868E0"/>
    <w:rsid w:val="00187A50"/>
    <w:rsid w:val="001A28C0"/>
    <w:rsid w:val="001B1C61"/>
    <w:rsid w:val="001C37A3"/>
    <w:rsid w:val="001C59E4"/>
    <w:rsid w:val="001D5A4A"/>
    <w:rsid w:val="001D759F"/>
    <w:rsid w:val="001E63C6"/>
    <w:rsid w:val="001F0C4B"/>
    <w:rsid w:val="002029AC"/>
    <w:rsid w:val="00211E70"/>
    <w:rsid w:val="00212713"/>
    <w:rsid w:val="00217D40"/>
    <w:rsid w:val="00221B97"/>
    <w:rsid w:val="0022366A"/>
    <w:rsid w:val="0026424E"/>
    <w:rsid w:val="00272E29"/>
    <w:rsid w:val="00291B73"/>
    <w:rsid w:val="0029734C"/>
    <w:rsid w:val="002B382B"/>
    <w:rsid w:val="002B7635"/>
    <w:rsid w:val="002E4FF8"/>
    <w:rsid w:val="002E54EF"/>
    <w:rsid w:val="002F4DE8"/>
    <w:rsid w:val="003235B8"/>
    <w:rsid w:val="00325B9C"/>
    <w:rsid w:val="003270FA"/>
    <w:rsid w:val="00340D97"/>
    <w:rsid w:val="0034325D"/>
    <w:rsid w:val="00350E4E"/>
    <w:rsid w:val="00361F52"/>
    <w:rsid w:val="00365B7B"/>
    <w:rsid w:val="0037254D"/>
    <w:rsid w:val="0037427A"/>
    <w:rsid w:val="00377301"/>
    <w:rsid w:val="0037771B"/>
    <w:rsid w:val="00382146"/>
    <w:rsid w:val="0038217D"/>
    <w:rsid w:val="003A0672"/>
    <w:rsid w:val="003B2951"/>
    <w:rsid w:val="003B5859"/>
    <w:rsid w:val="003B6B41"/>
    <w:rsid w:val="003C60BD"/>
    <w:rsid w:val="003D21A7"/>
    <w:rsid w:val="003D3937"/>
    <w:rsid w:val="003D73D8"/>
    <w:rsid w:val="003E2801"/>
    <w:rsid w:val="003F5921"/>
    <w:rsid w:val="00414C80"/>
    <w:rsid w:val="00414FF4"/>
    <w:rsid w:val="004155E1"/>
    <w:rsid w:val="00425974"/>
    <w:rsid w:val="0043596B"/>
    <w:rsid w:val="00444D3E"/>
    <w:rsid w:val="0044769A"/>
    <w:rsid w:val="00450538"/>
    <w:rsid w:val="00452268"/>
    <w:rsid w:val="00456179"/>
    <w:rsid w:val="004670C2"/>
    <w:rsid w:val="00467163"/>
    <w:rsid w:val="0047504D"/>
    <w:rsid w:val="00480523"/>
    <w:rsid w:val="004811AD"/>
    <w:rsid w:val="004A11AF"/>
    <w:rsid w:val="004A624D"/>
    <w:rsid w:val="004A73ED"/>
    <w:rsid w:val="004A7C7E"/>
    <w:rsid w:val="004C3BA7"/>
    <w:rsid w:val="004C4A74"/>
    <w:rsid w:val="004E16F6"/>
    <w:rsid w:val="004E2B49"/>
    <w:rsid w:val="004E3A1B"/>
    <w:rsid w:val="00501308"/>
    <w:rsid w:val="00505967"/>
    <w:rsid w:val="00510909"/>
    <w:rsid w:val="00520CE0"/>
    <w:rsid w:val="00527BBD"/>
    <w:rsid w:val="00531857"/>
    <w:rsid w:val="00535B56"/>
    <w:rsid w:val="00556066"/>
    <w:rsid w:val="0056238F"/>
    <w:rsid w:val="00581FD2"/>
    <w:rsid w:val="00593E67"/>
    <w:rsid w:val="005A05C6"/>
    <w:rsid w:val="005B2955"/>
    <w:rsid w:val="005B3C01"/>
    <w:rsid w:val="005B62CF"/>
    <w:rsid w:val="005B6FAA"/>
    <w:rsid w:val="005B715B"/>
    <w:rsid w:val="005E49B8"/>
    <w:rsid w:val="005F4B12"/>
    <w:rsid w:val="0060047D"/>
    <w:rsid w:val="006014DB"/>
    <w:rsid w:val="00604437"/>
    <w:rsid w:val="00606400"/>
    <w:rsid w:val="00613C05"/>
    <w:rsid w:val="00620B93"/>
    <w:rsid w:val="00621380"/>
    <w:rsid w:val="00623108"/>
    <w:rsid w:val="00623493"/>
    <w:rsid w:val="00625C1B"/>
    <w:rsid w:val="00626D1D"/>
    <w:rsid w:val="00631C81"/>
    <w:rsid w:val="00632D43"/>
    <w:rsid w:val="00635119"/>
    <w:rsid w:val="00636A0C"/>
    <w:rsid w:val="00655A17"/>
    <w:rsid w:val="0066118A"/>
    <w:rsid w:val="00673146"/>
    <w:rsid w:val="00673643"/>
    <w:rsid w:val="00681080"/>
    <w:rsid w:val="006A28E1"/>
    <w:rsid w:val="006A4D4E"/>
    <w:rsid w:val="006C265F"/>
    <w:rsid w:val="006C38FC"/>
    <w:rsid w:val="006C45D0"/>
    <w:rsid w:val="006D1C5E"/>
    <w:rsid w:val="0070072D"/>
    <w:rsid w:val="00701950"/>
    <w:rsid w:val="00703573"/>
    <w:rsid w:val="00706164"/>
    <w:rsid w:val="007069D2"/>
    <w:rsid w:val="007109B1"/>
    <w:rsid w:val="00710C91"/>
    <w:rsid w:val="007208E0"/>
    <w:rsid w:val="00723075"/>
    <w:rsid w:val="00744D19"/>
    <w:rsid w:val="00747A7E"/>
    <w:rsid w:val="00747D2F"/>
    <w:rsid w:val="00752EA8"/>
    <w:rsid w:val="00765D1A"/>
    <w:rsid w:val="007700A7"/>
    <w:rsid w:val="0077144F"/>
    <w:rsid w:val="007721F3"/>
    <w:rsid w:val="00776654"/>
    <w:rsid w:val="007A265C"/>
    <w:rsid w:val="007A27EF"/>
    <w:rsid w:val="007B0CF3"/>
    <w:rsid w:val="007B3A8E"/>
    <w:rsid w:val="007B6227"/>
    <w:rsid w:val="007C1ECB"/>
    <w:rsid w:val="007D4F9F"/>
    <w:rsid w:val="007E1BA7"/>
    <w:rsid w:val="007E4359"/>
    <w:rsid w:val="00805614"/>
    <w:rsid w:val="0080612B"/>
    <w:rsid w:val="00811735"/>
    <w:rsid w:val="00817DA0"/>
    <w:rsid w:val="00825DA9"/>
    <w:rsid w:val="00827C69"/>
    <w:rsid w:val="0083145C"/>
    <w:rsid w:val="00841047"/>
    <w:rsid w:val="008450C0"/>
    <w:rsid w:val="00851FDA"/>
    <w:rsid w:val="008573ED"/>
    <w:rsid w:val="00861E61"/>
    <w:rsid w:val="00873F74"/>
    <w:rsid w:val="00880DFE"/>
    <w:rsid w:val="00887F65"/>
    <w:rsid w:val="00892655"/>
    <w:rsid w:val="00892ACD"/>
    <w:rsid w:val="008A30B9"/>
    <w:rsid w:val="008A3B87"/>
    <w:rsid w:val="008A48CE"/>
    <w:rsid w:val="008B593F"/>
    <w:rsid w:val="008C580E"/>
    <w:rsid w:val="008D028E"/>
    <w:rsid w:val="008E4FC9"/>
    <w:rsid w:val="008E567E"/>
    <w:rsid w:val="008F02AB"/>
    <w:rsid w:val="008F0B8B"/>
    <w:rsid w:val="008F66C4"/>
    <w:rsid w:val="00904CC3"/>
    <w:rsid w:val="009374DF"/>
    <w:rsid w:val="00955553"/>
    <w:rsid w:val="009746A1"/>
    <w:rsid w:val="009943E2"/>
    <w:rsid w:val="009943E4"/>
    <w:rsid w:val="00994C16"/>
    <w:rsid w:val="0099646C"/>
    <w:rsid w:val="009A237A"/>
    <w:rsid w:val="009A266A"/>
    <w:rsid w:val="009A49A7"/>
    <w:rsid w:val="009B3622"/>
    <w:rsid w:val="009B633D"/>
    <w:rsid w:val="009C4881"/>
    <w:rsid w:val="009D3DBB"/>
    <w:rsid w:val="009F299E"/>
    <w:rsid w:val="009F43EA"/>
    <w:rsid w:val="009F597D"/>
    <w:rsid w:val="00A13D8D"/>
    <w:rsid w:val="00A15D49"/>
    <w:rsid w:val="00A30D9A"/>
    <w:rsid w:val="00A34332"/>
    <w:rsid w:val="00A44855"/>
    <w:rsid w:val="00A4694A"/>
    <w:rsid w:val="00A64E80"/>
    <w:rsid w:val="00A65884"/>
    <w:rsid w:val="00A777E1"/>
    <w:rsid w:val="00A77D91"/>
    <w:rsid w:val="00A835E4"/>
    <w:rsid w:val="00A8749D"/>
    <w:rsid w:val="00A905D8"/>
    <w:rsid w:val="00A935CA"/>
    <w:rsid w:val="00A94219"/>
    <w:rsid w:val="00AA0B6B"/>
    <w:rsid w:val="00AA1DDC"/>
    <w:rsid w:val="00AA3F0B"/>
    <w:rsid w:val="00AA788A"/>
    <w:rsid w:val="00AB1EB8"/>
    <w:rsid w:val="00AD6516"/>
    <w:rsid w:val="00AE4702"/>
    <w:rsid w:val="00AF3626"/>
    <w:rsid w:val="00B238AD"/>
    <w:rsid w:val="00B257FE"/>
    <w:rsid w:val="00B3246C"/>
    <w:rsid w:val="00B3535B"/>
    <w:rsid w:val="00B52533"/>
    <w:rsid w:val="00B556CE"/>
    <w:rsid w:val="00B61FEB"/>
    <w:rsid w:val="00B645ED"/>
    <w:rsid w:val="00B64FA0"/>
    <w:rsid w:val="00B720EC"/>
    <w:rsid w:val="00B762E0"/>
    <w:rsid w:val="00B825D0"/>
    <w:rsid w:val="00B83929"/>
    <w:rsid w:val="00B915F1"/>
    <w:rsid w:val="00BA4F56"/>
    <w:rsid w:val="00BA7D41"/>
    <w:rsid w:val="00BA7DEC"/>
    <w:rsid w:val="00BB1C2F"/>
    <w:rsid w:val="00BB233D"/>
    <w:rsid w:val="00BB2479"/>
    <w:rsid w:val="00BB7136"/>
    <w:rsid w:val="00BC2E2E"/>
    <w:rsid w:val="00BD357C"/>
    <w:rsid w:val="00BE0430"/>
    <w:rsid w:val="00BF735E"/>
    <w:rsid w:val="00C00BD2"/>
    <w:rsid w:val="00C0644C"/>
    <w:rsid w:val="00C163C6"/>
    <w:rsid w:val="00C205C8"/>
    <w:rsid w:val="00C4006D"/>
    <w:rsid w:val="00C44DD8"/>
    <w:rsid w:val="00C65B05"/>
    <w:rsid w:val="00C73F08"/>
    <w:rsid w:val="00C77433"/>
    <w:rsid w:val="00C844D7"/>
    <w:rsid w:val="00C84911"/>
    <w:rsid w:val="00C856C6"/>
    <w:rsid w:val="00C929D4"/>
    <w:rsid w:val="00C933ED"/>
    <w:rsid w:val="00CA136B"/>
    <w:rsid w:val="00CA7470"/>
    <w:rsid w:val="00CC2FEA"/>
    <w:rsid w:val="00CD655B"/>
    <w:rsid w:val="00CE113E"/>
    <w:rsid w:val="00CF3861"/>
    <w:rsid w:val="00D028D8"/>
    <w:rsid w:val="00D0660C"/>
    <w:rsid w:val="00D10BE5"/>
    <w:rsid w:val="00D11271"/>
    <w:rsid w:val="00D150A9"/>
    <w:rsid w:val="00D2521F"/>
    <w:rsid w:val="00D27D52"/>
    <w:rsid w:val="00D32A67"/>
    <w:rsid w:val="00D44D4E"/>
    <w:rsid w:val="00D461CA"/>
    <w:rsid w:val="00D474B5"/>
    <w:rsid w:val="00D543D5"/>
    <w:rsid w:val="00D66E74"/>
    <w:rsid w:val="00D71264"/>
    <w:rsid w:val="00DA097F"/>
    <w:rsid w:val="00DA3E7C"/>
    <w:rsid w:val="00DA73A3"/>
    <w:rsid w:val="00DB221D"/>
    <w:rsid w:val="00DB3948"/>
    <w:rsid w:val="00DB49A0"/>
    <w:rsid w:val="00DC56FA"/>
    <w:rsid w:val="00DD0A49"/>
    <w:rsid w:val="00DD7D58"/>
    <w:rsid w:val="00DF4F3C"/>
    <w:rsid w:val="00DF4F6F"/>
    <w:rsid w:val="00E076A3"/>
    <w:rsid w:val="00E14FC3"/>
    <w:rsid w:val="00E2592B"/>
    <w:rsid w:val="00E329EE"/>
    <w:rsid w:val="00E47851"/>
    <w:rsid w:val="00E52235"/>
    <w:rsid w:val="00E56716"/>
    <w:rsid w:val="00E6289C"/>
    <w:rsid w:val="00E706B3"/>
    <w:rsid w:val="00E7422B"/>
    <w:rsid w:val="00E80325"/>
    <w:rsid w:val="00E97584"/>
    <w:rsid w:val="00EB58F3"/>
    <w:rsid w:val="00ED0EBB"/>
    <w:rsid w:val="00EE4455"/>
    <w:rsid w:val="00F00EF3"/>
    <w:rsid w:val="00F04055"/>
    <w:rsid w:val="00F122B9"/>
    <w:rsid w:val="00F21CD9"/>
    <w:rsid w:val="00F22750"/>
    <w:rsid w:val="00F3207F"/>
    <w:rsid w:val="00F3541A"/>
    <w:rsid w:val="00F3605A"/>
    <w:rsid w:val="00F46275"/>
    <w:rsid w:val="00F5665F"/>
    <w:rsid w:val="00F60488"/>
    <w:rsid w:val="00F631B6"/>
    <w:rsid w:val="00F63BC0"/>
    <w:rsid w:val="00F640FB"/>
    <w:rsid w:val="00F70715"/>
    <w:rsid w:val="00F719B8"/>
    <w:rsid w:val="00F80515"/>
    <w:rsid w:val="00F94B00"/>
    <w:rsid w:val="00F97100"/>
    <w:rsid w:val="00FA03AD"/>
    <w:rsid w:val="00FA2E89"/>
    <w:rsid w:val="00FB4BFF"/>
    <w:rsid w:val="00FB6500"/>
    <w:rsid w:val="00FC430C"/>
    <w:rsid w:val="00FC7332"/>
    <w:rsid w:val="00FD1D9C"/>
    <w:rsid w:val="00FE0D9B"/>
    <w:rsid w:val="00FE65ED"/>
    <w:rsid w:val="00FF42BD"/>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semiHidden/>
    <w:locked/>
    <w:rsid w:val="00E076A3"/>
  </w:style>
  <w:style w:type="paragraph" w:styleId="BodyText">
    <w:name w:val="Body Text"/>
    <w:basedOn w:val="Normal"/>
    <w:link w:val="BodyTextChar"/>
    <w:rsid w:val="00217D40"/>
    <w:pPr>
      <w:spacing w:after="120"/>
    </w:pPr>
  </w:style>
  <w:style w:type="character" w:customStyle="1" w:styleId="BodyTextChar">
    <w:name w:val="Body Text Char"/>
    <w:link w:val="BodyText"/>
    <w:rsid w:val="00217D40"/>
    <w:rPr>
      <w:sz w:val="24"/>
      <w:szCs w:val="24"/>
    </w:rPr>
  </w:style>
  <w:style w:type="paragraph" w:styleId="ListParagraph">
    <w:name w:val="List Paragraph"/>
    <w:basedOn w:val="Normal"/>
    <w:uiPriority w:val="34"/>
    <w:qFormat/>
    <w:rsid w:val="004A73ED"/>
    <w:pPr>
      <w:ind w:left="720"/>
      <w:contextualSpacing/>
    </w:pPr>
  </w:style>
  <w:style w:type="paragraph" w:styleId="Revision">
    <w:name w:val="Revision"/>
    <w:hidden/>
    <w:uiPriority w:val="99"/>
    <w:semiHidden/>
    <w:rsid w:val="003235B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6"/>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15"/>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semiHidden/>
    <w:locked/>
    <w:rsid w:val="00E076A3"/>
  </w:style>
  <w:style w:type="paragraph" w:styleId="BodyText">
    <w:name w:val="Body Text"/>
    <w:basedOn w:val="Normal"/>
    <w:link w:val="BodyTextChar"/>
    <w:rsid w:val="00217D40"/>
    <w:pPr>
      <w:spacing w:after="120"/>
    </w:pPr>
  </w:style>
  <w:style w:type="character" w:customStyle="1" w:styleId="BodyTextChar">
    <w:name w:val="Body Text Char"/>
    <w:link w:val="BodyText"/>
    <w:rsid w:val="00217D40"/>
    <w:rPr>
      <w:sz w:val="24"/>
      <w:szCs w:val="24"/>
    </w:rPr>
  </w:style>
  <w:style w:type="paragraph" w:styleId="ListParagraph">
    <w:name w:val="List Paragraph"/>
    <w:basedOn w:val="Normal"/>
    <w:uiPriority w:val="34"/>
    <w:qFormat/>
    <w:rsid w:val="004A73ED"/>
    <w:pPr>
      <w:ind w:left="720"/>
      <w:contextualSpacing/>
    </w:pPr>
  </w:style>
  <w:style w:type="paragraph" w:styleId="Revision">
    <w:name w:val="Revision"/>
    <w:hidden/>
    <w:uiPriority w:val="99"/>
    <w:semiHidden/>
    <w:rsid w:val="003235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24381199">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hrq.gov/hrqa99.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pm.gov/policy-data-oversight/pay-leave/salaries-wages/2014/general-schedule/"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2872</Words>
  <Characters>17435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20267</CharactersWithSpaces>
  <SharedDoc>false</SharedDoc>
  <HLinks>
    <vt:vector size="6" baseType="variant">
      <vt:variant>
        <vt:i4>6946866</vt:i4>
      </vt:variant>
      <vt:variant>
        <vt:i4>3</vt:i4>
      </vt:variant>
      <vt:variant>
        <vt:i4>0</vt:i4>
      </vt:variant>
      <vt:variant>
        <vt:i4>5</vt:i4>
      </vt:variant>
      <vt:variant>
        <vt:lpwstr>http://www.ahrq.gov/hrqa99.pdf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erwin.brown</cp:lastModifiedBy>
  <cp:revision>3</cp:revision>
  <cp:lastPrinted>2011-07-06T18:06:00Z</cp:lastPrinted>
  <dcterms:created xsi:type="dcterms:W3CDTF">2014-11-17T19:01:00Z</dcterms:created>
  <dcterms:modified xsi:type="dcterms:W3CDTF">2014-11-19T17:35:00Z</dcterms:modified>
</cp:coreProperties>
</file>