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811" w:rsidRDefault="00541811" w:rsidP="003A7999">
      <w:pPr>
        <w:jc w:val="center"/>
        <w:rPr>
          <w:b/>
          <w:bCs/>
        </w:rPr>
      </w:pPr>
    </w:p>
    <w:p w:rsidR="00541811" w:rsidRDefault="00541811" w:rsidP="00541811">
      <w:pPr>
        <w:rPr>
          <w:b/>
          <w:bCs/>
        </w:rPr>
      </w:pPr>
    </w:p>
    <w:p w:rsidR="003A7999" w:rsidRDefault="00541811" w:rsidP="00541811">
      <w:pPr>
        <w:ind w:firstLine="720"/>
        <w:rPr>
          <w:b/>
          <w:bCs/>
        </w:rPr>
      </w:pPr>
      <w:proofErr w:type="gramStart"/>
      <w:r>
        <w:rPr>
          <w:b/>
          <w:bCs/>
        </w:rPr>
        <w:t>A</w:t>
      </w:r>
      <w:r w:rsidR="00BB680F">
        <w:rPr>
          <w:b/>
          <w:bCs/>
        </w:rPr>
        <w:t xml:space="preserve">ttachment </w:t>
      </w:r>
      <w:r w:rsidR="00292D1C">
        <w:rPr>
          <w:b/>
          <w:bCs/>
        </w:rPr>
        <w:t>10</w:t>
      </w:r>
      <w:r w:rsidR="003A7999">
        <w:rPr>
          <w:b/>
          <w:bCs/>
        </w:rPr>
        <w:t>.</w:t>
      </w:r>
      <w:proofErr w:type="gramEnd"/>
      <w:r w:rsidR="003A7999">
        <w:rPr>
          <w:b/>
          <w:bCs/>
        </w:rPr>
        <w:t xml:space="preserve"> New York </w:t>
      </w:r>
      <w:r w:rsidR="002A6721">
        <w:rPr>
          <w:b/>
          <w:bCs/>
        </w:rPr>
        <w:t xml:space="preserve">State Department of Health </w:t>
      </w:r>
      <w:r w:rsidR="003A7999">
        <w:rPr>
          <w:b/>
          <w:bCs/>
        </w:rPr>
        <w:t>Results Communications</w:t>
      </w:r>
    </w:p>
    <w:p w:rsidR="003A7999" w:rsidRDefault="003A7999" w:rsidP="003A7999">
      <w:pPr>
        <w:jc w:val="center"/>
        <w:rPr>
          <w:b/>
          <w:bCs/>
        </w:rPr>
      </w:pPr>
    </w:p>
    <w:p w:rsidR="003A7999" w:rsidRDefault="003A7999" w:rsidP="003A7999">
      <w:pPr>
        <w:jc w:val="center"/>
        <w:rPr>
          <w:b/>
          <w:bCs/>
        </w:rPr>
      </w:pPr>
    </w:p>
    <w:p w:rsidR="003A7999" w:rsidRPr="00912612" w:rsidRDefault="003A7999" w:rsidP="00B90185">
      <w:pPr>
        <w:rPr>
          <w:rFonts w:asciiTheme="minorHAnsi" w:eastAsia="Times New Roman" w:hAnsiTheme="minorHAnsi"/>
          <w:b/>
          <w:kern w:val="32"/>
          <w:sz w:val="22"/>
          <w:szCs w:val="22"/>
          <w:lang w:eastAsia="x-none"/>
        </w:rPr>
      </w:pPr>
      <w:r w:rsidRPr="00912612">
        <w:rPr>
          <w:rFonts w:asciiTheme="minorHAnsi" w:hAnsiTheme="minorHAnsi"/>
          <w:b/>
          <w:bCs/>
          <w:sz w:val="22"/>
          <w:szCs w:val="22"/>
        </w:rPr>
        <w:t xml:space="preserve">NOTE: </w:t>
      </w:r>
      <w:r w:rsidR="00912612" w:rsidRPr="00912612">
        <w:rPr>
          <w:rFonts w:asciiTheme="minorHAnsi" w:hAnsiTheme="minorHAnsi"/>
          <w:bCs/>
          <w:sz w:val="22"/>
          <w:szCs w:val="22"/>
        </w:rPr>
        <w:t xml:space="preserve">The New York State Department of Health </w:t>
      </w:r>
      <w:r w:rsidRPr="00912612">
        <w:rPr>
          <w:rFonts w:asciiTheme="minorHAnsi" w:hAnsiTheme="minorHAnsi" w:cstheme="minorHAnsi"/>
          <w:sz w:val="22"/>
          <w:szCs w:val="22"/>
        </w:rPr>
        <w:t xml:space="preserve">program will work with their respective ethics sub-committees and ATSDR to improve and revise these letters.  ATSDR and the state </w:t>
      </w:r>
      <w:r w:rsidR="002A6721">
        <w:rPr>
          <w:rFonts w:asciiTheme="minorHAnsi" w:hAnsiTheme="minorHAnsi" w:cstheme="minorHAnsi"/>
          <w:sz w:val="22"/>
          <w:szCs w:val="22"/>
        </w:rPr>
        <w:t xml:space="preserve">program </w:t>
      </w:r>
      <w:r w:rsidRPr="00912612">
        <w:rPr>
          <w:rFonts w:asciiTheme="minorHAnsi" w:hAnsiTheme="minorHAnsi" w:cstheme="minorHAnsi"/>
          <w:sz w:val="22"/>
          <w:szCs w:val="22"/>
        </w:rPr>
        <w:t xml:space="preserve">will take into consideration current guidelines via subject matter experts on </w:t>
      </w:r>
      <w:r w:rsidRPr="00912612">
        <w:rPr>
          <w:rStyle w:val="Strong"/>
          <w:rFonts w:asciiTheme="minorHAnsi" w:hAnsiTheme="minorHAnsi" w:cstheme="minorHAnsi"/>
          <w:b w:val="0"/>
          <w:bCs w:val="0"/>
          <w:sz w:val="22"/>
          <w:szCs w:val="22"/>
        </w:rPr>
        <w:t>the communication of results and potential follow-up with biomonitoring program respondents.</w:t>
      </w:r>
    </w:p>
    <w:p w:rsidR="003A7999" w:rsidRPr="00912612" w:rsidRDefault="003A7999" w:rsidP="00B90185">
      <w:pPr>
        <w:rPr>
          <w:rFonts w:asciiTheme="minorHAnsi" w:eastAsia="Times New Roman" w:hAnsiTheme="minorHAnsi"/>
          <w:b/>
          <w:kern w:val="32"/>
          <w:sz w:val="22"/>
          <w:szCs w:val="22"/>
          <w:lang w:eastAsia="x-none"/>
        </w:rPr>
      </w:pPr>
      <w:r w:rsidRPr="00912612">
        <w:rPr>
          <w:rFonts w:asciiTheme="minorHAnsi" w:hAnsiTheme="minorHAnsi"/>
          <w:b/>
          <w:bCs/>
          <w:sz w:val="22"/>
          <w:szCs w:val="22"/>
        </w:rPr>
        <w:br w:type="page"/>
      </w:r>
    </w:p>
    <w:p w:rsidR="00463524" w:rsidRPr="00277FF7" w:rsidRDefault="00463524" w:rsidP="00463524">
      <w:proofErr w:type="gramStart"/>
      <w:r>
        <w:rPr>
          <w:b/>
        </w:rPr>
        <w:lastRenderedPageBreak/>
        <w:t>Attachment 10</w:t>
      </w:r>
      <w:r w:rsidR="00AF2430">
        <w:rPr>
          <w:b/>
        </w:rPr>
        <w:t>a</w:t>
      </w:r>
      <w:r>
        <w:rPr>
          <w:b/>
        </w:rPr>
        <w:t>.</w:t>
      </w:r>
      <w:proofErr w:type="gramEnd"/>
      <w:r>
        <w:rPr>
          <w:b/>
        </w:rPr>
        <w:t xml:space="preserve"> </w:t>
      </w:r>
      <w:r w:rsidRPr="00277FF7">
        <w:t xml:space="preserve"> Sample letter reporting </w:t>
      </w:r>
      <w:r>
        <w:t xml:space="preserve">individual </w:t>
      </w:r>
      <w:r>
        <w:rPr>
          <w:rFonts w:cs="Calibri"/>
        </w:rPr>
        <w:t xml:space="preserve">metal </w:t>
      </w:r>
      <w:r w:rsidRPr="00295BA3">
        <w:rPr>
          <w:rFonts w:cs="Calibri"/>
        </w:rPr>
        <w:t>result</w:t>
      </w:r>
      <w:r>
        <w:rPr>
          <w:rFonts w:cs="Calibri"/>
        </w:rPr>
        <w:t>s</w:t>
      </w:r>
      <w:r w:rsidRPr="00295BA3">
        <w:rPr>
          <w:rFonts w:cs="Calibri"/>
        </w:rPr>
        <w:t xml:space="preserve"> </w:t>
      </w:r>
      <w:r w:rsidRPr="00277FF7">
        <w:t>to a participant</w:t>
      </w:r>
      <w:r w:rsidRPr="009104C8">
        <w:t xml:space="preserve"> </w:t>
      </w:r>
      <w:r>
        <w:t>(Flesch-Kincaid Reading Level: grade 9.4)</w:t>
      </w:r>
    </w:p>
    <w:p w:rsidR="00463524" w:rsidRDefault="00463524" w:rsidP="00463524">
      <w:pPr>
        <w:rPr>
          <w:rFonts w:cs="Calibri"/>
        </w:rPr>
      </w:pPr>
    </w:p>
    <w:p w:rsidR="00463524" w:rsidRDefault="00463524" w:rsidP="00463524">
      <w:pPr>
        <w:rPr>
          <w:rFonts w:cs="Calibri"/>
        </w:rPr>
      </w:pPr>
      <w:r>
        <w:rPr>
          <w:noProof/>
        </w:rPr>
        <w:drawing>
          <wp:inline distT="0" distB="0" distL="0" distR="0" wp14:anchorId="07433702" wp14:editId="38A1EF5D">
            <wp:extent cx="5943600" cy="838200"/>
            <wp:effectExtent l="0" t="0" r="0" b="0"/>
            <wp:docPr id="2" name="Picture 2" descr="HeaderNoBG_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NoBG_WM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838200"/>
                    </a:xfrm>
                    <a:prstGeom prst="rect">
                      <a:avLst/>
                    </a:prstGeom>
                    <a:noFill/>
                    <a:ln>
                      <a:noFill/>
                    </a:ln>
                  </pic:spPr>
                </pic:pic>
              </a:graphicData>
            </a:graphic>
          </wp:inline>
        </w:drawing>
      </w:r>
    </w:p>
    <w:p w:rsidR="00463524" w:rsidRPr="006D0072" w:rsidRDefault="00463524" w:rsidP="00463524"/>
    <w:p w:rsidR="00463524" w:rsidRPr="006D0072" w:rsidRDefault="00463524" w:rsidP="00463524">
      <w:pPr>
        <w:rPr>
          <w:noProof/>
        </w:rPr>
      </w:pPr>
      <w:r w:rsidRPr="006D0072">
        <w:t>Alan Fisher</w:t>
      </w:r>
      <w:r>
        <w:t>man</w:t>
      </w:r>
      <w:r w:rsidRPr="006D0072">
        <w:fldChar w:fldCharType="begin"/>
      </w:r>
      <w:r w:rsidRPr="006D0072">
        <w:instrText xml:space="preserve"> ADDRESSBLOCK \f "&lt;&lt;_FIRST0_&gt;&gt;&lt;&lt; _LAST0_&gt;&gt;&lt;&lt; _SUFFIX0_&gt;&gt;</w:instrText>
      </w:r>
      <w:r w:rsidRPr="006D0072">
        <w:cr/>
        <w:instrText>&lt;&lt;_COMPANY_</w:instrText>
      </w:r>
      <w:r w:rsidRPr="006D0072">
        <w:cr/>
        <w:instrText>&gt;&gt;&lt;&lt;_STREET1_</w:instrText>
      </w:r>
      <w:r w:rsidRPr="006D0072">
        <w:cr/>
        <w:instrText>&gt;&gt;&lt;&lt;_STREET2_</w:instrText>
      </w:r>
      <w:r w:rsidRPr="006D0072">
        <w:cr/>
        <w:instrText>&gt;&gt;&lt;&lt;_CITY_&gt;&gt;&lt;&lt;, _STATE_&gt;&gt;&lt;&lt; _POSTAL_&gt;&gt;&lt;&lt;</w:instrText>
      </w:r>
      <w:r w:rsidRPr="006D0072">
        <w:cr/>
        <w:instrText xml:space="preserve">_COUNTRY_&gt;&gt;" \l 1033 \c 2 \e "United States" \d </w:instrText>
      </w:r>
      <w:r w:rsidRPr="006D0072">
        <w:fldChar w:fldCharType="separate"/>
      </w:r>
    </w:p>
    <w:p w:rsidR="00463524" w:rsidRPr="006D0072" w:rsidRDefault="00463524" w:rsidP="00463524">
      <w:pPr>
        <w:rPr>
          <w:noProof/>
        </w:rPr>
      </w:pPr>
      <w:r w:rsidRPr="006D0072">
        <w:rPr>
          <w:noProof/>
        </w:rPr>
        <w:t>1234 Main Street</w:t>
      </w:r>
    </w:p>
    <w:p w:rsidR="00463524" w:rsidRPr="006D0072" w:rsidRDefault="00463524" w:rsidP="00463524">
      <w:r>
        <w:rPr>
          <w:noProof/>
        </w:rPr>
        <w:t>Syracuse</w:t>
      </w:r>
      <w:r w:rsidRPr="006D0072">
        <w:rPr>
          <w:noProof/>
        </w:rPr>
        <w:t>, NY 12303</w:t>
      </w:r>
      <w:r w:rsidRPr="006D0072">
        <w:fldChar w:fldCharType="end"/>
      </w:r>
    </w:p>
    <w:p w:rsidR="00463524" w:rsidRDefault="00463524" w:rsidP="00463524"/>
    <w:p w:rsidR="00463524" w:rsidRPr="006D0072" w:rsidRDefault="00463524" w:rsidP="00463524"/>
    <w:p w:rsidR="00463524" w:rsidRPr="006D0072" w:rsidRDefault="00463524" w:rsidP="00463524">
      <w:r w:rsidRPr="006D0072">
        <w:t>Dear Alan Fisher</w:t>
      </w:r>
      <w:r>
        <w:t>man</w:t>
      </w:r>
      <w:r w:rsidRPr="006D0072">
        <w:fldChar w:fldCharType="begin"/>
      </w:r>
      <w:r w:rsidRPr="006D0072">
        <w:instrText xml:space="preserve"> MERGEFIELD "Full_name" </w:instrText>
      </w:r>
      <w:r w:rsidRPr="006D0072">
        <w:fldChar w:fldCharType="end"/>
      </w:r>
      <w:r w:rsidRPr="006D0072">
        <w:t>:</w:t>
      </w:r>
    </w:p>
    <w:p w:rsidR="00463524" w:rsidRPr="006D0072" w:rsidRDefault="00463524" w:rsidP="00463524"/>
    <w:p w:rsidR="00463524" w:rsidRPr="00A354E3" w:rsidRDefault="00463524" w:rsidP="00463524">
      <w:pPr>
        <w:spacing w:before="120"/>
        <w:rPr>
          <w:rFonts w:eastAsia="MS Mincho" w:cs="Calibri"/>
        </w:rPr>
      </w:pPr>
      <w:r w:rsidRPr="00A354E3">
        <w:t xml:space="preserve">Thank you for taking part in the Biomonitoring of Urban Anglers consuming fish from the Great Lakes Basin’s Onondaga Lake Project.  The project is </w:t>
      </w:r>
      <w:r w:rsidRPr="00A354E3">
        <w:rPr>
          <w:rFonts w:eastAsia="MS Mincho" w:cs="Calibri"/>
        </w:rPr>
        <w:t>measuring contaminants in people who eat fish Lake Ontario and tributaries; including Seneca River, Oswego River and Onondaga Lake.</w:t>
      </w:r>
      <w:r>
        <w:rPr>
          <w:rFonts w:eastAsia="MS Mincho" w:cs="Calibri"/>
        </w:rPr>
        <w:t xml:space="preserve"> </w:t>
      </w:r>
      <w:r w:rsidRPr="00A354E3">
        <w:t>We are writing to share your</w:t>
      </w:r>
      <w:r w:rsidRPr="00204F3A">
        <w:t xml:space="preserve"> results for </w:t>
      </w:r>
      <w:r>
        <w:t xml:space="preserve">lead, cadmium and </w:t>
      </w:r>
      <w:r w:rsidRPr="00204F3A">
        <w:t>mercury</w:t>
      </w:r>
      <w:r>
        <w:t xml:space="preserve">. </w:t>
      </w:r>
      <w:r w:rsidRPr="00204F3A">
        <w:t xml:space="preserve">These are the first set of results that are complete.  We will provide the additional test results to you as soon as possible (in about six months).  </w:t>
      </w:r>
    </w:p>
    <w:p w:rsidR="00463524" w:rsidRDefault="00463524" w:rsidP="00463524">
      <w:pPr>
        <w:spacing w:before="120"/>
      </w:pPr>
      <w:r>
        <w:t>Y</w:t>
      </w:r>
      <w:r w:rsidRPr="00FB1AFE">
        <w:t xml:space="preserve">our results </w:t>
      </w:r>
      <w:r>
        <w:t xml:space="preserve">are </w:t>
      </w:r>
      <w:r w:rsidRPr="00FB1AFE">
        <w:t>shown in the table below</w:t>
      </w:r>
      <w:r>
        <w:t xml:space="preserve"> along </w:t>
      </w:r>
      <w:r w:rsidRPr="00FB1AFE">
        <w:t xml:space="preserve">with </w:t>
      </w:r>
      <w:r>
        <w:t>the laboratory’s reference level and the New York State Department of Health (NYS DOH) follow-up levels.  Most people will test below the reference level. Details about the different reference levels</w:t>
      </w:r>
      <w:r w:rsidDel="006312F8">
        <w:t xml:space="preserve"> </w:t>
      </w:r>
      <w:r>
        <w:t xml:space="preserve">are provided on page 2.  </w:t>
      </w:r>
    </w:p>
    <w:p w:rsidR="00463524" w:rsidRDefault="00463524" w:rsidP="00463524">
      <w:r>
        <w:rPr>
          <w:noProof/>
        </w:rPr>
        <mc:AlternateContent>
          <mc:Choice Requires="wps">
            <w:drawing>
              <wp:anchor distT="0" distB="0" distL="114300" distR="114300" simplePos="0" relativeHeight="251659264" behindDoc="0" locked="0" layoutInCell="1" allowOverlap="1" wp14:anchorId="37689FFF" wp14:editId="43CED1FA">
                <wp:simplePos x="0" y="0"/>
                <wp:positionH relativeFrom="column">
                  <wp:posOffset>-257175</wp:posOffset>
                </wp:positionH>
                <wp:positionV relativeFrom="paragraph">
                  <wp:posOffset>108585</wp:posOffset>
                </wp:positionV>
                <wp:extent cx="6829425" cy="3911600"/>
                <wp:effectExtent l="9525" t="13335" r="9525" b="889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3911600"/>
                        </a:xfrm>
                        <a:prstGeom prst="rect">
                          <a:avLst/>
                        </a:prstGeom>
                        <a:solidFill>
                          <a:srgbClr val="FFFFFF"/>
                        </a:solidFill>
                        <a:ln w="9525">
                          <a:solidFill>
                            <a:srgbClr val="000000"/>
                          </a:solidFill>
                          <a:miter lim="800000"/>
                          <a:headEnd/>
                          <a:tailEnd/>
                        </a:ln>
                      </wps:spPr>
                      <wps:txbx>
                        <w:txbxContent>
                          <w:p w:rsidR="00463524" w:rsidRDefault="00463524" w:rsidP="00463524">
                            <w:r w:rsidRPr="00093715">
                              <w:t xml:space="preserve">   </w:t>
                            </w:r>
                            <w:r w:rsidRPr="008C7F79">
                              <w:rPr>
                                <w:b/>
                              </w:rPr>
                              <w:t>Name:</w:t>
                            </w:r>
                            <w:r w:rsidRPr="00093715">
                              <w:t xml:space="preserve">  </w:t>
                            </w:r>
                            <w:r w:rsidRPr="00093715">
                              <w:tab/>
                            </w:r>
                            <w:r w:rsidRPr="00093715">
                              <w:tab/>
                            </w:r>
                            <w:r w:rsidRPr="00093715">
                              <w:tab/>
                            </w:r>
                            <w:r w:rsidRPr="00093715">
                              <w:tab/>
                              <w:t xml:space="preserve">  </w:t>
                            </w:r>
                            <w:r>
                              <w:tab/>
                            </w:r>
                            <w:r>
                              <w:tab/>
                            </w:r>
                            <w:r w:rsidRPr="008C7F79">
                              <w:rPr>
                                <w:b/>
                              </w:rPr>
                              <w:t>Date of Sample</w:t>
                            </w:r>
                            <w:r>
                              <w:rPr>
                                <w:b/>
                              </w:rPr>
                              <w:t xml:space="preserve"> Collection</w:t>
                            </w:r>
                            <w:r w:rsidRPr="008C7F79">
                              <w:rPr>
                                <w:b/>
                              </w:rPr>
                              <w:t>:</w:t>
                            </w:r>
                            <w:r w:rsidRPr="00093715">
                              <w:t xml:space="preserve">  </w:t>
                            </w:r>
                          </w:p>
                          <w:p w:rsidR="00463524" w:rsidRPr="00093715" w:rsidRDefault="00463524" w:rsidP="00463524"/>
                          <w:tbl>
                            <w:tblPr>
                              <w:tblW w:w="10108" w:type="dxa"/>
                              <w:jc w:val="center"/>
                              <w:tblLayout w:type="fixed"/>
                              <w:tblLook w:val="00A0" w:firstRow="1" w:lastRow="0" w:firstColumn="1" w:lastColumn="0" w:noHBand="0" w:noVBand="0"/>
                            </w:tblPr>
                            <w:tblGrid>
                              <w:gridCol w:w="2458"/>
                              <w:gridCol w:w="2160"/>
                              <w:gridCol w:w="2410"/>
                              <w:gridCol w:w="3080"/>
                            </w:tblGrid>
                            <w:tr w:rsidR="00463524" w:rsidRPr="006F1E36" w:rsidTr="000E6CEE">
                              <w:trPr>
                                <w:trHeight w:val="663"/>
                                <w:jc w:val="center"/>
                              </w:trPr>
                              <w:tc>
                                <w:tcPr>
                                  <w:tcW w:w="2458" w:type="dxa"/>
                                  <w:tcBorders>
                                    <w:top w:val="single" w:sz="6" w:space="0" w:color="000000"/>
                                    <w:left w:val="single" w:sz="6" w:space="0" w:color="000000"/>
                                    <w:right w:val="single" w:sz="6" w:space="0" w:color="000000"/>
                                  </w:tcBorders>
                                  <w:vAlign w:val="center"/>
                                </w:tcPr>
                                <w:p w:rsidR="00463524" w:rsidRDefault="00463524" w:rsidP="008346C5">
                                  <w:pPr>
                                    <w:autoSpaceDE w:val="0"/>
                                    <w:autoSpaceDN w:val="0"/>
                                    <w:adjustRightInd w:val="0"/>
                                    <w:jc w:val="center"/>
                                    <w:rPr>
                                      <w:b/>
                                      <w:bCs/>
                                      <w:color w:val="000000"/>
                                    </w:rPr>
                                  </w:pPr>
                                  <w:r>
                                    <w:rPr>
                                      <w:b/>
                                      <w:bCs/>
                                      <w:color w:val="000000"/>
                                    </w:rPr>
                                    <w:t>Metal Test</w:t>
                                  </w:r>
                                </w:p>
                              </w:tc>
                              <w:tc>
                                <w:tcPr>
                                  <w:tcW w:w="2160" w:type="dxa"/>
                                  <w:tcBorders>
                                    <w:top w:val="single" w:sz="6" w:space="0" w:color="000000"/>
                                    <w:left w:val="single" w:sz="6" w:space="0" w:color="000000"/>
                                    <w:right w:val="single" w:sz="6" w:space="0" w:color="000000"/>
                                  </w:tcBorders>
                                  <w:shd w:val="clear" w:color="auto" w:fill="D9D9D9"/>
                                  <w:vAlign w:val="center"/>
                                </w:tcPr>
                                <w:p w:rsidR="00463524" w:rsidRDefault="00463524" w:rsidP="00F66353">
                                  <w:pPr>
                                    <w:autoSpaceDE w:val="0"/>
                                    <w:autoSpaceDN w:val="0"/>
                                    <w:adjustRightInd w:val="0"/>
                                    <w:jc w:val="center"/>
                                    <w:rPr>
                                      <w:b/>
                                      <w:bCs/>
                                      <w:color w:val="000000"/>
                                    </w:rPr>
                                  </w:pPr>
                                  <w:r>
                                    <w:rPr>
                                      <w:b/>
                                      <w:bCs/>
                                      <w:color w:val="000000"/>
                                    </w:rPr>
                                    <w:t>Your result</w:t>
                                  </w:r>
                                </w:p>
                              </w:tc>
                              <w:tc>
                                <w:tcPr>
                                  <w:tcW w:w="2410" w:type="dxa"/>
                                  <w:tcBorders>
                                    <w:top w:val="single" w:sz="6" w:space="0" w:color="000000"/>
                                    <w:left w:val="single" w:sz="6" w:space="0" w:color="000000"/>
                                    <w:right w:val="single" w:sz="6" w:space="0" w:color="000000"/>
                                  </w:tcBorders>
                                  <w:vAlign w:val="center"/>
                                </w:tcPr>
                                <w:p w:rsidR="00463524" w:rsidRDefault="00463524" w:rsidP="005148F9">
                                  <w:pPr>
                                    <w:autoSpaceDE w:val="0"/>
                                    <w:autoSpaceDN w:val="0"/>
                                    <w:adjustRightInd w:val="0"/>
                                    <w:jc w:val="center"/>
                                    <w:rPr>
                                      <w:b/>
                                      <w:bCs/>
                                      <w:color w:val="000000"/>
                                    </w:rPr>
                                  </w:pPr>
                                  <w:r>
                                    <w:rPr>
                                      <w:b/>
                                      <w:bCs/>
                                      <w:color w:val="000000"/>
                                    </w:rPr>
                                    <w:t>Reference Level*</w:t>
                                  </w:r>
                                </w:p>
                              </w:tc>
                              <w:tc>
                                <w:tcPr>
                                  <w:tcW w:w="3080" w:type="dxa"/>
                                  <w:tcBorders>
                                    <w:top w:val="single" w:sz="6" w:space="0" w:color="000000"/>
                                    <w:left w:val="single" w:sz="6" w:space="0" w:color="000000"/>
                                    <w:right w:val="single" w:sz="6" w:space="0" w:color="000000"/>
                                  </w:tcBorders>
                                  <w:vAlign w:val="center"/>
                                </w:tcPr>
                                <w:p w:rsidR="00463524" w:rsidRDefault="00463524" w:rsidP="0000672C">
                                  <w:pPr>
                                    <w:autoSpaceDE w:val="0"/>
                                    <w:autoSpaceDN w:val="0"/>
                                    <w:adjustRightInd w:val="0"/>
                                    <w:jc w:val="center"/>
                                    <w:rPr>
                                      <w:b/>
                                      <w:bCs/>
                                      <w:color w:val="000000"/>
                                    </w:rPr>
                                  </w:pPr>
                                  <w:r>
                                    <w:rPr>
                                      <w:b/>
                                      <w:bCs/>
                                      <w:color w:val="000000"/>
                                    </w:rPr>
                                    <w:t>Follow-up Level**</w:t>
                                  </w:r>
                                </w:p>
                              </w:tc>
                            </w:tr>
                            <w:tr w:rsidR="00463524" w:rsidRPr="006F1E36" w:rsidTr="000E6CEE">
                              <w:trPr>
                                <w:trHeight w:val="522"/>
                                <w:jc w:val="center"/>
                              </w:trPr>
                              <w:tc>
                                <w:tcPr>
                                  <w:tcW w:w="2458" w:type="dxa"/>
                                  <w:tcBorders>
                                    <w:top w:val="single" w:sz="6" w:space="0" w:color="000000"/>
                                    <w:left w:val="single" w:sz="6" w:space="0" w:color="000000"/>
                                    <w:bottom w:val="single" w:sz="6" w:space="0" w:color="000000"/>
                                    <w:right w:val="single" w:sz="6" w:space="0" w:color="000000"/>
                                  </w:tcBorders>
                                  <w:vAlign w:val="center"/>
                                </w:tcPr>
                                <w:p w:rsidR="00463524" w:rsidRPr="006C30AE" w:rsidRDefault="00463524" w:rsidP="008346C5">
                                  <w:pPr>
                                    <w:autoSpaceDE w:val="0"/>
                                    <w:autoSpaceDN w:val="0"/>
                                    <w:adjustRightInd w:val="0"/>
                                    <w:jc w:val="center"/>
                                    <w:rPr>
                                      <w:b/>
                                      <w:color w:val="000000"/>
                                    </w:rPr>
                                  </w:pPr>
                                  <w:r>
                                    <w:rPr>
                                      <w:b/>
                                      <w:color w:val="000000"/>
                                    </w:rPr>
                                    <w:t xml:space="preserve">Blood </w:t>
                                  </w:r>
                                  <w:r w:rsidRPr="006C30AE">
                                    <w:rPr>
                                      <w:b/>
                                      <w:color w:val="000000"/>
                                    </w:rPr>
                                    <w:t>Lead</w:t>
                                  </w:r>
                                </w:p>
                              </w:tc>
                              <w:tc>
                                <w:tcPr>
                                  <w:tcW w:w="216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463524" w:rsidRDefault="00463524" w:rsidP="00747138">
                                  <w:pPr>
                                    <w:jc w:val="center"/>
                                  </w:pPr>
                                  <w:r>
                                    <w:t xml:space="preserve">1.5 </w:t>
                                  </w:r>
                                  <w:r w:rsidRPr="00F21E16">
                                    <w:t>µg/</w:t>
                                  </w:r>
                                  <w:proofErr w:type="spellStart"/>
                                  <w:r w:rsidRPr="00F21E16">
                                    <w:t>dL</w:t>
                                  </w:r>
                                  <w:proofErr w:type="spellEnd"/>
                                </w:p>
                              </w:tc>
                              <w:tc>
                                <w:tcPr>
                                  <w:tcW w:w="2410" w:type="dxa"/>
                                  <w:tcBorders>
                                    <w:top w:val="single" w:sz="6" w:space="0" w:color="000000"/>
                                    <w:left w:val="single" w:sz="6" w:space="0" w:color="000000"/>
                                    <w:bottom w:val="single" w:sz="6" w:space="0" w:color="000000"/>
                                    <w:right w:val="single" w:sz="6" w:space="0" w:color="000000"/>
                                  </w:tcBorders>
                                  <w:vAlign w:val="center"/>
                                </w:tcPr>
                                <w:p w:rsidR="00463524" w:rsidRDefault="00463524" w:rsidP="00747138">
                                  <w:pPr>
                                    <w:jc w:val="center"/>
                                  </w:pPr>
                                  <w:r>
                                    <w:t xml:space="preserve">Less than 5 </w:t>
                                  </w:r>
                                  <w:r w:rsidRPr="00F21E16">
                                    <w:t>µg/</w:t>
                                  </w:r>
                                  <w:proofErr w:type="spellStart"/>
                                  <w:r w:rsidRPr="00F21E16">
                                    <w:t>dL</w:t>
                                  </w:r>
                                  <w:proofErr w:type="spellEnd"/>
                                </w:p>
                              </w:tc>
                              <w:tc>
                                <w:tcPr>
                                  <w:tcW w:w="3080" w:type="dxa"/>
                                  <w:tcBorders>
                                    <w:top w:val="single" w:sz="6" w:space="0" w:color="000000"/>
                                    <w:left w:val="single" w:sz="6" w:space="0" w:color="000000"/>
                                    <w:bottom w:val="single" w:sz="6" w:space="0" w:color="000000"/>
                                    <w:right w:val="single" w:sz="6" w:space="0" w:color="000000"/>
                                  </w:tcBorders>
                                  <w:vAlign w:val="center"/>
                                </w:tcPr>
                                <w:p w:rsidR="00463524" w:rsidRDefault="00463524" w:rsidP="00747138">
                                  <w:pPr>
                                    <w:jc w:val="center"/>
                                  </w:pPr>
                                  <w:r>
                                    <w:t>15</w:t>
                                  </w:r>
                                  <w:r w:rsidRPr="00F21E16">
                                    <w:t xml:space="preserve"> µg/</w:t>
                                  </w:r>
                                  <w:proofErr w:type="spellStart"/>
                                  <w:r w:rsidRPr="00F21E16">
                                    <w:t>dL</w:t>
                                  </w:r>
                                  <w:proofErr w:type="spellEnd"/>
                                  <w:r>
                                    <w:t xml:space="preserve"> and higher (male)</w:t>
                                  </w:r>
                                </w:p>
                                <w:p w:rsidR="00463524" w:rsidRDefault="00463524" w:rsidP="00747138">
                                  <w:pPr>
                                    <w:jc w:val="center"/>
                                  </w:pPr>
                                  <w:r>
                                    <w:t xml:space="preserve">10 </w:t>
                                  </w:r>
                                  <w:r w:rsidRPr="00F21E16">
                                    <w:t>µg/</w:t>
                                  </w:r>
                                  <w:proofErr w:type="spellStart"/>
                                  <w:r w:rsidRPr="00F21E16">
                                    <w:t>dL</w:t>
                                  </w:r>
                                  <w:proofErr w:type="spellEnd"/>
                                  <w:r>
                                    <w:t xml:space="preserve"> and higher (female)</w:t>
                                  </w:r>
                                </w:p>
                              </w:tc>
                            </w:tr>
                            <w:tr w:rsidR="00463524" w:rsidRPr="006F1E36" w:rsidTr="000E6CEE">
                              <w:trPr>
                                <w:trHeight w:val="522"/>
                                <w:jc w:val="center"/>
                              </w:trPr>
                              <w:tc>
                                <w:tcPr>
                                  <w:tcW w:w="2458" w:type="dxa"/>
                                  <w:tcBorders>
                                    <w:top w:val="single" w:sz="6" w:space="0" w:color="000000"/>
                                    <w:left w:val="single" w:sz="6" w:space="0" w:color="000000"/>
                                    <w:bottom w:val="single" w:sz="6" w:space="0" w:color="000000"/>
                                    <w:right w:val="single" w:sz="6" w:space="0" w:color="000000"/>
                                  </w:tcBorders>
                                  <w:vAlign w:val="center"/>
                                </w:tcPr>
                                <w:p w:rsidR="00463524" w:rsidRPr="006C30AE" w:rsidRDefault="00463524" w:rsidP="008346C5">
                                  <w:pPr>
                                    <w:autoSpaceDE w:val="0"/>
                                    <w:autoSpaceDN w:val="0"/>
                                    <w:adjustRightInd w:val="0"/>
                                    <w:jc w:val="center"/>
                                    <w:rPr>
                                      <w:b/>
                                      <w:color w:val="000000"/>
                                    </w:rPr>
                                  </w:pPr>
                                  <w:r>
                                    <w:rPr>
                                      <w:b/>
                                      <w:color w:val="000000"/>
                                    </w:rPr>
                                    <w:t xml:space="preserve">Blood </w:t>
                                  </w:r>
                                  <w:r w:rsidRPr="006C30AE">
                                    <w:rPr>
                                      <w:b/>
                                      <w:color w:val="000000"/>
                                    </w:rPr>
                                    <w:t>Cadmium</w:t>
                                  </w:r>
                                </w:p>
                              </w:tc>
                              <w:tc>
                                <w:tcPr>
                                  <w:tcW w:w="216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463524" w:rsidRPr="006D0072" w:rsidRDefault="00463524" w:rsidP="00747138">
                                  <w:pPr>
                                    <w:jc w:val="center"/>
                                  </w:pPr>
                                  <w:r>
                                    <w:t>0.3 µg/</w:t>
                                  </w:r>
                                  <w:r w:rsidRPr="00F21E16">
                                    <w:t>L</w:t>
                                  </w:r>
                                </w:p>
                              </w:tc>
                              <w:tc>
                                <w:tcPr>
                                  <w:tcW w:w="2410" w:type="dxa"/>
                                  <w:tcBorders>
                                    <w:top w:val="single" w:sz="6" w:space="0" w:color="000000"/>
                                    <w:left w:val="single" w:sz="6" w:space="0" w:color="000000"/>
                                    <w:bottom w:val="single" w:sz="6" w:space="0" w:color="000000"/>
                                    <w:right w:val="single" w:sz="6" w:space="0" w:color="000000"/>
                                  </w:tcBorders>
                                  <w:vAlign w:val="center"/>
                                </w:tcPr>
                                <w:p w:rsidR="00463524" w:rsidRDefault="00463524" w:rsidP="00BD5167">
                                  <w:pPr>
                                    <w:jc w:val="center"/>
                                  </w:pPr>
                                  <w:r>
                                    <w:t>Less than 2.5 µg/</w:t>
                                  </w:r>
                                  <w:r w:rsidRPr="00F21E16">
                                    <w:t>L</w:t>
                                  </w:r>
                                </w:p>
                              </w:tc>
                              <w:tc>
                                <w:tcPr>
                                  <w:tcW w:w="3080" w:type="dxa"/>
                                  <w:tcBorders>
                                    <w:top w:val="single" w:sz="6" w:space="0" w:color="000000"/>
                                    <w:left w:val="single" w:sz="6" w:space="0" w:color="000000"/>
                                    <w:bottom w:val="single" w:sz="6" w:space="0" w:color="000000"/>
                                    <w:right w:val="single" w:sz="6" w:space="0" w:color="000000"/>
                                  </w:tcBorders>
                                  <w:vAlign w:val="center"/>
                                </w:tcPr>
                                <w:p w:rsidR="00463524" w:rsidRPr="00E00E72" w:rsidRDefault="00463524" w:rsidP="00BD5167">
                                  <w:pPr>
                                    <w:jc w:val="center"/>
                                  </w:pPr>
                                  <w:r>
                                    <w:t>10 µg/</w:t>
                                  </w:r>
                                  <w:r w:rsidRPr="00F21E16">
                                    <w:t>L</w:t>
                                  </w:r>
                                  <w:r w:rsidDel="00284FB7">
                                    <w:t xml:space="preserve"> </w:t>
                                  </w:r>
                                  <w:r>
                                    <w:t>and higher</w:t>
                                  </w:r>
                                </w:p>
                              </w:tc>
                            </w:tr>
                            <w:tr w:rsidR="00463524" w:rsidRPr="006F1E36" w:rsidTr="000E6CEE">
                              <w:trPr>
                                <w:trHeight w:val="477"/>
                                <w:jc w:val="center"/>
                              </w:trPr>
                              <w:tc>
                                <w:tcPr>
                                  <w:tcW w:w="2458" w:type="dxa"/>
                                  <w:tcBorders>
                                    <w:top w:val="single" w:sz="6" w:space="0" w:color="000000"/>
                                    <w:left w:val="single" w:sz="6" w:space="0" w:color="000000"/>
                                    <w:bottom w:val="single" w:sz="6" w:space="0" w:color="000000"/>
                                    <w:right w:val="single" w:sz="6" w:space="0" w:color="000000"/>
                                  </w:tcBorders>
                                  <w:vAlign w:val="center"/>
                                </w:tcPr>
                                <w:p w:rsidR="00463524" w:rsidRPr="006C30AE" w:rsidRDefault="00463524" w:rsidP="008346C5">
                                  <w:pPr>
                                    <w:autoSpaceDE w:val="0"/>
                                    <w:autoSpaceDN w:val="0"/>
                                    <w:adjustRightInd w:val="0"/>
                                    <w:jc w:val="center"/>
                                    <w:rPr>
                                      <w:b/>
                                      <w:color w:val="000000"/>
                                    </w:rPr>
                                  </w:pPr>
                                  <w:r>
                                    <w:rPr>
                                      <w:b/>
                                      <w:color w:val="000000"/>
                                    </w:rPr>
                                    <w:t xml:space="preserve">Blood </w:t>
                                  </w:r>
                                  <w:r w:rsidRPr="006C30AE">
                                    <w:rPr>
                                      <w:b/>
                                      <w:color w:val="000000"/>
                                    </w:rPr>
                                    <w:t>Mercury</w:t>
                                  </w:r>
                                </w:p>
                              </w:tc>
                              <w:tc>
                                <w:tcPr>
                                  <w:tcW w:w="216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463524" w:rsidRPr="006D0072" w:rsidRDefault="00463524" w:rsidP="00747138">
                                  <w:pPr>
                                    <w:jc w:val="center"/>
                                  </w:pPr>
                                  <w:r>
                                    <w:t>1.5 µg/</w:t>
                                  </w:r>
                                  <w:r w:rsidRPr="00F21E16">
                                    <w:t>L</w:t>
                                  </w:r>
                                  <w:r>
                                    <w:t xml:space="preserve"> </w:t>
                                  </w:r>
                                </w:p>
                              </w:tc>
                              <w:tc>
                                <w:tcPr>
                                  <w:tcW w:w="2410" w:type="dxa"/>
                                  <w:tcBorders>
                                    <w:top w:val="single" w:sz="6" w:space="0" w:color="000000"/>
                                    <w:left w:val="single" w:sz="6" w:space="0" w:color="000000"/>
                                    <w:bottom w:val="single" w:sz="6" w:space="0" w:color="000000"/>
                                    <w:right w:val="single" w:sz="6" w:space="0" w:color="000000"/>
                                  </w:tcBorders>
                                  <w:vAlign w:val="center"/>
                                </w:tcPr>
                                <w:p w:rsidR="00463524" w:rsidRDefault="00463524" w:rsidP="00BD5167">
                                  <w:pPr>
                                    <w:jc w:val="center"/>
                                  </w:pPr>
                                  <w:r>
                                    <w:t>Less than 10 µg/</w:t>
                                  </w:r>
                                  <w:r w:rsidRPr="00F21E16">
                                    <w:t>L</w:t>
                                  </w:r>
                                </w:p>
                              </w:tc>
                              <w:tc>
                                <w:tcPr>
                                  <w:tcW w:w="3080" w:type="dxa"/>
                                  <w:tcBorders>
                                    <w:top w:val="single" w:sz="6" w:space="0" w:color="000000"/>
                                    <w:left w:val="single" w:sz="6" w:space="0" w:color="000000"/>
                                    <w:bottom w:val="single" w:sz="6" w:space="0" w:color="000000"/>
                                    <w:right w:val="single" w:sz="6" w:space="0" w:color="000000"/>
                                  </w:tcBorders>
                                  <w:vAlign w:val="center"/>
                                </w:tcPr>
                                <w:p w:rsidR="00463524" w:rsidRPr="00E00E72" w:rsidRDefault="00463524" w:rsidP="00BD5167">
                                  <w:pPr>
                                    <w:jc w:val="center"/>
                                  </w:pPr>
                                  <w:r>
                                    <w:t>60 µg/</w:t>
                                  </w:r>
                                  <w:r w:rsidRPr="00F21E16">
                                    <w:t>L</w:t>
                                  </w:r>
                                  <w:r w:rsidDel="00284FB7">
                                    <w:t xml:space="preserve"> </w:t>
                                  </w:r>
                                  <w:r>
                                    <w:t>and higher</w:t>
                                  </w:r>
                                </w:p>
                              </w:tc>
                            </w:tr>
                            <w:tr w:rsidR="00463524" w:rsidRPr="006F1E36" w:rsidTr="000E6CEE">
                              <w:trPr>
                                <w:trHeight w:val="477"/>
                                <w:jc w:val="center"/>
                              </w:trPr>
                              <w:tc>
                                <w:tcPr>
                                  <w:tcW w:w="2458" w:type="dxa"/>
                                  <w:tcBorders>
                                    <w:top w:val="single" w:sz="6" w:space="0" w:color="000000"/>
                                    <w:left w:val="single" w:sz="6" w:space="0" w:color="000000"/>
                                    <w:bottom w:val="single" w:sz="6" w:space="0" w:color="000000"/>
                                    <w:right w:val="single" w:sz="6" w:space="0" w:color="000000"/>
                                  </w:tcBorders>
                                  <w:vAlign w:val="center"/>
                                </w:tcPr>
                                <w:p w:rsidR="00463524" w:rsidRPr="006C30AE" w:rsidRDefault="00463524" w:rsidP="008346C5">
                                  <w:pPr>
                                    <w:autoSpaceDE w:val="0"/>
                                    <w:autoSpaceDN w:val="0"/>
                                    <w:adjustRightInd w:val="0"/>
                                    <w:jc w:val="center"/>
                                    <w:rPr>
                                      <w:b/>
                                      <w:color w:val="000000"/>
                                    </w:rPr>
                                  </w:pPr>
                                  <w:r>
                                    <w:rPr>
                                      <w:b/>
                                      <w:color w:val="000000"/>
                                    </w:rPr>
                                    <w:t xml:space="preserve">Urine </w:t>
                                  </w:r>
                                  <w:r w:rsidRPr="006C30AE">
                                    <w:rPr>
                                      <w:b/>
                                      <w:color w:val="000000"/>
                                    </w:rPr>
                                    <w:t>Mercury</w:t>
                                  </w:r>
                                </w:p>
                              </w:tc>
                              <w:tc>
                                <w:tcPr>
                                  <w:tcW w:w="216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463524" w:rsidRPr="006D0072" w:rsidRDefault="00463524" w:rsidP="009A57BD">
                                  <w:pPr>
                                    <w:jc w:val="center"/>
                                  </w:pPr>
                                  <w:r>
                                    <w:t>Not Detected</w:t>
                                  </w:r>
                                </w:p>
                              </w:tc>
                              <w:tc>
                                <w:tcPr>
                                  <w:tcW w:w="2410" w:type="dxa"/>
                                  <w:tcBorders>
                                    <w:top w:val="single" w:sz="6" w:space="0" w:color="000000"/>
                                    <w:left w:val="single" w:sz="6" w:space="0" w:color="000000"/>
                                    <w:bottom w:val="single" w:sz="6" w:space="0" w:color="000000"/>
                                    <w:right w:val="single" w:sz="6" w:space="0" w:color="000000"/>
                                  </w:tcBorders>
                                  <w:vAlign w:val="center"/>
                                </w:tcPr>
                                <w:p w:rsidR="00463524" w:rsidRDefault="00463524" w:rsidP="00BD5167">
                                  <w:pPr>
                                    <w:jc w:val="center"/>
                                  </w:pPr>
                                  <w:r>
                                    <w:t>Less than 6.0 µg/</w:t>
                                  </w:r>
                                  <w:r w:rsidRPr="00F21E16">
                                    <w:t>L</w:t>
                                  </w:r>
                                  <w:r w:rsidRPr="00E00E72" w:rsidDel="000431F2">
                                    <w:t xml:space="preserve"> </w:t>
                                  </w:r>
                                  <w:r>
                                    <w:t xml:space="preserve"> </w:t>
                                  </w:r>
                                </w:p>
                              </w:tc>
                              <w:tc>
                                <w:tcPr>
                                  <w:tcW w:w="3080" w:type="dxa"/>
                                  <w:tcBorders>
                                    <w:top w:val="single" w:sz="6" w:space="0" w:color="000000"/>
                                    <w:left w:val="single" w:sz="6" w:space="0" w:color="000000"/>
                                    <w:bottom w:val="single" w:sz="6" w:space="0" w:color="000000"/>
                                    <w:right w:val="single" w:sz="6" w:space="0" w:color="000000"/>
                                  </w:tcBorders>
                                  <w:vAlign w:val="center"/>
                                </w:tcPr>
                                <w:p w:rsidR="00463524" w:rsidRPr="00E00E72" w:rsidRDefault="00463524" w:rsidP="00BD5167">
                                  <w:pPr>
                                    <w:jc w:val="center"/>
                                  </w:pPr>
                                  <w:r>
                                    <w:t>20 µg/</w:t>
                                  </w:r>
                                  <w:r w:rsidRPr="00F21E16">
                                    <w:t>L</w:t>
                                  </w:r>
                                  <w:r w:rsidDel="00284FB7">
                                    <w:t xml:space="preserve"> </w:t>
                                  </w:r>
                                  <w:r>
                                    <w:t>and higher</w:t>
                                  </w:r>
                                </w:p>
                              </w:tc>
                            </w:tr>
                            <w:tr w:rsidR="00463524" w:rsidRPr="006F1E36" w:rsidTr="000E6CEE">
                              <w:trPr>
                                <w:trHeight w:val="1455"/>
                                <w:jc w:val="center"/>
                              </w:trPr>
                              <w:tc>
                                <w:tcPr>
                                  <w:tcW w:w="10108" w:type="dxa"/>
                                  <w:gridSpan w:val="4"/>
                                  <w:tcBorders>
                                    <w:top w:val="single" w:sz="6" w:space="0" w:color="000000"/>
                                    <w:left w:val="single" w:sz="6" w:space="0" w:color="000000"/>
                                    <w:bottom w:val="single" w:sz="6" w:space="0" w:color="000000"/>
                                    <w:right w:val="single" w:sz="6" w:space="0" w:color="000000"/>
                                  </w:tcBorders>
                                  <w:vAlign w:val="center"/>
                                </w:tcPr>
                                <w:p w:rsidR="00463524" w:rsidRDefault="00463524" w:rsidP="00F95B6D">
                                  <w:pPr>
                                    <w:tabs>
                                      <w:tab w:val="left" w:pos="10260"/>
                                    </w:tabs>
                                    <w:ind w:left="360" w:right="108" w:hanging="360"/>
                                  </w:pPr>
                                  <w:r w:rsidRPr="00982983">
                                    <w:rPr>
                                      <w:b/>
                                    </w:rPr>
                                    <w:t>µg/</w:t>
                                  </w:r>
                                  <w:r w:rsidRPr="008C7F79">
                                    <w:rPr>
                                      <w:b/>
                                    </w:rPr>
                                    <w:t>L</w:t>
                                  </w:r>
                                  <w:r w:rsidRPr="006D0072">
                                    <w:t xml:space="preserve"> </w:t>
                                  </w:r>
                                  <w:r>
                                    <w:t>= micrograms per liter. One microgram per liter</w:t>
                                  </w:r>
                                  <w:r w:rsidRPr="006D0072">
                                    <w:t xml:space="preserve"> is </w:t>
                                  </w:r>
                                  <w:r>
                                    <w:t xml:space="preserve">1 part-per-billion, </w:t>
                                  </w:r>
                                  <w:r w:rsidRPr="006D0072">
                                    <w:t>equivalent to about one drop of a liquid substance in an Olympic-size swimming pool</w:t>
                                  </w:r>
                                  <w:r>
                                    <w:t xml:space="preserve">.  </w:t>
                                  </w:r>
                                </w:p>
                                <w:p w:rsidR="00463524" w:rsidRPr="008C7F79" w:rsidRDefault="00463524" w:rsidP="008346C5">
                                  <w:pPr>
                                    <w:tabs>
                                      <w:tab w:val="left" w:pos="10260"/>
                                    </w:tabs>
                                    <w:ind w:left="360" w:right="108" w:hanging="360"/>
                                  </w:pPr>
                                  <w:r w:rsidRPr="00982983">
                                    <w:rPr>
                                      <w:b/>
                                    </w:rPr>
                                    <w:t>µg/</w:t>
                                  </w:r>
                                  <w:proofErr w:type="spellStart"/>
                                  <w:r w:rsidRPr="00982983">
                                    <w:rPr>
                                      <w:b/>
                                    </w:rPr>
                                    <w:t>dL</w:t>
                                  </w:r>
                                  <w:proofErr w:type="spellEnd"/>
                                  <w:r>
                                    <w:t xml:space="preserve"> = microgram per deciliter (for lead).  There are 10 deciliters in one liter.  One microgram per deciliter is 10 parts-per-billion, equivalent to about ten drops in an Olympic-size pool</w:t>
                                  </w:r>
                                  <w:r w:rsidRPr="006D0072">
                                    <w:t xml:space="preserve">. </w:t>
                                  </w:r>
                                </w:p>
                              </w:tc>
                            </w:tr>
                            <w:tr w:rsidR="00463524" w:rsidRPr="006F1E36" w:rsidTr="000E6CEE">
                              <w:trPr>
                                <w:trHeight w:val="528"/>
                                <w:jc w:val="center"/>
                              </w:trPr>
                              <w:tc>
                                <w:tcPr>
                                  <w:tcW w:w="10108" w:type="dxa"/>
                                  <w:gridSpan w:val="4"/>
                                  <w:tcBorders>
                                    <w:top w:val="single" w:sz="6" w:space="0" w:color="000000"/>
                                    <w:left w:val="single" w:sz="6" w:space="0" w:color="000000"/>
                                    <w:bottom w:val="single" w:sz="6" w:space="0" w:color="000000"/>
                                    <w:right w:val="single" w:sz="6" w:space="0" w:color="000000"/>
                                  </w:tcBorders>
                                  <w:vAlign w:val="center"/>
                                </w:tcPr>
                                <w:p w:rsidR="00463524" w:rsidRPr="008F2272" w:rsidRDefault="00463524" w:rsidP="008346C5">
                                  <w:pPr>
                                    <w:jc w:val="center"/>
                                  </w:pPr>
                                  <w:r w:rsidRPr="008C7F79">
                                    <w:t xml:space="preserve">All tests were performed by the </w:t>
                                  </w:r>
                                  <w:r>
                                    <w:t xml:space="preserve">Trace Elements Laboratory at the </w:t>
                                  </w:r>
                                  <w:r w:rsidRPr="008C7F79">
                                    <w:t>Wadsworth Center, NYS</w:t>
                                  </w:r>
                                  <w:r>
                                    <w:t xml:space="preserve"> DOH, Empire State Plaza, </w:t>
                                  </w:r>
                                  <w:proofErr w:type="gramStart"/>
                                  <w:r>
                                    <w:t>PO</w:t>
                                  </w:r>
                                  <w:proofErr w:type="gramEnd"/>
                                  <w:r>
                                    <w:t xml:space="preserve"> Box 509, Albany,</w:t>
                                  </w:r>
                                  <w:r w:rsidRPr="008C7F79">
                                    <w:t xml:space="preserve"> NY 12</w:t>
                                  </w:r>
                                  <w:r>
                                    <w:t>201</w:t>
                                  </w:r>
                                  <w:r w:rsidRPr="008C7F79">
                                    <w:t>.</w:t>
                                  </w:r>
                                </w:p>
                              </w:tc>
                            </w:tr>
                            <w:tr w:rsidR="00463524" w:rsidRPr="006F1E36" w:rsidTr="000E6CEE">
                              <w:trPr>
                                <w:trHeight w:val="462"/>
                                <w:jc w:val="center"/>
                              </w:trPr>
                              <w:tc>
                                <w:tcPr>
                                  <w:tcW w:w="10108" w:type="dxa"/>
                                  <w:gridSpan w:val="4"/>
                                  <w:tcBorders>
                                    <w:top w:val="single" w:sz="6" w:space="0" w:color="000000"/>
                                    <w:left w:val="single" w:sz="6" w:space="0" w:color="000000"/>
                                    <w:bottom w:val="single" w:sz="6" w:space="0" w:color="000000"/>
                                    <w:right w:val="single" w:sz="6" w:space="0" w:color="000000"/>
                                  </w:tcBorders>
                                  <w:vAlign w:val="center"/>
                                </w:tcPr>
                                <w:p w:rsidR="00463524" w:rsidRPr="008F2272" w:rsidRDefault="00463524" w:rsidP="0026784E">
                                  <w:pPr>
                                    <w:jc w:val="center"/>
                                  </w:pPr>
                                  <w:r>
                                    <w:rPr>
                                      <w:b/>
                                      <w:bCs/>
                                    </w:rPr>
                                    <w:t>A</w:t>
                                  </w:r>
                                  <w:r w:rsidRPr="008C7F79">
                                    <w:rPr>
                                      <w:b/>
                                      <w:bCs/>
                                    </w:rPr>
                                    <w:t xml:space="preserve">dditional information for this Table </w:t>
                                  </w:r>
                                  <w:r>
                                    <w:rPr>
                                      <w:b/>
                                      <w:bCs/>
                                    </w:rPr>
                                    <w:t>is</w:t>
                                  </w:r>
                                  <w:r w:rsidRPr="008C7F79">
                                    <w:rPr>
                                      <w:b/>
                                      <w:bCs/>
                                    </w:rPr>
                                    <w:t xml:space="preserve"> provided on page 2.</w:t>
                                  </w:r>
                                </w:p>
                              </w:tc>
                            </w:tr>
                          </w:tbl>
                          <w:p w:rsidR="00463524" w:rsidRPr="006D0072" w:rsidRDefault="00463524" w:rsidP="00463524">
                            <w:pPr>
                              <w:ind w:left="180" w:hanging="180"/>
                              <w:jc w:val="center"/>
                            </w:pPr>
                          </w:p>
                          <w:p w:rsidR="00463524" w:rsidRDefault="00463524" w:rsidP="0046352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0.25pt;margin-top:8.55pt;width:537.75pt;height:3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">
                <v:textbox>
                  <w:txbxContent>
                    <w:p w:rsidR="00463524" w:rsidRDefault="00463524" w:rsidP="00463524">
                      <w:r w:rsidRPr="00093715">
                        <w:t xml:space="preserve">   </w:t>
                      </w:r>
                      <w:r w:rsidRPr="008C7F79">
                        <w:rPr>
                          <w:b/>
                        </w:rPr>
                        <w:t>Name:</w:t>
                      </w:r>
                      <w:r w:rsidRPr="00093715">
                        <w:t xml:space="preserve">  </w:t>
                      </w:r>
                      <w:r w:rsidRPr="00093715">
                        <w:tab/>
                      </w:r>
                      <w:r w:rsidRPr="00093715">
                        <w:tab/>
                      </w:r>
                      <w:r w:rsidRPr="00093715">
                        <w:tab/>
                      </w:r>
                      <w:r w:rsidRPr="00093715">
                        <w:tab/>
                        <w:t xml:space="preserve">  </w:t>
                      </w:r>
                      <w:r>
                        <w:tab/>
                      </w:r>
                      <w:r>
                        <w:tab/>
                      </w:r>
                      <w:r w:rsidRPr="008C7F79">
                        <w:rPr>
                          <w:b/>
                        </w:rPr>
                        <w:t>Date of Sample</w:t>
                      </w:r>
                      <w:r>
                        <w:rPr>
                          <w:b/>
                        </w:rPr>
                        <w:t xml:space="preserve"> Collection</w:t>
                      </w:r>
                      <w:r w:rsidRPr="008C7F79">
                        <w:rPr>
                          <w:b/>
                        </w:rPr>
                        <w:t>:</w:t>
                      </w:r>
                      <w:r w:rsidRPr="00093715">
                        <w:t xml:space="preserve">  </w:t>
                      </w:r>
                    </w:p>
                    <w:p w:rsidR="00463524" w:rsidRPr="00093715" w:rsidRDefault="00463524" w:rsidP="00463524"/>
                    <w:tbl>
                      <w:tblPr>
                        <w:tblW w:w="10108" w:type="dxa"/>
                        <w:jc w:val="center"/>
                        <w:tblLayout w:type="fixed"/>
                        <w:tblLook w:val="00A0" w:firstRow="1" w:lastRow="0" w:firstColumn="1" w:lastColumn="0" w:noHBand="0" w:noVBand="0"/>
                      </w:tblPr>
                      <w:tblGrid>
                        <w:gridCol w:w="2458"/>
                        <w:gridCol w:w="2160"/>
                        <w:gridCol w:w="2410"/>
                        <w:gridCol w:w="3080"/>
                      </w:tblGrid>
                      <w:tr w:rsidR="00463524" w:rsidRPr="006F1E36" w:rsidTr="000E6CEE">
                        <w:trPr>
                          <w:trHeight w:val="663"/>
                          <w:jc w:val="center"/>
                        </w:trPr>
                        <w:tc>
                          <w:tcPr>
                            <w:tcW w:w="2458" w:type="dxa"/>
                            <w:tcBorders>
                              <w:top w:val="single" w:sz="6" w:space="0" w:color="000000"/>
                              <w:left w:val="single" w:sz="6" w:space="0" w:color="000000"/>
                              <w:right w:val="single" w:sz="6" w:space="0" w:color="000000"/>
                            </w:tcBorders>
                            <w:vAlign w:val="center"/>
                          </w:tcPr>
                          <w:p w:rsidR="00463524" w:rsidRDefault="00463524" w:rsidP="008346C5">
                            <w:pPr>
                              <w:autoSpaceDE w:val="0"/>
                              <w:autoSpaceDN w:val="0"/>
                              <w:adjustRightInd w:val="0"/>
                              <w:jc w:val="center"/>
                              <w:rPr>
                                <w:b/>
                                <w:bCs/>
                                <w:color w:val="000000"/>
                              </w:rPr>
                            </w:pPr>
                            <w:r>
                              <w:rPr>
                                <w:b/>
                                <w:bCs/>
                                <w:color w:val="000000"/>
                              </w:rPr>
                              <w:t>Metal Test</w:t>
                            </w:r>
                          </w:p>
                        </w:tc>
                        <w:tc>
                          <w:tcPr>
                            <w:tcW w:w="2160" w:type="dxa"/>
                            <w:tcBorders>
                              <w:top w:val="single" w:sz="6" w:space="0" w:color="000000"/>
                              <w:left w:val="single" w:sz="6" w:space="0" w:color="000000"/>
                              <w:right w:val="single" w:sz="6" w:space="0" w:color="000000"/>
                            </w:tcBorders>
                            <w:shd w:val="clear" w:color="auto" w:fill="D9D9D9"/>
                            <w:vAlign w:val="center"/>
                          </w:tcPr>
                          <w:p w:rsidR="00463524" w:rsidRDefault="00463524" w:rsidP="00F66353">
                            <w:pPr>
                              <w:autoSpaceDE w:val="0"/>
                              <w:autoSpaceDN w:val="0"/>
                              <w:adjustRightInd w:val="0"/>
                              <w:jc w:val="center"/>
                              <w:rPr>
                                <w:b/>
                                <w:bCs/>
                                <w:color w:val="000000"/>
                              </w:rPr>
                            </w:pPr>
                            <w:r>
                              <w:rPr>
                                <w:b/>
                                <w:bCs/>
                                <w:color w:val="000000"/>
                              </w:rPr>
                              <w:t>Your result</w:t>
                            </w:r>
                          </w:p>
                        </w:tc>
                        <w:tc>
                          <w:tcPr>
                            <w:tcW w:w="2410" w:type="dxa"/>
                            <w:tcBorders>
                              <w:top w:val="single" w:sz="6" w:space="0" w:color="000000"/>
                              <w:left w:val="single" w:sz="6" w:space="0" w:color="000000"/>
                              <w:right w:val="single" w:sz="6" w:space="0" w:color="000000"/>
                            </w:tcBorders>
                            <w:vAlign w:val="center"/>
                          </w:tcPr>
                          <w:p w:rsidR="00463524" w:rsidRDefault="00463524" w:rsidP="005148F9">
                            <w:pPr>
                              <w:autoSpaceDE w:val="0"/>
                              <w:autoSpaceDN w:val="0"/>
                              <w:adjustRightInd w:val="0"/>
                              <w:jc w:val="center"/>
                              <w:rPr>
                                <w:b/>
                                <w:bCs/>
                                <w:color w:val="000000"/>
                              </w:rPr>
                            </w:pPr>
                            <w:r>
                              <w:rPr>
                                <w:b/>
                                <w:bCs/>
                                <w:color w:val="000000"/>
                              </w:rPr>
                              <w:t>Reference Level*</w:t>
                            </w:r>
                          </w:p>
                        </w:tc>
                        <w:tc>
                          <w:tcPr>
                            <w:tcW w:w="3080" w:type="dxa"/>
                            <w:tcBorders>
                              <w:top w:val="single" w:sz="6" w:space="0" w:color="000000"/>
                              <w:left w:val="single" w:sz="6" w:space="0" w:color="000000"/>
                              <w:right w:val="single" w:sz="6" w:space="0" w:color="000000"/>
                            </w:tcBorders>
                            <w:vAlign w:val="center"/>
                          </w:tcPr>
                          <w:p w:rsidR="00463524" w:rsidRDefault="00463524" w:rsidP="0000672C">
                            <w:pPr>
                              <w:autoSpaceDE w:val="0"/>
                              <w:autoSpaceDN w:val="0"/>
                              <w:adjustRightInd w:val="0"/>
                              <w:jc w:val="center"/>
                              <w:rPr>
                                <w:b/>
                                <w:bCs/>
                                <w:color w:val="000000"/>
                              </w:rPr>
                            </w:pPr>
                            <w:r>
                              <w:rPr>
                                <w:b/>
                                <w:bCs/>
                                <w:color w:val="000000"/>
                              </w:rPr>
                              <w:t>Follow-up Level**</w:t>
                            </w:r>
                          </w:p>
                        </w:tc>
                      </w:tr>
                      <w:tr w:rsidR="00463524" w:rsidRPr="006F1E36" w:rsidTr="000E6CEE">
                        <w:trPr>
                          <w:trHeight w:val="522"/>
                          <w:jc w:val="center"/>
                        </w:trPr>
                        <w:tc>
                          <w:tcPr>
                            <w:tcW w:w="2458" w:type="dxa"/>
                            <w:tcBorders>
                              <w:top w:val="single" w:sz="6" w:space="0" w:color="000000"/>
                              <w:left w:val="single" w:sz="6" w:space="0" w:color="000000"/>
                              <w:bottom w:val="single" w:sz="6" w:space="0" w:color="000000"/>
                              <w:right w:val="single" w:sz="6" w:space="0" w:color="000000"/>
                            </w:tcBorders>
                            <w:vAlign w:val="center"/>
                          </w:tcPr>
                          <w:p w:rsidR="00463524" w:rsidRPr="006C30AE" w:rsidRDefault="00463524" w:rsidP="008346C5">
                            <w:pPr>
                              <w:autoSpaceDE w:val="0"/>
                              <w:autoSpaceDN w:val="0"/>
                              <w:adjustRightInd w:val="0"/>
                              <w:jc w:val="center"/>
                              <w:rPr>
                                <w:b/>
                                <w:color w:val="000000"/>
                              </w:rPr>
                            </w:pPr>
                            <w:r>
                              <w:rPr>
                                <w:b/>
                                <w:color w:val="000000"/>
                              </w:rPr>
                              <w:t xml:space="preserve">Blood </w:t>
                            </w:r>
                            <w:r w:rsidRPr="006C30AE">
                              <w:rPr>
                                <w:b/>
                                <w:color w:val="000000"/>
                              </w:rPr>
                              <w:t>Lead</w:t>
                            </w:r>
                          </w:p>
                        </w:tc>
                        <w:tc>
                          <w:tcPr>
                            <w:tcW w:w="216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463524" w:rsidRDefault="00463524" w:rsidP="00747138">
                            <w:pPr>
                              <w:jc w:val="center"/>
                            </w:pPr>
                            <w:r>
                              <w:t xml:space="preserve">1.5 </w:t>
                            </w:r>
                            <w:r w:rsidRPr="00F21E16">
                              <w:t>µg/</w:t>
                            </w:r>
                            <w:proofErr w:type="spellStart"/>
                            <w:r w:rsidRPr="00F21E16">
                              <w:t>dL</w:t>
                            </w:r>
                            <w:proofErr w:type="spellEnd"/>
                          </w:p>
                        </w:tc>
                        <w:tc>
                          <w:tcPr>
                            <w:tcW w:w="2410" w:type="dxa"/>
                            <w:tcBorders>
                              <w:top w:val="single" w:sz="6" w:space="0" w:color="000000"/>
                              <w:left w:val="single" w:sz="6" w:space="0" w:color="000000"/>
                              <w:bottom w:val="single" w:sz="6" w:space="0" w:color="000000"/>
                              <w:right w:val="single" w:sz="6" w:space="0" w:color="000000"/>
                            </w:tcBorders>
                            <w:vAlign w:val="center"/>
                          </w:tcPr>
                          <w:p w:rsidR="00463524" w:rsidRDefault="00463524" w:rsidP="00747138">
                            <w:pPr>
                              <w:jc w:val="center"/>
                            </w:pPr>
                            <w:r>
                              <w:t xml:space="preserve">Less than 5 </w:t>
                            </w:r>
                            <w:r w:rsidRPr="00F21E16">
                              <w:t>µg/</w:t>
                            </w:r>
                            <w:proofErr w:type="spellStart"/>
                            <w:r w:rsidRPr="00F21E16">
                              <w:t>dL</w:t>
                            </w:r>
                            <w:proofErr w:type="spellEnd"/>
                          </w:p>
                        </w:tc>
                        <w:tc>
                          <w:tcPr>
                            <w:tcW w:w="3080" w:type="dxa"/>
                            <w:tcBorders>
                              <w:top w:val="single" w:sz="6" w:space="0" w:color="000000"/>
                              <w:left w:val="single" w:sz="6" w:space="0" w:color="000000"/>
                              <w:bottom w:val="single" w:sz="6" w:space="0" w:color="000000"/>
                              <w:right w:val="single" w:sz="6" w:space="0" w:color="000000"/>
                            </w:tcBorders>
                            <w:vAlign w:val="center"/>
                          </w:tcPr>
                          <w:p w:rsidR="00463524" w:rsidRDefault="00463524" w:rsidP="00747138">
                            <w:pPr>
                              <w:jc w:val="center"/>
                            </w:pPr>
                            <w:r>
                              <w:t>15</w:t>
                            </w:r>
                            <w:r w:rsidRPr="00F21E16">
                              <w:t xml:space="preserve"> µg/</w:t>
                            </w:r>
                            <w:proofErr w:type="spellStart"/>
                            <w:r w:rsidRPr="00F21E16">
                              <w:t>dL</w:t>
                            </w:r>
                            <w:proofErr w:type="spellEnd"/>
                            <w:r>
                              <w:t xml:space="preserve"> and higher (male)</w:t>
                            </w:r>
                          </w:p>
                          <w:p w:rsidR="00463524" w:rsidRDefault="00463524" w:rsidP="00747138">
                            <w:pPr>
                              <w:jc w:val="center"/>
                            </w:pPr>
                            <w:r>
                              <w:t xml:space="preserve">10 </w:t>
                            </w:r>
                            <w:r w:rsidRPr="00F21E16">
                              <w:t>µg/</w:t>
                            </w:r>
                            <w:proofErr w:type="spellStart"/>
                            <w:r w:rsidRPr="00F21E16">
                              <w:t>dL</w:t>
                            </w:r>
                            <w:proofErr w:type="spellEnd"/>
                            <w:r>
                              <w:t xml:space="preserve"> and higher (female)</w:t>
                            </w:r>
                          </w:p>
                        </w:tc>
                      </w:tr>
                      <w:tr w:rsidR="00463524" w:rsidRPr="006F1E36" w:rsidTr="000E6CEE">
                        <w:trPr>
                          <w:trHeight w:val="522"/>
                          <w:jc w:val="center"/>
                        </w:trPr>
                        <w:tc>
                          <w:tcPr>
                            <w:tcW w:w="2458" w:type="dxa"/>
                            <w:tcBorders>
                              <w:top w:val="single" w:sz="6" w:space="0" w:color="000000"/>
                              <w:left w:val="single" w:sz="6" w:space="0" w:color="000000"/>
                              <w:bottom w:val="single" w:sz="6" w:space="0" w:color="000000"/>
                              <w:right w:val="single" w:sz="6" w:space="0" w:color="000000"/>
                            </w:tcBorders>
                            <w:vAlign w:val="center"/>
                          </w:tcPr>
                          <w:p w:rsidR="00463524" w:rsidRPr="006C30AE" w:rsidRDefault="00463524" w:rsidP="008346C5">
                            <w:pPr>
                              <w:autoSpaceDE w:val="0"/>
                              <w:autoSpaceDN w:val="0"/>
                              <w:adjustRightInd w:val="0"/>
                              <w:jc w:val="center"/>
                              <w:rPr>
                                <w:b/>
                                <w:color w:val="000000"/>
                              </w:rPr>
                            </w:pPr>
                            <w:r>
                              <w:rPr>
                                <w:b/>
                                <w:color w:val="000000"/>
                              </w:rPr>
                              <w:t xml:space="preserve">Blood </w:t>
                            </w:r>
                            <w:r w:rsidRPr="006C30AE">
                              <w:rPr>
                                <w:b/>
                                <w:color w:val="000000"/>
                              </w:rPr>
                              <w:t>Cadmium</w:t>
                            </w:r>
                          </w:p>
                        </w:tc>
                        <w:tc>
                          <w:tcPr>
                            <w:tcW w:w="216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463524" w:rsidRPr="006D0072" w:rsidRDefault="00463524" w:rsidP="00747138">
                            <w:pPr>
                              <w:jc w:val="center"/>
                            </w:pPr>
                            <w:r>
                              <w:t>0.3 µg/</w:t>
                            </w:r>
                            <w:r w:rsidRPr="00F21E16">
                              <w:t>L</w:t>
                            </w:r>
                          </w:p>
                        </w:tc>
                        <w:tc>
                          <w:tcPr>
                            <w:tcW w:w="2410" w:type="dxa"/>
                            <w:tcBorders>
                              <w:top w:val="single" w:sz="6" w:space="0" w:color="000000"/>
                              <w:left w:val="single" w:sz="6" w:space="0" w:color="000000"/>
                              <w:bottom w:val="single" w:sz="6" w:space="0" w:color="000000"/>
                              <w:right w:val="single" w:sz="6" w:space="0" w:color="000000"/>
                            </w:tcBorders>
                            <w:vAlign w:val="center"/>
                          </w:tcPr>
                          <w:p w:rsidR="00463524" w:rsidRDefault="00463524" w:rsidP="00BD5167">
                            <w:pPr>
                              <w:jc w:val="center"/>
                            </w:pPr>
                            <w:r>
                              <w:t>Less than 2.5 µg/</w:t>
                            </w:r>
                            <w:r w:rsidRPr="00F21E16">
                              <w:t>L</w:t>
                            </w:r>
                          </w:p>
                        </w:tc>
                        <w:tc>
                          <w:tcPr>
                            <w:tcW w:w="3080" w:type="dxa"/>
                            <w:tcBorders>
                              <w:top w:val="single" w:sz="6" w:space="0" w:color="000000"/>
                              <w:left w:val="single" w:sz="6" w:space="0" w:color="000000"/>
                              <w:bottom w:val="single" w:sz="6" w:space="0" w:color="000000"/>
                              <w:right w:val="single" w:sz="6" w:space="0" w:color="000000"/>
                            </w:tcBorders>
                            <w:vAlign w:val="center"/>
                          </w:tcPr>
                          <w:p w:rsidR="00463524" w:rsidRPr="00E00E72" w:rsidRDefault="00463524" w:rsidP="00BD5167">
                            <w:pPr>
                              <w:jc w:val="center"/>
                            </w:pPr>
                            <w:r>
                              <w:t>10 µg/</w:t>
                            </w:r>
                            <w:r w:rsidRPr="00F21E16">
                              <w:t>L</w:t>
                            </w:r>
                            <w:r w:rsidDel="00284FB7">
                              <w:t xml:space="preserve"> </w:t>
                            </w:r>
                            <w:r>
                              <w:t>and higher</w:t>
                            </w:r>
                          </w:p>
                        </w:tc>
                      </w:tr>
                      <w:tr w:rsidR="00463524" w:rsidRPr="006F1E36" w:rsidTr="000E6CEE">
                        <w:trPr>
                          <w:trHeight w:val="477"/>
                          <w:jc w:val="center"/>
                        </w:trPr>
                        <w:tc>
                          <w:tcPr>
                            <w:tcW w:w="2458" w:type="dxa"/>
                            <w:tcBorders>
                              <w:top w:val="single" w:sz="6" w:space="0" w:color="000000"/>
                              <w:left w:val="single" w:sz="6" w:space="0" w:color="000000"/>
                              <w:bottom w:val="single" w:sz="6" w:space="0" w:color="000000"/>
                              <w:right w:val="single" w:sz="6" w:space="0" w:color="000000"/>
                            </w:tcBorders>
                            <w:vAlign w:val="center"/>
                          </w:tcPr>
                          <w:p w:rsidR="00463524" w:rsidRPr="006C30AE" w:rsidRDefault="00463524" w:rsidP="008346C5">
                            <w:pPr>
                              <w:autoSpaceDE w:val="0"/>
                              <w:autoSpaceDN w:val="0"/>
                              <w:adjustRightInd w:val="0"/>
                              <w:jc w:val="center"/>
                              <w:rPr>
                                <w:b/>
                                <w:color w:val="000000"/>
                              </w:rPr>
                            </w:pPr>
                            <w:r>
                              <w:rPr>
                                <w:b/>
                                <w:color w:val="000000"/>
                              </w:rPr>
                              <w:t xml:space="preserve">Blood </w:t>
                            </w:r>
                            <w:r w:rsidRPr="006C30AE">
                              <w:rPr>
                                <w:b/>
                                <w:color w:val="000000"/>
                              </w:rPr>
                              <w:t>Mercury</w:t>
                            </w:r>
                          </w:p>
                        </w:tc>
                        <w:tc>
                          <w:tcPr>
                            <w:tcW w:w="216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463524" w:rsidRPr="006D0072" w:rsidRDefault="00463524" w:rsidP="00747138">
                            <w:pPr>
                              <w:jc w:val="center"/>
                            </w:pPr>
                            <w:r>
                              <w:t>1.5 µg/</w:t>
                            </w:r>
                            <w:r w:rsidRPr="00F21E16">
                              <w:t>L</w:t>
                            </w:r>
                            <w:r>
                              <w:t xml:space="preserve"> </w:t>
                            </w:r>
                          </w:p>
                        </w:tc>
                        <w:tc>
                          <w:tcPr>
                            <w:tcW w:w="2410" w:type="dxa"/>
                            <w:tcBorders>
                              <w:top w:val="single" w:sz="6" w:space="0" w:color="000000"/>
                              <w:left w:val="single" w:sz="6" w:space="0" w:color="000000"/>
                              <w:bottom w:val="single" w:sz="6" w:space="0" w:color="000000"/>
                              <w:right w:val="single" w:sz="6" w:space="0" w:color="000000"/>
                            </w:tcBorders>
                            <w:vAlign w:val="center"/>
                          </w:tcPr>
                          <w:p w:rsidR="00463524" w:rsidRDefault="00463524" w:rsidP="00BD5167">
                            <w:pPr>
                              <w:jc w:val="center"/>
                            </w:pPr>
                            <w:r>
                              <w:t>Less than 10 µg/</w:t>
                            </w:r>
                            <w:r w:rsidRPr="00F21E16">
                              <w:t>L</w:t>
                            </w:r>
                          </w:p>
                        </w:tc>
                        <w:tc>
                          <w:tcPr>
                            <w:tcW w:w="3080" w:type="dxa"/>
                            <w:tcBorders>
                              <w:top w:val="single" w:sz="6" w:space="0" w:color="000000"/>
                              <w:left w:val="single" w:sz="6" w:space="0" w:color="000000"/>
                              <w:bottom w:val="single" w:sz="6" w:space="0" w:color="000000"/>
                              <w:right w:val="single" w:sz="6" w:space="0" w:color="000000"/>
                            </w:tcBorders>
                            <w:vAlign w:val="center"/>
                          </w:tcPr>
                          <w:p w:rsidR="00463524" w:rsidRPr="00E00E72" w:rsidRDefault="00463524" w:rsidP="00BD5167">
                            <w:pPr>
                              <w:jc w:val="center"/>
                            </w:pPr>
                            <w:r>
                              <w:t>60 µg/</w:t>
                            </w:r>
                            <w:r w:rsidRPr="00F21E16">
                              <w:t>L</w:t>
                            </w:r>
                            <w:r w:rsidDel="00284FB7">
                              <w:t xml:space="preserve"> </w:t>
                            </w:r>
                            <w:r>
                              <w:t>and higher</w:t>
                            </w:r>
                          </w:p>
                        </w:tc>
                      </w:tr>
                      <w:tr w:rsidR="00463524" w:rsidRPr="006F1E36" w:rsidTr="000E6CEE">
                        <w:trPr>
                          <w:trHeight w:val="477"/>
                          <w:jc w:val="center"/>
                        </w:trPr>
                        <w:tc>
                          <w:tcPr>
                            <w:tcW w:w="2458" w:type="dxa"/>
                            <w:tcBorders>
                              <w:top w:val="single" w:sz="6" w:space="0" w:color="000000"/>
                              <w:left w:val="single" w:sz="6" w:space="0" w:color="000000"/>
                              <w:bottom w:val="single" w:sz="6" w:space="0" w:color="000000"/>
                              <w:right w:val="single" w:sz="6" w:space="0" w:color="000000"/>
                            </w:tcBorders>
                            <w:vAlign w:val="center"/>
                          </w:tcPr>
                          <w:p w:rsidR="00463524" w:rsidRPr="006C30AE" w:rsidRDefault="00463524" w:rsidP="008346C5">
                            <w:pPr>
                              <w:autoSpaceDE w:val="0"/>
                              <w:autoSpaceDN w:val="0"/>
                              <w:adjustRightInd w:val="0"/>
                              <w:jc w:val="center"/>
                              <w:rPr>
                                <w:b/>
                                <w:color w:val="000000"/>
                              </w:rPr>
                            </w:pPr>
                            <w:r>
                              <w:rPr>
                                <w:b/>
                                <w:color w:val="000000"/>
                              </w:rPr>
                              <w:t xml:space="preserve">Urine </w:t>
                            </w:r>
                            <w:r w:rsidRPr="006C30AE">
                              <w:rPr>
                                <w:b/>
                                <w:color w:val="000000"/>
                              </w:rPr>
                              <w:t>Mercury</w:t>
                            </w:r>
                          </w:p>
                        </w:tc>
                        <w:tc>
                          <w:tcPr>
                            <w:tcW w:w="216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463524" w:rsidRPr="006D0072" w:rsidRDefault="00463524" w:rsidP="009A57BD">
                            <w:pPr>
                              <w:jc w:val="center"/>
                            </w:pPr>
                            <w:r>
                              <w:t>Not Detected</w:t>
                            </w:r>
                          </w:p>
                        </w:tc>
                        <w:tc>
                          <w:tcPr>
                            <w:tcW w:w="2410" w:type="dxa"/>
                            <w:tcBorders>
                              <w:top w:val="single" w:sz="6" w:space="0" w:color="000000"/>
                              <w:left w:val="single" w:sz="6" w:space="0" w:color="000000"/>
                              <w:bottom w:val="single" w:sz="6" w:space="0" w:color="000000"/>
                              <w:right w:val="single" w:sz="6" w:space="0" w:color="000000"/>
                            </w:tcBorders>
                            <w:vAlign w:val="center"/>
                          </w:tcPr>
                          <w:p w:rsidR="00463524" w:rsidRDefault="00463524" w:rsidP="00BD5167">
                            <w:pPr>
                              <w:jc w:val="center"/>
                            </w:pPr>
                            <w:r>
                              <w:t>Less than 6.0 µg/</w:t>
                            </w:r>
                            <w:r w:rsidRPr="00F21E16">
                              <w:t>L</w:t>
                            </w:r>
                            <w:r w:rsidRPr="00E00E72" w:rsidDel="000431F2">
                              <w:t xml:space="preserve"> </w:t>
                            </w:r>
                            <w:r>
                              <w:t xml:space="preserve"> </w:t>
                            </w:r>
                          </w:p>
                        </w:tc>
                        <w:tc>
                          <w:tcPr>
                            <w:tcW w:w="3080" w:type="dxa"/>
                            <w:tcBorders>
                              <w:top w:val="single" w:sz="6" w:space="0" w:color="000000"/>
                              <w:left w:val="single" w:sz="6" w:space="0" w:color="000000"/>
                              <w:bottom w:val="single" w:sz="6" w:space="0" w:color="000000"/>
                              <w:right w:val="single" w:sz="6" w:space="0" w:color="000000"/>
                            </w:tcBorders>
                            <w:vAlign w:val="center"/>
                          </w:tcPr>
                          <w:p w:rsidR="00463524" w:rsidRPr="00E00E72" w:rsidRDefault="00463524" w:rsidP="00BD5167">
                            <w:pPr>
                              <w:jc w:val="center"/>
                            </w:pPr>
                            <w:r>
                              <w:t>20 µg/</w:t>
                            </w:r>
                            <w:r w:rsidRPr="00F21E16">
                              <w:t>L</w:t>
                            </w:r>
                            <w:r w:rsidDel="00284FB7">
                              <w:t xml:space="preserve"> </w:t>
                            </w:r>
                            <w:r>
                              <w:t>and higher</w:t>
                            </w:r>
                          </w:p>
                        </w:tc>
                      </w:tr>
                      <w:tr w:rsidR="00463524" w:rsidRPr="006F1E36" w:rsidTr="000E6CEE">
                        <w:trPr>
                          <w:trHeight w:val="1455"/>
                          <w:jc w:val="center"/>
                        </w:trPr>
                        <w:tc>
                          <w:tcPr>
                            <w:tcW w:w="10108" w:type="dxa"/>
                            <w:gridSpan w:val="4"/>
                            <w:tcBorders>
                              <w:top w:val="single" w:sz="6" w:space="0" w:color="000000"/>
                              <w:left w:val="single" w:sz="6" w:space="0" w:color="000000"/>
                              <w:bottom w:val="single" w:sz="6" w:space="0" w:color="000000"/>
                              <w:right w:val="single" w:sz="6" w:space="0" w:color="000000"/>
                            </w:tcBorders>
                            <w:vAlign w:val="center"/>
                          </w:tcPr>
                          <w:p w:rsidR="00463524" w:rsidRDefault="00463524" w:rsidP="00F95B6D">
                            <w:pPr>
                              <w:tabs>
                                <w:tab w:val="left" w:pos="10260"/>
                              </w:tabs>
                              <w:ind w:left="360" w:right="108" w:hanging="360"/>
                            </w:pPr>
                            <w:r w:rsidRPr="00982983">
                              <w:rPr>
                                <w:b/>
                              </w:rPr>
                              <w:t>µg/</w:t>
                            </w:r>
                            <w:r w:rsidRPr="008C7F79">
                              <w:rPr>
                                <w:b/>
                              </w:rPr>
                              <w:t>L</w:t>
                            </w:r>
                            <w:r w:rsidRPr="006D0072">
                              <w:t xml:space="preserve"> </w:t>
                            </w:r>
                            <w:r>
                              <w:t>= micrograms per liter. One microgram per liter</w:t>
                            </w:r>
                            <w:r w:rsidRPr="006D0072">
                              <w:t xml:space="preserve"> is </w:t>
                            </w:r>
                            <w:r>
                              <w:t xml:space="preserve">1 part-per-billion, </w:t>
                            </w:r>
                            <w:r w:rsidRPr="006D0072">
                              <w:t>equivalent to about one drop of a liquid substance in an Olympic-size swimming pool</w:t>
                            </w:r>
                            <w:r>
                              <w:t xml:space="preserve">.  </w:t>
                            </w:r>
                          </w:p>
                          <w:p w:rsidR="00463524" w:rsidRPr="008C7F79" w:rsidRDefault="00463524" w:rsidP="008346C5">
                            <w:pPr>
                              <w:tabs>
                                <w:tab w:val="left" w:pos="10260"/>
                              </w:tabs>
                              <w:ind w:left="360" w:right="108" w:hanging="360"/>
                            </w:pPr>
                            <w:r w:rsidRPr="00982983">
                              <w:rPr>
                                <w:b/>
                              </w:rPr>
                              <w:t>µg/</w:t>
                            </w:r>
                            <w:proofErr w:type="spellStart"/>
                            <w:r w:rsidRPr="00982983">
                              <w:rPr>
                                <w:b/>
                              </w:rPr>
                              <w:t>dL</w:t>
                            </w:r>
                            <w:proofErr w:type="spellEnd"/>
                            <w:r>
                              <w:t xml:space="preserve"> = microgram per deciliter (for lead).  There are 10 deciliters in one liter.  One microgram per deciliter is 10 parts-per-billion, equivalent to about ten drops in an Olympic-size pool</w:t>
                            </w:r>
                            <w:r w:rsidRPr="006D0072">
                              <w:t xml:space="preserve">. </w:t>
                            </w:r>
                          </w:p>
                        </w:tc>
                      </w:tr>
                      <w:tr w:rsidR="00463524" w:rsidRPr="006F1E36" w:rsidTr="000E6CEE">
                        <w:trPr>
                          <w:trHeight w:val="528"/>
                          <w:jc w:val="center"/>
                        </w:trPr>
                        <w:tc>
                          <w:tcPr>
                            <w:tcW w:w="10108" w:type="dxa"/>
                            <w:gridSpan w:val="4"/>
                            <w:tcBorders>
                              <w:top w:val="single" w:sz="6" w:space="0" w:color="000000"/>
                              <w:left w:val="single" w:sz="6" w:space="0" w:color="000000"/>
                              <w:bottom w:val="single" w:sz="6" w:space="0" w:color="000000"/>
                              <w:right w:val="single" w:sz="6" w:space="0" w:color="000000"/>
                            </w:tcBorders>
                            <w:vAlign w:val="center"/>
                          </w:tcPr>
                          <w:p w:rsidR="00463524" w:rsidRPr="008F2272" w:rsidRDefault="00463524" w:rsidP="008346C5">
                            <w:pPr>
                              <w:jc w:val="center"/>
                            </w:pPr>
                            <w:r w:rsidRPr="008C7F79">
                              <w:t xml:space="preserve">All tests were performed by the </w:t>
                            </w:r>
                            <w:r>
                              <w:t xml:space="preserve">Trace Elements Laboratory at the </w:t>
                            </w:r>
                            <w:r w:rsidRPr="008C7F79">
                              <w:t>Wadsworth Center, NYS</w:t>
                            </w:r>
                            <w:r>
                              <w:t xml:space="preserve"> DOH, Empire State Plaza, </w:t>
                            </w:r>
                            <w:proofErr w:type="gramStart"/>
                            <w:r>
                              <w:t>PO</w:t>
                            </w:r>
                            <w:proofErr w:type="gramEnd"/>
                            <w:r>
                              <w:t xml:space="preserve"> Box 509, Albany,</w:t>
                            </w:r>
                            <w:r w:rsidRPr="008C7F79">
                              <w:t xml:space="preserve"> NY 12</w:t>
                            </w:r>
                            <w:r>
                              <w:t>201</w:t>
                            </w:r>
                            <w:r w:rsidRPr="008C7F79">
                              <w:t>.</w:t>
                            </w:r>
                          </w:p>
                        </w:tc>
                      </w:tr>
                      <w:tr w:rsidR="00463524" w:rsidRPr="006F1E36" w:rsidTr="000E6CEE">
                        <w:trPr>
                          <w:trHeight w:val="462"/>
                          <w:jc w:val="center"/>
                        </w:trPr>
                        <w:tc>
                          <w:tcPr>
                            <w:tcW w:w="10108" w:type="dxa"/>
                            <w:gridSpan w:val="4"/>
                            <w:tcBorders>
                              <w:top w:val="single" w:sz="6" w:space="0" w:color="000000"/>
                              <w:left w:val="single" w:sz="6" w:space="0" w:color="000000"/>
                              <w:bottom w:val="single" w:sz="6" w:space="0" w:color="000000"/>
                              <w:right w:val="single" w:sz="6" w:space="0" w:color="000000"/>
                            </w:tcBorders>
                            <w:vAlign w:val="center"/>
                          </w:tcPr>
                          <w:p w:rsidR="00463524" w:rsidRPr="008F2272" w:rsidRDefault="00463524" w:rsidP="0026784E">
                            <w:pPr>
                              <w:jc w:val="center"/>
                            </w:pPr>
                            <w:r>
                              <w:rPr>
                                <w:b/>
                                <w:bCs/>
                              </w:rPr>
                              <w:t>A</w:t>
                            </w:r>
                            <w:r w:rsidRPr="008C7F79">
                              <w:rPr>
                                <w:b/>
                                <w:bCs/>
                              </w:rPr>
                              <w:t xml:space="preserve">dditional information for this Table </w:t>
                            </w:r>
                            <w:r>
                              <w:rPr>
                                <w:b/>
                                <w:bCs/>
                              </w:rPr>
                              <w:t>is</w:t>
                            </w:r>
                            <w:r w:rsidRPr="008C7F79">
                              <w:rPr>
                                <w:b/>
                                <w:bCs/>
                              </w:rPr>
                              <w:t xml:space="preserve"> provided on page 2.</w:t>
                            </w:r>
                          </w:p>
                        </w:tc>
                      </w:tr>
                    </w:tbl>
                    <w:p w:rsidR="00463524" w:rsidRPr="006D0072" w:rsidRDefault="00463524" w:rsidP="00463524">
                      <w:pPr>
                        <w:ind w:left="180" w:hanging="180"/>
                        <w:jc w:val="center"/>
                      </w:pPr>
                    </w:p>
                    <w:p w:rsidR="00463524" w:rsidRDefault="00463524" w:rsidP="00463524"/>
                  </w:txbxContent>
                </v:textbox>
              </v:shape>
            </w:pict>
          </mc:Fallback>
        </mc:AlternateContent>
      </w:r>
    </w:p>
    <w:p w:rsidR="00463524" w:rsidRDefault="00463524" w:rsidP="00463524"/>
    <w:p w:rsidR="00463524" w:rsidRDefault="00463524" w:rsidP="00463524"/>
    <w:p w:rsidR="00463524" w:rsidRDefault="00463524" w:rsidP="00463524"/>
    <w:p w:rsidR="00463524" w:rsidRDefault="00463524" w:rsidP="00463524"/>
    <w:p w:rsidR="00463524" w:rsidRDefault="00463524" w:rsidP="00463524"/>
    <w:p w:rsidR="00463524" w:rsidRDefault="00463524" w:rsidP="00463524"/>
    <w:p w:rsidR="00463524" w:rsidRDefault="00463524" w:rsidP="00463524"/>
    <w:p w:rsidR="00463524" w:rsidRDefault="00463524" w:rsidP="00463524"/>
    <w:p w:rsidR="00463524" w:rsidRDefault="00463524" w:rsidP="00463524"/>
    <w:p w:rsidR="00463524" w:rsidRDefault="00463524" w:rsidP="00463524"/>
    <w:p w:rsidR="00463524" w:rsidRDefault="00463524" w:rsidP="00463524"/>
    <w:p w:rsidR="00463524" w:rsidRDefault="00463524" w:rsidP="00463524"/>
    <w:p w:rsidR="00463524" w:rsidRDefault="00463524" w:rsidP="00463524"/>
    <w:p w:rsidR="00463524" w:rsidRDefault="00463524" w:rsidP="00463524"/>
    <w:p w:rsidR="00463524" w:rsidRDefault="00463524" w:rsidP="00463524"/>
    <w:p w:rsidR="00463524" w:rsidRDefault="00463524" w:rsidP="00463524"/>
    <w:p w:rsidR="00463524" w:rsidRDefault="00463524" w:rsidP="00463524"/>
    <w:p w:rsidR="00463524" w:rsidRPr="008346C5" w:rsidRDefault="00463524" w:rsidP="00463524">
      <w:r>
        <w:rPr>
          <w:noProof/>
        </w:rPr>
        <w:lastRenderedPageBreak/>
        <mc:AlternateContent>
          <mc:Choice Requires="wps">
            <w:drawing>
              <wp:anchor distT="45720" distB="45720" distL="114300" distR="114300" simplePos="0" relativeHeight="251660288" behindDoc="0" locked="0" layoutInCell="1" allowOverlap="1" wp14:anchorId="705A4393" wp14:editId="51DF63D9">
                <wp:simplePos x="0" y="0"/>
                <wp:positionH relativeFrom="column">
                  <wp:posOffset>11430</wp:posOffset>
                </wp:positionH>
                <wp:positionV relativeFrom="paragraph">
                  <wp:posOffset>-167640</wp:posOffset>
                </wp:positionV>
                <wp:extent cx="6589395" cy="2919095"/>
                <wp:effectExtent l="11430" t="9525" r="9525" b="508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9395" cy="2919095"/>
                        </a:xfrm>
                        <a:prstGeom prst="rect">
                          <a:avLst/>
                        </a:prstGeom>
                        <a:solidFill>
                          <a:srgbClr val="FFFFFF"/>
                        </a:solidFill>
                        <a:ln w="9525">
                          <a:solidFill>
                            <a:srgbClr val="000000"/>
                          </a:solidFill>
                          <a:miter lim="800000"/>
                          <a:headEnd/>
                          <a:tailEnd/>
                        </a:ln>
                      </wps:spPr>
                      <wps:txbx>
                        <w:txbxContent>
                          <w:p w:rsidR="00463524" w:rsidRPr="007B063E" w:rsidRDefault="00463524" w:rsidP="00463524">
                            <w:pPr>
                              <w:tabs>
                                <w:tab w:val="left" w:pos="10260"/>
                              </w:tabs>
                              <w:ind w:right="108"/>
                              <w:rPr>
                                <w:b/>
                              </w:rPr>
                            </w:pPr>
                            <w:r w:rsidRPr="007B063E">
                              <w:rPr>
                                <w:b/>
                              </w:rPr>
                              <w:t>Table Notes:</w:t>
                            </w:r>
                            <w:r>
                              <w:rPr>
                                <w:b/>
                              </w:rPr>
                              <w:t xml:space="preserve"> </w:t>
                            </w:r>
                          </w:p>
                          <w:p w:rsidR="00463524" w:rsidRDefault="00463524" w:rsidP="00463524">
                            <w:pPr>
                              <w:ind w:left="360" w:hanging="360"/>
                              <w:rPr>
                                <w:bCs/>
                              </w:rPr>
                            </w:pPr>
                            <w:r w:rsidRPr="00F70EE5">
                              <w:rPr>
                                <w:b/>
                                <w:bCs/>
                              </w:rPr>
                              <w:t>*</w:t>
                            </w:r>
                            <w:r w:rsidRPr="00427646">
                              <w:rPr>
                                <w:b/>
                                <w:bCs/>
                              </w:rPr>
                              <w:t xml:space="preserve"> </w:t>
                            </w:r>
                            <w:r w:rsidRPr="00F70EE5">
                              <w:rPr>
                                <w:bCs/>
                              </w:rPr>
                              <w:t xml:space="preserve">The reference </w:t>
                            </w:r>
                            <w:r>
                              <w:rPr>
                                <w:bCs/>
                              </w:rPr>
                              <w:t>level</w:t>
                            </w:r>
                            <w:r w:rsidRPr="00F70EE5">
                              <w:rPr>
                                <w:bCs/>
                              </w:rPr>
                              <w:t xml:space="preserve"> for </w:t>
                            </w:r>
                            <w:r w:rsidRPr="008346C5">
                              <w:rPr>
                                <w:b/>
                                <w:bCs/>
                              </w:rPr>
                              <w:t>blood lead</w:t>
                            </w:r>
                            <w:r w:rsidRPr="00F70EE5">
                              <w:rPr>
                                <w:bCs/>
                              </w:rPr>
                              <w:t xml:space="preserve"> </w:t>
                            </w:r>
                            <w:r>
                              <w:rPr>
                                <w:bCs/>
                              </w:rPr>
                              <w:t xml:space="preserve">(&lt;5 </w:t>
                            </w:r>
                            <w:r w:rsidRPr="00F21E16">
                              <w:t>µg/</w:t>
                            </w:r>
                            <w:proofErr w:type="spellStart"/>
                            <w:r w:rsidRPr="00F21E16">
                              <w:t>dL</w:t>
                            </w:r>
                            <w:proofErr w:type="spellEnd"/>
                            <w:r>
                              <w:t xml:space="preserve"> ) </w:t>
                            </w:r>
                            <w:r>
                              <w:rPr>
                                <w:bCs/>
                              </w:rPr>
                              <w:t xml:space="preserve">is based on the national Centers for Disease Control and Prevention’s (CDC’s) new definition of “elevated” for young children, as well as guidelines for </w:t>
                            </w:r>
                            <w:r>
                              <w:t>pregnant women.</w:t>
                            </w:r>
                            <w:r>
                              <w:rPr>
                                <w:bCs/>
                              </w:rPr>
                              <w:t xml:space="preserve">  Many clinical laboratories use this</w:t>
                            </w:r>
                            <w:r w:rsidRPr="00427646">
                              <w:rPr>
                                <w:bCs/>
                              </w:rPr>
                              <w:t xml:space="preserve"> </w:t>
                            </w:r>
                            <w:r>
                              <w:rPr>
                                <w:bCs/>
                              </w:rPr>
                              <w:t xml:space="preserve">same </w:t>
                            </w:r>
                            <w:r w:rsidRPr="00427646">
                              <w:rPr>
                                <w:bCs/>
                              </w:rPr>
                              <w:t xml:space="preserve">reference range </w:t>
                            </w:r>
                            <w:r>
                              <w:rPr>
                                <w:bCs/>
                              </w:rPr>
                              <w:t xml:space="preserve">for all adults. For more information, see </w:t>
                            </w:r>
                            <w:hyperlink r:id="rId8" w:history="1">
                              <w:r w:rsidRPr="003B5C52">
                                <w:rPr>
                                  <w:rStyle w:val="Hyperlink"/>
                                  <w:bCs/>
                                </w:rPr>
                                <w:t>http://www.cdc.gov/nceh/lead/ACCLPP/acclpp_main.htm</w:t>
                              </w:r>
                            </w:hyperlink>
                            <w:r>
                              <w:rPr>
                                <w:bCs/>
                              </w:rPr>
                              <w:t>.</w:t>
                            </w:r>
                          </w:p>
                          <w:p w:rsidR="00463524" w:rsidRDefault="00463524" w:rsidP="00463524">
                            <w:pPr>
                              <w:ind w:left="360" w:hanging="360"/>
                              <w:rPr>
                                <w:bCs/>
                              </w:rPr>
                            </w:pPr>
                            <w:r w:rsidRPr="00427646">
                              <w:rPr>
                                <w:bCs/>
                              </w:rPr>
                              <w:t xml:space="preserve">The reference </w:t>
                            </w:r>
                            <w:r>
                              <w:rPr>
                                <w:bCs/>
                              </w:rPr>
                              <w:t>levels</w:t>
                            </w:r>
                            <w:r w:rsidRPr="00427646">
                              <w:rPr>
                                <w:bCs/>
                              </w:rPr>
                              <w:t xml:space="preserve"> for </w:t>
                            </w:r>
                            <w:r w:rsidRPr="008346C5">
                              <w:rPr>
                                <w:b/>
                                <w:bCs/>
                              </w:rPr>
                              <w:t>blood cadmium</w:t>
                            </w:r>
                            <w:r>
                              <w:rPr>
                                <w:b/>
                                <w:bCs/>
                              </w:rPr>
                              <w:t>,</w:t>
                            </w:r>
                            <w:r w:rsidRPr="008346C5">
                              <w:rPr>
                                <w:b/>
                                <w:bCs/>
                              </w:rPr>
                              <w:t xml:space="preserve"> </w:t>
                            </w:r>
                            <w:r>
                              <w:rPr>
                                <w:b/>
                                <w:bCs/>
                              </w:rPr>
                              <w:t>blood mercury</w:t>
                            </w:r>
                            <w:r w:rsidRPr="008346C5">
                              <w:rPr>
                                <w:b/>
                                <w:bCs/>
                              </w:rPr>
                              <w:t xml:space="preserve">, and </w:t>
                            </w:r>
                            <w:r>
                              <w:rPr>
                                <w:b/>
                                <w:bCs/>
                              </w:rPr>
                              <w:t xml:space="preserve">urine </w:t>
                            </w:r>
                            <w:r w:rsidRPr="008346C5">
                              <w:rPr>
                                <w:b/>
                                <w:bCs/>
                              </w:rPr>
                              <w:t xml:space="preserve">mercury </w:t>
                            </w:r>
                            <w:r w:rsidRPr="00427646">
                              <w:rPr>
                                <w:bCs/>
                              </w:rPr>
                              <w:t xml:space="preserve">are based </w:t>
                            </w:r>
                            <w:r>
                              <w:rPr>
                                <w:bCs/>
                              </w:rPr>
                              <w:t xml:space="preserve">on data from biomonitoring tests done by the CDC National Health and Nutrition Examination Survey (NHANES) </w:t>
                            </w:r>
                            <w:r w:rsidRPr="000C5F23">
                              <w:rPr>
                                <w:bCs/>
                              </w:rPr>
                              <w:t>(</w:t>
                            </w:r>
                            <w:hyperlink r:id="rId9" w:history="1">
                              <w:r w:rsidRPr="000C5F23">
                                <w:rPr>
                                  <w:rStyle w:val="Hyperlink"/>
                                  <w:bCs/>
                                </w:rPr>
                                <w:t>http://www.cdc.gov/exposurereport/</w:t>
                              </w:r>
                            </w:hyperlink>
                            <w:r w:rsidRPr="000C5F23">
                              <w:rPr>
                                <w:bCs/>
                              </w:rPr>
                              <w:t>)</w:t>
                            </w:r>
                            <w:r>
                              <w:rPr>
                                <w:bCs/>
                              </w:rPr>
                              <w:t xml:space="preserve"> and the </w:t>
                            </w:r>
                            <w:r w:rsidRPr="00427646">
                              <w:rPr>
                                <w:bCs/>
                              </w:rPr>
                              <w:t>N</w:t>
                            </w:r>
                            <w:r>
                              <w:rPr>
                                <w:bCs/>
                              </w:rPr>
                              <w:t>ew York City</w:t>
                            </w:r>
                            <w:r w:rsidRPr="00427646">
                              <w:rPr>
                                <w:bCs/>
                              </w:rPr>
                              <w:t xml:space="preserve"> Health and Nutrition Examination Survey (</w:t>
                            </w:r>
                            <w:r>
                              <w:rPr>
                                <w:bCs/>
                              </w:rPr>
                              <w:t xml:space="preserve">NYC </w:t>
                            </w:r>
                            <w:r w:rsidRPr="00427646">
                              <w:rPr>
                                <w:bCs/>
                              </w:rPr>
                              <w:t>HANES)</w:t>
                            </w:r>
                            <w:r>
                              <w:rPr>
                                <w:bCs/>
                              </w:rPr>
                              <w:t xml:space="preserve"> </w:t>
                            </w:r>
                            <w:r w:rsidRPr="00427646">
                              <w:rPr>
                                <w:bCs/>
                              </w:rPr>
                              <w:t>(</w:t>
                            </w:r>
                            <w:hyperlink r:id="rId10" w:history="1">
                              <w:r w:rsidRPr="003B5C52">
                                <w:rPr>
                                  <w:rStyle w:val="Hyperlink"/>
                                  <w:bCs/>
                                </w:rPr>
                                <w:t>http://www.nyc.gov/html/doh/html/data/nyc-hanes.shtml</w:t>
                              </w:r>
                            </w:hyperlink>
                            <w:r w:rsidRPr="00427646">
                              <w:rPr>
                                <w:bCs/>
                              </w:rPr>
                              <w:t>).  The</w:t>
                            </w:r>
                            <w:r>
                              <w:rPr>
                                <w:bCs/>
                              </w:rPr>
                              <w:t>se surveys</w:t>
                            </w:r>
                            <w:r w:rsidRPr="00427646">
                              <w:rPr>
                                <w:bCs/>
                              </w:rPr>
                              <w:t xml:space="preserve"> estimate that about 95 to 98 people out of every 100 people in </w:t>
                            </w:r>
                            <w:r>
                              <w:rPr>
                                <w:bCs/>
                              </w:rPr>
                              <w:t xml:space="preserve">the general population </w:t>
                            </w:r>
                            <w:r w:rsidRPr="00427646">
                              <w:rPr>
                                <w:bCs/>
                              </w:rPr>
                              <w:t>have levels within these reference ranges</w:t>
                            </w:r>
                            <w:r>
                              <w:rPr>
                                <w:bCs/>
                              </w:rPr>
                              <w:t>.</w:t>
                            </w:r>
                          </w:p>
                          <w:p w:rsidR="00463524" w:rsidRDefault="00463524" w:rsidP="00463524">
                            <w:pPr>
                              <w:ind w:left="360" w:hanging="360"/>
                              <w:rPr>
                                <w:bCs/>
                              </w:rPr>
                            </w:pPr>
                            <w:r>
                              <w:rPr>
                                <w:b/>
                                <w:bCs/>
                              </w:rPr>
                              <w:t>**</w:t>
                            </w:r>
                            <w:r>
                              <w:rPr>
                                <w:bCs/>
                              </w:rPr>
                              <w:t xml:space="preserve"> These are the levels that currently result in follow-up by the NYS DOH Heavy Metals Registry.  </w:t>
                            </w:r>
                            <w:hyperlink r:id="rId11" w:anchor="registry" w:history="1">
                              <w:r w:rsidRPr="000A5900">
                                <w:rPr>
                                  <w:rStyle w:val="Hyperlink"/>
                                  <w:bCs/>
                                </w:rPr>
                                <w:t>http://www.health.ny.gov/environmental/workplace/heavy_metals_registry/index.htm#registry</w:t>
                              </w:r>
                            </w:hyperlink>
                          </w:p>
                          <w:p w:rsidR="00463524" w:rsidRDefault="00463524" w:rsidP="00463524">
                            <w:pPr>
                              <w:ind w:left="360" w:hanging="360"/>
                            </w:pPr>
                            <w:r w:rsidRPr="00427646">
                              <w:rPr>
                                <w:bCs/>
                              </w:rPr>
                              <w:t xml:space="preserve"> </w:t>
                            </w:r>
                            <w:r>
                              <w:rPr>
                                <w:b/>
                                <w:bCs/>
                              </w:rPr>
                              <w:t>UTA</w:t>
                            </w:r>
                            <w:r w:rsidRPr="006D0072">
                              <w:rPr>
                                <w:bCs/>
                              </w:rPr>
                              <w:t xml:space="preserve"> means unable to analyze. The lab could not test the </w:t>
                            </w:r>
                            <w:r>
                              <w:rPr>
                                <w:bCs/>
                              </w:rPr>
                              <w:t xml:space="preserve">sample because </w:t>
                            </w:r>
                            <w:r w:rsidRPr="006D0072">
                              <w:rPr>
                                <w:bCs/>
                              </w:rPr>
                              <w:t xml:space="preserve">there was not enough </w:t>
                            </w:r>
                            <w:r>
                              <w:rPr>
                                <w:bCs/>
                              </w:rPr>
                              <w:t>sample</w:t>
                            </w:r>
                            <w:r w:rsidRPr="006D0072">
                              <w:rPr>
                                <w:bCs/>
                              </w:rPr>
                              <w:t xml:space="preserve"> to do the test</w:t>
                            </w:r>
                            <w:r>
                              <w:rPr>
                                <w:bCs/>
                              </w:rPr>
                              <w:t xml:space="preserve"> or for other reasons</w:t>
                            </w:r>
                            <w:r w:rsidRPr="006D0072">
                              <w:rPr>
                                <w:bCs/>
                              </w:rPr>
                              <w:t>.</w:t>
                            </w:r>
                            <w:r>
                              <w:rPr>
                                <w:bCs/>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9pt;margin-top:-13.2pt;width:518.85pt;height:229.8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">
                <v:textbox>
                  <w:txbxContent>
                    <w:p w:rsidR="00463524" w:rsidRPr="007B063E" w:rsidRDefault="00463524" w:rsidP="00463524">
                      <w:pPr>
                        <w:tabs>
                          <w:tab w:val="left" w:pos="10260"/>
                        </w:tabs>
                        <w:ind w:right="108"/>
                        <w:rPr>
                          <w:b/>
                        </w:rPr>
                      </w:pPr>
                      <w:r w:rsidRPr="007B063E">
                        <w:rPr>
                          <w:b/>
                        </w:rPr>
                        <w:t>Table Notes:</w:t>
                      </w:r>
                      <w:r>
                        <w:rPr>
                          <w:b/>
                        </w:rPr>
                        <w:t xml:space="preserve"> </w:t>
                      </w:r>
                    </w:p>
                    <w:p w:rsidR="00463524" w:rsidRDefault="00463524" w:rsidP="00463524">
                      <w:pPr>
                        <w:ind w:left="360" w:hanging="360"/>
                        <w:rPr>
                          <w:bCs/>
                        </w:rPr>
                      </w:pPr>
                      <w:r w:rsidRPr="00F70EE5">
                        <w:rPr>
                          <w:b/>
                          <w:bCs/>
                        </w:rPr>
                        <w:t>*</w:t>
                      </w:r>
                      <w:r w:rsidRPr="00427646">
                        <w:rPr>
                          <w:b/>
                          <w:bCs/>
                        </w:rPr>
                        <w:t xml:space="preserve"> </w:t>
                      </w:r>
                      <w:r w:rsidRPr="00F70EE5">
                        <w:rPr>
                          <w:bCs/>
                        </w:rPr>
                        <w:t xml:space="preserve">The reference </w:t>
                      </w:r>
                      <w:r>
                        <w:rPr>
                          <w:bCs/>
                        </w:rPr>
                        <w:t>level</w:t>
                      </w:r>
                      <w:r w:rsidRPr="00F70EE5">
                        <w:rPr>
                          <w:bCs/>
                        </w:rPr>
                        <w:t xml:space="preserve"> for </w:t>
                      </w:r>
                      <w:r w:rsidRPr="008346C5">
                        <w:rPr>
                          <w:b/>
                          <w:bCs/>
                        </w:rPr>
                        <w:t>blood lead</w:t>
                      </w:r>
                      <w:r w:rsidRPr="00F70EE5">
                        <w:rPr>
                          <w:bCs/>
                        </w:rPr>
                        <w:t xml:space="preserve"> </w:t>
                      </w:r>
                      <w:r>
                        <w:rPr>
                          <w:bCs/>
                        </w:rPr>
                        <w:t xml:space="preserve">(&lt;5 </w:t>
                      </w:r>
                      <w:r w:rsidRPr="00F21E16">
                        <w:t>µg/</w:t>
                      </w:r>
                      <w:proofErr w:type="spellStart"/>
                      <w:r w:rsidRPr="00F21E16">
                        <w:t>dL</w:t>
                      </w:r>
                      <w:proofErr w:type="spellEnd"/>
                      <w:r>
                        <w:t xml:space="preserve"> ) </w:t>
                      </w:r>
                      <w:r>
                        <w:rPr>
                          <w:bCs/>
                        </w:rPr>
                        <w:t xml:space="preserve">is based on the national Centers for Disease Control and Prevention’s (CDC’s) new definition of “elevated” for young children, as well as guidelines for </w:t>
                      </w:r>
                      <w:r>
                        <w:t>pregnant women.</w:t>
                      </w:r>
                      <w:r>
                        <w:rPr>
                          <w:bCs/>
                        </w:rPr>
                        <w:t xml:space="preserve">  Many clinical laboratories use this</w:t>
                      </w:r>
                      <w:r w:rsidRPr="00427646">
                        <w:rPr>
                          <w:bCs/>
                        </w:rPr>
                        <w:t xml:space="preserve"> </w:t>
                      </w:r>
                      <w:r>
                        <w:rPr>
                          <w:bCs/>
                        </w:rPr>
                        <w:t xml:space="preserve">same </w:t>
                      </w:r>
                      <w:r w:rsidRPr="00427646">
                        <w:rPr>
                          <w:bCs/>
                        </w:rPr>
                        <w:t xml:space="preserve">reference range </w:t>
                      </w:r>
                      <w:r>
                        <w:rPr>
                          <w:bCs/>
                        </w:rPr>
                        <w:t xml:space="preserve">for all adults. For more information, see </w:t>
                      </w:r>
                      <w:hyperlink r:id="rId12" w:history="1">
                        <w:r w:rsidRPr="003B5C52">
                          <w:rPr>
                            <w:rStyle w:val="Hyperlink"/>
                            <w:bCs/>
                          </w:rPr>
                          <w:t>http://www.cdc.gov/nceh/lead/ACCLPP/acclpp_main.htm</w:t>
                        </w:r>
                      </w:hyperlink>
                      <w:r>
                        <w:rPr>
                          <w:bCs/>
                        </w:rPr>
                        <w:t>.</w:t>
                      </w:r>
                    </w:p>
                    <w:p w:rsidR="00463524" w:rsidRDefault="00463524" w:rsidP="00463524">
                      <w:pPr>
                        <w:ind w:left="360" w:hanging="360"/>
                        <w:rPr>
                          <w:bCs/>
                        </w:rPr>
                      </w:pPr>
                      <w:r w:rsidRPr="00427646">
                        <w:rPr>
                          <w:bCs/>
                        </w:rPr>
                        <w:t xml:space="preserve">The reference </w:t>
                      </w:r>
                      <w:r>
                        <w:rPr>
                          <w:bCs/>
                        </w:rPr>
                        <w:t>levels</w:t>
                      </w:r>
                      <w:r w:rsidRPr="00427646">
                        <w:rPr>
                          <w:bCs/>
                        </w:rPr>
                        <w:t xml:space="preserve"> for </w:t>
                      </w:r>
                      <w:r w:rsidRPr="008346C5">
                        <w:rPr>
                          <w:b/>
                          <w:bCs/>
                        </w:rPr>
                        <w:t>blood cadmium</w:t>
                      </w:r>
                      <w:r>
                        <w:rPr>
                          <w:b/>
                          <w:bCs/>
                        </w:rPr>
                        <w:t>,</w:t>
                      </w:r>
                      <w:r w:rsidRPr="008346C5">
                        <w:rPr>
                          <w:b/>
                          <w:bCs/>
                        </w:rPr>
                        <w:t xml:space="preserve"> </w:t>
                      </w:r>
                      <w:r>
                        <w:rPr>
                          <w:b/>
                          <w:bCs/>
                        </w:rPr>
                        <w:t>blood mercury</w:t>
                      </w:r>
                      <w:r w:rsidRPr="008346C5">
                        <w:rPr>
                          <w:b/>
                          <w:bCs/>
                        </w:rPr>
                        <w:t xml:space="preserve">, and </w:t>
                      </w:r>
                      <w:r>
                        <w:rPr>
                          <w:b/>
                          <w:bCs/>
                        </w:rPr>
                        <w:t xml:space="preserve">urine </w:t>
                      </w:r>
                      <w:r w:rsidRPr="008346C5">
                        <w:rPr>
                          <w:b/>
                          <w:bCs/>
                        </w:rPr>
                        <w:t xml:space="preserve">mercury </w:t>
                      </w:r>
                      <w:r w:rsidRPr="00427646">
                        <w:rPr>
                          <w:bCs/>
                        </w:rPr>
                        <w:t xml:space="preserve">are based </w:t>
                      </w:r>
                      <w:r>
                        <w:rPr>
                          <w:bCs/>
                        </w:rPr>
                        <w:t xml:space="preserve">on data from biomonitoring tests done by the CDC National Health and Nutrition Examination Survey (NHANES) </w:t>
                      </w:r>
                      <w:r w:rsidRPr="000C5F23">
                        <w:rPr>
                          <w:bCs/>
                        </w:rPr>
                        <w:t>(</w:t>
                      </w:r>
                      <w:hyperlink r:id="rId13" w:history="1">
                        <w:r w:rsidRPr="000C5F23">
                          <w:rPr>
                            <w:rStyle w:val="Hyperlink"/>
                            <w:bCs/>
                          </w:rPr>
                          <w:t>http://www.cdc.gov/exposurereport/</w:t>
                        </w:r>
                      </w:hyperlink>
                      <w:r w:rsidRPr="000C5F23">
                        <w:rPr>
                          <w:bCs/>
                        </w:rPr>
                        <w:t>)</w:t>
                      </w:r>
                      <w:r>
                        <w:rPr>
                          <w:bCs/>
                        </w:rPr>
                        <w:t xml:space="preserve"> and the </w:t>
                      </w:r>
                      <w:r w:rsidRPr="00427646">
                        <w:rPr>
                          <w:bCs/>
                        </w:rPr>
                        <w:t>N</w:t>
                      </w:r>
                      <w:r>
                        <w:rPr>
                          <w:bCs/>
                        </w:rPr>
                        <w:t>ew York City</w:t>
                      </w:r>
                      <w:r w:rsidRPr="00427646">
                        <w:rPr>
                          <w:bCs/>
                        </w:rPr>
                        <w:t xml:space="preserve"> Health and Nutrition Examination Survey (</w:t>
                      </w:r>
                      <w:r>
                        <w:rPr>
                          <w:bCs/>
                        </w:rPr>
                        <w:t xml:space="preserve">NYC </w:t>
                      </w:r>
                      <w:r w:rsidRPr="00427646">
                        <w:rPr>
                          <w:bCs/>
                        </w:rPr>
                        <w:t>HANES)</w:t>
                      </w:r>
                      <w:r>
                        <w:rPr>
                          <w:bCs/>
                        </w:rPr>
                        <w:t xml:space="preserve"> </w:t>
                      </w:r>
                      <w:r w:rsidRPr="00427646">
                        <w:rPr>
                          <w:bCs/>
                        </w:rPr>
                        <w:t>(</w:t>
                      </w:r>
                      <w:hyperlink r:id="rId14" w:history="1">
                        <w:r w:rsidRPr="003B5C52">
                          <w:rPr>
                            <w:rStyle w:val="Hyperlink"/>
                            <w:bCs/>
                          </w:rPr>
                          <w:t>http://www.nyc.gov/html/doh/html/data/nyc-hanes.shtml</w:t>
                        </w:r>
                      </w:hyperlink>
                      <w:r w:rsidRPr="00427646">
                        <w:rPr>
                          <w:bCs/>
                        </w:rPr>
                        <w:t>).  The</w:t>
                      </w:r>
                      <w:r>
                        <w:rPr>
                          <w:bCs/>
                        </w:rPr>
                        <w:t>se surveys</w:t>
                      </w:r>
                      <w:r w:rsidRPr="00427646">
                        <w:rPr>
                          <w:bCs/>
                        </w:rPr>
                        <w:t xml:space="preserve"> estimate that about 95 to 98 people out of every 100 people in </w:t>
                      </w:r>
                      <w:r>
                        <w:rPr>
                          <w:bCs/>
                        </w:rPr>
                        <w:t xml:space="preserve">the general population </w:t>
                      </w:r>
                      <w:r w:rsidRPr="00427646">
                        <w:rPr>
                          <w:bCs/>
                        </w:rPr>
                        <w:t>have levels within these reference ranges</w:t>
                      </w:r>
                      <w:r>
                        <w:rPr>
                          <w:bCs/>
                        </w:rPr>
                        <w:t>.</w:t>
                      </w:r>
                    </w:p>
                    <w:p w:rsidR="00463524" w:rsidRDefault="00463524" w:rsidP="00463524">
                      <w:pPr>
                        <w:ind w:left="360" w:hanging="360"/>
                        <w:rPr>
                          <w:bCs/>
                        </w:rPr>
                      </w:pPr>
                      <w:r>
                        <w:rPr>
                          <w:b/>
                          <w:bCs/>
                        </w:rPr>
                        <w:t>**</w:t>
                      </w:r>
                      <w:r>
                        <w:rPr>
                          <w:bCs/>
                        </w:rPr>
                        <w:t xml:space="preserve"> These are the levels that currently result in follow-up by the NYS DOH Heavy Metals Registry.  </w:t>
                      </w:r>
                      <w:hyperlink r:id="rId15" w:anchor="registry" w:history="1">
                        <w:r w:rsidRPr="000A5900">
                          <w:rPr>
                            <w:rStyle w:val="Hyperlink"/>
                            <w:bCs/>
                          </w:rPr>
                          <w:t>http://www.health.ny.gov/environmental/workplace/heavy_metals_registry/index.htm#registry</w:t>
                        </w:r>
                      </w:hyperlink>
                    </w:p>
                    <w:p w:rsidR="00463524" w:rsidRDefault="00463524" w:rsidP="00463524">
                      <w:pPr>
                        <w:ind w:left="360" w:hanging="360"/>
                      </w:pPr>
                      <w:r w:rsidRPr="00427646">
                        <w:rPr>
                          <w:bCs/>
                        </w:rPr>
                        <w:t xml:space="preserve"> </w:t>
                      </w:r>
                      <w:r>
                        <w:rPr>
                          <w:b/>
                          <w:bCs/>
                        </w:rPr>
                        <w:t>UTA</w:t>
                      </w:r>
                      <w:r w:rsidRPr="006D0072">
                        <w:rPr>
                          <w:bCs/>
                        </w:rPr>
                        <w:t xml:space="preserve"> means unable to analyze. The lab could not test the </w:t>
                      </w:r>
                      <w:r>
                        <w:rPr>
                          <w:bCs/>
                        </w:rPr>
                        <w:t xml:space="preserve">sample because </w:t>
                      </w:r>
                      <w:r w:rsidRPr="006D0072">
                        <w:rPr>
                          <w:bCs/>
                        </w:rPr>
                        <w:t xml:space="preserve">there was not enough </w:t>
                      </w:r>
                      <w:r>
                        <w:rPr>
                          <w:bCs/>
                        </w:rPr>
                        <w:t>sample</w:t>
                      </w:r>
                      <w:r w:rsidRPr="006D0072">
                        <w:rPr>
                          <w:bCs/>
                        </w:rPr>
                        <w:t xml:space="preserve"> to do the test</w:t>
                      </w:r>
                      <w:r>
                        <w:rPr>
                          <w:bCs/>
                        </w:rPr>
                        <w:t xml:space="preserve"> or for other reasons</w:t>
                      </w:r>
                      <w:r w:rsidRPr="006D0072">
                        <w:rPr>
                          <w:bCs/>
                        </w:rPr>
                        <w:t>.</w:t>
                      </w:r>
                      <w:r>
                        <w:rPr>
                          <w:bCs/>
                        </w:rPr>
                        <w:t xml:space="preserve"> </w:t>
                      </w:r>
                    </w:p>
                  </w:txbxContent>
                </v:textbox>
                <w10:wrap type="square"/>
              </v:shape>
            </w:pict>
          </mc:Fallback>
        </mc:AlternateContent>
      </w:r>
      <w:r w:rsidRPr="008346C5">
        <w:t>If your test results were high enough to require follow-up</w:t>
      </w:r>
      <w:r>
        <w:t xml:space="preserve"> by the NYS DOH (Heavy Metals Registry Program)</w:t>
      </w:r>
      <w:r w:rsidRPr="008346C5">
        <w:t xml:space="preserve">, the </w:t>
      </w:r>
      <w:r w:rsidRPr="00837CEF">
        <w:t>NYS DOH</w:t>
      </w:r>
      <w:r w:rsidRPr="008346C5">
        <w:t xml:space="preserve"> has already contacted you either by mail or with a phone call. </w:t>
      </w:r>
      <w:r w:rsidRPr="00837CEF">
        <w:t xml:space="preserve"> If you </w:t>
      </w:r>
      <w:r w:rsidRPr="008346C5">
        <w:t>named a health care provider to whom you wanted the results to be sent</w:t>
      </w:r>
      <w:r w:rsidRPr="00837CEF">
        <w:t xml:space="preserve">, we are </w:t>
      </w:r>
      <w:r w:rsidRPr="008346C5">
        <w:t xml:space="preserve">sending a copy of this letter and your test results to that person whose name and address are listed below (see cc:).   </w:t>
      </w:r>
    </w:p>
    <w:p w:rsidR="00463524" w:rsidRPr="007C07D6" w:rsidRDefault="00463524" w:rsidP="00463524"/>
    <w:p w:rsidR="00463524" w:rsidRPr="007C07D6" w:rsidRDefault="00463524" w:rsidP="00463524">
      <w:r w:rsidRPr="008346C5">
        <w:t>We will be happy to answer any questions you have</w:t>
      </w:r>
      <w:r w:rsidRPr="00F41F05">
        <w:t>.  However, speak to your health care provider if you have concerns about your own health as it relates to these test results.</w:t>
      </w:r>
      <w:r w:rsidRPr="007C07D6">
        <w:t xml:space="preserve"> We are currently review</w:t>
      </w:r>
      <w:r w:rsidRPr="008346C5">
        <w:t>ing the study results to learn more about eating fish and levels of metals.  We will share information about the</w:t>
      </w:r>
      <w:r w:rsidRPr="00837CEF">
        <w:t>se</w:t>
      </w:r>
      <w:r w:rsidRPr="008346C5">
        <w:t xml:space="preserve"> findings when </w:t>
      </w:r>
      <w:r w:rsidRPr="00837CEF">
        <w:t xml:space="preserve">they are </w:t>
      </w:r>
      <w:r w:rsidRPr="007C07D6">
        <w:t>avail</w:t>
      </w:r>
      <w:r w:rsidRPr="008346C5">
        <w:t xml:space="preserve">able.  You can also find information about the project on </w:t>
      </w:r>
      <w:r w:rsidRPr="00837CEF">
        <w:t xml:space="preserve">our </w:t>
      </w:r>
      <w:r w:rsidRPr="007C07D6">
        <w:t xml:space="preserve">website </w:t>
      </w:r>
      <w:hyperlink r:id="rId16" w:history="1">
        <w:r w:rsidRPr="008346C5">
          <w:rPr>
            <w:rStyle w:val="Hyperlink"/>
          </w:rPr>
          <w:t>http://www.health.ny.gov/environmental/outdoors/fish/health_advisories/gl_biomonitoring.htm</w:t>
        </w:r>
      </w:hyperlink>
      <w:r w:rsidRPr="008346C5">
        <w:t>.</w:t>
      </w:r>
    </w:p>
    <w:p w:rsidR="00463524" w:rsidRPr="008346C5" w:rsidRDefault="00463524" w:rsidP="00463524"/>
    <w:p w:rsidR="00463524" w:rsidRDefault="00463524" w:rsidP="00463524">
      <w:r w:rsidRPr="008346C5">
        <w:t xml:space="preserve">If you have any questions about the project or your results, please contact </w:t>
      </w:r>
      <w:r w:rsidR="00A478B6">
        <w:t>NAME</w:t>
      </w:r>
      <w:r w:rsidRPr="008346C5">
        <w:rPr>
          <w:b/>
        </w:rPr>
        <w:t xml:space="preserve">, Project Coordinator, at </w:t>
      </w:r>
      <w:r w:rsidR="00A478B6">
        <w:rPr>
          <w:b/>
        </w:rPr>
        <w:t>###</w:t>
      </w:r>
      <w:r w:rsidRPr="008346C5">
        <w:rPr>
          <w:b/>
        </w:rPr>
        <w:t>-</w:t>
      </w:r>
      <w:r w:rsidR="00A478B6">
        <w:rPr>
          <w:b/>
        </w:rPr>
        <w:t>###</w:t>
      </w:r>
      <w:r w:rsidRPr="008346C5">
        <w:rPr>
          <w:b/>
        </w:rPr>
        <w:t>-</w:t>
      </w:r>
      <w:r w:rsidR="00A478B6">
        <w:rPr>
          <w:b/>
        </w:rPr>
        <w:t>####</w:t>
      </w:r>
      <w:r>
        <w:rPr>
          <w:b/>
        </w:rPr>
        <w:t xml:space="preserve"> or </w:t>
      </w:r>
      <w:r w:rsidR="00A478B6">
        <w:rPr>
          <w:b/>
        </w:rPr>
        <w:t>xxxx</w:t>
      </w:r>
      <w:r>
        <w:rPr>
          <w:b/>
        </w:rPr>
        <w:t>@health.ny.gov</w:t>
      </w:r>
      <w:r w:rsidRPr="008346C5">
        <w:t>. If you have questions specifically about the laboratory testing procedure for metals, please contact Dr. Patrick Parsons, Chief, Laboratory of Inorganic and Nuclear</w:t>
      </w:r>
      <w:r>
        <w:t xml:space="preserve"> Chemistry, Wadsworth Center at 518-474-7161. </w:t>
      </w:r>
      <w:r w:rsidRPr="0051018E">
        <w:t>Thank you again for your participation.</w:t>
      </w:r>
    </w:p>
    <w:p w:rsidR="00A57E91" w:rsidRDefault="00A57E91" w:rsidP="00463524"/>
    <w:p w:rsidR="00463524" w:rsidRDefault="00463524" w:rsidP="00463524">
      <w:r>
        <w:t xml:space="preserve">Sincerely, </w:t>
      </w:r>
    </w:p>
    <w:p w:rsidR="00EB3408" w:rsidRDefault="00EB3408" w:rsidP="00463524"/>
    <w:p w:rsidR="00463524" w:rsidRDefault="00463524" w:rsidP="00463524">
      <w:proofErr w:type="spellStart"/>
      <w:r>
        <w:t>Syni-</w:t>
      </w:r>
      <w:proofErr w:type="gramStart"/>
      <w:r>
        <w:t>an</w:t>
      </w:r>
      <w:proofErr w:type="spellEnd"/>
      <w:proofErr w:type="gramEnd"/>
      <w:r>
        <w:t xml:space="preserve"> Hwang, Ph.D., Director</w:t>
      </w:r>
    </w:p>
    <w:p w:rsidR="00463524" w:rsidRDefault="00463524" w:rsidP="00463524">
      <w:r>
        <w:t>Bureau of Environmental &amp; Occupational</w:t>
      </w:r>
    </w:p>
    <w:p w:rsidR="00463524" w:rsidRDefault="00463524" w:rsidP="00463524">
      <w:r>
        <w:t>Epidemiology, Center for Environmental Health</w:t>
      </w:r>
    </w:p>
    <w:p w:rsidR="00463524" w:rsidRDefault="00463524" w:rsidP="00463524">
      <w:r>
        <w:t xml:space="preserve"> </w:t>
      </w:r>
    </w:p>
    <w:p w:rsidR="00463524" w:rsidRDefault="00463524" w:rsidP="00463524">
      <w:r>
        <w:t>cc:  Dr. John Doe</w:t>
      </w:r>
    </w:p>
    <w:p w:rsidR="00463524" w:rsidRDefault="00463524" w:rsidP="00463524">
      <w:proofErr w:type="spellStart"/>
      <w:proofErr w:type="gramStart"/>
      <w:r>
        <w:t>enc</w:t>
      </w:r>
      <w:proofErr w:type="spellEnd"/>
      <w:proofErr w:type="gramEnd"/>
      <w:r>
        <w:t xml:space="preserve">:   Metals Results Information Sheet              </w:t>
      </w:r>
    </w:p>
    <w:p w:rsidR="00B92407" w:rsidRDefault="00B92407" w:rsidP="00463524"/>
    <w:p w:rsidR="00463524" w:rsidRDefault="00087E91" w:rsidP="00463524">
      <w:pPr>
        <w:jc w:val="center"/>
        <w:rPr>
          <w:b/>
          <w:u w:val="single"/>
        </w:rPr>
      </w:pPr>
      <w:r>
        <w:rPr>
          <w:b/>
          <w:sz w:val="28"/>
          <w:szCs w:val="28"/>
        </w:rPr>
        <w:lastRenderedPageBreak/>
        <w:t xml:space="preserve">Metals </w:t>
      </w:r>
      <w:r w:rsidR="00463524" w:rsidRPr="004D5A18">
        <w:rPr>
          <w:b/>
          <w:sz w:val="28"/>
          <w:szCs w:val="28"/>
        </w:rPr>
        <w:t xml:space="preserve">Results </w:t>
      </w:r>
      <w:r>
        <w:rPr>
          <w:b/>
          <w:sz w:val="28"/>
          <w:szCs w:val="28"/>
        </w:rPr>
        <w:t xml:space="preserve">Information Sheet </w:t>
      </w:r>
    </w:p>
    <w:p w:rsidR="00463524" w:rsidRDefault="00463524" w:rsidP="00463524">
      <w:pPr>
        <w:jc w:val="center"/>
        <w:rPr>
          <w:sz w:val="22"/>
          <w:szCs w:val="22"/>
        </w:rPr>
      </w:pPr>
    </w:p>
    <w:p w:rsidR="00463524" w:rsidRPr="003C5D58" w:rsidRDefault="00463524" w:rsidP="00463524">
      <w:pPr>
        <w:pStyle w:val="NoSpacing"/>
        <w:rPr>
          <w:i/>
          <w:sz w:val="22"/>
          <w:szCs w:val="22"/>
        </w:rPr>
      </w:pPr>
      <w:r w:rsidRPr="005E34C1">
        <w:rPr>
          <w:sz w:val="22"/>
          <w:szCs w:val="22"/>
        </w:rPr>
        <w:t xml:space="preserve">This project measured lead, cadmium, and mercury to learn about levels of these metals in people who eat fish caught </w:t>
      </w:r>
      <w:r w:rsidRPr="005E34C1">
        <w:rPr>
          <w:rFonts w:ascii="Calibri" w:eastAsia="MS Mincho" w:hAnsi="Calibri" w:cs="Calibri"/>
          <w:sz w:val="22"/>
          <w:szCs w:val="22"/>
        </w:rPr>
        <w:t>from</w:t>
      </w:r>
      <w:r w:rsidRPr="005E34C1">
        <w:rPr>
          <w:sz w:val="22"/>
          <w:szCs w:val="22"/>
        </w:rPr>
        <w:t xml:space="preserve"> </w:t>
      </w:r>
      <w:r w:rsidRPr="005E34C1">
        <w:rPr>
          <w:rFonts w:eastAsia="MS Mincho" w:cs="Calibri"/>
          <w:sz w:val="22"/>
          <w:szCs w:val="22"/>
        </w:rPr>
        <w:t>Onondaga Lake and nearby waters.</w:t>
      </w:r>
      <w:r>
        <w:rPr>
          <w:rFonts w:eastAsia="MS Mincho" w:cs="Calibri"/>
          <w:sz w:val="22"/>
          <w:szCs w:val="22"/>
        </w:rPr>
        <w:t xml:space="preserve"> </w:t>
      </w:r>
      <w:r w:rsidRPr="005E34C1">
        <w:rPr>
          <w:sz w:val="22"/>
          <w:szCs w:val="22"/>
        </w:rPr>
        <w:t>Most people are exposed to very small amounts of lead, cadmium and mercury which occur naturally in air, water, rocks and soil.  However, large amounts of these metals are sometimes released into the environment from a variety of industrial activities. Once released, they remain in the environment. Because laboratory testing can detect extremely small</w:t>
      </w:r>
      <w:r w:rsidRPr="003C5D58">
        <w:rPr>
          <w:sz w:val="22"/>
          <w:szCs w:val="22"/>
        </w:rPr>
        <w:t xml:space="preserve"> amounts of these chemicals, it is common to find them in people.  </w:t>
      </w:r>
    </w:p>
    <w:p w:rsidR="00463524" w:rsidRPr="006863A6" w:rsidRDefault="00463524" w:rsidP="00463524">
      <w:pPr>
        <w:rPr>
          <w:sz w:val="22"/>
          <w:szCs w:val="22"/>
        </w:rPr>
      </w:pPr>
    </w:p>
    <w:p w:rsidR="00463524" w:rsidRPr="006863A6" w:rsidRDefault="00463524" w:rsidP="00463524">
      <w:pPr>
        <w:rPr>
          <w:b/>
        </w:rPr>
      </w:pPr>
      <w:r>
        <w:rPr>
          <w:b/>
          <w:u w:val="single"/>
        </w:rPr>
        <w:t>How are people exposed to these metals?</w:t>
      </w:r>
    </w:p>
    <w:p w:rsidR="00463524" w:rsidRPr="001C76E2" w:rsidRDefault="00463524" w:rsidP="00463524">
      <w:pPr>
        <w:rPr>
          <w:b/>
          <w:sz w:val="22"/>
          <w:szCs w:val="22"/>
        </w:rPr>
      </w:pPr>
    </w:p>
    <w:p w:rsidR="00463524" w:rsidRPr="001C76E2" w:rsidRDefault="00463524" w:rsidP="00463524">
      <w:pPr>
        <w:rPr>
          <w:rStyle w:val="Hyperlink"/>
          <w:sz w:val="22"/>
          <w:szCs w:val="22"/>
        </w:rPr>
      </w:pPr>
      <w:r w:rsidRPr="001C76E2">
        <w:rPr>
          <w:b/>
          <w:sz w:val="22"/>
          <w:szCs w:val="22"/>
        </w:rPr>
        <w:t>Lead:</w:t>
      </w:r>
      <w:r w:rsidRPr="001C76E2">
        <w:rPr>
          <w:sz w:val="22"/>
          <w:szCs w:val="22"/>
        </w:rPr>
        <w:t xml:space="preserve">  </w:t>
      </w:r>
      <w:r>
        <w:rPr>
          <w:sz w:val="22"/>
          <w:szCs w:val="22"/>
        </w:rPr>
        <w:t xml:space="preserve">The </w:t>
      </w:r>
      <w:r w:rsidRPr="001C76E2">
        <w:rPr>
          <w:sz w:val="22"/>
          <w:szCs w:val="22"/>
        </w:rPr>
        <w:t xml:space="preserve">most frequent exposures to lead </w:t>
      </w:r>
      <w:r>
        <w:rPr>
          <w:sz w:val="22"/>
          <w:szCs w:val="22"/>
        </w:rPr>
        <w:t xml:space="preserve">for adults </w:t>
      </w:r>
      <w:r w:rsidRPr="001C76E2">
        <w:rPr>
          <w:sz w:val="22"/>
          <w:szCs w:val="22"/>
        </w:rPr>
        <w:t xml:space="preserve">are from </w:t>
      </w:r>
      <w:r>
        <w:rPr>
          <w:sz w:val="22"/>
          <w:szCs w:val="22"/>
        </w:rPr>
        <w:t xml:space="preserve">old </w:t>
      </w:r>
      <w:r w:rsidRPr="001C76E2">
        <w:rPr>
          <w:sz w:val="22"/>
          <w:szCs w:val="22"/>
        </w:rPr>
        <w:t>lead-based paint</w:t>
      </w:r>
      <w:r>
        <w:rPr>
          <w:sz w:val="22"/>
          <w:szCs w:val="22"/>
        </w:rPr>
        <w:t xml:space="preserve"> used to paint steel structures and homes until 1978.  Adults can be exposed when this paint is disturbed by construction activities.  </w:t>
      </w:r>
      <w:r w:rsidRPr="001C76E2">
        <w:rPr>
          <w:sz w:val="22"/>
          <w:szCs w:val="22"/>
        </w:rPr>
        <w:t>Some hobbies involve lead exposure such as shooting in indoor ranges, making your own bullets or fishing sinkers,</w:t>
      </w:r>
      <w:r>
        <w:rPr>
          <w:sz w:val="22"/>
          <w:szCs w:val="22"/>
        </w:rPr>
        <w:t xml:space="preserve"> electronics recycling, and</w:t>
      </w:r>
      <w:r w:rsidRPr="001C76E2">
        <w:rPr>
          <w:sz w:val="22"/>
          <w:szCs w:val="22"/>
        </w:rPr>
        <w:t xml:space="preserve"> making stained glass or pottery</w:t>
      </w:r>
      <w:r>
        <w:rPr>
          <w:sz w:val="22"/>
          <w:szCs w:val="22"/>
        </w:rPr>
        <w:t>.</w:t>
      </w:r>
      <w:r w:rsidRPr="001C76E2">
        <w:rPr>
          <w:sz w:val="22"/>
          <w:szCs w:val="22"/>
        </w:rPr>
        <w:t xml:space="preserve"> Some older homes may have water pipes contain</w:t>
      </w:r>
      <w:r>
        <w:rPr>
          <w:sz w:val="22"/>
          <w:szCs w:val="22"/>
        </w:rPr>
        <w:t>ing</w:t>
      </w:r>
      <w:r w:rsidRPr="001C76E2">
        <w:rPr>
          <w:sz w:val="22"/>
          <w:szCs w:val="22"/>
        </w:rPr>
        <w:t xml:space="preserve"> </w:t>
      </w:r>
      <w:r>
        <w:rPr>
          <w:sz w:val="22"/>
          <w:szCs w:val="22"/>
        </w:rPr>
        <w:t xml:space="preserve">lead or </w:t>
      </w:r>
      <w:r w:rsidRPr="001C76E2">
        <w:rPr>
          <w:sz w:val="22"/>
          <w:szCs w:val="22"/>
        </w:rPr>
        <w:t xml:space="preserve">lead solder which can </w:t>
      </w:r>
      <w:r>
        <w:rPr>
          <w:sz w:val="22"/>
          <w:szCs w:val="22"/>
        </w:rPr>
        <w:t>contaminate household water. Some products used as spices, cosmetics, traditional or herbal remedies may also contain lead.</w:t>
      </w:r>
    </w:p>
    <w:p w:rsidR="00463524" w:rsidRPr="001C76E2" w:rsidRDefault="00463524" w:rsidP="00463524">
      <w:pPr>
        <w:rPr>
          <w:sz w:val="22"/>
          <w:szCs w:val="22"/>
        </w:rPr>
      </w:pPr>
    </w:p>
    <w:p w:rsidR="00463524" w:rsidRDefault="00463524" w:rsidP="00463524">
      <w:pPr>
        <w:rPr>
          <w:sz w:val="22"/>
          <w:szCs w:val="22"/>
        </w:rPr>
      </w:pPr>
      <w:r w:rsidRPr="001C76E2">
        <w:rPr>
          <w:b/>
          <w:sz w:val="22"/>
          <w:szCs w:val="22"/>
        </w:rPr>
        <w:t>Cadmium</w:t>
      </w:r>
      <w:r>
        <w:rPr>
          <w:b/>
          <w:sz w:val="22"/>
          <w:szCs w:val="22"/>
        </w:rPr>
        <w:t xml:space="preserve">:  </w:t>
      </w:r>
      <w:r w:rsidRPr="00B058F4">
        <w:rPr>
          <w:sz w:val="22"/>
          <w:szCs w:val="22"/>
        </w:rPr>
        <w:t>Sources of c</w:t>
      </w:r>
      <w:r w:rsidRPr="001B6286">
        <w:rPr>
          <w:sz w:val="22"/>
          <w:szCs w:val="22"/>
        </w:rPr>
        <w:t>admium</w:t>
      </w:r>
      <w:r w:rsidRPr="002124D0">
        <w:rPr>
          <w:sz w:val="22"/>
          <w:szCs w:val="22"/>
        </w:rPr>
        <w:t xml:space="preserve"> </w:t>
      </w:r>
      <w:r>
        <w:rPr>
          <w:sz w:val="22"/>
          <w:szCs w:val="22"/>
        </w:rPr>
        <w:t xml:space="preserve">exposure include smoking cigarettes and eating foods containing cadmium.   </w:t>
      </w:r>
      <w:r w:rsidRPr="001C76E2">
        <w:rPr>
          <w:sz w:val="22"/>
          <w:szCs w:val="22"/>
        </w:rPr>
        <w:t>Low levels of cadmium are found in all foods, but the highest levels are in shellfish, liver, and kidney meats. Cadmium has also been found in some metal jewelry.</w:t>
      </w:r>
      <w:r>
        <w:rPr>
          <w:sz w:val="22"/>
          <w:szCs w:val="22"/>
        </w:rPr>
        <w:t xml:space="preserve">  </w:t>
      </w:r>
      <w:r w:rsidRPr="001C76E2">
        <w:rPr>
          <w:sz w:val="22"/>
          <w:szCs w:val="22"/>
        </w:rPr>
        <w:t xml:space="preserve">Exposures to cadmium can occur in certain jobs such </w:t>
      </w:r>
      <w:r>
        <w:rPr>
          <w:sz w:val="22"/>
          <w:szCs w:val="22"/>
        </w:rPr>
        <w:t xml:space="preserve">as </w:t>
      </w:r>
      <w:r w:rsidRPr="001C76E2">
        <w:rPr>
          <w:sz w:val="22"/>
          <w:szCs w:val="22"/>
        </w:rPr>
        <w:t xml:space="preserve">battery manufacturing, working with machines that make metal or plastic products, or working with paints that contain cadmium. Welders and jewelers can be exposed to cadmium-containing materials.  </w:t>
      </w:r>
    </w:p>
    <w:p w:rsidR="00463524" w:rsidRPr="001C76E2" w:rsidRDefault="00463524" w:rsidP="00463524">
      <w:pPr>
        <w:rPr>
          <w:sz w:val="22"/>
          <w:szCs w:val="22"/>
        </w:rPr>
      </w:pPr>
    </w:p>
    <w:p w:rsidR="00463524" w:rsidRPr="001C76E2" w:rsidRDefault="00463524" w:rsidP="00463524">
      <w:pPr>
        <w:rPr>
          <w:sz w:val="22"/>
          <w:szCs w:val="22"/>
        </w:rPr>
      </w:pPr>
      <w:r w:rsidRPr="001C76E2">
        <w:rPr>
          <w:b/>
          <w:sz w:val="22"/>
          <w:szCs w:val="22"/>
        </w:rPr>
        <w:t>Mercury:</w:t>
      </w:r>
      <w:r w:rsidRPr="001C76E2">
        <w:rPr>
          <w:sz w:val="22"/>
          <w:szCs w:val="22"/>
        </w:rPr>
        <w:t xml:space="preserve">  </w:t>
      </w:r>
      <w:r>
        <w:rPr>
          <w:sz w:val="22"/>
          <w:szCs w:val="22"/>
        </w:rPr>
        <w:t>E</w:t>
      </w:r>
      <w:r w:rsidRPr="001C76E2">
        <w:rPr>
          <w:sz w:val="22"/>
          <w:szCs w:val="22"/>
        </w:rPr>
        <w:t xml:space="preserve">xposure to </w:t>
      </w:r>
      <w:r>
        <w:rPr>
          <w:sz w:val="22"/>
          <w:szCs w:val="22"/>
        </w:rPr>
        <w:t xml:space="preserve">mercury in a form called </w:t>
      </w:r>
      <w:proofErr w:type="spellStart"/>
      <w:r w:rsidRPr="001C76E2">
        <w:rPr>
          <w:sz w:val="22"/>
          <w:szCs w:val="22"/>
        </w:rPr>
        <w:t>methylmercury</w:t>
      </w:r>
      <w:proofErr w:type="spellEnd"/>
      <w:r w:rsidRPr="001C76E2">
        <w:rPr>
          <w:sz w:val="22"/>
          <w:szCs w:val="22"/>
        </w:rPr>
        <w:t xml:space="preserve"> most often comes from eating fish.  Fish that live longer and eat other fish tend to have more </w:t>
      </w:r>
      <w:proofErr w:type="spellStart"/>
      <w:r w:rsidRPr="001C76E2">
        <w:rPr>
          <w:sz w:val="22"/>
          <w:szCs w:val="22"/>
        </w:rPr>
        <w:t>methylmercury</w:t>
      </w:r>
      <w:proofErr w:type="spellEnd"/>
      <w:r w:rsidRPr="001C76E2">
        <w:rPr>
          <w:sz w:val="22"/>
          <w:szCs w:val="22"/>
        </w:rPr>
        <w:t xml:space="preserve">.  Greater amounts of </w:t>
      </w:r>
      <w:proofErr w:type="spellStart"/>
      <w:r w:rsidRPr="001C76E2">
        <w:rPr>
          <w:sz w:val="22"/>
          <w:szCs w:val="22"/>
        </w:rPr>
        <w:t>methylmercury</w:t>
      </w:r>
      <w:proofErr w:type="spellEnd"/>
      <w:r w:rsidRPr="001C76E2">
        <w:rPr>
          <w:sz w:val="22"/>
          <w:szCs w:val="22"/>
        </w:rPr>
        <w:t xml:space="preserve"> are found in larger freshwater fish like largemouth bass, smallmouth bass, walleye</w:t>
      </w:r>
      <w:r>
        <w:rPr>
          <w:sz w:val="22"/>
          <w:szCs w:val="22"/>
        </w:rPr>
        <w:t>,</w:t>
      </w:r>
      <w:r w:rsidRPr="001C76E2">
        <w:rPr>
          <w:sz w:val="22"/>
          <w:szCs w:val="22"/>
        </w:rPr>
        <w:t xml:space="preserve"> and pike, and certain ocean fish such as swordfish, shark, king mackerel, and tilefish.   </w:t>
      </w:r>
    </w:p>
    <w:p w:rsidR="00463524" w:rsidRPr="001C76E2" w:rsidRDefault="00463524" w:rsidP="00463524">
      <w:pPr>
        <w:rPr>
          <w:sz w:val="22"/>
          <w:szCs w:val="22"/>
        </w:rPr>
      </w:pPr>
      <w:r w:rsidRPr="001C76E2">
        <w:rPr>
          <w:sz w:val="22"/>
          <w:szCs w:val="22"/>
        </w:rPr>
        <w:t xml:space="preserve"> </w:t>
      </w:r>
    </w:p>
    <w:p w:rsidR="00463524" w:rsidRPr="001C76E2" w:rsidRDefault="00463524" w:rsidP="00463524">
      <w:pPr>
        <w:rPr>
          <w:sz w:val="22"/>
          <w:szCs w:val="22"/>
        </w:rPr>
      </w:pPr>
      <w:r w:rsidRPr="001C76E2">
        <w:rPr>
          <w:sz w:val="22"/>
          <w:szCs w:val="22"/>
        </w:rPr>
        <w:t xml:space="preserve">Exposure to a type of mercury called elemental mercury most often occurs from breathing air containing elemental mercury vapor. This occurs in some jobs and may also occur when devices containing elemental mercury, such as thermostats or thermometers, break and release mercury droplets and mercury vapor into the air. Small amounts or mercury vapor are also released from dental amalgams (fillings) that contain elemental mercury.  Exposures to </w:t>
      </w:r>
      <w:r>
        <w:rPr>
          <w:sz w:val="22"/>
          <w:szCs w:val="22"/>
        </w:rPr>
        <w:t xml:space="preserve">inorganic </w:t>
      </w:r>
      <w:r w:rsidRPr="001C76E2">
        <w:rPr>
          <w:sz w:val="22"/>
          <w:szCs w:val="22"/>
        </w:rPr>
        <w:t>mercury</w:t>
      </w:r>
      <w:r>
        <w:rPr>
          <w:sz w:val="22"/>
          <w:szCs w:val="22"/>
        </w:rPr>
        <w:t xml:space="preserve"> salts</w:t>
      </w:r>
      <w:r w:rsidRPr="001C76E2">
        <w:rPr>
          <w:sz w:val="22"/>
          <w:szCs w:val="22"/>
        </w:rPr>
        <w:t xml:space="preserve"> may </w:t>
      </w:r>
      <w:r>
        <w:rPr>
          <w:sz w:val="22"/>
          <w:szCs w:val="22"/>
        </w:rPr>
        <w:t>occur with the use of products</w:t>
      </w:r>
      <w:r w:rsidRPr="001C76E2">
        <w:rPr>
          <w:sz w:val="22"/>
          <w:szCs w:val="22"/>
        </w:rPr>
        <w:t xml:space="preserve"> containing mercury (e.g., skin lightening creams</w:t>
      </w:r>
      <w:r>
        <w:rPr>
          <w:sz w:val="22"/>
          <w:szCs w:val="22"/>
        </w:rPr>
        <w:t xml:space="preserve"> and some herbal medicine products</w:t>
      </w:r>
      <w:r w:rsidRPr="001C76E2">
        <w:rPr>
          <w:sz w:val="22"/>
          <w:szCs w:val="22"/>
        </w:rPr>
        <w:t>)</w:t>
      </w:r>
      <w:r>
        <w:rPr>
          <w:sz w:val="22"/>
          <w:szCs w:val="22"/>
        </w:rPr>
        <w:t>.</w:t>
      </w:r>
      <w:r w:rsidRPr="001C76E2">
        <w:rPr>
          <w:sz w:val="22"/>
          <w:szCs w:val="22"/>
        </w:rPr>
        <w:t xml:space="preserve">  </w:t>
      </w:r>
    </w:p>
    <w:p w:rsidR="00463524" w:rsidRPr="001C76E2" w:rsidRDefault="00463524" w:rsidP="00463524">
      <w:pPr>
        <w:rPr>
          <w:sz w:val="22"/>
          <w:szCs w:val="22"/>
        </w:rPr>
      </w:pPr>
    </w:p>
    <w:p w:rsidR="00463524" w:rsidRDefault="00463524" w:rsidP="00463524">
      <w:pPr>
        <w:rPr>
          <w:b/>
          <w:i/>
          <w:sz w:val="22"/>
          <w:szCs w:val="22"/>
        </w:rPr>
      </w:pPr>
      <w:r w:rsidRPr="00FB062E">
        <w:rPr>
          <w:b/>
          <w:i/>
          <w:sz w:val="22"/>
          <w:szCs w:val="22"/>
        </w:rPr>
        <w:t xml:space="preserve">For more information about lead, </w:t>
      </w:r>
      <w:r>
        <w:rPr>
          <w:b/>
          <w:i/>
          <w:sz w:val="22"/>
          <w:szCs w:val="22"/>
        </w:rPr>
        <w:t xml:space="preserve">cadmium and </w:t>
      </w:r>
      <w:proofErr w:type="gramStart"/>
      <w:r w:rsidRPr="00FB062E">
        <w:rPr>
          <w:b/>
          <w:i/>
          <w:sz w:val="22"/>
          <w:szCs w:val="22"/>
        </w:rPr>
        <w:t>mercury,</w:t>
      </w:r>
      <w:proofErr w:type="gramEnd"/>
      <w:r w:rsidRPr="00FB062E">
        <w:rPr>
          <w:b/>
          <w:i/>
          <w:sz w:val="22"/>
          <w:szCs w:val="22"/>
        </w:rPr>
        <w:t xml:space="preserve"> please see these webpages</w:t>
      </w:r>
      <w:r>
        <w:rPr>
          <w:b/>
          <w:i/>
          <w:sz w:val="22"/>
          <w:szCs w:val="22"/>
        </w:rPr>
        <w:t xml:space="preserve"> below</w:t>
      </w:r>
      <w:r w:rsidRPr="00FB062E">
        <w:rPr>
          <w:b/>
          <w:i/>
          <w:sz w:val="22"/>
          <w:szCs w:val="22"/>
        </w:rPr>
        <w:t xml:space="preserve">, with links to additional information.   For paper copies, please call </w:t>
      </w:r>
      <w:r w:rsidR="00EB3408">
        <w:rPr>
          <w:b/>
          <w:i/>
          <w:sz w:val="22"/>
          <w:szCs w:val="22"/>
        </w:rPr>
        <w:t xml:space="preserve">name </w:t>
      </w:r>
      <w:r w:rsidRPr="00FB062E">
        <w:rPr>
          <w:b/>
          <w:i/>
          <w:sz w:val="22"/>
          <w:szCs w:val="22"/>
        </w:rPr>
        <w:t xml:space="preserve">at </w:t>
      </w:r>
      <w:r w:rsidR="00EB3408">
        <w:rPr>
          <w:b/>
          <w:i/>
          <w:sz w:val="22"/>
          <w:szCs w:val="22"/>
        </w:rPr>
        <w:t>xxx</w:t>
      </w:r>
      <w:r w:rsidRPr="00FB062E">
        <w:rPr>
          <w:b/>
          <w:i/>
          <w:sz w:val="22"/>
          <w:szCs w:val="22"/>
        </w:rPr>
        <w:t>-</w:t>
      </w:r>
      <w:r w:rsidR="00EB3408">
        <w:rPr>
          <w:b/>
          <w:i/>
          <w:sz w:val="22"/>
          <w:szCs w:val="22"/>
        </w:rPr>
        <w:t>xxx</w:t>
      </w:r>
      <w:r w:rsidRPr="00FB062E">
        <w:rPr>
          <w:b/>
          <w:i/>
          <w:sz w:val="22"/>
          <w:szCs w:val="22"/>
        </w:rPr>
        <w:t>-</w:t>
      </w:r>
      <w:proofErr w:type="spellStart"/>
      <w:r w:rsidR="00EB3408">
        <w:rPr>
          <w:b/>
          <w:i/>
          <w:sz w:val="22"/>
          <w:szCs w:val="22"/>
        </w:rPr>
        <w:t>xxxx</w:t>
      </w:r>
      <w:proofErr w:type="spellEnd"/>
      <w:r w:rsidRPr="00FB062E">
        <w:rPr>
          <w:b/>
          <w:i/>
          <w:sz w:val="22"/>
          <w:szCs w:val="22"/>
        </w:rPr>
        <w:t xml:space="preserve">.  </w:t>
      </w:r>
    </w:p>
    <w:p w:rsidR="00463524" w:rsidRPr="00FB062E" w:rsidRDefault="00463524" w:rsidP="00463524">
      <w:pPr>
        <w:rPr>
          <w:b/>
          <w:i/>
          <w:sz w:val="22"/>
          <w:szCs w:val="22"/>
        </w:rPr>
      </w:pPr>
    </w:p>
    <w:p w:rsidR="00463524" w:rsidRPr="001C76E2" w:rsidRDefault="00463524" w:rsidP="00463524">
      <w:pPr>
        <w:rPr>
          <w:rStyle w:val="Hyperlink"/>
          <w:sz w:val="22"/>
          <w:szCs w:val="22"/>
        </w:rPr>
      </w:pPr>
      <w:r w:rsidRPr="00FB062E">
        <w:rPr>
          <w:rStyle w:val="Hyperlink"/>
          <w:b/>
          <w:sz w:val="22"/>
          <w:szCs w:val="22"/>
        </w:rPr>
        <w:t>Lead:</w:t>
      </w:r>
      <w:r w:rsidRPr="001C76E2">
        <w:rPr>
          <w:rStyle w:val="Hyperlink"/>
          <w:sz w:val="22"/>
          <w:szCs w:val="22"/>
        </w:rPr>
        <w:t xml:space="preserve">  </w:t>
      </w:r>
      <w:hyperlink r:id="rId17" w:history="1">
        <w:r w:rsidRPr="001C76E2">
          <w:rPr>
            <w:rStyle w:val="Hyperlink"/>
            <w:sz w:val="22"/>
            <w:szCs w:val="22"/>
          </w:rPr>
          <w:t>http://www.health.ny.gov/environmental/workplace/heavy_metals_registry/lead.htm</w:t>
        </w:r>
      </w:hyperlink>
      <w:r w:rsidRPr="001C76E2">
        <w:rPr>
          <w:rStyle w:val="Hyperlink"/>
          <w:sz w:val="22"/>
          <w:szCs w:val="22"/>
        </w:rPr>
        <w:t xml:space="preserve"> and </w:t>
      </w:r>
      <w:hyperlink r:id="rId18" w:history="1">
        <w:r w:rsidRPr="001C76E2">
          <w:rPr>
            <w:rStyle w:val="Hyperlink"/>
            <w:sz w:val="22"/>
            <w:szCs w:val="22"/>
          </w:rPr>
          <w:t>http://www.health.ny.gov/environmental/lead/</w:t>
        </w:r>
      </w:hyperlink>
    </w:p>
    <w:p w:rsidR="00463524" w:rsidRPr="001C76E2" w:rsidRDefault="00463524" w:rsidP="00463524">
      <w:pPr>
        <w:rPr>
          <w:rStyle w:val="Hyperlink"/>
          <w:sz w:val="22"/>
          <w:szCs w:val="22"/>
        </w:rPr>
      </w:pPr>
      <w:r w:rsidRPr="00FB062E">
        <w:rPr>
          <w:rStyle w:val="Hyperlink"/>
          <w:b/>
          <w:sz w:val="22"/>
          <w:szCs w:val="22"/>
        </w:rPr>
        <w:t xml:space="preserve">For more information about how to prevent exposures to lead-based paints: </w:t>
      </w:r>
      <w:hyperlink r:id="rId19" w:history="1">
        <w:r w:rsidRPr="001C76E2">
          <w:rPr>
            <w:rStyle w:val="Hyperlink"/>
            <w:sz w:val="22"/>
            <w:szCs w:val="22"/>
          </w:rPr>
          <w:t>http://www2.epa.gov/lead/protect-your-family</w:t>
        </w:r>
      </w:hyperlink>
      <w:r w:rsidRPr="001C76E2">
        <w:rPr>
          <w:rStyle w:val="Hyperlink"/>
          <w:sz w:val="22"/>
          <w:szCs w:val="22"/>
        </w:rPr>
        <w:t xml:space="preserve">; </w:t>
      </w:r>
    </w:p>
    <w:p w:rsidR="00463524" w:rsidRDefault="00463524" w:rsidP="00463524">
      <w:pPr>
        <w:tabs>
          <w:tab w:val="left" w:pos="720"/>
        </w:tabs>
        <w:ind w:left="630" w:hanging="630"/>
        <w:rPr>
          <w:rStyle w:val="Hyperlink"/>
          <w:sz w:val="22"/>
          <w:szCs w:val="22"/>
        </w:rPr>
      </w:pPr>
      <w:r w:rsidRPr="00FB062E">
        <w:rPr>
          <w:b/>
          <w:sz w:val="22"/>
          <w:szCs w:val="22"/>
        </w:rPr>
        <w:t>Cadmium:</w:t>
      </w:r>
      <w:r w:rsidRPr="001C76E2">
        <w:rPr>
          <w:sz w:val="22"/>
          <w:szCs w:val="22"/>
        </w:rPr>
        <w:t xml:space="preserve">    </w:t>
      </w:r>
      <w:hyperlink r:id="rId20" w:history="1">
        <w:r w:rsidRPr="001C76E2">
          <w:rPr>
            <w:rStyle w:val="Hyperlink"/>
            <w:sz w:val="22"/>
            <w:szCs w:val="22"/>
          </w:rPr>
          <w:t>http://www.health.ny.gov/environmental/workplace/heavy_metals_registry/cadmium.htm</w:t>
        </w:r>
      </w:hyperlink>
    </w:p>
    <w:p w:rsidR="00463524" w:rsidRDefault="00463524" w:rsidP="00463524">
      <w:pPr>
        <w:rPr>
          <w:rStyle w:val="Hyperlink"/>
          <w:sz w:val="22"/>
          <w:szCs w:val="22"/>
        </w:rPr>
      </w:pPr>
      <w:r w:rsidRPr="00FB062E">
        <w:rPr>
          <w:b/>
          <w:sz w:val="22"/>
          <w:szCs w:val="22"/>
        </w:rPr>
        <w:t xml:space="preserve">Mercury:   </w:t>
      </w:r>
      <w:hyperlink r:id="rId21" w:history="1">
        <w:r w:rsidRPr="001C76E2">
          <w:rPr>
            <w:rStyle w:val="Hyperlink"/>
            <w:sz w:val="22"/>
            <w:szCs w:val="22"/>
          </w:rPr>
          <w:t>http://www.health.ny.gov/environmental/chemicals/hsees/mercury/mercury_exposure_levels.htm</w:t>
        </w:r>
      </w:hyperlink>
    </w:p>
    <w:p w:rsidR="00463524" w:rsidRDefault="00463524" w:rsidP="00463524">
      <w:pPr>
        <w:rPr>
          <w:rStyle w:val="Hyperlink"/>
          <w:sz w:val="22"/>
          <w:szCs w:val="22"/>
        </w:rPr>
      </w:pPr>
    </w:p>
    <w:p w:rsidR="00463524" w:rsidRPr="00087646" w:rsidRDefault="00463524" w:rsidP="00463524">
      <w:r>
        <w:rPr>
          <w:b/>
          <w:u w:val="single"/>
        </w:rPr>
        <w:t>I am concerned I might be exposed to contaminants from eating locally caught fish.  S</w:t>
      </w:r>
      <w:r w:rsidRPr="00087646">
        <w:rPr>
          <w:b/>
          <w:u w:val="single"/>
        </w:rPr>
        <w:t>hould I stop eating fish?</w:t>
      </w:r>
      <w:r w:rsidRPr="00087646">
        <w:t xml:space="preserve">   </w:t>
      </w:r>
    </w:p>
    <w:p w:rsidR="00463524" w:rsidRDefault="00463524" w:rsidP="00463524">
      <w:pPr>
        <w:rPr>
          <w:sz w:val="22"/>
          <w:szCs w:val="22"/>
        </w:rPr>
      </w:pPr>
    </w:p>
    <w:p w:rsidR="00463524" w:rsidRPr="001C76E2" w:rsidRDefault="00463524" w:rsidP="00463524">
      <w:pPr>
        <w:rPr>
          <w:sz w:val="22"/>
          <w:szCs w:val="22"/>
        </w:rPr>
      </w:pPr>
      <w:r w:rsidRPr="001C76E2">
        <w:rPr>
          <w:sz w:val="22"/>
          <w:szCs w:val="22"/>
        </w:rPr>
        <w:t xml:space="preserve">No.  Fishing is fun and fish are an important part of a healthy diet. Fish contain high quality </w:t>
      </w:r>
      <w:proofErr w:type="gramStart"/>
      <w:r w:rsidRPr="001C76E2">
        <w:rPr>
          <w:sz w:val="22"/>
          <w:szCs w:val="22"/>
        </w:rPr>
        <w:t>protein,</w:t>
      </w:r>
      <w:proofErr w:type="gramEnd"/>
      <w:r w:rsidRPr="001C76E2">
        <w:rPr>
          <w:sz w:val="22"/>
          <w:szCs w:val="22"/>
        </w:rPr>
        <w:t xml:space="preserve"> essential nutrients, healthy fish oils, and are low in saturated fat. However, some fish contain chemicals at levels that may be harmful to health.</w:t>
      </w:r>
    </w:p>
    <w:p w:rsidR="00463524" w:rsidRPr="001C76E2" w:rsidRDefault="00463524" w:rsidP="00463524">
      <w:pPr>
        <w:rPr>
          <w:sz w:val="22"/>
          <w:szCs w:val="22"/>
        </w:rPr>
      </w:pPr>
    </w:p>
    <w:p w:rsidR="00463524" w:rsidRDefault="00463524" w:rsidP="00463524">
      <w:pPr>
        <w:rPr>
          <w:b/>
          <w:sz w:val="22"/>
          <w:szCs w:val="22"/>
        </w:rPr>
      </w:pPr>
      <w:r w:rsidRPr="001C76E2">
        <w:rPr>
          <w:sz w:val="22"/>
          <w:szCs w:val="22"/>
        </w:rPr>
        <w:t xml:space="preserve">To help people make healthier choices about which fish to eat, the </w:t>
      </w:r>
      <w:r>
        <w:rPr>
          <w:sz w:val="22"/>
          <w:szCs w:val="22"/>
        </w:rPr>
        <w:t>NYS DOH</w:t>
      </w:r>
      <w:r w:rsidRPr="001C76E2">
        <w:rPr>
          <w:sz w:val="22"/>
          <w:szCs w:val="22"/>
        </w:rPr>
        <w:t xml:space="preserve"> gives advice about eating </w:t>
      </w:r>
      <w:proofErr w:type="spellStart"/>
      <w:r w:rsidRPr="001C76E2">
        <w:rPr>
          <w:sz w:val="22"/>
          <w:szCs w:val="22"/>
        </w:rPr>
        <w:t>sportfish</w:t>
      </w:r>
      <w:proofErr w:type="spellEnd"/>
      <w:r w:rsidRPr="001C76E2">
        <w:rPr>
          <w:sz w:val="22"/>
          <w:szCs w:val="22"/>
        </w:rPr>
        <w:t xml:space="preserve"> (fish you catch). People can get the health benefits of fish and</w:t>
      </w:r>
      <w:r>
        <w:rPr>
          <w:sz w:val="22"/>
          <w:szCs w:val="22"/>
        </w:rPr>
        <w:t xml:space="preserve"> reduce</w:t>
      </w:r>
      <w:r w:rsidRPr="001C76E2">
        <w:rPr>
          <w:sz w:val="22"/>
          <w:szCs w:val="22"/>
        </w:rPr>
        <w:t xml:space="preserve"> their exposures to chemicals, or contaminants, by following the NYS DOH advice. The advisories tell people</w:t>
      </w:r>
      <w:r>
        <w:rPr>
          <w:sz w:val="22"/>
          <w:szCs w:val="22"/>
        </w:rPr>
        <w:t xml:space="preserve"> about the contaminants of concern,</w:t>
      </w:r>
      <w:r w:rsidRPr="001C76E2">
        <w:rPr>
          <w:sz w:val="22"/>
          <w:szCs w:val="22"/>
        </w:rPr>
        <w:t xml:space="preserve"> which fish to avoid</w:t>
      </w:r>
      <w:r>
        <w:rPr>
          <w:sz w:val="22"/>
          <w:szCs w:val="22"/>
        </w:rPr>
        <w:t>,</w:t>
      </w:r>
      <w:r w:rsidRPr="001C76E2">
        <w:rPr>
          <w:sz w:val="22"/>
          <w:szCs w:val="22"/>
        </w:rPr>
        <w:t xml:space="preserve"> and how to reduce their exposures to contaminants in the fish they do eat. </w:t>
      </w:r>
      <w:r w:rsidRPr="002E6D8C">
        <w:rPr>
          <w:b/>
          <w:sz w:val="22"/>
          <w:szCs w:val="22"/>
        </w:rPr>
        <w:t xml:space="preserve">A brochure with health advice on eating fish you catch is provided in this mailing.  </w:t>
      </w:r>
    </w:p>
    <w:p w:rsidR="00463524" w:rsidRDefault="00463524" w:rsidP="00463524">
      <w:pPr>
        <w:rPr>
          <w:b/>
          <w:sz w:val="22"/>
          <w:szCs w:val="22"/>
        </w:rPr>
      </w:pPr>
    </w:p>
    <w:p w:rsidR="00463524" w:rsidRDefault="00463524" w:rsidP="00463524">
      <w:pPr>
        <w:rPr>
          <w:rStyle w:val="Hyperlink"/>
          <w:sz w:val="22"/>
          <w:szCs w:val="22"/>
        </w:rPr>
      </w:pPr>
      <w:r w:rsidRPr="001C76E2">
        <w:rPr>
          <w:sz w:val="22"/>
          <w:szCs w:val="22"/>
        </w:rPr>
        <w:t xml:space="preserve">See this website for additional information: </w:t>
      </w:r>
      <w:r>
        <w:rPr>
          <w:sz w:val="22"/>
          <w:szCs w:val="22"/>
        </w:rPr>
        <w:t xml:space="preserve">  </w:t>
      </w:r>
      <w:hyperlink r:id="rId22" w:history="1">
        <w:r w:rsidRPr="00A5597D">
          <w:rPr>
            <w:rStyle w:val="Hyperlink"/>
            <w:sz w:val="22"/>
            <w:szCs w:val="22"/>
          </w:rPr>
          <w:t>http://www.health.state.ny.us/environmental/outdoors/fish/fish.htm</w:t>
        </w:r>
      </w:hyperlink>
    </w:p>
    <w:p w:rsidR="00463524" w:rsidRDefault="00463524" w:rsidP="00463524">
      <w:pPr>
        <w:rPr>
          <w:rStyle w:val="Hyperlink"/>
          <w:sz w:val="22"/>
          <w:szCs w:val="22"/>
        </w:rPr>
      </w:pPr>
    </w:p>
    <w:p w:rsidR="00463524" w:rsidRDefault="00463524" w:rsidP="00463524">
      <w:pPr>
        <w:rPr>
          <w:sz w:val="22"/>
          <w:szCs w:val="22"/>
        </w:rPr>
      </w:pPr>
      <w:r w:rsidRPr="00596961">
        <w:t xml:space="preserve">If you have any questions about the project or your results, please contact </w:t>
      </w:r>
      <w:proofErr w:type="gramStart"/>
      <w:r w:rsidR="00AF2430">
        <w:t xml:space="preserve">NAME </w:t>
      </w:r>
      <w:r w:rsidRPr="00596961">
        <w:rPr>
          <w:b/>
        </w:rPr>
        <w:t>,</w:t>
      </w:r>
      <w:proofErr w:type="gramEnd"/>
      <w:r w:rsidRPr="00596961">
        <w:rPr>
          <w:b/>
        </w:rPr>
        <w:t xml:space="preserve"> Project Coordinator, at </w:t>
      </w:r>
      <w:r w:rsidR="00AF2430">
        <w:rPr>
          <w:b/>
        </w:rPr>
        <w:t>XXX</w:t>
      </w:r>
      <w:r w:rsidRPr="00596961">
        <w:rPr>
          <w:b/>
        </w:rPr>
        <w:t>-</w:t>
      </w:r>
      <w:r w:rsidR="00AF2430">
        <w:rPr>
          <w:b/>
        </w:rPr>
        <w:t>XXX</w:t>
      </w:r>
      <w:r w:rsidRPr="00596961">
        <w:rPr>
          <w:b/>
        </w:rPr>
        <w:t>-</w:t>
      </w:r>
      <w:r w:rsidR="00AF2430">
        <w:rPr>
          <w:b/>
        </w:rPr>
        <w:t>XXX</w:t>
      </w:r>
      <w:r w:rsidRPr="00596961">
        <w:rPr>
          <w:b/>
        </w:rPr>
        <w:t>0</w:t>
      </w:r>
      <w:r>
        <w:rPr>
          <w:b/>
        </w:rPr>
        <w:t xml:space="preserve"> or </w:t>
      </w:r>
      <w:r w:rsidR="00AF2430">
        <w:rPr>
          <w:b/>
        </w:rPr>
        <w:t>xxxx</w:t>
      </w:r>
      <w:r>
        <w:rPr>
          <w:b/>
        </w:rPr>
        <w:t>@health.ny.gov</w:t>
      </w:r>
      <w:r w:rsidRPr="00596961">
        <w:t>.</w:t>
      </w:r>
    </w:p>
    <w:p w:rsidR="00463524" w:rsidRPr="001C76E2" w:rsidRDefault="00463524" w:rsidP="00463524">
      <w:pPr>
        <w:tabs>
          <w:tab w:val="left" w:pos="720"/>
        </w:tabs>
        <w:rPr>
          <w:sz w:val="22"/>
          <w:szCs w:val="22"/>
        </w:rPr>
      </w:pPr>
    </w:p>
    <w:p w:rsidR="00463524" w:rsidRPr="001C76E2" w:rsidRDefault="00463524" w:rsidP="00463524">
      <w:pPr>
        <w:tabs>
          <w:tab w:val="left" w:pos="720"/>
        </w:tabs>
        <w:ind w:left="630" w:hanging="630"/>
        <w:rPr>
          <w:sz w:val="22"/>
          <w:szCs w:val="22"/>
        </w:rPr>
      </w:pPr>
    </w:p>
    <w:p w:rsidR="00463524" w:rsidRDefault="00463524" w:rsidP="00463524">
      <w:pPr>
        <w:rPr>
          <w:rFonts w:cs="Calibri"/>
        </w:rPr>
      </w:pPr>
    </w:p>
    <w:p w:rsidR="000A085F" w:rsidRDefault="000A085F" w:rsidP="00463524">
      <w:pPr>
        <w:rPr>
          <w:rFonts w:cs="Calibri"/>
        </w:rPr>
      </w:pPr>
    </w:p>
    <w:p w:rsidR="000A085F" w:rsidRDefault="000A085F" w:rsidP="00463524">
      <w:pPr>
        <w:rPr>
          <w:rFonts w:cs="Calibri"/>
        </w:rPr>
      </w:pPr>
    </w:p>
    <w:p w:rsidR="000A085F" w:rsidRDefault="000A085F" w:rsidP="00463524">
      <w:pPr>
        <w:rPr>
          <w:rFonts w:cs="Calibri"/>
        </w:rPr>
      </w:pPr>
    </w:p>
    <w:p w:rsidR="000A085F" w:rsidRDefault="000A085F" w:rsidP="00463524">
      <w:pPr>
        <w:rPr>
          <w:rFonts w:cs="Calibri"/>
        </w:rPr>
      </w:pPr>
    </w:p>
    <w:p w:rsidR="000A085F" w:rsidRDefault="000A085F" w:rsidP="00463524">
      <w:pPr>
        <w:rPr>
          <w:rFonts w:cs="Calibri"/>
        </w:rPr>
      </w:pPr>
    </w:p>
    <w:p w:rsidR="000A085F" w:rsidRDefault="000A085F" w:rsidP="00463524">
      <w:pPr>
        <w:rPr>
          <w:rFonts w:cs="Calibri"/>
        </w:rPr>
      </w:pPr>
    </w:p>
    <w:p w:rsidR="000A085F" w:rsidRDefault="000A085F" w:rsidP="00463524">
      <w:pPr>
        <w:rPr>
          <w:rFonts w:cs="Calibri"/>
        </w:rPr>
      </w:pPr>
    </w:p>
    <w:p w:rsidR="000A085F" w:rsidRDefault="000A085F" w:rsidP="00463524">
      <w:pPr>
        <w:rPr>
          <w:rFonts w:cs="Calibri"/>
        </w:rPr>
      </w:pPr>
    </w:p>
    <w:p w:rsidR="000A085F" w:rsidRDefault="000A085F" w:rsidP="00463524">
      <w:pPr>
        <w:rPr>
          <w:rFonts w:cs="Calibri"/>
        </w:rPr>
      </w:pPr>
    </w:p>
    <w:p w:rsidR="000A085F" w:rsidRDefault="000A085F" w:rsidP="00463524">
      <w:pPr>
        <w:rPr>
          <w:rFonts w:cs="Calibri"/>
        </w:rPr>
      </w:pPr>
    </w:p>
    <w:p w:rsidR="000A085F" w:rsidRDefault="000A085F" w:rsidP="00463524">
      <w:pPr>
        <w:rPr>
          <w:rFonts w:cs="Calibri"/>
        </w:rPr>
      </w:pPr>
    </w:p>
    <w:p w:rsidR="000A085F" w:rsidRDefault="000A085F" w:rsidP="00463524">
      <w:pPr>
        <w:rPr>
          <w:rFonts w:cs="Calibri"/>
        </w:rPr>
      </w:pPr>
    </w:p>
    <w:p w:rsidR="000A085F" w:rsidRDefault="000A085F" w:rsidP="00463524">
      <w:pPr>
        <w:rPr>
          <w:rFonts w:cs="Calibri"/>
        </w:rPr>
      </w:pPr>
    </w:p>
    <w:p w:rsidR="000A085F" w:rsidRDefault="000A085F" w:rsidP="00463524">
      <w:pPr>
        <w:rPr>
          <w:rFonts w:cs="Calibri"/>
        </w:rPr>
      </w:pPr>
    </w:p>
    <w:p w:rsidR="000A085F" w:rsidRDefault="000A085F" w:rsidP="00463524">
      <w:pPr>
        <w:rPr>
          <w:rFonts w:cs="Calibri"/>
        </w:rPr>
      </w:pPr>
    </w:p>
    <w:p w:rsidR="000A085F" w:rsidRDefault="000A085F" w:rsidP="00463524">
      <w:pPr>
        <w:rPr>
          <w:rFonts w:cs="Calibri"/>
        </w:rPr>
      </w:pPr>
    </w:p>
    <w:p w:rsidR="000A085F" w:rsidRPr="009E108D" w:rsidRDefault="000A085F" w:rsidP="00463524">
      <w:pPr>
        <w:rPr>
          <w:rFonts w:cs="Calibri"/>
        </w:rPr>
      </w:pPr>
    </w:p>
    <w:p w:rsidR="008F2BE5" w:rsidRDefault="008F2BE5" w:rsidP="007822F7">
      <w:pPr>
        <w:pStyle w:val="GLTables"/>
        <w:rPr>
          <w:b/>
          <w:bCs w:val="0"/>
          <w:lang w:val="en-US"/>
        </w:rPr>
      </w:pPr>
    </w:p>
    <w:p w:rsidR="00087E91" w:rsidRDefault="00087E91" w:rsidP="007822F7">
      <w:pPr>
        <w:pStyle w:val="GLTables"/>
        <w:rPr>
          <w:b/>
          <w:bCs w:val="0"/>
          <w:lang w:val="en-US"/>
        </w:rPr>
      </w:pPr>
    </w:p>
    <w:p w:rsidR="008F2BE5" w:rsidRDefault="008F2BE5" w:rsidP="007822F7">
      <w:pPr>
        <w:pStyle w:val="GLTables"/>
        <w:rPr>
          <w:b/>
          <w:bCs w:val="0"/>
          <w:lang w:val="en-US"/>
        </w:rPr>
      </w:pPr>
    </w:p>
    <w:p w:rsidR="008F2BE5" w:rsidRDefault="008F2BE5" w:rsidP="007822F7">
      <w:pPr>
        <w:pStyle w:val="GLTables"/>
        <w:rPr>
          <w:b/>
          <w:bCs w:val="0"/>
          <w:lang w:val="en-US"/>
        </w:rPr>
      </w:pPr>
    </w:p>
    <w:p w:rsidR="007822F7" w:rsidRPr="00084385" w:rsidRDefault="007000DC" w:rsidP="007822F7">
      <w:pPr>
        <w:pStyle w:val="GLTables"/>
        <w:rPr>
          <w:lang w:val="en-US"/>
        </w:rPr>
      </w:pPr>
      <w:proofErr w:type="gramStart"/>
      <w:r>
        <w:rPr>
          <w:b/>
          <w:bCs w:val="0"/>
          <w:lang w:val="en-US"/>
        </w:rPr>
        <w:t xml:space="preserve">Attachment </w:t>
      </w:r>
      <w:r w:rsidR="00292D1C">
        <w:rPr>
          <w:b/>
          <w:bCs w:val="0"/>
          <w:lang w:val="en-US"/>
        </w:rPr>
        <w:t>10</w:t>
      </w:r>
      <w:r w:rsidR="000A085F">
        <w:rPr>
          <w:b/>
          <w:bCs w:val="0"/>
          <w:lang w:val="en-US"/>
        </w:rPr>
        <w:t>b</w:t>
      </w:r>
      <w:r>
        <w:rPr>
          <w:b/>
          <w:bCs w:val="0"/>
          <w:lang w:val="en-US"/>
        </w:rPr>
        <w:t>.</w:t>
      </w:r>
      <w:proofErr w:type="gramEnd"/>
      <w:r>
        <w:rPr>
          <w:b/>
          <w:bCs w:val="0"/>
          <w:lang w:val="en-US"/>
        </w:rPr>
        <w:t xml:space="preserve"> </w:t>
      </w:r>
      <w:bookmarkStart w:id="0" w:name="_Toc294702306"/>
      <w:bookmarkStart w:id="1" w:name="_Toc294789033"/>
      <w:bookmarkStart w:id="2" w:name="_Toc294791483"/>
      <w:r w:rsidR="00C3681E">
        <w:rPr>
          <w:b/>
          <w:bCs w:val="0"/>
          <w:lang w:val="en-US"/>
        </w:rPr>
        <w:t xml:space="preserve"> </w:t>
      </w:r>
      <w:r w:rsidR="007822F7" w:rsidRPr="00277FF7">
        <w:t>Sample</w:t>
      </w:r>
      <w:r w:rsidR="007822F7">
        <w:t xml:space="preserve"> letter reporting individual </w:t>
      </w:r>
      <w:r w:rsidR="007822F7">
        <w:rPr>
          <w:lang w:val="en-US"/>
        </w:rPr>
        <w:t>chemical</w:t>
      </w:r>
      <w:r w:rsidR="001E57D8">
        <w:rPr>
          <w:lang w:val="en-US"/>
        </w:rPr>
        <w:t xml:space="preserve">, cholesterol and triglyceride </w:t>
      </w:r>
      <w:r w:rsidR="007822F7" w:rsidRPr="00277FF7">
        <w:t>result</w:t>
      </w:r>
      <w:r w:rsidR="007822F7">
        <w:rPr>
          <w:lang w:val="en-US"/>
        </w:rPr>
        <w:t>s</w:t>
      </w:r>
      <w:r w:rsidR="001E57D8">
        <w:rPr>
          <w:lang w:val="en-US"/>
        </w:rPr>
        <w:t xml:space="preserve"> </w:t>
      </w:r>
      <w:r w:rsidR="007822F7" w:rsidRPr="00277FF7">
        <w:t>to a participant</w:t>
      </w:r>
      <w:bookmarkEnd w:id="0"/>
      <w:bookmarkEnd w:id="1"/>
      <w:bookmarkEnd w:id="2"/>
      <w:r w:rsidR="007822F7">
        <w:rPr>
          <w:lang w:val="en-US"/>
        </w:rPr>
        <w:t xml:space="preserve"> (Flesch-Kincaid Reading Level: grade 9.9)</w:t>
      </w:r>
    </w:p>
    <w:p w:rsidR="007822F7" w:rsidRPr="009E108D" w:rsidRDefault="007822F7" w:rsidP="007822F7">
      <w:pPr>
        <w:rPr>
          <w:rFonts w:cs="Calibri"/>
        </w:rPr>
      </w:pPr>
    </w:p>
    <w:p w:rsidR="007822F7" w:rsidRPr="00E177F1" w:rsidRDefault="007822F7" w:rsidP="007822F7">
      <w:pPr>
        <w:tabs>
          <w:tab w:val="left" w:pos="5880"/>
        </w:tabs>
        <w:rPr>
          <w:rFonts w:ascii="Times New Roman" w:eastAsia="Times New Roman" w:hAnsi="Times New Roman"/>
        </w:rPr>
      </w:pPr>
      <w:r>
        <w:rPr>
          <w:noProof/>
        </w:rPr>
        <w:drawing>
          <wp:inline distT="0" distB="0" distL="0" distR="0" wp14:anchorId="1A0A2B75" wp14:editId="1331F090">
            <wp:extent cx="5943600" cy="838200"/>
            <wp:effectExtent l="0" t="0" r="0" b="0"/>
            <wp:docPr id="1" name="Picture 1" descr="HeaderNoBG_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NoBG_WM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838200"/>
                    </a:xfrm>
                    <a:prstGeom prst="rect">
                      <a:avLst/>
                    </a:prstGeom>
                    <a:noFill/>
                    <a:ln>
                      <a:noFill/>
                    </a:ln>
                  </pic:spPr>
                </pic:pic>
              </a:graphicData>
            </a:graphic>
          </wp:inline>
        </w:drawing>
      </w:r>
    </w:p>
    <w:p w:rsidR="007822F7" w:rsidRDefault="007822F7" w:rsidP="007822F7">
      <w:pPr>
        <w:rPr>
          <w:rFonts w:ascii="Times New Roman" w:eastAsia="Times New Roman" w:hAnsi="Times New Roman"/>
        </w:rPr>
      </w:pPr>
    </w:p>
    <w:p w:rsidR="008279D6" w:rsidRPr="006D0072" w:rsidRDefault="008279D6" w:rsidP="008279D6">
      <w:r w:rsidRPr="006D0072">
        <w:t>Dear Alan Fisher</w:t>
      </w:r>
      <w:r>
        <w:t>man</w:t>
      </w:r>
      <w:r w:rsidRPr="006D0072">
        <w:fldChar w:fldCharType="begin"/>
      </w:r>
      <w:r w:rsidRPr="006D0072">
        <w:instrText xml:space="preserve"> MERGEFIELD "Full_name" </w:instrText>
      </w:r>
      <w:r w:rsidRPr="006D0072">
        <w:fldChar w:fldCharType="end"/>
      </w:r>
      <w:r w:rsidRPr="006D0072">
        <w:t>:</w:t>
      </w:r>
    </w:p>
    <w:p w:rsidR="00A24BB0" w:rsidRDefault="008279D6" w:rsidP="00A24BB0">
      <w:pPr>
        <w:spacing w:before="120"/>
      </w:pPr>
      <w:r w:rsidRPr="00A354E3">
        <w:t xml:space="preserve">Thank you for taking part in the Biomonitoring of Urban Anglers consuming fish from the Great Lakes Basin’s Onondaga Lake Project.  The project is </w:t>
      </w:r>
      <w:r w:rsidRPr="00A354E3">
        <w:rPr>
          <w:rFonts w:eastAsia="MS Mincho" w:cs="Calibri"/>
        </w:rPr>
        <w:t xml:space="preserve">measuring contaminants in people who eat fish </w:t>
      </w:r>
      <w:r w:rsidR="00AD4FD2">
        <w:rPr>
          <w:rFonts w:eastAsia="MS Mincho" w:cs="Calibri"/>
        </w:rPr>
        <w:t xml:space="preserve">from </w:t>
      </w:r>
      <w:r w:rsidRPr="00A354E3">
        <w:rPr>
          <w:rFonts w:eastAsia="MS Mincho" w:cs="Calibri"/>
        </w:rPr>
        <w:t>Onondaga Lake</w:t>
      </w:r>
      <w:r w:rsidR="00AD4FD2">
        <w:rPr>
          <w:rFonts w:eastAsia="MS Mincho" w:cs="Calibri"/>
        </w:rPr>
        <w:t xml:space="preserve"> and nearby waters</w:t>
      </w:r>
      <w:r w:rsidRPr="00A354E3">
        <w:rPr>
          <w:rFonts w:eastAsia="MS Mincho" w:cs="Calibri"/>
        </w:rPr>
        <w:t>.</w:t>
      </w:r>
      <w:r w:rsidR="00AD4FD2">
        <w:rPr>
          <w:rFonts w:eastAsia="MS Mincho" w:cs="Calibri"/>
        </w:rPr>
        <w:t xml:space="preserve"> </w:t>
      </w:r>
      <w:r w:rsidRPr="008279D6">
        <w:rPr>
          <w:rFonts w:asciiTheme="minorHAnsi" w:hAnsiTheme="minorHAnsi"/>
        </w:rPr>
        <w:t xml:space="preserve">We are writing to share your results for </w:t>
      </w:r>
      <w:r w:rsidR="00AD4FD2">
        <w:rPr>
          <w:rFonts w:asciiTheme="minorHAnsi" w:hAnsiTheme="minorHAnsi"/>
        </w:rPr>
        <w:t>the second and final set of chemicals.</w:t>
      </w:r>
      <w:r w:rsidR="00A24BB0">
        <w:rPr>
          <w:rFonts w:asciiTheme="minorHAnsi" w:hAnsiTheme="minorHAnsi"/>
        </w:rPr>
        <w:t xml:space="preserve"> </w:t>
      </w:r>
      <w:r w:rsidR="00A24BB0">
        <w:t>Y</w:t>
      </w:r>
      <w:r w:rsidR="00A24BB0" w:rsidRPr="00FB1AFE">
        <w:t xml:space="preserve">our results </w:t>
      </w:r>
      <w:r w:rsidR="00A24BB0">
        <w:t>are on</w:t>
      </w:r>
      <w:r w:rsidR="00A24BB0" w:rsidRPr="00FB1AFE">
        <w:t xml:space="preserve"> the</w:t>
      </w:r>
      <w:r w:rsidR="00A24BB0">
        <w:t xml:space="preserve"> next page along </w:t>
      </w:r>
      <w:r w:rsidR="00A24BB0" w:rsidRPr="00FB1AFE">
        <w:t xml:space="preserve">with </w:t>
      </w:r>
      <w:r w:rsidR="00A24BB0">
        <w:t>comparison levels from a national sample.  If the comparisons suggest your</w:t>
      </w:r>
      <w:r w:rsidR="00A24BB0" w:rsidRPr="00E27B26">
        <w:t xml:space="preserve"> levels are higher than average, it does not mean you will develop disease or have any health effects.  Scientists are still learning what the impact of these chemicals is on human health.</w:t>
      </w:r>
      <w:r w:rsidR="00A24BB0">
        <w:t xml:space="preserve">  </w:t>
      </w:r>
    </w:p>
    <w:p w:rsidR="00A24BB0" w:rsidRPr="006D0072" w:rsidRDefault="00A24BB0" w:rsidP="00A24BB0"/>
    <w:p w:rsidR="00A24BB0" w:rsidRDefault="00A24BB0" w:rsidP="00A24BB0">
      <w:r w:rsidRPr="00E27B26">
        <w:t>We also tested your blood for total cholesterol and triglycerides, which tell us the amount of fat in your blood</w:t>
      </w:r>
      <w:r>
        <w:t xml:space="preserve"> sample</w:t>
      </w:r>
      <w:r w:rsidRPr="00E27B26">
        <w:t xml:space="preserve">.  We need to know the amount of fat because </w:t>
      </w:r>
      <w:r>
        <w:t xml:space="preserve">some </w:t>
      </w:r>
      <w:r w:rsidRPr="00E27B26">
        <w:t>chemicals are contained in body fat</w:t>
      </w:r>
      <w:r>
        <w:t xml:space="preserve"> (lipid).  Your chemical tests on page 2 were adjusted for the fat levels in your sample, shown on page 3</w:t>
      </w:r>
      <w:r w:rsidRPr="00E27B26">
        <w:t xml:space="preserve">. </w:t>
      </w:r>
      <w:r>
        <w:t xml:space="preserve">    </w:t>
      </w:r>
    </w:p>
    <w:p w:rsidR="00A24BB0" w:rsidRDefault="00A24BB0" w:rsidP="00A24BB0"/>
    <w:p w:rsidR="00A24BB0" w:rsidRPr="001D4661" w:rsidRDefault="00A24BB0" w:rsidP="00A24BB0">
      <w:r w:rsidRPr="001D4661">
        <w:t xml:space="preserve">If you named a health care provider to whom you wanted </w:t>
      </w:r>
      <w:r>
        <w:t xml:space="preserve">your </w:t>
      </w:r>
      <w:r w:rsidRPr="001D4661">
        <w:t xml:space="preserve">results sent, we are sending a copy of this letter and your results to that person whose name </w:t>
      </w:r>
      <w:r>
        <w:t>is</w:t>
      </w:r>
      <w:r w:rsidRPr="001D4661">
        <w:t xml:space="preserve"> listed below (see cc:)</w:t>
      </w:r>
      <w:r>
        <w:t xml:space="preserve">.   </w:t>
      </w:r>
      <w:r w:rsidRPr="001D4661">
        <w:t xml:space="preserve">We will be happy to answer any questions you have.  However, speak to your health care provider if you have concerns about your own health as it relates to these test results. We are currently reviewing the study results to learn more about eating fish and levels of </w:t>
      </w:r>
      <w:r>
        <w:t>these chemicals.</w:t>
      </w:r>
      <w:r w:rsidRPr="001D4661">
        <w:t xml:space="preserve">  We will share information about these findings when they are available.  You can also find information about the project on our website </w:t>
      </w:r>
      <w:hyperlink r:id="rId23" w:history="1">
        <w:r w:rsidRPr="001D4661">
          <w:rPr>
            <w:color w:val="0000FF"/>
            <w:u w:val="single"/>
          </w:rPr>
          <w:t>http://www.health.ny.gov/environmental/outdoors/fish/health_advisories/gl_biomonitoring.htm</w:t>
        </w:r>
      </w:hyperlink>
      <w:r w:rsidRPr="001D4661">
        <w:t>.</w:t>
      </w:r>
    </w:p>
    <w:p w:rsidR="00A24BB0" w:rsidRPr="001D4661" w:rsidRDefault="00A24BB0" w:rsidP="00A24BB0">
      <w:pPr>
        <w:contextualSpacing/>
      </w:pPr>
    </w:p>
    <w:p w:rsidR="00A24BB0" w:rsidRDefault="00A24BB0" w:rsidP="00A24BB0">
      <w:pPr>
        <w:contextualSpacing/>
      </w:pPr>
      <w:r w:rsidRPr="001D4661">
        <w:t xml:space="preserve">If you have any questions about the project or your results, please contact </w:t>
      </w:r>
      <w:r w:rsidR="00FB6CA2">
        <w:t>NAME</w:t>
      </w:r>
      <w:r w:rsidRPr="001D4661">
        <w:rPr>
          <w:b/>
        </w:rPr>
        <w:t xml:space="preserve">, Project Coordinator, at </w:t>
      </w:r>
      <w:r w:rsidR="00FB6CA2">
        <w:rPr>
          <w:b/>
        </w:rPr>
        <w:t>###</w:t>
      </w:r>
      <w:r w:rsidRPr="001D4661">
        <w:rPr>
          <w:b/>
        </w:rPr>
        <w:t>-</w:t>
      </w:r>
      <w:r w:rsidR="00FB6CA2">
        <w:rPr>
          <w:b/>
        </w:rPr>
        <w:t>###</w:t>
      </w:r>
      <w:r w:rsidRPr="001D4661">
        <w:rPr>
          <w:b/>
        </w:rPr>
        <w:t>-</w:t>
      </w:r>
      <w:r w:rsidR="00FB6CA2">
        <w:rPr>
          <w:b/>
        </w:rPr>
        <w:t>####</w:t>
      </w:r>
      <w:r w:rsidRPr="001D4661">
        <w:rPr>
          <w:b/>
        </w:rPr>
        <w:t xml:space="preserve"> or </w:t>
      </w:r>
      <w:r w:rsidR="00FB6CA2">
        <w:rPr>
          <w:b/>
        </w:rPr>
        <w:t>xxxx</w:t>
      </w:r>
      <w:r w:rsidRPr="001D4661">
        <w:rPr>
          <w:b/>
        </w:rPr>
        <w:t>@health.ny.gov</w:t>
      </w:r>
      <w:r w:rsidRPr="001D4661">
        <w:t>. If you have questions specifically about the laboratory testing procedure</w:t>
      </w:r>
      <w:r>
        <w:t>s,</w:t>
      </w:r>
      <w:r w:rsidRPr="001D4661">
        <w:t xml:space="preserve"> please contact Dr. Patrick Parsons, Chief, Laboratory of Inorganic and Nuclear Chemistry, Wadsworth Center at 518-474-7161. </w:t>
      </w:r>
      <w:r>
        <w:t xml:space="preserve"> </w:t>
      </w:r>
      <w:r w:rsidRPr="001D4661">
        <w:t>Thank you again for your participation.</w:t>
      </w:r>
      <w:r>
        <w:t xml:space="preserve">  </w:t>
      </w:r>
    </w:p>
    <w:p w:rsidR="00A24BB0" w:rsidRPr="006D0072" w:rsidRDefault="00A24BB0" w:rsidP="00A24BB0">
      <w:pPr>
        <w:contextualSpacing/>
      </w:pPr>
    </w:p>
    <w:p w:rsidR="00A24BB0" w:rsidRDefault="00A24BB0" w:rsidP="00A24BB0">
      <w:pPr>
        <w:sectPr w:rsidR="00A24BB0" w:rsidSect="00FB6CA2">
          <w:footerReference w:type="default" r:id="rId24"/>
          <w:footerReference w:type="first" r:id="rId25"/>
          <w:pgSz w:w="12240" w:h="15840"/>
          <w:pgMar w:top="1440" w:right="1440" w:bottom="1440" w:left="1440" w:header="720" w:footer="654" w:gutter="0"/>
          <w:cols w:space="720"/>
          <w:noEndnote/>
          <w:titlePg/>
          <w:docGrid w:linePitch="326"/>
        </w:sectPr>
      </w:pPr>
      <w:r>
        <w:t xml:space="preserve">Sincerely, </w:t>
      </w:r>
    </w:p>
    <w:p w:rsidR="00A24BB0" w:rsidRDefault="00A24BB0" w:rsidP="00A24BB0"/>
    <w:p w:rsidR="00A24BB0" w:rsidRDefault="00A24BB0" w:rsidP="00A24BB0">
      <w:pPr>
        <w:sectPr w:rsidR="00A24BB0" w:rsidSect="00A070D5">
          <w:type w:val="continuous"/>
          <w:pgSz w:w="12240" w:h="15840"/>
          <w:pgMar w:top="1440" w:right="1080" w:bottom="1440" w:left="1080" w:header="720" w:footer="654" w:gutter="0"/>
          <w:cols w:num="2" w:space="720"/>
          <w:noEndnote/>
          <w:titlePg/>
          <w:docGrid w:linePitch="326"/>
        </w:sectPr>
      </w:pPr>
    </w:p>
    <w:p w:rsidR="00A24BB0" w:rsidRDefault="00A24BB0" w:rsidP="00A24BB0">
      <w:proofErr w:type="spellStart"/>
      <w:r>
        <w:lastRenderedPageBreak/>
        <w:t>Syni-</w:t>
      </w:r>
      <w:proofErr w:type="gramStart"/>
      <w:r>
        <w:t>an</w:t>
      </w:r>
      <w:proofErr w:type="spellEnd"/>
      <w:proofErr w:type="gramEnd"/>
      <w:r>
        <w:t xml:space="preserve"> Hwang, Director</w:t>
      </w:r>
    </w:p>
    <w:p w:rsidR="00A24BB0" w:rsidRDefault="00A24BB0" w:rsidP="00A24BB0">
      <w:r>
        <w:t xml:space="preserve">Bureau of </w:t>
      </w:r>
      <w:proofErr w:type="spellStart"/>
      <w:r>
        <w:t>Env</w:t>
      </w:r>
      <w:proofErr w:type="spellEnd"/>
      <w:r>
        <w:t xml:space="preserve"> &amp; </w:t>
      </w:r>
      <w:proofErr w:type="spellStart"/>
      <w:r>
        <w:t>Occup</w:t>
      </w:r>
      <w:proofErr w:type="spellEnd"/>
      <w:r>
        <w:t xml:space="preserve"> Epidemiology</w:t>
      </w:r>
    </w:p>
    <w:p w:rsidR="008F2BE5" w:rsidRDefault="008F2BE5" w:rsidP="00A24BB0"/>
    <w:p w:rsidR="00A24BB0" w:rsidRDefault="00A24BB0" w:rsidP="00A24BB0">
      <w:r>
        <w:t>cc:  Dr. John Doe</w:t>
      </w:r>
    </w:p>
    <w:p w:rsidR="00A24BB0" w:rsidRDefault="00A24BB0" w:rsidP="00A24BB0">
      <w:pPr>
        <w:sectPr w:rsidR="00A24BB0" w:rsidSect="00A070D5">
          <w:type w:val="continuous"/>
          <w:pgSz w:w="12240" w:h="15840"/>
          <w:pgMar w:top="1440" w:right="1080" w:bottom="1440" w:left="1080" w:header="720" w:footer="654" w:gutter="0"/>
          <w:cols w:num="2" w:space="720"/>
          <w:noEndnote/>
          <w:titlePg/>
          <w:docGrid w:linePitch="326"/>
        </w:sectPr>
      </w:pPr>
    </w:p>
    <w:p w:rsidR="007822F7" w:rsidRDefault="007822F7" w:rsidP="007822F7">
      <w:r>
        <w:lastRenderedPageBreak/>
        <w:t>Collection date:</w:t>
      </w:r>
    </w:p>
    <w:p w:rsidR="007822F7" w:rsidRPr="00F063A4" w:rsidRDefault="007822F7" w:rsidP="007822F7">
      <w:r>
        <w:t>Report date:</w:t>
      </w:r>
    </w:p>
    <w:p w:rsidR="008F2BE5" w:rsidRDefault="008F2BE5" w:rsidP="007822F7"/>
    <w:p w:rsidR="007822F7" w:rsidRDefault="007822F7" w:rsidP="007822F7">
      <w:r>
        <w:t>[NAME AND ADDRESS]</w:t>
      </w:r>
    </w:p>
    <w:p w:rsidR="007822F7" w:rsidRDefault="007822F7" w:rsidP="007822F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1890"/>
        <w:gridCol w:w="3960"/>
      </w:tblGrid>
      <w:tr w:rsidR="007822F7" w:rsidRPr="00F063A4" w:rsidTr="004A788F">
        <w:tc>
          <w:tcPr>
            <w:tcW w:w="3420" w:type="dxa"/>
            <w:shd w:val="clear" w:color="auto" w:fill="auto"/>
            <w:vAlign w:val="bottom"/>
          </w:tcPr>
          <w:p w:rsidR="007822F7" w:rsidRPr="00F063A4" w:rsidRDefault="007822F7" w:rsidP="00186813">
            <w:pPr>
              <w:rPr>
                <w:b/>
              </w:rPr>
            </w:pPr>
            <w:r w:rsidRPr="00F063A4">
              <w:rPr>
                <w:b/>
              </w:rPr>
              <w:t>Chemical or metabolite</w:t>
            </w:r>
          </w:p>
        </w:tc>
        <w:tc>
          <w:tcPr>
            <w:tcW w:w="1890" w:type="dxa"/>
            <w:shd w:val="clear" w:color="auto" w:fill="auto"/>
            <w:vAlign w:val="bottom"/>
          </w:tcPr>
          <w:p w:rsidR="007822F7" w:rsidRPr="00F063A4" w:rsidRDefault="007822F7" w:rsidP="00186813">
            <w:pPr>
              <w:jc w:val="center"/>
              <w:rPr>
                <w:b/>
              </w:rPr>
            </w:pPr>
            <w:r w:rsidRPr="00F063A4">
              <w:rPr>
                <w:b/>
              </w:rPr>
              <w:t>Your result,</w:t>
            </w:r>
          </w:p>
          <w:p w:rsidR="007822F7" w:rsidRPr="00F063A4" w:rsidRDefault="007822F7" w:rsidP="00186813">
            <w:pPr>
              <w:jc w:val="center"/>
              <w:rPr>
                <w:b/>
              </w:rPr>
            </w:pPr>
            <w:r>
              <w:rPr>
                <w:b/>
              </w:rPr>
              <w:t xml:space="preserve">lipid </w:t>
            </w:r>
            <w:r w:rsidRPr="00F063A4">
              <w:rPr>
                <w:b/>
              </w:rPr>
              <w:t>adjusted</w:t>
            </w:r>
          </w:p>
        </w:tc>
        <w:tc>
          <w:tcPr>
            <w:tcW w:w="3960" w:type="dxa"/>
            <w:shd w:val="clear" w:color="auto" w:fill="auto"/>
            <w:vAlign w:val="bottom"/>
          </w:tcPr>
          <w:p w:rsidR="007822F7" w:rsidRPr="00F063A4" w:rsidRDefault="00A24BB0" w:rsidP="00186813">
            <w:pPr>
              <w:jc w:val="center"/>
              <w:rPr>
                <w:b/>
              </w:rPr>
            </w:pPr>
            <w:r>
              <w:rPr>
                <w:b/>
              </w:rPr>
              <w:t xml:space="preserve">Comparison </w:t>
            </w:r>
            <w:r w:rsidR="00ED17C0">
              <w:rPr>
                <w:b/>
              </w:rPr>
              <w:t>value</w:t>
            </w:r>
            <w:r w:rsidR="00F72620">
              <w:rPr>
                <w:b/>
              </w:rPr>
              <w:t>s</w:t>
            </w:r>
            <w:r w:rsidR="0007580B">
              <w:rPr>
                <w:b/>
              </w:rPr>
              <w:t xml:space="preserve"> (ng/g of lipid)</w:t>
            </w:r>
            <w:r w:rsidR="0034097C">
              <w:rPr>
                <w:b/>
              </w:rPr>
              <w:t>*</w:t>
            </w:r>
            <w:r w:rsidR="007822F7" w:rsidRPr="00F063A4">
              <w:rPr>
                <w:b/>
              </w:rPr>
              <w:t>,</w:t>
            </w:r>
          </w:p>
          <w:p w:rsidR="007822F7" w:rsidRPr="00F063A4" w:rsidRDefault="007822F7" w:rsidP="00186813">
            <w:pPr>
              <w:jc w:val="center"/>
              <w:rPr>
                <w:b/>
              </w:rPr>
            </w:pPr>
            <w:r w:rsidRPr="00F063A4">
              <w:rPr>
                <w:b/>
              </w:rPr>
              <w:t>lipid adjusted</w:t>
            </w:r>
          </w:p>
        </w:tc>
      </w:tr>
      <w:tr w:rsidR="00F72620" w:rsidRPr="00F063A4" w:rsidTr="004A788F">
        <w:tc>
          <w:tcPr>
            <w:tcW w:w="3420" w:type="dxa"/>
            <w:shd w:val="clear" w:color="auto" w:fill="auto"/>
            <w:vAlign w:val="bottom"/>
          </w:tcPr>
          <w:p w:rsidR="00F72620" w:rsidRPr="00F063A4" w:rsidRDefault="00F72620" w:rsidP="00186813">
            <w:pPr>
              <w:rPr>
                <w:b/>
              </w:rPr>
            </w:pPr>
          </w:p>
        </w:tc>
        <w:tc>
          <w:tcPr>
            <w:tcW w:w="1890" w:type="dxa"/>
            <w:shd w:val="clear" w:color="auto" w:fill="auto"/>
            <w:vAlign w:val="bottom"/>
          </w:tcPr>
          <w:p w:rsidR="00F72620" w:rsidRPr="00F063A4" w:rsidRDefault="00F72620" w:rsidP="00186813">
            <w:pPr>
              <w:jc w:val="center"/>
              <w:rPr>
                <w:b/>
              </w:rPr>
            </w:pPr>
          </w:p>
        </w:tc>
        <w:tc>
          <w:tcPr>
            <w:tcW w:w="3960" w:type="dxa"/>
            <w:shd w:val="clear" w:color="auto" w:fill="auto"/>
            <w:vAlign w:val="bottom"/>
          </w:tcPr>
          <w:p w:rsidR="00F72620" w:rsidRPr="00F063A4" w:rsidRDefault="00F72620" w:rsidP="00F72620">
            <w:pPr>
              <w:rPr>
                <w:b/>
              </w:rPr>
            </w:pPr>
            <w:r>
              <w:rPr>
                <w:b/>
              </w:rPr>
              <w:t>Middle level                  95th percentile</w:t>
            </w:r>
          </w:p>
        </w:tc>
      </w:tr>
      <w:tr w:rsidR="007822F7" w:rsidRPr="00F063A4" w:rsidTr="004A788F">
        <w:trPr>
          <w:trHeight w:val="432"/>
        </w:trPr>
        <w:tc>
          <w:tcPr>
            <w:tcW w:w="3420" w:type="dxa"/>
            <w:shd w:val="clear" w:color="auto" w:fill="auto"/>
            <w:vAlign w:val="center"/>
          </w:tcPr>
          <w:p w:rsidR="007822F7" w:rsidRPr="00F063A4" w:rsidRDefault="007822F7" w:rsidP="00B80766">
            <w:r w:rsidRPr="00F063A4">
              <w:t>total PCBs</w:t>
            </w:r>
          </w:p>
        </w:tc>
        <w:tc>
          <w:tcPr>
            <w:tcW w:w="1890" w:type="dxa"/>
            <w:shd w:val="clear" w:color="auto" w:fill="auto"/>
            <w:vAlign w:val="center"/>
          </w:tcPr>
          <w:p w:rsidR="007822F7" w:rsidRPr="00F063A4" w:rsidRDefault="007822F7" w:rsidP="00186813">
            <w:pPr>
              <w:jc w:val="center"/>
            </w:pPr>
          </w:p>
        </w:tc>
        <w:tc>
          <w:tcPr>
            <w:tcW w:w="3960" w:type="dxa"/>
            <w:shd w:val="clear" w:color="auto" w:fill="auto"/>
            <w:vAlign w:val="center"/>
          </w:tcPr>
          <w:p w:rsidR="007822F7" w:rsidRPr="001070EE" w:rsidRDefault="007D3403" w:rsidP="0007580B">
            <w:pPr>
              <w:jc w:val="center"/>
            </w:pPr>
            <w:r>
              <w:t>TBD</w:t>
            </w:r>
            <w:r w:rsidR="0007580B">
              <w:t xml:space="preserve"> </w:t>
            </w:r>
          </w:p>
        </w:tc>
      </w:tr>
      <w:tr w:rsidR="007822F7" w:rsidRPr="00F063A4" w:rsidTr="004A788F">
        <w:trPr>
          <w:trHeight w:val="432"/>
        </w:trPr>
        <w:tc>
          <w:tcPr>
            <w:tcW w:w="3420" w:type="dxa"/>
            <w:shd w:val="clear" w:color="auto" w:fill="auto"/>
            <w:vAlign w:val="center"/>
          </w:tcPr>
          <w:p w:rsidR="007822F7" w:rsidRPr="00F063A4" w:rsidRDefault="007822F7" w:rsidP="00186813">
            <w:r w:rsidRPr="00F063A4">
              <w:t>DDT</w:t>
            </w:r>
          </w:p>
        </w:tc>
        <w:tc>
          <w:tcPr>
            <w:tcW w:w="1890" w:type="dxa"/>
            <w:shd w:val="clear" w:color="auto" w:fill="auto"/>
            <w:vAlign w:val="center"/>
          </w:tcPr>
          <w:p w:rsidR="007822F7" w:rsidRPr="00F063A4" w:rsidRDefault="007822F7" w:rsidP="00186813">
            <w:pPr>
              <w:jc w:val="center"/>
            </w:pPr>
          </w:p>
        </w:tc>
        <w:tc>
          <w:tcPr>
            <w:tcW w:w="3960" w:type="dxa"/>
            <w:shd w:val="clear" w:color="auto" w:fill="auto"/>
            <w:vAlign w:val="center"/>
          </w:tcPr>
          <w:p w:rsidR="007822F7" w:rsidRPr="001070EE" w:rsidRDefault="00F72620" w:rsidP="00F72620">
            <w:r>
              <w:t>&lt; LOD</w:t>
            </w:r>
            <w:r w:rsidR="0007580B">
              <w:t xml:space="preserve"> </w:t>
            </w:r>
            <w:r>
              <w:t xml:space="preserve">                                        </w:t>
            </w:r>
            <w:r w:rsidR="0007580B">
              <w:t>20.7</w:t>
            </w:r>
          </w:p>
        </w:tc>
      </w:tr>
      <w:tr w:rsidR="007822F7" w:rsidRPr="00F063A4" w:rsidTr="004A788F">
        <w:trPr>
          <w:trHeight w:val="432"/>
        </w:trPr>
        <w:tc>
          <w:tcPr>
            <w:tcW w:w="3420" w:type="dxa"/>
            <w:shd w:val="clear" w:color="auto" w:fill="auto"/>
            <w:vAlign w:val="center"/>
          </w:tcPr>
          <w:p w:rsidR="007822F7" w:rsidRPr="00F063A4" w:rsidRDefault="007822F7" w:rsidP="00186813">
            <w:r w:rsidRPr="00F063A4">
              <w:t>DDE</w:t>
            </w:r>
          </w:p>
        </w:tc>
        <w:tc>
          <w:tcPr>
            <w:tcW w:w="1890" w:type="dxa"/>
            <w:shd w:val="clear" w:color="auto" w:fill="auto"/>
            <w:vAlign w:val="center"/>
          </w:tcPr>
          <w:p w:rsidR="007822F7" w:rsidRPr="00F063A4" w:rsidRDefault="007822F7" w:rsidP="00186813">
            <w:pPr>
              <w:jc w:val="center"/>
            </w:pPr>
          </w:p>
        </w:tc>
        <w:tc>
          <w:tcPr>
            <w:tcW w:w="3960" w:type="dxa"/>
            <w:shd w:val="clear" w:color="auto" w:fill="auto"/>
            <w:vAlign w:val="center"/>
          </w:tcPr>
          <w:p w:rsidR="007822F7" w:rsidRPr="001070EE" w:rsidRDefault="00F72620" w:rsidP="00F72620">
            <w:r>
              <w:t xml:space="preserve">   </w:t>
            </w:r>
            <w:r w:rsidR="0007580B">
              <w:t xml:space="preserve">233 </w:t>
            </w:r>
            <w:r>
              <w:t xml:space="preserve">                                        </w:t>
            </w:r>
            <w:r w:rsidR="0007580B">
              <w:t>1990</w:t>
            </w:r>
          </w:p>
        </w:tc>
      </w:tr>
      <w:tr w:rsidR="007822F7" w:rsidRPr="00F063A4" w:rsidTr="004A788F">
        <w:trPr>
          <w:trHeight w:val="432"/>
        </w:trPr>
        <w:tc>
          <w:tcPr>
            <w:tcW w:w="3420" w:type="dxa"/>
            <w:shd w:val="clear" w:color="auto" w:fill="auto"/>
            <w:vAlign w:val="center"/>
          </w:tcPr>
          <w:p w:rsidR="007822F7" w:rsidRPr="00F063A4" w:rsidRDefault="007822F7" w:rsidP="00186813">
            <w:r w:rsidRPr="00F063A4">
              <w:t>hexachlorobenzene (HCB)</w:t>
            </w:r>
          </w:p>
        </w:tc>
        <w:tc>
          <w:tcPr>
            <w:tcW w:w="1890" w:type="dxa"/>
            <w:shd w:val="clear" w:color="auto" w:fill="auto"/>
            <w:vAlign w:val="center"/>
          </w:tcPr>
          <w:p w:rsidR="007822F7" w:rsidRPr="00F063A4" w:rsidRDefault="007822F7" w:rsidP="00186813">
            <w:pPr>
              <w:jc w:val="center"/>
            </w:pPr>
          </w:p>
        </w:tc>
        <w:tc>
          <w:tcPr>
            <w:tcW w:w="3960" w:type="dxa"/>
            <w:shd w:val="clear" w:color="auto" w:fill="auto"/>
            <w:vAlign w:val="center"/>
          </w:tcPr>
          <w:p w:rsidR="007822F7" w:rsidRPr="001070EE" w:rsidRDefault="00F72620" w:rsidP="00F72620">
            <w:r>
              <w:t xml:space="preserve">  </w:t>
            </w:r>
            <w:r w:rsidR="0007580B">
              <w:t xml:space="preserve">15.1 </w:t>
            </w:r>
            <w:r>
              <w:t xml:space="preserve">                                         </w:t>
            </w:r>
            <w:r w:rsidR="0007580B">
              <w:t>29.0</w:t>
            </w:r>
          </w:p>
        </w:tc>
      </w:tr>
      <w:tr w:rsidR="007822F7" w:rsidRPr="00F063A4" w:rsidTr="004A788F">
        <w:trPr>
          <w:trHeight w:val="432"/>
        </w:trPr>
        <w:tc>
          <w:tcPr>
            <w:tcW w:w="3420" w:type="dxa"/>
            <w:shd w:val="clear" w:color="auto" w:fill="auto"/>
            <w:vAlign w:val="center"/>
          </w:tcPr>
          <w:p w:rsidR="007822F7" w:rsidRPr="00F063A4" w:rsidRDefault="00F307EF" w:rsidP="00186813">
            <w:r>
              <w:t>Mirex</w:t>
            </w:r>
          </w:p>
        </w:tc>
        <w:tc>
          <w:tcPr>
            <w:tcW w:w="1890" w:type="dxa"/>
            <w:shd w:val="clear" w:color="auto" w:fill="auto"/>
            <w:vAlign w:val="center"/>
          </w:tcPr>
          <w:p w:rsidR="007822F7" w:rsidRPr="00F063A4" w:rsidRDefault="007822F7" w:rsidP="00186813">
            <w:pPr>
              <w:jc w:val="center"/>
            </w:pPr>
          </w:p>
        </w:tc>
        <w:tc>
          <w:tcPr>
            <w:tcW w:w="3960" w:type="dxa"/>
            <w:shd w:val="clear" w:color="auto" w:fill="auto"/>
            <w:vAlign w:val="center"/>
          </w:tcPr>
          <w:p w:rsidR="007822F7" w:rsidRPr="001070EE" w:rsidRDefault="00F307EF" w:rsidP="00F72620">
            <w:r>
              <w:t>&lt; LOD</w:t>
            </w:r>
            <w:r w:rsidR="00345F08">
              <w:t xml:space="preserve"> </w:t>
            </w:r>
            <w:r w:rsidR="00F72620">
              <w:t xml:space="preserve">                                        </w:t>
            </w:r>
            <w:r w:rsidR="00345F08">
              <w:t>15.4</w:t>
            </w:r>
            <w:r w:rsidR="0007580B">
              <w:t xml:space="preserve"> </w:t>
            </w:r>
          </w:p>
        </w:tc>
      </w:tr>
      <w:tr w:rsidR="007822F7" w:rsidRPr="00F063A4" w:rsidTr="004A788F">
        <w:trPr>
          <w:trHeight w:val="432"/>
        </w:trPr>
        <w:tc>
          <w:tcPr>
            <w:tcW w:w="3420" w:type="dxa"/>
            <w:shd w:val="clear" w:color="auto" w:fill="auto"/>
            <w:vAlign w:val="center"/>
          </w:tcPr>
          <w:p w:rsidR="007822F7" w:rsidRPr="00F063A4" w:rsidRDefault="00EF20CA" w:rsidP="00186813">
            <w:proofErr w:type="spellStart"/>
            <w:r w:rsidRPr="00F063A4">
              <w:t>O</w:t>
            </w:r>
            <w:r w:rsidR="007822F7" w:rsidRPr="00F063A4">
              <w:t>xychlordane</w:t>
            </w:r>
            <w:proofErr w:type="spellEnd"/>
          </w:p>
        </w:tc>
        <w:tc>
          <w:tcPr>
            <w:tcW w:w="1890" w:type="dxa"/>
            <w:shd w:val="clear" w:color="auto" w:fill="auto"/>
            <w:vAlign w:val="center"/>
          </w:tcPr>
          <w:p w:rsidR="007822F7" w:rsidRPr="00F063A4" w:rsidRDefault="007822F7" w:rsidP="00186813">
            <w:pPr>
              <w:jc w:val="center"/>
            </w:pPr>
          </w:p>
        </w:tc>
        <w:tc>
          <w:tcPr>
            <w:tcW w:w="3960" w:type="dxa"/>
            <w:shd w:val="clear" w:color="auto" w:fill="auto"/>
            <w:vAlign w:val="center"/>
          </w:tcPr>
          <w:p w:rsidR="007822F7" w:rsidRPr="001070EE" w:rsidRDefault="00F72620" w:rsidP="00F72620">
            <w:r>
              <w:t xml:space="preserve">  </w:t>
            </w:r>
            <w:r w:rsidR="0007580B">
              <w:t xml:space="preserve">11.4 </w:t>
            </w:r>
            <w:r>
              <w:t xml:space="preserve">                                         </w:t>
            </w:r>
            <w:r w:rsidR="0007580B">
              <w:t xml:space="preserve">39.2 </w:t>
            </w:r>
          </w:p>
        </w:tc>
      </w:tr>
      <w:tr w:rsidR="007822F7" w:rsidRPr="00F063A4" w:rsidTr="004A788F">
        <w:trPr>
          <w:trHeight w:val="432"/>
        </w:trPr>
        <w:tc>
          <w:tcPr>
            <w:tcW w:w="3420" w:type="dxa"/>
            <w:shd w:val="clear" w:color="auto" w:fill="auto"/>
            <w:vAlign w:val="center"/>
          </w:tcPr>
          <w:p w:rsidR="007822F7" w:rsidRPr="00F063A4" w:rsidRDefault="007822F7" w:rsidP="00186813">
            <w:r>
              <w:t>trans-nonachlor</w:t>
            </w:r>
          </w:p>
        </w:tc>
        <w:tc>
          <w:tcPr>
            <w:tcW w:w="1890" w:type="dxa"/>
            <w:shd w:val="clear" w:color="auto" w:fill="auto"/>
            <w:vAlign w:val="center"/>
          </w:tcPr>
          <w:p w:rsidR="007822F7" w:rsidRPr="00F063A4" w:rsidRDefault="007822F7" w:rsidP="00186813">
            <w:pPr>
              <w:jc w:val="center"/>
            </w:pPr>
          </w:p>
        </w:tc>
        <w:tc>
          <w:tcPr>
            <w:tcW w:w="3960" w:type="dxa"/>
            <w:shd w:val="clear" w:color="auto" w:fill="auto"/>
            <w:vAlign w:val="center"/>
          </w:tcPr>
          <w:p w:rsidR="007822F7" w:rsidRPr="001070EE" w:rsidRDefault="00F72620" w:rsidP="00F72620">
            <w:r>
              <w:t xml:space="preserve">  </w:t>
            </w:r>
            <w:r w:rsidR="0007580B">
              <w:t xml:space="preserve">17.3 </w:t>
            </w:r>
            <w:r>
              <w:t xml:space="preserve">                                         </w:t>
            </w:r>
            <w:r w:rsidR="0007580B">
              <w:t xml:space="preserve">74.7  </w:t>
            </w:r>
          </w:p>
        </w:tc>
      </w:tr>
    </w:tbl>
    <w:p w:rsidR="007822F7" w:rsidRDefault="007822F7" w:rsidP="007822F7">
      <w:pPr>
        <w:ind w:left="360" w:hanging="360"/>
      </w:pPr>
    </w:p>
    <w:p w:rsidR="00625871" w:rsidRDefault="00ED17C0" w:rsidP="00D501BF">
      <w:r>
        <w:t xml:space="preserve">* The </w:t>
      </w:r>
      <w:r w:rsidR="00A24BB0">
        <w:t xml:space="preserve">comparison </w:t>
      </w:r>
      <w:r>
        <w:t>values</w:t>
      </w:r>
      <w:r w:rsidR="00625871">
        <w:t xml:space="preserve"> are reported by the National Health and Nutrition Examination Survey (NHANES) conducted by the Centers for Disease Control and Prevention. </w:t>
      </w:r>
    </w:p>
    <w:p w:rsidR="00625871" w:rsidRDefault="00625871" w:rsidP="00D501BF">
      <w:r w:rsidRPr="00625871">
        <w:rPr>
          <w:b/>
        </w:rPr>
        <w:t>Middle level</w:t>
      </w:r>
      <w:r>
        <w:t>: Half the adults tested in the U.S. had a result below this level and half above.</w:t>
      </w:r>
    </w:p>
    <w:p w:rsidR="00ED17C0" w:rsidRDefault="00625871" w:rsidP="00D501BF">
      <w:r w:rsidRPr="00625871">
        <w:rPr>
          <w:b/>
        </w:rPr>
        <w:t>95</w:t>
      </w:r>
      <w:r w:rsidRPr="00625871">
        <w:rPr>
          <w:b/>
          <w:vertAlign w:val="superscript"/>
        </w:rPr>
        <w:t>th</w:t>
      </w:r>
      <w:r w:rsidRPr="00625871">
        <w:rPr>
          <w:b/>
        </w:rPr>
        <w:t xml:space="preserve"> percentile:</w:t>
      </w:r>
      <w:r>
        <w:t xml:space="preserve"> 95% of adults tested in the U.S&gt; had a result below this level. </w:t>
      </w:r>
    </w:p>
    <w:p w:rsidR="00AC4343" w:rsidRDefault="00AC4343" w:rsidP="00D501BF">
      <w:pPr>
        <w:rPr>
          <w:rFonts w:asciiTheme="minorHAnsi" w:eastAsia="Times New Roman" w:hAnsiTheme="minorHAnsi"/>
        </w:rPr>
      </w:pPr>
    </w:p>
    <w:p w:rsidR="007822F7" w:rsidRDefault="00AC4343" w:rsidP="00D501BF">
      <w:r>
        <w:rPr>
          <w:rFonts w:asciiTheme="minorHAnsi" w:eastAsia="Times New Roman" w:hAnsiTheme="minorHAnsi"/>
        </w:rPr>
        <w:t xml:space="preserve">Measurements </w:t>
      </w:r>
      <w:r w:rsidRPr="008279D6">
        <w:rPr>
          <w:rFonts w:asciiTheme="minorHAnsi" w:eastAsia="Times New Roman" w:hAnsiTheme="minorHAnsi"/>
        </w:rPr>
        <w:t xml:space="preserve">are given as </w:t>
      </w:r>
      <w:proofErr w:type="spellStart"/>
      <w:r w:rsidRPr="008279D6">
        <w:rPr>
          <w:rFonts w:asciiTheme="minorHAnsi" w:eastAsia="Times New Roman" w:hAnsiTheme="minorHAnsi"/>
        </w:rPr>
        <w:t>nanogram</w:t>
      </w:r>
      <w:proofErr w:type="spellEnd"/>
      <w:r w:rsidRPr="008279D6">
        <w:rPr>
          <w:rFonts w:asciiTheme="minorHAnsi" w:eastAsia="Times New Roman" w:hAnsiTheme="minorHAnsi"/>
        </w:rPr>
        <w:t xml:space="preserve"> per gram </w:t>
      </w:r>
      <w:r>
        <w:rPr>
          <w:rFonts w:asciiTheme="minorHAnsi" w:eastAsia="Times New Roman" w:hAnsiTheme="minorHAnsi"/>
        </w:rPr>
        <w:t xml:space="preserve">(ng/g) </w:t>
      </w:r>
      <w:r w:rsidRPr="008279D6">
        <w:rPr>
          <w:rFonts w:asciiTheme="minorHAnsi" w:eastAsia="Times New Roman" w:hAnsiTheme="minorHAnsi"/>
        </w:rPr>
        <w:t xml:space="preserve">of lipid.  To give you an idea of the relative size, one </w:t>
      </w:r>
      <w:proofErr w:type="spellStart"/>
      <w:r w:rsidRPr="008279D6">
        <w:rPr>
          <w:rFonts w:asciiTheme="minorHAnsi" w:eastAsia="Times New Roman" w:hAnsiTheme="minorHAnsi"/>
        </w:rPr>
        <w:t>nanogram</w:t>
      </w:r>
      <w:proofErr w:type="spellEnd"/>
      <w:r w:rsidRPr="008279D6">
        <w:rPr>
          <w:rFonts w:asciiTheme="minorHAnsi" w:eastAsia="Times New Roman" w:hAnsiTheme="minorHAnsi"/>
        </w:rPr>
        <w:t xml:space="preserve"> per gram would be like 1 inch in 16 miles, 1 minute in 2 years, or 1 cent in $10,000.</w:t>
      </w:r>
      <w:r>
        <w:rPr>
          <w:rFonts w:asciiTheme="minorHAnsi" w:eastAsia="Times New Roman" w:hAnsiTheme="minorHAnsi"/>
        </w:rPr>
        <w:t xml:space="preserve">  “Of lipid” means that th</w:t>
      </w:r>
      <w:r w:rsidR="007822F7" w:rsidRPr="002418BB">
        <w:t>e level of the chemical reported here takes account of the amount of lipids (fat) in the blood sample.</w:t>
      </w:r>
    </w:p>
    <w:p w:rsidR="00AC4343" w:rsidRPr="002418BB" w:rsidRDefault="00AC4343" w:rsidP="00D501BF"/>
    <w:p w:rsidR="007822F7" w:rsidRPr="00F063A4" w:rsidRDefault="007822F7" w:rsidP="007822F7">
      <w:r w:rsidRPr="00F063A4">
        <w:rPr>
          <w:b/>
        </w:rPr>
        <w:t>UTA:</w:t>
      </w:r>
      <w:r w:rsidRPr="00F063A4">
        <w:t xml:space="preserve"> Unable to analyze.  The lab could not test the blood sample because clots formed or there was not enough blood to do the test.</w:t>
      </w:r>
    </w:p>
    <w:p w:rsidR="007822F7" w:rsidRDefault="007822F7" w:rsidP="007822F7">
      <w:r w:rsidRPr="00F063A4">
        <w:rPr>
          <w:b/>
        </w:rPr>
        <w:t>LOD:</w:t>
      </w:r>
      <w:r w:rsidRPr="00F063A4">
        <w:t xml:space="preserve"> Level of detection.  </w:t>
      </w:r>
      <w:r w:rsidR="00891C8B" w:rsidRPr="006D0072">
        <w:t xml:space="preserve">If your result is reported as “below the limit of detection (LOD)” that means that the level is below </w:t>
      </w:r>
      <w:r w:rsidR="00891C8B">
        <w:t xml:space="preserve">the </w:t>
      </w:r>
      <w:r w:rsidR="00891C8B" w:rsidRPr="006D0072">
        <w:t>level that the laboratory can</w:t>
      </w:r>
      <w:r w:rsidR="00891C8B">
        <w:t xml:space="preserve"> accurately</w:t>
      </w:r>
      <w:r w:rsidR="00891C8B" w:rsidRPr="006D0072">
        <w:t xml:space="preserve"> measure</w:t>
      </w:r>
    </w:p>
    <w:p w:rsidR="00891C8B" w:rsidRPr="00F063A4" w:rsidRDefault="00891C8B" w:rsidP="007822F7"/>
    <w:p w:rsidR="00891C8B" w:rsidRPr="00EC53F3" w:rsidRDefault="00891C8B" w:rsidP="00891C8B">
      <w:pPr>
        <w:rPr>
          <w:b/>
        </w:rPr>
      </w:pPr>
      <w:r w:rsidRPr="00EC53F3">
        <w:rPr>
          <w:b/>
        </w:rPr>
        <w:t>Lipid results</w:t>
      </w:r>
      <w:r>
        <w:rPr>
          <w:b/>
        </w:rPr>
        <w:t>:</w:t>
      </w:r>
    </w:p>
    <w:p w:rsidR="00891C8B" w:rsidRPr="00E27B26" w:rsidRDefault="00891C8B" w:rsidP="00891C8B">
      <w:r w:rsidRPr="00E27B26">
        <w:t xml:space="preserve">If you discuss your </w:t>
      </w:r>
      <w:r>
        <w:t xml:space="preserve">cholesterol </w:t>
      </w:r>
      <w:r w:rsidRPr="00E27B26">
        <w:t>results</w:t>
      </w:r>
      <w:r>
        <w:t xml:space="preserve"> from this report</w:t>
      </w:r>
      <w:r w:rsidRPr="00E27B26">
        <w:t xml:space="preserve"> with your physician, please note that you were not asked to fast before the cholesterol test.</w:t>
      </w:r>
    </w:p>
    <w:p w:rsidR="00891C8B" w:rsidRDefault="00891C8B" w:rsidP="00891C8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1620"/>
        <w:gridCol w:w="1827"/>
        <w:gridCol w:w="1485"/>
      </w:tblGrid>
      <w:tr w:rsidR="00891C8B" w:rsidRPr="00E27B26" w:rsidTr="00652C82">
        <w:trPr>
          <w:trHeight w:val="287"/>
        </w:trPr>
        <w:tc>
          <w:tcPr>
            <w:tcW w:w="2790" w:type="dxa"/>
            <w:vMerge w:val="restart"/>
            <w:vAlign w:val="bottom"/>
          </w:tcPr>
          <w:p w:rsidR="00891C8B" w:rsidRPr="00E27B26" w:rsidRDefault="00891C8B" w:rsidP="00652C82">
            <w:pPr>
              <w:rPr>
                <w:b/>
                <w:bCs/>
              </w:rPr>
            </w:pPr>
            <w:r w:rsidRPr="00E27B26">
              <w:rPr>
                <w:b/>
                <w:bCs/>
              </w:rPr>
              <w:t>Measurement</w:t>
            </w:r>
          </w:p>
        </w:tc>
        <w:tc>
          <w:tcPr>
            <w:tcW w:w="1620" w:type="dxa"/>
            <w:vMerge w:val="restart"/>
            <w:vAlign w:val="bottom"/>
          </w:tcPr>
          <w:p w:rsidR="00891C8B" w:rsidRPr="00E27B26" w:rsidRDefault="00891C8B" w:rsidP="00652C82">
            <w:pPr>
              <w:rPr>
                <w:b/>
                <w:bCs/>
              </w:rPr>
            </w:pPr>
            <w:r w:rsidRPr="00E27B26">
              <w:rPr>
                <w:b/>
                <w:bCs/>
              </w:rPr>
              <w:t>Your results</w:t>
            </w:r>
          </w:p>
        </w:tc>
        <w:tc>
          <w:tcPr>
            <w:tcW w:w="3312" w:type="dxa"/>
            <w:gridSpan w:val="2"/>
            <w:vAlign w:val="bottom"/>
          </w:tcPr>
          <w:p w:rsidR="00891C8B" w:rsidRPr="00E27B26" w:rsidRDefault="00891C8B" w:rsidP="00652C82">
            <w:pPr>
              <w:jc w:val="center"/>
              <w:rPr>
                <w:b/>
                <w:bCs/>
              </w:rPr>
            </w:pPr>
            <w:r w:rsidRPr="00E27B26">
              <w:rPr>
                <w:b/>
                <w:bCs/>
              </w:rPr>
              <w:t>Range*</w:t>
            </w:r>
          </w:p>
        </w:tc>
      </w:tr>
      <w:tr w:rsidR="00891C8B" w:rsidRPr="00E27B26" w:rsidTr="00652C82">
        <w:trPr>
          <w:trHeight w:val="341"/>
        </w:trPr>
        <w:tc>
          <w:tcPr>
            <w:tcW w:w="2790" w:type="dxa"/>
            <w:vMerge/>
            <w:vAlign w:val="bottom"/>
          </w:tcPr>
          <w:p w:rsidR="00891C8B" w:rsidRPr="00E27B26" w:rsidRDefault="00891C8B" w:rsidP="00652C82">
            <w:pPr>
              <w:rPr>
                <w:b/>
                <w:bCs/>
              </w:rPr>
            </w:pPr>
          </w:p>
        </w:tc>
        <w:tc>
          <w:tcPr>
            <w:tcW w:w="1620" w:type="dxa"/>
            <w:vMerge/>
            <w:vAlign w:val="bottom"/>
          </w:tcPr>
          <w:p w:rsidR="00891C8B" w:rsidRPr="00E27B26" w:rsidRDefault="00891C8B" w:rsidP="00652C82">
            <w:pPr>
              <w:rPr>
                <w:b/>
                <w:bCs/>
              </w:rPr>
            </w:pPr>
          </w:p>
        </w:tc>
        <w:tc>
          <w:tcPr>
            <w:tcW w:w="1827" w:type="dxa"/>
            <w:vAlign w:val="bottom"/>
          </w:tcPr>
          <w:p w:rsidR="00891C8B" w:rsidRPr="00E27B26" w:rsidRDefault="00891C8B" w:rsidP="00652C82">
            <w:pPr>
              <w:jc w:val="center"/>
              <w:rPr>
                <w:b/>
                <w:bCs/>
              </w:rPr>
            </w:pPr>
            <w:r w:rsidRPr="00E27B26">
              <w:rPr>
                <w:b/>
                <w:bCs/>
              </w:rPr>
              <w:t>Borderline high</w:t>
            </w:r>
          </w:p>
        </w:tc>
        <w:tc>
          <w:tcPr>
            <w:tcW w:w="1485" w:type="dxa"/>
            <w:vAlign w:val="bottom"/>
          </w:tcPr>
          <w:p w:rsidR="00891C8B" w:rsidRPr="00E27B26" w:rsidRDefault="00891C8B" w:rsidP="00652C82">
            <w:pPr>
              <w:jc w:val="center"/>
              <w:rPr>
                <w:b/>
                <w:bCs/>
              </w:rPr>
            </w:pPr>
            <w:r w:rsidRPr="00E27B26">
              <w:rPr>
                <w:b/>
                <w:bCs/>
              </w:rPr>
              <w:t>High</w:t>
            </w:r>
          </w:p>
        </w:tc>
      </w:tr>
      <w:tr w:rsidR="00891C8B" w:rsidRPr="00E27B26" w:rsidTr="00652C82">
        <w:trPr>
          <w:trHeight w:val="574"/>
        </w:trPr>
        <w:tc>
          <w:tcPr>
            <w:tcW w:w="2790" w:type="dxa"/>
            <w:vAlign w:val="center"/>
          </w:tcPr>
          <w:p w:rsidR="00891C8B" w:rsidRPr="00E27B26" w:rsidRDefault="00891C8B" w:rsidP="00652C82">
            <w:r w:rsidRPr="00E27B26">
              <w:t>Cholesterol (non-fasting)</w:t>
            </w:r>
          </w:p>
        </w:tc>
        <w:tc>
          <w:tcPr>
            <w:tcW w:w="1620" w:type="dxa"/>
            <w:vAlign w:val="center"/>
          </w:tcPr>
          <w:p w:rsidR="00891C8B" w:rsidRPr="00E27B26" w:rsidRDefault="00891C8B" w:rsidP="00652C82"/>
        </w:tc>
        <w:tc>
          <w:tcPr>
            <w:tcW w:w="1827" w:type="dxa"/>
            <w:vAlign w:val="center"/>
          </w:tcPr>
          <w:p w:rsidR="00891C8B" w:rsidRPr="00E27B26" w:rsidRDefault="00891C8B" w:rsidP="00652C82">
            <w:pPr>
              <w:jc w:val="center"/>
            </w:pPr>
            <w:r w:rsidRPr="00E27B26">
              <w:t>200-239 mg/</w:t>
            </w:r>
            <w:proofErr w:type="spellStart"/>
            <w:r w:rsidRPr="00E27B26">
              <w:t>dL</w:t>
            </w:r>
            <w:proofErr w:type="spellEnd"/>
          </w:p>
        </w:tc>
        <w:tc>
          <w:tcPr>
            <w:tcW w:w="1485" w:type="dxa"/>
            <w:vAlign w:val="center"/>
          </w:tcPr>
          <w:p w:rsidR="00891C8B" w:rsidRPr="00E27B26" w:rsidRDefault="00891C8B" w:rsidP="00652C82">
            <w:pPr>
              <w:jc w:val="center"/>
            </w:pPr>
            <w:r w:rsidRPr="00E27B26">
              <w:t>&gt;240 mg/dl</w:t>
            </w:r>
          </w:p>
        </w:tc>
      </w:tr>
      <w:tr w:rsidR="00891C8B" w:rsidRPr="00E27B26" w:rsidTr="00652C82">
        <w:trPr>
          <w:trHeight w:val="574"/>
        </w:trPr>
        <w:tc>
          <w:tcPr>
            <w:tcW w:w="2790" w:type="dxa"/>
            <w:vAlign w:val="center"/>
          </w:tcPr>
          <w:p w:rsidR="00891C8B" w:rsidRPr="00E27B26" w:rsidRDefault="00891C8B" w:rsidP="00652C82">
            <w:r w:rsidRPr="00E27B26">
              <w:lastRenderedPageBreak/>
              <w:t>Triglycerides</w:t>
            </w:r>
          </w:p>
        </w:tc>
        <w:tc>
          <w:tcPr>
            <w:tcW w:w="1620" w:type="dxa"/>
            <w:vAlign w:val="center"/>
          </w:tcPr>
          <w:p w:rsidR="00891C8B" w:rsidRPr="00E27B26" w:rsidRDefault="00891C8B" w:rsidP="00652C82"/>
        </w:tc>
        <w:tc>
          <w:tcPr>
            <w:tcW w:w="1827" w:type="dxa"/>
            <w:vAlign w:val="center"/>
          </w:tcPr>
          <w:p w:rsidR="00891C8B" w:rsidRPr="00E27B26" w:rsidRDefault="00891C8B" w:rsidP="00652C82">
            <w:pPr>
              <w:jc w:val="center"/>
            </w:pPr>
            <w:r w:rsidRPr="00E27B26">
              <w:t>150-199 mg/</w:t>
            </w:r>
            <w:proofErr w:type="spellStart"/>
            <w:r w:rsidRPr="00E27B26">
              <w:t>dL</w:t>
            </w:r>
            <w:proofErr w:type="spellEnd"/>
          </w:p>
        </w:tc>
        <w:tc>
          <w:tcPr>
            <w:tcW w:w="1485" w:type="dxa"/>
            <w:vAlign w:val="center"/>
          </w:tcPr>
          <w:p w:rsidR="00891C8B" w:rsidRPr="00E27B26" w:rsidRDefault="00891C8B" w:rsidP="00652C82">
            <w:pPr>
              <w:jc w:val="center"/>
            </w:pPr>
            <w:r w:rsidRPr="00E27B26">
              <w:t>200-499 mg/</w:t>
            </w:r>
            <w:proofErr w:type="spellStart"/>
            <w:r w:rsidRPr="00E27B26">
              <w:t>dL</w:t>
            </w:r>
            <w:proofErr w:type="spellEnd"/>
          </w:p>
        </w:tc>
      </w:tr>
    </w:tbl>
    <w:p w:rsidR="00891C8B" w:rsidRDefault="00891C8B" w:rsidP="00891C8B">
      <w:pPr>
        <w:ind w:left="360" w:right="720" w:hanging="360"/>
      </w:pPr>
    </w:p>
    <w:p w:rsidR="00891C8B" w:rsidRPr="00E27B26" w:rsidRDefault="00891C8B" w:rsidP="00891C8B">
      <w:pPr>
        <w:ind w:left="360" w:right="720" w:hanging="360"/>
      </w:pPr>
      <w:r>
        <w:t>*</w:t>
      </w:r>
      <w:r w:rsidRPr="00E27B26">
        <w:t>The range of levels in adults from the American Heart Association.</w:t>
      </w:r>
    </w:p>
    <w:p w:rsidR="00891C8B" w:rsidRDefault="00891C8B" w:rsidP="00891C8B">
      <w:r>
        <w:t xml:space="preserve">Cholesterol and triglycerides </w:t>
      </w:r>
      <w:r w:rsidRPr="006D0072">
        <w:t xml:space="preserve">in blood are reported in </w:t>
      </w:r>
      <w:r w:rsidRPr="00990466">
        <w:rPr>
          <w:i/>
        </w:rPr>
        <w:t>micro</w:t>
      </w:r>
      <w:r w:rsidRPr="006D0072">
        <w:t>grams per deciliter (µg/</w:t>
      </w:r>
      <w:proofErr w:type="spellStart"/>
      <w:r w:rsidRPr="006D0072">
        <w:t>dL</w:t>
      </w:r>
      <w:proofErr w:type="spellEnd"/>
      <w:r>
        <w:t xml:space="preserve">) </w:t>
      </w:r>
    </w:p>
    <w:p w:rsidR="00891C8B" w:rsidRDefault="00891C8B" w:rsidP="00891C8B"/>
    <w:p w:rsidR="007822F7" w:rsidRPr="00F063A4" w:rsidRDefault="007822F7" w:rsidP="007822F7">
      <w:r w:rsidRPr="00F063A4">
        <w:t>If you would like more information about any of these tests please call XXX-XXX-XXXX and ask for ___________________.</w:t>
      </w:r>
    </w:p>
    <w:p w:rsidR="007822F7" w:rsidRDefault="007822F7" w:rsidP="007822F7"/>
    <w:p w:rsidR="007822F7" w:rsidRDefault="007822F7" w:rsidP="007822F7"/>
    <w:p w:rsidR="00626A53" w:rsidRDefault="007822F7">
      <w:r>
        <w:t>Tests</w:t>
      </w:r>
      <w:r w:rsidRPr="00F063A4">
        <w:t xml:space="preserve"> were performed by the Wadsworth Center, New York State Department of Health.</w:t>
      </w:r>
      <w:bookmarkStart w:id="3" w:name="_GoBack"/>
      <w:bookmarkEnd w:id="3"/>
    </w:p>
    <w:sectPr w:rsidR="00626A53" w:rsidSect="00463524">
      <w:headerReference w:type="default" r:id="rId26"/>
      <w:footerReference w:type="default" r:id="rId27"/>
      <w:headerReference w:type="first" r:id="rId28"/>
      <w:footerReference w:type="first" r:id="rId2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989" w:rsidRDefault="00463524">
      <w:r>
        <w:separator/>
      </w:r>
    </w:p>
  </w:endnote>
  <w:endnote w:type="continuationSeparator" w:id="0">
    <w:p w:rsidR="00955989" w:rsidRDefault="00463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BB0" w:rsidRPr="00A334C7" w:rsidRDefault="00463524" w:rsidP="00A334C7">
    <w:pPr>
      <w:pStyle w:val="Footer"/>
      <w:jc w:val="center"/>
    </w:pPr>
    <w:r>
      <w:rPr>
        <w:noProof/>
      </w:rPr>
      <w:drawing>
        <wp:inline distT="0" distB="0" distL="0" distR="0" wp14:anchorId="3F983C5D" wp14:editId="4E509865">
          <wp:extent cx="1041400" cy="330200"/>
          <wp:effectExtent l="0" t="0" r="6350" b="0"/>
          <wp:docPr id="7" name="Picture 7" descr="Foote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oter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33020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BB0" w:rsidRDefault="00A24BB0" w:rsidP="00AC1AB6">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4B8" w:rsidRPr="00A334C7" w:rsidRDefault="00AF2430" w:rsidP="00A334C7">
    <w:pPr>
      <w:pStyle w:val="Foot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82pt;height:26pt">
          <v:imagedata r:id="rId1" o:title="FooterWMF"/>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4B8" w:rsidRDefault="00AF2430" w:rsidP="00AC1AB6">
    <w:pPr>
      <w:pStyle w:val="Foot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82pt;height:26pt">
          <v:imagedata r:id="rId1" o:title="FooterWMF"/>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989" w:rsidRDefault="00463524">
      <w:r>
        <w:separator/>
      </w:r>
    </w:p>
  </w:footnote>
  <w:footnote w:type="continuationSeparator" w:id="0">
    <w:p w:rsidR="00955989" w:rsidRDefault="00463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4B8" w:rsidRDefault="00087E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4B8" w:rsidRDefault="00087E9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9" type="#_x0000_t75" alt="Footer" style="width:468pt;height:1in;visibility:visible">
          <v:imagedata r:id="rId1" o:title="Foo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10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2F7"/>
    <w:rsid w:val="00024D1B"/>
    <w:rsid w:val="0002690E"/>
    <w:rsid w:val="0007580B"/>
    <w:rsid w:val="00087E91"/>
    <w:rsid w:val="000A085F"/>
    <w:rsid w:val="000B73B2"/>
    <w:rsid w:val="000D378A"/>
    <w:rsid w:val="00186813"/>
    <w:rsid w:val="001E57D8"/>
    <w:rsid w:val="002639C2"/>
    <w:rsid w:val="00292D1C"/>
    <w:rsid w:val="002A6721"/>
    <w:rsid w:val="0034097C"/>
    <w:rsid w:val="00345F08"/>
    <w:rsid w:val="003A7999"/>
    <w:rsid w:val="003B0C79"/>
    <w:rsid w:val="00454330"/>
    <w:rsid w:val="00463524"/>
    <w:rsid w:val="004A788F"/>
    <w:rsid w:val="00541811"/>
    <w:rsid w:val="005521D4"/>
    <w:rsid w:val="005E34C1"/>
    <w:rsid w:val="00625871"/>
    <w:rsid w:val="00626A53"/>
    <w:rsid w:val="00633CB2"/>
    <w:rsid w:val="006D5B8C"/>
    <w:rsid w:val="007000DC"/>
    <w:rsid w:val="007822F7"/>
    <w:rsid w:val="00790C94"/>
    <w:rsid w:val="007D3403"/>
    <w:rsid w:val="007E6C4A"/>
    <w:rsid w:val="00820E01"/>
    <w:rsid w:val="008279D6"/>
    <w:rsid w:val="00891C8B"/>
    <w:rsid w:val="008A198D"/>
    <w:rsid w:val="008E748E"/>
    <w:rsid w:val="008F2BE5"/>
    <w:rsid w:val="00901E93"/>
    <w:rsid w:val="00912612"/>
    <w:rsid w:val="00955989"/>
    <w:rsid w:val="00993158"/>
    <w:rsid w:val="00A24BB0"/>
    <w:rsid w:val="00A478B6"/>
    <w:rsid w:val="00A57E91"/>
    <w:rsid w:val="00A72CE9"/>
    <w:rsid w:val="00AA27E6"/>
    <w:rsid w:val="00AA53D4"/>
    <w:rsid w:val="00AC4343"/>
    <w:rsid w:val="00AD4FD2"/>
    <w:rsid w:val="00AD5255"/>
    <w:rsid w:val="00AF2430"/>
    <w:rsid w:val="00AF2FE4"/>
    <w:rsid w:val="00B67743"/>
    <w:rsid w:val="00B80766"/>
    <w:rsid w:val="00B90185"/>
    <w:rsid w:val="00B92407"/>
    <w:rsid w:val="00BB680F"/>
    <w:rsid w:val="00BE2808"/>
    <w:rsid w:val="00C3681E"/>
    <w:rsid w:val="00CD3166"/>
    <w:rsid w:val="00D31DB6"/>
    <w:rsid w:val="00D42E89"/>
    <w:rsid w:val="00D501BF"/>
    <w:rsid w:val="00DB56BC"/>
    <w:rsid w:val="00EA3CA1"/>
    <w:rsid w:val="00EB3408"/>
    <w:rsid w:val="00ED17C0"/>
    <w:rsid w:val="00ED3BA7"/>
    <w:rsid w:val="00EF20CA"/>
    <w:rsid w:val="00F307EF"/>
    <w:rsid w:val="00F72620"/>
    <w:rsid w:val="00FB6CA2"/>
    <w:rsid w:val="00FE5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22F7"/>
    <w:rPr>
      <w:rFonts w:ascii="Calibri" w:eastAsia="Calibri" w:hAnsi="Calibri"/>
      <w:sz w:val="24"/>
      <w:szCs w:val="24"/>
    </w:rPr>
  </w:style>
  <w:style w:type="paragraph" w:styleId="Heading1">
    <w:name w:val="heading 1"/>
    <w:basedOn w:val="Normal"/>
    <w:next w:val="Normal"/>
    <w:link w:val="Heading1Char"/>
    <w:qFormat/>
    <w:rsid w:val="007822F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LTables">
    <w:name w:val="GL Tables"/>
    <w:basedOn w:val="Heading1"/>
    <w:link w:val="GLTablesChar"/>
    <w:qFormat/>
    <w:rsid w:val="007822F7"/>
    <w:pPr>
      <w:keepLines w:val="0"/>
      <w:spacing w:before="0"/>
    </w:pPr>
    <w:rPr>
      <w:rFonts w:ascii="Calibri" w:eastAsia="Times New Roman" w:hAnsi="Calibri" w:cs="Times New Roman"/>
      <w:b w:val="0"/>
      <w:color w:val="auto"/>
      <w:kern w:val="32"/>
      <w:sz w:val="24"/>
      <w:szCs w:val="32"/>
      <w:lang w:val="x-none" w:eastAsia="x-none"/>
    </w:rPr>
  </w:style>
  <w:style w:type="character" w:customStyle="1" w:styleId="GLTablesChar">
    <w:name w:val="GL Tables Char"/>
    <w:link w:val="GLTables"/>
    <w:rsid w:val="007822F7"/>
    <w:rPr>
      <w:rFonts w:ascii="Calibri" w:hAnsi="Calibri"/>
      <w:bCs/>
      <w:kern w:val="32"/>
      <w:sz w:val="24"/>
      <w:szCs w:val="32"/>
      <w:lang w:val="x-none" w:eastAsia="x-none"/>
    </w:rPr>
  </w:style>
  <w:style w:type="character" w:customStyle="1" w:styleId="Heading1Char">
    <w:name w:val="Heading 1 Char"/>
    <w:basedOn w:val="DefaultParagraphFont"/>
    <w:link w:val="Heading1"/>
    <w:rsid w:val="007822F7"/>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rsid w:val="007822F7"/>
    <w:rPr>
      <w:rFonts w:ascii="Tahoma" w:hAnsi="Tahoma" w:cs="Tahoma"/>
      <w:sz w:val="16"/>
      <w:szCs w:val="16"/>
    </w:rPr>
  </w:style>
  <w:style w:type="character" w:customStyle="1" w:styleId="BalloonTextChar">
    <w:name w:val="Balloon Text Char"/>
    <w:basedOn w:val="DefaultParagraphFont"/>
    <w:link w:val="BalloonText"/>
    <w:rsid w:val="007822F7"/>
    <w:rPr>
      <w:rFonts w:ascii="Tahoma" w:eastAsia="Calibri" w:hAnsi="Tahoma" w:cs="Tahoma"/>
      <w:sz w:val="16"/>
      <w:szCs w:val="16"/>
    </w:rPr>
  </w:style>
  <w:style w:type="character" w:styleId="Strong">
    <w:name w:val="Strong"/>
    <w:basedOn w:val="DefaultParagraphFont"/>
    <w:uiPriority w:val="22"/>
    <w:qFormat/>
    <w:rsid w:val="003A7999"/>
    <w:rPr>
      <w:b/>
      <w:bCs/>
    </w:rPr>
  </w:style>
  <w:style w:type="character" w:styleId="CommentReference">
    <w:name w:val="annotation reference"/>
    <w:basedOn w:val="DefaultParagraphFont"/>
    <w:rsid w:val="00FE57F4"/>
    <w:rPr>
      <w:sz w:val="16"/>
      <w:szCs w:val="16"/>
    </w:rPr>
  </w:style>
  <w:style w:type="paragraph" w:styleId="CommentText">
    <w:name w:val="annotation text"/>
    <w:basedOn w:val="Normal"/>
    <w:link w:val="CommentTextChar"/>
    <w:rsid w:val="00FE57F4"/>
    <w:rPr>
      <w:sz w:val="20"/>
      <w:szCs w:val="20"/>
    </w:rPr>
  </w:style>
  <w:style w:type="character" w:customStyle="1" w:styleId="CommentTextChar">
    <w:name w:val="Comment Text Char"/>
    <w:basedOn w:val="DefaultParagraphFont"/>
    <w:link w:val="CommentText"/>
    <w:rsid w:val="00FE57F4"/>
    <w:rPr>
      <w:rFonts w:ascii="Calibri" w:eastAsia="Calibri" w:hAnsi="Calibri"/>
    </w:rPr>
  </w:style>
  <w:style w:type="paragraph" w:styleId="CommentSubject">
    <w:name w:val="annotation subject"/>
    <w:basedOn w:val="CommentText"/>
    <w:next w:val="CommentText"/>
    <w:link w:val="CommentSubjectChar"/>
    <w:rsid w:val="00FE57F4"/>
    <w:rPr>
      <w:b/>
      <w:bCs/>
    </w:rPr>
  </w:style>
  <w:style w:type="character" w:customStyle="1" w:styleId="CommentSubjectChar">
    <w:name w:val="Comment Subject Char"/>
    <w:basedOn w:val="CommentTextChar"/>
    <w:link w:val="CommentSubject"/>
    <w:rsid w:val="00FE57F4"/>
    <w:rPr>
      <w:rFonts w:ascii="Calibri" w:eastAsia="Calibri" w:hAnsi="Calibri"/>
      <w:b/>
      <w:bCs/>
    </w:rPr>
  </w:style>
  <w:style w:type="paragraph" w:styleId="Header">
    <w:name w:val="header"/>
    <w:basedOn w:val="Normal"/>
    <w:link w:val="HeaderChar"/>
    <w:rsid w:val="00CD3166"/>
    <w:pPr>
      <w:tabs>
        <w:tab w:val="center" w:pos="4320"/>
        <w:tab w:val="right" w:pos="8640"/>
      </w:tabs>
    </w:pPr>
    <w:rPr>
      <w:rFonts w:ascii="Times New Roman" w:eastAsia="Times New Roman" w:hAnsi="Times New Roman"/>
    </w:rPr>
  </w:style>
  <w:style w:type="character" w:customStyle="1" w:styleId="HeaderChar">
    <w:name w:val="Header Char"/>
    <w:basedOn w:val="DefaultParagraphFont"/>
    <w:link w:val="Header"/>
    <w:rsid w:val="00CD3166"/>
    <w:rPr>
      <w:sz w:val="24"/>
      <w:szCs w:val="24"/>
    </w:rPr>
  </w:style>
  <w:style w:type="paragraph" w:styleId="Footer">
    <w:name w:val="footer"/>
    <w:basedOn w:val="Normal"/>
    <w:link w:val="FooterChar"/>
    <w:rsid w:val="00CD3166"/>
    <w:pPr>
      <w:tabs>
        <w:tab w:val="center" w:pos="4320"/>
        <w:tab w:val="right" w:pos="8640"/>
      </w:tabs>
    </w:pPr>
    <w:rPr>
      <w:rFonts w:ascii="Times New Roman" w:eastAsia="Times New Roman" w:hAnsi="Times New Roman"/>
    </w:rPr>
  </w:style>
  <w:style w:type="character" w:customStyle="1" w:styleId="FooterChar">
    <w:name w:val="Footer Char"/>
    <w:basedOn w:val="DefaultParagraphFont"/>
    <w:link w:val="Footer"/>
    <w:rsid w:val="00CD3166"/>
    <w:rPr>
      <w:sz w:val="24"/>
      <w:szCs w:val="24"/>
    </w:rPr>
  </w:style>
  <w:style w:type="character" w:styleId="Hyperlink">
    <w:name w:val="Hyperlink"/>
    <w:uiPriority w:val="99"/>
    <w:unhideWhenUsed/>
    <w:rsid w:val="00CD3166"/>
    <w:rPr>
      <w:color w:val="0000FF"/>
      <w:u w:val="single"/>
    </w:rPr>
  </w:style>
  <w:style w:type="paragraph" w:styleId="NoSpacing">
    <w:name w:val="No Spacing"/>
    <w:basedOn w:val="Normal"/>
    <w:uiPriority w:val="1"/>
    <w:qFormat/>
    <w:rsid w:val="008279D6"/>
    <w:rPr>
      <w:rFonts w:asciiTheme="minorHAnsi" w:eastAsiaTheme="minorHAnsi" w:hAnsiTheme="minorHAnsi"/>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22F7"/>
    <w:rPr>
      <w:rFonts w:ascii="Calibri" w:eastAsia="Calibri" w:hAnsi="Calibri"/>
      <w:sz w:val="24"/>
      <w:szCs w:val="24"/>
    </w:rPr>
  </w:style>
  <w:style w:type="paragraph" w:styleId="Heading1">
    <w:name w:val="heading 1"/>
    <w:basedOn w:val="Normal"/>
    <w:next w:val="Normal"/>
    <w:link w:val="Heading1Char"/>
    <w:qFormat/>
    <w:rsid w:val="007822F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LTables">
    <w:name w:val="GL Tables"/>
    <w:basedOn w:val="Heading1"/>
    <w:link w:val="GLTablesChar"/>
    <w:qFormat/>
    <w:rsid w:val="007822F7"/>
    <w:pPr>
      <w:keepLines w:val="0"/>
      <w:spacing w:before="0"/>
    </w:pPr>
    <w:rPr>
      <w:rFonts w:ascii="Calibri" w:eastAsia="Times New Roman" w:hAnsi="Calibri" w:cs="Times New Roman"/>
      <w:b w:val="0"/>
      <w:color w:val="auto"/>
      <w:kern w:val="32"/>
      <w:sz w:val="24"/>
      <w:szCs w:val="32"/>
      <w:lang w:val="x-none" w:eastAsia="x-none"/>
    </w:rPr>
  </w:style>
  <w:style w:type="character" w:customStyle="1" w:styleId="GLTablesChar">
    <w:name w:val="GL Tables Char"/>
    <w:link w:val="GLTables"/>
    <w:rsid w:val="007822F7"/>
    <w:rPr>
      <w:rFonts w:ascii="Calibri" w:hAnsi="Calibri"/>
      <w:bCs/>
      <w:kern w:val="32"/>
      <w:sz w:val="24"/>
      <w:szCs w:val="32"/>
      <w:lang w:val="x-none" w:eastAsia="x-none"/>
    </w:rPr>
  </w:style>
  <w:style w:type="character" w:customStyle="1" w:styleId="Heading1Char">
    <w:name w:val="Heading 1 Char"/>
    <w:basedOn w:val="DefaultParagraphFont"/>
    <w:link w:val="Heading1"/>
    <w:rsid w:val="007822F7"/>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rsid w:val="007822F7"/>
    <w:rPr>
      <w:rFonts w:ascii="Tahoma" w:hAnsi="Tahoma" w:cs="Tahoma"/>
      <w:sz w:val="16"/>
      <w:szCs w:val="16"/>
    </w:rPr>
  </w:style>
  <w:style w:type="character" w:customStyle="1" w:styleId="BalloonTextChar">
    <w:name w:val="Balloon Text Char"/>
    <w:basedOn w:val="DefaultParagraphFont"/>
    <w:link w:val="BalloonText"/>
    <w:rsid w:val="007822F7"/>
    <w:rPr>
      <w:rFonts w:ascii="Tahoma" w:eastAsia="Calibri" w:hAnsi="Tahoma" w:cs="Tahoma"/>
      <w:sz w:val="16"/>
      <w:szCs w:val="16"/>
    </w:rPr>
  </w:style>
  <w:style w:type="character" w:styleId="Strong">
    <w:name w:val="Strong"/>
    <w:basedOn w:val="DefaultParagraphFont"/>
    <w:uiPriority w:val="22"/>
    <w:qFormat/>
    <w:rsid w:val="003A7999"/>
    <w:rPr>
      <w:b/>
      <w:bCs/>
    </w:rPr>
  </w:style>
  <w:style w:type="character" w:styleId="CommentReference">
    <w:name w:val="annotation reference"/>
    <w:basedOn w:val="DefaultParagraphFont"/>
    <w:rsid w:val="00FE57F4"/>
    <w:rPr>
      <w:sz w:val="16"/>
      <w:szCs w:val="16"/>
    </w:rPr>
  </w:style>
  <w:style w:type="paragraph" w:styleId="CommentText">
    <w:name w:val="annotation text"/>
    <w:basedOn w:val="Normal"/>
    <w:link w:val="CommentTextChar"/>
    <w:rsid w:val="00FE57F4"/>
    <w:rPr>
      <w:sz w:val="20"/>
      <w:szCs w:val="20"/>
    </w:rPr>
  </w:style>
  <w:style w:type="character" w:customStyle="1" w:styleId="CommentTextChar">
    <w:name w:val="Comment Text Char"/>
    <w:basedOn w:val="DefaultParagraphFont"/>
    <w:link w:val="CommentText"/>
    <w:rsid w:val="00FE57F4"/>
    <w:rPr>
      <w:rFonts w:ascii="Calibri" w:eastAsia="Calibri" w:hAnsi="Calibri"/>
    </w:rPr>
  </w:style>
  <w:style w:type="paragraph" w:styleId="CommentSubject">
    <w:name w:val="annotation subject"/>
    <w:basedOn w:val="CommentText"/>
    <w:next w:val="CommentText"/>
    <w:link w:val="CommentSubjectChar"/>
    <w:rsid w:val="00FE57F4"/>
    <w:rPr>
      <w:b/>
      <w:bCs/>
    </w:rPr>
  </w:style>
  <w:style w:type="character" w:customStyle="1" w:styleId="CommentSubjectChar">
    <w:name w:val="Comment Subject Char"/>
    <w:basedOn w:val="CommentTextChar"/>
    <w:link w:val="CommentSubject"/>
    <w:rsid w:val="00FE57F4"/>
    <w:rPr>
      <w:rFonts w:ascii="Calibri" w:eastAsia="Calibri" w:hAnsi="Calibri"/>
      <w:b/>
      <w:bCs/>
    </w:rPr>
  </w:style>
  <w:style w:type="paragraph" w:styleId="Header">
    <w:name w:val="header"/>
    <w:basedOn w:val="Normal"/>
    <w:link w:val="HeaderChar"/>
    <w:rsid w:val="00CD3166"/>
    <w:pPr>
      <w:tabs>
        <w:tab w:val="center" w:pos="4320"/>
        <w:tab w:val="right" w:pos="8640"/>
      </w:tabs>
    </w:pPr>
    <w:rPr>
      <w:rFonts w:ascii="Times New Roman" w:eastAsia="Times New Roman" w:hAnsi="Times New Roman"/>
    </w:rPr>
  </w:style>
  <w:style w:type="character" w:customStyle="1" w:styleId="HeaderChar">
    <w:name w:val="Header Char"/>
    <w:basedOn w:val="DefaultParagraphFont"/>
    <w:link w:val="Header"/>
    <w:rsid w:val="00CD3166"/>
    <w:rPr>
      <w:sz w:val="24"/>
      <w:szCs w:val="24"/>
    </w:rPr>
  </w:style>
  <w:style w:type="paragraph" w:styleId="Footer">
    <w:name w:val="footer"/>
    <w:basedOn w:val="Normal"/>
    <w:link w:val="FooterChar"/>
    <w:rsid w:val="00CD3166"/>
    <w:pPr>
      <w:tabs>
        <w:tab w:val="center" w:pos="4320"/>
        <w:tab w:val="right" w:pos="8640"/>
      </w:tabs>
    </w:pPr>
    <w:rPr>
      <w:rFonts w:ascii="Times New Roman" w:eastAsia="Times New Roman" w:hAnsi="Times New Roman"/>
    </w:rPr>
  </w:style>
  <w:style w:type="character" w:customStyle="1" w:styleId="FooterChar">
    <w:name w:val="Footer Char"/>
    <w:basedOn w:val="DefaultParagraphFont"/>
    <w:link w:val="Footer"/>
    <w:rsid w:val="00CD3166"/>
    <w:rPr>
      <w:sz w:val="24"/>
      <w:szCs w:val="24"/>
    </w:rPr>
  </w:style>
  <w:style w:type="character" w:styleId="Hyperlink">
    <w:name w:val="Hyperlink"/>
    <w:uiPriority w:val="99"/>
    <w:unhideWhenUsed/>
    <w:rsid w:val="00CD3166"/>
    <w:rPr>
      <w:color w:val="0000FF"/>
      <w:u w:val="single"/>
    </w:rPr>
  </w:style>
  <w:style w:type="paragraph" w:styleId="NoSpacing">
    <w:name w:val="No Spacing"/>
    <w:basedOn w:val="Normal"/>
    <w:uiPriority w:val="1"/>
    <w:qFormat/>
    <w:rsid w:val="008279D6"/>
    <w:rPr>
      <w:rFonts w:asciiTheme="minorHAnsi" w:eastAsiaTheme="minorHAnsi" w:hAnsiTheme="minorHAnsi"/>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272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nceh/lead/ACCLPP/acclpp_main.htm" TargetMode="External"/><Relationship Id="rId13" Type="http://schemas.openxmlformats.org/officeDocument/2006/relationships/hyperlink" Target="http://www.cdc.gov/exposurereport/" TargetMode="External"/><Relationship Id="rId18" Type="http://schemas.openxmlformats.org/officeDocument/2006/relationships/hyperlink" Target="http://www.health.ny.gov/environmental/lead/"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health.ny.gov/environmental/chemicals/hsees/mercury/mercury_exposure_levels.htm" TargetMode="External"/><Relationship Id="rId7" Type="http://schemas.openxmlformats.org/officeDocument/2006/relationships/image" Target="media/image1.wmf"/><Relationship Id="rId12" Type="http://schemas.openxmlformats.org/officeDocument/2006/relationships/hyperlink" Target="http://www.cdc.gov/nceh/lead/ACCLPP/acclpp_main.htm" TargetMode="External"/><Relationship Id="rId17" Type="http://schemas.openxmlformats.org/officeDocument/2006/relationships/hyperlink" Target="http://www.health.ny.gov/environmental/workplace/heavy_metals_registry/lead.htm" TargetMode="External"/><Relationship Id="rId25"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hyperlink" Target="http://www.health.ny.gov/environmental/outdoors/fish/health_advisories/gl_biomonitoring.htm" TargetMode="External"/><Relationship Id="rId20" Type="http://schemas.openxmlformats.org/officeDocument/2006/relationships/hyperlink" Target="http://www.health.ny.gov/environmental/workplace/heavy_metals_registry/cadmium.htm" TargetMode="External"/><Relationship Id="rId29" Type="http://schemas.openxmlformats.org/officeDocument/2006/relationships/footer" Target="footer4.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health.ny.gov/environmental/workplace/heavy_metals_registry/index.htm"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health.ny.gov/environmental/workplace/heavy_metals_registry/index.htm" TargetMode="External"/><Relationship Id="rId23" Type="http://schemas.openxmlformats.org/officeDocument/2006/relationships/hyperlink" Target="http://www.health.ny.gov/environmental/outdoors/fish/health_advisories/gl_biomonitoring.htm" TargetMode="External"/><Relationship Id="rId28" Type="http://schemas.openxmlformats.org/officeDocument/2006/relationships/header" Target="header2.xml"/><Relationship Id="rId10" Type="http://schemas.openxmlformats.org/officeDocument/2006/relationships/hyperlink" Target="http://www.nyc.gov/html/doh/html/data/nyc-hanes.shtml" TargetMode="External"/><Relationship Id="rId19" Type="http://schemas.openxmlformats.org/officeDocument/2006/relationships/hyperlink" Target="http://www2.epa.gov/lead/protect-your-family"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dc.gov/exposurereport/" TargetMode="External"/><Relationship Id="rId14" Type="http://schemas.openxmlformats.org/officeDocument/2006/relationships/hyperlink" Target="http://www.nyc.gov/html/doh/html/data/nyc-hanes.shtml" TargetMode="External"/><Relationship Id="rId22" Type="http://schemas.openxmlformats.org/officeDocument/2006/relationships/hyperlink" Target="http://www.health.state.ny.us/environmental/outdoors/fish/fish.htm" TargetMode="External"/><Relationship Id="rId27" Type="http://schemas.openxmlformats.org/officeDocument/2006/relationships/footer" Target="footer3.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1" Type="http://schemas.openxmlformats.org/officeDocument/2006/relationships/image" Target="media/image3.emf"/></Relationships>
</file>

<file path=word/_rels/footer4.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9</Pages>
  <Words>1762</Words>
  <Characters>11262</Characters>
  <Application>Microsoft Office Word</Application>
  <DocSecurity>0</DocSecurity>
  <Lines>93</Lines>
  <Paragraphs>25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Irvin-Barnwell, Elizabeth (ATSDR/DHS/HIBR)</dc:creator>
  <cp:lastModifiedBy>CDC User</cp:lastModifiedBy>
  <cp:revision>41</cp:revision>
  <cp:lastPrinted>2014-10-24T16:58:00Z</cp:lastPrinted>
  <dcterms:created xsi:type="dcterms:W3CDTF">2014-10-23T01:19:00Z</dcterms:created>
  <dcterms:modified xsi:type="dcterms:W3CDTF">2014-10-24T17:04:00Z</dcterms:modified>
</cp:coreProperties>
</file>