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542A2" w14:textId="77777777" w:rsidR="00527A26" w:rsidRPr="0072690B" w:rsidRDefault="00527A26" w:rsidP="00464AB6">
      <w:pPr>
        <w:pStyle w:val="Body1"/>
        <w:rPr>
          <w:szCs w:val="24"/>
        </w:rPr>
      </w:pPr>
    </w:p>
    <w:p w14:paraId="3E9A18F8" w14:textId="77777777" w:rsidR="00527A26" w:rsidRPr="0072690B" w:rsidRDefault="00527A26" w:rsidP="0042175C">
      <w:pPr>
        <w:pStyle w:val="Body1"/>
        <w:rPr>
          <w:szCs w:val="24"/>
        </w:rPr>
      </w:pPr>
    </w:p>
    <w:p w14:paraId="38BCACF3" w14:textId="77777777" w:rsidR="00527A26" w:rsidRPr="0072690B" w:rsidRDefault="00527A26" w:rsidP="00A05BCF">
      <w:pPr>
        <w:pStyle w:val="Body1"/>
        <w:rPr>
          <w:szCs w:val="24"/>
        </w:rPr>
      </w:pPr>
    </w:p>
    <w:p w14:paraId="3943AB5D" w14:textId="77777777" w:rsidR="003E5F22" w:rsidRPr="003E5F22" w:rsidRDefault="00730455" w:rsidP="003E5F22">
      <w:pPr>
        <w:spacing w:line="276" w:lineRule="auto"/>
        <w:jc w:val="center"/>
        <w:rPr>
          <w:b/>
          <w:sz w:val="24"/>
          <w:szCs w:val="24"/>
        </w:rPr>
      </w:pPr>
      <w:r>
        <w:rPr>
          <w:b/>
          <w:sz w:val="24"/>
          <w:szCs w:val="24"/>
        </w:rPr>
        <w:t xml:space="preserve">Drug Overdose Response </w:t>
      </w:r>
      <w:r w:rsidR="003E5F22" w:rsidRPr="003E5F22">
        <w:rPr>
          <w:b/>
          <w:sz w:val="24"/>
          <w:szCs w:val="24"/>
        </w:rPr>
        <w:t>Investigation (</w:t>
      </w:r>
      <w:r>
        <w:rPr>
          <w:b/>
          <w:sz w:val="24"/>
          <w:szCs w:val="24"/>
        </w:rPr>
        <w:t>DORI</w:t>
      </w:r>
      <w:r w:rsidR="003E5F22" w:rsidRPr="003E5F22">
        <w:rPr>
          <w:b/>
          <w:sz w:val="24"/>
          <w:szCs w:val="24"/>
        </w:rPr>
        <w:t>) Data Collection</w:t>
      </w:r>
    </w:p>
    <w:p w14:paraId="7411D464" w14:textId="77777777" w:rsidR="003E5F22" w:rsidRPr="003E5F22" w:rsidRDefault="003E5F22" w:rsidP="003E5F22">
      <w:pPr>
        <w:spacing w:line="276" w:lineRule="auto"/>
        <w:jc w:val="center"/>
        <w:rPr>
          <w:sz w:val="24"/>
          <w:szCs w:val="24"/>
        </w:rPr>
      </w:pPr>
    </w:p>
    <w:p w14:paraId="6B0DF6B6" w14:textId="77777777" w:rsidR="003E5F22" w:rsidRDefault="003E5F22" w:rsidP="003E5F22">
      <w:pPr>
        <w:spacing w:line="276" w:lineRule="auto"/>
        <w:jc w:val="center"/>
        <w:rPr>
          <w:sz w:val="24"/>
          <w:szCs w:val="24"/>
        </w:rPr>
      </w:pPr>
    </w:p>
    <w:p w14:paraId="11BEA406" w14:textId="77777777" w:rsidR="003E5F22" w:rsidRDefault="003E5F22" w:rsidP="003E5F22">
      <w:pPr>
        <w:spacing w:line="276" w:lineRule="auto"/>
        <w:jc w:val="center"/>
        <w:rPr>
          <w:sz w:val="24"/>
          <w:szCs w:val="24"/>
        </w:rPr>
      </w:pPr>
    </w:p>
    <w:p w14:paraId="59A7300D" w14:textId="77777777" w:rsidR="003E5F22" w:rsidRPr="003E5F22" w:rsidRDefault="003E5F22" w:rsidP="003E5F22">
      <w:pPr>
        <w:spacing w:line="276" w:lineRule="auto"/>
        <w:jc w:val="center"/>
        <w:rPr>
          <w:sz w:val="24"/>
          <w:szCs w:val="24"/>
        </w:rPr>
      </w:pPr>
    </w:p>
    <w:p w14:paraId="7DEB5390" w14:textId="77777777" w:rsidR="003E5F22" w:rsidRPr="003E5F22" w:rsidRDefault="003E5F22" w:rsidP="003E5F22">
      <w:pPr>
        <w:spacing w:line="276" w:lineRule="auto"/>
        <w:jc w:val="center"/>
        <w:rPr>
          <w:sz w:val="24"/>
          <w:szCs w:val="24"/>
        </w:rPr>
      </w:pPr>
    </w:p>
    <w:p w14:paraId="47F1AA48" w14:textId="77777777" w:rsidR="003E5F22" w:rsidRPr="003E5F22" w:rsidRDefault="003E5F22" w:rsidP="003E5F22">
      <w:pPr>
        <w:spacing w:line="276" w:lineRule="auto"/>
        <w:jc w:val="center"/>
        <w:rPr>
          <w:sz w:val="24"/>
          <w:szCs w:val="24"/>
        </w:rPr>
      </w:pPr>
    </w:p>
    <w:p w14:paraId="1D1E6673" w14:textId="77777777" w:rsidR="003E5F22" w:rsidRPr="003E5F22" w:rsidRDefault="003E5F22" w:rsidP="003E5F22">
      <w:pPr>
        <w:spacing w:line="276" w:lineRule="auto"/>
        <w:jc w:val="center"/>
        <w:rPr>
          <w:sz w:val="24"/>
          <w:szCs w:val="24"/>
        </w:rPr>
      </w:pPr>
      <w:r w:rsidRPr="003E5F22">
        <w:rPr>
          <w:sz w:val="24"/>
          <w:szCs w:val="24"/>
        </w:rPr>
        <w:t>SUPPORTING STATEMENT</w:t>
      </w:r>
    </w:p>
    <w:p w14:paraId="324CF889" w14:textId="77777777" w:rsidR="003E5F22" w:rsidRPr="003E5F22" w:rsidRDefault="003E5F22" w:rsidP="003E5F22">
      <w:pPr>
        <w:spacing w:line="276" w:lineRule="auto"/>
        <w:jc w:val="center"/>
        <w:rPr>
          <w:sz w:val="24"/>
          <w:szCs w:val="24"/>
        </w:rPr>
      </w:pPr>
      <w:r w:rsidRPr="003E5F22">
        <w:rPr>
          <w:sz w:val="24"/>
          <w:szCs w:val="24"/>
        </w:rPr>
        <w:t>INFORMATION COLLECTION REQUEST</w:t>
      </w:r>
    </w:p>
    <w:p w14:paraId="4DE7606F" w14:textId="77777777" w:rsidR="003E5F22" w:rsidRPr="003E5F22" w:rsidRDefault="003E5F22" w:rsidP="003E5F22">
      <w:pPr>
        <w:spacing w:line="276" w:lineRule="auto"/>
        <w:rPr>
          <w:sz w:val="24"/>
          <w:szCs w:val="24"/>
        </w:rPr>
      </w:pPr>
    </w:p>
    <w:p w14:paraId="406B52CC" w14:textId="77777777" w:rsidR="003E5F22" w:rsidRPr="003E5F22" w:rsidRDefault="003E5F22" w:rsidP="003E5F22">
      <w:pPr>
        <w:spacing w:line="276" w:lineRule="auto"/>
        <w:rPr>
          <w:sz w:val="24"/>
          <w:szCs w:val="24"/>
        </w:rPr>
      </w:pPr>
    </w:p>
    <w:p w14:paraId="70543918" w14:textId="77777777" w:rsidR="003E5F22" w:rsidRPr="003E5F22" w:rsidRDefault="003E5F22" w:rsidP="003E5F22">
      <w:pPr>
        <w:spacing w:line="276" w:lineRule="auto"/>
        <w:jc w:val="center"/>
        <w:rPr>
          <w:sz w:val="24"/>
          <w:szCs w:val="24"/>
        </w:rPr>
      </w:pPr>
      <w:r w:rsidRPr="003E5F22">
        <w:rPr>
          <w:sz w:val="24"/>
          <w:szCs w:val="24"/>
        </w:rPr>
        <w:t>Part A</w:t>
      </w:r>
    </w:p>
    <w:p w14:paraId="6A1F3784" w14:textId="77777777" w:rsidR="003E5F22" w:rsidRPr="003E5F22" w:rsidRDefault="003E5F22" w:rsidP="003E5F22">
      <w:pPr>
        <w:spacing w:line="276" w:lineRule="auto"/>
        <w:jc w:val="center"/>
        <w:rPr>
          <w:sz w:val="24"/>
          <w:szCs w:val="24"/>
        </w:rPr>
      </w:pPr>
    </w:p>
    <w:p w14:paraId="4AA1AF13" w14:textId="77777777" w:rsidR="003E5F22" w:rsidRPr="003E5F22" w:rsidRDefault="003E5F22" w:rsidP="003E5F22">
      <w:pPr>
        <w:spacing w:line="276" w:lineRule="auto"/>
        <w:jc w:val="center"/>
        <w:rPr>
          <w:sz w:val="24"/>
          <w:szCs w:val="24"/>
        </w:rPr>
      </w:pPr>
    </w:p>
    <w:p w14:paraId="37C649DD" w14:textId="77777777" w:rsidR="003E5F22" w:rsidRPr="003E5F22" w:rsidRDefault="003E5F22" w:rsidP="003E5F22">
      <w:pPr>
        <w:spacing w:line="276" w:lineRule="auto"/>
        <w:jc w:val="center"/>
        <w:rPr>
          <w:sz w:val="24"/>
          <w:szCs w:val="24"/>
        </w:rPr>
      </w:pPr>
      <w:r w:rsidRPr="003E5F22">
        <w:rPr>
          <w:sz w:val="24"/>
          <w:szCs w:val="24"/>
        </w:rPr>
        <w:t>Supported by:</w:t>
      </w:r>
    </w:p>
    <w:p w14:paraId="4D0C7495" w14:textId="77777777" w:rsidR="003E5F22" w:rsidRPr="003E5F22" w:rsidRDefault="003E5F22" w:rsidP="003E5F22">
      <w:pPr>
        <w:spacing w:line="276" w:lineRule="auto"/>
        <w:jc w:val="center"/>
        <w:rPr>
          <w:sz w:val="24"/>
          <w:szCs w:val="24"/>
        </w:rPr>
      </w:pPr>
    </w:p>
    <w:p w14:paraId="71E1550A" w14:textId="77777777" w:rsidR="003E5F22" w:rsidRPr="003E5F22" w:rsidRDefault="003E5F22" w:rsidP="003E5F22">
      <w:pPr>
        <w:spacing w:line="276" w:lineRule="auto"/>
        <w:jc w:val="center"/>
        <w:rPr>
          <w:sz w:val="24"/>
          <w:szCs w:val="24"/>
        </w:rPr>
      </w:pPr>
      <w:r w:rsidRPr="003E5F22">
        <w:rPr>
          <w:sz w:val="24"/>
          <w:szCs w:val="24"/>
        </w:rPr>
        <w:t>Department of Health and Human Services (DHHS)</w:t>
      </w:r>
    </w:p>
    <w:p w14:paraId="6C884376" w14:textId="77777777" w:rsidR="003E5F22" w:rsidRPr="003E5F22" w:rsidRDefault="003E5F22" w:rsidP="003E5F22">
      <w:pPr>
        <w:spacing w:line="276" w:lineRule="auto"/>
        <w:jc w:val="center"/>
        <w:rPr>
          <w:sz w:val="24"/>
          <w:szCs w:val="24"/>
        </w:rPr>
      </w:pPr>
      <w:r w:rsidRPr="003E5F22">
        <w:rPr>
          <w:sz w:val="24"/>
          <w:szCs w:val="24"/>
        </w:rPr>
        <w:t>Centers for Disease Control and Prevention (CDC)</w:t>
      </w:r>
    </w:p>
    <w:p w14:paraId="4290F62F" w14:textId="77777777" w:rsidR="003E5F22" w:rsidRPr="003E5F22" w:rsidRDefault="003E5F22" w:rsidP="003E5F22">
      <w:pPr>
        <w:spacing w:line="276" w:lineRule="auto"/>
        <w:jc w:val="center"/>
        <w:rPr>
          <w:sz w:val="24"/>
          <w:szCs w:val="24"/>
        </w:rPr>
      </w:pPr>
      <w:r w:rsidRPr="003E5F22">
        <w:rPr>
          <w:sz w:val="24"/>
          <w:szCs w:val="24"/>
        </w:rPr>
        <w:t>National Center for Injury Prevention and Control (NCIPC)</w:t>
      </w:r>
    </w:p>
    <w:p w14:paraId="4E414DB4" w14:textId="77777777" w:rsidR="003E5F22" w:rsidRPr="003E5F22" w:rsidRDefault="003E5F22" w:rsidP="003E5F22">
      <w:pPr>
        <w:spacing w:line="276" w:lineRule="auto"/>
        <w:jc w:val="center"/>
        <w:rPr>
          <w:sz w:val="24"/>
          <w:szCs w:val="24"/>
        </w:rPr>
      </w:pPr>
      <w:r w:rsidRPr="003E5F22">
        <w:rPr>
          <w:sz w:val="24"/>
          <w:szCs w:val="24"/>
        </w:rPr>
        <w:t xml:space="preserve">Division </w:t>
      </w:r>
      <w:r w:rsidR="00730455">
        <w:rPr>
          <w:sz w:val="24"/>
          <w:szCs w:val="24"/>
        </w:rPr>
        <w:t>of Unintentional Injury Prevention</w:t>
      </w:r>
    </w:p>
    <w:p w14:paraId="3A4ECA0F" w14:textId="77777777" w:rsidR="003E5F22" w:rsidRPr="003E5F22" w:rsidRDefault="003E5F22" w:rsidP="003E5F22">
      <w:pPr>
        <w:spacing w:line="276" w:lineRule="auto"/>
        <w:jc w:val="center"/>
        <w:rPr>
          <w:sz w:val="24"/>
          <w:szCs w:val="24"/>
        </w:rPr>
      </w:pPr>
    </w:p>
    <w:p w14:paraId="7BAA68DA" w14:textId="77777777" w:rsidR="003E5F22" w:rsidRPr="003E5F22" w:rsidRDefault="003E5F22" w:rsidP="003E5F22">
      <w:pPr>
        <w:spacing w:line="276" w:lineRule="auto"/>
        <w:jc w:val="center"/>
        <w:rPr>
          <w:sz w:val="24"/>
          <w:szCs w:val="24"/>
        </w:rPr>
      </w:pPr>
    </w:p>
    <w:p w14:paraId="5385775E" w14:textId="77777777" w:rsidR="003E5F22" w:rsidRPr="003E5F22" w:rsidRDefault="003E5F22" w:rsidP="003E5F22">
      <w:pPr>
        <w:spacing w:line="276" w:lineRule="auto"/>
        <w:jc w:val="center"/>
        <w:rPr>
          <w:sz w:val="24"/>
          <w:szCs w:val="24"/>
        </w:rPr>
      </w:pPr>
      <w:r w:rsidRPr="003E5F22">
        <w:rPr>
          <w:sz w:val="24"/>
          <w:szCs w:val="24"/>
        </w:rPr>
        <w:t>Project Officer:</w:t>
      </w:r>
      <w:r w:rsidR="00730455">
        <w:rPr>
          <w:sz w:val="24"/>
          <w:szCs w:val="24"/>
        </w:rPr>
        <w:t xml:space="preserve"> </w:t>
      </w:r>
      <w:r w:rsidR="00247477">
        <w:rPr>
          <w:sz w:val="24"/>
          <w:szCs w:val="24"/>
        </w:rPr>
        <w:t>Matthew Gladden</w:t>
      </w:r>
    </w:p>
    <w:p w14:paraId="42413ADF" w14:textId="77777777" w:rsidR="003E5F22" w:rsidRPr="003E5F22" w:rsidRDefault="003E5F22" w:rsidP="003E5F22">
      <w:pPr>
        <w:spacing w:line="276" w:lineRule="auto"/>
        <w:jc w:val="center"/>
        <w:rPr>
          <w:sz w:val="24"/>
          <w:szCs w:val="24"/>
        </w:rPr>
      </w:pPr>
      <w:r w:rsidRPr="003E5F22">
        <w:rPr>
          <w:sz w:val="24"/>
          <w:szCs w:val="24"/>
        </w:rPr>
        <w:t xml:space="preserve">Phone #: </w:t>
      </w:r>
      <w:r w:rsidR="00F77EA8" w:rsidRPr="00F77EA8">
        <w:rPr>
          <w:sz w:val="24"/>
          <w:szCs w:val="24"/>
        </w:rPr>
        <w:t>770.488.</w:t>
      </w:r>
      <w:r w:rsidR="00247477">
        <w:rPr>
          <w:sz w:val="24"/>
          <w:szCs w:val="24"/>
        </w:rPr>
        <w:t>4276</w:t>
      </w:r>
    </w:p>
    <w:p w14:paraId="5B7C622A" w14:textId="77777777" w:rsidR="003E5F22" w:rsidRPr="003E5F22" w:rsidRDefault="003E5F22" w:rsidP="003E5F22">
      <w:pPr>
        <w:spacing w:line="276" w:lineRule="auto"/>
        <w:jc w:val="center"/>
        <w:rPr>
          <w:sz w:val="24"/>
          <w:szCs w:val="24"/>
        </w:rPr>
      </w:pPr>
      <w:r w:rsidRPr="003E5F22">
        <w:rPr>
          <w:sz w:val="24"/>
          <w:szCs w:val="24"/>
        </w:rPr>
        <w:t xml:space="preserve">Email: </w:t>
      </w:r>
      <w:hyperlink r:id="rId9" w:history="1">
        <w:r w:rsidR="00247477" w:rsidRPr="00247477">
          <w:t xml:space="preserve"> </w:t>
        </w:r>
        <w:r w:rsidR="00247477" w:rsidRPr="00247477">
          <w:rPr>
            <w:rStyle w:val="Hyperlink"/>
            <w:rFonts w:eastAsia="Times New Roman"/>
            <w:sz w:val="24"/>
            <w:szCs w:val="24"/>
          </w:rPr>
          <w:t>gkv7</w:t>
        </w:r>
        <w:r w:rsidR="0052102D" w:rsidRPr="00C65B82">
          <w:rPr>
            <w:rStyle w:val="Hyperlink"/>
            <w:rFonts w:eastAsia="Times New Roman"/>
            <w:sz w:val="24"/>
            <w:szCs w:val="24"/>
          </w:rPr>
          <w:t>@cdc.gov</w:t>
        </w:r>
      </w:hyperlink>
      <w:r w:rsidR="0052102D">
        <w:rPr>
          <w:sz w:val="24"/>
          <w:szCs w:val="24"/>
        </w:rPr>
        <w:t xml:space="preserve"> </w:t>
      </w:r>
    </w:p>
    <w:p w14:paraId="4DCEC757" w14:textId="77777777" w:rsidR="003E5F22" w:rsidRPr="003E5F22" w:rsidRDefault="00A750D6" w:rsidP="003E5F22">
      <w:pPr>
        <w:spacing w:line="276" w:lineRule="auto"/>
        <w:jc w:val="center"/>
        <w:rPr>
          <w:sz w:val="24"/>
          <w:szCs w:val="24"/>
        </w:rPr>
      </w:pPr>
      <w:r>
        <w:rPr>
          <w:sz w:val="24"/>
          <w:szCs w:val="24"/>
        </w:rPr>
        <w:t xml:space="preserve"> </w:t>
      </w:r>
    </w:p>
    <w:p w14:paraId="10C22588" w14:textId="77777777" w:rsidR="003E5F22" w:rsidRPr="003E5F22" w:rsidRDefault="003E5F22" w:rsidP="003E5F22">
      <w:pPr>
        <w:spacing w:after="200" w:line="276" w:lineRule="auto"/>
        <w:jc w:val="center"/>
        <w:rPr>
          <w:rFonts w:eastAsiaTheme="minorHAnsi"/>
          <w:sz w:val="24"/>
          <w:szCs w:val="24"/>
        </w:rPr>
      </w:pPr>
      <w:r w:rsidRPr="003E5F22">
        <w:rPr>
          <w:rFonts w:eastAsiaTheme="minorHAnsi"/>
          <w:sz w:val="24"/>
          <w:szCs w:val="24"/>
        </w:rPr>
        <w:t xml:space="preserve">Date: </w:t>
      </w:r>
      <w:r w:rsidR="00052F35">
        <w:rPr>
          <w:rFonts w:eastAsiaTheme="minorHAnsi"/>
          <w:sz w:val="24"/>
          <w:szCs w:val="24"/>
        </w:rPr>
        <w:t>11.06</w:t>
      </w:r>
      <w:r w:rsidR="00C74966">
        <w:rPr>
          <w:rFonts w:eastAsiaTheme="minorHAnsi"/>
          <w:sz w:val="24"/>
          <w:szCs w:val="24"/>
        </w:rPr>
        <w:t>.2014</w:t>
      </w:r>
    </w:p>
    <w:p w14:paraId="03268C7B" w14:textId="77777777" w:rsidR="00527A26" w:rsidRPr="0072690B" w:rsidRDefault="00527A26" w:rsidP="00A05BCF">
      <w:pPr>
        <w:pStyle w:val="Body1"/>
        <w:jc w:val="center"/>
        <w:rPr>
          <w:b/>
          <w:szCs w:val="24"/>
        </w:rPr>
      </w:pPr>
    </w:p>
    <w:p w14:paraId="78E7F564" w14:textId="77777777" w:rsidR="00D91CDF" w:rsidRDefault="00D91CDF" w:rsidP="00A05BCF">
      <w:pPr>
        <w:pStyle w:val="Body1"/>
        <w:jc w:val="center"/>
        <w:rPr>
          <w:b/>
          <w:szCs w:val="24"/>
        </w:rPr>
      </w:pPr>
    </w:p>
    <w:p w14:paraId="75BDEBB2" w14:textId="77777777" w:rsidR="003E5F22" w:rsidRDefault="003E5F22">
      <w:pPr>
        <w:rPr>
          <w:rFonts w:eastAsia="Arial Unicode MS"/>
          <w:b/>
          <w:color w:val="000000"/>
          <w:sz w:val="24"/>
          <w:szCs w:val="24"/>
          <w:u w:color="000000"/>
        </w:rPr>
      </w:pPr>
      <w:r>
        <w:rPr>
          <w:b/>
          <w:szCs w:val="24"/>
        </w:rPr>
        <w:br w:type="page"/>
      </w:r>
    </w:p>
    <w:p w14:paraId="120811DD" w14:textId="77777777" w:rsidR="00784C67" w:rsidRPr="00F21EE8" w:rsidRDefault="00784C67" w:rsidP="002D635F">
      <w:pPr>
        <w:pStyle w:val="Body1"/>
        <w:rPr>
          <w:b/>
          <w:szCs w:val="24"/>
        </w:rPr>
      </w:pPr>
      <w:r w:rsidRPr="00F21EE8">
        <w:rPr>
          <w:b/>
          <w:szCs w:val="24"/>
        </w:rPr>
        <w:lastRenderedPageBreak/>
        <w:t>Table of Contents</w:t>
      </w:r>
    </w:p>
    <w:p w14:paraId="5AA20B0C" w14:textId="77777777" w:rsidR="00784C67" w:rsidRPr="00F21EE8" w:rsidRDefault="00784C67" w:rsidP="00784C67">
      <w:pPr>
        <w:pStyle w:val="Body1"/>
        <w:tabs>
          <w:tab w:val="left" w:pos="720"/>
          <w:tab w:val="left" w:pos="1440"/>
          <w:tab w:val="left" w:pos="2160"/>
          <w:tab w:val="left" w:pos="2880"/>
        </w:tabs>
        <w:spacing w:line="360" w:lineRule="auto"/>
        <w:rPr>
          <w:b/>
          <w:szCs w:val="24"/>
        </w:rPr>
      </w:pPr>
    </w:p>
    <w:p w14:paraId="158EBB4E"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14:paraId="1FB4610D"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14:paraId="65FBEEA9" w14:textId="77777777" w:rsidR="00784C67" w:rsidRPr="00F21EE8" w:rsidRDefault="00D83A42" w:rsidP="00784C67">
      <w:pPr>
        <w:pStyle w:val="Body1"/>
        <w:tabs>
          <w:tab w:val="left" w:pos="720"/>
          <w:tab w:val="left" w:pos="1440"/>
          <w:tab w:val="left" w:pos="2160"/>
          <w:tab w:val="left" w:pos="2880"/>
        </w:tabs>
        <w:spacing w:line="360" w:lineRule="auto"/>
        <w:rPr>
          <w:szCs w:val="24"/>
        </w:rPr>
      </w:pPr>
      <w:r>
        <w:rPr>
          <w:szCs w:val="24"/>
        </w:rPr>
        <w:tab/>
      </w:r>
      <w:r w:rsidR="00784C67" w:rsidRPr="00F21EE8">
        <w:rPr>
          <w:szCs w:val="24"/>
        </w:rPr>
        <w:t xml:space="preserve">2. </w:t>
      </w:r>
      <w:r w:rsidR="00784C67" w:rsidRPr="00F21EE8">
        <w:rPr>
          <w:szCs w:val="24"/>
        </w:rPr>
        <w:tab/>
        <w:t>Purpose and Use of Information Collection</w:t>
      </w:r>
    </w:p>
    <w:p w14:paraId="0CFFB96A"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14:paraId="4978E030"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14:paraId="3D3D729F" w14:textId="77777777" w:rsidR="00784C67" w:rsidRPr="00F21EE8" w:rsidRDefault="00784C67" w:rsidP="00784C6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14:paraId="796307CA" w14:textId="77777777" w:rsidR="00784C67" w:rsidRPr="00F21EE8" w:rsidRDefault="00784C67" w:rsidP="00784C6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14:paraId="672EBBE7" w14:textId="77777777" w:rsidR="00784C67" w:rsidRPr="00F21EE8" w:rsidRDefault="00784C67" w:rsidP="00784C67">
      <w:pPr>
        <w:pStyle w:val="Body1"/>
        <w:tabs>
          <w:tab w:val="left" w:pos="720"/>
          <w:tab w:val="left" w:pos="1440"/>
        </w:tabs>
        <w:spacing w:line="360" w:lineRule="auto"/>
        <w:rPr>
          <w:szCs w:val="24"/>
        </w:rPr>
      </w:pPr>
      <w:r w:rsidRPr="00F21EE8">
        <w:rPr>
          <w:szCs w:val="24"/>
        </w:rPr>
        <w:tab/>
        <w:t>7.</w:t>
      </w:r>
      <w:r w:rsidRPr="00F21EE8">
        <w:rPr>
          <w:szCs w:val="24"/>
        </w:rPr>
        <w:tab/>
        <w:t xml:space="preserve">Special Circumstances </w:t>
      </w:r>
    </w:p>
    <w:p w14:paraId="06EB7FF0" w14:textId="77777777" w:rsidR="00784C67" w:rsidRPr="00F21EE8" w:rsidRDefault="00784C67" w:rsidP="00784C6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14:paraId="1397C6B3"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14:paraId="40AE7075"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10.</w:t>
      </w:r>
      <w:r w:rsidRPr="00F21EE8">
        <w:rPr>
          <w:szCs w:val="24"/>
        </w:rPr>
        <w:tab/>
        <w:t>Assurance of Confidentiality</w:t>
      </w:r>
    </w:p>
    <w:p w14:paraId="7F1D1184" w14:textId="77777777" w:rsidR="00784C67" w:rsidRPr="00F21EE8" w:rsidRDefault="00784C67" w:rsidP="001076E0">
      <w:pPr>
        <w:pStyle w:val="Body1"/>
        <w:tabs>
          <w:tab w:val="left" w:pos="720"/>
          <w:tab w:val="left" w:pos="1440"/>
          <w:tab w:val="num" w:pos="2160"/>
        </w:tabs>
        <w:spacing w:line="360" w:lineRule="auto"/>
        <w:ind w:left="720"/>
        <w:rPr>
          <w:szCs w:val="24"/>
        </w:rPr>
      </w:pPr>
      <w:r w:rsidRPr="00F21EE8">
        <w:rPr>
          <w:szCs w:val="24"/>
        </w:rPr>
        <w:t>11.</w:t>
      </w:r>
      <w:r w:rsidRPr="00F21EE8">
        <w:rPr>
          <w:szCs w:val="24"/>
        </w:rPr>
        <w:tab/>
      </w:r>
      <w:r w:rsidR="002638C4">
        <w:rPr>
          <w:szCs w:val="24"/>
        </w:rPr>
        <w:t xml:space="preserve">Justification for </w:t>
      </w:r>
      <w:r w:rsidR="001076E0">
        <w:rPr>
          <w:szCs w:val="24"/>
        </w:rPr>
        <w:t>Sensitive Nature</w:t>
      </w:r>
    </w:p>
    <w:p w14:paraId="1935ED11"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14:paraId="44D45F3F"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Annual Cost Burden to Respondents or Record Keepers</w:t>
      </w:r>
    </w:p>
    <w:p w14:paraId="2256C4F6"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Annualized Cost to the Government</w:t>
      </w:r>
    </w:p>
    <w:p w14:paraId="75CED95F"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14:paraId="1B7600B5"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14:paraId="1905E883"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14:paraId="12B5AB61"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14:paraId="5E7C6E25" w14:textId="77777777" w:rsidR="00784C67" w:rsidRPr="00F21EE8" w:rsidRDefault="00784C67" w:rsidP="00784C67">
      <w:pPr>
        <w:spacing w:line="360" w:lineRule="auto"/>
        <w:rPr>
          <w:rFonts w:eastAsia="Arial Unicode MS"/>
          <w:sz w:val="24"/>
          <w:szCs w:val="24"/>
          <w:u w:color="000000"/>
        </w:rPr>
      </w:pPr>
    </w:p>
    <w:p w14:paraId="669A6D56" w14:textId="77777777" w:rsidR="00784C67" w:rsidRDefault="00784C67" w:rsidP="00784C67">
      <w:pPr>
        <w:pStyle w:val="Body1"/>
        <w:tabs>
          <w:tab w:val="left" w:pos="720"/>
          <w:tab w:val="left" w:pos="1440"/>
          <w:tab w:val="left" w:pos="2160"/>
          <w:tab w:val="left" w:pos="2880"/>
        </w:tabs>
        <w:spacing w:line="360" w:lineRule="auto"/>
        <w:rPr>
          <w:b/>
          <w:szCs w:val="24"/>
        </w:rPr>
      </w:pPr>
    </w:p>
    <w:p w14:paraId="4D616BA9" w14:textId="77777777" w:rsidR="00D91CDF" w:rsidRDefault="00D91CDF" w:rsidP="00784C67">
      <w:pPr>
        <w:pStyle w:val="Body1"/>
        <w:tabs>
          <w:tab w:val="left" w:pos="720"/>
          <w:tab w:val="left" w:pos="1440"/>
          <w:tab w:val="left" w:pos="2160"/>
          <w:tab w:val="left" w:pos="2880"/>
        </w:tabs>
        <w:spacing w:line="360" w:lineRule="auto"/>
        <w:rPr>
          <w:b/>
          <w:szCs w:val="24"/>
        </w:rPr>
      </w:pPr>
    </w:p>
    <w:p w14:paraId="2D6C100E" w14:textId="77777777" w:rsidR="00D91CDF" w:rsidRDefault="00D91CDF" w:rsidP="00784C67">
      <w:pPr>
        <w:pStyle w:val="Body1"/>
        <w:tabs>
          <w:tab w:val="left" w:pos="720"/>
          <w:tab w:val="left" w:pos="1440"/>
          <w:tab w:val="left" w:pos="2160"/>
          <w:tab w:val="left" w:pos="2880"/>
        </w:tabs>
        <w:spacing w:line="360" w:lineRule="auto"/>
        <w:rPr>
          <w:b/>
          <w:szCs w:val="24"/>
        </w:rPr>
      </w:pPr>
    </w:p>
    <w:p w14:paraId="25B0C4E0" w14:textId="77777777" w:rsidR="00D91CDF" w:rsidRDefault="00D91CDF" w:rsidP="00784C67">
      <w:pPr>
        <w:pStyle w:val="Body1"/>
        <w:tabs>
          <w:tab w:val="left" w:pos="720"/>
          <w:tab w:val="left" w:pos="1440"/>
          <w:tab w:val="left" w:pos="2160"/>
          <w:tab w:val="left" w:pos="2880"/>
        </w:tabs>
        <w:spacing w:line="360" w:lineRule="auto"/>
        <w:rPr>
          <w:b/>
          <w:szCs w:val="24"/>
        </w:rPr>
      </w:pPr>
    </w:p>
    <w:p w14:paraId="097D8C69" w14:textId="77777777" w:rsidR="00D91CDF" w:rsidRDefault="00D91CDF" w:rsidP="00784C67">
      <w:pPr>
        <w:pStyle w:val="Body1"/>
        <w:tabs>
          <w:tab w:val="left" w:pos="720"/>
          <w:tab w:val="left" w:pos="1440"/>
          <w:tab w:val="left" w:pos="2160"/>
          <w:tab w:val="left" w:pos="2880"/>
        </w:tabs>
        <w:spacing w:line="360" w:lineRule="auto"/>
        <w:rPr>
          <w:b/>
          <w:szCs w:val="24"/>
        </w:rPr>
      </w:pPr>
    </w:p>
    <w:p w14:paraId="3080531D" w14:textId="77777777" w:rsidR="001076E0" w:rsidRDefault="001076E0">
      <w:pPr>
        <w:rPr>
          <w:rFonts w:eastAsia="Arial Unicode MS"/>
          <w:b/>
          <w:color w:val="000000"/>
          <w:sz w:val="24"/>
          <w:szCs w:val="24"/>
          <w:u w:color="000000"/>
        </w:rPr>
      </w:pPr>
      <w:r>
        <w:rPr>
          <w:b/>
          <w:szCs w:val="24"/>
        </w:rPr>
        <w:br w:type="page"/>
      </w:r>
    </w:p>
    <w:p w14:paraId="46015780" w14:textId="77777777" w:rsidR="006E7636" w:rsidRDefault="00C80A34" w:rsidP="00C80A34">
      <w:pPr>
        <w:pStyle w:val="Body1"/>
        <w:tabs>
          <w:tab w:val="left" w:pos="720"/>
          <w:tab w:val="left" w:pos="1440"/>
          <w:tab w:val="left" w:pos="2160"/>
          <w:tab w:val="left" w:pos="2880"/>
        </w:tabs>
        <w:spacing w:line="360" w:lineRule="auto"/>
        <w:rPr>
          <w:b/>
          <w:szCs w:val="24"/>
        </w:rPr>
      </w:pPr>
      <w:r w:rsidRPr="00D515FB">
        <w:rPr>
          <w:b/>
          <w:szCs w:val="24"/>
        </w:rPr>
        <w:lastRenderedPageBreak/>
        <w:t>Attachments</w:t>
      </w:r>
    </w:p>
    <w:p w14:paraId="3C86ACC8" w14:textId="77777777" w:rsidR="00C80A34" w:rsidRPr="006E7636" w:rsidRDefault="006E7636" w:rsidP="006E7636">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 xml:space="preserve">A. </w:t>
      </w:r>
      <w:r w:rsidR="00C80A34" w:rsidRPr="006E7636">
        <w:rPr>
          <w:rFonts w:eastAsia="Arial Unicode MS"/>
          <w:sz w:val="24"/>
          <w:szCs w:val="24"/>
          <w:u w:color="000000"/>
        </w:rPr>
        <w:t>Authorizing Legislation</w:t>
      </w:r>
    </w:p>
    <w:p w14:paraId="159F41FC" w14:textId="77777777" w:rsidR="006E7636" w:rsidRPr="006E7636" w:rsidRDefault="006E7636" w:rsidP="006E7636">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B. Published 60-day notice</w:t>
      </w:r>
    </w:p>
    <w:p w14:paraId="19B32569" w14:textId="77777777" w:rsidR="003B4912" w:rsidRPr="006E7636" w:rsidRDefault="006E7636" w:rsidP="006E7636">
      <w:pPr>
        <w:tabs>
          <w:tab w:val="left" w:pos="0"/>
          <w:tab w:val="left" w:pos="720"/>
          <w:tab w:val="left" w:pos="1440"/>
        </w:tabs>
        <w:spacing w:line="360" w:lineRule="auto"/>
        <w:rPr>
          <w:rFonts w:eastAsia="Arial Unicode MS"/>
          <w:sz w:val="24"/>
          <w:szCs w:val="24"/>
          <w:u w:color="000000"/>
        </w:rPr>
      </w:pPr>
      <w:proofErr w:type="gramStart"/>
      <w:r w:rsidRPr="006E7636">
        <w:rPr>
          <w:rFonts w:eastAsia="Arial Unicode MS"/>
          <w:sz w:val="24"/>
          <w:szCs w:val="24"/>
          <w:u w:color="000000"/>
        </w:rPr>
        <w:t>C1-C5.</w:t>
      </w:r>
      <w:proofErr w:type="gramEnd"/>
      <w:r w:rsidRPr="006E7636">
        <w:rPr>
          <w:rFonts w:eastAsia="Arial Unicode MS"/>
          <w:sz w:val="24"/>
          <w:szCs w:val="24"/>
          <w:u w:color="000000"/>
        </w:rPr>
        <w:t xml:space="preserve"> </w:t>
      </w:r>
      <w:r w:rsidR="003B4912" w:rsidRPr="006E7636">
        <w:rPr>
          <w:rFonts w:eastAsia="Arial Unicode MS"/>
          <w:sz w:val="24"/>
          <w:szCs w:val="24"/>
          <w:u w:color="000000"/>
        </w:rPr>
        <w:t>Summary of Previous Epi-Aid DORIs and Sample Data Collection Instruments</w:t>
      </w:r>
    </w:p>
    <w:p w14:paraId="08AEDDDA" w14:textId="77777777" w:rsidR="006E7636" w:rsidRPr="006E7636" w:rsidRDefault="006E7636" w:rsidP="006E7636">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 xml:space="preserve">D. </w:t>
      </w:r>
      <w:r w:rsidR="003B4912" w:rsidRPr="006E7636">
        <w:rPr>
          <w:rFonts w:eastAsia="Arial Unicode MS"/>
          <w:sz w:val="24"/>
          <w:szCs w:val="24"/>
          <w:u w:color="000000"/>
        </w:rPr>
        <w:t>Investigation Protocol Template</w:t>
      </w:r>
    </w:p>
    <w:p w14:paraId="3781AA38" w14:textId="77777777" w:rsidR="003B4912" w:rsidRPr="006E7636" w:rsidRDefault="006E7636" w:rsidP="006E7636">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 xml:space="preserve">E. </w:t>
      </w:r>
      <w:r w:rsidR="003B4912" w:rsidRPr="006E7636">
        <w:rPr>
          <w:rFonts w:eastAsia="Arial Unicode MS"/>
          <w:sz w:val="24"/>
          <w:szCs w:val="24"/>
          <w:u w:color="000000"/>
        </w:rPr>
        <w:t>Burden Memo</w:t>
      </w:r>
    </w:p>
    <w:p w14:paraId="046BFEC3" w14:textId="77777777" w:rsidR="00304F0B" w:rsidRPr="006E7636" w:rsidRDefault="00304F0B" w:rsidP="001076E0">
      <w:pPr>
        <w:tabs>
          <w:tab w:val="left" w:pos="0"/>
          <w:tab w:val="left" w:pos="720"/>
          <w:tab w:val="left" w:pos="1440"/>
        </w:tabs>
        <w:spacing w:line="360" w:lineRule="auto"/>
        <w:rPr>
          <w:rFonts w:eastAsia="Arial Unicode MS"/>
          <w:sz w:val="24"/>
          <w:szCs w:val="24"/>
          <w:u w:color="000000"/>
        </w:rPr>
      </w:pPr>
    </w:p>
    <w:p w14:paraId="3E193F34" w14:textId="77777777" w:rsidR="001076E0" w:rsidRPr="00CC1CCC" w:rsidRDefault="001076E0" w:rsidP="001076E0">
      <w:pPr>
        <w:tabs>
          <w:tab w:val="left" w:pos="0"/>
          <w:tab w:val="left" w:pos="720"/>
          <w:tab w:val="left" w:pos="1440"/>
        </w:tabs>
        <w:spacing w:line="360" w:lineRule="auto"/>
        <w:rPr>
          <w:rFonts w:eastAsia="Arial Unicode MS"/>
          <w:sz w:val="24"/>
          <w:szCs w:val="24"/>
          <w:u w:color="000000"/>
        </w:rPr>
      </w:pPr>
    </w:p>
    <w:p w14:paraId="699A88DA" w14:textId="77777777" w:rsidR="00C80A34" w:rsidRDefault="00C80A34" w:rsidP="00C80A34">
      <w:pPr>
        <w:tabs>
          <w:tab w:val="left" w:pos="0"/>
          <w:tab w:val="left" w:pos="720"/>
          <w:tab w:val="left" w:pos="1440"/>
        </w:tabs>
        <w:spacing w:line="360" w:lineRule="auto"/>
        <w:rPr>
          <w:rFonts w:eastAsia="Arial Unicode MS"/>
          <w:b/>
          <w:sz w:val="24"/>
          <w:szCs w:val="24"/>
          <w:u w:color="000000"/>
        </w:rPr>
      </w:pPr>
    </w:p>
    <w:p w14:paraId="688100AA" w14:textId="77777777" w:rsidR="002D635F" w:rsidRPr="0072690B" w:rsidRDefault="00527A26" w:rsidP="002D635F">
      <w:pPr>
        <w:pStyle w:val="Body1"/>
        <w:jc w:val="center"/>
        <w:rPr>
          <w:b/>
          <w:szCs w:val="24"/>
        </w:rPr>
      </w:pPr>
      <w:r w:rsidRPr="00784C67">
        <w:rPr>
          <w:b/>
          <w:szCs w:val="24"/>
        </w:rPr>
        <w:br w:type="page"/>
      </w:r>
      <w:r w:rsidR="00187F1A">
        <w:rPr>
          <w:b/>
          <w:szCs w:val="24"/>
        </w:rPr>
        <w:lastRenderedPageBreak/>
        <w:t xml:space="preserve"> </w:t>
      </w:r>
      <w:r w:rsidR="00E14D26">
        <w:rPr>
          <w:b/>
          <w:szCs w:val="24"/>
        </w:rPr>
        <w:t>Drug Overdose Response</w:t>
      </w:r>
      <w:r w:rsidR="0057601D">
        <w:rPr>
          <w:b/>
          <w:szCs w:val="24"/>
        </w:rPr>
        <w:t xml:space="preserve"> Investigations </w:t>
      </w:r>
      <w:r w:rsidR="00E14D26">
        <w:rPr>
          <w:b/>
          <w:szCs w:val="24"/>
        </w:rPr>
        <w:t xml:space="preserve">(DORI) </w:t>
      </w:r>
      <w:r w:rsidR="00BF1A48" w:rsidRPr="00BF1A48">
        <w:rPr>
          <w:b/>
          <w:szCs w:val="24"/>
        </w:rPr>
        <w:t>Data Collections</w:t>
      </w:r>
    </w:p>
    <w:p w14:paraId="3803620F" w14:textId="77777777" w:rsidR="008D7C72" w:rsidRDefault="008D7C72" w:rsidP="008D7C72">
      <w:pPr>
        <w:pStyle w:val="Body1"/>
        <w:jc w:val="center"/>
        <w:rPr>
          <w:b/>
          <w:szCs w:val="24"/>
        </w:rPr>
      </w:pPr>
    </w:p>
    <w:p w14:paraId="74D5AD4B" w14:textId="77777777" w:rsidR="006B5C4B" w:rsidRDefault="006B5C4B" w:rsidP="008D7C72">
      <w:pPr>
        <w:pStyle w:val="Body1"/>
        <w:jc w:val="center"/>
        <w:rPr>
          <w:b/>
          <w:szCs w:val="24"/>
        </w:rPr>
      </w:pPr>
    </w:p>
    <w:p w14:paraId="4465F9E7" w14:textId="77777777" w:rsidR="006B5C4B" w:rsidRPr="00784C67" w:rsidRDefault="006B5C4B" w:rsidP="008D7C72">
      <w:pPr>
        <w:pStyle w:val="Body1"/>
        <w:jc w:val="center"/>
        <w:rPr>
          <w:b/>
          <w:szCs w:val="24"/>
        </w:rPr>
      </w:pPr>
    </w:p>
    <w:p w14:paraId="1730DCE0" w14:textId="77777777" w:rsidR="008D7C72" w:rsidRPr="00E14D26" w:rsidRDefault="00E14D26" w:rsidP="008D7C72">
      <w:pPr>
        <w:pStyle w:val="Body1"/>
        <w:numPr>
          <w:ilvl w:val="0"/>
          <w:numId w:val="2"/>
        </w:numPr>
        <w:tabs>
          <w:tab w:val="num" w:pos="0"/>
        </w:tabs>
        <w:rPr>
          <w:b/>
          <w:szCs w:val="24"/>
        </w:rPr>
      </w:pPr>
      <w:r w:rsidRPr="00E14D26">
        <w:rPr>
          <w:b/>
          <w:szCs w:val="24"/>
        </w:rPr>
        <w:t xml:space="preserve">A. </w:t>
      </w:r>
      <w:r w:rsidR="008D7C72" w:rsidRPr="00E14D26">
        <w:rPr>
          <w:b/>
          <w:szCs w:val="24"/>
        </w:rPr>
        <w:t>Justification</w:t>
      </w:r>
    </w:p>
    <w:p w14:paraId="48963B91" w14:textId="77777777" w:rsidR="008D7C72" w:rsidRPr="00784C67" w:rsidRDefault="00173013" w:rsidP="008D7C72">
      <w:pPr>
        <w:pStyle w:val="Body1"/>
        <w:rPr>
          <w:b/>
          <w:szCs w:val="24"/>
        </w:rPr>
      </w:pPr>
      <w:r>
        <w:rPr>
          <w:b/>
          <w:szCs w:val="24"/>
        </w:rPr>
        <w:t xml:space="preserve"> </w:t>
      </w:r>
    </w:p>
    <w:p w14:paraId="4677FA60" w14:textId="77777777" w:rsidR="008D7C72" w:rsidRPr="00784C67" w:rsidRDefault="008D7C72" w:rsidP="00E14D26">
      <w:pPr>
        <w:pStyle w:val="Body1"/>
        <w:numPr>
          <w:ilvl w:val="0"/>
          <w:numId w:val="16"/>
        </w:numPr>
        <w:rPr>
          <w:b/>
          <w:szCs w:val="24"/>
        </w:rPr>
      </w:pPr>
      <w:r w:rsidRPr="00784C67">
        <w:rPr>
          <w:b/>
          <w:szCs w:val="24"/>
        </w:rPr>
        <w:t>Circumstances Making the Collection of Information Necessary</w:t>
      </w:r>
    </w:p>
    <w:p w14:paraId="03CD0068" w14:textId="77777777" w:rsidR="008D7C72" w:rsidRPr="00784C67" w:rsidRDefault="008D7C72" w:rsidP="008D7C72">
      <w:pPr>
        <w:pStyle w:val="Body1"/>
        <w:rPr>
          <w:szCs w:val="24"/>
        </w:rPr>
      </w:pPr>
    </w:p>
    <w:p w14:paraId="6A954CDA" w14:textId="77777777" w:rsidR="00F70733" w:rsidRDefault="00FA4E88" w:rsidP="00652D54">
      <w:pPr>
        <w:pStyle w:val="Body1"/>
        <w:ind w:left="720"/>
        <w:rPr>
          <w:szCs w:val="24"/>
        </w:rPr>
      </w:pPr>
      <w:r>
        <w:rPr>
          <w:szCs w:val="24"/>
        </w:rPr>
        <w:t>The Centers for Disease Control and Prevention (CDC)</w:t>
      </w:r>
      <w:r w:rsidR="008D7C72">
        <w:rPr>
          <w:szCs w:val="24"/>
        </w:rPr>
        <w:t xml:space="preserve"> </w:t>
      </w:r>
      <w:r w:rsidR="003F7482">
        <w:rPr>
          <w:szCs w:val="24"/>
        </w:rPr>
        <w:t xml:space="preserve">National Center for Injury Prevention and Control (NCIPC) </w:t>
      </w:r>
      <w:r w:rsidR="008D7C72">
        <w:rPr>
          <w:szCs w:val="24"/>
        </w:rPr>
        <w:t>is requesting approval</w:t>
      </w:r>
      <w:r w:rsidR="00864093">
        <w:rPr>
          <w:szCs w:val="24"/>
        </w:rPr>
        <w:t xml:space="preserve"> for a 3-year period</w:t>
      </w:r>
      <w:r w:rsidR="008D7C72">
        <w:rPr>
          <w:szCs w:val="24"/>
        </w:rPr>
        <w:t xml:space="preserve"> of</w:t>
      </w:r>
      <w:r w:rsidR="008D7C72" w:rsidRPr="00784C67">
        <w:rPr>
          <w:szCs w:val="24"/>
        </w:rPr>
        <w:t xml:space="preserve"> a</w:t>
      </w:r>
      <w:r w:rsidR="00960093">
        <w:rPr>
          <w:szCs w:val="24"/>
        </w:rPr>
        <w:t xml:space="preserve"> </w:t>
      </w:r>
      <w:r w:rsidR="003B4912">
        <w:rPr>
          <w:szCs w:val="24"/>
        </w:rPr>
        <w:t xml:space="preserve">NEW </w:t>
      </w:r>
      <w:r w:rsidR="00960093">
        <w:rPr>
          <w:szCs w:val="24"/>
        </w:rPr>
        <w:t>Generic Information Collection Request (ICR)</w:t>
      </w:r>
      <w:r w:rsidR="00483688">
        <w:rPr>
          <w:szCs w:val="24"/>
        </w:rPr>
        <w:t xml:space="preserve"> </w:t>
      </w:r>
      <w:r>
        <w:rPr>
          <w:szCs w:val="24"/>
        </w:rPr>
        <w:t>to conduct</w:t>
      </w:r>
      <w:r w:rsidR="008D7C72" w:rsidRPr="00784C67">
        <w:rPr>
          <w:szCs w:val="24"/>
        </w:rPr>
        <w:t xml:space="preserve"> </w:t>
      </w:r>
      <w:r w:rsidR="000E20DA">
        <w:rPr>
          <w:szCs w:val="24"/>
        </w:rPr>
        <w:t>investigations of drug use and misuse and associated fatal and nonfatal overdose (hereafter referred to as “</w:t>
      </w:r>
      <w:r w:rsidR="00730455">
        <w:rPr>
          <w:szCs w:val="24"/>
        </w:rPr>
        <w:t xml:space="preserve">Drug Overdose Response </w:t>
      </w:r>
      <w:r w:rsidR="008D7C72">
        <w:rPr>
          <w:szCs w:val="24"/>
        </w:rPr>
        <w:t>Investigations (</w:t>
      </w:r>
      <w:r w:rsidR="00730455">
        <w:rPr>
          <w:szCs w:val="24"/>
        </w:rPr>
        <w:t>DORI</w:t>
      </w:r>
      <w:r w:rsidR="000E20DA">
        <w:rPr>
          <w:szCs w:val="24"/>
        </w:rPr>
        <w:t>s</w:t>
      </w:r>
      <w:r w:rsidR="00C5171D">
        <w:rPr>
          <w:szCs w:val="24"/>
        </w:rPr>
        <w:t>)</w:t>
      </w:r>
      <w:r w:rsidR="000E20DA">
        <w:rPr>
          <w:szCs w:val="24"/>
        </w:rPr>
        <w:t>”)</w:t>
      </w:r>
      <w:r w:rsidR="00730455">
        <w:rPr>
          <w:szCs w:val="24"/>
        </w:rPr>
        <w:t xml:space="preserve">. </w:t>
      </w:r>
      <w:r w:rsidR="000E20DA">
        <w:rPr>
          <w:szCs w:val="24"/>
        </w:rPr>
        <w:t>In this context, drug overdose refers to overdose</w:t>
      </w:r>
      <w:r w:rsidR="004D1C1F">
        <w:rPr>
          <w:szCs w:val="24"/>
        </w:rPr>
        <w:t xml:space="preserve"> from prescription drugs (with a special interest in </w:t>
      </w:r>
      <w:r w:rsidR="000E20DA">
        <w:rPr>
          <w:szCs w:val="24"/>
        </w:rPr>
        <w:t xml:space="preserve">opioid analgesics such as </w:t>
      </w:r>
      <w:r w:rsidR="004D1C1F">
        <w:rPr>
          <w:szCs w:val="24"/>
        </w:rPr>
        <w:t xml:space="preserve">oxycodone or methadone; </w:t>
      </w:r>
      <w:r w:rsidR="000E20DA">
        <w:rPr>
          <w:szCs w:val="24"/>
        </w:rPr>
        <w:t>benzodiazepines</w:t>
      </w:r>
      <w:r w:rsidR="004D1C1F">
        <w:rPr>
          <w:szCs w:val="24"/>
        </w:rPr>
        <w:t xml:space="preserve"> such as </w:t>
      </w:r>
      <w:r w:rsidR="004D1C1F">
        <w:t>alprazolam</w:t>
      </w:r>
      <w:r w:rsidR="000E20DA">
        <w:rPr>
          <w:szCs w:val="24"/>
        </w:rPr>
        <w:t xml:space="preserve">) </w:t>
      </w:r>
      <w:r w:rsidR="00C56DC3">
        <w:rPr>
          <w:szCs w:val="24"/>
        </w:rPr>
        <w:t>and/</w:t>
      </w:r>
      <w:r w:rsidR="000E20DA">
        <w:rPr>
          <w:szCs w:val="24"/>
        </w:rPr>
        <w:t xml:space="preserve">or illicit drugs (e.g., </w:t>
      </w:r>
      <w:r w:rsidR="004D1C1F">
        <w:rPr>
          <w:szCs w:val="24"/>
        </w:rPr>
        <w:t xml:space="preserve">heroin). </w:t>
      </w:r>
    </w:p>
    <w:p w14:paraId="7CB23470" w14:textId="77777777" w:rsidR="00F70733" w:rsidRDefault="00F70733" w:rsidP="00652D54">
      <w:pPr>
        <w:pStyle w:val="Body1"/>
        <w:ind w:left="720"/>
        <w:rPr>
          <w:szCs w:val="24"/>
        </w:rPr>
      </w:pPr>
    </w:p>
    <w:p w14:paraId="5B92A672" w14:textId="59B263E5" w:rsidR="005427BE" w:rsidRDefault="00730455" w:rsidP="00652D54">
      <w:pPr>
        <w:pStyle w:val="Body1"/>
        <w:ind w:left="720"/>
        <w:rPr>
          <w:szCs w:val="24"/>
        </w:rPr>
      </w:pPr>
      <w:r>
        <w:rPr>
          <w:szCs w:val="24"/>
        </w:rPr>
        <w:t xml:space="preserve">DORIs </w:t>
      </w:r>
      <w:proofErr w:type="gramStart"/>
      <w:r w:rsidR="00005127">
        <w:rPr>
          <w:szCs w:val="24"/>
        </w:rPr>
        <w:t>are</w:t>
      </w:r>
      <w:proofErr w:type="gramEnd"/>
      <w:r w:rsidR="00005127">
        <w:rPr>
          <w:szCs w:val="24"/>
        </w:rPr>
        <w:t xml:space="preserve"> data collections </w:t>
      </w:r>
      <w:r>
        <w:rPr>
          <w:szCs w:val="24"/>
        </w:rPr>
        <w:t>conducted</w:t>
      </w:r>
      <w:r w:rsidR="00E32CA2">
        <w:rPr>
          <w:szCs w:val="24"/>
        </w:rPr>
        <w:t xml:space="preserve"> </w:t>
      </w:r>
      <w:r w:rsidR="008D7C72" w:rsidRPr="00784C67">
        <w:rPr>
          <w:szCs w:val="24"/>
        </w:rPr>
        <w:t xml:space="preserve">in response to </w:t>
      </w:r>
      <w:r w:rsidR="00661D5F">
        <w:rPr>
          <w:szCs w:val="24"/>
        </w:rPr>
        <w:t xml:space="preserve">urgent </w:t>
      </w:r>
      <w:r>
        <w:rPr>
          <w:szCs w:val="24"/>
        </w:rPr>
        <w:t xml:space="preserve">requests from </w:t>
      </w:r>
      <w:r w:rsidR="00D8289C">
        <w:rPr>
          <w:szCs w:val="24"/>
        </w:rPr>
        <w:t>state and local health authorities</w:t>
      </w:r>
      <w:r w:rsidR="0022573B">
        <w:rPr>
          <w:szCs w:val="24"/>
        </w:rPr>
        <w:t>. Traditionally</w:t>
      </w:r>
      <w:r w:rsidR="00054253">
        <w:rPr>
          <w:szCs w:val="24"/>
        </w:rPr>
        <w:t>,</w:t>
      </w:r>
      <w:r w:rsidR="0022573B">
        <w:rPr>
          <w:szCs w:val="24"/>
        </w:rPr>
        <w:t xml:space="preserve"> these data collections are conducted in the context of an </w:t>
      </w:r>
      <w:r>
        <w:rPr>
          <w:szCs w:val="24"/>
        </w:rPr>
        <w:t>Epi-Aid</w:t>
      </w:r>
      <w:r w:rsidR="0022573B">
        <w:rPr>
          <w:szCs w:val="24"/>
        </w:rPr>
        <w:t>; however, DORIs may also be conducted in response to a direct request from state or local health departments to NCIPC</w:t>
      </w:r>
      <w:r w:rsidR="005250DD">
        <w:rPr>
          <w:szCs w:val="24"/>
        </w:rPr>
        <w:t xml:space="preserve">. </w:t>
      </w:r>
    </w:p>
    <w:p w14:paraId="240843B3" w14:textId="77777777" w:rsidR="005427BE" w:rsidRDefault="005427BE" w:rsidP="00652D54">
      <w:pPr>
        <w:pStyle w:val="Body1"/>
        <w:ind w:left="720"/>
        <w:rPr>
          <w:szCs w:val="24"/>
        </w:rPr>
      </w:pPr>
    </w:p>
    <w:p w14:paraId="6C19ED29" w14:textId="069B0BFD" w:rsidR="00975656" w:rsidRDefault="007A6CCE" w:rsidP="00652D54">
      <w:pPr>
        <w:pStyle w:val="Body1"/>
        <w:ind w:left="720"/>
        <w:rPr>
          <w:szCs w:val="24"/>
        </w:rPr>
      </w:pPr>
      <w:r>
        <w:rPr>
          <w:szCs w:val="24"/>
        </w:rPr>
        <w:t xml:space="preserve">The goal of DORIs </w:t>
      </w:r>
      <w:r w:rsidR="00F70733">
        <w:rPr>
          <w:szCs w:val="24"/>
        </w:rPr>
        <w:t xml:space="preserve">is </w:t>
      </w:r>
      <w:r>
        <w:rPr>
          <w:szCs w:val="24"/>
        </w:rPr>
        <w:t xml:space="preserve">to </w:t>
      </w:r>
      <w:r w:rsidR="00005127">
        <w:rPr>
          <w:szCs w:val="24"/>
        </w:rPr>
        <w:t xml:space="preserve">collect data to inform responses that can </w:t>
      </w:r>
      <w:r w:rsidR="00A750D6">
        <w:rPr>
          <w:szCs w:val="24"/>
        </w:rPr>
        <w:t>describe an apparent</w:t>
      </w:r>
      <w:r>
        <w:rPr>
          <w:szCs w:val="24"/>
        </w:rPr>
        <w:t xml:space="preserve"> local drug overdose epidemic</w:t>
      </w:r>
      <w:r w:rsidR="005427BE">
        <w:rPr>
          <w:szCs w:val="24"/>
        </w:rPr>
        <w:t>.</w:t>
      </w:r>
      <w:r>
        <w:rPr>
          <w:szCs w:val="24"/>
        </w:rPr>
        <w:t xml:space="preserve"> </w:t>
      </w:r>
      <w:r w:rsidR="00F70733">
        <w:rPr>
          <w:szCs w:val="24"/>
        </w:rPr>
        <w:t xml:space="preserve">When a DORI </w:t>
      </w:r>
      <w:r w:rsidR="00005127">
        <w:rPr>
          <w:szCs w:val="24"/>
        </w:rPr>
        <w:t xml:space="preserve">data collection </w:t>
      </w:r>
      <w:r w:rsidR="00F70733">
        <w:rPr>
          <w:szCs w:val="24"/>
        </w:rPr>
        <w:t xml:space="preserve">is conducted in response to an </w:t>
      </w:r>
      <w:r w:rsidR="0022573B">
        <w:rPr>
          <w:szCs w:val="24"/>
        </w:rPr>
        <w:t xml:space="preserve">urgent </w:t>
      </w:r>
      <w:r w:rsidR="00F70733">
        <w:rPr>
          <w:szCs w:val="24"/>
        </w:rPr>
        <w:t xml:space="preserve">request from a state or local health authority, </w:t>
      </w:r>
      <w:r w:rsidR="00824E8A" w:rsidRPr="00E078F9">
        <w:rPr>
          <w:szCs w:val="24"/>
        </w:rPr>
        <w:t xml:space="preserve">and the data collection meets criteria for review and approval under the Paperwork Reduction Act, </w:t>
      </w:r>
      <w:r w:rsidR="00F70733" w:rsidRPr="00E078F9">
        <w:rPr>
          <w:szCs w:val="24"/>
        </w:rPr>
        <w:t xml:space="preserve">approval will be sought for the data collection through this ICR. </w:t>
      </w:r>
      <w:r w:rsidR="00C56DC3" w:rsidRPr="00E078F9">
        <w:rPr>
          <w:szCs w:val="24"/>
        </w:rPr>
        <w:t xml:space="preserve">Based on previous experience, </w:t>
      </w:r>
      <w:r w:rsidR="005250DD" w:rsidRPr="00E078F9">
        <w:rPr>
          <w:szCs w:val="24"/>
        </w:rPr>
        <w:t xml:space="preserve">NCIPC anticipates that </w:t>
      </w:r>
      <w:r w:rsidR="00F70733" w:rsidRPr="00E078F9">
        <w:rPr>
          <w:szCs w:val="24"/>
        </w:rPr>
        <w:t xml:space="preserve">information will need to be collected to </w:t>
      </w:r>
      <w:r w:rsidR="005250DD" w:rsidRPr="00E078F9">
        <w:rPr>
          <w:szCs w:val="24"/>
        </w:rPr>
        <w:t xml:space="preserve">(a) </w:t>
      </w:r>
      <w:r w:rsidR="0057020E" w:rsidRPr="00E078F9">
        <w:rPr>
          <w:szCs w:val="24"/>
        </w:rPr>
        <w:t xml:space="preserve">understand </w:t>
      </w:r>
      <w:r w:rsidR="00A750D6">
        <w:rPr>
          <w:szCs w:val="24"/>
        </w:rPr>
        <w:t xml:space="preserve">what appears to be </w:t>
      </w:r>
      <w:r w:rsidR="005427BE" w:rsidRPr="00E078F9">
        <w:rPr>
          <w:szCs w:val="24"/>
        </w:rPr>
        <w:t xml:space="preserve">sudden increases in </w:t>
      </w:r>
      <w:r w:rsidR="005250DD" w:rsidRPr="00E078F9">
        <w:rPr>
          <w:szCs w:val="24"/>
        </w:rPr>
        <w:t xml:space="preserve">drug use and misuse associated </w:t>
      </w:r>
      <w:r w:rsidR="005427BE" w:rsidRPr="00E078F9">
        <w:rPr>
          <w:szCs w:val="24"/>
        </w:rPr>
        <w:t xml:space="preserve">with </w:t>
      </w:r>
      <w:r w:rsidR="007C24F4" w:rsidRPr="00E078F9">
        <w:rPr>
          <w:szCs w:val="24"/>
        </w:rPr>
        <w:t>fatal and nonfatal overdoses</w:t>
      </w:r>
      <w:r w:rsidR="005427BE" w:rsidRPr="00E078F9">
        <w:rPr>
          <w:szCs w:val="24"/>
        </w:rPr>
        <w:t xml:space="preserve"> </w:t>
      </w:r>
      <w:r w:rsidRPr="00E078F9">
        <w:rPr>
          <w:szCs w:val="24"/>
        </w:rPr>
        <w:t xml:space="preserve">(e.g., </w:t>
      </w:r>
      <w:r w:rsidR="001E3C25" w:rsidRPr="00E078F9">
        <w:rPr>
          <w:szCs w:val="24"/>
        </w:rPr>
        <w:t>collect data on</w:t>
      </w:r>
      <w:r w:rsidR="00F70733" w:rsidRPr="00E078F9">
        <w:rPr>
          <w:szCs w:val="24"/>
        </w:rPr>
        <w:t xml:space="preserve"> type of drug,</w:t>
      </w:r>
      <w:r w:rsidR="001E3C25" w:rsidRPr="00E078F9">
        <w:rPr>
          <w:szCs w:val="24"/>
        </w:rPr>
        <w:t xml:space="preserve"> </w:t>
      </w:r>
      <w:r w:rsidRPr="00E078F9">
        <w:rPr>
          <w:szCs w:val="24"/>
        </w:rPr>
        <w:t>number of cases, time of increasing trend</w:t>
      </w:r>
      <w:r w:rsidR="007C24F4" w:rsidRPr="00E078F9">
        <w:rPr>
          <w:szCs w:val="24"/>
        </w:rPr>
        <w:t>,</w:t>
      </w:r>
      <w:r w:rsidR="003803D3" w:rsidRPr="00E078F9">
        <w:rPr>
          <w:szCs w:val="24"/>
        </w:rPr>
        <w:t xml:space="preserve"> morbidity and mortality), </w:t>
      </w:r>
      <w:r w:rsidR="00692342" w:rsidRPr="00E078F9">
        <w:rPr>
          <w:szCs w:val="24"/>
        </w:rPr>
        <w:t xml:space="preserve">(b) understand the </w:t>
      </w:r>
      <w:r w:rsidR="00A750D6">
        <w:rPr>
          <w:szCs w:val="24"/>
        </w:rPr>
        <w:t xml:space="preserve">potential </w:t>
      </w:r>
      <w:r w:rsidR="00692342" w:rsidRPr="00E078F9">
        <w:rPr>
          <w:szCs w:val="24"/>
        </w:rPr>
        <w:t>drivers and risk factors associated with those trends</w:t>
      </w:r>
      <w:r w:rsidR="001E3C25" w:rsidRPr="00E078F9">
        <w:rPr>
          <w:szCs w:val="24"/>
        </w:rPr>
        <w:t xml:space="preserve"> (e.g., collect data on circumstances surrounding overdose)</w:t>
      </w:r>
      <w:r w:rsidR="00692342" w:rsidRPr="00E078F9">
        <w:rPr>
          <w:szCs w:val="24"/>
        </w:rPr>
        <w:t xml:space="preserve">, and </w:t>
      </w:r>
      <w:r w:rsidR="003F7482" w:rsidRPr="00E078F9">
        <w:rPr>
          <w:szCs w:val="24"/>
        </w:rPr>
        <w:t>(</w:t>
      </w:r>
      <w:r w:rsidR="00692342" w:rsidRPr="00E078F9">
        <w:rPr>
          <w:szCs w:val="24"/>
        </w:rPr>
        <w:t>c</w:t>
      </w:r>
      <w:r w:rsidR="003F7482" w:rsidRPr="00E078F9">
        <w:rPr>
          <w:szCs w:val="24"/>
        </w:rPr>
        <w:t>) identify the groups most affected</w:t>
      </w:r>
      <w:r w:rsidR="001E3C25" w:rsidRPr="00E078F9">
        <w:rPr>
          <w:szCs w:val="24"/>
        </w:rPr>
        <w:t xml:space="preserve"> (e.g., collect data on emergency department admissions or decedents)</w:t>
      </w:r>
      <w:r w:rsidR="007C24F4" w:rsidRPr="00E078F9">
        <w:rPr>
          <w:szCs w:val="24"/>
        </w:rPr>
        <w:t>.</w:t>
      </w:r>
      <w:r w:rsidR="00824E8A" w:rsidRPr="00E078F9">
        <w:rPr>
          <w:szCs w:val="24"/>
        </w:rPr>
        <w:t xml:space="preserve"> It is expected that investigations will often require collection of information from 10 or more respondents</w:t>
      </w:r>
      <w:r w:rsidR="00E078F9" w:rsidRPr="00E078F9">
        <w:rPr>
          <w:szCs w:val="24"/>
        </w:rPr>
        <w:t xml:space="preserve"> (or 10 or more organizations that serve as respondents)</w:t>
      </w:r>
      <w:r w:rsidR="000F01ED" w:rsidRPr="00E078F9">
        <w:rPr>
          <w:szCs w:val="24"/>
        </w:rPr>
        <w:t>,</w:t>
      </w:r>
      <w:r w:rsidR="00824E8A" w:rsidRPr="00E078F9">
        <w:rPr>
          <w:szCs w:val="24"/>
        </w:rPr>
        <w:t xml:space="preserve"> with the </w:t>
      </w:r>
      <w:r w:rsidR="000F01ED" w:rsidRPr="00E078F9">
        <w:rPr>
          <w:szCs w:val="24"/>
        </w:rPr>
        <w:t xml:space="preserve">collection of information on the same topic and </w:t>
      </w:r>
      <w:r w:rsidR="00824E8A" w:rsidRPr="00E078F9">
        <w:rPr>
          <w:szCs w:val="24"/>
        </w:rPr>
        <w:t>use of similarly structured questions.</w:t>
      </w:r>
      <w:r w:rsidR="00824E8A">
        <w:rPr>
          <w:szCs w:val="24"/>
        </w:rPr>
        <w:t xml:space="preserve"> </w:t>
      </w:r>
      <w:r w:rsidR="007C24F4">
        <w:rPr>
          <w:szCs w:val="24"/>
        </w:rPr>
        <w:t xml:space="preserve"> </w:t>
      </w:r>
    </w:p>
    <w:p w14:paraId="39AC3482" w14:textId="77777777" w:rsidR="007A6CCE" w:rsidRDefault="007A6CCE" w:rsidP="003F7482">
      <w:pPr>
        <w:pStyle w:val="Body1"/>
        <w:rPr>
          <w:szCs w:val="24"/>
        </w:rPr>
      </w:pPr>
    </w:p>
    <w:p w14:paraId="1E672763" w14:textId="6788ECB6" w:rsidR="003F7482" w:rsidRDefault="003F7482" w:rsidP="00573FE3">
      <w:pPr>
        <w:pStyle w:val="Body1"/>
        <w:ind w:left="720"/>
        <w:rPr>
          <w:szCs w:val="24"/>
        </w:rPr>
      </w:pPr>
      <w:r>
        <w:rPr>
          <w:szCs w:val="24"/>
        </w:rPr>
        <w:t xml:space="preserve">Prior to this request, </w:t>
      </w:r>
      <w:r w:rsidR="00F47073">
        <w:rPr>
          <w:szCs w:val="24"/>
        </w:rPr>
        <w:t>NCIPC</w:t>
      </w:r>
      <w:r w:rsidR="00FA4E88">
        <w:rPr>
          <w:szCs w:val="24"/>
        </w:rPr>
        <w:t xml:space="preserve"> </w:t>
      </w:r>
      <w:r w:rsidR="0057020E">
        <w:rPr>
          <w:szCs w:val="24"/>
        </w:rPr>
        <w:t xml:space="preserve">has previously </w:t>
      </w:r>
      <w:r w:rsidR="00005127">
        <w:rPr>
          <w:szCs w:val="24"/>
        </w:rPr>
        <w:t xml:space="preserve">collected data on drug overdose incidents </w:t>
      </w:r>
      <w:proofErr w:type="gramStart"/>
      <w:r w:rsidR="00A750D6">
        <w:rPr>
          <w:szCs w:val="24"/>
        </w:rPr>
        <w:t xml:space="preserve">via </w:t>
      </w:r>
      <w:r>
        <w:rPr>
          <w:szCs w:val="24"/>
        </w:rPr>
        <w:t xml:space="preserve"> </w:t>
      </w:r>
      <w:r>
        <w:t>the</w:t>
      </w:r>
      <w:proofErr w:type="gramEnd"/>
      <w:r>
        <w:t xml:space="preserve"> </w:t>
      </w:r>
      <w:r w:rsidRPr="001550A1">
        <w:t xml:space="preserve">previously </w:t>
      </w:r>
      <w:r w:rsidRPr="00350D54">
        <w:t>OMB-approved Emergency Epidemic Investigations ICR (OMB No. 0920-0008; expiration 7/31/2014).</w:t>
      </w:r>
      <w:r>
        <w:t xml:space="preserve"> The Emergency</w:t>
      </w:r>
      <w:r w:rsidRPr="001550A1">
        <w:t xml:space="preserve"> Epidemic Investigations ICR </w:t>
      </w:r>
      <w:r w:rsidR="00A750D6">
        <w:t xml:space="preserve">was </w:t>
      </w:r>
      <w:r w:rsidRPr="001550A1">
        <w:t>not reinstated fo</w:t>
      </w:r>
      <w:r>
        <w:t xml:space="preserve">llowing expiration, and </w:t>
      </w:r>
      <w:r w:rsidR="00005127">
        <w:t xml:space="preserve">depending on the nature of the drug overdose investigation and nature of the emergency, the </w:t>
      </w:r>
      <w:r>
        <w:t xml:space="preserve">ICR </w:t>
      </w:r>
      <w:r w:rsidR="00A750D6">
        <w:t xml:space="preserve">that replaced it </w:t>
      </w:r>
      <w:r w:rsidR="00FD690C">
        <w:t xml:space="preserve">(OMB No. 0920-1011) </w:t>
      </w:r>
      <w:r w:rsidR="00005127">
        <w:t>may not be appropriate to cover drug overdose investigations that involve data collection</w:t>
      </w:r>
      <w:r>
        <w:t xml:space="preserve">; therefore, we are requesting a generic ICR for </w:t>
      </w:r>
      <w:r w:rsidR="00652D54">
        <w:t xml:space="preserve">DORIs conducted in response to </w:t>
      </w:r>
      <w:r w:rsidR="0022573B">
        <w:t xml:space="preserve">urgent data collection </w:t>
      </w:r>
      <w:r w:rsidR="00652D54">
        <w:t>requests from states</w:t>
      </w:r>
      <w:r>
        <w:t>.</w:t>
      </w:r>
      <w:r w:rsidR="000E20DA">
        <w:t xml:space="preserve"> </w:t>
      </w:r>
      <w:r w:rsidR="000E20DA" w:rsidRPr="00784C67">
        <w:rPr>
          <w:szCs w:val="24"/>
        </w:rPr>
        <w:t xml:space="preserve">The legal justification for </w:t>
      </w:r>
      <w:r w:rsidR="000E20DA">
        <w:rPr>
          <w:szCs w:val="24"/>
        </w:rPr>
        <w:t xml:space="preserve">conducting </w:t>
      </w:r>
      <w:r w:rsidR="000E20DA">
        <w:rPr>
          <w:szCs w:val="24"/>
        </w:rPr>
        <w:lastRenderedPageBreak/>
        <w:t xml:space="preserve">emergency requests from states about drug overdose can be </w:t>
      </w:r>
      <w:r w:rsidR="000E20DA" w:rsidRPr="00784C67">
        <w:rPr>
          <w:szCs w:val="24"/>
        </w:rPr>
        <w:t>found in the Public Health Service Act (42 USC Sec. 301 [241] (a) (</w:t>
      </w:r>
      <w:r w:rsidR="000E20DA" w:rsidRPr="00B06F4C">
        <w:rPr>
          <w:szCs w:val="24"/>
        </w:rPr>
        <w:t xml:space="preserve">Authorizing Legislation, </w:t>
      </w:r>
      <w:r w:rsidR="000E20DA" w:rsidRPr="00B06F4C">
        <w:rPr>
          <w:b/>
          <w:szCs w:val="24"/>
        </w:rPr>
        <w:t>Attachment A</w:t>
      </w:r>
      <w:r w:rsidR="000E20DA" w:rsidRPr="00B06F4C">
        <w:rPr>
          <w:szCs w:val="24"/>
        </w:rPr>
        <w:t>)</w:t>
      </w:r>
      <w:r w:rsidR="000E20DA">
        <w:rPr>
          <w:szCs w:val="24"/>
        </w:rPr>
        <w:t>.</w:t>
      </w:r>
      <w:r>
        <w:t xml:space="preserve"> </w:t>
      </w:r>
    </w:p>
    <w:p w14:paraId="765EB15E" w14:textId="77777777" w:rsidR="003F7482" w:rsidRDefault="003F7482" w:rsidP="00573FE3">
      <w:pPr>
        <w:pStyle w:val="Body1"/>
        <w:ind w:left="720"/>
        <w:rPr>
          <w:szCs w:val="24"/>
        </w:rPr>
      </w:pPr>
    </w:p>
    <w:p w14:paraId="29C74A07" w14:textId="53A98AD4" w:rsidR="0068451A" w:rsidRDefault="00BE429F" w:rsidP="00052F35">
      <w:pPr>
        <w:pStyle w:val="Body1"/>
        <w:ind w:left="720"/>
        <w:rPr>
          <w:szCs w:val="24"/>
        </w:rPr>
      </w:pPr>
      <w:r w:rsidRPr="00BE429F">
        <w:rPr>
          <w:szCs w:val="24"/>
        </w:rPr>
        <w:t>Generic clearance is requested to ensure th</w:t>
      </w:r>
      <w:r w:rsidR="00ED6B8B">
        <w:rPr>
          <w:szCs w:val="24"/>
        </w:rPr>
        <w:t>at</w:t>
      </w:r>
      <w:r w:rsidRPr="00BE429F">
        <w:rPr>
          <w:szCs w:val="24"/>
        </w:rPr>
        <w:t xml:space="preserve"> timely information </w:t>
      </w:r>
      <w:r w:rsidR="00ED6B8B">
        <w:rPr>
          <w:szCs w:val="24"/>
        </w:rPr>
        <w:t xml:space="preserve">is </w:t>
      </w:r>
      <w:r w:rsidRPr="00BE429F">
        <w:rPr>
          <w:szCs w:val="24"/>
        </w:rPr>
        <w:t>collect</w:t>
      </w:r>
      <w:r w:rsidR="00C56DC3">
        <w:rPr>
          <w:szCs w:val="24"/>
        </w:rPr>
        <w:t xml:space="preserve">ed during a DORI, </w:t>
      </w:r>
      <w:r w:rsidR="00ED6B8B">
        <w:rPr>
          <w:szCs w:val="24"/>
        </w:rPr>
        <w:t xml:space="preserve">which </w:t>
      </w:r>
      <w:r w:rsidRPr="00BE429F">
        <w:rPr>
          <w:szCs w:val="24"/>
        </w:rPr>
        <w:t>allow</w:t>
      </w:r>
      <w:r w:rsidR="00ED6B8B">
        <w:rPr>
          <w:szCs w:val="24"/>
        </w:rPr>
        <w:t>s</w:t>
      </w:r>
      <w:r w:rsidRPr="00BE429F">
        <w:rPr>
          <w:szCs w:val="24"/>
        </w:rPr>
        <w:t xml:space="preserve"> </w:t>
      </w:r>
      <w:r w:rsidR="00F47073">
        <w:rPr>
          <w:szCs w:val="24"/>
        </w:rPr>
        <w:t>NCIPC</w:t>
      </w:r>
      <w:r w:rsidR="00C56DC3">
        <w:rPr>
          <w:szCs w:val="24"/>
        </w:rPr>
        <w:t xml:space="preserve"> </w:t>
      </w:r>
      <w:r w:rsidRPr="00BE429F">
        <w:rPr>
          <w:szCs w:val="24"/>
        </w:rPr>
        <w:t xml:space="preserve">to maintain critical mission function by working with </w:t>
      </w:r>
      <w:r w:rsidR="00D8289C">
        <w:rPr>
          <w:szCs w:val="24"/>
        </w:rPr>
        <w:t xml:space="preserve">state and local health authorities </w:t>
      </w:r>
      <w:r w:rsidRPr="00BE429F">
        <w:rPr>
          <w:szCs w:val="24"/>
        </w:rPr>
        <w:t xml:space="preserve">to </w:t>
      </w:r>
      <w:r w:rsidR="00D8289C">
        <w:rPr>
          <w:szCs w:val="24"/>
        </w:rPr>
        <w:t>protect the public’s health</w:t>
      </w:r>
      <w:r w:rsidRPr="00BE429F">
        <w:rPr>
          <w:szCs w:val="24"/>
        </w:rPr>
        <w:t xml:space="preserve">. </w:t>
      </w:r>
      <w:r w:rsidR="002A01BE">
        <w:rPr>
          <w:szCs w:val="24"/>
        </w:rPr>
        <w:t>During an</w:t>
      </w:r>
      <w:r w:rsidR="007C0C42">
        <w:rPr>
          <w:szCs w:val="24"/>
        </w:rPr>
        <w:t xml:space="preserve"> unanticipated </w:t>
      </w:r>
      <w:r w:rsidR="00C56DC3">
        <w:rPr>
          <w:szCs w:val="24"/>
        </w:rPr>
        <w:t>rise in</w:t>
      </w:r>
      <w:r w:rsidR="00054253">
        <w:rPr>
          <w:szCs w:val="24"/>
        </w:rPr>
        <w:t xml:space="preserve"> a</w:t>
      </w:r>
      <w:r w:rsidR="00C56DC3">
        <w:rPr>
          <w:szCs w:val="24"/>
        </w:rPr>
        <w:t xml:space="preserve"> nonfatal or fatal drug overdose where </w:t>
      </w:r>
      <w:r w:rsidR="00692342">
        <w:rPr>
          <w:szCs w:val="24"/>
        </w:rPr>
        <w:t xml:space="preserve">the </w:t>
      </w:r>
      <w:r w:rsidR="00F70733">
        <w:rPr>
          <w:szCs w:val="24"/>
        </w:rPr>
        <w:t xml:space="preserve">substances responsible for the health event need to be identified, </w:t>
      </w:r>
      <w:r w:rsidR="00692342">
        <w:rPr>
          <w:szCs w:val="24"/>
        </w:rPr>
        <w:t>drivers and risk factors are undetermined, and</w:t>
      </w:r>
      <w:r w:rsidR="00F70733">
        <w:rPr>
          <w:szCs w:val="24"/>
        </w:rPr>
        <w:t>/or</w:t>
      </w:r>
      <w:r w:rsidR="00692342">
        <w:rPr>
          <w:szCs w:val="24"/>
        </w:rPr>
        <w:t xml:space="preserve"> subgroups at risk need to be identified, immediate </w:t>
      </w:r>
      <w:r w:rsidR="002A01BE">
        <w:rPr>
          <w:szCs w:val="24"/>
        </w:rPr>
        <w:t xml:space="preserve">action </w:t>
      </w:r>
      <w:r w:rsidR="0022047D">
        <w:rPr>
          <w:szCs w:val="24"/>
        </w:rPr>
        <w:t xml:space="preserve">by CDC </w:t>
      </w:r>
      <w:r w:rsidR="002A01BE">
        <w:rPr>
          <w:szCs w:val="24"/>
        </w:rPr>
        <w:t xml:space="preserve">is necessary to minimize or prevent public harm. </w:t>
      </w:r>
      <w:r w:rsidR="00937BBE">
        <w:rPr>
          <w:szCs w:val="24"/>
        </w:rPr>
        <w:t xml:space="preserve">CDC must have the ability to rapidly </w:t>
      </w:r>
      <w:r w:rsidR="00F47073">
        <w:rPr>
          <w:szCs w:val="24"/>
        </w:rPr>
        <w:t xml:space="preserve">deploy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A750D6">
        <w:rPr>
          <w:szCs w:val="24"/>
        </w:rPr>
        <w:t xml:space="preserve">provide advice regarding </w:t>
      </w:r>
      <w:r w:rsidR="00937BBE">
        <w:rPr>
          <w:szCs w:val="24"/>
        </w:rPr>
        <w:t>appropriate action</w:t>
      </w:r>
      <w:r w:rsidR="0052206B">
        <w:rPr>
          <w:szCs w:val="24"/>
        </w:rPr>
        <w:t>.</w:t>
      </w:r>
      <w:r w:rsidR="00937BBE">
        <w:rPr>
          <w:szCs w:val="24"/>
        </w:rPr>
        <w:t xml:space="preserve"> </w:t>
      </w:r>
      <w:r w:rsidR="00A730A0">
        <w:rPr>
          <w:szCs w:val="24"/>
        </w:rPr>
        <w:t>CDC see</w:t>
      </w:r>
      <w:r w:rsidR="009C2D3D">
        <w:rPr>
          <w:szCs w:val="24"/>
        </w:rPr>
        <w:t>ks approval for this</w:t>
      </w:r>
      <w:r w:rsidR="00483688">
        <w:rPr>
          <w:szCs w:val="24"/>
        </w:rPr>
        <w:t xml:space="preserve"> </w:t>
      </w:r>
      <w:r>
        <w:rPr>
          <w:szCs w:val="24"/>
        </w:rPr>
        <w:t>Generic ICR</w:t>
      </w:r>
      <w:r w:rsidR="00483688">
        <w:rPr>
          <w:szCs w:val="24"/>
        </w:rPr>
        <w:t xml:space="preserve"> </w:t>
      </w:r>
      <w:r w:rsidR="00A730A0">
        <w:rPr>
          <w:szCs w:val="24"/>
        </w:rPr>
        <w:t xml:space="preserve">to ensure </w:t>
      </w:r>
      <w:r w:rsidR="0052206B">
        <w:rPr>
          <w:szCs w:val="24"/>
        </w:rPr>
        <w:t xml:space="preserve">that the Agency is poised </w:t>
      </w:r>
      <w:r w:rsidR="00A730A0">
        <w:rPr>
          <w:szCs w:val="24"/>
        </w:rPr>
        <w:t xml:space="preserve">to </w:t>
      </w:r>
      <w:r w:rsidR="0052206B">
        <w:rPr>
          <w:szCs w:val="24"/>
        </w:rPr>
        <w:t xml:space="preserve">mobilize quickly and </w:t>
      </w:r>
      <w:r w:rsidR="00F47073">
        <w:rPr>
          <w:szCs w:val="24"/>
        </w:rPr>
        <w:t xml:space="preserve">mitigate </w:t>
      </w:r>
      <w:r w:rsidR="00A730A0">
        <w:rPr>
          <w:szCs w:val="24"/>
        </w:rPr>
        <w:t xml:space="preserve">harm to the public when </w:t>
      </w:r>
      <w:r w:rsidR="0002517B">
        <w:rPr>
          <w:szCs w:val="24"/>
        </w:rPr>
        <w:t xml:space="preserve">urgent </w:t>
      </w:r>
      <w:r w:rsidR="00A730A0">
        <w:rPr>
          <w:szCs w:val="24"/>
        </w:rPr>
        <w:t xml:space="preserve">epidemiologic </w:t>
      </w:r>
      <w:r w:rsidR="009F02CB">
        <w:rPr>
          <w:szCs w:val="24"/>
        </w:rPr>
        <w:t xml:space="preserve">data collection </w:t>
      </w:r>
      <w:r w:rsidR="00A730A0">
        <w:rPr>
          <w:szCs w:val="24"/>
        </w:rPr>
        <w:t xml:space="preserve">support is requested by our </w:t>
      </w:r>
      <w:r w:rsidR="00692342">
        <w:rPr>
          <w:szCs w:val="24"/>
        </w:rPr>
        <w:t xml:space="preserve">state </w:t>
      </w:r>
      <w:r w:rsidR="00D8289C">
        <w:rPr>
          <w:szCs w:val="24"/>
        </w:rPr>
        <w:t xml:space="preserve">and local health authority </w:t>
      </w:r>
      <w:r w:rsidR="00A730A0">
        <w:rPr>
          <w:szCs w:val="24"/>
        </w:rPr>
        <w:t>partners</w:t>
      </w:r>
      <w:r w:rsidR="00824E8A" w:rsidRPr="00E078F9">
        <w:rPr>
          <w:szCs w:val="24"/>
        </w:rPr>
        <w:t>, and that data collection</w:t>
      </w:r>
      <w:r w:rsidR="00A750D6">
        <w:rPr>
          <w:szCs w:val="24"/>
        </w:rPr>
        <w:t xml:space="preserve"> will be from ten or more respondents</w:t>
      </w:r>
      <w:r w:rsidR="00A730A0" w:rsidRPr="00E078F9">
        <w:rPr>
          <w:szCs w:val="24"/>
        </w:rPr>
        <w:t>.</w:t>
      </w:r>
      <w:r w:rsidR="00A730A0">
        <w:rPr>
          <w:szCs w:val="24"/>
        </w:rPr>
        <w:t xml:space="preserve"> </w:t>
      </w:r>
    </w:p>
    <w:p w14:paraId="5D6FB127" w14:textId="77777777" w:rsidR="00052F35" w:rsidRDefault="00052F35" w:rsidP="00D506FF">
      <w:pPr>
        <w:pStyle w:val="Body1"/>
        <w:tabs>
          <w:tab w:val="left" w:pos="720"/>
        </w:tabs>
        <w:rPr>
          <w:b/>
          <w:szCs w:val="24"/>
        </w:rPr>
      </w:pPr>
    </w:p>
    <w:p w14:paraId="20EC115E" w14:textId="77777777" w:rsidR="00527A26" w:rsidRPr="0072690B" w:rsidRDefault="00D506FF" w:rsidP="00D506FF">
      <w:pPr>
        <w:pStyle w:val="Body1"/>
        <w:tabs>
          <w:tab w:val="left" w:pos="720"/>
        </w:tabs>
        <w:rPr>
          <w:b/>
          <w:szCs w:val="24"/>
        </w:rPr>
      </w:pPr>
      <w:r w:rsidRPr="0072690B">
        <w:rPr>
          <w:b/>
          <w:szCs w:val="24"/>
        </w:rPr>
        <w:t>2.</w:t>
      </w:r>
      <w:r w:rsidRPr="0072690B">
        <w:rPr>
          <w:b/>
          <w:szCs w:val="24"/>
        </w:rPr>
        <w:tab/>
      </w:r>
      <w:r w:rsidR="00527A26" w:rsidRPr="0072690B">
        <w:rPr>
          <w:b/>
          <w:szCs w:val="24"/>
        </w:rPr>
        <w:t>Purpose and Use of Information</w:t>
      </w:r>
      <w:r w:rsidR="00090414" w:rsidRPr="0072690B">
        <w:rPr>
          <w:b/>
          <w:szCs w:val="24"/>
        </w:rPr>
        <w:t xml:space="preserve"> Collection</w:t>
      </w:r>
    </w:p>
    <w:p w14:paraId="1B6301B7" w14:textId="77777777" w:rsidR="00527A26" w:rsidRPr="0072690B" w:rsidRDefault="00527A26" w:rsidP="00D506FF">
      <w:pPr>
        <w:pStyle w:val="Body1"/>
        <w:tabs>
          <w:tab w:val="num" w:pos="720"/>
          <w:tab w:val="left" w:pos="1710"/>
        </w:tabs>
        <w:rPr>
          <w:b/>
          <w:szCs w:val="24"/>
        </w:rPr>
      </w:pPr>
    </w:p>
    <w:p w14:paraId="404596A8" w14:textId="6EE134AC" w:rsidR="00D43FCF" w:rsidRPr="00377F69" w:rsidRDefault="00BF16E8" w:rsidP="00E42377">
      <w:pPr>
        <w:pStyle w:val="Body1"/>
        <w:tabs>
          <w:tab w:val="num" w:pos="720"/>
          <w:tab w:val="left" w:pos="1710"/>
        </w:tabs>
        <w:ind w:left="720"/>
        <w:rPr>
          <w:szCs w:val="24"/>
        </w:rPr>
      </w:pPr>
      <w:r>
        <w:rPr>
          <w:szCs w:val="24"/>
        </w:rPr>
        <w:t>The purpose</w:t>
      </w:r>
      <w:r w:rsidR="002D2095">
        <w:rPr>
          <w:szCs w:val="24"/>
        </w:rPr>
        <w:t xml:space="preserve"> of this </w:t>
      </w:r>
      <w:r w:rsidR="00BF49BC">
        <w:rPr>
          <w:szCs w:val="24"/>
        </w:rPr>
        <w:t>ICR</w:t>
      </w:r>
      <w:r w:rsidR="00FA71DD">
        <w:rPr>
          <w:szCs w:val="24"/>
        </w:rPr>
        <w:t xml:space="preserve"> </w:t>
      </w:r>
      <w:r w:rsidR="002D2095">
        <w:rPr>
          <w:szCs w:val="24"/>
        </w:rPr>
        <w:t xml:space="preserve">is to </w:t>
      </w:r>
      <w:r w:rsidR="00D43FCF">
        <w:rPr>
          <w:szCs w:val="24"/>
        </w:rPr>
        <w:t xml:space="preserve">allow for rapid data collection within Drug Overdose Response Investigations (DORIs) that are conducted in response to </w:t>
      </w:r>
      <w:r w:rsidR="0022573B">
        <w:rPr>
          <w:szCs w:val="24"/>
        </w:rPr>
        <w:t xml:space="preserve">an urgent </w:t>
      </w:r>
      <w:r w:rsidR="00D43FCF">
        <w:rPr>
          <w:szCs w:val="24"/>
        </w:rPr>
        <w:t>request for assistance from state</w:t>
      </w:r>
      <w:r w:rsidR="00F70733">
        <w:rPr>
          <w:szCs w:val="24"/>
        </w:rPr>
        <w:t xml:space="preserve"> or local health authoritie</w:t>
      </w:r>
      <w:r w:rsidR="00D43FCF">
        <w:rPr>
          <w:szCs w:val="24"/>
        </w:rPr>
        <w:t xml:space="preserve">s. </w:t>
      </w:r>
      <w:r w:rsidR="000F01ED">
        <w:rPr>
          <w:szCs w:val="24"/>
        </w:rPr>
        <w:t xml:space="preserve">This </w:t>
      </w:r>
      <w:r w:rsidR="00D43FCF">
        <w:rPr>
          <w:szCs w:val="24"/>
        </w:rPr>
        <w:t xml:space="preserve">data collection will allow for the gathering of information </w:t>
      </w:r>
      <w:r w:rsidR="00E42377">
        <w:rPr>
          <w:szCs w:val="24"/>
        </w:rPr>
        <w:t xml:space="preserve">about drug use and misuse and associated fatal and nonfatal overdoses to </w:t>
      </w:r>
      <w:r w:rsidR="00D43FCF">
        <w:rPr>
          <w:szCs w:val="24"/>
        </w:rPr>
        <w:t>identify actions that can be taken to control a local drug overdose epidemic. To accomplish this objective, d</w:t>
      </w:r>
      <w:r w:rsidR="00D43FCF" w:rsidRPr="00B06F4C">
        <w:rPr>
          <w:szCs w:val="24"/>
        </w:rPr>
        <w:t xml:space="preserve">ata on the conditions surrounding and preceding the onset of </w:t>
      </w:r>
      <w:r w:rsidR="00D43FCF">
        <w:rPr>
          <w:szCs w:val="24"/>
        </w:rPr>
        <w:t xml:space="preserve">the drug overdose events of interest </w:t>
      </w:r>
      <w:r w:rsidR="00D43FCF" w:rsidRPr="00B06F4C">
        <w:rPr>
          <w:szCs w:val="24"/>
        </w:rPr>
        <w:t xml:space="preserve">must be collected </w:t>
      </w:r>
      <w:r w:rsidR="00D43FCF">
        <w:rPr>
          <w:szCs w:val="24"/>
        </w:rPr>
        <w:t xml:space="preserve">rapidly. The negative consequence of not performing this data collection is the inability to respond to state technical assistance requests and resulting increase or sustained morbidity and mortality associated with the local drug overdose epidemic. </w:t>
      </w:r>
    </w:p>
    <w:p w14:paraId="48B18851" w14:textId="77777777" w:rsidR="00D43FCF" w:rsidRDefault="00D43FCF" w:rsidP="001922D0">
      <w:pPr>
        <w:pStyle w:val="Body1"/>
        <w:tabs>
          <w:tab w:val="num" w:pos="720"/>
          <w:tab w:val="left" w:pos="1710"/>
        </w:tabs>
        <w:ind w:left="720"/>
        <w:rPr>
          <w:szCs w:val="24"/>
        </w:rPr>
      </w:pPr>
    </w:p>
    <w:p w14:paraId="5DC76ABC" w14:textId="77777777" w:rsidR="00E14D26" w:rsidRPr="008B0D1B" w:rsidRDefault="00E14D26" w:rsidP="00E14D26">
      <w:pPr>
        <w:pStyle w:val="Body1"/>
        <w:ind w:left="720"/>
        <w:rPr>
          <w:szCs w:val="24"/>
          <w:lang w:val="en"/>
        </w:rPr>
      </w:pPr>
      <w:r w:rsidRPr="00F70733">
        <w:rPr>
          <w:b/>
          <w:szCs w:val="24"/>
          <w:u w:val="single"/>
        </w:rPr>
        <w:t>Need</w:t>
      </w:r>
      <w:r w:rsidRPr="008B0D1B">
        <w:rPr>
          <w:szCs w:val="24"/>
        </w:rPr>
        <w:t xml:space="preserve">. </w:t>
      </w:r>
      <w:r w:rsidRPr="008B0D1B">
        <w:rPr>
          <w:szCs w:val="24"/>
          <w:lang w:val="en"/>
        </w:rPr>
        <w:t>Deaths from drug overdose have been rising steadily over the past two decades and have become the leading cause of injury death in the United States. Every day in the United States, 105 people die as a result of drug overdose, and another 6,748 are treated in emergency departments (ED) for the misuse or abuse of drugs. In 2010, of the 38,329 drug overdose deaths in the United States, 22,134 (60%) were related to pharmaceuticals. Of these prescription drug overdose deaths, 16,651 (75%) involved opioid analgesics (also called opioid pain relievers or prescription painkillers), and 6,497 (30%) involved benzodiazepines. In 2011, about 1.4 million ED visits involved the nonmedical use of pharmaceuticals. Among those ED visits, 501,207 visits were related to anti-anxiety and insomnia medications, and 420,040 visits were related to opioid analgesics. Benzodiazepines are frequently found among people treated in EDs for misusing or abusing drugs. People who died of drug overdoses often had a combination of benzodi</w:t>
      </w:r>
      <w:r w:rsidRPr="000E6CAF">
        <w:rPr>
          <w:szCs w:val="24"/>
          <w:lang w:val="en"/>
        </w:rPr>
        <w:t>a</w:t>
      </w:r>
      <w:r w:rsidRPr="008B0D1B">
        <w:rPr>
          <w:szCs w:val="24"/>
          <w:lang w:val="en"/>
        </w:rPr>
        <w:t>zepines and opioid analgesics in their bodies.</w:t>
      </w:r>
    </w:p>
    <w:p w14:paraId="465689EF" w14:textId="77777777" w:rsidR="00E14D26" w:rsidRPr="008B0D1B" w:rsidRDefault="00E14D26" w:rsidP="00E14D26">
      <w:pPr>
        <w:pStyle w:val="Body1"/>
        <w:ind w:left="720"/>
        <w:rPr>
          <w:szCs w:val="24"/>
        </w:rPr>
      </w:pPr>
    </w:p>
    <w:p w14:paraId="00F67549" w14:textId="77777777" w:rsidR="00E14D26" w:rsidRDefault="00E14D26" w:rsidP="00D43FCF">
      <w:pPr>
        <w:pStyle w:val="Body1"/>
        <w:ind w:left="720"/>
        <w:rPr>
          <w:szCs w:val="24"/>
        </w:rPr>
      </w:pPr>
      <w:r>
        <w:rPr>
          <w:szCs w:val="24"/>
        </w:rPr>
        <w:t xml:space="preserve">State and local health authorities are responsible for tracking and controlling local epidemics. However, state and local health authorities often require epidemiologic assistance and support from CDC to assist in data collection so that complex and </w:t>
      </w:r>
      <w:r>
        <w:rPr>
          <w:szCs w:val="24"/>
        </w:rPr>
        <w:lastRenderedPageBreak/>
        <w:t xml:space="preserve">immediate demands for information can be met. Authorities rely on </w:t>
      </w:r>
      <w:r w:rsidRPr="00962D6E">
        <w:rPr>
          <w:szCs w:val="24"/>
        </w:rPr>
        <w:t xml:space="preserve">CDC </w:t>
      </w:r>
      <w:r>
        <w:rPr>
          <w:szCs w:val="24"/>
        </w:rPr>
        <w:t xml:space="preserve">to respond quickly to their requests for </w:t>
      </w:r>
      <w:r w:rsidRPr="00962D6E">
        <w:rPr>
          <w:szCs w:val="24"/>
        </w:rPr>
        <w:t xml:space="preserve">short-term </w:t>
      </w:r>
      <w:r>
        <w:rPr>
          <w:szCs w:val="24"/>
        </w:rPr>
        <w:t xml:space="preserve">data collection support. NCIPC is </w:t>
      </w:r>
      <w:r w:rsidRPr="00962D6E">
        <w:rPr>
          <w:szCs w:val="24"/>
        </w:rPr>
        <w:t>unique</w:t>
      </w:r>
      <w:r>
        <w:rPr>
          <w:szCs w:val="24"/>
        </w:rPr>
        <w:t xml:space="preserve">ly qualified to assist in data collection on drug overdose using DORIs given its expertise </w:t>
      </w:r>
      <w:r w:rsidRPr="00377F69">
        <w:rPr>
          <w:szCs w:val="24"/>
        </w:rPr>
        <w:t xml:space="preserve">in </w:t>
      </w:r>
      <w:r>
        <w:rPr>
          <w:szCs w:val="24"/>
        </w:rPr>
        <w:t xml:space="preserve">investigating emerging trends in drug overdose, the drivers and risk factors associated with trends, and the groups </w:t>
      </w:r>
      <w:r w:rsidR="00D97E72">
        <w:rPr>
          <w:szCs w:val="24"/>
        </w:rPr>
        <w:t xml:space="preserve">most </w:t>
      </w:r>
      <w:r>
        <w:rPr>
          <w:szCs w:val="24"/>
        </w:rPr>
        <w:t xml:space="preserve">affected. </w:t>
      </w:r>
    </w:p>
    <w:p w14:paraId="09FE34BC" w14:textId="77777777" w:rsidR="00E14D26" w:rsidRDefault="00E14D26" w:rsidP="00F46FA7">
      <w:pPr>
        <w:pStyle w:val="Body1"/>
        <w:tabs>
          <w:tab w:val="num" w:pos="720"/>
          <w:tab w:val="left" w:pos="1710"/>
        </w:tabs>
        <w:ind w:left="720"/>
        <w:rPr>
          <w:szCs w:val="24"/>
        </w:rPr>
      </w:pPr>
    </w:p>
    <w:p w14:paraId="7839C126" w14:textId="77777777" w:rsidR="00E14D26" w:rsidRDefault="00E14D26" w:rsidP="00E14D26">
      <w:pPr>
        <w:pStyle w:val="Body1"/>
        <w:ind w:left="720"/>
        <w:rPr>
          <w:szCs w:val="24"/>
        </w:rPr>
      </w:pPr>
      <w:proofErr w:type="gramStart"/>
      <w:r w:rsidRPr="00F70733">
        <w:rPr>
          <w:b/>
          <w:szCs w:val="24"/>
          <w:u w:val="single"/>
        </w:rPr>
        <w:t>Circumstances</w:t>
      </w:r>
      <w:r>
        <w:rPr>
          <w:szCs w:val="24"/>
          <w:u w:val="single"/>
        </w:rPr>
        <w:t>.</w:t>
      </w:r>
      <w:proofErr w:type="gramEnd"/>
      <w:r>
        <w:rPr>
          <w:szCs w:val="24"/>
        </w:rPr>
        <w:t xml:space="preserve"> This generic clearance is being established to address drug overdose </w:t>
      </w:r>
    </w:p>
    <w:p w14:paraId="5AB3C4A1" w14:textId="77777777" w:rsidR="00E14D26" w:rsidRDefault="00E14D26" w:rsidP="00E14D26">
      <w:pPr>
        <w:pStyle w:val="Body1"/>
        <w:ind w:left="720"/>
        <w:rPr>
          <w:szCs w:val="24"/>
        </w:rPr>
      </w:pPr>
      <w:r>
        <w:rPr>
          <w:szCs w:val="24"/>
        </w:rPr>
        <w:t xml:space="preserve">when there is a request from state </w:t>
      </w:r>
      <w:r w:rsidR="00350D54">
        <w:rPr>
          <w:szCs w:val="24"/>
        </w:rPr>
        <w:t xml:space="preserve">or </w:t>
      </w:r>
      <w:r>
        <w:rPr>
          <w:szCs w:val="24"/>
        </w:rPr>
        <w:t xml:space="preserve">local health authorities to investigate </w:t>
      </w:r>
      <w:r w:rsidR="00350D54">
        <w:rPr>
          <w:szCs w:val="24"/>
        </w:rPr>
        <w:t xml:space="preserve">alarming and </w:t>
      </w:r>
      <w:r>
        <w:rPr>
          <w:szCs w:val="24"/>
        </w:rPr>
        <w:t>emerging trends in drug overdose</w:t>
      </w:r>
      <w:r w:rsidR="00350D54">
        <w:rPr>
          <w:szCs w:val="24"/>
        </w:rPr>
        <w:t xml:space="preserve"> that require immediate response</w:t>
      </w:r>
      <w:r>
        <w:rPr>
          <w:szCs w:val="24"/>
        </w:rPr>
        <w:t xml:space="preserve">, the drivers and risk factors associated with </w:t>
      </w:r>
      <w:r w:rsidR="00350D54">
        <w:rPr>
          <w:szCs w:val="24"/>
        </w:rPr>
        <w:t xml:space="preserve">such </w:t>
      </w:r>
      <w:r>
        <w:rPr>
          <w:szCs w:val="24"/>
        </w:rPr>
        <w:t xml:space="preserve">trends, and the groups most affected. </w:t>
      </w:r>
      <w:r w:rsidR="00D8546F" w:rsidRPr="003E4F3A">
        <w:rPr>
          <w:szCs w:val="24"/>
        </w:rPr>
        <w:t xml:space="preserve">When assistance is requested by a </w:t>
      </w:r>
      <w:r w:rsidR="00D8546F">
        <w:rPr>
          <w:szCs w:val="24"/>
        </w:rPr>
        <w:t xml:space="preserve">state or local health authority, CDC </w:t>
      </w:r>
      <w:r w:rsidR="00D8546F" w:rsidRPr="003E4F3A">
        <w:rPr>
          <w:szCs w:val="24"/>
        </w:rPr>
        <w:t>makes every effort to respond by</w:t>
      </w:r>
      <w:r w:rsidR="00D8546F" w:rsidRPr="00784C67">
        <w:rPr>
          <w:szCs w:val="24"/>
        </w:rPr>
        <w:t xml:space="preserve"> </w:t>
      </w:r>
      <w:r w:rsidR="00D8546F">
        <w:rPr>
          <w:szCs w:val="24"/>
        </w:rPr>
        <w:t xml:space="preserve">providing data collection support to inform public health action. </w:t>
      </w:r>
      <w:r>
        <w:rPr>
          <w:szCs w:val="24"/>
        </w:rPr>
        <w:t xml:space="preserve">Requests for DORIs </w:t>
      </w:r>
      <w:r w:rsidR="00D43FCF">
        <w:rPr>
          <w:szCs w:val="24"/>
        </w:rPr>
        <w:t xml:space="preserve">will </w:t>
      </w:r>
      <w:r w:rsidR="0022573B">
        <w:rPr>
          <w:szCs w:val="24"/>
        </w:rPr>
        <w:t xml:space="preserve">typically </w:t>
      </w:r>
      <w:r>
        <w:rPr>
          <w:szCs w:val="24"/>
        </w:rPr>
        <w:t>emerge through the Epi-Aid mechanism.</w:t>
      </w:r>
      <w:r w:rsidR="00F70733">
        <w:rPr>
          <w:szCs w:val="24"/>
        </w:rPr>
        <w:t xml:space="preserve"> </w:t>
      </w:r>
    </w:p>
    <w:p w14:paraId="3D8B336C" w14:textId="77777777" w:rsidR="00E14D26" w:rsidRDefault="00E14D26" w:rsidP="00E14D26">
      <w:pPr>
        <w:pStyle w:val="Body1"/>
        <w:ind w:left="720"/>
        <w:rPr>
          <w:szCs w:val="24"/>
        </w:rPr>
      </w:pPr>
    </w:p>
    <w:p w14:paraId="20409565" w14:textId="77777777" w:rsidR="00E14D26" w:rsidRDefault="00D97E72" w:rsidP="00E14D26">
      <w:pPr>
        <w:pStyle w:val="Body1"/>
        <w:ind w:left="720"/>
        <w:rPr>
          <w:szCs w:val="24"/>
        </w:rPr>
      </w:pPr>
      <w:r>
        <w:rPr>
          <w:szCs w:val="24"/>
        </w:rPr>
        <w:t>When the need to collect data from 10 or more entities is indicated, t</w:t>
      </w:r>
      <w:r w:rsidR="00E14D26">
        <w:rPr>
          <w:szCs w:val="24"/>
        </w:rPr>
        <w:t>he circumstances that justify a</w:t>
      </w:r>
      <w:r w:rsidR="0022573B">
        <w:rPr>
          <w:szCs w:val="24"/>
        </w:rPr>
        <w:t>n urgent</w:t>
      </w:r>
      <w:r w:rsidR="00E14D26">
        <w:rPr>
          <w:szCs w:val="24"/>
        </w:rPr>
        <w:t xml:space="preserve"> DORI </w:t>
      </w:r>
      <w:r w:rsidR="0022573B">
        <w:rPr>
          <w:szCs w:val="24"/>
        </w:rPr>
        <w:t xml:space="preserve">data collection </w:t>
      </w:r>
      <w:r w:rsidR="00FD6459">
        <w:rPr>
          <w:szCs w:val="24"/>
        </w:rPr>
        <w:t>include</w:t>
      </w:r>
      <w:r w:rsidR="00E14D26">
        <w:rPr>
          <w:szCs w:val="24"/>
        </w:rPr>
        <w:t>:</w:t>
      </w:r>
    </w:p>
    <w:p w14:paraId="68B01164" w14:textId="77777777" w:rsidR="00E14D26" w:rsidRDefault="00E14D26" w:rsidP="00E14D26">
      <w:pPr>
        <w:pStyle w:val="Body1"/>
        <w:numPr>
          <w:ilvl w:val="0"/>
          <w:numId w:val="13"/>
        </w:numPr>
        <w:rPr>
          <w:szCs w:val="24"/>
        </w:rPr>
      </w:pPr>
      <w:r>
        <w:rPr>
          <w:szCs w:val="24"/>
        </w:rPr>
        <w:t>Increased overdose</w:t>
      </w:r>
      <w:r w:rsidR="00901830">
        <w:rPr>
          <w:szCs w:val="24"/>
        </w:rPr>
        <w:t>s</w:t>
      </w:r>
      <w:r>
        <w:rPr>
          <w:szCs w:val="24"/>
        </w:rPr>
        <w:t xml:space="preserve"> (e.g., increase in </w:t>
      </w:r>
      <w:r w:rsidR="00901830">
        <w:rPr>
          <w:szCs w:val="24"/>
        </w:rPr>
        <w:t xml:space="preserve">number of </w:t>
      </w:r>
      <w:r w:rsidR="00350D54">
        <w:rPr>
          <w:szCs w:val="24"/>
        </w:rPr>
        <w:t xml:space="preserve">nonfatal or </w:t>
      </w:r>
      <w:r>
        <w:rPr>
          <w:szCs w:val="24"/>
        </w:rPr>
        <w:t>fatal overdoses</w:t>
      </w:r>
      <w:r w:rsidR="00901830">
        <w:rPr>
          <w:szCs w:val="24"/>
        </w:rPr>
        <w:t xml:space="preserve"> or accelerating trends</w:t>
      </w:r>
      <w:r>
        <w:rPr>
          <w:szCs w:val="24"/>
        </w:rPr>
        <w:t>)</w:t>
      </w:r>
    </w:p>
    <w:p w14:paraId="45981107" w14:textId="77777777" w:rsidR="00E14D26" w:rsidRDefault="00E14D26" w:rsidP="00E14D26">
      <w:pPr>
        <w:pStyle w:val="Body1"/>
        <w:numPr>
          <w:ilvl w:val="0"/>
          <w:numId w:val="13"/>
        </w:numPr>
        <w:rPr>
          <w:szCs w:val="24"/>
        </w:rPr>
      </w:pPr>
      <w:r>
        <w:rPr>
          <w:szCs w:val="24"/>
        </w:rPr>
        <w:t xml:space="preserve">Occurrence of a rare or unknown cause of morbidity or mortality related to drug overdose (e.g., inclusion of rare substances, such as in the case of fentanyl-laced heroin) </w:t>
      </w:r>
    </w:p>
    <w:p w14:paraId="75D2225D" w14:textId="77777777" w:rsidR="00E14D26" w:rsidRDefault="00E14D26" w:rsidP="00E14D26">
      <w:pPr>
        <w:pStyle w:val="Body1"/>
        <w:numPr>
          <w:ilvl w:val="0"/>
          <w:numId w:val="13"/>
        </w:numPr>
        <w:rPr>
          <w:szCs w:val="24"/>
        </w:rPr>
      </w:pPr>
      <w:r>
        <w:rPr>
          <w:szCs w:val="24"/>
        </w:rPr>
        <w:t>Opportunity to identify new information, such as risk factors previously unassociated with drug overdose or a change in indicators of death (e.g., reports of changes in breathing function prior to death that could signal the need for intervention)</w:t>
      </w:r>
    </w:p>
    <w:p w14:paraId="197D4E69" w14:textId="77777777" w:rsidR="00E14D26" w:rsidRDefault="00E14D26" w:rsidP="00E14D26">
      <w:pPr>
        <w:pStyle w:val="Body1"/>
        <w:numPr>
          <w:ilvl w:val="0"/>
          <w:numId w:val="13"/>
        </w:numPr>
        <w:rPr>
          <w:szCs w:val="24"/>
        </w:rPr>
      </w:pPr>
      <w:r>
        <w:rPr>
          <w:szCs w:val="24"/>
        </w:rPr>
        <w:t>Occurrence among a particular population (e.g., children)</w:t>
      </w:r>
    </w:p>
    <w:p w14:paraId="7735D919" w14:textId="77777777" w:rsidR="00E14D26" w:rsidRDefault="00E14D26" w:rsidP="00E14D26">
      <w:pPr>
        <w:pStyle w:val="Body1"/>
        <w:numPr>
          <w:ilvl w:val="0"/>
          <w:numId w:val="13"/>
        </w:numPr>
        <w:rPr>
          <w:szCs w:val="24"/>
        </w:rPr>
      </w:pPr>
      <w:r>
        <w:rPr>
          <w:szCs w:val="24"/>
        </w:rPr>
        <w:t>Public or political concern (e.g., state governor declaration of a public health emergency in a given state)</w:t>
      </w:r>
    </w:p>
    <w:p w14:paraId="67D694CF" w14:textId="77777777" w:rsidR="00E14D26" w:rsidRDefault="00E14D26" w:rsidP="00E14D26">
      <w:pPr>
        <w:pStyle w:val="Body1"/>
        <w:rPr>
          <w:szCs w:val="24"/>
        </w:rPr>
      </w:pPr>
    </w:p>
    <w:p w14:paraId="2E17A570" w14:textId="77777777" w:rsidR="00E14D26" w:rsidRDefault="00E14D26" w:rsidP="00E14D26">
      <w:pPr>
        <w:pStyle w:val="Body1"/>
        <w:ind w:left="720"/>
        <w:rPr>
          <w:szCs w:val="24"/>
        </w:rPr>
      </w:pPr>
      <w:r>
        <w:rPr>
          <w:szCs w:val="24"/>
        </w:rPr>
        <w:t>The circumstances that would not justify a DORI include:</w:t>
      </w:r>
    </w:p>
    <w:p w14:paraId="5C32842A" w14:textId="77777777" w:rsidR="00E14D26" w:rsidRPr="009C3653" w:rsidRDefault="00E14D26" w:rsidP="00E14D26">
      <w:pPr>
        <w:pStyle w:val="Body1"/>
        <w:numPr>
          <w:ilvl w:val="0"/>
          <w:numId w:val="15"/>
        </w:numPr>
        <w:rPr>
          <w:szCs w:val="24"/>
        </w:rPr>
      </w:pPr>
      <w:r>
        <w:rPr>
          <w:szCs w:val="24"/>
        </w:rPr>
        <w:t xml:space="preserve">Investigations for </w:t>
      </w:r>
      <w:r w:rsidRPr="00BE654E">
        <w:rPr>
          <w:szCs w:val="24"/>
        </w:rPr>
        <w:t>the purposes of program evaluation, surveillance, needs assessment, or research conducted primarily to contribute to generalizable knowledge.</w:t>
      </w:r>
    </w:p>
    <w:p w14:paraId="19052E3B" w14:textId="77777777" w:rsidR="00E14D26" w:rsidRDefault="00E14D26" w:rsidP="00E14D26">
      <w:pPr>
        <w:pStyle w:val="Body1"/>
        <w:ind w:left="720"/>
        <w:rPr>
          <w:szCs w:val="24"/>
        </w:rPr>
      </w:pPr>
    </w:p>
    <w:p w14:paraId="76CB4148" w14:textId="77777777" w:rsidR="00D8546F" w:rsidRDefault="00635454" w:rsidP="00D8546F">
      <w:pPr>
        <w:pStyle w:val="Body1"/>
        <w:ind w:left="720"/>
        <w:rPr>
          <w:szCs w:val="24"/>
        </w:rPr>
      </w:pPr>
      <w:proofErr w:type="gramStart"/>
      <w:r w:rsidRPr="00052F35">
        <w:rPr>
          <w:b/>
          <w:u w:val="single"/>
        </w:rPr>
        <w:t>Scope of data collection</w:t>
      </w:r>
      <w:r>
        <w:t>.</w:t>
      </w:r>
      <w:proofErr w:type="gramEnd"/>
      <w:r>
        <w:t xml:space="preserve"> </w:t>
      </w:r>
      <w:r w:rsidR="00D8546F" w:rsidRPr="00EC2B6D">
        <w:t xml:space="preserve">The jurisdiction </w:t>
      </w:r>
      <w:r w:rsidR="00D8546F">
        <w:t xml:space="preserve">requesting assistance determines the specific data collection needs that CDC can fulfill. </w:t>
      </w:r>
      <w:r w:rsidR="00D8546F" w:rsidRPr="00EC2B6D">
        <w:t xml:space="preserve">CDC </w:t>
      </w:r>
      <w:r w:rsidR="00D8546F">
        <w:t>staff may provide</w:t>
      </w:r>
      <w:r w:rsidR="00D8546F" w:rsidRPr="00EC2B6D">
        <w:t xml:space="preserve"> technical assistance with </w:t>
      </w:r>
      <w:r w:rsidR="00D8546F">
        <w:t xml:space="preserve">developing questionnaires and a data analysis plan. CDC staff may be </w:t>
      </w:r>
      <w:r w:rsidR="00D8546F" w:rsidRPr="00EC2B6D">
        <w:t xml:space="preserve">deployed to the field to assist in some or all of the operations </w:t>
      </w:r>
      <w:r w:rsidR="00D8546F">
        <w:t>of the investigation</w:t>
      </w:r>
      <w:r w:rsidR="00D8546F" w:rsidRPr="00EC2B6D">
        <w:t xml:space="preserve">. This can include conducting training, determining sampling frames, </w:t>
      </w:r>
      <w:r w:rsidR="00D8546F">
        <w:t xml:space="preserve">and </w:t>
      </w:r>
      <w:r w:rsidR="00D8546F" w:rsidRPr="00EC2B6D">
        <w:t>collecting data</w:t>
      </w:r>
      <w:r w:rsidR="00D8546F">
        <w:t xml:space="preserve">. CDC staff may analyze the data (either locally or from Atlanta), and assist in report </w:t>
      </w:r>
      <w:r w:rsidR="00D8546F" w:rsidRPr="00EC2B6D">
        <w:t>writing and presenting the final report to the local jurisdiction</w:t>
      </w:r>
      <w:r w:rsidR="00D8546F">
        <w:t xml:space="preserve">. </w:t>
      </w:r>
      <w:r w:rsidR="00D8546F">
        <w:rPr>
          <w:szCs w:val="24"/>
        </w:rPr>
        <w:t xml:space="preserve">The overarching </w:t>
      </w:r>
      <w:r w:rsidR="00D8546F" w:rsidRPr="00784C67">
        <w:rPr>
          <w:szCs w:val="24"/>
        </w:rPr>
        <w:t xml:space="preserve">goal </w:t>
      </w:r>
      <w:r w:rsidR="00D8546F">
        <w:rPr>
          <w:szCs w:val="24"/>
        </w:rPr>
        <w:t xml:space="preserve">when providing data collection support </w:t>
      </w:r>
      <w:r w:rsidR="00D8546F" w:rsidRPr="00784C67">
        <w:rPr>
          <w:szCs w:val="24"/>
        </w:rPr>
        <w:t xml:space="preserve">is </w:t>
      </w:r>
      <w:r w:rsidR="00D8546F">
        <w:rPr>
          <w:szCs w:val="24"/>
        </w:rPr>
        <w:t>to implement</w:t>
      </w:r>
      <w:r w:rsidR="00D8546F" w:rsidRPr="00784C67">
        <w:rPr>
          <w:szCs w:val="24"/>
        </w:rPr>
        <w:t xml:space="preserve"> </w:t>
      </w:r>
      <w:r w:rsidR="00D8546F">
        <w:rPr>
          <w:szCs w:val="24"/>
        </w:rPr>
        <w:t xml:space="preserve">immediate </w:t>
      </w:r>
      <w:r w:rsidR="00D8546F" w:rsidRPr="00784C67">
        <w:rPr>
          <w:szCs w:val="24"/>
        </w:rPr>
        <w:t xml:space="preserve">prevention and control measures </w:t>
      </w:r>
      <w:r w:rsidR="00D8546F">
        <w:rPr>
          <w:szCs w:val="24"/>
        </w:rPr>
        <w:t xml:space="preserve">based on the findings from the investigation to </w:t>
      </w:r>
      <w:r w:rsidR="00D8546F" w:rsidRPr="00784C67">
        <w:rPr>
          <w:szCs w:val="24"/>
        </w:rPr>
        <w:t xml:space="preserve">minimize adverse health consequences. </w:t>
      </w:r>
    </w:p>
    <w:p w14:paraId="6F66F91C" w14:textId="723ECB29" w:rsidR="00F70733" w:rsidRDefault="00F70733" w:rsidP="00F70733">
      <w:pPr>
        <w:pStyle w:val="Body1"/>
        <w:tabs>
          <w:tab w:val="num" w:pos="720"/>
          <w:tab w:val="left" w:pos="1710"/>
        </w:tabs>
        <w:ind w:left="720"/>
        <w:rPr>
          <w:szCs w:val="24"/>
        </w:rPr>
      </w:pPr>
    </w:p>
    <w:p w14:paraId="5C6F8A87" w14:textId="00C868BC" w:rsidR="00E14D26" w:rsidRDefault="00E14D26" w:rsidP="00E14D26">
      <w:pPr>
        <w:pStyle w:val="Body1"/>
        <w:ind w:left="720"/>
        <w:rPr>
          <w:szCs w:val="24"/>
        </w:rPr>
      </w:pPr>
      <w:r>
        <w:rPr>
          <w:szCs w:val="24"/>
        </w:rPr>
        <w:t xml:space="preserve">In DORIs, </w:t>
      </w:r>
      <w:r w:rsidR="00D14A6B">
        <w:rPr>
          <w:szCs w:val="24"/>
        </w:rPr>
        <w:t xml:space="preserve">draft data collection instruments are developed prior to investigation initiation in the field. However, </w:t>
      </w:r>
      <w:r>
        <w:rPr>
          <w:szCs w:val="24"/>
        </w:rPr>
        <w:t xml:space="preserve">sufficient information is most often not available to allow for </w:t>
      </w:r>
      <w:r w:rsidR="00635454">
        <w:rPr>
          <w:szCs w:val="24"/>
        </w:rPr>
        <w:lastRenderedPageBreak/>
        <w:t xml:space="preserve">complete </w:t>
      </w:r>
      <w:r>
        <w:rPr>
          <w:szCs w:val="24"/>
        </w:rPr>
        <w:t xml:space="preserve">development of data collection instruments far in advance. Data collection instruments and methods must be rapidly created and implemented to meet the unique needs of the </w:t>
      </w:r>
      <w:r w:rsidRPr="000E6CAF">
        <w:rPr>
          <w:szCs w:val="24"/>
        </w:rPr>
        <w:t>situation and the agency requesting assistance, often immediately before deployment</w:t>
      </w:r>
      <w:r w:rsidR="001860B7" w:rsidRPr="000E6CAF">
        <w:rPr>
          <w:szCs w:val="24"/>
        </w:rPr>
        <w:t xml:space="preserve">. On rare occasions, </w:t>
      </w:r>
      <w:r w:rsidR="00635454" w:rsidRPr="000E6CAF">
        <w:rPr>
          <w:szCs w:val="24"/>
        </w:rPr>
        <w:t xml:space="preserve">revisions </w:t>
      </w:r>
      <w:r w:rsidR="001860B7" w:rsidRPr="000E6CAF">
        <w:rPr>
          <w:szCs w:val="24"/>
        </w:rPr>
        <w:t xml:space="preserve">are </w:t>
      </w:r>
      <w:r w:rsidR="00635454" w:rsidRPr="000E6CAF">
        <w:rPr>
          <w:szCs w:val="24"/>
        </w:rPr>
        <w:t xml:space="preserve">identified </w:t>
      </w:r>
      <w:r w:rsidRPr="000E6CAF">
        <w:rPr>
          <w:szCs w:val="24"/>
        </w:rPr>
        <w:t xml:space="preserve">while investigators are in the field. </w:t>
      </w:r>
      <w:r w:rsidR="001860B7" w:rsidRPr="000E6CAF" w:rsidDel="001860B7">
        <w:rPr>
          <w:szCs w:val="24"/>
        </w:rPr>
        <w:t xml:space="preserve"> </w:t>
      </w:r>
      <w:r w:rsidR="00E144AB" w:rsidRPr="000E6CAF">
        <w:rPr>
          <w:szCs w:val="24"/>
        </w:rPr>
        <w:t>The choice of data collection mode may be influenced by what is already known about the problem; the</w:t>
      </w:r>
      <w:r w:rsidR="00E144AB">
        <w:rPr>
          <w:szCs w:val="24"/>
        </w:rPr>
        <w:t xml:space="preserve"> location, size, and characteristics of the affected population; and resources available to local health authorities and the team in the field. </w:t>
      </w:r>
      <w:r>
        <w:rPr>
          <w:szCs w:val="24"/>
        </w:rPr>
        <w:t xml:space="preserve">  </w:t>
      </w:r>
      <w:r>
        <w:rPr>
          <w:szCs w:val="24"/>
        </w:rPr>
        <w:br/>
      </w:r>
    </w:p>
    <w:p w14:paraId="3E22317D" w14:textId="77777777" w:rsidR="00D14A6B"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Examples of </w:t>
      </w:r>
      <w:r w:rsidRPr="00CE0ADD">
        <w:rPr>
          <w:sz w:val="24"/>
          <w:szCs w:val="24"/>
        </w:rPr>
        <w:t>data coll</w:t>
      </w:r>
      <w:r>
        <w:rPr>
          <w:sz w:val="24"/>
          <w:szCs w:val="24"/>
        </w:rPr>
        <w:t xml:space="preserve">ection modes </w:t>
      </w:r>
      <w:r w:rsidR="00E144AB">
        <w:rPr>
          <w:sz w:val="24"/>
          <w:szCs w:val="24"/>
        </w:rPr>
        <w:t xml:space="preserve">that could be </w:t>
      </w:r>
      <w:r>
        <w:rPr>
          <w:sz w:val="24"/>
          <w:szCs w:val="24"/>
        </w:rPr>
        <w:t xml:space="preserve">employed during </w:t>
      </w:r>
      <w:r w:rsidR="00E144AB">
        <w:rPr>
          <w:sz w:val="24"/>
          <w:szCs w:val="24"/>
        </w:rPr>
        <w:t xml:space="preserve">DORIs </w:t>
      </w:r>
      <w:r w:rsidRPr="00CE0ADD">
        <w:rPr>
          <w:sz w:val="24"/>
          <w:szCs w:val="24"/>
        </w:rPr>
        <w:t>include</w:t>
      </w:r>
      <w:r w:rsidR="00D14A6B">
        <w:rPr>
          <w:sz w:val="24"/>
          <w:szCs w:val="24"/>
        </w:rPr>
        <w:t>:</w:t>
      </w:r>
    </w:p>
    <w:p w14:paraId="40D15716" w14:textId="77777777" w:rsidR="00D14A6B"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archival </w:t>
      </w:r>
      <w:r w:rsidR="00D14A6B">
        <w:rPr>
          <w:sz w:val="24"/>
          <w:szCs w:val="24"/>
        </w:rPr>
        <w:t>record abstraction</w:t>
      </w:r>
      <w:r>
        <w:rPr>
          <w:sz w:val="24"/>
          <w:szCs w:val="24"/>
        </w:rPr>
        <w:t xml:space="preserve"> and review</w:t>
      </w:r>
    </w:p>
    <w:p w14:paraId="3A06B631" w14:textId="77777777" w:rsidR="00D14A6B"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face-to-face </w:t>
      </w:r>
      <w:r w:rsidR="00D14A6B">
        <w:rPr>
          <w:sz w:val="24"/>
          <w:szCs w:val="24"/>
        </w:rPr>
        <w:t>interview</w:t>
      </w:r>
    </w:p>
    <w:p w14:paraId="2E884F6B" w14:textId="77777777" w:rsidR="00D14A6B" w:rsidRDefault="00D14A6B"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telephone interview</w:t>
      </w:r>
    </w:p>
    <w:p w14:paraId="3E5B78A3" w14:textId="77777777" w:rsidR="00D14A6B"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web-based questionnaire </w:t>
      </w:r>
    </w:p>
    <w:p w14:paraId="562FEAF7" w14:textId="77777777" w:rsidR="00534FAE"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self-administered questionnaire</w:t>
      </w:r>
    </w:p>
    <w:p w14:paraId="0755F933" w14:textId="77777777" w:rsidR="00D14A6B" w:rsidRDefault="00D14A6B" w:rsidP="00D14A6B">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p>
    <w:p w14:paraId="0845C97C" w14:textId="77777777" w:rsidR="00E14D26" w:rsidRPr="00D14A6B" w:rsidRDefault="00D14A6B" w:rsidP="00D14A6B">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M</w:t>
      </w:r>
      <w:r w:rsidR="00E14D26" w:rsidRPr="00D14A6B">
        <w:rPr>
          <w:sz w:val="24"/>
          <w:szCs w:val="24"/>
        </w:rPr>
        <w:t xml:space="preserve">ultiple data collection modes </w:t>
      </w:r>
      <w:r>
        <w:rPr>
          <w:sz w:val="24"/>
          <w:szCs w:val="24"/>
        </w:rPr>
        <w:t xml:space="preserve">can be </w:t>
      </w:r>
      <w:r w:rsidR="00E14D26" w:rsidRPr="00D14A6B">
        <w:rPr>
          <w:sz w:val="24"/>
          <w:szCs w:val="24"/>
        </w:rPr>
        <w:t xml:space="preserve">employed in a single </w:t>
      </w:r>
      <w:r w:rsidR="00E144AB" w:rsidRPr="00D14A6B">
        <w:rPr>
          <w:sz w:val="24"/>
          <w:szCs w:val="24"/>
        </w:rPr>
        <w:t>investigation</w:t>
      </w:r>
      <w:r w:rsidR="00E14D26" w:rsidRPr="00D14A6B">
        <w:rPr>
          <w:sz w:val="24"/>
          <w:szCs w:val="24"/>
        </w:rPr>
        <w:t xml:space="preserve">. </w:t>
      </w:r>
      <w:r>
        <w:rPr>
          <w:sz w:val="24"/>
          <w:szCs w:val="24"/>
        </w:rPr>
        <w:t xml:space="preserve">It is anticipated that the most common data collection modes will include record abstraction and in-person interviews. </w:t>
      </w:r>
    </w:p>
    <w:p w14:paraId="784F571C" w14:textId="77777777" w:rsidR="00E14D26"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16CDCECD" w14:textId="77777777" w:rsidR="00E144AB"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Respondent type will vary by </w:t>
      </w:r>
      <w:r w:rsidR="00E144AB">
        <w:rPr>
          <w:sz w:val="24"/>
          <w:szCs w:val="24"/>
        </w:rPr>
        <w:t>investigation</w:t>
      </w:r>
      <w:r>
        <w:rPr>
          <w:sz w:val="24"/>
          <w:szCs w:val="24"/>
        </w:rPr>
        <w:t xml:space="preserve">.  </w:t>
      </w:r>
      <w:r w:rsidR="00E144AB">
        <w:rPr>
          <w:sz w:val="24"/>
          <w:szCs w:val="24"/>
        </w:rPr>
        <w:t>Likely respondents include:</w:t>
      </w:r>
    </w:p>
    <w:p w14:paraId="70834B3D"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Public health authorities</w:t>
      </w:r>
    </w:p>
    <w:p w14:paraId="77EA48E9"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Law enforcement authorities</w:t>
      </w:r>
    </w:p>
    <w:p w14:paraId="71FC0642"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Medical examiners</w:t>
      </w:r>
    </w:p>
    <w:p w14:paraId="6C88F64E" w14:textId="77777777" w:rsidR="00F3329F" w:rsidRDefault="00F3329F"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Individuals who suffer from nonfatal overdose</w:t>
      </w:r>
    </w:p>
    <w:p w14:paraId="5D5DF091"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Families and friends of individuals who succumb to drug overdose</w:t>
      </w:r>
    </w:p>
    <w:p w14:paraId="77E2C99B"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Members of the general public, and individuals who are at higher risk for overdose (e.g., those suffering from addition)</w:t>
      </w:r>
    </w:p>
    <w:p w14:paraId="525D44D4" w14:textId="77777777" w:rsidR="00E144AB" w:rsidRPr="00E078F9" w:rsidRDefault="00E078F9"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Health care providers</w:t>
      </w:r>
      <w:r w:rsidR="003832D0" w:rsidRPr="00E078F9">
        <w:rPr>
          <w:sz w:val="24"/>
          <w:szCs w:val="24"/>
        </w:rPr>
        <w:t>/pharmacists; dispensers of prescription medication</w:t>
      </w:r>
    </w:p>
    <w:p w14:paraId="5F266D3A" w14:textId="77777777" w:rsidR="00E144AB" w:rsidRPr="00E078F9"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078F9">
        <w:rPr>
          <w:sz w:val="24"/>
          <w:szCs w:val="24"/>
        </w:rPr>
        <w:t xml:space="preserve">Emergency Medical Services personnel </w:t>
      </w:r>
    </w:p>
    <w:p w14:paraId="60393FB5" w14:textId="77777777" w:rsidR="00E144AB" w:rsidRPr="00E078F9"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078F9">
        <w:rPr>
          <w:sz w:val="24"/>
          <w:szCs w:val="24"/>
        </w:rPr>
        <w:t>Representatives of community organizations (e.g., substance use service providers)</w:t>
      </w:r>
    </w:p>
    <w:p w14:paraId="0F4DE357" w14:textId="77777777" w:rsidR="00E14D26" w:rsidRPr="00E078F9"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A173940" w14:textId="77777777" w:rsidR="00637472" w:rsidRDefault="00637472" w:rsidP="00052F35">
      <w:pPr>
        <w:tabs>
          <w:tab w:val="left" w:pos="720"/>
        </w:tabs>
        <w:ind w:left="720"/>
        <w:rPr>
          <w:szCs w:val="24"/>
        </w:rPr>
      </w:pPr>
      <w:r w:rsidRPr="00E078F9">
        <w:rPr>
          <w:sz w:val="24"/>
          <w:szCs w:val="24"/>
        </w:rPr>
        <w:t>Data could be collected in multiple cities, counties, or even states depending on the size and scope of the epidemic. For example, out of state residents can access health providers and dispensers in another state to inappropriately access prescription drugs; contaminated or high potency drugs could be distributed over a large geographic area causing spikes in overdoses.</w:t>
      </w:r>
      <w:r w:rsidR="00CF3E23">
        <w:rPr>
          <w:sz w:val="24"/>
          <w:szCs w:val="24"/>
        </w:rPr>
        <w:t xml:space="preserve"> </w:t>
      </w:r>
    </w:p>
    <w:p w14:paraId="27FC3261" w14:textId="77777777" w:rsidR="00052F35" w:rsidRPr="00B651A5" w:rsidRDefault="00052F35" w:rsidP="004F0087">
      <w:pPr>
        <w:pStyle w:val="Body1"/>
        <w:tabs>
          <w:tab w:val="num" w:pos="0"/>
          <w:tab w:val="left" w:pos="720"/>
        </w:tabs>
        <w:rPr>
          <w:b/>
          <w:szCs w:val="24"/>
        </w:rPr>
      </w:pPr>
    </w:p>
    <w:p w14:paraId="11257CD2" w14:textId="77777777" w:rsidR="00527A26" w:rsidRPr="00B651A5" w:rsidRDefault="001E5A9A" w:rsidP="001E5A9A">
      <w:pPr>
        <w:pStyle w:val="Body1"/>
        <w:tabs>
          <w:tab w:val="num" w:pos="720"/>
        </w:tabs>
        <w:ind w:left="720" w:hanging="720"/>
        <w:rPr>
          <w:b/>
          <w:szCs w:val="24"/>
        </w:rPr>
      </w:pPr>
      <w:r w:rsidRPr="00B651A5">
        <w:rPr>
          <w:b/>
          <w:szCs w:val="24"/>
        </w:rPr>
        <w:t xml:space="preserve">3. </w:t>
      </w:r>
      <w:r w:rsidRPr="00B651A5">
        <w:rPr>
          <w:b/>
          <w:szCs w:val="24"/>
        </w:rPr>
        <w:tab/>
      </w:r>
      <w:r w:rsidR="00527A26" w:rsidRPr="00B651A5">
        <w:rPr>
          <w:b/>
          <w:szCs w:val="24"/>
        </w:rPr>
        <w:t xml:space="preserve">Use of </w:t>
      </w:r>
      <w:r w:rsidRPr="00B651A5">
        <w:rPr>
          <w:b/>
          <w:szCs w:val="24"/>
        </w:rPr>
        <w:t xml:space="preserve">Improved </w:t>
      </w:r>
      <w:r w:rsidR="00527A26" w:rsidRPr="00B651A5">
        <w:rPr>
          <w:b/>
          <w:szCs w:val="24"/>
        </w:rPr>
        <w:t>Information Technology and Burden Reduction</w:t>
      </w:r>
    </w:p>
    <w:p w14:paraId="66324600" w14:textId="77777777" w:rsidR="00527A26" w:rsidRPr="00B651A5" w:rsidRDefault="00527A26" w:rsidP="00B83871">
      <w:pPr>
        <w:pStyle w:val="Body1"/>
        <w:tabs>
          <w:tab w:val="num" w:pos="0"/>
          <w:tab w:val="left" w:pos="720"/>
          <w:tab w:val="left" w:pos="1800"/>
        </w:tabs>
        <w:rPr>
          <w:b/>
          <w:szCs w:val="24"/>
        </w:rPr>
      </w:pPr>
    </w:p>
    <w:p w14:paraId="31B4534E" w14:textId="77777777" w:rsidR="000A37F1" w:rsidRPr="006E754B" w:rsidRDefault="000A37F1" w:rsidP="000A37F1">
      <w:pPr>
        <w:tabs>
          <w:tab w:val="left" w:pos="720"/>
        </w:tabs>
        <w:ind w:left="720"/>
        <w:rPr>
          <w:rFonts w:eastAsia="Arial Unicode MS"/>
          <w:sz w:val="24"/>
          <w:szCs w:val="24"/>
          <w:u w:color="000000"/>
        </w:rPr>
      </w:pPr>
      <w:r>
        <w:rPr>
          <w:rFonts w:eastAsia="Arial Unicode MS"/>
          <w:sz w:val="24"/>
          <w:szCs w:val="24"/>
          <w:u w:color="000000"/>
        </w:rPr>
        <w:t xml:space="preserve">During </w:t>
      </w:r>
      <w:r w:rsidR="00E74F0A">
        <w:rPr>
          <w:rFonts w:eastAsia="Arial Unicode MS"/>
          <w:sz w:val="24"/>
          <w:szCs w:val="24"/>
          <w:u w:color="000000"/>
        </w:rPr>
        <w:t>DORIs</w:t>
      </w:r>
      <w:r>
        <w:rPr>
          <w:rFonts w:eastAsia="Arial Unicode MS"/>
          <w:sz w:val="24"/>
          <w:szCs w:val="24"/>
          <w:u w:color="000000"/>
        </w:rPr>
        <w:t>, there o</w:t>
      </w:r>
      <w:r w:rsidR="00683702">
        <w:rPr>
          <w:rFonts w:eastAsia="Arial Unicode MS"/>
          <w:sz w:val="24"/>
          <w:szCs w:val="24"/>
          <w:u w:color="000000"/>
        </w:rPr>
        <w:t>f</w:t>
      </w:r>
      <w:r>
        <w:rPr>
          <w:rFonts w:eastAsia="Arial Unicode MS"/>
          <w:sz w:val="24"/>
          <w:szCs w:val="24"/>
          <w:u w:color="000000"/>
        </w:rPr>
        <w:t xml:space="preserve">ten is not sufficient time to develop, test, and launch electronic systems for collection of data. However, </w:t>
      </w:r>
      <w:r w:rsidR="00E74F0A">
        <w:rPr>
          <w:rFonts w:eastAsia="Arial Unicode MS"/>
          <w:sz w:val="24"/>
          <w:szCs w:val="24"/>
          <w:u w:color="000000"/>
        </w:rPr>
        <w:t xml:space="preserve">DORIs </w:t>
      </w:r>
      <w:r w:rsidR="00A5163D">
        <w:rPr>
          <w:rFonts w:eastAsia="Arial Unicode MS"/>
          <w:sz w:val="24"/>
          <w:szCs w:val="24"/>
          <w:u w:color="000000"/>
        </w:rPr>
        <w:t xml:space="preserve">will </w:t>
      </w:r>
      <w:r w:rsidR="00FC76DB">
        <w:rPr>
          <w:rFonts w:eastAsia="Arial Unicode MS"/>
          <w:sz w:val="24"/>
          <w:szCs w:val="24"/>
          <w:u w:color="000000"/>
        </w:rPr>
        <w:t>employ online or electronic submission of responses when feasible.</w:t>
      </w:r>
      <w:r w:rsidR="00F46FA7" w:rsidRPr="00F46FA7">
        <w:rPr>
          <w:szCs w:val="24"/>
        </w:rPr>
        <w:t xml:space="preserve"> </w:t>
      </w:r>
      <w:r w:rsidR="00F46FA7" w:rsidRPr="00F46FA7">
        <w:rPr>
          <w:rFonts w:eastAsia="Arial Unicode MS"/>
          <w:sz w:val="24"/>
          <w:szCs w:val="24"/>
          <w:u w:color="000000"/>
        </w:rPr>
        <w:t xml:space="preserve">If this mode is utilized, it </w:t>
      </w:r>
      <w:r w:rsidR="007A229D">
        <w:rPr>
          <w:rFonts w:eastAsia="Arial Unicode MS"/>
          <w:sz w:val="24"/>
          <w:szCs w:val="24"/>
          <w:u w:color="000000"/>
        </w:rPr>
        <w:t>will</w:t>
      </w:r>
      <w:r w:rsidR="007A229D" w:rsidRPr="00F46FA7">
        <w:rPr>
          <w:rFonts w:eastAsia="Arial Unicode MS"/>
          <w:sz w:val="24"/>
          <w:szCs w:val="24"/>
          <w:u w:color="000000"/>
        </w:rPr>
        <w:t xml:space="preserve"> </w:t>
      </w:r>
      <w:r w:rsidR="00F46FA7" w:rsidRPr="00F46FA7">
        <w:rPr>
          <w:rFonts w:eastAsia="Arial Unicode MS"/>
          <w:sz w:val="24"/>
          <w:szCs w:val="24"/>
          <w:u w:color="000000"/>
        </w:rPr>
        <w:t xml:space="preserve">be password-protected. </w:t>
      </w:r>
      <w:r w:rsidR="00FC76DB">
        <w:rPr>
          <w:rFonts w:eastAsia="Arial Unicode MS"/>
          <w:sz w:val="24"/>
          <w:szCs w:val="24"/>
          <w:u w:color="000000"/>
        </w:rPr>
        <w:t xml:space="preserve"> </w:t>
      </w:r>
      <w:r w:rsidR="00CB0869" w:rsidRPr="00F46FA7">
        <w:rPr>
          <w:rFonts w:eastAsia="Arial Unicode MS"/>
          <w:sz w:val="24"/>
          <w:szCs w:val="24"/>
          <w:u w:color="000000"/>
        </w:rPr>
        <w:t>To minimize burden, existing data from medical records, for instance, could potentially be used to pre-populate data collection tools.</w:t>
      </w:r>
    </w:p>
    <w:p w14:paraId="6DECA0FD" w14:textId="77777777" w:rsidR="00527A26" w:rsidRPr="006E754B" w:rsidRDefault="00527A26" w:rsidP="006E754B">
      <w:pPr>
        <w:tabs>
          <w:tab w:val="left" w:pos="720"/>
        </w:tabs>
        <w:rPr>
          <w:rFonts w:eastAsia="Arial Unicode MS"/>
          <w:sz w:val="24"/>
          <w:szCs w:val="24"/>
          <w:u w:color="000000"/>
        </w:rPr>
      </w:pPr>
      <w:r w:rsidRPr="006E754B">
        <w:rPr>
          <w:rFonts w:eastAsia="Arial Unicode MS"/>
          <w:sz w:val="24"/>
          <w:szCs w:val="24"/>
          <w:u w:color="000000"/>
        </w:rPr>
        <w:t xml:space="preserve">  </w:t>
      </w:r>
    </w:p>
    <w:p w14:paraId="29E8F8F5" w14:textId="77777777" w:rsidR="00527A26" w:rsidRPr="006E754B" w:rsidRDefault="003346A2" w:rsidP="00E74F0A">
      <w:pPr>
        <w:tabs>
          <w:tab w:val="left" w:pos="720"/>
        </w:tabs>
        <w:ind w:left="720"/>
        <w:rPr>
          <w:szCs w:val="24"/>
        </w:rPr>
      </w:pPr>
      <w:r>
        <w:rPr>
          <w:rFonts w:eastAsia="Arial Unicode MS"/>
          <w:sz w:val="24"/>
          <w:szCs w:val="24"/>
          <w:u w:color="000000"/>
        </w:rPr>
        <w:lastRenderedPageBreak/>
        <w:t>Data collection protocols are designed to b</w:t>
      </w:r>
      <w:r w:rsidR="00527A26"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00527A26" w:rsidRPr="006E754B">
        <w:rPr>
          <w:rFonts w:eastAsia="Arial Unicode MS"/>
          <w:sz w:val="24"/>
          <w:szCs w:val="24"/>
          <w:u w:color="000000"/>
        </w:rPr>
        <w:t xml:space="preserve"> </w:t>
      </w:r>
      <w:r w:rsidR="008523D7">
        <w:rPr>
          <w:rFonts w:eastAsia="Arial Unicode MS"/>
          <w:sz w:val="24"/>
          <w:szCs w:val="24"/>
          <w:u w:color="000000"/>
        </w:rPr>
        <w:t>is</w:t>
      </w:r>
      <w:r w:rsidR="00527A26" w:rsidRPr="006E754B">
        <w:rPr>
          <w:rFonts w:eastAsia="Arial Unicode MS"/>
          <w:sz w:val="24"/>
          <w:szCs w:val="24"/>
          <w:u w:color="000000"/>
        </w:rPr>
        <w:t xml:space="preserve"> tailored to meet the immediate needs of the local health authorities responding to the public health problem. </w:t>
      </w:r>
    </w:p>
    <w:p w14:paraId="69A389F8" w14:textId="77777777" w:rsidR="00527A26" w:rsidRPr="0072690B" w:rsidRDefault="00527A26" w:rsidP="00B83871">
      <w:pPr>
        <w:pStyle w:val="Body1"/>
        <w:tabs>
          <w:tab w:val="num" w:pos="0"/>
          <w:tab w:val="left" w:pos="720"/>
          <w:tab w:val="left" w:pos="1800"/>
        </w:tabs>
        <w:rPr>
          <w:szCs w:val="24"/>
        </w:rPr>
      </w:pPr>
    </w:p>
    <w:p w14:paraId="41F0ED6C" w14:textId="77777777" w:rsidR="00527A26" w:rsidRPr="0072690B" w:rsidRDefault="00AC3A9F" w:rsidP="00AC3A9F">
      <w:pPr>
        <w:pStyle w:val="Body1"/>
        <w:tabs>
          <w:tab w:val="num" w:pos="720"/>
        </w:tabs>
        <w:rPr>
          <w:b/>
          <w:szCs w:val="24"/>
        </w:rPr>
      </w:pPr>
      <w:r w:rsidRPr="0072690B">
        <w:rPr>
          <w:b/>
          <w:szCs w:val="24"/>
        </w:rPr>
        <w:t xml:space="preserve">4. </w:t>
      </w:r>
      <w:r w:rsidRPr="0072690B">
        <w:rPr>
          <w:b/>
          <w:szCs w:val="24"/>
        </w:rPr>
        <w:tab/>
      </w:r>
      <w:r w:rsidR="00527A26" w:rsidRPr="0072690B">
        <w:rPr>
          <w:b/>
          <w:szCs w:val="24"/>
        </w:rPr>
        <w:t>Efforts to Identify Duplication and Use of Similar Information</w:t>
      </w:r>
    </w:p>
    <w:p w14:paraId="52D12B83" w14:textId="77777777" w:rsidR="00527A26" w:rsidRPr="0072690B" w:rsidRDefault="00527A26" w:rsidP="00B83871">
      <w:pPr>
        <w:pStyle w:val="Body1"/>
        <w:tabs>
          <w:tab w:val="num" w:pos="0"/>
          <w:tab w:val="left" w:pos="720"/>
          <w:tab w:val="left" w:pos="1080"/>
          <w:tab w:val="left" w:pos="1800"/>
        </w:tabs>
        <w:rPr>
          <w:b/>
          <w:szCs w:val="24"/>
        </w:rPr>
      </w:pPr>
    </w:p>
    <w:p w14:paraId="3D7F3448" w14:textId="77777777" w:rsidR="001A3A81" w:rsidRDefault="001A3A81" w:rsidP="006E754B">
      <w:pPr>
        <w:ind w:left="720"/>
        <w:rPr>
          <w:rFonts w:eastAsia="Arial Unicode MS"/>
          <w:sz w:val="24"/>
          <w:szCs w:val="24"/>
          <w:u w:color="000000"/>
        </w:rPr>
      </w:pPr>
      <w:r w:rsidRPr="006E754B">
        <w:rPr>
          <w:rFonts w:eastAsia="Arial Unicode MS"/>
          <w:sz w:val="24"/>
          <w:szCs w:val="24"/>
          <w:u w:color="000000"/>
        </w:rPr>
        <w:t xml:space="preserve">Literature searches and discussions with </w:t>
      </w:r>
      <w:r w:rsidR="00725CF0">
        <w:rPr>
          <w:rFonts w:eastAsia="Arial Unicode MS"/>
          <w:sz w:val="24"/>
          <w:szCs w:val="24"/>
          <w:u w:color="000000"/>
        </w:rPr>
        <w:t>local</w:t>
      </w:r>
      <w:r w:rsidR="0088487F">
        <w:rPr>
          <w:rFonts w:eastAsia="Arial Unicode MS"/>
          <w:sz w:val="24"/>
          <w:szCs w:val="24"/>
          <w:u w:color="000000"/>
        </w:rPr>
        <w:t xml:space="preserve"> health authorities</w:t>
      </w:r>
      <w:r w:rsidRPr="006E754B">
        <w:rPr>
          <w:rFonts w:eastAsia="Arial Unicode MS"/>
          <w:sz w:val="24"/>
          <w:szCs w:val="24"/>
          <w:u w:color="000000"/>
        </w:rPr>
        <w:t xml:space="preserve"> are initially 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w:t>
      </w:r>
      <w:r w:rsidR="003B6046">
        <w:rPr>
          <w:rFonts w:eastAsia="Arial Unicode MS"/>
          <w:sz w:val="24"/>
          <w:szCs w:val="24"/>
          <w:u w:color="000000"/>
        </w:rPr>
        <w:t>,</w:t>
      </w:r>
      <w:r w:rsidRPr="006E754B">
        <w:rPr>
          <w:rFonts w:eastAsia="Arial Unicode MS"/>
          <w:sz w:val="24"/>
          <w:szCs w:val="24"/>
          <w:u w:color="000000"/>
        </w:rPr>
        <w:t xml:space="preserve"> whenever appropriate</w:t>
      </w:r>
      <w:r w:rsidR="003B6046">
        <w:rPr>
          <w:rFonts w:eastAsia="Arial Unicode MS"/>
          <w:sz w:val="24"/>
          <w:szCs w:val="24"/>
          <w:u w:color="000000"/>
        </w:rPr>
        <w:t>,</w:t>
      </w:r>
      <w:r w:rsidRPr="006E754B">
        <w:rPr>
          <w:rFonts w:eastAsia="Arial Unicode MS"/>
          <w:sz w:val="24"/>
          <w:szCs w:val="24"/>
          <w:u w:color="000000"/>
        </w:rPr>
        <w:t xml:space="preserve"> to contribute to an investigation</w:t>
      </w:r>
      <w:r w:rsidR="003E15CC">
        <w:rPr>
          <w:rFonts w:eastAsia="Arial Unicode MS"/>
          <w:sz w:val="24"/>
          <w:szCs w:val="24"/>
          <w:u w:color="000000"/>
        </w:rPr>
        <w:t xml:space="preserve">. </w:t>
      </w:r>
      <w:r w:rsidRPr="006E754B">
        <w:rPr>
          <w:rFonts w:eastAsia="Arial Unicode MS"/>
          <w:sz w:val="24"/>
          <w:szCs w:val="24"/>
          <w:u w:color="000000"/>
        </w:rPr>
        <w:t>However, an emergency situation generally requires the collection of data specific to the particular e</w:t>
      </w:r>
      <w:r w:rsidR="00325322">
        <w:rPr>
          <w:rFonts w:eastAsia="Arial Unicode MS"/>
          <w:sz w:val="24"/>
          <w:szCs w:val="24"/>
          <w:u w:color="000000"/>
        </w:rPr>
        <w:t>vent</w:t>
      </w:r>
      <w:r w:rsidR="003B6046">
        <w:rPr>
          <w:rFonts w:eastAsia="Arial Unicode MS"/>
          <w:sz w:val="24"/>
          <w:szCs w:val="24"/>
          <w:u w:color="000000"/>
        </w:rPr>
        <w:t xml:space="preserve"> as</w:t>
      </w:r>
      <w:r w:rsidRPr="006E754B">
        <w:rPr>
          <w:rFonts w:eastAsia="Arial Unicode MS"/>
          <w:sz w:val="24"/>
          <w:szCs w:val="24"/>
          <w:u w:color="000000"/>
        </w:rPr>
        <w:t xml:space="preserv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w:t>
      </w:r>
      <w:r w:rsidR="00206A43">
        <w:rPr>
          <w:rFonts w:eastAsia="Arial Unicode MS"/>
          <w:sz w:val="24"/>
          <w:szCs w:val="24"/>
          <w:u w:color="000000"/>
        </w:rPr>
        <w:t>class of drug</w:t>
      </w:r>
      <w:r w:rsidRPr="006E754B">
        <w:rPr>
          <w:rFonts w:eastAsia="Arial Unicode MS"/>
          <w:sz w:val="24"/>
          <w:szCs w:val="24"/>
          <w:u w:color="000000"/>
        </w:rPr>
        <w:t xml:space="preserve">, </w:t>
      </w:r>
      <w:r w:rsidR="00206A43">
        <w:rPr>
          <w:rFonts w:eastAsia="Arial Unicode MS"/>
          <w:sz w:val="24"/>
          <w:szCs w:val="24"/>
          <w:u w:color="000000"/>
        </w:rPr>
        <w:t xml:space="preserve">method of drug administration, </w:t>
      </w:r>
      <w:r w:rsidRPr="006E754B">
        <w:rPr>
          <w:rFonts w:eastAsia="Arial Unicode MS"/>
          <w:sz w:val="24"/>
          <w:szCs w:val="24"/>
          <w:u w:color="000000"/>
        </w:rPr>
        <w:t>location, affected population</w:t>
      </w:r>
      <w:r w:rsidR="008523D7">
        <w:rPr>
          <w:rFonts w:eastAsia="Arial Unicode MS"/>
          <w:sz w:val="24"/>
          <w:szCs w:val="24"/>
          <w:u w:color="000000"/>
        </w:rPr>
        <w:t>s</w:t>
      </w:r>
      <w:r w:rsidRPr="006E754B">
        <w:rPr>
          <w:rFonts w:eastAsia="Arial Unicode MS"/>
          <w:sz w:val="24"/>
          <w:szCs w:val="24"/>
          <w:u w:color="000000"/>
        </w:rPr>
        <w:t>, 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14:paraId="54057304" w14:textId="77777777" w:rsidR="00332B6F" w:rsidRDefault="00332B6F" w:rsidP="006E754B">
      <w:pPr>
        <w:ind w:left="720"/>
        <w:rPr>
          <w:rFonts w:eastAsia="Arial Unicode MS"/>
          <w:sz w:val="24"/>
          <w:szCs w:val="24"/>
          <w:u w:color="000000"/>
        </w:rPr>
      </w:pPr>
    </w:p>
    <w:p w14:paraId="701A3784" w14:textId="77777777" w:rsidR="00332B6F" w:rsidRPr="006E754B" w:rsidRDefault="00332B6F" w:rsidP="006E754B">
      <w:pPr>
        <w:ind w:left="720"/>
        <w:rPr>
          <w:rFonts w:eastAsia="Arial Unicode MS"/>
          <w:sz w:val="24"/>
          <w:szCs w:val="24"/>
          <w:u w:color="000000"/>
        </w:rPr>
      </w:pPr>
      <w:r>
        <w:rPr>
          <w:rFonts w:eastAsia="Arial Unicode MS"/>
          <w:sz w:val="24"/>
          <w:szCs w:val="24"/>
          <w:u w:color="000000"/>
        </w:rPr>
        <w:t xml:space="preserve">NCIPC has reached out to other Centers within CDC </w:t>
      </w:r>
      <w:r w:rsidR="00FF0A6D">
        <w:rPr>
          <w:rFonts w:eastAsia="Arial Unicode MS"/>
          <w:sz w:val="24"/>
          <w:szCs w:val="24"/>
          <w:u w:color="000000"/>
        </w:rPr>
        <w:t xml:space="preserve">(the National Center for Environmental Health, Division of Environmental Hazards and Health Effects) </w:t>
      </w:r>
      <w:r>
        <w:rPr>
          <w:rFonts w:eastAsia="Arial Unicode MS"/>
          <w:sz w:val="24"/>
          <w:szCs w:val="24"/>
          <w:u w:color="000000"/>
        </w:rPr>
        <w:t xml:space="preserve">to determine the type of information collected by those Centers </w:t>
      </w:r>
      <w:r w:rsidR="00FF0A6D">
        <w:rPr>
          <w:rFonts w:eastAsia="Arial Unicode MS"/>
          <w:sz w:val="24"/>
          <w:szCs w:val="24"/>
          <w:u w:color="000000"/>
        </w:rPr>
        <w:t>(</w:t>
      </w:r>
      <w:r>
        <w:rPr>
          <w:rFonts w:eastAsia="Arial Unicode MS"/>
          <w:sz w:val="24"/>
          <w:szCs w:val="24"/>
          <w:u w:color="000000"/>
        </w:rPr>
        <w:t>within Epi-Aids and otherwise</w:t>
      </w:r>
      <w:r w:rsidR="00FF0A6D">
        <w:rPr>
          <w:rFonts w:eastAsia="Arial Unicode MS"/>
          <w:sz w:val="24"/>
          <w:szCs w:val="24"/>
          <w:u w:color="000000"/>
        </w:rPr>
        <w:t xml:space="preserve">) related to prescription drugs </w:t>
      </w:r>
      <w:r>
        <w:rPr>
          <w:rFonts w:eastAsia="Arial Unicode MS"/>
          <w:sz w:val="24"/>
          <w:szCs w:val="24"/>
          <w:u w:color="000000"/>
        </w:rPr>
        <w:t>to ensure that the collection of information is not duplicative</w:t>
      </w:r>
      <w:r w:rsidR="00FF0A6D">
        <w:rPr>
          <w:rFonts w:eastAsia="Arial Unicode MS"/>
          <w:sz w:val="24"/>
          <w:szCs w:val="24"/>
          <w:u w:color="000000"/>
        </w:rPr>
        <w:t xml:space="preserve"> and that other Centers are not collecting similar information. When Epi-Aid </w:t>
      </w:r>
      <w:r w:rsidR="0022573B">
        <w:rPr>
          <w:rFonts w:eastAsia="Arial Unicode MS"/>
          <w:sz w:val="24"/>
          <w:szCs w:val="24"/>
          <w:u w:color="000000"/>
        </w:rPr>
        <w:t xml:space="preserve">or other urgent data collection </w:t>
      </w:r>
      <w:r w:rsidR="00FF0A6D">
        <w:rPr>
          <w:rFonts w:eastAsia="Arial Unicode MS"/>
          <w:sz w:val="24"/>
          <w:szCs w:val="24"/>
          <w:u w:color="000000"/>
        </w:rPr>
        <w:t xml:space="preserve">requests are received from state and local health authorities related to drug overdose, NCIPC reaches out to other Centers conducting work on prescription drugs to ensure that similar information does not already exist to meet the state/local health authorities’ needs. </w:t>
      </w:r>
      <w:r w:rsidR="00A50004">
        <w:rPr>
          <w:rFonts w:eastAsia="Arial Unicode MS"/>
          <w:sz w:val="24"/>
          <w:szCs w:val="24"/>
          <w:u w:color="000000"/>
        </w:rPr>
        <w:t xml:space="preserve">NCIPC has also reached out to the Substance Abuse and Mental Health Services Administration to ensure the proposed data collection is not duplicative of any of their efforts in working with states. </w:t>
      </w:r>
    </w:p>
    <w:p w14:paraId="38D0C5B4" w14:textId="77777777" w:rsidR="00527A26" w:rsidRPr="0072690B" w:rsidRDefault="00527A26" w:rsidP="00D42D37">
      <w:pPr>
        <w:pStyle w:val="Body1"/>
        <w:tabs>
          <w:tab w:val="num" w:pos="720"/>
          <w:tab w:val="left" w:pos="1080"/>
          <w:tab w:val="left" w:pos="1800"/>
        </w:tabs>
        <w:ind w:left="720"/>
        <w:rPr>
          <w:szCs w:val="24"/>
        </w:rPr>
      </w:pPr>
    </w:p>
    <w:p w14:paraId="3C3D62E2" w14:textId="2D3FC1D0" w:rsidR="00D409FC" w:rsidRPr="00506F5C" w:rsidRDefault="001860B7" w:rsidP="00506F5C">
      <w:pPr>
        <w:ind w:left="720"/>
        <w:rPr>
          <w:sz w:val="24"/>
          <w:szCs w:val="24"/>
        </w:rPr>
      </w:pPr>
      <w:r w:rsidRPr="000E6CAF">
        <w:rPr>
          <w:rFonts w:eastAsia="Arial Unicode MS"/>
          <w:sz w:val="24"/>
          <w:szCs w:val="24"/>
          <w:u w:color="000000"/>
        </w:rPr>
        <w:t>The NCIPC OMB coordinator (Karen Angel)</w:t>
      </w:r>
      <w:r>
        <w:rPr>
          <w:rFonts w:eastAsia="Arial Unicode MS"/>
          <w:sz w:val="24"/>
          <w:szCs w:val="24"/>
          <w:u w:color="000000"/>
        </w:rPr>
        <w:t xml:space="preserve"> </w:t>
      </w:r>
      <w:r w:rsidR="00D409FC" w:rsidRPr="00506F5C">
        <w:rPr>
          <w:rFonts w:eastAsia="Arial Unicode MS"/>
          <w:sz w:val="24"/>
          <w:szCs w:val="24"/>
          <w:u w:color="000000"/>
        </w:rPr>
        <w:t xml:space="preserve">will serve in the role of </w:t>
      </w:r>
      <w:r w:rsidR="00206A43">
        <w:rPr>
          <w:rFonts w:eastAsia="Arial Unicode MS"/>
          <w:sz w:val="24"/>
          <w:szCs w:val="24"/>
          <w:u w:color="000000"/>
        </w:rPr>
        <w:t xml:space="preserve">DORI </w:t>
      </w:r>
      <w:r w:rsidR="00D409FC" w:rsidRPr="00506F5C">
        <w:rPr>
          <w:rFonts w:eastAsia="Arial Unicode MS"/>
          <w:sz w:val="24"/>
          <w:szCs w:val="24"/>
          <w:u w:color="000000"/>
        </w:rPr>
        <w:t xml:space="preserve">Information Collection Request Liaison (ICRL).  The ICRL </w:t>
      </w:r>
      <w:r w:rsidR="00D409FC" w:rsidRPr="00506F5C">
        <w:rPr>
          <w:sz w:val="24"/>
          <w:szCs w:val="24"/>
        </w:rPr>
        <w:t xml:space="preserve">will </w:t>
      </w:r>
      <w:r w:rsidR="00DF316D" w:rsidRPr="00506F5C">
        <w:rPr>
          <w:sz w:val="24"/>
          <w:szCs w:val="24"/>
        </w:rPr>
        <w:t xml:space="preserve">be responsible for </w:t>
      </w:r>
      <w:r w:rsidR="00D409FC" w:rsidRPr="00506F5C">
        <w:rPr>
          <w:sz w:val="24"/>
          <w:szCs w:val="24"/>
        </w:rPr>
        <w:t>maintain</w:t>
      </w:r>
      <w:r w:rsidR="00DF316D" w:rsidRPr="00506F5C">
        <w:rPr>
          <w:sz w:val="24"/>
          <w:szCs w:val="24"/>
        </w:rPr>
        <w:t>ing</w:t>
      </w:r>
      <w:r w:rsidR="00D409FC" w:rsidRPr="00506F5C">
        <w:rPr>
          <w:sz w:val="24"/>
          <w:szCs w:val="24"/>
        </w:rPr>
        <w:t xml:space="preserve"> a data collection instrument library</w:t>
      </w:r>
      <w:r w:rsidR="00D52205" w:rsidRPr="00506F5C">
        <w:rPr>
          <w:sz w:val="24"/>
          <w:szCs w:val="24"/>
        </w:rPr>
        <w:t xml:space="preserve"> </w:t>
      </w:r>
      <w:r w:rsidR="00D52205">
        <w:rPr>
          <w:sz w:val="24"/>
          <w:szCs w:val="24"/>
        </w:rPr>
        <w:t>which</w:t>
      </w:r>
      <w:r w:rsidR="00D409FC" w:rsidRPr="00506F5C">
        <w:rPr>
          <w:sz w:val="24"/>
          <w:szCs w:val="24"/>
        </w:rPr>
        <w:t xml:space="preserve"> </w:t>
      </w:r>
      <w:r w:rsidR="00D52205">
        <w:rPr>
          <w:sz w:val="24"/>
          <w:szCs w:val="24"/>
        </w:rPr>
        <w:t xml:space="preserve">will </w:t>
      </w:r>
      <w:r w:rsidR="00D409FC" w:rsidRPr="00506F5C">
        <w:rPr>
          <w:sz w:val="24"/>
          <w:szCs w:val="24"/>
        </w:rPr>
        <w:t xml:space="preserve">include the final data collection instruments administered in </w:t>
      </w:r>
      <w:r w:rsidR="00206A43">
        <w:rPr>
          <w:sz w:val="24"/>
          <w:szCs w:val="24"/>
        </w:rPr>
        <w:t xml:space="preserve">DORIs </w:t>
      </w:r>
      <w:r w:rsidR="00D409FC" w:rsidRPr="00506F5C">
        <w:rPr>
          <w:sz w:val="24"/>
          <w:szCs w:val="24"/>
        </w:rPr>
        <w:t xml:space="preserve">under this </w:t>
      </w:r>
      <w:r w:rsidR="003B6046">
        <w:rPr>
          <w:sz w:val="24"/>
          <w:szCs w:val="24"/>
        </w:rPr>
        <w:t>ICR</w:t>
      </w:r>
      <w:r w:rsidR="00D409FC" w:rsidRPr="00506F5C">
        <w:rPr>
          <w:sz w:val="24"/>
          <w:szCs w:val="24"/>
        </w:rPr>
        <w:t xml:space="preserve">.  In the event a collection is requested from a CDC program, the </w:t>
      </w:r>
      <w:r w:rsidR="00DF316D" w:rsidRPr="00506F5C">
        <w:rPr>
          <w:sz w:val="24"/>
          <w:szCs w:val="24"/>
        </w:rPr>
        <w:t>ICRL will require the program to determine whether or not the informatio</w:t>
      </w:r>
      <w:r w:rsidR="00C37B11" w:rsidRPr="00506F5C">
        <w:rPr>
          <w:sz w:val="24"/>
          <w:szCs w:val="24"/>
        </w:rPr>
        <w:t>n already exists</w:t>
      </w:r>
      <w:r w:rsidR="00206A43">
        <w:rPr>
          <w:sz w:val="24"/>
          <w:szCs w:val="24"/>
        </w:rPr>
        <w:t>, and to use data collection instruments (or components of such instruments) that have already been approved in previous DORIs</w:t>
      </w:r>
      <w:r w:rsidR="00C37B11" w:rsidRPr="00506F5C">
        <w:rPr>
          <w:sz w:val="24"/>
          <w:szCs w:val="24"/>
        </w:rPr>
        <w:t xml:space="preserve">. </w:t>
      </w:r>
    </w:p>
    <w:p w14:paraId="1A073F70" w14:textId="77777777" w:rsidR="00527A26" w:rsidRPr="0072690B" w:rsidRDefault="00527A26" w:rsidP="00B83871">
      <w:pPr>
        <w:pStyle w:val="Body1"/>
        <w:tabs>
          <w:tab w:val="num" w:pos="0"/>
          <w:tab w:val="left" w:pos="720"/>
          <w:tab w:val="left" w:pos="1080"/>
          <w:tab w:val="left" w:pos="1800"/>
        </w:tabs>
        <w:rPr>
          <w:szCs w:val="24"/>
        </w:rPr>
      </w:pPr>
    </w:p>
    <w:p w14:paraId="23195C2B" w14:textId="77777777" w:rsidR="00527A26" w:rsidRPr="0072690B" w:rsidRDefault="00B14FF7" w:rsidP="00B14FF7">
      <w:pPr>
        <w:pStyle w:val="Body1"/>
        <w:tabs>
          <w:tab w:val="num" w:pos="720"/>
        </w:tabs>
        <w:rPr>
          <w:b/>
          <w:szCs w:val="24"/>
        </w:rPr>
      </w:pPr>
      <w:r w:rsidRPr="0072690B">
        <w:rPr>
          <w:b/>
          <w:szCs w:val="24"/>
        </w:rPr>
        <w:t>5.</w:t>
      </w:r>
      <w:r w:rsidRPr="0072690B">
        <w:rPr>
          <w:b/>
          <w:szCs w:val="24"/>
        </w:rPr>
        <w:tab/>
      </w:r>
      <w:r w:rsidR="00527A26" w:rsidRPr="0072690B">
        <w:rPr>
          <w:b/>
          <w:szCs w:val="24"/>
        </w:rPr>
        <w:t>Impact on Small Businesses or Other Small Entities</w:t>
      </w:r>
    </w:p>
    <w:p w14:paraId="1EF1A51B" w14:textId="77777777" w:rsidR="00527A26" w:rsidRPr="0072690B" w:rsidRDefault="00527A26" w:rsidP="00B83871">
      <w:pPr>
        <w:pStyle w:val="Body1"/>
        <w:tabs>
          <w:tab w:val="num" w:pos="0"/>
          <w:tab w:val="left" w:pos="720"/>
          <w:tab w:val="left" w:pos="1080"/>
          <w:tab w:val="left" w:pos="1800"/>
        </w:tabs>
        <w:rPr>
          <w:b/>
          <w:szCs w:val="24"/>
        </w:rPr>
      </w:pPr>
    </w:p>
    <w:p w14:paraId="3757BB3A" w14:textId="77777777" w:rsidR="001A3A81" w:rsidRPr="00B651A5" w:rsidRDefault="00456CF8" w:rsidP="00B651A5">
      <w:pPr>
        <w:ind w:left="720"/>
        <w:rPr>
          <w:rFonts w:eastAsia="Arial Unicode MS"/>
          <w:sz w:val="24"/>
          <w:szCs w:val="24"/>
          <w:u w:color="000000"/>
        </w:rPr>
      </w:pPr>
      <w:r w:rsidRPr="00456CF8">
        <w:rPr>
          <w:rFonts w:eastAsia="Arial Unicode MS"/>
          <w:sz w:val="24"/>
          <w:szCs w:val="24"/>
          <w:u w:color="000000"/>
        </w:rPr>
        <w:t xml:space="preserve">Every effort is made to minimize the burden on all respondents during the collection of information during </w:t>
      </w:r>
      <w:r w:rsidR="00206A43">
        <w:rPr>
          <w:rFonts w:eastAsia="Arial Unicode MS"/>
          <w:sz w:val="24"/>
          <w:szCs w:val="24"/>
          <w:u w:color="000000"/>
        </w:rPr>
        <w:t>drug overdose investigations</w:t>
      </w:r>
      <w:r w:rsidRPr="00456CF8">
        <w:rPr>
          <w:rFonts w:eastAsia="Arial Unicode MS"/>
          <w:sz w:val="24"/>
          <w:szCs w:val="24"/>
          <w:u w:color="000000"/>
        </w:rPr>
        <w:t xml:space="preserve">. Information collected is held to the absolute minimum required to inform </w:t>
      </w:r>
      <w:r w:rsidR="00206A43">
        <w:rPr>
          <w:rFonts w:eastAsia="Arial Unicode MS"/>
          <w:sz w:val="24"/>
          <w:szCs w:val="24"/>
          <w:u w:color="000000"/>
        </w:rPr>
        <w:t xml:space="preserve">immediate </w:t>
      </w:r>
      <w:r w:rsidRPr="00456CF8">
        <w:rPr>
          <w:rFonts w:eastAsia="Arial Unicode MS"/>
          <w:sz w:val="24"/>
          <w:szCs w:val="24"/>
          <w:u w:color="000000"/>
        </w:rPr>
        <w:t>effective prevention and control measures</w:t>
      </w:r>
      <w:r w:rsidR="0078769C">
        <w:rPr>
          <w:rFonts w:eastAsia="Arial Unicode MS"/>
          <w:sz w:val="24"/>
          <w:szCs w:val="24"/>
          <w:u w:color="000000"/>
        </w:rPr>
        <w:t xml:space="preserve"> to ease impact on small businesses or entities</w:t>
      </w:r>
      <w:r w:rsidRPr="00456CF8">
        <w:rPr>
          <w:rFonts w:eastAsia="Arial Unicode MS"/>
          <w:sz w:val="24"/>
          <w:szCs w:val="24"/>
          <w:u w:color="000000"/>
        </w:rPr>
        <w:t xml:space="preserve">. </w:t>
      </w:r>
      <w:r w:rsidR="00461626">
        <w:rPr>
          <w:rFonts w:eastAsia="Arial Unicode MS"/>
          <w:sz w:val="24"/>
          <w:szCs w:val="24"/>
          <w:u w:color="000000"/>
        </w:rPr>
        <w:t xml:space="preserve"> </w:t>
      </w:r>
      <w:r w:rsidR="004D3AB4" w:rsidRPr="004D3AB4">
        <w:rPr>
          <w:rFonts w:eastAsia="Arial Unicode MS"/>
          <w:sz w:val="24"/>
          <w:szCs w:val="24"/>
          <w:u w:color="000000"/>
        </w:rPr>
        <w:t>No small businesses will be involved in this data collection.</w:t>
      </w:r>
    </w:p>
    <w:p w14:paraId="3BB65F4F" w14:textId="77777777" w:rsidR="00527A26" w:rsidRPr="0072690B" w:rsidRDefault="00527A26" w:rsidP="00B83871">
      <w:pPr>
        <w:pStyle w:val="Body1"/>
        <w:tabs>
          <w:tab w:val="num" w:pos="0"/>
          <w:tab w:val="left" w:pos="720"/>
          <w:tab w:val="left" w:pos="1080"/>
          <w:tab w:val="left" w:pos="1800"/>
        </w:tabs>
        <w:rPr>
          <w:b/>
          <w:szCs w:val="24"/>
        </w:rPr>
      </w:pPr>
    </w:p>
    <w:p w14:paraId="5E733F3A" w14:textId="77777777" w:rsidR="00527A26" w:rsidRPr="0072690B" w:rsidRDefault="00B14FF7" w:rsidP="00B14FF7">
      <w:pPr>
        <w:pStyle w:val="Body1"/>
        <w:tabs>
          <w:tab w:val="num" w:pos="720"/>
        </w:tabs>
        <w:rPr>
          <w:b/>
          <w:szCs w:val="24"/>
        </w:rPr>
      </w:pPr>
      <w:r w:rsidRPr="0072690B">
        <w:rPr>
          <w:b/>
          <w:szCs w:val="24"/>
        </w:rPr>
        <w:t xml:space="preserve">6. </w:t>
      </w:r>
      <w:r w:rsidRPr="0072690B">
        <w:rPr>
          <w:b/>
          <w:szCs w:val="24"/>
        </w:rPr>
        <w:tab/>
      </w:r>
      <w:r w:rsidR="00527A26" w:rsidRPr="0072690B">
        <w:rPr>
          <w:b/>
          <w:szCs w:val="24"/>
        </w:rPr>
        <w:t>Consequences of Collecting the Information Less Frequently</w:t>
      </w:r>
    </w:p>
    <w:p w14:paraId="064D72A2" w14:textId="77777777" w:rsidR="00527A26" w:rsidRPr="0072690B" w:rsidRDefault="00527A26" w:rsidP="00B83871">
      <w:pPr>
        <w:pStyle w:val="Body1"/>
        <w:tabs>
          <w:tab w:val="num" w:pos="0"/>
          <w:tab w:val="left" w:pos="720"/>
          <w:tab w:val="left" w:pos="1080"/>
          <w:tab w:val="left" w:pos="1800"/>
        </w:tabs>
        <w:rPr>
          <w:b/>
          <w:szCs w:val="24"/>
        </w:rPr>
      </w:pPr>
    </w:p>
    <w:p w14:paraId="64336D2B" w14:textId="77777777" w:rsidR="00206A43" w:rsidRPr="00B651A5" w:rsidRDefault="00206A43" w:rsidP="00206A43">
      <w:pPr>
        <w:ind w:left="720"/>
        <w:rPr>
          <w:rFonts w:eastAsia="Arial Unicode MS"/>
          <w:sz w:val="24"/>
          <w:szCs w:val="24"/>
          <w:u w:color="000000"/>
        </w:rPr>
      </w:pPr>
      <w:r>
        <w:rPr>
          <w:rFonts w:eastAsia="Arial Unicode MS"/>
          <w:sz w:val="24"/>
          <w:szCs w:val="24"/>
          <w:u w:color="000000"/>
        </w:rPr>
        <w:t>DORIs</w:t>
      </w:r>
      <w:r w:rsidR="00B27D8A">
        <w:rPr>
          <w:rFonts w:eastAsia="Arial Unicode MS"/>
          <w:sz w:val="24"/>
          <w:szCs w:val="24"/>
          <w:u w:color="000000"/>
        </w:rPr>
        <w:t xml:space="preserve"> </w:t>
      </w:r>
      <w:proofErr w:type="gramStart"/>
      <w:r w:rsidR="0088487F">
        <w:rPr>
          <w:rFonts w:eastAsia="Arial Unicode MS"/>
          <w:sz w:val="24"/>
          <w:szCs w:val="24"/>
          <w:u w:color="000000"/>
        </w:rPr>
        <w:t>involve</w:t>
      </w:r>
      <w:proofErr w:type="gramEnd"/>
      <w:r w:rsidR="0088487F">
        <w:rPr>
          <w:rFonts w:eastAsia="Arial Unicode MS"/>
          <w:sz w:val="24"/>
          <w:szCs w:val="24"/>
          <w:u w:color="000000"/>
        </w:rPr>
        <w:t xml:space="preserve"> </w:t>
      </w:r>
      <w:r w:rsidR="001A3A81" w:rsidRPr="00B651A5">
        <w:rPr>
          <w:rFonts w:eastAsia="Arial Unicode MS"/>
          <w:sz w:val="24"/>
          <w:szCs w:val="24"/>
          <w:u w:color="000000"/>
        </w:rPr>
        <w:t>one-time</w:t>
      </w:r>
      <w:r w:rsidR="00631986" w:rsidRPr="00B651A5">
        <w:rPr>
          <w:rFonts w:eastAsia="Arial Unicode MS"/>
          <w:sz w:val="24"/>
          <w:szCs w:val="24"/>
          <w:u w:color="000000"/>
        </w:rPr>
        <w:t>, rapid</w:t>
      </w:r>
      <w:r w:rsidR="001A3A81" w:rsidRPr="00B651A5">
        <w:rPr>
          <w:rFonts w:eastAsia="Arial Unicode MS"/>
          <w:sz w:val="24"/>
          <w:szCs w:val="24"/>
          <w:u w:color="000000"/>
        </w:rPr>
        <w:t xml:space="preserve"> data collection efforts related to a specific </w:t>
      </w:r>
      <w:r w:rsidR="0088487F">
        <w:rPr>
          <w:rFonts w:eastAsia="Arial Unicode MS"/>
          <w:sz w:val="24"/>
          <w:szCs w:val="24"/>
          <w:u w:color="000000"/>
        </w:rPr>
        <w:t>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w:t>
      </w:r>
      <w:r>
        <w:rPr>
          <w:rFonts w:eastAsia="Arial Unicode MS"/>
          <w:sz w:val="24"/>
          <w:szCs w:val="24"/>
          <w:u w:color="000000"/>
        </w:rPr>
        <w:t xml:space="preserve">responding to state technical assistance </w:t>
      </w:r>
      <w:r>
        <w:rPr>
          <w:rFonts w:eastAsia="Arial Unicode MS"/>
          <w:sz w:val="24"/>
          <w:szCs w:val="24"/>
          <w:u w:color="000000"/>
        </w:rPr>
        <w:lastRenderedPageBreak/>
        <w:t xml:space="preserve">requests and </w:t>
      </w:r>
      <w:r w:rsidR="00971766">
        <w:rPr>
          <w:rFonts w:eastAsia="Arial Unicode MS"/>
          <w:sz w:val="24"/>
          <w:szCs w:val="24"/>
          <w:u w:color="000000"/>
        </w:rPr>
        <w:t>identifying effective prevention and control measures</w:t>
      </w:r>
      <w:r>
        <w:rPr>
          <w:rFonts w:eastAsia="Arial Unicode MS"/>
          <w:sz w:val="24"/>
          <w:szCs w:val="24"/>
          <w:u w:color="000000"/>
        </w:rPr>
        <w:t xml:space="preserve"> that could lead to reduced morbidity and mortality associated with the local drug overdose epidemic. </w:t>
      </w:r>
    </w:p>
    <w:p w14:paraId="23EFECEE" w14:textId="77777777" w:rsidR="00527A26" w:rsidRPr="0072690B" w:rsidRDefault="00527A26" w:rsidP="00B83871">
      <w:pPr>
        <w:pStyle w:val="Body1"/>
        <w:tabs>
          <w:tab w:val="num" w:pos="0"/>
          <w:tab w:val="left" w:pos="720"/>
          <w:tab w:val="left" w:pos="1080"/>
          <w:tab w:val="left" w:pos="1800"/>
        </w:tabs>
        <w:rPr>
          <w:szCs w:val="24"/>
        </w:rPr>
      </w:pPr>
    </w:p>
    <w:p w14:paraId="466125ED" w14:textId="77777777" w:rsidR="00527A26" w:rsidRPr="0072690B" w:rsidRDefault="00631986" w:rsidP="00631986">
      <w:pPr>
        <w:pStyle w:val="Body1"/>
        <w:tabs>
          <w:tab w:val="num" w:pos="720"/>
        </w:tabs>
        <w:rPr>
          <w:b/>
          <w:szCs w:val="24"/>
        </w:rPr>
      </w:pPr>
      <w:r w:rsidRPr="0072690B">
        <w:rPr>
          <w:b/>
          <w:szCs w:val="24"/>
        </w:rPr>
        <w:t>7.</w:t>
      </w:r>
      <w:r w:rsidRPr="0072690B">
        <w:rPr>
          <w:b/>
          <w:szCs w:val="24"/>
        </w:rPr>
        <w:tab/>
      </w:r>
      <w:r w:rsidR="00527A26" w:rsidRPr="0072690B">
        <w:rPr>
          <w:b/>
          <w:szCs w:val="24"/>
        </w:rPr>
        <w:t xml:space="preserve">Special Circumstances </w:t>
      </w:r>
      <w:r w:rsidR="004D3AB4" w:rsidRPr="004D3AB4">
        <w:rPr>
          <w:b/>
          <w:szCs w:val="24"/>
        </w:rPr>
        <w:t>Relating to the Guidelines of 5 CFR 1320.5</w:t>
      </w:r>
    </w:p>
    <w:p w14:paraId="17F8C92C" w14:textId="77777777" w:rsidR="00527A26" w:rsidRPr="0072690B" w:rsidRDefault="00527A26" w:rsidP="00B83871">
      <w:pPr>
        <w:pStyle w:val="Body1"/>
        <w:tabs>
          <w:tab w:val="num" w:pos="0"/>
          <w:tab w:val="left" w:pos="720"/>
          <w:tab w:val="left" w:pos="1080"/>
          <w:tab w:val="left" w:pos="1800"/>
        </w:tabs>
        <w:rPr>
          <w:b/>
          <w:szCs w:val="24"/>
        </w:rPr>
      </w:pPr>
    </w:p>
    <w:p w14:paraId="3E4A48D1" w14:textId="77777777" w:rsidR="00016DEC" w:rsidRPr="00B651A5" w:rsidRDefault="000A20EA" w:rsidP="00B651A5">
      <w:pPr>
        <w:ind w:left="720"/>
        <w:rPr>
          <w:rFonts w:eastAsia="Arial Unicode MS"/>
          <w:sz w:val="24"/>
          <w:szCs w:val="24"/>
          <w:u w:color="000000"/>
        </w:rPr>
      </w:pPr>
      <w:r w:rsidRPr="00B651A5">
        <w:rPr>
          <w:rFonts w:eastAsia="Arial Unicode MS"/>
          <w:sz w:val="24"/>
          <w:szCs w:val="24"/>
          <w:u w:color="000000"/>
        </w:rPr>
        <w:t xml:space="preserve">Often, data need to be collected within days </w:t>
      </w:r>
      <w:r w:rsidR="00D83A42">
        <w:rPr>
          <w:rFonts w:eastAsia="Arial Unicode MS"/>
          <w:sz w:val="24"/>
          <w:szCs w:val="24"/>
          <w:u w:color="000000"/>
        </w:rPr>
        <w:t xml:space="preserve">or weeks </w:t>
      </w:r>
      <w:r w:rsidRPr="00B651A5">
        <w:rPr>
          <w:rFonts w:eastAsia="Arial Unicode MS"/>
          <w:sz w:val="24"/>
          <w:szCs w:val="24"/>
          <w:u w:color="000000"/>
        </w:rPr>
        <w:t>of the</w:t>
      </w:r>
      <w:r w:rsidR="008F0310">
        <w:rPr>
          <w:rFonts w:eastAsia="Arial Unicode MS"/>
          <w:sz w:val="24"/>
          <w:szCs w:val="24"/>
          <w:u w:color="000000"/>
        </w:rPr>
        <w:t xml:space="preserve"> </w:t>
      </w:r>
      <w:r w:rsidRPr="00B651A5">
        <w:rPr>
          <w:rFonts w:eastAsia="Arial Unicode MS"/>
          <w:sz w:val="24"/>
          <w:szCs w:val="24"/>
          <w:u w:color="000000"/>
        </w:rPr>
        <w:t>request</w:t>
      </w:r>
      <w:r w:rsidR="0022573B">
        <w:rPr>
          <w:rFonts w:eastAsia="Arial Unicode MS"/>
          <w:sz w:val="24"/>
          <w:szCs w:val="24"/>
          <w:u w:color="000000"/>
        </w:rPr>
        <w:t xml:space="preserve"> made by the state or local agency</w:t>
      </w:r>
      <w:r>
        <w:rPr>
          <w:rFonts w:eastAsia="Arial Unicode MS"/>
          <w:sz w:val="24"/>
          <w:szCs w:val="24"/>
          <w:u w:color="000000"/>
        </w:rPr>
        <w:t xml:space="preserve">. </w:t>
      </w:r>
      <w:r w:rsidR="00016DEC"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00016DEC" w:rsidRPr="00B651A5">
        <w:rPr>
          <w:rFonts w:eastAsia="Arial Unicode MS"/>
          <w:sz w:val="24"/>
          <w:szCs w:val="24"/>
          <w:u w:color="000000"/>
        </w:rPr>
        <w:t xml:space="preserve"> asked to respond </w:t>
      </w:r>
      <w:r>
        <w:rPr>
          <w:rFonts w:eastAsia="Arial Unicode MS"/>
          <w:sz w:val="24"/>
          <w:szCs w:val="24"/>
          <w:u w:color="000000"/>
        </w:rPr>
        <w:t xml:space="preserve">to requests for data </w:t>
      </w:r>
      <w:r w:rsidR="00016DEC" w:rsidRPr="00B651A5">
        <w:rPr>
          <w:rFonts w:eastAsia="Arial Unicode MS"/>
          <w:sz w:val="24"/>
          <w:szCs w:val="24"/>
          <w:u w:color="000000"/>
        </w:rPr>
        <w:t>in fewer than 30 days</w:t>
      </w:r>
      <w:r>
        <w:rPr>
          <w:rFonts w:eastAsia="Arial Unicode MS"/>
          <w:sz w:val="24"/>
          <w:szCs w:val="24"/>
          <w:u w:color="000000"/>
        </w:rPr>
        <w:t xml:space="preserve">. </w:t>
      </w:r>
      <w:r w:rsidR="003E15CC">
        <w:rPr>
          <w:rFonts w:eastAsia="Arial Unicode MS"/>
          <w:sz w:val="24"/>
          <w:szCs w:val="24"/>
          <w:u w:color="000000"/>
        </w:rPr>
        <w:t xml:space="preserve"> </w:t>
      </w:r>
    </w:p>
    <w:p w14:paraId="42D85DBB" w14:textId="77777777" w:rsidR="00016DEC" w:rsidRPr="00B651A5" w:rsidRDefault="00016DEC" w:rsidP="00B651A5">
      <w:pPr>
        <w:ind w:left="720"/>
        <w:rPr>
          <w:rFonts w:eastAsia="Arial Unicode MS"/>
          <w:sz w:val="24"/>
          <w:szCs w:val="24"/>
          <w:u w:color="000000"/>
        </w:rPr>
      </w:pPr>
      <w:r w:rsidRPr="00B651A5">
        <w:rPr>
          <w:rFonts w:eastAsia="Arial Unicode MS"/>
          <w:sz w:val="24"/>
          <w:szCs w:val="24"/>
          <w:u w:color="000000"/>
        </w:rPr>
        <w:tab/>
      </w:r>
    </w:p>
    <w:p w14:paraId="0190A6AE" w14:textId="77777777" w:rsidR="001A3A81" w:rsidRDefault="001A3A81" w:rsidP="00B651A5">
      <w:pPr>
        <w:ind w:left="720"/>
        <w:rPr>
          <w:rFonts w:eastAsia="Arial Unicode MS"/>
          <w:sz w:val="24"/>
          <w:szCs w:val="24"/>
          <w:u w:color="000000"/>
        </w:rPr>
      </w:pPr>
      <w:r w:rsidRPr="00B651A5">
        <w:rPr>
          <w:rFonts w:eastAsia="Arial Unicode MS"/>
          <w:sz w:val="24"/>
          <w:szCs w:val="24"/>
          <w:u w:color="000000"/>
        </w:rPr>
        <w:t xml:space="preserve">To ensure that data </w:t>
      </w:r>
      <w:r w:rsidR="00D83A42">
        <w:rPr>
          <w:rFonts w:eastAsia="Arial Unicode MS"/>
          <w:sz w:val="24"/>
          <w:szCs w:val="24"/>
          <w:u w:color="000000"/>
        </w:rPr>
        <w:t xml:space="preserve">on drug overdoses </w:t>
      </w:r>
      <w:r w:rsidRPr="00B651A5">
        <w:rPr>
          <w:rFonts w:eastAsia="Arial Unicode MS"/>
          <w:sz w:val="24"/>
          <w:szCs w:val="24"/>
          <w:u w:color="000000"/>
        </w:rPr>
        <w:t>are collected in a timely manner</w:t>
      </w:r>
      <w:r w:rsidR="00603B37">
        <w:rPr>
          <w:rFonts w:eastAsia="Arial Unicode MS"/>
          <w:sz w:val="24"/>
          <w:szCs w:val="24"/>
          <w:u w:color="000000"/>
        </w:rPr>
        <w:t xml:space="preserve"> </w:t>
      </w:r>
      <w:r w:rsidRPr="00B651A5">
        <w:rPr>
          <w:rFonts w:eastAsia="Arial Unicode MS"/>
          <w:sz w:val="24"/>
          <w:szCs w:val="24"/>
          <w:u w:color="000000"/>
        </w:rPr>
        <w:t xml:space="preserve">to </w:t>
      </w:r>
      <w:r w:rsidR="00D83A42">
        <w:rPr>
          <w:rFonts w:eastAsia="Arial Unicode MS"/>
          <w:sz w:val="24"/>
          <w:szCs w:val="24"/>
          <w:u w:color="000000"/>
        </w:rPr>
        <w:t xml:space="preserve">identify immediate prevention and control measures that can </w:t>
      </w:r>
      <w:r w:rsidRPr="00B651A5">
        <w:rPr>
          <w:rFonts w:eastAsia="Arial Unicode MS"/>
          <w:sz w:val="24"/>
          <w:szCs w:val="24"/>
          <w:u w:color="000000"/>
        </w:rPr>
        <w:t xml:space="preserve">protect the health of the public, </w:t>
      </w:r>
      <w:r w:rsidR="00D83A42">
        <w:rPr>
          <w:rFonts w:eastAsia="Arial Unicode MS"/>
          <w:sz w:val="24"/>
          <w:szCs w:val="24"/>
          <w:u w:color="000000"/>
        </w:rPr>
        <w:t xml:space="preserve">DORIs </w:t>
      </w:r>
      <w:r w:rsidR="006E5EB5">
        <w:rPr>
          <w:rFonts w:eastAsia="Arial Unicode MS"/>
          <w:sz w:val="24"/>
          <w:szCs w:val="24"/>
          <w:u w:color="000000"/>
        </w:rPr>
        <w:t>w</w:t>
      </w:r>
      <w:r w:rsidRPr="00B651A5">
        <w:rPr>
          <w:rFonts w:eastAsia="Arial Unicode MS"/>
          <w:sz w:val="24"/>
          <w:szCs w:val="24"/>
          <w:u w:color="000000"/>
        </w:rPr>
        <w:t>ill adhere to the following timeline</w:t>
      </w:r>
      <w:r w:rsidR="004F4B5F" w:rsidRPr="00B651A5">
        <w:rPr>
          <w:rFonts w:eastAsia="Arial Unicode MS"/>
          <w:sz w:val="24"/>
          <w:szCs w:val="24"/>
          <w:u w:color="000000"/>
        </w:rPr>
        <w:t xml:space="preserve"> and processes</w:t>
      </w:r>
      <w:r w:rsidRPr="00B651A5">
        <w:rPr>
          <w:rFonts w:eastAsia="Arial Unicode MS"/>
          <w:sz w:val="24"/>
          <w:szCs w:val="24"/>
          <w:u w:color="000000"/>
        </w:rPr>
        <w:t>:</w:t>
      </w:r>
    </w:p>
    <w:p w14:paraId="25570939" w14:textId="77777777" w:rsidR="008F0310" w:rsidRPr="00B651A5" w:rsidRDefault="008F0310" w:rsidP="00B651A5">
      <w:pPr>
        <w:ind w:left="720"/>
        <w:rPr>
          <w:rFonts w:eastAsia="Arial Unicode MS"/>
          <w:sz w:val="24"/>
          <w:szCs w:val="24"/>
          <w:u w:color="000000"/>
        </w:rPr>
      </w:pPr>
    </w:p>
    <w:p w14:paraId="68B47D4A" w14:textId="1689A774" w:rsidR="00CF7084" w:rsidRPr="00B651A5" w:rsidRDefault="00976B38" w:rsidP="00406936">
      <w:pPr>
        <w:numPr>
          <w:ilvl w:val="0"/>
          <w:numId w:val="8"/>
        </w:numPr>
        <w:ind w:left="1440" w:hanging="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the</w:t>
      </w:r>
      <w:r w:rsidRPr="00B651A5">
        <w:rPr>
          <w:rFonts w:eastAsia="Arial Unicode MS"/>
          <w:sz w:val="24"/>
          <w:szCs w:val="24"/>
          <w:u w:color="000000"/>
        </w:rPr>
        <w:t xml:space="preserve"> </w:t>
      </w:r>
      <w:r w:rsidR="008F0310">
        <w:rPr>
          <w:rFonts w:eastAsia="Arial Unicode MS"/>
          <w:sz w:val="24"/>
          <w:szCs w:val="24"/>
          <w:u w:color="000000"/>
        </w:rPr>
        <w:t xml:space="preserve">state or </w:t>
      </w:r>
      <w:r w:rsidR="005F675F">
        <w:rPr>
          <w:rFonts w:eastAsia="Arial Unicode MS"/>
          <w:sz w:val="24"/>
          <w:szCs w:val="24"/>
          <w:u w:color="000000"/>
        </w:rPr>
        <w:t>local health authority</w:t>
      </w:r>
      <w:r w:rsidRPr="00B651A5">
        <w:rPr>
          <w:rFonts w:eastAsia="Arial Unicode MS"/>
          <w:sz w:val="24"/>
          <w:szCs w:val="24"/>
          <w:u w:color="000000"/>
        </w:rPr>
        <w:t xml:space="preserve"> and a</w:t>
      </w:r>
      <w:r w:rsidR="001A3A81" w:rsidRPr="00B651A5">
        <w:rPr>
          <w:rFonts w:eastAsia="Arial Unicode MS"/>
          <w:sz w:val="24"/>
          <w:szCs w:val="24"/>
          <w:u w:color="000000"/>
        </w:rPr>
        <w:t>fter consultation with our external partners, CDC decide</w:t>
      </w:r>
      <w:r w:rsidR="0077278C">
        <w:rPr>
          <w:rFonts w:eastAsia="Arial Unicode MS"/>
          <w:sz w:val="24"/>
          <w:szCs w:val="24"/>
          <w:u w:color="000000"/>
        </w:rPr>
        <w:t>s</w:t>
      </w:r>
      <w:r w:rsidR="001A3A81"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001A3A81" w:rsidRPr="00B651A5">
        <w:rPr>
          <w:rFonts w:eastAsia="Arial Unicode MS"/>
          <w:sz w:val="24"/>
          <w:szCs w:val="24"/>
          <w:u w:color="000000"/>
        </w:rPr>
        <w:t>assistance to our partners</w:t>
      </w:r>
      <w:r w:rsidR="00922CE2">
        <w:rPr>
          <w:rFonts w:eastAsia="Arial Unicode MS"/>
          <w:sz w:val="24"/>
          <w:szCs w:val="24"/>
          <w:u w:color="000000"/>
        </w:rPr>
        <w:t>;</w:t>
      </w:r>
    </w:p>
    <w:p w14:paraId="6F377029" w14:textId="77777777" w:rsidR="00D83A42" w:rsidRPr="001076E0" w:rsidRDefault="00AA28E2" w:rsidP="001076E0">
      <w:pPr>
        <w:numPr>
          <w:ilvl w:val="0"/>
          <w:numId w:val="8"/>
        </w:numPr>
        <w:ind w:left="1440" w:hanging="720"/>
        <w:rPr>
          <w:rFonts w:eastAsia="Arial Unicode MS"/>
          <w:sz w:val="24"/>
          <w:szCs w:val="24"/>
          <w:u w:color="000000"/>
        </w:rPr>
      </w:pPr>
      <w:r>
        <w:rPr>
          <w:rFonts w:eastAsia="Arial Unicode MS"/>
          <w:sz w:val="24"/>
          <w:szCs w:val="24"/>
          <w:u w:color="000000"/>
        </w:rPr>
        <w:t xml:space="preserve">Through </w:t>
      </w:r>
      <w:r w:rsidR="00024A7F">
        <w:rPr>
          <w:rFonts w:eastAsia="Arial Unicode MS"/>
          <w:sz w:val="24"/>
          <w:szCs w:val="24"/>
          <w:u w:color="000000"/>
        </w:rPr>
        <w:t>CDC/</w:t>
      </w:r>
      <w:r>
        <w:rPr>
          <w:rFonts w:eastAsia="Arial Unicode MS"/>
          <w:sz w:val="24"/>
          <w:szCs w:val="24"/>
          <w:u w:color="000000"/>
        </w:rPr>
        <w:t>ICRO, t</w:t>
      </w:r>
      <w:r w:rsidR="001A3A81" w:rsidRPr="00B651A5">
        <w:rPr>
          <w:rFonts w:eastAsia="Arial Unicode MS"/>
          <w:sz w:val="24"/>
          <w:szCs w:val="24"/>
          <w:u w:color="000000"/>
        </w:rPr>
        <w:t>he OMB Desk officer</w:t>
      </w:r>
      <w:r w:rsidR="006E5EB5">
        <w:rPr>
          <w:rFonts w:eastAsia="Arial Unicode MS"/>
          <w:sz w:val="24"/>
          <w:szCs w:val="24"/>
          <w:u w:color="000000"/>
        </w:rPr>
        <w:t xml:space="preserve"> </w:t>
      </w:r>
      <w:r w:rsidR="0077278C">
        <w:rPr>
          <w:rFonts w:eastAsia="Arial Unicode MS"/>
          <w:sz w:val="24"/>
          <w:szCs w:val="24"/>
          <w:u w:color="000000"/>
        </w:rPr>
        <w:t>is</w:t>
      </w:r>
      <w:r w:rsidR="006E5EB5">
        <w:rPr>
          <w:rFonts w:eastAsia="Arial Unicode MS"/>
          <w:sz w:val="24"/>
          <w:szCs w:val="24"/>
          <w:u w:color="000000"/>
        </w:rPr>
        <w:t xml:space="preserve"> notified</w:t>
      </w:r>
      <w:r w:rsidR="005F675F">
        <w:rPr>
          <w:rFonts w:eastAsia="Arial Unicode MS"/>
          <w:sz w:val="24"/>
          <w:szCs w:val="24"/>
          <w:u w:color="000000"/>
        </w:rPr>
        <w:t xml:space="preserve"> of the </w:t>
      </w:r>
      <w:r w:rsidR="00D83A42">
        <w:rPr>
          <w:rFonts w:eastAsia="Arial Unicode MS"/>
          <w:sz w:val="24"/>
          <w:szCs w:val="24"/>
          <w:u w:color="000000"/>
        </w:rPr>
        <w:t xml:space="preserve">DORI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001A3A81" w:rsidRPr="00B651A5">
        <w:rPr>
          <w:rFonts w:eastAsia="Arial Unicode MS"/>
          <w:sz w:val="24"/>
          <w:szCs w:val="24"/>
          <w:u w:color="000000"/>
        </w:rPr>
        <w:t xml:space="preserve">receipt of the </w:t>
      </w:r>
      <w:proofErr w:type="spellStart"/>
      <w:r w:rsidR="0040196A">
        <w:rPr>
          <w:rFonts w:eastAsia="Arial Unicode MS"/>
          <w:sz w:val="24"/>
          <w:szCs w:val="24"/>
          <w:u w:color="000000"/>
        </w:rPr>
        <w:t>GenIC</w:t>
      </w:r>
      <w:proofErr w:type="spellEnd"/>
      <w:r w:rsidR="0040196A">
        <w:rPr>
          <w:rFonts w:eastAsia="Arial Unicode MS"/>
          <w:sz w:val="24"/>
          <w:szCs w:val="24"/>
          <w:u w:color="000000"/>
        </w:rPr>
        <w:t xml:space="preserve"> </w:t>
      </w:r>
      <w:r w:rsidR="007D7E6C" w:rsidRPr="00B651A5">
        <w:rPr>
          <w:rFonts w:eastAsia="Arial Unicode MS"/>
          <w:sz w:val="24"/>
          <w:szCs w:val="24"/>
          <w:u w:color="000000"/>
        </w:rPr>
        <w:t xml:space="preserve">“Request for </w:t>
      </w:r>
      <w:r w:rsidR="00D83A42">
        <w:rPr>
          <w:rFonts w:eastAsia="Arial Unicode MS"/>
          <w:sz w:val="24"/>
          <w:szCs w:val="24"/>
          <w:u w:color="000000"/>
        </w:rPr>
        <w:t xml:space="preserve">Drug Overdose Response </w:t>
      </w:r>
      <w:r w:rsidR="00603B37">
        <w:rPr>
          <w:rFonts w:eastAsia="Arial Unicode MS"/>
          <w:sz w:val="24"/>
          <w:szCs w:val="24"/>
          <w:u w:color="000000"/>
        </w:rPr>
        <w:t>Investigation</w:t>
      </w:r>
      <w:r w:rsidR="00D83A42">
        <w:rPr>
          <w:rFonts w:eastAsia="Arial Unicode MS"/>
          <w:sz w:val="24"/>
          <w:szCs w:val="24"/>
          <w:u w:color="000000"/>
        </w:rPr>
        <w:t>.</w:t>
      </w:r>
      <w:r w:rsidR="00603B37">
        <w:rPr>
          <w:rFonts w:eastAsia="Arial Unicode MS"/>
          <w:sz w:val="24"/>
          <w:szCs w:val="24"/>
          <w:u w:color="000000"/>
        </w:rPr>
        <w:t>”</w:t>
      </w:r>
      <w:r w:rsidR="007442FB">
        <w:rPr>
          <w:rFonts w:eastAsia="Arial Unicode MS"/>
          <w:sz w:val="24"/>
          <w:szCs w:val="24"/>
          <w:u w:color="000000"/>
        </w:rPr>
        <w:t xml:space="preserve"> </w:t>
      </w:r>
      <w:r w:rsidR="00D83A42">
        <w:rPr>
          <w:rFonts w:eastAsia="Arial Unicode MS"/>
          <w:sz w:val="24"/>
          <w:szCs w:val="24"/>
          <w:u w:color="000000"/>
        </w:rPr>
        <w:t xml:space="preserve">This </w:t>
      </w:r>
      <w:proofErr w:type="spellStart"/>
      <w:r w:rsidR="00D83A42">
        <w:rPr>
          <w:rFonts w:eastAsia="Arial Unicode MS"/>
          <w:sz w:val="24"/>
          <w:szCs w:val="24"/>
          <w:u w:color="000000"/>
        </w:rPr>
        <w:t>GenIC</w:t>
      </w:r>
      <w:proofErr w:type="spellEnd"/>
      <w:r w:rsidR="00D83A42">
        <w:rPr>
          <w:rFonts w:eastAsia="Arial Unicode MS"/>
          <w:sz w:val="24"/>
          <w:szCs w:val="24"/>
          <w:u w:color="000000"/>
        </w:rPr>
        <w:t xml:space="preserve"> will </w:t>
      </w:r>
      <w:r w:rsidR="005F0179">
        <w:rPr>
          <w:rFonts w:eastAsia="Arial Unicode MS"/>
          <w:sz w:val="24"/>
          <w:szCs w:val="24"/>
          <w:u w:color="000000"/>
        </w:rPr>
        <w:t>include the protocol for the investigation</w:t>
      </w:r>
      <w:r w:rsidR="001076E0">
        <w:rPr>
          <w:rFonts w:eastAsia="Arial Unicode MS"/>
          <w:sz w:val="24"/>
          <w:szCs w:val="24"/>
          <w:u w:color="000000"/>
        </w:rPr>
        <w:t xml:space="preserve"> (see </w:t>
      </w:r>
      <w:r w:rsidR="001076E0" w:rsidRPr="001076E0">
        <w:rPr>
          <w:rFonts w:eastAsia="Arial Unicode MS"/>
          <w:b/>
          <w:sz w:val="24"/>
          <w:szCs w:val="24"/>
          <w:u w:color="000000"/>
        </w:rPr>
        <w:t xml:space="preserve">Attachment </w:t>
      </w:r>
      <w:r w:rsidR="006E7636">
        <w:rPr>
          <w:rFonts w:eastAsia="Arial Unicode MS"/>
          <w:b/>
          <w:sz w:val="24"/>
          <w:szCs w:val="24"/>
          <w:u w:color="000000"/>
        </w:rPr>
        <w:t>D</w:t>
      </w:r>
      <w:r w:rsidR="001076E0">
        <w:rPr>
          <w:rFonts w:eastAsia="Arial Unicode MS"/>
          <w:sz w:val="24"/>
          <w:szCs w:val="24"/>
          <w:u w:color="000000"/>
        </w:rPr>
        <w:t>, the investigation protocol template)</w:t>
      </w:r>
      <w:r w:rsidR="005F0179">
        <w:rPr>
          <w:rFonts w:eastAsia="Arial Unicode MS"/>
          <w:sz w:val="24"/>
          <w:szCs w:val="24"/>
          <w:u w:color="000000"/>
        </w:rPr>
        <w:t xml:space="preserve">. The protocol describes the </w:t>
      </w:r>
      <w:r w:rsidR="00B876C7">
        <w:rPr>
          <w:rFonts w:eastAsia="Arial Unicode MS"/>
          <w:sz w:val="24"/>
          <w:szCs w:val="24"/>
          <w:u w:color="000000"/>
        </w:rPr>
        <w:t>circumstances</w:t>
      </w:r>
      <w:r w:rsidR="00D83A42">
        <w:rPr>
          <w:rFonts w:eastAsia="Arial Unicode MS"/>
          <w:sz w:val="24"/>
          <w:szCs w:val="24"/>
          <w:u w:color="000000"/>
        </w:rPr>
        <w:t xml:space="preserve">, </w:t>
      </w:r>
      <w:r w:rsidR="00B876C7">
        <w:rPr>
          <w:rFonts w:eastAsia="Arial Unicode MS"/>
          <w:sz w:val="24"/>
          <w:szCs w:val="24"/>
          <w:u w:color="000000"/>
        </w:rPr>
        <w:t>purpose</w:t>
      </w:r>
      <w:r w:rsidR="00D83A42">
        <w:rPr>
          <w:rFonts w:eastAsia="Arial Unicode MS"/>
          <w:sz w:val="24"/>
          <w:szCs w:val="24"/>
          <w:u w:color="000000"/>
        </w:rPr>
        <w:t xml:space="preserve">, </w:t>
      </w:r>
      <w:r w:rsidR="005F0179">
        <w:rPr>
          <w:rFonts w:eastAsia="Arial Unicode MS"/>
          <w:sz w:val="24"/>
          <w:szCs w:val="24"/>
          <w:u w:color="000000"/>
        </w:rPr>
        <w:t xml:space="preserve">case definition, </w:t>
      </w:r>
      <w:r w:rsidR="00B876C7">
        <w:rPr>
          <w:rFonts w:eastAsia="Arial Unicode MS"/>
          <w:sz w:val="24"/>
          <w:szCs w:val="24"/>
          <w:u w:color="000000"/>
        </w:rPr>
        <w:t xml:space="preserve">study population, </w:t>
      </w:r>
      <w:r w:rsidR="005F0179">
        <w:rPr>
          <w:rFonts w:eastAsia="Arial Unicode MS"/>
          <w:sz w:val="24"/>
          <w:szCs w:val="24"/>
          <w:u w:color="000000"/>
        </w:rPr>
        <w:t xml:space="preserve">variables of interest, </w:t>
      </w:r>
      <w:r w:rsidR="00B876C7">
        <w:rPr>
          <w:rFonts w:eastAsia="Arial Unicode MS"/>
          <w:sz w:val="24"/>
          <w:szCs w:val="24"/>
          <w:u w:color="000000"/>
        </w:rPr>
        <w:t xml:space="preserve">respondents, anticipated </w:t>
      </w:r>
      <w:r w:rsidR="00D83A42">
        <w:rPr>
          <w:rFonts w:eastAsia="Arial Unicode MS"/>
          <w:sz w:val="24"/>
          <w:szCs w:val="24"/>
          <w:u w:color="000000"/>
        </w:rPr>
        <w:t xml:space="preserve">burden hours, </w:t>
      </w:r>
      <w:r w:rsidR="00B876C7">
        <w:rPr>
          <w:rFonts w:eastAsia="Arial Unicode MS"/>
          <w:sz w:val="24"/>
          <w:szCs w:val="24"/>
          <w:u w:color="000000"/>
        </w:rPr>
        <w:t xml:space="preserve">data analysis plan, synthesis of results, </w:t>
      </w:r>
      <w:r w:rsidR="005E4C86">
        <w:rPr>
          <w:rFonts w:eastAsia="Arial Unicode MS"/>
          <w:sz w:val="24"/>
          <w:szCs w:val="24"/>
          <w:u w:color="000000"/>
        </w:rPr>
        <w:t>and draft data collection</w:t>
      </w:r>
      <w:r w:rsidR="005F0179">
        <w:rPr>
          <w:rFonts w:eastAsia="Arial Unicode MS"/>
          <w:sz w:val="24"/>
          <w:szCs w:val="24"/>
          <w:u w:color="000000"/>
        </w:rPr>
        <w:t xml:space="preserve"> instruments</w:t>
      </w:r>
      <w:r w:rsidR="005E4C86">
        <w:rPr>
          <w:rFonts w:eastAsia="Arial Unicode MS"/>
          <w:sz w:val="24"/>
          <w:szCs w:val="24"/>
          <w:u w:color="000000"/>
        </w:rPr>
        <w:t>.</w:t>
      </w:r>
      <w:r w:rsidR="005E4C86" w:rsidRPr="001076E0">
        <w:rPr>
          <w:rFonts w:eastAsia="Arial Unicode MS"/>
          <w:sz w:val="24"/>
          <w:szCs w:val="24"/>
          <w:u w:color="000000"/>
        </w:rPr>
        <w:t xml:space="preserve"> </w:t>
      </w:r>
    </w:p>
    <w:p w14:paraId="3CD6C92F" w14:textId="77777777" w:rsidR="00710B97" w:rsidRDefault="00AD796B" w:rsidP="00406936">
      <w:pPr>
        <w:numPr>
          <w:ilvl w:val="0"/>
          <w:numId w:val="8"/>
        </w:numPr>
        <w:ind w:left="1440" w:hanging="720"/>
        <w:rPr>
          <w:rFonts w:eastAsia="Arial Unicode MS"/>
          <w:sz w:val="24"/>
          <w:szCs w:val="24"/>
          <w:u w:color="000000"/>
        </w:rPr>
      </w:pPr>
      <w:r w:rsidRPr="00B651A5">
        <w:rPr>
          <w:rFonts w:eastAsia="Arial Unicode MS"/>
          <w:sz w:val="24"/>
          <w:szCs w:val="24"/>
          <w:u w:color="000000"/>
        </w:rPr>
        <w:t>The OMB desk officer respond</w:t>
      </w:r>
      <w:r w:rsidR="00501620">
        <w:rPr>
          <w:rFonts w:eastAsia="Arial Unicode MS"/>
          <w:sz w:val="24"/>
          <w:szCs w:val="24"/>
          <w:u w:color="000000"/>
        </w:rPr>
        <w:t>s</w:t>
      </w:r>
      <w:r w:rsidRPr="00B651A5">
        <w:rPr>
          <w:rFonts w:eastAsia="Arial Unicode MS"/>
          <w:sz w:val="24"/>
          <w:szCs w:val="24"/>
          <w:u w:color="000000"/>
        </w:rPr>
        <w:t xml:space="preserve"> with</w:t>
      </w:r>
      <w:r>
        <w:rPr>
          <w:rFonts w:eastAsia="Arial Unicode MS"/>
          <w:sz w:val="24"/>
          <w:szCs w:val="24"/>
          <w:u w:color="000000"/>
        </w:rPr>
        <w:t xml:space="preserve"> comments on the proposed </w:t>
      </w:r>
      <w:proofErr w:type="spellStart"/>
      <w:r w:rsidR="00922CE2">
        <w:rPr>
          <w:rFonts w:eastAsia="Arial Unicode MS"/>
          <w:sz w:val="24"/>
          <w:szCs w:val="24"/>
          <w:u w:color="000000"/>
        </w:rPr>
        <w:t>GenIC</w:t>
      </w:r>
      <w:proofErr w:type="spellEnd"/>
      <w:r w:rsidR="00922CE2">
        <w:rPr>
          <w:rFonts w:eastAsia="Arial Unicode MS"/>
          <w:sz w:val="24"/>
          <w:szCs w:val="24"/>
          <w:u w:color="000000"/>
        </w:rPr>
        <w:t xml:space="preserve"> </w:t>
      </w:r>
      <w:r w:rsidR="005F0179">
        <w:rPr>
          <w:rFonts w:eastAsia="Arial Unicode MS"/>
          <w:sz w:val="24"/>
          <w:szCs w:val="24"/>
          <w:u w:color="000000"/>
        </w:rPr>
        <w:t xml:space="preserve">DORI </w:t>
      </w:r>
      <w:r w:rsidRPr="00B651A5">
        <w:rPr>
          <w:rFonts w:eastAsia="Arial Unicode MS"/>
          <w:sz w:val="24"/>
          <w:szCs w:val="24"/>
          <w:u w:color="000000"/>
        </w:rPr>
        <w:t xml:space="preserve">within </w:t>
      </w:r>
      <w:r w:rsidR="005F0179">
        <w:rPr>
          <w:rFonts w:eastAsia="Arial Unicode MS"/>
          <w:sz w:val="24"/>
          <w:szCs w:val="24"/>
          <w:u w:color="000000"/>
        </w:rPr>
        <w:t>5 business days</w:t>
      </w:r>
      <w:r w:rsidRPr="00B651A5">
        <w:rPr>
          <w:rFonts w:eastAsia="Arial Unicode MS"/>
          <w:sz w:val="24"/>
          <w:szCs w:val="24"/>
          <w:u w:color="000000"/>
        </w:rPr>
        <w:t xml:space="preserve">. If no response is received within </w:t>
      </w:r>
      <w:r w:rsidR="005F0179">
        <w:rPr>
          <w:rFonts w:eastAsia="Arial Unicode MS"/>
          <w:sz w:val="24"/>
          <w:szCs w:val="24"/>
          <w:u w:color="000000"/>
        </w:rPr>
        <w:t>5 business days</w:t>
      </w:r>
      <w:r w:rsidR="00902D98">
        <w:rPr>
          <w:rFonts w:eastAsia="Arial Unicode MS"/>
          <w:sz w:val="24"/>
          <w:szCs w:val="24"/>
          <w:u w:color="000000"/>
        </w:rPr>
        <w:t>,</w:t>
      </w:r>
      <w:r w:rsidRPr="00B651A5">
        <w:rPr>
          <w:rFonts w:eastAsia="Arial Unicode MS"/>
          <w:sz w:val="24"/>
          <w:szCs w:val="24"/>
          <w:u w:color="000000"/>
        </w:rPr>
        <w:t xml:space="preserve"> the team assume</w:t>
      </w:r>
      <w:r w:rsidR="00501620">
        <w:rPr>
          <w:rFonts w:eastAsia="Arial Unicode MS"/>
          <w:sz w:val="24"/>
          <w:szCs w:val="24"/>
          <w:u w:color="000000"/>
        </w:rPr>
        <w:t>s</w:t>
      </w:r>
      <w:r w:rsidRPr="00B651A5">
        <w:rPr>
          <w:rFonts w:eastAsia="Arial Unicode MS"/>
          <w:sz w:val="24"/>
          <w:szCs w:val="24"/>
          <w:u w:color="000000"/>
        </w:rPr>
        <w:t xml:space="preserve"> that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cleared.</w:t>
      </w:r>
      <w:r w:rsidR="00501620">
        <w:rPr>
          <w:rFonts w:eastAsia="Arial Unicode MS"/>
          <w:sz w:val="24"/>
          <w:szCs w:val="24"/>
          <w:u w:color="000000"/>
        </w:rPr>
        <w:t xml:space="preserve"> </w:t>
      </w:r>
    </w:p>
    <w:p w14:paraId="16F0E652" w14:textId="716F289D" w:rsidR="001A3A81" w:rsidRPr="000E6CAF" w:rsidRDefault="00710B97" w:rsidP="00406936">
      <w:pPr>
        <w:numPr>
          <w:ilvl w:val="0"/>
          <w:numId w:val="8"/>
        </w:numPr>
        <w:ind w:left="1440" w:hanging="720"/>
        <w:rPr>
          <w:rFonts w:eastAsia="Arial Unicode MS"/>
          <w:sz w:val="24"/>
          <w:szCs w:val="24"/>
          <w:u w:color="000000"/>
        </w:rPr>
      </w:pPr>
      <w:r w:rsidRPr="000E6CAF">
        <w:rPr>
          <w:rFonts w:eastAsia="Arial Unicode MS"/>
          <w:sz w:val="24"/>
          <w:szCs w:val="24"/>
          <w:u w:color="000000"/>
        </w:rPr>
        <w:t xml:space="preserve">While in the field, </w:t>
      </w:r>
      <w:r w:rsidR="00CF7084" w:rsidRPr="000E6CAF">
        <w:rPr>
          <w:rFonts w:eastAsia="Arial Unicode MS"/>
          <w:sz w:val="24"/>
          <w:szCs w:val="24"/>
          <w:u w:color="000000"/>
        </w:rPr>
        <w:t xml:space="preserve">if </w:t>
      </w:r>
      <w:r w:rsidRPr="000E6CAF">
        <w:rPr>
          <w:rFonts w:eastAsia="Arial Unicode MS"/>
          <w:sz w:val="24"/>
          <w:szCs w:val="24"/>
          <w:u w:color="000000"/>
        </w:rPr>
        <w:t>modifications to the protocol are required</w:t>
      </w:r>
      <w:r w:rsidR="001860B7" w:rsidRPr="000E6CAF">
        <w:rPr>
          <w:rFonts w:eastAsia="Arial Unicode MS"/>
          <w:sz w:val="24"/>
          <w:szCs w:val="24"/>
          <w:u w:color="000000"/>
        </w:rPr>
        <w:t xml:space="preserve"> (which is anticipated to be a rare event)</w:t>
      </w:r>
      <w:r w:rsidRPr="000E6CAF">
        <w:rPr>
          <w:rFonts w:eastAsia="Arial Unicode MS"/>
          <w:sz w:val="24"/>
          <w:szCs w:val="24"/>
          <w:u w:color="000000"/>
        </w:rPr>
        <w:t xml:space="preserve">, the team will provide a copy of revised data collection instruments and protocol to the ICRL. The ICRL will make a determination as to whether the modifications entail a substantial change in </w:t>
      </w:r>
      <w:r w:rsidR="002C5811" w:rsidRPr="000E6CAF">
        <w:rPr>
          <w:rFonts w:eastAsia="Arial Unicode MS"/>
          <w:sz w:val="24"/>
          <w:szCs w:val="24"/>
          <w:u w:color="000000"/>
        </w:rPr>
        <w:t xml:space="preserve">scope or </w:t>
      </w:r>
      <w:r w:rsidRPr="000E6CAF">
        <w:rPr>
          <w:rFonts w:eastAsia="Arial Unicode MS"/>
          <w:sz w:val="24"/>
          <w:szCs w:val="24"/>
          <w:u w:color="000000"/>
        </w:rPr>
        <w:t xml:space="preserve">burden hours. </w:t>
      </w:r>
      <w:r w:rsidR="001860B7" w:rsidRPr="000E6CAF">
        <w:rPr>
          <w:rFonts w:eastAsia="Arial Unicode MS"/>
          <w:sz w:val="24"/>
          <w:szCs w:val="24"/>
          <w:u w:color="000000"/>
        </w:rPr>
        <w:t xml:space="preserve">If the ICRL makes a determination that the modifications do not constitute a substantial change, CDC will use the revised instruments that incorporate the minor modifications (e.g., modifications to item wording). </w:t>
      </w:r>
      <w:r w:rsidRPr="000E6CAF">
        <w:rPr>
          <w:rFonts w:eastAsia="Arial Unicode MS"/>
          <w:sz w:val="24"/>
          <w:szCs w:val="24"/>
          <w:u w:color="000000"/>
        </w:rPr>
        <w:t>If a substantial change is needed</w:t>
      </w:r>
      <w:r w:rsidR="001860B7" w:rsidRPr="000E6CAF">
        <w:rPr>
          <w:rFonts w:eastAsia="Arial Unicode MS"/>
          <w:sz w:val="24"/>
          <w:szCs w:val="24"/>
          <w:u w:color="000000"/>
        </w:rPr>
        <w:t xml:space="preserve"> (e.g., changes to burden, scope, respondent type)</w:t>
      </w:r>
      <w:r w:rsidRPr="000E6CAF">
        <w:rPr>
          <w:rFonts w:eastAsia="Arial Unicode MS"/>
          <w:sz w:val="24"/>
          <w:szCs w:val="24"/>
          <w:u w:color="000000"/>
        </w:rPr>
        <w:t xml:space="preserve">, the ICRL will </w:t>
      </w:r>
      <w:r w:rsidR="00901830" w:rsidRPr="000E6CAF">
        <w:rPr>
          <w:rFonts w:eastAsia="Arial Unicode MS"/>
          <w:sz w:val="24"/>
          <w:szCs w:val="24"/>
          <w:u w:color="000000"/>
        </w:rPr>
        <w:t xml:space="preserve">work with </w:t>
      </w:r>
      <w:r w:rsidR="00B04949" w:rsidRPr="000E6CAF">
        <w:rPr>
          <w:rFonts w:eastAsia="Arial Unicode MS"/>
          <w:sz w:val="24"/>
          <w:szCs w:val="24"/>
          <w:u w:color="000000"/>
        </w:rPr>
        <w:t xml:space="preserve">the investigators </w:t>
      </w:r>
      <w:r w:rsidR="00901830" w:rsidRPr="000E6CAF">
        <w:rPr>
          <w:rFonts w:eastAsia="Arial Unicode MS"/>
          <w:sz w:val="24"/>
          <w:szCs w:val="24"/>
          <w:u w:color="000000"/>
        </w:rPr>
        <w:t xml:space="preserve">to </w:t>
      </w:r>
      <w:r w:rsidR="00B04949" w:rsidRPr="000E6CAF">
        <w:rPr>
          <w:rFonts w:eastAsia="Arial Unicode MS"/>
          <w:sz w:val="24"/>
          <w:szCs w:val="24"/>
          <w:u w:color="000000"/>
        </w:rPr>
        <w:t xml:space="preserve">submit a </w:t>
      </w:r>
      <w:proofErr w:type="spellStart"/>
      <w:r w:rsidR="00B04949" w:rsidRPr="000E6CAF">
        <w:rPr>
          <w:rFonts w:eastAsia="Arial Unicode MS"/>
          <w:sz w:val="24"/>
          <w:szCs w:val="24"/>
          <w:u w:color="000000"/>
        </w:rPr>
        <w:t>GenIC</w:t>
      </w:r>
      <w:proofErr w:type="spellEnd"/>
      <w:r w:rsidR="00B04949" w:rsidRPr="000E6CAF">
        <w:rPr>
          <w:rFonts w:eastAsia="Arial Unicode MS"/>
          <w:sz w:val="24"/>
          <w:szCs w:val="24"/>
          <w:u w:color="000000"/>
        </w:rPr>
        <w:t xml:space="preserve"> with the revised data collection instruments to ICRO. ICRO will send the </w:t>
      </w:r>
      <w:proofErr w:type="spellStart"/>
      <w:r w:rsidR="00B04949" w:rsidRPr="000E6CAF">
        <w:rPr>
          <w:rFonts w:eastAsia="Arial Unicode MS"/>
          <w:sz w:val="24"/>
          <w:szCs w:val="24"/>
          <w:u w:color="000000"/>
        </w:rPr>
        <w:t>GenIC</w:t>
      </w:r>
      <w:proofErr w:type="spellEnd"/>
      <w:r w:rsidR="00B04949" w:rsidRPr="000E6CAF">
        <w:rPr>
          <w:rFonts w:eastAsia="Arial Unicode MS"/>
          <w:sz w:val="24"/>
          <w:szCs w:val="24"/>
          <w:u w:color="000000"/>
        </w:rPr>
        <w:t xml:space="preserve"> with the revised data collection instruments </w:t>
      </w:r>
      <w:r w:rsidRPr="000E6CAF">
        <w:rPr>
          <w:rFonts w:eastAsia="Arial Unicode MS"/>
          <w:sz w:val="24"/>
          <w:szCs w:val="24"/>
          <w:u w:color="000000"/>
        </w:rPr>
        <w:t>to the OMB desk officer for review</w:t>
      </w:r>
      <w:r w:rsidR="00CF7084" w:rsidRPr="000E6CAF">
        <w:rPr>
          <w:rFonts w:eastAsia="Arial Unicode MS"/>
          <w:sz w:val="24"/>
          <w:szCs w:val="24"/>
          <w:u w:color="000000"/>
        </w:rPr>
        <w:t>, along with an e-mail to the OMB Desk officer</w:t>
      </w:r>
      <w:r w:rsidRPr="000E6CAF">
        <w:rPr>
          <w:rFonts w:eastAsia="Arial Unicode MS"/>
          <w:sz w:val="24"/>
          <w:szCs w:val="24"/>
          <w:u w:color="000000"/>
        </w:rPr>
        <w:t xml:space="preserve">. The OMB desk officer will respond with approval or comments for revision within </w:t>
      </w:r>
      <w:r w:rsidR="00CF7084" w:rsidRPr="000E6CAF">
        <w:rPr>
          <w:rFonts w:eastAsia="Arial Unicode MS"/>
          <w:sz w:val="24"/>
          <w:szCs w:val="24"/>
          <w:u w:color="000000"/>
        </w:rPr>
        <w:t xml:space="preserve">3 </w:t>
      </w:r>
      <w:r w:rsidR="00FB29A6" w:rsidRPr="000E6CAF">
        <w:rPr>
          <w:rFonts w:eastAsia="Arial Unicode MS"/>
          <w:sz w:val="24"/>
          <w:szCs w:val="24"/>
          <w:u w:color="000000"/>
        </w:rPr>
        <w:t>business days</w:t>
      </w:r>
      <w:r w:rsidRPr="000E6CAF">
        <w:rPr>
          <w:rFonts w:eastAsia="Arial Unicode MS"/>
          <w:sz w:val="24"/>
          <w:szCs w:val="24"/>
          <w:u w:color="000000"/>
        </w:rPr>
        <w:t xml:space="preserve">. </w:t>
      </w:r>
      <w:r w:rsidR="001860B7" w:rsidRPr="000E6CAF">
        <w:rPr>
          <w:rFonts w:eastAsia="Arial Unicode MS"/>
          <w:sz w:val="24"/>
          <w:szCs w:val="24"/>
          <w:u w:color="000000"/>
        </w:rPr>
        <w:t xml:space="preserve">In this time frame, CDC will not use the revised </w:t>
      </w:r>
      <w:proofErr w:type="spellStart"/>
      <w:r w:rsidR="001860B7" w:rsidRPr="000E6CAF">
        <w:rPr>
          <w:rFonts w:eastAsia="Arial Unicode MS"/>
          <w:sz w:val="24"/>
          <w:szCs w:val="24"/>
          <w:u w:color="000000"/>
        </w:rPr>
        <w:t>GenIC</w:t>
      </w:r>
      <w:proofErr w:type="spellEnd"/>
      <w:r w:rsidR="001860B7" w:rsidRPr="000E6CAF">
        <w:rPr>
          <w:rFonts w:eastAsia="Arial Unicode MS"/>
          <w:sz w:val="24"/>
          <w:szCs w:val="24"/>
          <w:u w:color="000000"/>
        </w:rPr>
        <w:t xml:space="preserve"> until changes are approved by OMB. </w:t>
      </w:r>
      <w:r w:rsidRPr="000E6CAF">
        <w:rPr>
          <w:rFonts w:eastAsia="Arial Unicode MS"/>
          <w:sz w:val="24"/>
          <w:szCs w:val="24"/>
          <w:u w:color="000000"/>
        </w:rPr>
        <w:t xml:space="preserve">If no response is received within </w:t>
      </w:r>
      <w:r w:rsidR="00CF7084" w:rsidRPr="000E6CAF">
        <w:rPr>
          <w:rFonts w:eastAsia="Arial Unicode MS"/>
          <w:sz w:val="24"/>
          <w:szCs w:val="24"/>
          <w:u w:color="000000"/>
        </w:rPr>
        <w:t xml:space="preserve">3 </w:t>
      </w:r>
      <w:r w:rsidR="00FB29A6" w:rsidRPr="000E6CAF">
        <w:rPr>
          <w:rFonts w:eastAsia="Arial Unicode MS"/>
          <w:sz w:val="24"/>
          <w:szCs w:val="24"/>
          <w:u w:color="000000"/>
        </w:rPr>
        <w:t>business days</w:t>
      </w:r>
      <w:r w:rsidRPr="000E6CAF">
        <w:rPr>
          <w:rFonts w:eastAsia="Arial Unicode MS"/>
          <w:sz w:val="24"/>
          <w:szCs w:val="24"/>
          <w:u w:color="000000"/>
        </w:rPr>
        <w:t xml:space="preserve">, the team assumes that the revisions have been accepted. </w:t>
      </w:r>
      <w:r w:rsidR="005F675F" w:rsidRPr="000E6CAF">
        <w:rPr>
          <w:rFonts w:eastAsia="Arial Unicode MS"/>
          <w:sz w:val="24"/>
          <w:szCs w:val="24"/>
          <w:u w:color="000000"/>
        </w:rPr>
        <w:t xml:space="preserve"> </w:t>
      </w:r>
    </w:p>
    <w:p w14:paraId="32C08DE3" w14:textId="77777777" w:rsidR="001A3A81" w:rsidRDefault="00AD796B" w:rsidP="00406936">
      <w:pPr>
        <w:numPr>
          <w:ilvl w:val="0"/>
          <w:numId w:val="8"/>
        </w:numPr>
        <w:ind w:left="1440" w:hanging="720"/>
        <w:rPr>
          <w:rFonts w:eastAsia="Arial Unicode MS"/>
          <w:sz w:val="24"/>
          <w:szCs w:val="24"/>
          <w:u w:color="000000"/>
        </w:rPr>
      </w:pPr>
      <w:r>
        <w:rPr>
          <w:rFonts w:eastAsia="Arial Unicode MS"/>
          <w:sz w:val="24"/>
          <w:szCs w:val="24"/>
          <w:u w:color="000000"/>
        </w:rPr>
        <w:t xml:space="preserve">At the completion of the </w:t>
      </w:r>
      <w:r w:rsidR="00710B97">
        <w:rPr>
          <w:rFonts w:eastAsia="Arial Unicode MS"/>
          <w:sz w:val="24"/>
          <w:szCs w:val="24"/>
          <w:u w:color="000000"/>
        </w:rPr>
        <w:t>DORI</w:t>
      </w:r>
      <w:r>
        <w:rPr>
          <w:rFonts w:eastAsia="Arial Unicode MS"/>
          <w:sz w:val="24"/>
          <w:szCs w:val="24"/>
          <w:u w:color="000000"/>
        </w:rPr>
        <w:t xml:space="preserve">,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D3422B">
        <w:rPr>
          <w:rFonts w:eastAsia="Arial Unicode MS"/>
          <w:sz w:val="24"/>
          <w:szCs w:val="24"/>
          <w:u w:color="000000"/>
        </w:rPr>
        <w:t>to the ICRL</w:t>
      </w:r>
      <w:r w:rsidR="007026AA">
        <w:rPr>
          <w:rFonts w:eastAsia="Arial Unicode MS"/>
          <w:sz w:val="24"/>
          <w:szCs w:val="24"/>
          <w:u w:color="000000"/>
        </w:rPr>
        <w:t xml:space="preserve"> using the “burden memo” (see </w:t>
      </w:r>
      <w:r w:rsidR="007026AA" w:rsidRPr="007026AA">
        <w:rPr>
          <w:rFonts w:eastAsia="Arial Unicode MS"/>
          <w:b/>
          <w:sz w:val="24"/>
          <w:szCs w:val="24"/>
          <w:u w:color="000000"/>
        </w:rPr>
        <w:t xml:space="preserve">Attachment </w:t>
      </w:r>
      <w:r w:rsidR="006E7636">
        <w:rPr>
          <w:rFonts w:eastAsia="Arial Unicode MS"/>
          <w:b/>
          <w:sz w:val="24"/>
          <w:szCs w:val="24"/>
          <w:u w:color="000000"/>
        </w:rPr>
        <w:t>E</w:t>
      </w:r>
      <w:r w:rsidR="007026AA">
        <w:rPr>
          <w:rFonts w:eastAsia="Arial Unicode MS"/>
          <w:sz w:val="24"/>
          <w:szCs w:val="24"/>
          <w:u w:color="000000"/>
        </w:rPr>
        <w:t>)</w:t>
      </w:r>
      <w:r w:rsidR="00F41554" w:rsidRPr="00B651A5">
        <w:rPr>
          <w:rFonts w:eastAsia="Arial Unicode MS"/>
          <w:sz w:val="24"/>
          <w:szCs w:val="24"/>
          <w:u w:color="000000"/>
        </w:rPr>
        <w:t>.</w:t>
      </w:r>
      <w:r w:rsidR="00D3422B">
        <w:rPr>
          <w:rFonts w:eastAsia="Arial Unicode MS"/>
          <w:sz w:val="24"/>
          <w:szCs w:val="24"/>
          <w:u w:color="000000"/>
        </w:rPr>
        <w:t xml:space="preserve">  </w:t>
      </w:r>
    </w:p>
    <w:p w14:paraId="20101CDA" w14:textId="77777777" w:rsidR="001450A6" w:rsidRDefault="00501620" w:rsidP="00406936">
      <w:pPr>
        <w:numPr>
          <w:ilvl w:val="0"/>
          <w:numId w:val="8"/>
        </w:numPr>
        <w:ind w:left="1440" w:hanging="720"/>
        <w:rPr>
          <w:rFonts w:eastAsia="Arial Unicode MS"/>
          <w:sz w:val="24"/>
          <w:szCs w:val="24"/>
          <w:u w:color="000000"/>
        </w:rPr>
      </w:pPr>
      <w:r>
        <w:rPr>
          <w:rFonts w:eastAsia="Arial Unicode MS"/>
          <w:sz w:val="24"/>
          <w:szCs w:val="24"/>
          <w:u w:color="000000"/>
        </w:rPr>
        <w:lastRenderedPageBreak/>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Generic ICR.</w:t>
      </w:r>
      <w:r>
        <w:rPr>
          <w:rFonts w:eastAsia="Arial Unicode MS"/>
          <w:sz w:val="24"/>
          <w:szCs w:val="24"/>
          <w:u w:color="000000"/>
        </w:rPr>
        <w:t xml:space="preserve">  </w:t>
      </w:r>
    </w:p>
    <w:p w14:paraId="252F9371" w14:textId="77777777" w:rsidR="005B0F82" w:rsidRDefault="005B0F82" w:rsidP="005B0F82">
      <w:pPr>
        <w:ind w:left="720"/>
        <w:rPr>
          <w:rFonts w:eastAsia="Arial Unicode MS"/>
          <w:sz w:val="24"/>
          <w:szCs w:val="24"/>
          <w:u w:color="000000"/>
        </w:rPr>
      </w:pPr>
    </w:p>
    <w:p w14:paraId="2D380B07" w14:textId="77777777" w:rsidR="00527A26" w:rsidRPr="00B651A5" w:rsidRDefault="005B0F82" w:rsidP="009F198C">
      <w:pPr>
        <w:ind w:left="720" w:hanging="720"/>
        <w:rPr>
          <w:b/>
          <w:szCs w:val="24"/>
        </w:rPr>
      </w:pPr>
      <w:r>
        <w:rPr>
          <w:rFonts w:eastAsia="Arial Unicode MS"/>
          <w:sz w:val="24"/>
          <w:szCs w:val="24"/>
          <w:u w:color="000000"/>
        </w:rPr>
        <w:tab/>
      </w:r>
    </w:p>
    <w:p w14:paraId="5A0BCF21" w14:textId="77777777" w:rsidR="001A3A81" w:rsidRDefault="00E92F86" w:rsidP="00B651A5">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001A3A81" w:rsidRPr="000B6B4A">
        <w:rPr>
          <w:rFonts w:eastAsia="Arial Unicode MS"/>
          <w:b/>
          <w:sz w:val="24"/>
          <w:szCs w:val="24"/>
          <w:u w:color="000000"/>
        </w:rPr>
        <w:t>Comm</w:t>
      </w:r>
      <w:r w:rsidR="001A3A81" w:rsidRPr="00B651A5">
        <w:rPr>
          <w:rFonts w:eastAsia="Arial Unicode MS"/>
          <w:b/>
          <w:sz w:val="24"/>
          <w:szCs w:val="24"/>
          <w:u w:color="000000"/>
        </w:rPr>
        <w:t xml:space="preserve">ents in Response to the Federal Register Notice and Efforts to Consult </w:t>
      </w:r>
      <w:r w:rsidR="001A3A81"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001A3A81" w:rsidRPr="007366BE">
        <w:rPr>
          <w:rFonts w:eastAsia="Arial Unicode MS"/>
          <w:b/>
          <w:sz w:val="24"/>
          <w:szCs w:val="24"/>
          <w:u w:color="000000"/>
        </w:rPr>
        <w:t>Agency</w:t>
      </w:r>
    </w:p>
    <w:p w14:paraId="1215F8B0" w14:textId="77777777" w:rsidR="000B6B4A" w:rsidRPr="007366BE" w:rsidRDefault="000B6B4A" w:rsidP="00B651A5">
      <w:pPr>
        <w:ind w:left="720" w:hanging="720"/>
        <w:rPr>
          <w:rFonts w:eastAsia="Arial Unicode MS"/>
          <w:b/>
          <w:sz w:val="24"/>
          <w:szCs w:val="24"/>
          <w:u w:color="000000"/>
        </w:rPr>
      </w:pPr>
    </w:p>
    <w:p w14:paraId="6FF2274A" w14:textId="77777777" w:rsidR="000B6B4A" w:rsidRDefault="000B6B4A" w:rsidP="000B6B4A">
      <w:pPr>
        <w:pStyle w:val="Body1"/>
        <w:tabs>
          <w:tab w:val="left" w:pos="720"/>
          <w:tab w:val="left" w:pos="1080"/>
          <w:tab w:val="left" w:pos="1800"/>
        </w:tabs>
        <w:ind w:left="720"/>
        <w:rPr>
          <w:b/>
          <w:szCs w:val="24"/>
        </w:rPr>
      </w:pPr>
      <w:r>
        <w:rPr>
          <w:b/>
          <w:szCs w:val="24"/>
        </w:rPr>
        <w:t xml:space="preserve">A. </w:t>
      </w:r>
      <w:r w:rsidRPr="0029499C">
        <w:rPr>
          <w:b/>
          <w:noProof/>
        </w:rPr>
        <w:t>Federal Register Notice</w:t>
      </w:r>
      <w:r w:rsidRPr="00912A6F">
        <w:rPr>
          <w:b/>
          <w:szCs w:val="24"/>
        </w:rPr>
        <w:t xml:space="preserve"> </w:t>
      </w:r>
    </w:p>
    <w:p w14:paraId="37DA3A4B" w14:textId="77777777" w:rsidR="000B6B4A" w:rsidRDefault="000B6B4A" w:rsidP="000B6B4A">
      <w:pPr>
        <w:pStyle w:val="Body1"/>
        <w:tabs>
          <w:tab w:val="left" w:pos="720"/>
          <w:tab w:val="left" w:pos="1080"/>
          <w:tab w:val="left" w:pos="1800"/>
        </w:tabs>
        <w:ind w:left="720"/>
        <w:rPr>
          <w:szCs w:val="24"/>
        </w:rPr>
      </w:pPr>
      <w:r w:rsidRPr="00912A6F">
        <w:rPr>
          <w:b/>
          <w:szCs w:val="24"/>
        </w:rPr>
        <w:t>A</w:t>
      </w:r>
      <w:r w:rsidRPr="00912A6F">
        <w:rPr>
          <w:szCs w:val="24"/>
        </w:rPr>
        <w:t xml:space="preserve"> 60-day</w:t>
      </w:r>
      <w:r w:rsidRPr="009E7AEB">
        <w:rPr>
          <w:szCs w:val="24"/>
        </w:rPr>
        <w:t xml:space="preserve"> Federal Register Notice was published in the Federal Register on </w:t>
      </w:r>
      <w:r>
        <w:rPr>
          <w:szCs w:val="24"/>
        </w:rPr>
        <w:t xml:space="preserve">August 14, 2014, </w:t>
      </w:r>
      <w:r w:rsidRPr="009E7AEB">
        <w:rPr>
          <w:szCs w:val="24"/>
        </w:rPr>
        <w:t xml:space="preserve">Vol. </w:t>
      </w:r>
      <w:r>
        <w:rPr>
          <w:szCs w:val="24"/>
        </w:rPr>
        <w:t>79</w:t>
      </w:r>
      <w:r w:rsidRPr="009E7AEB">
        <w:rPr>
          <w:szCs w:val="24"/>
        </w:rPr>
        <w:t>, No</w:t>
      </w:r>
      <w:r>
        <w:rPr>
          <w:szCs w:val="24"/>
        </w:rPr>
        <w:t xml:space="preserve">. 157, page 47640 – </w:t>
      </w:r>
      <w:r w:rsidR="00CF3E23">
        <w:rPr>
          <w:szCs w:val="24"/>
        </w:rPr>
        <w:t>47641 (</w:t>
      </w:r>
      <w:r w:rsidRPr="00304F0B">
        <w:rPr>
          <w:b/>
          <w:szCs w:val="24"/>
        </w:rPr>
        <w:t xml:space="preserve">Attachment </w:t>
      </w:r>
      <w:r>
        <w:rPr>
          <w:b/>
          <w:szCs w:val="24"/>
        </w:rPr>
        <w:t>B</w:t>
      </w:r>
      <w:r>
        <w:rPr>
          <w:szCs w:val="24"/>
        </w:rPr>
        <w:t xml:space="preserve">). </w:t>
      </w:r>
      <w:r w:rsidR="00CF3E23" w:rsidRPr="00CF3E23">
        <w:rPr>
          <w:szCs w:val="24"/>
        </w:rPr>
        <w:t>There were no comments to the 60-day Federal Register Notice.</w:t>
      </w:r>
    </w:p>
    <w:p w14:paraId="49FB2530" w14:textId="77777777" w:rsidR="006C6CE1" w:rsidRDefault="006C6CE1" w:rsidP="007026AA">
      <w:pPr>
        <w:pStyle w:val="Body1"/>
        <w:tabs>
          <w:tab w:val="left" w:pos="720"/>
          <w:tab w:val="left" w:pos="1080"/>
          <w:tab w:val="left" w:pos="1800"/>
        </w:tabs>
        <w:ind w:left="720"/>
        <w:rPr>
          <w:b/>
          <w:szCs w:val="24"/>
        </w:rPr>
      </w:pPr>
    </w:p>
    <w:p w14:paraId="42CE8964" w14:textId="77777777" w:rsidR="000B6B4A" w:rsidRDefault="006C6CE1" w:rsidP="001F1EF2">
      <w:pPr>
        <w:pStyle w:val="Default"/>
        <w:ind w:left="720"/>
        <w:rPr>
          <w:b/>
        </w:rPr>
      </w:pPr>
      <w:r>
        <w:rPr>
          <w:b/>
        </w:rPr>
        <w:t xml:space="preserve">B. </w:t>
      </w:r>
      <w:r w:rsidR="000B6B4A" w:rsidRPr="0029499C">
        <w:rPr>
          <w:b/>
          <w:noProof/>
        </w:rPr>
        <w:t>Efforts to Consult Outside the Agency</w:t>
      </w:r>
    </w:p>
    <w:p w14:paraId="08798AD6" w14:textId="77777777" w:rsidR="006C6CE1" w:rsidRDefault="007227B1" w:rsidP="001F1EF2">
      <w:pPr>
        <w:pStyle w:val="Default"/>
        <w:ind w:left="720"/>
        <w:rPr>
          <w:sz w:val="22"/>
          <w:szCs w:val="22"/>
        </w:rPr>
      </w:pPr>
      <w:r>
        <w:rPr>
          <w:sz w:val="22"/>
          <w:szCs w:val="22"/>
        </w:rPr>
        <w:t xml:space="preserve">The following are the individuals we consulted with </w:t>
      </w:r>
      <w:r w:rsidR="00CF7084">
        <w:rPr>
          <w:sz w:val="22"/>
          <w:szCs w:val="22"/>
        </w:rPr>
        <w:t xml:space="preserve">outside CDC </w:t>
      </w:r>
      <w:r>
        <w:rPr>
          <w:sz w:val="22"/>
          <w:szCs w:val="22"/>
        </w:rPr>
        <w:t xml:space="preserve">to inform the development of this package. There were no major problems that could not be resolved during the consultation. </w:t>
      </w:r>
    </w:p>
    <w:p w14:paraId="39CFEE7D" w14:textId="77777777" w:rsidR="007227B1" w:rsidRDefault="007227B1" w:rsidP="001F1EF2">
      <w:pPr>
        <w:pStyle w:val="Default"/>
        <w:ind w:left="720"/>
        <w:rPr>
          <w:sz w:val="22"/>
          <w:szCs w:val="22"/>
        </w:rPr>
      </w:pPr>
    </w:p>
    <w:p w14:paraId="464A3C1A" w14:textId="77777777" w:rsidR="007227B1" w:rsidRDefault="007227B1" w:rsidP="007227B1">
      <w:pPr>
        <w:pStyle w:val="Default"/>
        <w:ind w:left="720"/>
        <w:rPr>
          <w:sz w:val="22"/>
          <w:szCs w:val="22"/>
        </w:rPr>
      </w:pPr>
    </w:p>
    <w:p w14:paraId="28F08EBC" w14:textId="77777777" w:rsidR="007227B1" w:rsidRDefault="007227B1" w:rsidP="007227B1">
      <w:pPr>
        <w:pStyle w:val="Default"/>
        <w:ind w:left="720"/>
        <w:rPr>
          <w:sz w:val="22"/>
          <w:szCs w:val="22"/>
        </w:rPr>
      </w:pPr>
      <w:r w:rsidRPr="001F1EF2">
        <w:rPr>
          <w:b/>
          <w:sz w:val="22"/>
          <w:szCs w:val="22"/>
        </w:rPr>
        <w:t>Name</w:t>
      </w:r>
      <w:r>
        <w:rPr>
          <w:sz w:val="22"/>
          <w:szCs w:val="22"/>
        </w:rPr>
        <w:t xml:space="preserve">: </w:t>
      </w:r>
      <w:r w:rsidR="00847460">
        <w:rPr>
          <w:sz w:val="22"/>
          <w:szCs w:val="22"/>
        </w:rPr>
        <w:t xml:space="preserve">Rob </w:t>
      </w:r>
      <w:proofErr w:type="spellStart"/>
      <w:r w:rsidR="00847460">
        <w:rPr>
          <w:sz w:val="22"/>
          <w:szCs w:val="22"/>
        </w:rPr>
        <w:t>Lyer</w:t>
      </w:r>
      <w:r w:rsidR="00A50004">
        <w:rPr>
          <w:sz w:val="22"/>
          <w:szCs w:val="22"/>
        </w:rPr>
        <w:t>l</w:t>
      </w:r>
      <w:r w:rsidR="00847460">
        <w:rPr>
          <w:sz w:val="22"/>
          <w:szCs w:val="22"/>
        </w:rPr>
        <w:t>a</w:t>
      </w:r>
      <w:proofErr w:type="spellEnd"/>
    </w:p>
    <w:p w14:paraId="2FA07B3E" w14:textId="77777777" w:rsidR="007227B1" w:rsidRDefault="007227B1" w:rsidP="007227B1">
      <w:pPr>
        <w:pStyle w:val="Default"/>
        <w:ind w:left="720"/>
        <w:rPr>
          <w:sz w:val="22"/>
          <w:szCs w:val="22"/>
        </w:rPr>
      </w:pPr>
      <w:r w:rsidRPr="001F1EF2">
        <w:rPr>
          <w:b/>
          <w:sz w:val="22"/>
          <w:szCs w:val="22"/>
        </w:rPr>
        <w:t>Title</w:t>
      </w:r>
      <w:r>
        <w:rPr>
          <w:sz w:val="22"/>
          <w:szCs w:val="22"/>
        </w:rPr>
        <w:t xml:space="preserve">: </w:t>
      </w:r>
      <w:r w:rsidR="00A50004">
        <w:rPr>
          <w:sz w:val="22"/>
          <w:szCs w:val="22"/>
        </w:rPr>
        <w:t>CAPT USPHS, Center for Behavioral Health Statistics and Quality, Substance Abuse and Mental Health Services Administration</w:t>
      </w:r>
    </w:p>
    <w:p w14:paraId="3AA4D529" w14:textId="77777777" w:rsidR="00A50004" w:rsidRDefault="007227B1" w:rsidP="001F1EF2">
      <w:pPr>
        <w:pStyle w:val="Default"/>
        <w:ind w:left="720"/>
        <w:rPr>
          <w:sz w:val="22"/>
          <w:szCs w:val="22"/>
        </w:rPr>
      </w:pPr>
      <w:r w:rsidRPr="001F1EF2">
        <w:rPr>
          <w:b/>
          <w:sz w:val="22"/>
          <w:szCs w:val="22"/>
        </w:rPr>
        <w:t>Phone Number</w:t>
      </w:r>
      <w:r>
        <w:rPr>
          <w:sz w:val="22"/>
          <w:szCs w:val="22"/>
        </w:rPr>
        <w:t xml:space="preserve">: </w:t>
      </w:r>
      <w:r w:rsidR="00A50004">
        <w:rPr>
          <w:sz w:val="22"/>
          <w:szCs w:val="22"/>
        </w:rPr>
        <w:t>240.276.0548</w:t>
      </w:r>
    </w:p>
    <w:p w14:paraId="6092655A" w14:textId="77777777" w:rsidR="007227B1" w:rsidRDefault="007227B1" w:rsidP="007227B1">
      <w:pPr>
        <w:pStyle w:val="Default"/>
        <w:ind w:left="720"/>
        <w:rPr>
          <w:sz w:val="22"/>
          <w:szCs w:val="22"/>
        </w:rPr>
      </w:pPr>
      <w:r w:rsidRPr="001F1EF2">
        <w:rPr>
          <w:b/>
          <w:sz w:val="22"/>
          <w:szCs w:val="22"/>
        </w:rPr>
        <w:t>Email</w:t>
      </w:r>
      <w:r>
        <w:rPr>
          <w:sz w:val="22"/>
          <w:szCs w:val="22"/>
        </w:rPr>
        <w:t xml:space="preserve">: </w:t>
      </w:r>
      <w:hyperlink r:id="rId10" w:history="1">
        <w:r w:rsidR="00A50004" w:rsidRPr="005E5A46">
          <w:rPr>
            <w:rStyle w:val="Hyperlink"/>
            <w:rFonts w:eastAsia="Times New Roman"/>
            <w:sz w:val="22"/>
            <w:szCs w:val="22"/>
          </w:rPr>
          <w:t>rob.lyerla@samhsa.gov</w:t>
        </w:r>
      </w:hyperlink>
      <w:r w:rsidR="00A50004">
        <w:rPr>
          <w:sz w:val="22"/>
          <w:szCs w:val="22"/>
        </w:rPr>
        <w:t xml:space="preserve"> </w:t>
      </w:r>
    </w:p>
    <w:p w14:paraId="6B471744" w14:textId="77777777" w:rsidR="007227B1" w:rsidRDefault="007227B1" w:rsidP="007227B1">
      <w:pPr>
        <w:pStyle w:val="Default"/>
        <w:ind w:left="720"/>
        <w:rPr>
          <w:sz w:val="22"/>
          <w:szCs w:val="22"/>
        </w:rPr>
      </w:pPr>
      <w:r w:rsidRPr="001F1EF2">
        <w:rPr>
          <w:b/>
          <w:sz w:val="22"/>
          <w:szCs w:val="22"/>
        </w:rPr>
        <w:t>Consultation year</w:t>
      </w:r>
      <w:r>
        <w:rPr>
          <w:sz w:val="22"/>
          <w:szCs w:val="22"/>
        </w:rPr>
        <w:t>: 2014</w:t>
      </w:r>
    </w:p>
    <w:p w14:paraId="21548949" w14:textId="77777777" w:rsidR="007227B1" w:rsidRDefault="007227B1" w:rsidP="007227B1">
      <w:pPr>
        <w:pStyle w:val="Default"/>
        <w:ind w:left="720"/>
        <w:rPr>
          <w:sz w:val="22"/>
          <w:szCs w:val="22"/>
        </w:rPr>
      </w:pPr>
    </w:p>
    <w:p w14:paraId="4323797B" w14:textId="77777777" w:rsidR="00A50004" w:rsidRDefault="00A50004" w:rsidP="00A50004">
      <w:pPr>
        <w:pStyle w:val="Default"/>
        <w:ind w:left="720"/>
        <w:rPr>
          <w:sz w:val="22"/>
          <w:szCs w:val="22"/>
        </w:rPr>
      </w:pPr>
      <w:r w:rsidRPr="001F1EF2">
        <w:rPr>
          <w:b/>
          <w:sz w:val="22"/>
          <w:szCs w:val="22"/>
        </w:rPr>
        <w:t>Name</w:t>
      </w:r>
      <w:r>
        <w:rPr>
          <w:sz w:val="22"/>
          <w:szCs w:val="22"/>
        </w:rPr>
        <w:t>: Sharon Larson</w:t>
      </w:r>
    </w:p>
    <w:p w14:paraId="42F833DB" w14:textId="77777777" w:rsidR="00A50004" w:rsidRDefault="00A50004" w:rsidP="00A50004">
      <w:pPr>
        <w:pStyle w:val="Default"/>
        <w:ind w:left="720"/>
        <w:rPr>
          <w:sz w:val="22"/>
          <w:szCs w:val="22"/>
        </w:rPr>
      </w:pPr>
      <w:r w:rsidRPr="001F1EF2">
        <w:rPr>
          <w:b/>
          <w:sz w:val="22"/>
          <w:szCs w:val="22"/>
        </w:rPr>
        <w:t>Title</w:t>
      </w:r>
      <w:r>
        <w:rPr>
          <w:sz w:val="22"/>
          <w:szCs w:val="22"/>
        </w:rPr>
        <w:t>: Director, Center for Behavioral Health Statistics and Quality, Substance Abuse and Mental Health Services Administration</w:t>
      </w:r>
    </w:p>
    <w:p w14:paraId="46EA4009" w14:textId="77777777" w:rsidR="00A50004" w:rsidRDefault="00A50004" w:rsidP="00A50004">
      <w:pPr>
        <w:pStyle w:val="Default"/>
        <w:ind w:left="720"/>
        <w:rPr>
          <w:sz w:val="22"/>
          <w:szCs w:val="22"/>
        </w:rPr>
      </w:pPr>
      <w:r>
        <w:rPr>
          <w:sz w:val="22"/>
          <w:szCs w:val="22"/>
        </w:rPr>
        <w:t>Phone Number: 240.276.1250</w:t>
      </w:r>
    </w:p>
    <w:p w14:paraId="23A76D31" w14:textId="77777777" w:rsidR="00A50004" w:rsidRDefault="00A50004" w:rsidP="00A50004">
      <w:pPr>
        <w:pStyle w:val="Default"/>
        <w:ind w:left="720"/>
        <w:rPr>
          <w:sz w:val="22"/>
          <w:szCs w:val="22"/>
        </w:rPr>
      </w:pPr>
      <w:r w:rsidRPr="001F1EF2">
        <w:rPr>
          <w:b/>
          <w:sz w:val="22"/>
          <w:szCs w:val="22"/>
        </w:rPr>
        <w:t>Email</w:t>
      </w:r>
      <w:r>
        <w:rPr>
          <w:sz w:val="22"/>
          <w:szCs w:val="22"/>
        </w:rPr>
        <w:t xml:space="preserve">: </w:t>
      </w:r>
      <w:hyperlink r:id="rId11" w:history="1">
        <w:r w:rsidRPr="005E5A46">
          <w:rPr>
            <w:rStyle w:val="Hyperlink"/>
            <w:rFonts w:eastAsia="Times New Roman"/>
            <w:sz w:val="22"/>
            <w:szCs w:val="22"/>
          </w:rPr>
          <w:t>Sharon.larson@samhsa.gov</w:t>
        </w:r>
      </w:hyperlink>
      <w:r>
        <w:rPr>
          <w:sz w:val="22"/>
          <w:szCs w:val="22"/>
        </w:rPr>
        <w:t xml:space="preserve"> </w:t>
      </w:r>
    </w:p>
    <w:p w14:paraId="6914B50F" w14:textId="77777777" w:rsidR="00A50004" w:rsidRDefault="00A50004" w:rsidP="00A50004">
      <w:pPr>
        <w:pStyle w:val="Default"/>
        <w:ind w:left="720"/>
        <w:rPr>
          <w:sz w:val="22"/>
          <w:szCs w:val="22"/>
        </w:rPr>
      </w:pPr>
      <w:r w:rsidRPr="001F1EF2">
        <w:rPr>
          <w:b/>
          <w:sz w:val="22"/>
          <w:szCs w:val="22"/>
        </w:rPr>
        <w:t>Consultation year</w:t>
      </w:r>
      <w:r>
        <w:rPr>
          <w:sz w:val="22"/>
          <w:szCs w:val="22"/>
        </w:rPr>
        <w:t>: 2014</w:t>
      </w:r>
    </w:p>
    <w:p w14:paraId="5A72EC7F" w14:textId="77777777" w:rsidR="00A50004" w:rsidRDefault="00A50004" w:rsidP="00A50004">
      <w:pPr>
        <w:pStyle w:val="Default"/>
        <w:ind w:left="720"/>
        <w:rPr>
          <w:sz w:val="22"/>
          <w:szCs w:val="22"/>
        </w:rPr>
      </w:pPr>
    </w:p>
    <w:p w14:paraId="46C24EC7" w14:textId="77777777" w:rsidR="008C5039" w:rsidRPr="006E754B" w:rsidRDefault="008C5039" w:rsidP="008C5039">
      <w:pPr>
        <w:pStyle w:val="Body1"/>
        <w:tabs>
          <w:tab w:val="left" w:pos="720"/>
          <w:tab w:val="left" w:pos="1080"/>
          <w:tab w:val="left" w:pos="1800"/>
        </w:tabs>
        <w:ind w:left="720"/>
        <w:rPr>
          <w:b/>
          <w:i/>
          <w:szCs w:val="24"/>
        </w:rPr>
      </w:pPr>
    </w:p>
    <w:p w14:paraId="27550714" w14:textId="77777777" w:rsidR="00527A26" w:rsidRPr="005E159F" w:rsidRDefault="00210A99" w:rsidP="00210A99">
      <w:pPr>
        <w:pStyle w:val="Body1"/>
        <w:tabs>
          <w:tab w:val="left" w:pos="720"/>
          <w:tab w:val="num" w:pos="1800"/>
        </w:tabs>
        <w:rPr>
          <w:b/>
          <w:szCs w:val="24"/>
        </w:rPr>
      </w:pPr>
      <w:r w:rsidRPr="005E159F">
        <w:rPr>
          <w:b/>
          <w:szCs w:val="24"/>
        </w:rPr>
        <w:t>9.</w:t>
      </w:r>
      <w:r w:rsidRPr="005E159F">
        <w:rPr>
          <w:b/>
          <w:szCs w:val="24"/>
        </w:rPr>
        <w:tab/>
      </w:r>
      <w:r w:rsidR="00527A26" w:rsidRPr="005E159F">
        <w:rPr>
          <w:b/>
          <w:szCs w:val="24"/>
        </w:rPr>
        <w:t>Explanation of Any Payment or Gift to Respondents</w:t>
      </w:r>
    </w:p>
    <w:p w14:paraId="03FD5B7E" w14:textId="77777777" w:rsidR="00527A26" w:rsidRPr="00783129" w:rsidRDefault="00527A26" w:rsidP="00B83871">
      <w:pPr>
        <w:pStyle w:val="Body1"/>
        <w:tabs>
          <w:tab w:val="num" w:pos="0"/>
          <w:tab w:val="left" w:pos="720"/>
          <w:tab w:val="left" w:pos="1800"/>
        </w:tabs>
        <w:rPr>
          <w:b/>
          <w:szCs w:val="24"/>
        </w:rPr>
      </w:pPr>
    </w:p>
    <w:p w14:paraId="29ABA05B" w14:textId="77777777" w:rsidR="00527A26" w:rsidRPr="00B651A5" w:rsidRDefault="00527A26" w:rsidP="00B651A5">
      <w:pPr>
        <w:ind w:left="720"/>
        <w:rPr>
          <w:rFonts w:eastAsia="Arial Unicode MS"/>
          <w:sz w:val="24"/>
          <w:szCs w:val="24"/>
          <w:u w:color="000000"/>
        </w:rPr>
      </w:pPr>
      <w:r w:rsidRPr="00B651A5">
        <w:rPr>
          <w:rFonts w:eastAsia="Arial Unicode MS"/>
          <w:sz w:val="24"/>
          <w:szCs w:val="24"/>
          <w:u w:color="000000"/>
        </w:rPr>
        <w:t xml:space="preserve">Respondents </w:t>
      </w:r>
      <w:r w:rsidR="00E92F86" w:rsidRPr="00B651A5">
        <w:rPr>
          <w:rFonts w:eastAsia="Arial Unicode MS"/>
          <w:sz w:val="24"/>
          <w:szCs w:val="24"/>
          <w:u w:color="000000"/>
        </w:rPr>
        <w:t>receive no gift or payment for their participation in any information collections.</w:t>
      </w:r>
    </w:p>
    <w:p w14:paraId="383383A6" w14:textId="77777777" w:rsidR="00527A26" w:rsidRPr="0072690B" w:rsidRDefault="00527A26" w:rsidP="00B83871">
      <w:pPr>
        <w:pStyle w:val="Body1"/>
        <w:tabs>
          <w:tab w:val="num" w:pos="0"/>
          <w:tab w:val="left" w:pos="720"/>
          <w:tab w:val="left" w:pos="1800"/>
        </w:tabs>
        <w:rPr>
          <w:szCs w:val="24"/>
        </w:rPr>
      </w:pPr>
    </w:p>
    <w:p w14:paraId="2B4E40D0" w14:textId="77777777" w:rsidR="00527A26" w:rsidRPr="0072690B" w:rsidRDefault="00210A99" w:rsidP="00210A99">
      <w:pPr>
        <w:pStyle w:val="Body1"/>
        <w:tabs>
          <w:tab w:val="num" w:pos="720"/>
        </w:tabs>
        <w:rPr>
          <w:b/>
          <w:szCs w:val="24"/>
        </w:rPr>
      </w:pPr>
      <w:r w:rsidRPr="0072690B">
        <w:rPr>
          <w:b/>
          <w:szCs w:val="24"/>
        </w:rPr>
        <w:t>10.</w:t>
      </w:r>
      <w:r w:rsidRPr="0072690B">
        <w:rPr>
          <w:b/>
          <w:szCs w:val="24"/>
        </w:rPr>
        <w:tab/>
      </w:r>
      <w:r w:rsidR="00527A26" w:rsidRPr="0072690B">
        <w:rPr>
          <w:b/>
          <w:szCs w:val="24"/>
        </w:rPr>
        <w:t>Assurance of Confidentiality</w:t>
      </w:r>
      <w:r w:rsidR="006C6CE1">
        <w:rPr>
          <w:b/>
          <w:szCs w:val="24"/>
        </w:rPr>
        <w:t xml:space="preserve"> </w:t>
      </w:r>
      <w:r w:rsidR="006C6CE1" w:rsidRPr="006C6CE1">
        <w:rPr>
          <w:b/>
          <w:szCs w:val="24"/>
        </w:rPr>
        <w:t>Provided to Respondents</w:t>
      </w:r>
    </w:p>
    <w:p w14:paraId="7419264E" w14:textId="77777777" w:rsidR="00527A26" w:rsidRPr="0072690B" w:rsidRDefault="00527A26" w:rsidP="00B83871">
      <w:pPr>
        <w:pStyle w:val="Body1"/>
        <w:tabs>
          <w:tab w:val="num" w:pos="0"/>
          <w:tab w:val="left" w:pos="720"/>
          <w:tab w:val="left" w:pos="1800"/>
        </w:tabs>
        <w:rPr>
          <w:b/>
          <w:szCs w:val="24"/>
        </w:rPr>
      </w:pPr>
    </w:p>
    <w:p w14:paraId="03DF67C4" w14:textId="77777777" w:rsidR="00947010" w:rsidRDefault="00887549" w:rsidP="0078769C">
      <w:pPr>
        <w:ind w:left="720"/>
        <w:rPr>
          <w:sz w:val="24"/>
          <w:szCs w:val="24"/>
        </w:rPr>
      </w:pPr>
      <w:r w:rsidRPr="0078769C">
        <w:rPr>
          <w:rFonts w:eastAsia="Arial Unicode MS"/>
          <w:sz w:val="24"/>
          <w:szCs w:val="24"/>
          <w:u w:color="000000"/>
        </w:rPr>
        <w:t xml:space="preserve">This submission has been reviewed by </w:t>
      </w:r>
      <w:r w:rsidR="0077737F">
        <w:rPr>
          <w:rFonts w:eastAsia="Arial Unicode MS"/>
          <w:sz w:val="24"/>
          <w:szCs w:val="24"/>
          <w:u w:color="000000"/>
        </w:rPr>
        <w:t xml:space="preserve">the </w:t>
      </w:r>
      <w:r w:rsidRPr="0078769C">
        <w:rPr>
          <w:rFonts w:eastAsia="Arial Unicode MS"/>
          <w:sz w:val="24"/>
          <w:szCs w:val="24"/>
          <w:u w:color="000000"/>
        </w:rPr>
        <w:t>CIO who determined that the Privacy Act does not apply</w:t>
      </w:r>
      <w:r w:rsidR="0078769C" w:rsidRPr="0078769C">
        <w:rPr>
          <w:rFonts w:eastAsia="Arial Unicode MS"/>
          <w:sz w:val="24"/>
          <w:szCs w:val="24"/>
          <w:u w:color="000000"/>
        </w:rPr>
        <w:t xml:space="preserve">. </w:t>
      </w:r>
      <w:r w:rsidR="00947010" w:rsidRPr="0078769C">
        <w:rPr>
          <w:sz w:val="24"/>
          <w:szCs w:val="24"/>
        </w:rPr>
        <w:t xml:space="preserve">Data </w:t>
      </w:r>
      <w:r w:rsidR="003D5A5C" w:rsidRPr="0078769C">
        <w:rPr>
          <w:sz w:val="24"/>
          <w:szCs w:val="24"/>
        </w:rPr>
        <w:t>are</w:t>
      </w:r>
      <w:r w:rsidR="00947010" w:rsidRPr="0078769C">
        <w:rPr>
          <w:sz w:val="24"/>
          <w:szCs w:val="24"/>
        </w:rPr>
        <w:t xml:space="preserve"> treated in a </w:t>
      </w:r>
      <w:r w:rsidR="0078769C" w:rsidRPr="0078769C">
        <w:rPr>
          <w:sz w:val="24"/>
          <w:szCs w:val="24"/>
        </w:rPr>
        <w:t xml:space="preserve">secure </w:t>
      </w:r>
      <w:r w:rsidR="00947010" w:rsidRPr="0078769C">
        <w:rPr>
          <w:sz w:val="24"/>
          <w:szCs w:val="24"/>
        </w:rPr>
        <w:t xml:space="preserve">manner, unless otherwise compelled by law. </w:t>
      </w:r>
      <w:r w:rsidR="003D5A5C" w:rsidRPr="0078769C">
        <w:rPr>
          <w:sz w:val="24"/>
          <w:szCs w:val="24"/>
        </w:rPr>
        <w:t xml:space="preserve">CDC </w:t>
      </w:r>
      <w:r w:rsidR="00947010" w:rsidRPr="0078769C">
        <w:rPr>
          <w:sz w:val="24"/>
          <w:szCs w:val="24"/>
        </w:rPr>
        <w:t>maintain</w:t>
      </w:r>
      <w:r w:rsidR="003D5A5C" w:rsidRPr="0078769C">
        <w:rPr>
          <w:sz w:val="24"/>
          <w:szCs w:val="24"/>
        </w:rPr>
        <w:t>s</w:t>
      </w:r>
      <w:r w:rsidR="00947010" w:rsidRPr="0078769C">
        <w:rPr>
          <w:sz w:val="24"/>
          <w:szCs w:val="24"/>
        </w:rPr>
        <w:t xml:space="preserve"> </w:t>
      </w:r>
      <w:r w:rsidR="003A3667">
        <w:rPr>
          <w:sz w:val="24"/>
          <w:szCs w:val="24"/>
        </w:rPr>
        <w:t xml:space="preserve">respondent information </w:t>
      </w:r>
      <w:r w:rsidR="00947010" w:rsidRPr="0078769C">
        <w:rPr>
          <w:sz w:val="24"/>
          <w:szCs w:val="24"/>
        </w:rPr>
        <w:t xml:space="preserve">by using unique, study identification numbers on all data collection forms. </w:t>
      </w:r>
      <w:r w:rsidR="00946464" w:rsidRPr="0078769C">
        <w:rPr>
          <w:sz w:val="24"/>
          <w:szCs w:val="24"/>
        </w:rPr>
        <w:t xml:space="preserve"> Data may be collected in identifiable form but de-linked from identifiers and subsequently retrieved by an assigned code rather than name or SSN</w:t>
      </w:r>
      <w:r w:rsidR="0078769C">
        <w:rPr>
          <w:sz w:val="24"/>
          <w:szCs w:val="24"/>
        </w:rPr>
        <w:t>.</w:t>
      </w:r>
      <w:r w:rsidR="00946464" w:rsidRPr="0078769C">
        <w:rPr>
          <w:sz w:val="24"/>
          <w:szCs w:val="24"/>
        </w:rPr>
        <w:t xml:space="preserve"> </w:t>
      </w:r>
      <w:r w:rsidR="0078769C">
        <w:rPr>
          <w:sz w:val="24"/>
          <w:szCs w:val="24"/>
        </w:rPr>
        <w:t xml:space="preserve">The lead epidemiologist of the investigation will assign and maintain the code and linking information. </w:t>
      </w:r>
      <w:r w:rsidR="00947010" w:rsidRPr="0078769C">
        <w:rPr>
          <w:sz w:val="24"/>
          <w:szCs w:val="24"/>
        </w:rPr>
        <w:t xml:space="preserve">Personal identifiers and the linkage to the study identification number </w:t>
      </w:r>
      <w:r w:rsidR="003D5A5C" w:rsidRPr="0078769C">
        <w:rPr>
          <w:sz w:val="24"/>
          <w:szCs w:val="24"/>
        </w:rPr>
        <w:t>are</w:t>
      </w:r>
      <w:r w:rsidR="00947010" w:rsidRPr="0078769C">
        <w:rPr>
          <w:sz w:val="24"/>
          <w:szCs w:val="24"/>
        </w:rPr>
        <w:t xml:space="preserve"> maintained separately in locked file cabinets or in encrypted computer files. All personal </w:t>
      </w:r>
      <w:r w:rsidR="00947010" w:rsidRPr="0078769C">
        <w:rPr>
          <w:sz w:val="24"/>
          <w:szCs w:val="24"/>
        </w:rPr>
        <w:lastRenderedPageBreak/>
        <w:t xml:space="preserve">identifiers </w:t>
      </w:r>
      <w:r w:rsidR="003D5A5C" w:rsidRPr="0078769C">
        <w:rPr>
          <w:sz w:val="24"/>
          <w:szCs w:val="24"/>
        </w:rPr>
        <w:t>are</w:t>
      </w:r>
      <w:r w:rsidR="00947010" w:rsidRPr="0078769C">
        <w:rPr>
          <w:sz w:val="24"/>
          <w:szCs w:val="24"/>
        </w:rPr>
        <w:t xml:space="preserve"> stripped from the data prior to establishing a final data analysis file. Results </w:t>
      </w:r>
      <w:r w:rsidR="003D5A5C" w:rsidRPr="0078769C">
        <w:rPr>
          <w:sz w:val="24"/>
          <w:szCs w:val="24"/>
        </w:rPr>
        <w:t xml:space="preserve">are </w:t>
      </w:r>
      <w:r w:rsidR="00947010" w:rsidRPr="0078769C">
        <w:rPr>
          <w:sz w:val="24"/>
          <w:szCs w:val="24"/>
        </w:rPr>
        <w:t>published in aggregate form</w:t>
      </w:r>
      <w:r w:rsidR="003D5A5C" w:rsidRPr="0078769C">
        <w:rPr>
          <w:sz w:val="24"/>
          <w:szCs w:val="24"/>
        </w:rPr>
        <w:t xml:space="preserve"> only</w:t>
      </w:r>
      <w:r w:rsidR="00947010" w:rsidRPr="0078769C">
        <w:rPr>
          <w:sz w:val="24"/>
          <w:szCs w:val="24"/>
        </w:rPr>
        <w:t xml:space="preserve">. </w:t>
      </w:r>
    </w:p>
    <w:p w14:paraId="2C9C6D32" w14:textId="77777777" w:rsidR="00052F35" w:rsidRDefault="00052F35" w:rsidP="0078769C">
      <w:pPr>
        <w:ind w:left="720"/>
        <w:rPr>
          <w:sz w:val="24"/>
          <w:szCs w:val="24"/>
        </w:rPr>
      </w:pPr>
    </w:p>
    <w:p w14:paraId="0815EA57" w14:textId="77777777" w:rsidR="00052F35" w:rsidRDefault="00052F35" w:rsidP="0078769C">
      <w:pPr>
        <w:ind w:left="720"/>
        <w:rPr>
          <w:sz w:val="24"/>
          <w:szCs w:val="24"/>
        </w:rPr>
      </w:pPr>
    </w:p>
    <w:p w14:paraId="4BCBB08B" w14:textId="77777777" w:rsidR="000B6B4A" w:rsidRPr="0078769C" w:rsidRDefault="000B6B4A" w:rsidP="0078769C">
      <w:pPr>
        <w:ind w:left="720"/>
        <w:rPr>
          <w:sz w:val="24"/>
          <w:szCs w:val="24"/>
        </w:rPr>
      </w:pPr>
    </w:p>
    <w:p w14:paraId="6040B363" w14:textId="77777777" w:rsidR="000B6B4A" w:rsidRPr="00371B70" w:rsidRDefault="000B6B4A" w:rsidP="000B6B4A">
      <w:pPr>
        <w:pStyle w:val="Body1"/>
        <w:numPr>
          <w:ilvl w:val="0"/>
          <w:numId w:val="22"/>
        </w:numPr>
        <w:rPr>
          <w:b/>
          <w:szCs w:val="24"/>
        </w:rPr>
      </w:pPr>
      <w:r w:rsidRPr="00371B70">
        <w:rPr>
          <w:b/>
          <w:szCs w:val="24"/>
        </w:rPr>
        <w:t>Privacy Impact Assessment</w:t>
      </w:r>
    </w:p>
    <w:p w14:paraId="2D2ED693" w14:textId="77777777" w:rsidR="000B6B4A" w:rsidRDefault="000B6B4A" w:rsidP="000B6B4A">
      <w:pPr>
        <w:pStyle w:val="Body1"/>
        <w:ind w:left="720"/>
        <w:rPr>
          <w:szCs w:val="24"/>
        </w:rPr>
      </w:pPr>
    </w:p>
    <w:p w14:paraId="78EA97AC" w14:textId="77777777" w:rsidR="000B6B4A" w:rsidRPr="00CA13AF" w:rsidRDefault="000B6B4A" w:rsidP="000B6B4A">
      <w:pPr>
        <w:pStyle w:val="OMBbodytext"/>
        <w:ind w:firstLine="720"/>
        <w:rPr>
          <w:b/>
        </w:rPr>
      </w:pPr>
      <w:r>
        <w:rPr>
          <w:b/>
          <w:szCs w:val="24"/>
        </w:rPr>
        <w:t xml:space="preserve">1.1 </w:t>
      </w:r>
      <w:r w:rsidRPr="00CA13AF">
        <w:rPr>
          <w:b/>
          <w:szCs w:val="24"/>
        </w:rPr>
        <w:t>Overview of the Data Collection System</w:t>
      </w:r>
      <w:r w:rsidRPr="00CA13AF">
        <w:rPr>
          <w:b/>
        </w:rPr>
        <w:t xml:space="preserve">. </w:t>
      </w:r>
    </w:p>
    <w:p w14:paraId="5AC98C42" w14:textId="77777777" w:rsidR="000B6B4A" w:rsidRDefault="000B6B4A" w:rsidP="000B6B4A">
      <w:pPr>
        <w:pStyle w:val="Body1"/>
        <w:ind w:left="720"/>
        <w:rPr>
          <w:szCs w:val="24"/>
        </w:rPr>
      </w:pPr>
      <w:r>
        <w:rPr>
          <w:szCs w:val="24"/>
        </w:rPr>
        <w:t>I</w:t>
      </w:r>
      <w:r w:rsidRPr="00784C67">
        <w:rPr>
          <w:szCs w:val="24"/>
        </w:rPr>
        <w:t xml:space="preserve">n response to </w:t>
      </w:r>
      <w:r>
        <w:rPr>
          <w:szCs w:val="24"/>
        </w:rPr>
        <w:t xml:space="preserve">urgent technical assistance requests from state and local health authorities where data collection is required to inform intervention measures, data will be collected within Drug Overdose Response Investigations (DORIs). In this context, “drug overdose” refers to overdose from prescription drugs (with a special interest in opioid analgesics such as oxycodone or methadone; benzodiazepines such as </w:t>
      </w:r>
      <w:r>
        <w:t>alprazolam</w:t>
      </w:r>
      <w:r>
        <w:rPr>
          <w:szCs w:val="24"/>
        </w:rPr>
        <w:t xml:space="preserve">) and/or illicit drugs (e.g., heroin). It is anticipated that there will be no more than 10 DORIs per year. The data collection protocol and measures will vary across DORIs, depending on the nature of the request for CDC assistance. Broadly, data will be collected to (a) understand sudden increases in drug use and misuse associated with fatal and nonfatal overdose (e.g., data on type of drug, number of cases, time of increasing trend, morbidity and mortality), (b) understand the drivers and risk factors associated with those trends (e.g., data on circumstances surrounding overdose), and (c) identify the groups most affected (e.g., data on emergency department admissions or decedents). Data will be collected through a variety of mechanisms, depending on the needs of the specific DORI, and may include archival record abstraction and review, face-to-face interview, telephone interview, web-based questionnaire, or self-administered questionnaire. Respondent type will vary by investigation.  Likely respondents include: Public </w:t>
      </w:r>
      <w:r w:rsidRPr="00830DF9">
        <w:rPr>
          <w:szCs w:val="24"/>
        </w:rPr>
        <w:t>health authorities</w:t>
      </w:r>
      <w:r>
        <w:rPr>
          <w:szCs w:val="24"/>
        </w:rPr>
        <w:t>, law enforcement authorities, medical examiners, individuals who suffer from nonfatal overdose, families and friends of individuals who succumb to drug overdose, members of the general public, and individuals who are at higher risk for overdose (e.g., those suffering from addition), clinicians, Emergency Medical Services personnel, and representatives of community organizations (e.g., substance use service providers). 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 </w:t>
      </w:r>
      <w:r w:rsidRPr="006B73D1">
        <w:rPr>
          <w:szCs w:val="24"/>
        </w:rPr>
        <w:t>(</w:t>
      </w:r>
      <w:hyperlink r:id="rId12" w:history="1">
        <w:r w:rsidRPr="006B73D1">
          <w:rPr>
            <w:szCs w:val="24"/>
          </w:rPr>
          <w:t>http://isp-v-maso-apps/RecSched/ViewSchedule.aspx?RID=29</w:t>
        </w:r>
      </w:hyperlink>
      <w:r w:rsidRPr="006B73D1">
        <w:rPr>
          <w:szCs w:val="24"/>
        </w:rPr>
        <w:t>)</w:t>
      </w:r>
      <w:r w:rsidRPr="00E373CF">
        <w:rPr>
          <w:szCs w:val="24"/>
        </w:rPr>
        <w:t>.</w:t>
      </w:r>
    </w:p>
    <w:p w14:paraId="011693AD" w14:textId="77777777" w:rsidR="000B6B4A" w:rsidRDefault="000B6B4A" w:rsidP="000B6B4A">
      <w:pPr>
        <w:pStyle w:val="Body1"/>
        <w:ind w:left="720"/>
        <w:rPr>
          <w:szCs w:val="24"/>
        </w:rPr>
      </w:pPr>
    </w:p>
    <w:p w14:paraId="5A2C0333" w14:textId="77777777" w:rsidR="000B6B4A" w:rsidRDefault="000B6B4A" w:rsidP="000B6B4A">
      <w:pPr>
        <w:pStyle w:val="Body1"/>
        <w:numPr>
          <w:ilvl w:val="1"/>
          <w:numId w:val="22"/>
        </w:numPr>
        <w:rPr>
          <w:b/>
          <w:szCs w:val="24"/>
        </w:rPr>
      </w:pPr>
      <w:r w:rsidRPr="00CA13AF">
        <w:rPr>
          <w:b/>
          <w:szCs w:val="24"/>
        </w:rPr>
        <w:t>Items of Information to Be Collected.</w:t>
      </w:r>
    </w:p>
    <w:p w14:paraId="6583B3F0" w14:textId="77777777" w:rsidR="000B6B4A" w:rsidRDefault="000B6B4A" w:rsidP="000B6B4A">
      <w:pPr>
        <w:pStyle w:val="Body1"/>
        <w:rPr>
          <w:b/>
          <w:szCs w:val="24"/>
        </w:rPr>
      </w:pPr>
    </w:p>
    <w:p w14:paraId="089ADF86" w14:textId="77777777" w:rsidR="000B6B4A" w:rsidRPr="00D33A78" w:rsidRDefault="000B6B4A" w:rsidP="000B6B4A">
      <w:pPr>
        <w:pStyle w:val="Body1"/>
        <w:ind w:left="720"/>
        <w:rPr>
          <w:b/>
          <w:szCs w:val="24"/>
          <w:u w:val="single"/>
        </w:rPr>
      </w:pPr>
      <w:r w:rsidRPr="00D33A78">
        <w:rPr>
          <w:b/>
          <w:szCs w:val="24"/>
          <w:u w:val="single"/>
        </w:rPr>
        <w:t>Example of data collection methods and instruments</w:t>
      </w:r>
    </w:p>
    <w:p w14:paraId="387DC948" w14:textId="77777777" w:rsidR="000B6B4A" w:rsidRPr="00E078F9" w:rsidRDefault="000B6B4A" w:rsidP="000B6B4A">
      <w:pPr>
        <w:pStyle w:val="Body1"/>
        <w:ind w:left="720"/>
        <w:rPr>
          <w:szCs w:val="24"/>
        </w:rPr>
      </w:pPr>
    </w:p>
    <w:p w14:paraId="4C9FB270" w14:textId="77777777" w:rsidR="000B6B4A" w:rsidRPr="00E078F9" w:rsidRDefault="000B6B4A" w:rsidP="000B6B4A">
      <w:pPr>
        <w:pStyle w:val="Body1"/>
        <w:ind w:left="720"/>
        <w:rPr>
          <w:szCs w:val="24"/>
        </w:rPr>
      </w:pPr>
      <w:r w:rsidRPr="00E078F9">
        <w:rPr>
          <w:szCs w:val="24"/>
        </w:rPr>
        <w:t xml:space="preserve">To assist in the review of this ICR, below you will find descriptions of the types of data collection activities that are anticipated for DORIs that would be subject to Paperwork Reduction Act review and approval and would be included within a </w:t>
      </w:r>
      <w:proofErr w:type="spellStart"/>
      <w:r w:rsidRPr="00E078F9">
        <w:rPr>
          <w:szCs w:val="24"/>
        </w:rPr>
        <w:t>GenIC</w:t>
      </w:r>
      <w:proofErr w:type="spellEnd"/>
      <w:r w:rsidRPr="00E078F9">
        <w:rPr>
          <w:szCs w:val="24"/>
        </w:rPr>
        <w:t xml:space="preserve">. We have also provided examples of past Epi-Aids that presented circumstances that would be similar to justify a DORI covered under the proposed generic package. See </w:t>
      </w:r>
      <w:r w:rsidRPr="00E078F9">
        <w:rPr>
          <w:b/>
          <w:szCs w:val="24"/>
        </w:rPr>
        <w:t>Attachment C1</w:t>
      </w:r>
      <w:r w:rsidRPr="00E078F9">
        <w:rPr>
          <w:szCs w:val="24"/>
        </w:rPr>
        <w:t xml:space="preserve"> for a description of these Epi-Aids, in addition to example data collection instruments used in previous Epi-Aid investigations that illustrate sample questions that are consistent with the information collection activities below (</w:t>
      </w:r>
      <w:r w:rsidRPr="00E078F9">
        <w:rPr>
          <w:b/>
          <w:szCs w:val="24"/>
        </w:rPr>
        <w:t>Attachments C2-C5</w:t>
      </w:r>
      <w:r w:rsidRPr="00E078F9">
        <w:rPr>
          <w:szCs w:val="24"/>
        </w:rPr>
        <w:t>).</w:t>
      </w:r>
    </w:p>
    <w:p w14:paraId="258D4004" w14:textId="77777777" w:rsidR="000B6B4A" w:rsidRPr="00E078F9" w:rsidRDefault="000B6B4A" w:rsidP="000B6B4A">
      <w:pPr>
        <w:pStyle w:val="Body1"/>
        <w:ind w:left="720"/>
        <w:rPr>
          <w:szCs w:val="24"/>
        </w:rPr>
      </w:pPr>
    </w:p>
    <w:p w14:paraId="371A7BEF" w14:textId="791F3EE4" w:rsidR="000B6B4A" w:rsidRPr="00150902" w:rsidRDefault="000B6B4A" w:rsidP="000B6B4A">
      <w:pPr>
        <w:pStyle w:val="Body1"/>
        <w:numPr>
          <w:ilvl w:val="1"/>
          <w:numId w:val="22"/>
        </w:numPr>
        <w:tabs>
          <w:tab w:val="left" w:pos="1710"/>
        </w:tabs>
        <w:rPr>
          <w:b/>
          <w:szCs w:val="24"/>
        </w:rPr>
      </w:pPr>
      <w:r w:rsidRPr="00150902">
        <w:rPr>
          <w:b/>
        </w:rPr>
        <w:lastRenderedPageBreak/>
        <w:t xml:space="preserve">How the Information </w:t>
      </w:r>
      <w:r w:rsidR="004E11CC">
        <w:rPr>
          <w:b/>
        </w:rPr>
        <w:t>w</w:t>
      </w:r>
      <w:r w:rsidRPr="00150902">
        <w:rPr>
          <w:b/>
        </w:rPr>
        <w:t xml:space="preserve">ill </w:t>
      </w:r>
      <w:r w:rsidR="004E11CC">
        <w:rPr>
          <w:b/>
        </w:rPr>
        <w:t>b</w:t>
      </w:r>
      <w:r w:rsidRPr="00150902">
        <w:rPr>
          <w:b/>
        </w:rPr>
        <w:t xml:space="preserve">e </w:t>
      </w:r>
      <w:proofErr w:type="gramStart"/>
      <w:r w:rsidR="00B04949">
        <w:rPr>
          <w:b/>
        </w:rPr>
        <w:t>S</w:t>
      </w:r>
      <w:r w:rsidRPr="00150902">
        <w:rPr>
          <w:b/>
        </w:rPr>
        <w:t>hared</w:t>
      </w:r>
      <w:proofErr w:type="gramEnd"/>
      <w:r w:rsidRPr="00150902">
        <w:rPr>
          <w:b/>
        </w:rPr>
        <w:t>.</w:t>
      </w:r>
    </w:p>
    <w:p w14:paraId="0E115BB1" w14:textId="77777777" w:rsidR="000B6B4A" w:rsidRPr="006E7636" w:rsidRDefault="000B6B4A" w:rsidP="000B6B4A">
      <w:pPr>
        <w:pStyle w:val="Body1"/>
        <w:tabs>
          <w:tab w:val="num" w:pos="720"/>
          <w:tab w:val="left" w:pos="1710"/>
        </w:tabs>
        <w:rPr>
          <w:b/>
          <w:szCs w:val="24"/>
          <w:u w:val="single"/>
        </w:rPr>
      </w:pPr>
    </w:p>
    <w:p w14:paraId="4AF73CF0" w14:textId="77777777" w:rsidR="000B6B4A" w:rsidRDefault="000B6B4A" w:rsidP="000B6B4A">
      <w:pPr>
        <w:pStyle w:val="Body1"/>
        <w:tabs>
          <w:tab w:val="num" w:pos="720"/>
          <w:tab w:val="left" w:pos="1710"/>
        </w:tabs>
        <w:ind w:left="720"/>
        <w:rPr>
          <w:szCs w:val="24"/>
        </w:rPr>
      </w:pPr>
      <w:r w:rsidRPr="006E7636">
        <w:rPr>
          <w:szCs w:val="24"/>
        </w:rPr>
        <w:t xml:space="preserve">Information collected through DORIs will be shared in aggregate, summary format with state and local health authorities and partners engaged in controlling the local epidemic (e.g., law enforcement, medical examiners, and community organizations). </w:t>
      </w:r>
      <w:r>
        <w:rPr>
          <w:szCs w:val="24"/>
        </w:rPr>
        <w:t xml:space="preserve">Findings from data analysis </w:t>
      </w:r>
      <w:r w:rsidRPr="006E7636">
        <w:rPr>
          <w:szCs w:val="24"/>
        </w:rPr>
        <w:t xml:space="preserve">will be used by state and local professionals to implement immediate prevention and intervention measures (e.g., task force convening, provision of guidance to Boards of Pharmacy on how to track prescribing and provide feedback to practitioners and implement controls, development of reporting regulations, media outreach efforts). </w:t>
      </w:r>
    </w:p>
    <w:p w14:paraId="09E9A067" w14:textId="77777777" w:rsidR="000B6B4A" w:rsidRDefault="000B6B4A" w:rsidP="000B6B4A">
      <w:pPr>
        <w:pStyle w:val="Body1"/>
        <w:tabs>
          <w:tab w:val="num" w:pos="720"/>
          <w:tab w:val="left" w:pos="1710"/>
        </w:tabs>
        <w:ind w:left="720"/>
        <w:rPr>
          <w:szCs w:val="24"/>
        </w:rPr>
      </w:pPr>
    </w:p>
    <w:p w14:paraId="62BB4165" w14:textId="77777777" w:rsidR="000B6B4A" w:rsidRPr="00DE7059" w:rsidRDefault="000B6B4A" w:rsidP="000B6B4A">
      <w:pPr>
        <w:pStyle w:val="Body1"/>
        <w:tabs>
          <w:tab w:val="num" w:pos="720"/>
          <w:tab w:val="left" w:pos="1710"/>
        </w:tabs>
        <w:ind w:left="720"/>
        <w:rPr>
          <w:b/>
          <w:szCs w:val="24"/>
        </w:rPr>
      </w:pPr>
      <w:r w:rsidRPr="00DE7059">
        <w:rPr>
          <w:b/>
          <w:szCs w:val="24"/>
        </w:rPr>
        <w:t>1.4 Impact of Proposed Collection on Respondent’s Privacy</w:t>
      </w:r>
    </w:p>
    <w:p w14:paraId="44C89F73" w14:textId="77777777" w:rsidR="000B6B4A" w:rsidRDefault="000B6B4A" w:rsidP="000B6B4A">
      <w:pPr>
        <w:pStyle w:val="Body1"/>
        <w:tabs>
          <w:tab w:val="num" w:pos="720"/>
          <w:tab w:val="left" w:pos="1710"/>
        </w:tabs>
        <w:ind w:left="720"/>
        <w:rPr>
          <w:szCs w:val="24"/>
        </w:rPr>
      </w:pPr>
    </w:p>
    <w:p w14:paraId="5F99DDDC" w14:textId="77777777" w:rsidR="000B6B4A" w:rsidRDefault="000B6B4A" w:rsidP="000B6B4A">
      <w:pPr>
        <w:pStyle w:val="Body1"/>
        <w:tabs>
          <w:tab w:val="num" w:pos="720"/>
          <w:tab w:val="left" w:pos="1710"/>
        </w:tabs>
        <w:ind w:left="720"/>
        <w:rPr>
          <w:szCs w:val="24"/>
        </w:rPr>
      </w:pPr>
      <w:r>
        <w:rPr>
          <w:szCs w:val="24"/>
        </w:rPr>
        <w:t xml:space="preserve">Information in identifiable form (IIF) may be collected from or about members of the public.  Examples of IIF categories for which data may be collected include: name, mailing address, e-mail address, phone numbers, and medical information and notes. IIF is only collected when essential to the objective of the investigation. Personal identifiers are not to be transmitted to CDC unless this is necessary for public health purposes. IIF data will not be disclosed unless compelled by law. In no case are IIF included in any report from the investigation. </w:t>
      </w:r>
    </w:p>
    <w:p w14:paraId="2CE12E05" w14:textId="77777777" w:rsidR="000B6B4A"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55AF3B46" w14:textId="77777777" w:rsidR="000B6B4A" w:rsidRPr="008328D1" w:rsidRDefault="000B6B4A" w:rsidP="000B6B4A">
      <w:pPr>
        <w:pStyle w:val="ListParagraph"/>
        <w:numPr>
          <w:ilvl w:val="1"/>
          <w:numId w:val="23"/>
        </w:numPr>
        <w:rPr>
          <w:b/>
          <w:sz w:val="24"/>
          <w:szCs w:val="24"/>
        </w:rPr>
      </w:pPr>
      <w:r w:rsidRPr="008328D1">
        <w:rPr>
          <w:b/>
          <w:sz w:val="24"/>
          <w:szCs w:val="24"/>
        </w:rPr>
        <w:t>Whether individuals are informed that providing the information is voluntary or mandatory.</w:t>
      </w:r>
    </w:p>
    <w:p w14:paraId="3E81D4E1" w14:textId="77777777" w:rsidR="000B6B4A" w:rsidRPr="008328D1" w:rsidRDefault="000B6B4A" w:rsidP="000B6B4A">
      <w:pPr>
        <w:pStyle w:val="ListParagraph"/>
        <w:ind w:left="1080"/>
        <w:rPr>
          <w:sz w:val="24"/>
          <w:szCs w:val="24"/>
        </w:rPr>
      </w:pPr>
    </w:p>
    <w:p w14:paraId="15D09D86" w14:textId="77777777" w:rsidR="000B6B4A" w:rsidRDefault="000B6B4A" w:rsidP="000B6B4A">
      <w:pPr>
        <w:ind w:left="720"/>
        <w:rPr>
          <w:sz w:val="24"/>
          <w:szCs w:val="24"/>
        </w:rPr>
      </w:pPr>
      <w:r>
        <w:rPr>
          <w:sz w:val="24"/>
          <w:szCs w:val="24"/>
        </w:rPr>
        <w:t xml:space="preserve">Individuals are informed that providing information is </w:t>
      </w:r>
      <w:r w:rsidRPr="00FF0A6D">
        <w:rPr>
          <w:sz w:val="24"/>
          <w:szCs w:val="24"/>
        </w:rPr>
        <w:t xml:space="preserve">voluntary. </w:t>
      </w:r>
      <w:r>
        <w:rPr>
          <w:sz w:val="24"/>
          <w:szCs w:val="24"/>
        </w:rPr>
        <w:t xml:space="preserve">If the respondent participates, consent for participation and sharing of data in aggregate form is assumed. </w:t>
      </w:r>
    </w:p>
    <w:p w14:paraId="7F37D2BA" w14:textId="77777777" w:rsidR="000B6B4A" w:rsidRDefault="000B6B4A" w:rsidP="000B6B4A">
      <w:pPr>
        <w:ind w:left="720"/>
        <w:rPr>
          <w:sz w:val="24"/>
          <w:szCs w:val="24"/>
        </w:rPr>
      </w:pPr>
    </w:p>
    <w:p w14:paraId="1B9C1A7D" w14:textId="77777777" w:rsidR="000B6B4A" w:rsidRPr="008328D1" w:rsidRDefault="000B6B4A" w:rsidP="000B6B4A">
      <w:pPr>
        <w:pStyle w:val="ListParagraph"/>
        <w:numPr>
          <w:ilvl w:val="1"/>
          <w:numId w:val="23"/>
        </w:numPr>
        <w:rPr>
          <w:b/>
          <w:sz w:val="24"/>
          <w:szCs w:val="24"/>
        </w:rPr>
      </w:pPr>
      <w:r w:rsidRPr="008328D1">
        <w:rPr>
          <w:b/>
          <w:sz w:val="24"/>
          <w:szCs w:val="24"/>
        </w:rPr>
        <w:t xml:space="preserve">Opportunities to consent, if any, to sharing and submission of information. </w:t>
      </w:r>
    </w:p>
    <w:p w14:paraId="4EB0FD0F" w14:textId="77777777" w:rsidR="000B6B4A" w:rsidRDefault="000B6B4A" w:rsidP="000B6B4A">
      <w:pPr>
        <w:ind w:left="720"/>
        <w:rPr>
          <w:sz w:val="24"/>
          <w:szCs w:val="24"/>
        </w:rPr>
      </w:pPr>
    </w:p>
    <w:p w14:paraId="76E90582" w14:textId="77777777" w:rsidR="000B6B4A" w:rsidRDefault="000B6B4A" w:rsidP="000B6B4A">
      <w:pPr>
        <w:ind w:left="720"/>
        <w:rPr>
          <w:sz w:val="24"/>
          <w:szCs w:val="24"/>
        </w:rPr>
      </w:pPr>
      <w:r w:rsidRPr="00A55399">
        <w:rPr>
          <w:sz w:val="24"/>
          <w:szCs w:val="24"/>
        </w:rPr>
        <w:t>Potential respondents are informed.</w:t>
      </w:r>
      <w:r>
        <w:t xml:space="preserve"> </w:t>
      </w:r>
      <w:r w:rsidRPr="008328D1">
        <w:rPr>
          <w:sz w:val="24"/>
          <w:szCs w:val="24"/>
        </w:rPr>
        <w:t xml:space="preserve">Official, written consent is only obtained when it is determined that the data collection involves human </w:t>
      </w:r>
      <w:proofErr w:type="gramStart"/>
      <w:r w:rsidRPr="008328D1">
        <w:rPr>
          <w:sz w:val="24"/>
          <w:szCs w:val="24"/>
        </w:rPr>
        <w:t>subjects</w:t>
      </w:r>
      <w:proofErr w:type="gramEnd"/>
      <w:r w:rsidRPr="008328D1">
        <w:rPr>
          <w:sz w:val="24"/>
          <w:szCs w:val="24"/>
        </w:rPr>
        <w:t xml:space="preserve"> research. If research is proposed to accompany the response efforts, all efforts will be taken to ensure that the proposed research complies with all human subjects requirements, including consent requirements. Personal identifiers and the linkage to the study identification number are maintained separately in locked file cabinets or in encrypted computer files. All personal identifiers are stripped from the data prior to establishing a final data analysis file. Results are only published in aggregate form. A system of records is not being created under the Privacy Act.</w:t>
      </w:r>
    </w:p>
    <w:p w14:paraId="64853CFE" w14:textId="77777777" w:rsidR="000B6B4A" w:rsidRPr="008328D1" w:rsidRDefault="000B6B4A" w:rsidP="000B6B4A">
      <w:pPr>
        <w:ind w:left="720"/>
        <w:rPr>
          <w:sz w:val="24"/>
          <w:szCs w:val="24"/>
        </w:rPr>
      </w:pPr>
    </w:p>
    <w:p w14:paraId="6681C459" w14:textId="77777777" w:rsidR="000B6B4A"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sidRPr="008328D1">
        <w:rPr>
          <w:b/>
          <w:sz w:val="24"/>
          <w:szCs w:val="24"/>
        </w:rPr>
        <w:t>1.7 How</w:t>
      </w:r>
      <w:r w:rsidRPr="00DE7059">
        <w:rPr>
          <w:b/>
          <w:sz w:val="24"/>
          <w:szCs w:val="24"/>
        </w:rPr>
        <w:t xml:space="preserve"> the information will be secured.</w:t>
      </w:r>
      <w:r w:rsidRPr="00DE7059">
        <w:rPr>
          <w:sz w:val="24"/>
          <w:szCs w:val="24"/>
        </w:rPr>
        <w:t xml:space="preserve"> </w:t>
      </w:r>
    </w:p>
    <w:p w14:paraId="1B566FA3" w14:textId="77777777" w:rsidR="000B6B4A"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5E0589DE" w14:textId="77777777" w:rsidR="000B6B4A" w:rsidRPr="00052F35"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Local health authority policies and procedures for data storage and security are followed during each field investigation. Though the type of access control(s) implemented vary according to local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w:t>
      </w:r>
      <w:r>
        <w:rPr>
          <w:sz w:val="24"/>
          <w:szCs w:val="24"/>
        </w:rPr>
        <w:lastRenderedPageBreak/>
        <w:t xml:space="preserve">collection </w:t>
      </w:r>
      <w:r w:rsidRPr="00052F35">
        <w:rPr>
          <w:sz w:val="24"/>
          <w:szCs w:val="24"/>
        </w:rPr>
        <w:t xml:space="preserve">is conducted according to a security plan developed in consultation with the relevant local health authorities. Only staff with approval from the study lead has access to the data. Approvals are granted based on roles or a “need to know basis.”  </w:t>
      </w:r>
    </w:p>
    <w:p w14:paraId="1586F8B2" w14:textId="77777777" w:rsidR="000B6B4A" w:rsidRPr="00052F35"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75FF7F7B" w14:textId="77777777" w:rsidR="000B6B4A" w:rsidRDefault="00C8703F" w:rsidP="000B6B4A">
      <w:pPr>
        <w:pStyle w:val="Body1"/>
        <w:tabs>
          <w:tab w:val="num" w:pos="720"/>
          <w:tab w:val="left" w:pos="1800"/>
        </w:tabs>
        <w:ind w:left="720"/>
        <w:rPr>
          <w:szCs w:val="24"/>
        </w:rPr>
      </w:pPr>
      <w:r w:rsidRPr="00052F35">
        <w:rPr>
          <w:szCs w:val="24"/>
        </w:rPr>
        <w:t xml:space="preserve">Personal identifiers are not to be transmitted to CDC unless this is necessary for public health purposes, which is a rare occurrence. </w:t>
      </w:r>
      <w:r w:rsidR="000B6B4A" w:rsidRPr="00052F35">
        <w:rPr>
          <w:szCs w:val="24"/>
        </w:rPr>
        <w:t xml:space="preserve">IIF </w:t>
      </w:r>
      <w:r w:rsidRPr="00052F35">
        <w:rPr>
          <w:szCs w:val="24"/>
        </w:rPr>
        <w:t xml:space="preserve">that is </w:t>
      </w:r>
      <w:r w:rsidR="000B6B4A" w:rsidRPr="00052F35">
        <w:rPr>
          <w:szCs w:val="24"/>
        </w:rPr>
        <w:t>transmitted</w:t>
      </w:r>
      <w:r w:rsidR="000B6B4A" w:rsidRPr="006B73D1">
        <w:rPr>
          <w:szCs w:val="24"/>
        </w:rPr>
        <w:t xml:space="preserve"> to CDC</w:t>
      </w:r>
      <w:r w:rsidR="000B6B4A" w:rsidRPr="00947010" w:rsidDel="006A60A3">
        <w:rPr>
          <w:szCs w:val="24"/>
        </w:rPr>
        <w:t xml:space="preserve"> </w:t>
      </w:r>
      <w:r>
        <w:rPr>
          <w:szCs w:val="24"/>
        </w:rPr>
        <w:t>is</w:t>
      </w:r>
      <w:r w:rsidR="000B6B4A">
        <w:rPr>
          <w:szCs w:val="24"/>
        </w:rPr>
        <w:t xml:space="preserve"> </w:t>
      </w:r>
      <w:r w:rsidR="000B6B4A" w:rsidRPr="00947010">
        <w:rPr>
          <w:szCs w:val="24"/>
        </w:rPr>
        <w:t xml:space="preserve">treated in a </w:t>
      </w:r>
      <w:r w:rsidR="000B6B4A">
        <w:rPr>
          <w:szCs w:val="24"/>
        </w:rPr>
        <w:t xml:space="preserve">secure </w:t>
      </w:r>
      <w:r w:rsidR="000B6B4A" w:rsidRPr="00947010">
        <w:rPr>
          <w:szCs w:val="24"/>
        </w:rPr>
        <w:t xml:space="preserve">manner. </w:t>
      </w:r>
      <w:r w:rsidR="000B6B4A">
        <w:rPr>
          <w:szCs w:val="24"/>
        </w:rPr>
        <w:t xml:space="preserve">CDC </w:t>
      </w:r>
      <w:r w:rsidR="000B6B4A" w:rsidRPr="00947010">
        <w:rPr>
          <w:szCs w:val="24"/>
        </w:rPr>
        <w:t>maintain</w:t>
      </w:r>
      <w:r w:rsidR="000B6B4A">
        <w:rPr>
          <w:szCs w:val="24"/>
        </w:rPr>
        <w:t>s</w:t>
      </w:r>
      <w:r w:rsidR="000B6B4A" w:rsidRPr="00947010">
        <w:rPr>
          <w:szCs w:val="24"/>
        </w:rPr>
        <w:t xml:space="preserve"> </w:t>
      </w:r>
      <w:r w:rsidR="000B6B4A">
        <w:rPr>
          <w:szCs w:val="24"/>
        </w:rPr>
        <w:t xml:space="preserve">the integrity of respondent information </w:t>
      </w:r>
      <w:r w:rsidR="000B6B4A" w:rsidRPr="00947010">
        <w:rPr>
          <w:szCs w:val="24"/>
        </w:rPr>
        <w:t xml:space="preserve">by using unique, study identification numbers on all data collection forms. </w:t>
      </w:r>
    </w:p>
    <w:p w14:paraId="65CA8213" w14:textId="77777777" w:rsidR="000B6B4A" w:rsidRDefault="000B6B4A" w:rsidP="000B6B4A">
      <w:pPr>
        <w:pStyle w:val="Body1"/>
        <w:tabs>
          <w:tab w:val="num" w:pos="720"/>
          <w:tab w:val="left" w:pos="1800"/>
        </w:tabs>
        <w:ind w:left="720"/>
        <w:rPr>
          <w:szCs w:val="24"/>
        </w:rPr>
      </w:pPr>
    </w:p>
    <w:p w14:paraId="24ECFE6D" w14:textId="77777777" w:rsidR="000B6B4A" w:rsidRDefault="000B6B4A" w:rsidP="000B6B4A">
      <w:pPr>
        <w:pStyle w:val="Body1"/>
        <w:tabs>
          <w:tab w:val="num" w:pos="720"/>
          <w:tab w:val="left" w:pos="1800"/>
        </w:tabs>
        <w:ind w:left="720"/>
        <w:rPr>
          <w:szCs w:val="24"/>
        </w:rPr>
      </w:pPr>
      <w:r>
        <w:rPr>
          <w:szCs w:val="24"/>
        </w:rPr>
        <w:t>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 </w:t>
      </w:r>
      <w:r w:rsidRPr="006B73D1">
        <w:rPr>
          <w:szCs w:val="24"/>
        </w:rPr>
        <w:t>(</w:t>
      </w:r>
      <w:hyperlink r:id="rId13" w:history="1">
        <w:r w:rsidRPr="006B73D1">
          <w:rPr>
            <w:szCs w:val="24"/>
          </w:rPr>
          <w:t>http://isp-v-maso-apps/RecSched/ViewSchedule.aspx?RID=29</w:t>
        </w:r>
      </w:hyperlink>
      <w:r w:rsidRPr="006B73D1">
        <w:rPr>
          <w:szCs w:val="24"/>
        </w:rPr>
        <w:t>)</w:t>
      </w:r>
      <w:r w:rsidRPr="00E373CF">
        <w:rPr>
          <w:szCs w:val="24"/>
        </w:rPr>
        <w:t xml:space="preserve">. The process for handling </w:t>
      </w:r>
      <w:r w:rsidRPr="00947010">
        <w:rPr>
          <w:szCs w:val="24"/>
        </w:rPr>
        <w:t xml:space="preserve">security </w:t>
      </w:r>
      <w:r w:rsidRPr="006B73D1">
        <w:rPr>
          <w:szCs w:val="24"/>
        </w:rPr>
        <w:t xml:space="preserve">incidents </w:t>
      </w:r>
      <w:r>
        <w:rPr>
          <w:szCs w:val="24"/>
        </w:rPr>
        <w:t>is</w:t>
      </w:r>
      <w:r w:rsidRPr="00E373CF">
        <w:rPr>
          <w:szCs w:val="24"/>
        </w:rPr>
        <w:t xml:space="preserve"> defined in the system’</w:t>
      </w:r>
      <w:r w:rsidRPr="00947010">
        <w:rPr>
          <w:szCs w:val="24"/>
        </w:rPr>
        <w:t xml:space="preserve">s Security Plan.  Event monitoring and incident response is a shared responsibility between the system’s team and the Office of the Chief Information Security Officer (OCISO). Reports of suspicious security or adverse privacy related events </w:t>
      </w:r>
      <w:r>
        <w:rPr>
          <w:szCs w:val="24"/>
        </w:rPr>
        <w:t xml:space="preserve">are </w:t>
      </w:r>
      <w:r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Pr>
          <w:szCs w:val="24"/>
        </w:rPr>
        <w:t xml:space="preserve"> </w:t>
      </w:r>
    </w:p>
    <w:p w14:paraId="32E9682D" w14:textId="77777777" w:rsidR="000B6B4A" w:rsidRDefault="000B6B4A" w:rsidP="000B6B4A">
      <w:pPr>
        <w:ind w:left="720"/>
        <w:rPr>
          <w:sz w:val="24"/>
          <w:szCs w:val="24"/>
        </w:rPr>
      </w:pPr>
    </w:p>
    <w:p w14:paraId="3F4E5240" w14:textId="77777777" w:rsidR="000B6B4A" w:rsidRPr="005C75FC"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
          <w:sz w:val="24"/>
          <w:szCs w:val="24"/>
        </w:rPr>
      </w:pPr>
      <w:r>
        <w:rPr>
          <w:b/>
          <w:sz w:val="24"/>
          <w:szCs w:val="24"/>
        </w:rPr>
        <w:t xml:space="preserve">1.8 </w:t>
      </w:r>
      <w:r w:rsidRPr="005C75FC">
        <w:rPr>
          <w:b/>
          <w:sz w:val="24"/>
          <w:szCs w:val="24"/>
        </w:rPr>
        <w:t xml:space="preserve">Whether a system of records is being created under the Privacy Act. </w:t>
      </w:r>
    </w:p>
    <w:p w14:paraId="3AB63B2A" w14:textId="77777777" w:rsidR="000B6B4A" w:rsidRDefault="000B6B4A" w:rsidP="000B6B4A">
      <w:pPr>
        <w:rPr>
          <w:b/>
          <w:sz w:val="24"/>
          <w:szCs w:val="24"/>
        </w:rPr>
      </w:pPr>
    </w:p>
    <w:p w14:paraId="7C0892E5" w14:textId="77777777" w:rsidR="000B6B4A" w:rsidRDefault="000B6B4A" w:rsidP="000B6B4A">
      <w:pPr>
        <w:ind w:left="720"/>
        <w:rPr>
          <w:sz w:val="24"/>
          <w:szCs w:val="24"/>
        </w:rPr>
      </w:pPr>
      <w:r w:rsidRPr="0078769C">
        <w:rPr>
          <w:rFonts w:eastAsia="Arial Unicode MS"/>
          <w:sz w:val="24"/>
          <w:szCs w:val="24"/>
          <w:u w:color="000000"/>
        </w:rPr>
        <w:t xml:space="preserve">This submission has been reviewed by </w:t>
      </w:r>
      <w:r>
        <w:rPr>
          <w:rFonts w:eastAsia="Arial Unicode MS"/>
          <w:sz w:val="24"/>
          <w:szCs w:val="24"/>
          <w:u w:color="000000"/>
        </w:rPr>
        <w:t xml:space="preserve">the </w:t>
      </w:r>
      <w:r w:rsidRPr="0078769C">
        <w:rPr>
          <w:rFonts w:eastAsia="Arial Unicode MS"/>
          <w:sz w:val="24"/>
          <w:szCs w:val="24"/>
          <w:u w:color="000000"/>
        </w:rPr>
        <w:t xml:space="preserve">CIO who determined that the Privacy Act does not apply. </w:t>
      </w:r>
      <w:r w:rsidRPr="0078769C">
        <w:rPr>
          <w:sz w:val="24"/>
          <w:szCs w:val="24"/>
        </w:rPr>
        <w:t>Data are treated in a secure manner, unless otherwise compelled by law.</w:t>
      </w:r>
    </w:p>
    <w:p w14:paraId="6FF856D2" w14:textId="77777777" w:rsidR="000B6B4A" w:rsidRPr="005C75FC" w:rsidRDefault="000B6B4A" w:rsidP="000B6B4A">
      <w:pPr>
        <w:ind w:left="720"/>
        <w:rPr>
          <w:b/>
          <w:sz w:val="24"/>
          <w:szCs w:val="24"/>
        </w:rPr>
      </w:pPr>
    </w:p>
    <w:p w14:paraId="2527AB67" w14:textId="77777777" w:rsidR="000B6B4A" w:rsidRPr="00691454" w:rsidRDefault="000B6B4A" w:rsidP="000B6B4A">
      <w:pPr>
        <w:ind w:firstLine="720"/>
        <w:rPr>
          <w:b/>
        </w:rPr>
      </w:pPr>
      <w:r w:rsidRPr="00691454">
        <w:rPr>
          <w:b/>
        </w:rPr>
        <w:t>IRB Approval</w:t>
      </w:r>
    </w:p>
    <w:p w14:paraId="7DE764A8" w14:textId="77777777" w:rsidR="00BF7CF5" w:rsidRDefault="00BF7CF5" w:rsidP="00B1749F">
      <w:pPr>
        <w:ind w:left="720"/>
        <w:rPr>
          <w:rFonts w:eastAsia="Arial Unicode MS"/>
          <w:sz w:val="24"/>
          <w:szCs w:val="24"/>
          <w:u w:color="000000"/>
        </w:rPr>
      </w:pPr>
    </w:p>
    <w:p w14:paraId="310D83DB" w14:textId="77777777" w:rsidR="00A10978" w:rsidRDefault="0077737F" w:rsidP="00B1749F">
      <w:pPr>
        <w:ind w:left="720"/>
        <w:rPr>
          <w:sz w:val="24"/>
          <w:szCs w:val="24"/>
        </w:rPr>
      </w:pPr>
      <w:r>
        <w:rPr>
          <w:sz w:val="24"/>
          <w:szCs w:val="24"/>
        </w:rPr>
        <w:t>Research is not a primary focus of DORIs, and CDC does not usually have access to identifiable information; however, if research is proposed to accompany the response efforts, a</w:t>
      </w:r>
      <w:r w:rsidRPr="0078769C">
        <w:rPr>
          <w:sz w:val="24"/>
          <w:szCs w:val="24"/>
        </w:rPr>
        <w:t xml:space="preserve">ll efforts </w:t>
      </w:r>
      <w:r>
        <w:rPr>
          <w:sz w:val="24"/>
          <w:szCs w:val="24"/>
        </w:rPr>
        <w:t xml:space="preserve">will be </w:t>
      </w:r>
      <w:r w:rsidRPr="0078769C">
        <w:rPr>
          <w:sz w:val="24"/>
          <w:szCs w:val="24"/>
        </w:rPr>
        <w:t>taken to ensure that the proposed research complies with all human subjects requirements</w:t>
      </w:r>
      <w:r>
        <w:rPr>
          <w:sz w:val="24"/>
          <w:szCs w:val="24"/>
        </w:rPr>
        <w:t xml:space="preserve">. </w:t>
      </w:r>
      <w:r w:rsidR="00C976A9">
        <w:rPr>
          <w:sz w:val="24"/>
          <w:szCs w:val="24"/>
        </w:rPr>
        <w:t xml:space="preserve">All data </w:t>
      </w:r>
      <w:r w:rsidR="00A575B6">
        <w:rPr>
          <w:sz w:val="24"/>
          <w:szCs w:val="24"/>
        </w:rPr>
        <w:t>sent</w:t>
      </w:r>
      <w:r w:rsidR="00C976A9">
        <w:rPr>
          <w:sz w:val="24"/>
          <w:szCs w:val="24"/>
        </w:rPr>
        <w:t xml:space="preserve"> to CDC will be stripped of identifiers and </w:t>
      </w:r>
      <w:r w:rsidR="00A575B6">
        <w:rPr>
          <w:sz w:val="24"/>
          <w:szCs w:val="24"/>
        </w:rPr>
        <w:t xml:space="preserve">transmitted in aggregate format. A NCIPC Determination </w:t>
      </w:r>
      <w:r>
        <w:rPr>
          <w:sz w:val="24"/>
          <w:szCs w:val="24"/>
        </w:rPr>
        <w:t xml:space="preserve">of human subjects review applicability </w:t>
      </w:r>
      <w:r w:rsidR="00A575B6">
        <w:rPr>
          <w:sz w:val="24"/>
          <w:szCs w:val="24"/>
        </w:rPr>
        <w:t>will be incl</w:t>
      </w:r>
      <w:r w:rsidR="003C36C5">
        <w:rPr>
          <w:sz w:val="24"/>
          <w:szCs w:val="24"/>
        </w:rPr>
        <w:t xml:space="preserve">uded with each submitted </w:t>
      </w:r>
      <w:proofErr w:type="spellStart"/>
      <w:r w:rsidR="003C36C5">
        <w:rPr>
          <w:sz w:val="24"/>
          <w:szCs w:val="24"/>
        </w:rPr>
        <w:t>GenIC</w:t>
      </w:r>
      <w:proofErr w:type="spellEnd"/>
      <w:r w:rsidR="003C36C5">
        <w:rPr>
          <w:sz w:val="24"/>
          <w:szCs w:val="24"/>
        </w:rPr>
        <w:t xml:space="preserve"> (Attachment F).</w:t>
      </w:r>
    </w:p>
    <w:p w14:paraId="6E884817" w14:textId="77777777" w:rsidR="00527A26" w:rsidRPr="00B26655" w:rsidRDefault="00527A26" w:rsidP="0077737F">
      <w:pPr>
        <w:ind w:left="720"/>
        <w:rPr>
          <w:szCs w:val="24"/>
        </w:rPr>
      </w:pPr>
    </w:p>
    <w:p w14:paraId="7D428AE5" w14:textId="77777777" w:rsidR="00527A26" w:rsidRPr="004955C2" w:rsidRDefault="00783129" w:rsidP="00783129">
      <w:pPr>
        <w:pStyle w:val="Body1"/>
        <w:tabs>
          <w:tab w:val="num" w:pos="720"/>
        </w:tabs>
        <w:rPr>
          <w:b/>
          <w:szCs w:val="24"/>
        </w:rPr>
      </w:pPr>
      <w:r>
        <w:rPr>
          <w:b/>
          <w:szCs w:val="24"/>
        </w:rPr>
        <w:t>11.</w:t>
      </w:r>
      <w:r>
        <w:rPr>
          <w:b/>
          <w:szCs w:val="24"/>
        </w:rPr>
        <w:tab/>
      </w:r>
      <w:r w:rsidR="00076C2D" w:rsidRPr="00076C2D">
        <w:rPr>
          <w:b/>
          <w:szCs w:val="24"/>
        </w:rPr>
        <w:t>Justification for Sensitive Questions</w:t>
      </w:r>
    </w:p>
    <w:p w14:paraId="7CD76CCC" w14:textId="77777777" w:rsidR="00527A26" w:rsidRPr="004A2C6F" w:rsidRDefault="00527A26" w:rsidP="008C5039">
      <w:pPr>
        <w:pStyle w:val="Body1"/>
        <w:tabs>
          <w:tab w:val="num" w:pos="720"/>
          <w:tab w:val="left" w:pos="1800"/>
        </w:tabs>
        <w:ind w:left="720"/>
        <w:rPr>
          <w:szCs w:val="24"/>
        </w:rPr>
      </w:pPr>
    </w:p>
    <w:p w14:paraId="6F75C6D1" w14:textId="77777777" w:rsidR="00527A26" w:rsidRPr="00377F69" w:rsidRDefault="00527A26" w:rsidP="008C5039">
      <w:pPr>
        <w:pStyle w:val="Body1"/>
        <w:tabs>
          <w:tab w:val="num" w:pos="720"/>
          <w:tab w:val="left" w:pos="1800"/>
        </w:tabs>
        <w:ind w:left="720"/>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w:t>
      </w:r>
      <w:r w:rsidRPr="005E159F">
        <w:rPr>
          <w:szCs w:val="24"/>
        </w:rPr>
        <w:t xml:space="preserve">Before administering </w:t>
      </w:r>
      <w:r w:rsidR="00B85447" w:rsidRPr="00783129">
        <w:rPr>
          <w:szCs w:val="24"/>
        </w:rPr>
        <w:t>data collections</w:t>
      </w:r>
      <w:r w:rsidRPr="00962D6E">
        <w:rPr>
          <w:szCs w:val="24"/>
        </w:rPr>
        <w:t xml:space="preserve">, investigators inform respondents (either verbally or in writing) that participation is voluntary, </w:t>
      </w:r>
      <w:r w:rsidR="008352B4">
        <w:rPr>
          <w:szCs w:val="24"/>
        </w:rPr>
        <w:t xml:space="preserve">respondents can refuse to answer any questions, </w:t>
      </w:r>
      <w:r w:rsidRPr="00962D6E">
        <w:rPr>
          <w:szCs w:val="24"/>
        </w:rPr>
        <w:t>and that respondents are not personally ide</w:t>
      </w:r>
      <w:r w:rsidRPr="00377F69">
        <w:rPr>
          <w:szCs w:val="24"/>
        </w:rPr>
        <w:t>ntified in any published reports of the study.</w:t>
      </w:r>
      <w:r w:rsidR="002B7FD7">
        <w:rPr>
          <w:szCs w:val="24"/>
        </w:rPr>
        <w:t xml:space="preserve"> Participants </w:t>
      </w:r>
      <w:r w:rsidR="00A43A9E">
        <w:rPr>
          <w:szCs w:val="24"/>
        </w:rPr>
        <w:t>are</w:t>
      </w:r>
      <w:r w:rsidR="002B7FD7">
        <w:rPr>
          <w:szCs w:val="24"/>
        </w:rPr>
        <w:t xml:space="preserve"> </w:t>
      </w:r>
      <w:r w:rsidR="006C1D25">
        <w:rPr>
          <w:szCs w:val="24"/>
        </w:rPr>
        <w:t xml:space="preserve">also </w:t>
      </w:r>
      <w:r w:rsidR="002B7FD7">
        <w:rPr>
          <w:szCs w:val="24"/>
        </w:rPr>
        <w:t xml:space="preserve">informed the data are being collected in response to </w:t>
      </w:r>
      <w:r w:rsidR="0077737F">
        <w:rPr>
          <w:szCs w:val="24"/>
        </w:rPr>
        <w:t xml:space="preserve">drug overdose </w:t>
      </w:r>
      <w:r w:rsidR="002B7FD7">
        <w:rPr>
          <w:szCs w:val="24"/>
        </w:rPr>
        <w:t>event</w:t>
      </w:r>
      <w:r w:rsidR="0077737F">
        <w:rPr>
          <w:szCs w:val="24"/>
        </w:rPr>
        <w:t>s</w:t>
      </w:r>
      <w:r w:rsidR="002B7FD7">
        <w:rPr>
          <w:szCs w:val="24"/>
        </w:rPr>
        <w:t xml:space="preserve">, and that the information they provide may help to identify effective prevention and control strategies. Social security numbers </w:t>
      </w:r>
      <w:r w:rsidR="00A43A9E">
        <w:rPr>
          <w:szCs w:val="24"/>
        </w:rPr>
        <w:t>are</w:t>
      </w:r>
      <w:r w:rsidR="002B7FD7">
        <w:rPr>
          <w:szCs w:val="24"/>
        </w:rPr>
        <w:t xml:space="preserve"> not collected.</w:t>
      </w:r>
    </w:p>
    <w:p w14:paraId="145931BF" w14:textId="77777777" w:rsidR="00527A26" w:rsidRPr="00B651A5" w:rsidRDefault="00527A26" w:rsidP="00B651A5">
      <w:pPr>
        <w:ind w:left="720"/>
        <w:rPr>
          <w:rFonts w:eastAsia="Arial Unicode MS"/>
          <w:sz w:val="24"/>
          <w:szCs w:val="24"/>
          <w:u w:color="000000"/>
        </w:rPr>
      </w:pPr>
    </w:p>
    <w:p w14:paraId="3CD61C91" w14:textId="77777777" w:rsidR="001011A2" w:rsidRDefault="00783129" w:rsidP="00783129">
      <w:pPr>
        <w:pStyle w:val="Body1"/>
        <w:tabs>
          <w:tab w:val="num" w:pos="720"/>
        </w:tabs>
        <w:rPr>
          <w:b/>
          <w:szCs w:val="24"/>
        </w:rPr>
      </w:pPr>
      <w:r w:rsidRPr="007366BE">
        <w:rPr>
          <w:b/>
          <w:szCs w:val="24"/>
        </w:rPr>
        <w:t>12.</w:t>
      </w:r>
      <w:r w:rsidRPr="007366BE">
        <w:rPr>
          <w:b/>
          <w:szCs w:val="24"/>
        </w:rPr>
        <w:tab/>
      </w:r>
      <w:r w:rsidR="00527A26" w:rsidRPr="007366BE">
        <w:rPr>
          <w:b/>
          <w:szCs w:val="24"/>
        </w:rPr>
        <w:t>Estimates of Annualized Burden Hours and Costs</w:t>
      </w:r>
    </w:p>
    <w:p w14:paraId="7D12B8A5" w14:textId="77777777" w:rsidR="004B339C" w:rsidRDefault="004B339C" w:rsidP="00783129">
      <w:pPr>
        <w:pStyle w:val="Body1"/>
        <w:tabs>
          <w:tab w:val="num" w:pos="720"/>
        </w:tabs>
        <w:rPr>
          <w:b/>
          <w:szCs w:val="24"/>
        </w:rPr>
      </w:pPr>
      <w:r>
        <w:rPr>
          <w:b/>
          <w:szCs w:val="24"/>
        </w:rPr>
        <w:tab/>
      </w:r>
    </w:p>
    <w:p w14:paraId="52428734" w14:textId="5E63BE10" w:rsidR="004B339C" w:rsidRPr="000E6CAF" w:rsidRDefault="004B339C" w:rsidP="00CE0640">
      <w:pPr>
        <w:ind w:left="720"/>
        <w:rPr>
          <w:rFonts w:eastAsia="Arial Unicode MS"/>
          <w:color w:val="000000"/>
          <w:sz w:val="24"/>
          <w:szCs w:val="24"/>
          <w:u w:color="000000"/>
        </w:rPr>
      </w:pPr>
      <w:r w:rsidRPr="00912A6F">
        <w:rPr>
          <w:rFonts w:eastAsia="Arial Unicode MS"/>
          <w:color w:val="000000"/>
          <w:sz w:val="24"/>
          <w:szCs w:val="24"/>
          <w:u w:color="000000"/>
        </w:rPr>
        <w:lastRenderedPageBreak/>
        <w:t xml:space="preserve">CDC projects </w:t>
      </w:r>
      <w:r w:rsidR="00887549">
        <w:rPr>
          <w:rFonts w:eastAsia="Arial Unicode MS"/>
          <w:color w:val="000000"/>
          <w:sz w:val="24"/>
          <w:szCs w:val="24"/>
          <w:u w:color="000000"/>
        </w:rPr>
        <w:t xml:space="preserve">multiple </w:t>
      </w:r>
      <w:r w:rsidR="0077737F">
        <w:rPr>
          <w:rFonts w:eastAsia="Arial Unicode MS"/>
          <w:color w:val="000000"/>
          <w:sz w:val="24"/>
          <w:szCs w:val="24"/>
          <w:u w:color="000000"/>
        </w:rPr>
        <w:t xml:space="preserve">DORIs </w:t>
      </w:r>
      <w:r w:rsidR="00456CF8">
        <w:rPr>
          <w:rFonts w:eastAsia="Arial Unicode MS"/>
          <w:color w:val="000000"/>
          <w:sz w:val="24"/>
          <w:szCs w:val="24"/>
          <w:u w:color="000000"/>
        </w:rPr>
        <w:t xml:space="preserve">annually </w:t>
      </w:r>
      <w:r w:rsidRPr="00912A6F">
        <w:rPr>
          <w:rFonts w:eastAsia="Arial Unicode MS"/>
          <w:color w:val="000000"/>
          <w:sz w:val="24"/>
          <w:szCs w:val="24"/>
          <w:u w:color="000000"/>
        </w:rPr>
        <w:t>in response to</w:t>
      </w:r>
      <w:r w:rsidR="00334EB9" w:rsidRPr="00334EB9">
        <w:rPr>
          <w:rFonts w:eastAsia="Arial Unicode MS"/>
          <w:color w:val="000000"/>
          <w:sz w:val="24"/>
          <w:szCs w:val="24"/>
          <w:u w:color="000000"/>
        </w:rPr>
        <w:t xml:space="preserve"> </w:t>
      </w:r>
      <w:r w:rsidR="0077737F">
        <w:rPr>
          <w:rFonts w:eastAsia="Arial Unicode MS"/>
          <w:color w:val="000000"/>
          <w:sz w:val="24"/>
          <w:szCs w:val="24"/>
          <w:u w:color="000000"/>
        </w:rPr>
        <w:t xml:space="preserve">urgent drug overdose </w:t>
      </w:r>
      <w:r w:rsidR="00334EB9" w:rsidRPr="00334EB9">
        <w:rPr>
          <w:rFonts w:eastAsia="Arial Unicode MS"/>
          <w:color w:val="000000"/>
          <w:sz w:val="24"/>
          <w:szCs w:val="24"/>
          <w:u w:color="000000"/>
        </w:rPr>
        <w:t>event</w:t>
      </w:r>
      <w:r w:rsidR="00334EB9">
        <w:rPr>
          <w:rFonts w:eastAsia="Arial Unicode MS"/>
          <w:color w:val="000000"/>
          <w:sz w:val="24"/>
          <w:szCs w:val="24"/>
          <w:u w:color="000000"/>
        </w:rPr>
        <w:t>s</w:t>
      </w:r>
      <w:r w:rsidR="00096679" w:rsidRPr="00096679">
        <w:rPr>
          <w:rFonts w:eastAsia="Arial Unicode MS"/>
          <w:color w:val="000000"/>
          <w:sz w:val="24"/>
          <w:szCs w:val="24"/>
          <w:u w:color="000000"/>
        </w:rPr>
        <w:t xml:space="preserve">. </w:t>
      </w:r>
      <w:r w:rsidRPr="00912A6F">
        <w:rPr>
          <w:rFonts w:eastAsia="Arial Unicode MS"/>
          <w:color w:val="000000"/>
          <w:sz w:val="24"/>
          <w:szCs w:val="24"/>
          <w:u w:color="000000"/>
        </w:rPr>
        <w:t xml:space="preserve">The projected average number of respondents is </w:t>
      </w:r>
      <w:r w:rsidR="00D7645F">
        <w:rPr>
          <w:rFonts w:eastAsia="Arial Unicode MS"/>
          <w:color w:val="000000"/>
          <w:sz w:val="24"/>
          <w:szCs w:val="24"/>
          <w:u w:color="000000"/>
        </w:rPr>
        <w:t xml:space="preserve">determined upon initial contact by the state </w:t>
      </w:r>
      <w:r w:rsidR="0077737F">
        <w:rPr>
          <w:rFonts w:eastAsia="Arial Unicode MS"/>
          <w:color w:val="000000"/>
          <w:sz w:val="24"/>
          <w:szCs w:val="24"/>
          <w:u w:color="000000"/>
        </w:rPr>
        <w:t xml:space="preserve">or local </w:t>
      </w:r>
      <w:r w:rsidR="00D7645F">
        <w:rPr>
          <w:rFonts w:eastAsia="Arial Unicode MS"/>
          <w:color w:val="000000"/>
          <w:sz w:val="24"/>
          <w:szCs w:val="24"/>
          <w:u w:color="000000"/>
        </w:rPr>
        <w:t xml:space="preserve">health </w:t>
      </w:r>
      <w:r w:rsidR="0077737F">
        <w:rPr>
          <w:rFonts w:eastAsia="Arial Unicode MS"/>
          <w:color w:val="000000"/>
          <w:sz w:val="24"/>
          <w:szCs w:val="24"/>
          <w:u w:color="000000"/>
        </w:rPr>
        <w:t xml:space="preserve">authority </w:t>
      </w:r>
      <w:r w:rsidR="00D7645F">
        <w:rPr>
          <w:rFonts w:eastAsia="Arial Unicode MS"/>
          <w:color w:val="000000"/>
          <w:sz w:val="24"/>
          <w:szCs w:val="24"/>
          <w:u w:color="000000"/>
        </w:rPr>
        <w:t xml:space="preserve">or requesting organization. </w:t>
      </w:r>
      <w:r w:rsidRPr="00912A6F">
        <w:rPr>
          <w:rFonts w:eastAsia="Arial Unicode MS"/>
          <w:color w:val="000000"/>
          <w:sz w:val="24"/>
          <w:szCs w:val="24"/>
          <w:u w:color="000000"/>
        </w:rPr>
        <w:t>CDC estimates the average burden per response is 0.5 h</w:t>
      </w:r>
      <w:r w:rsidR="00A43A9E" w:rsidRPr="00A43A9E">
        <w:rPr>
          <w:rFonts w:eastAsia="Arial Unicode MS"/>
          <w:color w:val="000000"/>
          <w:sz w:val="24"/>
          <w:szCs w:val="24"/>
          <w:u w:color="000000"/>
        </w:rPr>
        <w:t xml:space="preserve">ours and each respondent </w:t>
      </w:r>
      <w:r w:rsidR="00A43A9E">
        <w:rPr>
          <w:rFonts w:eastAsia="Arial Unicode MS"/>
          <w:color w:val="000000"/>
          <w:sz w:val="24"/>
          <w:szCs w:val="24"/>
          <w:u w:color="000000"/>
        </w:rPr>
        <w:t>is</w:t>
      </w:r>
      <w:r w:rsidRPr="00912A6F">
        <w:rPr>
          <w:rFonts w:eastAsia="Arial Unicode MS"/>
          <w:color w:val="000000"/>
          <w:sz w:val="24"/>
          <w:szCs w:val="24"/>
          <w:u w:color="000000"/>
        </w:rPr>
        <w:t xml:space="preserve"> asked to respond once. Therefore, the total e</w:t>
      </w:r>
      <w:r w:rsidR="00A43A9E" w:rsidRP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00A43A9E" w:rsidRPr="00A43A9E">
        <w:rPr>
          <w:rFonts w:eastAsia="Arial Unicode MS"/>
          <w:color w:val="000000"/>
          <w:sz w:val="24"/>
          <w:szCs w:val="24"/>
          <w:u w:color="000000"/>
        </w:rPr>
        <w:t xml:space="preserve">hours </w:t>
      </w:r>
      <w:r w:rsidR="00A43A9E" w:rsidRPr="000E6CAF">
        <w:rPr>
          <w:rFonts w:eastAsia="Arial Unicode MS"/>
          <w:color w:val="000000"/>
          <w:sz w:val="24"/>
          <w:szCs w:val="24"/>
          <w:u w:color="000000"/>
        </w:rPr>
        <w:t>is</w:t>
      </w:r>
      <w:r w:rsidRPr="000E6CAF">
        <w:rPr>
          <w:rFonts w:eastAsia="Arial Unicode MS"/>
          <w:color w:val="000000"/>
          <w:sz w:val="24"/>
          <w:szCs w:val="24"/>
          <w:u w:color="000000"/>
        </w:rPr>
        <w:t xml:space="preserve"> </w:t>
      </w:r>
      <w:r w:rsidR="00370F59" w:rsidRPr="000E6CAF">
        <w:rPr>
          <w:rFonts w:eastAsia="Arial Unicode MS"/>
          <w:color w:val="000000"/>
          <w:sz w:val="24"/>
          <w:szCs w:val="24"/>
          <w:u w:color="000000"/>
        </w:rPr>
        <w:t>1000</w:t>
      </w:r>
      <w:r w:rsidRPr="000E6CAF">
        <w:rPr>
          <w:rFonts w:eastAsia="Arial Unicode MS"/>
          <w:color w:val="000000"/>
          <w:sz w:val="24"/>
          <w:szCs w:val="24"/>
          <w:u w:color="000000"/>
        </w:rPr>
        <w:t xml:space="preserve">. </w:t>
      </w:r>
      <w:r w:rsidR="00096679" w:rsidRPr="000E6CAF">
        <w:rPr>
          <w:rFonts w:eastAsia="Arial Unicode MS"/>
          <w:color w:val="000000"/>
          <w:sz w:val="24"/>
          <w:szCs w:val="24"/>
          <w:u w:color="000000"/>
        </w:rPr>
        <w:t>The actual number of respondents in each information collection and the number of re</w:t>
      </w:r>
      <w:r w:rsidR="00A43A9E" w:rsidRPr="000E6CAF">
        <w:rPr>
          <w:rFonts w:eastAsia="Arial Unicode MS"/>
          <w:color w:val="000000"/>
          <w:sz w:val="24"/>
          <w:szCs w:val="24"/>
          <w:u w:color="000000"/>
        </w:rPr>
        <w:t>sponses per respondent varies</w:t>
      </w:r>
      <w:r w:rsidR="00096679" w:rsidRPr="000E6CAF">
        <w:rPr>
          <w:rFonts w:eastAsia="Arial Unicode MS"/>
          <w:color w:val="000000"/>
          <w:sz w:val="24"/>
          <w:szCs w:val="24"/>
          <w:u w:color="000000"/>
        </w:rPr>
        <w:t xml:space="preserve"> depending on the purpose of each individual </w:t>
      </w:r>
      <w:proofErr w:type="spellStart"/>
      <w:r w:rsidR="006C1D25" w:rsidRPr="000E6CAF">
        <w:rPr>
          <w:rFonts w:eastAsia="Arial Unicode MS"/>
          <w:color w:val="000000"/>
          <w:sz w:val="24"/>
          <w:szCs w:val="24"/>
          <w:u w:color="000000"/>
        </w:rPr>
        <w:t>G</w:t>
      </w:r>
      <w:r w:rsidR="00096679" w:rsidRPr="000E6CAF">
        <w:rPr>
          <w:rFonts w:eastAsia="Arial Unicode MS"/>
          <w:color w:val="000000"/>
          <w:sz w:val="24"/>
          <w:szCs w:val="24"/>
          <w:u w:color="000000"/>
        </w:rPr>
        <w:t>enIC</w:t>
      </w:r>
      <w:proofErr w:type="spellEnd"/>
      <w:r w:rsidR="00096679" w:rsidRPr="000E6CAF">
        <w:rPr>
          <w:rFonts w:eastAsia="Arial Unicode MS"/>
          <w:color w:val="000000"/>
          <w:sz w:val="24"/>
          <w:szCs w:val="24"/>
          <w:u w:color="000000"/>
        </w:rPr>
        <w:t xml:space="preserve">. </w:t>
      </w:r>
    </w:p>
    <w:p w14:paraId="5D49BA11" w14:textId="77777777" w:rsidR="00CE0640" w:rsidRPr="000E6CAF" w:rsidRDefault="00BF1A48" w:rsidP="00CE0640">
      <w:pPr>
        <w:widowControl w:val="0"/>
        <w:tabs>
          <w:tab w:val="left" w:pos="0"/>
        </w:tabs>
        <w:autoSpaceDE w:val="0"/>
        <w:autoSpaceDN w:val="0"/>
        <w:adjustRightInd w:val="0"/>
        <w:rPr>
          <w:rFonts w:eastAsia="Arial Unicode MS"/>
          <w:color w:val="000000"/>
          <w:sz w:val="24"/>
          <w:szCs w:val="24"/>
          <w:u w:color="000000"/>
        </w:rPr>
      </w:pPr>
      <w:r w:rsidRPr="000E6CAF">
        <w:rPr>
          <w:rFonts w:eastAsia="Arial Unicode MS"/>
          <w:color w:val="000000"/>
          <w:sz w:val="24"/>
          <w:szCs w:val="24"/>
          <w:u w:color="000000"/>
        </w:rPr>
        <w:tab/>
      </w:r>
    </w:p>
    <w:p w14:paraId="707418C1" w14:textId="77777777" w:rsidR="00BF1A48" w:rsidRPr="000E6CAF" w:rsidRDefault="00CE0640" w:rsidP="00CE0640">
      <w:pPr>
        <w:widowControl w:val="0"/>
        <w:tabs>
          <w:tab w:val="left" w:pos="0"/>
        </w:tabs>
        <w:autoSpaceDE w:val="0"/>
        <w:autoSpaceDN w:val="0"/>
        <w:adjustRightInd w:val="0"/>
        <w:rPr>
          <w:rFonts w:eastAsia="Arial Unicode MS"/>
          <w:color w:val="000000"/>
          <w:sz w:val="24"/>
          <w:szCs w:val="24"/>
          <w:u w:color="000000"/>
        </w:rPr>
      </w:pPr>
      <w:r w:rsidRPr="000E6CAF">
        <w:rPr>
          <w:rFonts w:eastAsia="Arial Unicode MS"/>
          <w:color w:val="000000"/>
          <w:sz w:val="24"/>
          <w:szCs w:val="24"/>
          <w:u w:color="000000"/>
        </w:rPr>
        <w:tab/>
      </w:r>
      <w:r w:rsidR="004B339C" w:rsidRPr="000E6CAF">
        <w:rPr>
          <w:rFonts w:eastAsia="Arial Unicode MS"/>
          <w:color w:val="000000"/>
          <w:sz w:val="24"/>
          <w:szCs w:val="24"/>
          <w:u w:color="000000"/>
        </w:rPr>
        <w:t xml:space="preserve">Table A-12.1 </w:t>
      </w:r>
      <w:r w:rsidR="00BF1A48" w:rsidRPr="000E6CAF">
        <w:rPr>
          <w:rFonts w:eastAsia="Arial Unicode MS"/>
          <w:color w:val="000000"/>
          <w:sz w:val="24"/>
          <w:szCs w:val="24"/>
          <w:u w:color="000000"/>
        </w:rPr>
        <w:t>Estimated Annualized Burden Hours</w:t>
      </w: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350"/>
        <w:gridCol w:w="1440"/>
        <w:gridCol w:w="1530"/>
      </w:tblGrid>
      <w:tr w:rsidR="00BF1A48" w:rsidRPr="000E6CAF" w14:paraId="6D253409" w14:textId="77777777" w:rsidTr="00067D72">
        <w:trPr>
          <w:trHeight w:val="592"/>
        </w:trPr>
        <w:tc>
          <w:tcPr>
            <w:tcW w:w="1530" w:type="dxa"/>
            <w:tcBorders>
              <w:top w:val="single" w:sz="4" w:space="0" w:color="auto"/>
              <w:left w:val="single" w:sz="4" w:space="0" w:color="auto"/>
              <w:bottom w:val="single" w:sz="4" w:space="0" w:color="auto"/>
              <w:right w:val="single" w:sz="4" w:space="0" w:color="auto"/>
            </w:tcBorders>
            <w:hideMark/>
          </w:tcPr>
          <w:p w14:paraId="30E6AA9C" w14:textId="77777777" w:rsidR="00BF1A48" w:rsidRPr="000E6CAF" w:rsidRDefault="00BF1A48" w:rsidP="00E34301">
            <w:pPr>
              <w:widowControl w:val="0"/>
              <w:tabs>
                <w:tab w:val="left" w:pos="0"/>
              </w:tabs>
              <w:autoSpaceDE w:val="0"/>
              <w:autoSpaceDN w:val="0"/>
              <w:adjustRightInd w:val="0"/>
              <w:rPr>
                <w:rFonts w:eastAsia="Arial Unicode MS"/>
                <w:color w:val="000000"/>
                <w:sz w:val="24"/>
                <w:szCs w:val="24"/>
                <w:u w:color="000000"/>
              </w:rPr>
            </w:pPr>
            <w:r w:rsidRPr="000E6CAF">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1C2BFE50" w14:textId="77777777" w:rsidR="00BF1A48" w:rsidRPr="000E6CAF"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5EC7FC28" w14:textId="77777777" w:rsidR="00BF1A48" w:rsidRPr="000E6CAF"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No. of Respondents</w:t>
            </w:r>
          </w:p>
        </w:tc>
        <w:tc>
          <w:tcPr>
            <w:tcW w:w="1350" w:type="dxa"/>
            <w:tcBorders>
              <w:top w:val="single" w:sz="4" w:space="0" w:color="auto"/>
              <w:left w:val="single" w:sz="4" w:space="0" w:color="auto"/>
              <w:bottom w:val="single" w:sz="4" w:space="0" w:color="auto"/>
              <w:right w:val="single" w:sz="4" w:space="0" w:color="auto"/>
            </w:tcBorders>
            <w:hideMark/>
          </w:tcPr>
          <w:p w14:paraId="3921741B" w14:textId="77777777" w:rsidR="00BF1A48" w:rsidRPr="000E6CAF"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No. of Responses per Respondent</w:t>
            </w:r>
          </w:p>
        </w:tc>
        <w:tc>
          <w:tcPr>
            <w:tcW w:w="1440" w:type="dxa"/>
            <w:tcBorders>
              <w:top w:val="single" w:sz="4" w:space="0" w:color="auto"/>
              <w:left w:val="single" w:sz="4" w:space="0" w:color="auto"/>
              <w:bottom w:val="single" w:sz="4" w:space="0" w:color="auto"/>
              <w:right w:val="single" w:sz="4" w:space="0" w:color="auto"/>
            </w:tcBorders>
            <w:hideMark/>
          </w:tcPr>
          <w:p w14:paraId="53700706" w14:textId="77777777" w:rsidR="00BF1A48" w:rsidRPr="000E6CAF"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0BCA5B82" w14:textId="77777777" w:rsidR="00BF1A48" w:rsidRPr="000E6CAF"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Total Burden (in hrs.)</w:t>
            </w:r>
          </w:p>
        </w:tc>
      </w:tr>
      <w:tr w:rsidR="00BF1A48" w:rsidRPr="000E6CAF" w14:paraId="2DF9E56F" w14:textId="77777777" w:rsidTr="00067D72">
        <w:trPr>
          <w:trHeight w:val="1512"/>
        </w:trPr>
        <w:tc>
          <w:tcPr>
            <w:tcW w:w="1530" w:type="dxa"/>
            <w:tcBorders>
              <w:top w:val="single" w:sz="4" w:space="0" w:color="auto"/>
              <w:left w:val="single" w:sz="4" w:space="0" w:color="auto"/>
              <w:bottom w:val="single" w:sz="4" w:space="0" w:color="auto"/>
              <w:right w:val="single" w:sz="4" w:space="0" w:color="auto"/>
            </w:tcBorders>
            <w:vAlign w:val="center"/>
          </w:tcPr>
          <w:p w14:paraId="474A24BF" w14:textId="77777777" w:rsidR="00BF1A48" w:rsidRPr="000E6CAF" w:rsidRDefault="0077737F" w:rsidP="0077737F">
            <w:pPr>
              <w:rPr>
                <w:rFonts w:eastAsia="Arial Unicode MS"/>
                <w:color w:val="000000"/>
                <w:sz w:val="24"/>
                <w:szCs w:val="24"/>
                <w:u w:color="000000"/>
              </w:rPr>
            </w:pPr>
            <w:r w:rsidRPr="000E6CAF">
              <w:rPr>
                <w:rFonts w:eastAsia="Arial Unicode MS"/>
                <w:color w:val="000000"/>
                <w:sz w:val="24"/>
                <w:szCs w:val="24"/>
                <w:u w:color="000000"/>
              </w:rPr>
              <w:t xml:space="preserve">Drug Overdose Response </w:t>
            </w:r>
            <w:r w:rsidR="00483688" w:rsidRPr="000E6CAF">
              <w:rPr>
                <w:rFonts w:eastAsia="Arial Unicode MS"/>
                <w:color w:val="000000"/>
                <w:sz w:val="24"/>
                <w:szCs w:val="24"/>
                <w:u w:color="000000"/>
              </w:rPr>
              <w:t>Investigation</w:t>
            </w:r>
            <w:r w:rsidR="00BF1A48" w:rsidRPr="000E6CAF">
              <w:rPr>
                <w:rFonts w:eastAsia="Arial Unicode MS"/>
                <w:color w:val="000000"/>
                <w:sz w:val="24"/>
                <w:szCs w:val="24"/>
                <w:u w:color="000000"/>
              </w:rPr>
              <w:t xml:space="preserve">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02708763" w14:textId="77777777" w:rsidR="00BF1A48" w:rsidRPr="000E6CAF" w:rsidRDefault="0077737F" w:rsidP="00483688">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 xml:space="preserve">DORI </w:t>
            </w:r>
            <w:r w:rsidR="00BF1A48" w:rsidRPr="000E6CAF">
              <w:rPr>
                <w:rFonts w:eastAsia="Arial Unicode MS"/>
                <w:color w:val="000000"/>
                <w:sz w:val="24"/>
                <w:szCs w:val="24"/>
                <w:u w:color="000000"/>
              </w:rPr>
              <w:t>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320685D5" w14:textId="7F69196B" w:rsidR="00BF1A48" w:rsidRPr="000E6CAF" w:rsidRDefault="00FD690C" w:rsidP="00FD690C">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2000</w:t>
            </w:r>
          </w:p>
        </w:tc>
        <w:tc>
          <w:tcPr>
            <w:tcW w:w="1350" w:type="dxa"/>
            <w:tcBorders>
              <w:top w:val="single" w:sz="4" w:space="0" w:color="auto"/>
              <w:left w:val="single" w:sz="4" w:space="0" w:color="auto"/>
              <w:bottom w:val="single" w:sz="4" w:space="0" w:color="auto"/>
              <w:right w:val="single" w:sz="4" w:space="0" w:color="auto"/>
            </w:tcBorders>
            <w:vAlign w:val="center"/>
          </w:tcPr>
          <w:p w14:paraId="3F48FDF2" w14:textId="77777777" w:rsidR="00BF1A48" w:rsidRPr="000E6CAF" w:rsidRDefault="00BA5BA3" w:rsidP="00E34301">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1</w:t>
            </w:r>
          </w:p>
        </w:tc>
        <w:tc>
          <w:tcPr>
            <w:tcW w:w="1440" w:type="dxa"/>
            <w:tcBorders>
              <w:top w:val="single" w:sz="4" w:space="0" w:color="auto"/>
              <w:left w:val="single" w:sz="4" w:space="0" w:color="auto"/>
              <w:bottom w:val="single" w:sz="4" w:space="0" w:color="auto"/>
              <w:right w:val="single" w:sz="4" w:space="0" w:color="auto"/>
            </w:tcBorders>
            <w:vAlign w:val="center"/>
          </w:tcPr>
          <w:p w14:paraId="6E42F4EB" w14:textId="77777777" w:rsidR="00BF1A48" w:rsidRPr="000E6CAF"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0.5</w:t>
            </w:r>
          </w:p>
        </w:tc>
        <w:tc>
          <w:tcPr>
            <w:tcW w:w="1530" w:type="dxa"/>
            <w:tcBorders>
              <w:top w:val="single" w:sz="4" w:space="0" w:color="auto"/>
              <w:left w:val="single" w:sz="4" w:space="0" w:color="auto"/>
              <w:bottom w:val="single" w:sz="4" w:space="0" w:color="auto"/>
              <w:right w:val="single" w:sz="4" w:space="0" w:color="auto"/>
            </w:tcBorders>
            <w:vAlign w:val="center"/>
          </w:tcPr>
          <w:p w14:paraId="19BACA91" w14:textId="0AE31C8D" w:rsidR="00BF1A48" w:rsidRPr="000E6CAF" w:rsidRDefault="00370F59" w:rsidP="00370F59">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1000</w:t>
            </w:r>
          </w:p>
        </w:tc>
      </w:tr>
      <w:tr w:rsidR="00BF1A48" w:rsidRPr="00BF1A48" w14:paraId="46D5DC55" w14:textId="77777777" w:rsidTr="00067D72">
        <w:trPr>
          <w:trHeight w:val="263"/>
        </w:trPr>
        <w:tc>
          <w:tcPr>
            <w:tcW w:w="1530" w:type="dxa"/>
            <w:tcBorders>
              <w:top w:val="single" w:sz="4" w:space="0" w:color="auto"/>
              <w:left w:val="single" w:sz="4" w:space="0" w:color="auto"/>
              <w:bottom w:val="single" w:sz="4" w:space="0" w:color="auto"/>
              <w:right w:val="single" w:sz="4" w:space="0" w:color="auto"/>
            </w:tcBorders>
            <w:vAlign w:val="center"/>
          </w:tcPr>
          <w:p w14:paraId="66E3951C" w14:textId="77777777" w:rsidR="00BF1A48" w:rsidRPr="000E6CAF" w:rsidRDefault="00BF1A48" w:rsidP="00E34301">
            <w:pPr>
              <w:widowControl w:val="0"/>
              <w:tabs>
                <w:tab w:val="left" w:pos="0"/>
              </w:tabs>
              <w:autoSpaceDE w:val="0"/>
              <w:autoSpaceDN w:val="0"/>
              <w:adjustRightInd w:val="0"/>
              <w:jc w:val="center"/>
              <w:rPr>
                <w:rFonts w:eastAsia="Arial Unicode MS"/>
                <w:color w:val="000000"/>
                <w:sz w:val="24"/>
                <w:szCs w:val="24"/>
                <w:u w:color="000000"/>
              </w:rPr>
            </w:pP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14:paraId="43DC3F71" w14:textId="77777777" w:rsidR="00BF1A48" w:rsidRPr="000E6CAF" w:rsidRDefault="00BF1A48" w:rsidP="00E34301">
            <w:pPr>
              <w:widowControl w:val="0"/>
              <w:tabs>
                <w:tab w:val="left" w:pos="0"/>
              </w:tabs>
              <w:autoSpaceDE w:val="0"/>
              <w:autoSpaceDN w:val="0"/>
              <w:adjustRightInd w:val="0"/>
              <w:jc w:val="right"/>
              <w:rPr>
                <w:rFonts w:eastAsia="Arial Unicode MS"/>
                <w:color w:val="000000"/>
                <w:sz w:val="24"/>
                <w:szCs w:val="24"/>
                <w:u w:color="000000"/>
              </w:rPr>
            </w:pPr>
            <w:r w:rsidRPr="000E6CAF">
              <w:rPr>
                <w:rFonts w:eastAsia="Arial Unicode MS"/>
                <w:color w:val="000000"/>
                <w:sz w:val="24"/>
                <w:szCs w:val="24"/>
                <w:u w:color="000000"/>
              </w:rPr>
              <w:t>Total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ABDF2" w14:textId="18372115" w:rsidR="00BF1A48" w:rsidRPr="00BF1A48" w:rsidRDefault="00370F59" w:rsidP="00370F59">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1000</w:t>
            </w:r>
          </w:p>
        </w:tc>
      </w:tr>
    </w:tbl>
    <w:p w14:paraId="1572869E" w14:textId="77777777" w:rsidR="002B7FD7" w:rsidRDefault="002B7FD7" w:rsidP="00B651A5">
      <w:pPr>
        <w:ind w:left="720"/>
        <w:rPr>
          <w:rFonts w:eastAsia="Arial Unicode MS"/>
          <w:sz w:val="24"/>
          <w:szCs w:val="24"/>
          <w:u w:color="000000"/>
        </w:rPr>
      </w:pPr>
    </w:p>
    <w:p w14:paraId="65A317CA" w14:textId="77777777" w:rsidR="00603C5F" w:rsidRDefault="00603C5F" w:rsidP="00B651A5">
      <w:pPr>
        <w:ind w:left="720"/>
        <w:rPr>
          <w:rFonts w:eastAsia="Arial Unicode MS"/>
          <w:sz w:val="24"/>
          <w:szCs w:val="24"/>
          <w:u w:color="000000"/>
        </w:rPr>
      </w:pPr>
    </w:p>
    <w:p w14:paraId="3CD489A8" w14:textId="30B15F57" w:rsidR="00F6498A" w:rsidRPr="0072690B" w:rsidRDefault="00F6498A" w:rsidP="00F6498A">
      <w:pPr>
        <w:ind w:left="720"/>
        <w:rPr>
          <w:rFonts w:eastAsia="Arial Unicode MS"/>
          <w:color w:val="0000FF"/>
          <w:sz w:val="24"/>
          <w:szCs w:val="24"/>
          <w:u w:val="single" w:color="0000FF"/>
        </w:rPr>
      </w:pPr>
      <w:r>
        <w:rPr>
          <w:rFonts w:eastAsia="Arial Unicode MS"/>
          <w:sz w:val="24"/>
          <w:szCs w:val="24"/>
          <w:u w:color="000000"/>
        </w:rPr>
        <w:t xml:space="preserve">There are no anticipated costs to respondents other than time. The U.S. median national </w:t>
      </w:r>
      <w:r w:rsidR="0077737F">
        <w:rPr>
          <w:rFonts w:eastAsia="Arial Unicode MS"/>
          <w:sz w:val="24"/>
          <w:szCs w:val="24"/>
          <w:u w:color="000000"/>
        </w:rPr>
        <w:t xml:space="preserve">hourly </w:t>
      </w:r>
      <w:r>
        <w:rPr>
          <w:rFonts w:eastAsia="Arial Unicode MS"/>
          <w:sz w:val="24"/>
          <w:szCs w:val="24"/>
          <w:u w:color="000000"/>
        </w:rPr>
        <w:t>wage for all occupations in 201</w:t>
      </w:r>
      <w:r w:rsidR="0077737F">
        <w:rPr>
          <w:rFonts w:eastAsia="Arial Unicode MS"/>
          <w:sz w:val="24"/>
          <w:szCs w:val="24"/>
          <w:u w:color="000000"/>
        </w:rPr>
        <w:t>3</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w:t>
      </w:r>
      <w:r w:rsidR="0077737F">
        <w:rPr>
          <w:rFonts w:eastAsia="Arial Unicode MS"/>
          <w:sz w:val="24"/>
          <w:szCs w:val="24"/>
          <w:u w:color="000000"/>
        </w:rPr>
        <w:t>16.87</w:t>
      </w:r>
      <w:r>
        <w:rPr>
          <w:rFonts w:eastAsia="Arial Unicode MS"/>
          <w:sz w:val="24"/>
          <w:szCs w:val="24"/>
          <w:u w:color="000000"/>
        </w:rPr>
        <w:t xml:space="preserve">.  This wage is assumed for all </w:t>
      </w:r>
      <w:r w:rsidR="0077737F">
        <w:rPr>
          <w:rFonts w:eastAsia="Arial Unicode MS"/>
          <w:sz w:val="24"/>
          <w:szCs w:val="24"/>
          <w:u w:color="000000"/>
        </w:rPr>
        <w:t xml:space="preserve">DORI </w:t>
      </w:r>
      <w:r>
        <w:rPr>
          <w:rFonts w:eastAsia="Arial Unicode MS"/>
          <w:sz w:val="24"/>
          <w:szCs w:val="24"/>
          <w:u w:color="000000"/>
        </w:rPr>
        <w:t>participants because of the variety of types of participants expect</w:t>
      </w:r>
      <w:bookmarkStart w:id="0" w:name="_GoBack"/>
      <w:bookmarkEnd w:id="0"/>
      <w:r w:rsidRPr="000E6CAF">
        <w:rPr>
          <w:rFonts w:eastAsia="Arial Unicode MS"/>
          <w:sz w:val="24"/>
          <w:szCs w:val="24"/>
          <w:u w:color="000000"/>
        </w:rPr>
        <w:t xml:space="preserve">ed. With a maximum annual respondent burden of </w:t>
      </w:r>
      <w:r w:rsidR="00370F59" w:rsidRPr="000E6CAF">
        <w:rPr>
          <w:rFonts w:eastAsia="Arial Unicode MS"/>
          <w:sz w:val="24"/>
          <w:szCs w:val="24"/>
          <w:u w:color="000000"/>
        </w:rPr>
        <w:t xml:space="preserve">1000 </w:t>
      </w:r>
      <w:r w:rsidRPr="000E6CAF">
        <w:rPr>
          <w:rFonts w:eastAsia="Arial Unicode MS"/>
          <w:sz w:val="24"/>
          <w:szCs w:val="24"/>
          <w:u w:color="000000"/>
        </w:rPr>
        <w:t>hours, the overall annual cost of respondents’ time for the proposed collection is estimated to be a maximum of $</w:t>
      </w:r>
      <w:r w:rsidR="00370F59" w:rsidRPr="000E6CAF">
        <w:rPr>
          <w:rFonts w:eastAsia="Arial Unicode MS"/>
          <w:sz w:val="24"/>
          <w:szCs w:val="24"/>
          <w:u w:color="000000"/>
        </w:rPr>
        <w:t>16</w:t>
      </w:r>
      <w:r w:rsidR="00935A6B" w:rsidRPr="000E6CAF">
        <w:rPr>
          <w:rFonts w:eastAsia="Arial Unicode MS"/>
          <w:sz w:val="24"/>
          <w:szCs w:val="24"/>
          <w:u w:color="000000"/>
        </w:rPr>
        <w:t>,</w:t>
      </w:r>
      <w:r w:rsidR="00370F59" w:rsidRPr="000E6CAF">
        <w:rPr>
          <w:rFonts w:eastAsia="Arial Unicode MS"/>
          <w:sz w:val="24"/>
          <w:szCs w:val="24"/>
          <w:u w:color="000000"/>
        </w:rPr>
        <w:t xml:space="preserve">870 </w:t>
      </w:r>
      <w:r w:rsidRPr="000E6CAF">
        <w:rPr>
          <w:rFonts w:eastAsia="Arial Unicode MS"/>
          <w:sz w:val="24"/>
          <w:szCs w:val="24"/>
          <w:u w:color="000000"/>
        </w:rPr>
        <w:t>(</w:t>
      </w:r>
      <w:r w:rsidR="00370F59" w:rsidRPr="000E6CAF">
        <w:rPr>
          <w:rFonts w:eastAsia="Arial Unicode MS"/>
          <w:sz w:val="24"/>
          <w:szCs w:val="24"/>
          <w:u w:color="000000"/>
        </w:rPr>
        <w:t xml:space="preserve">1000 </w:t>
      </w:r>
      <w:r w:rsidRPr="000E6CAF">
        <w:rPr>
          <w:rFonts w:eastAsia="Arial Unicode MS"/>
          <w:sz w:val="24"/>
          <w:szCs w:val="24"/>
          <w:u w:color="000000"/>
        </w:rPr>
        <w:t xml:space="preserve">burden hours </w:t>
      </w:r>
      <w:r w:rsidR="0077737F" w:rsidRPr="000E6CAF">
        <w:rPr>
          <w:rFonts w:eastAsia="Arial Unicode MS"/>
          <w:sz w:val="24"/>
          <w:szCs w:val="24"/>
          <w:u w:color="000000"/>
        </w:rPr>
        <w:t xml:space="preserve">x </w:t>
      </w:r>
      <w:r w:rsidRPr="000E6CAF">
        <w:rPr>
          <w:rFonts w:eastAsia="Arial Unicode MS"/>
          <w:sz w:val="24"/>
          <w:szCs w:val="24"/>
          <w:u w:color="000000"/>
        </w:rPr>
        <w:t>$</w:t>
      </w:r>
      <w:r w:rsidR="0077737F" w:rsidRPr="000E6CAF">
        <w:rPr>
          <w:rFonts w:eastAsia="Arial Unicode MS"/>
          <w:sz w:val="24"/>
          <w:szCs w:val="24"/>
          <w:u w:color="000000"/>
        </w:rPr>
        <w:t>16.87</w:t>
      </w:r>
      <w:r w:rsidRPr="000E6CAF">
        <w:rPr>
          <w:rFonts w:eastAsia="Arial Unicode MS"/>
          <w:sz w:val="24"/>
          <w:szCs w:val="24"/>
          <w:u w:color="000000"/>
        </w:rPr>
        <w:t>).</w:t>
      </w:r>
      <w:r>
        <w:rPr>
          <w:rFonts w:eastAsia="Arial Unicode MS"/>
          <w:sz w:val="24"/>
          <w:szCs w:val="24"/>
          <w:u w:color="000000"/>
        </w:rPr>
        <w:t xml:space="preserve">  </w:t>
      </w:r>
    </w:p>
    <w:p w14:paraId="40B1D3BD" w14:textId="77777777" w:rsidR="00F6498A" w:rsidRDefault="00F6498A" w:rsidP="00B651A5">
      <w:pPr>
        <w:ind w:left="720"/>
        <w:rPr>
          <w:rFonts w:eastAsia="Arial Unicode MS"/>
          <w:sz w:val="24"/>
          <w:szCs w:val="24"/>
          <w:u w:color="000000"/>
        </w:rPr>
      </w:pPr>
    </w:p>
    <w:p w14:paraId="0114CE1C" w14:textId="77777777" w:rsidR="00603C5F" w:rsidRDefault="00603C5F" w:rsidP="00B651A5">
      <w:pPr>
        <w:ind w:left="720"/>
        <w:rPr>
          <w:rFonts w:eastAsia="Arial Unicode MS"/>
          <w:sz w:val="24"/>
          <w:szCs w:val="24"/>
          <w:u w:color="000000"/>
        </w:rPr>
      </w:pPr>
      <w:r>
        <w:rPr>
          <w:rFonts w:eastAsia="Arial Unicode MS"/>
          <w:sz w:val="24"/>
          <w:szCs w:val="24"/>
          <w:u w:color="000000"/>
        </w:rPr>
        <w:t>Estimated Annualized Burden Costs</w:t>
      </w:r>
    </w:p>
    <w:p w14:paraId="1633B07C" w14:textId="77777777" w:rsidR="00603C5F" w:rsidRDefault="00603C5F" w:rsidP="00B651A5">
      <w:pPr>
        <w:ind w:left="720"/>
        <w:rPr>
          <w:rFonts w:eastAsia="Arial Unicode MS"/>
          <w:sz w:val="24"/>
          <w:szCs w:val="24"/>
          <w:u w:color="000000"/>
        </w:rPr>
      </w:pPr>
    </w:p>
    <w:tbl>
      <w:tblPr>
        <w:tblW w:w="11430"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350"/>
        <w:gridCol w:w="1440"/>
        <w:gridCol w:w="1530"/>
        <w:gridCol w:w="1530"/>
        <w:gridCol w:w="1530"/>
      </w:tblGrid>
      <w:tr w:rsidR="00603C5F" w:rsidRPr="00BF1A48" w14:paraId="1321BB68" w14:textId="77777777" w:rsidTr="0077737F">
        <w:trPr>
          <w:trHeight w:val="592"/>
        </w:trPr>
        <w:tc>
          <w:tcPr>
            <w:tcW w:w="1530" w:type="dxa"/>
            <w:tcBorders>
              <w:top w:val="single" w:sz="4" w:space="0" w:color="auto"/>
              <w:left w:val="single" w:sz="4" w:space="0" w:color="auto"/>
              <w:bottom w:val="single" w:sz="4" w:space="0" w:color="auto"/>
              <w:right w:val="single" w:sz="4" w:space="0" w:color="auto"/>
            </w:tcBorders>
            <w:hideMark/>
          </w:tcPr>
          <w:p w14:paraId="5806543F" w14:textId="77777777" w:rsidR="00603C5F" w:rsidRPr="00BF1A48" w:rsidRDefault="00603C5F" w:rsidP="00D11EB6">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05DADA02"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37EA23BE"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350" w:type="dxa"/>
            <w:tcBorders>
              <w:top w:val="single" w:sz="4" w:space="0" w:color="auto"/>
              <w:left w:val="single" w:sz="4" w:space="0" w:color="auto"/>
              <w:bottom w:val="single" w:sz="4" w:space="0" w:color="auto"/>
              <w:right w:val="single" w:sz="4" w:space="0" w:color="auto"/>
            </w:tcBorders>
            <w:hideMark/>
          </w:tcPr>
          <w:p w14:paraId="2C69FF86"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Responses per Respondent</w:t>
            </w:r>
          </w:p>
        </w:tc>
        <w:tc>
          <w:tcPr>
            <w:tcW w:w="1440" w:type="dxa"/>
            <w:tcBorders>
              <w:top w:val="single" w:sz="4" w:space="0" w:color="auto"/>
              <w:left w:val="single" w:sz="4" w:space="0" w:color="auto"/>
              <w:bottom w:val="single" w:sz="4" w:space="0" w:color="auto"/>
              <w:right w:val="single" w:sz="4" w:space="0" w:color="auto"/>
            </w:tcBorders>
            <w:hideMark/>
          </w:tcPr>
          <w:p w14:paraId="797C86CD"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394C5F7C"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c>
          <w:tcPr>
            <w:tcW w:w="1530" w:type="dxa"/>
            <w:tcBorders>
              <w:top w:val="single" w:sz="4" w:space="0" w:color="auto"/>
              <w:left w:val="single" w:sz="4" w:space="0" w:color="auto"/>
              <w:bottom w:val="single" w:sz="4" w:space="0" w:color="auto"/>
              <w:right w:val="single" w:sz="4" w:space="0" w:color="auto"/>
            </w:tcBorders>
          </w:tcPr>
          <w:p w14:paraId="41F7D903"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Hourly Wage</w:t>
            </w:r>
          </w:p>
        </w:tc>
        <w:tc>
          <w:tcPr>
            <w:tcW w:w="1530" w:type="dxa"/>
            <w:tcBorders>
              <w:top w:val="single" w:sz="4" w:space="0" w:color="auto"/>
              <w:left w:val="single" w:sz="4" w:space="0" w:color="auto"/>
              <w:bottom w:val="single" w:sz="4" w:space="0" w:color="auto"/>
              <w:right w:val="single" w:sz="4" w:space="0" w:color="auto"/>
            </w:tcBorders>
          </w:tcPr>
          <w:p w14:paraId="5C4D0E12"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Total Respondent Cost</w:t>
            </w:r>
          </w:p>
        </w:tc>
      </w:tr>
      <w:tr w:rsidR="00603C5F" w:rsidRPr="00BF1A48" w14:paraId="7F4587D6" w14:textId="77777777" w:rsidTr="0077737F">
        <w:trPr>
          <w:trHeight w:val="1512"/>
        </w:trPr>
        <w:tc>
          <w:tcPr>
            <w:tcW w:w="1530" w:type="dxa"/>
            <w:tcBorders>
              <w:top w:val="single" w:sz="4" w:space="0" w:color="auto"/>
              <w:left w:val="single" w:sz="4" w:space="0" w:color="auto"/>
              <w:bottom w:val="single" w:sz="4" w:space="0" w:color="auto"/>
              <w:right w:val="single" w:sz="4" w:space="0" w:color="auto"/>
            </w:tcBorders>
            <w:vAlign w:val="center"/>
          </w:tcPr>
          <w:p w14:paraId="101F49B8" w14:textId="77777777" w:rsidR="00603C5F" w:rsidRPr="00BF1A48" w:rsidRDefault="0077737F" w:rsidP="00D11EB6">
            <w:pPr>
              <w:rPr>
                <w:rFonts w:eastAsia="Arial Unicode MS"/>
                <w:color w:val="000000"/>
                <w:sz w:val="24"/>
                <w:szCs w:val="24"/>
                <w:u w:color="000000"/>
              </w:rPr>
            </w:pPr>
            <w:r>
              <w:rPr>
                <w:rFonts w:eastAsia="Arial Unicode MS"/>
                <w:color w:val="000000"/>
                <w:sz w:val="24"/>
                <w:szCs w:val="24"/>
                <w:u w:color="000000"/>
              </w:rPr>
              <w:t>Drug Overdose Response Investigation</w:t>
            </w:r>
            <w:r w:rsidRPr="00BF1A48">
              <w:rPr>
                <w:rFonts w:eastAsia="Arial Unicode MS"/>
                <w:color w:val="000000"/>
                <w:sz w:val="24"/>
                <w:szCs w:val="24"/>
                <w:u w:color="000000"/>
              </w:rPr>
              <w:t xml:space="preserve">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1B5BCF85" w14:textId="77777777" w:rsidR="00603C5F" w:rsidRPr="000E6CAF" w:rsidRDefault="0077737F" w:rsidP="00D11EB6">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DORI 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2C34D338" w14:textId="1FA35178" w:rsidR="00603C5F" w:rsidRPr="000E6CAF" w:rsidRDefault="00935A6B" w:rsidP="00370F59">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2</w:t>
            </w:r>
            <w:r w:rsidR="00370F59" w:rsidRPr="000E6CAF">
              <w:rPr>
                <w:rFonts w:eastAsia="Arial Unicode MS"/>
                <w:color w:val="000000"/>
                <w:sz w:val="24"/>
                <w:szCs w:val="24"/>
                <w:u w:color="000000"/>
              </w:rPr>
              <w:t>0</w:t>
            </w:r>
            <w:r w:rsidR="0077737F" w:rsidRPr="000E6CAF">
              <w:rPr>
                <w:rFonts w:eastAsia="Arial Unicode MS"/>
                <w:color w:val="000000"/>
                <w:sz w:val="24"/>
                <w:szCs w:val="24"/>
                <w:u w:color="000000"/>
              </w:rPr>
              <w:t>00</w:t>
            </w:r>
          </w:p>
        </w:tc>
        <w:tc>
          <w:tcPr>
            <w:tcW w:w="1350" w:type="dxa"/>
            <w:tcBorders>
              <w:top w:val="single" w:sz="4" w:space="0" w:color="auto"/>
              <w:left w:val="single" w:sz="4" w:space="0" w:color="auto"/>
              <w:bottom w:val="single" w:sz="4" w:space="0" w:color="auto"/>
              <w:right w:val="single" w:sz="4" w:space="0" w:color="auto"/>
            </w:tcBorders>
            <w:vAlign w:val="center"/>
          </w:tcPr>
          <w:p w14:paraId="0197E423" w14:textId="77777777" w:rsidR="00603C5F" w:rsidRPr="000E6CAF"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1</w:t>
            </w:r>
          </w:p>
        </w:tc>
        <w:tc>
          <w:tcPr>
            <w:tcW w:w="1440" w:type="dxa"/>
            <w:tcBorders>
              <w:top w:val="single" w:sz="4" w:space="0" w:color="auto"/>
              <w:left w:val="single" w:sz="4" w:space="0" w:color="auto"/>
              <w:bottom w:val="single" w:sz="4" w:space="0" w:color="auto"/>
              <w:right w:val="single" w:sz="4" w:space="0" w:color="auto"/>
            </w:tcBorders>
            <w:vAlign w:val="center"/>
          </w:tcPr>
          <w:p w14:paraId="3B17CF8F" w14:textId="77777777" w:rsidR="00603C5F" w:rsidRPr="000E6CAF"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0.5</w:t>
            </w:r>
          </w:p>
        </w:tc>
        <w:tc>
          <w:tcPr>
            <w:tcW w:w="1530" w:type="dxa"/>
            <w:tcBorders>
              <w:top w:val="single" w:sz="4" w:space="0" w:color="auto"/>
              <w:left w:val="single" w:sz="4" w:space="0" w:color="auto"/>
              <w:bottom w:val="single" w:sz="4" w:space="0" w:color="auto"/>
              <w:right w:val="single" w:sz="4" w:space="0" w:color="auto"/>
            </w:tcBorders>
            <w:vAlign w:val="center"/>
          </w:tcPr>
          <w:p w14:paraId="1B826750" w14:textId="0BB9653A" w:rsidR="00603C5F" w:rsidRPr="000E6CAF" w:rsidRDefault="0077737F" w:rsidP="00935A6B">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1</w:t>
            </w:r>
            <w:r w:rsidR="00370F59" w:rsidRPr="000E6CAF">
              <w:rPr>
                <w:rFonts w:eastAsia="Arial Unicode MS"/>
                <w:color w:val="000000"/>
                <w:sz w:val="24"/>
                <w:szCs w:val="24"/>
                <w:u w:color="000000"/>
              </w:rPr>
              <w:t>0</w:t>
            </w:r>
            <w:r w:rsidR="008B40CF" w:rsidRPr="000E6CAF">
              <w:rPr>
                <w:rFonts w:eastAsia="Arial Unicode MS"/>
                <w:color w:val="000000"/>
                <w:sz w:val="24"/>
                <w:szCs w:val="24"/>
                <w:u w:color="000000"/>
              </w:rPr>
              <w:t>0</w:t>
            </w:r>
            <w:r w:rsidR="00935A6B" w:rsidRPr="000E6CAF">
              <w:rPr>
                <w:rFonts w:eastAsia="Arial Unicode MS"/>
                <w:color w:val="000000"/>
                <w:sz w:val="24"/>
                <w:szCs w:val="24"/>
                <w:u w:color="000000"/>
              </w:rPr>
              <w:t>0</w:t>
            </w:r>
          </w:p>
        </w:tc>
        <w:tc>
          <w:tcPr>
            <w:tcW w:w="1530" w:type="dxa"/>
            <w:tcBorders>
              <w:top w:val="single" w:sz="4" w:space="0" w:color="auto"/>
              <w:left w:val="single" w:sz="4" w:space="0" w:color="auto"/>
              <w:bottom w:val="single" w:sz="4" w:space="0" w:color="auto"/>
              <w:right w:val="single" w:sz="4" w:space="0" w:color="auto"/>
            </w:tcBorders>
          </w:tcPr>
          <w:p w14:paraId="74C21624" w14:textId="77777777" w:rsidR="00603C5F" w:rsidRPr="000E6CAF" w:rsidRDefault="00603C5F" w:rsidP="00D11EB6">
            <w:pPr>
              <w:widowControl w:val="0"/>
              <w:tabs>
                <w:tab w:val="left" w:pos="0"/>
              </w:tabs>
              <w:autoSpaceDE w:val="0"/>
              <w:autoSpaceDN w:val="0"/>
              <w:adjustRightInd w:val="0"/>
              <w:jc w:val="center"/>
              <w:rPr>
                <w:rFonts w:eastAsia="Arial Unicode MS"/>
                <w:color w:val="000000"/>
                <w:sz w:val="24"/>
                <w:szCs w:val="24"/>
                <w:u w:color="000000"/>
              </w:rPr>
            </w:pPr>
          </w:p>
          <w:p w14:paraId="54D8581D" w14:textId="77777777" w:rsidR="0077737F" w:rsidRPr="000E6CAF" w:rsidRDefault="0077737F" w:rsidP="00D11EB6">
            <w:pPr>
              <w:widowControl w:val="0"/>
              <w:tabs>
                <w:tab w:val="left" w:pos="0"/>
              </w:tabs>
              <w:autoSpaceDE w:val="0"/>
              <w:autoSpaceDN w:val="0"/>
              <w:adjustRightInd w:val="0"/>
              <w:jc w:val="center"/>
              <w:rPr>
                <w:rFonts w:eastAsia="Arial Unicode MS"/>
                <w:color w:val="000000"/>
                <w:sz w:val="24"/>
                <w:szCs w:val="24"/>
                <w:u w:color="000000"/>
              </w:rPr>
            </w:pPr>
          </w:p>
          <w:p w14:paraId="0AB94640" w14:textId="77777777" w:rsidR="0077737F" w:rsidRPr="000E6CAF" w:rsidRDefault="0077737F" w:rsidP="00D11EB6">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$16.87</w:t>
            </w:r>
          </w:p>
        </w:tc>
        <w:tc>
          <w:tcPr>
            <w:tcW w:w="1530" w:type="dxa"/>
            <w:tcBorders>
              <w:top w:val="single" w:sz="4" w:space="0" w:color="auto"/>
              <w:left w:val="single" w:sz="4" w:space="0" w:color="auto"/>
              <w:bottom w:val="single" w:sz="4" w:space="0" w:color="auto"/>
              <w:right w:val="single" w:sz="4" w:space="0" w:color="auto"/>
            </w:tcBorders>
          </w:tcPr>
          <w:p w14:paraId="00C8C671" w14:textId="77777777" w:rsidR="00603C5F" w:rsidRPr="000E6CAF" w:rsidRDefault="00603C5F" w:rsidP="00D11EB6">
            <w:pPr>
              <w:widowControl w:val="0"/>
              <w:tabs>
                <w:tab w:val="left" w:pos="0"/>
              </w:tabs>
              <w:autoSpaceDE w:val="0"/>
              <w:autoSpaceDN w:val="0"/>
              <w:adjustRightInd w:val="0"/>
              <w:jc w:val="center"/>
              <w:rPr>
                <w:rFonts w:eastAsia="Arial Unicode MS"/>
                <w:color w:val="000000"/>
                <w:sz w:val="24"/>
                <w:szCs w:val="24"/>
                <w:u w:color="000000"/>
              </w:rPr>
            </w:pPr>
          </w:p>
          <w:p w14:paraId="31719194" w14:textId="77777777" w:rsidR="0077737F" w:rsidRPr="000E6CAF" w:rsidRDefault="0077737F" w:rsidP="00D11EB6">
            <w:pPr>
              <w:widowControl w:val="0"/>
              <w:tabs>
                <w:tab w:val="left" w:pos="0"/>
              </w:tabs>
              <w:autoSpaceDE w:val="0"/>
              <w:autoSpaceDN w:val="0"/>
              <w:adjustRightInd w:val="0"/>
              <w:jc w:val="center"/>
              <w:rPr>
                <w:rFonts w:eastAsia="Arial Unicode MS"/>
                <w:color w:val="000000"/>
                <w:sz w:val="24"/>
                <w:szCs w:val="24"/>
                <w:u w:color="000000"/>
              </w:rPr>
            </w:pPr>
          </w:p>
          <w:p w14:paraId="6CEA9AE7" w14:textId="48E5930D" w:rsidR="0077737F" w:rsidRPr="000E6CAF" w:rsidRDefault="0077737F" w:rsidP="00370F59">
            <w:pPr>
              <w:widowControl w:val="0"/>
              <w:tabs>
                <w:tab w:val="left" w:pos="0"/>
              </w:tabs>
              <w:autoSpaceDE w:val="0"/>
              <w:autoSpaceDN w:val="0"/>
              <w:adjustRightInd w:val="0"/>
              <w:jc w:val="center"/>
              <w:rPr>
                <w:rFonts w:eastAsia="Arial Unicode MS"/>
                <w:color w:val="000000"/>
                <w:sz w:val="24"/>
                <w:szCs w:val="24"/>
                <w:u w:color="000000"/>
              </w:rPr>
            </w:pPr>
            <w:r w:rsidRPr="000E6CAF">
              <w:rPr>
                <w:rFonts w:eastAsia="Arial Unicode MS"/>
                <w:color w:val="000000"/>
                <w:sz w:val="24"/>
                <w:szCs w:val="24"/>
                <w:u w:color="000000"/>
              </w:rPr>
              <w:t>$</w:t>
            </w:r>
            <w:r w:rsidR="00370F59" w:rsidRPr="000E6CAF">
              <w:rPr>
                <w:rFonts w:eastAsia="Arial Unicode MS"/>
                <w:color w:val="000000"/>
                <w:sz w:val="24"/>
                <w:szCs w:val="24"/>
                <w:u w:color="000000"/>
              </w:rPr>
              <w:t>16</w:t>
            </w:r>
            <w:r w:rsidR="00935A6B" w:rsidRPr="000E6CAF">
              <w:rPr>
                <w:rFonts w:eastAsia="Arial Unicode MS"/>
                <w:color w:val="000000"/>
                <w:sz w:val="24"/>
                <w:szCs w:val="24"/>
                <w:u w:color="000000"/>
              </w:rPr>
              <w:t>,</w:t>
            </w:r>
            <w:r w:rsidR="00370F59" w:rsidRPr="000E6CAF">
              <w:rPr>
                <w:rFonts w:eastAsia="Arial Unicode MS"/>
                <w:color w:val="000000"/>
                <w:sz w:val="24"/>
                <w:szCs w:val="24"/>
                <w:u w:color="000000"/>
              </w:rPr>
              <w:t>870</w:t>
            </w:r>
          </w:p>
        </w:tc>
      </w:tr>
      <w:tr w:rsidR="00603C5F" w:rsidRPr="00BF1A48" w14:paraId="059795F0" w14:textId="77777777" w:rsidTr="0077737F">
        <w:trPr>
          <w:trHeight w:val="263"/>
        </w:trPr>
        <w:tc>
          <w:tcPr>
            <w:tcW w:w="1530" w:type="dxa"/>
            <w:tcBorders>
              <w:top w:val="single" w:sz="4" w:space="0" w:color="auto"/>
              <w:left w:val="single" w:sz="4" w:space="0" w:color="auto"/>
              <w:bottom w:val="single" w:sz="4" w:space="0" w:color="auto"/>
              <w:right w:val="single" w:sz="4" w:space="0" w:color="auto"/>
            </w:tcBorders>
            <w:vAlign w:val="center"/>
          </w:tcPr>
          <w:p w14:paraId="29792557"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14:paraId="279A332E" w14:textId="77777777" w:rsidR="00603C5F" w:rsidRPr="00BF1A48" w:rsidRDefault="00603C5F" w:rsidP="00D11EB6">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Total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AA2481" w14:textId="77777777" w:rsidR="00603C5F" w:rsidRPr="00BF1A48" w:rsidRDefault="0077737F" w:rsidP="00935A6B">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r w:rsidR="00935A6B">
              <w:rPr>
                <w:rFonts w:eastAsia="Arial Unicode MS"/>
                <w:color w:val="000000"/>
                <w:sz w:val="24"/>
                <w:szCs w:val="24"/>
                <w:u w:color="000000"/>
              </w:rPr>
              <w:t>350</w:t>
            </w:r>
          </w:p>
        </w:tc>
        <w:tc>
          <w:tcPr>
            <w:tcW w:w="1530" w:type="dxa"/>
            <w:tcBorders>
              <w:top w:val="single" w:sz="4" w:space="0" w:color="auto"/>
              <w:left w:val="single" w:sz="4" w:space="0" w:color="auto"/>
              <w:bottom w:val="single" w:sz="4" w:space="0" w:color="auto"/>
              <w:right w:val="single" w:sz="4" w:space="0" w:color="auto"/>
            </w:tcBorders>
          </w:tcPr>
          <w:p w14:paraId="57475CED" w14:textId="77777777" w:rsidR="00603C5F" w:rsidRDefault="00603C5F" w:rsidP="00D11EB6">
            <w:pPr>
              <w:widowControl w:val="0"/>
              <w:tabs>
                <w:tab w:val="left" w:pos="0"/>
              </w:tabs>
              <w:autoSpaceDE w:val="0"/>
              <w:autoSpaceDN w:val="0"/>
              <w:adjustRightInd w:val="0"/>
              <w:jc w:val="center"/>
              <w:rPr>
                <w:rFonts w:eastAsia="Arial Unicode MS"/>
                <w:color w:val="000000"/>
                <w:sz w:val="24"/>
                <w:szCs w:val="24"/>
                <w:u w:color="000000"/>
              </w:rPr>
            </w:pPr>
          </w:p>
        </w:tc>
        <w:tc>
          <w:tcPr>
            <w:tcW w:w="1530" w:type="dxa"/>
            <w:tcBorders>
              <w:top w:val="single" w:sz="4" w:space="0" w:color="auto"/>
              <w:left w:val="single" w:sz="4" w:space="0" w:color="auto"/>
              <w:bottom w:val="single" w:sz="4" w:space="0" w:color="auto"/>
              <w:right w:val="single" w:sz="4" w:space="0" w:color="auto"/>
            </w:tcBorders>
          </w:tcPr>
          <w:p w14:paraId="67C4D7CC" w14:textId="77777777" w:rsidR="00603C5F" w:rsidRDefault="00603C5F" w:rsidP="00D11EB6">
            <w:pPr>
              <w:widowControl w:val="0"/>
              <w:tabs>
                <w:tab w:val="left" w:pos="0"/>
              </w:tabs>
              <w:autoSpaceDE w:val="0"/>
              <w:autoSpaceDN w:val="0"/>
              <w:adjustRightInd w:val="0"/>
              <w:jc w:val="center"/>
              <w:rPr>
                <w:rFonts w:eastAsia="Arial Unicode MS"/>
                <w:color w:val="000000"/>
                <w:sz w:val="24"/>
                <w:szCs w:val="24"/>
                <w:u w:color="000000"/>
              </w:rPr>
            </w:pPr>
          </w:p>
        </w:tc>
      </w:tr>
    </w:tbl>
    <w:p w14:paraId="235FD016" w14:textId="77777777" w:rsidR="00603C5F" w:rsidRDefault="00603C5F" w:rsidP="00B651A5">
      <w:pPr>
        <w:ind w:left="720"/>
        <w:rPr>
          <w:rFonts w:eastAsia="Arial Unicode MS"/>
          <w:sz w:val="24"/>
          <w:szCs w:val="24"/>
          <w:u w:color="000000"/>
        </w:rPr>
      </w:pPr>
    </w:p>
    <w:p w14:paraId="2DBEA2CD" w14:textId="77777777" w:rsidR="00603C5F" w:rsidRDefault="00603C5F" w:rsidP="00B651A5">
      <w:pPr>
        <w:ind w:left="720"/>
        <w:rPr>
          <w:rFonts w:eastAsia="Arial Unicode MS"/>
          <w:sz w:val="24"/>
          <w:szCs w:val="24"/>
          <w:u w:color="000000"/>
        </w:rPr>
      </w:pPr>
    </w:p>
    <w:p w14:paraId="05785EE7" w14:textId="77777777" w:rsidR="001A3A81" w:rsidRPr="00B651A5" w:rsidRDefault="00270413" w:rsidP="00B651A5">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001A3A81" w:rsidRPr="00B651A5">
        <w:rPr>
          <w:rFonts w:eastAsia="Arial Unicode MS"/>
          <w:b/>
          <w:sz w:val="24"/>
          <w:szCs w:val="24"/>
          <w:u w:color="000000"/>
        </w:rPr>
        <w:t>Estimate</w:t>
      </w:r>
      <w:r w:rsidRPr="00B651A5">
        <w:rPr>
          <w:rFonts w:eastAsia="Arial Unicode MS"/>
          <w:b/>
          <w:sz w:val="24"/>
          <w:szCs w:val="24"/>
          <w:u w:color="000000"/>
        </w:rPr>
        <w:t>s</w:t>
      </w:r>
      <w:r w:rsidR="001A3A81" w:rsidRPr="00B651A5">
        <w:rPr>
          <w:rFonts w:eastAsia="Arial Unicode MS"/>
          <w:b/>
          <w:sz w:val="24"/>
          <w:szCs w:val="24"/>
          <w:u w:color="000000"/>
        </w:rPr>
        <w:t xml:space="preserve"> of Other Total Annual Cost Burden to Respondents or Record </w:t>
      </w:r>
      <w:r w:rsidRPr="00B651A5">
        <w:rPr>
          <w:rFonts w:eastAsia="Arial Unicode MS"/>
          <w:b/>
          <w:sz w:val="24"/>
          <w:szCs w:val="24"/>
          <w:u w:color="000000"/>
        </w:rPr>
        <w:t>K</w:t>
      </w:r>
      <w:r w:rsidR="001A3A81" w:rsidRPr="00B651A5">
        <w:rPr>
          <w:rFonts w:eastAsia="Arial Unicode MS"/>
          <w:b/>
          <w:sz w:val="24"/>
          <w:szCs w:val="24"/>
          <w:u w:color="000000"/>
        </w:rPr>
        <w:t>eepers</w:t>
      </w:r>
    </w:p>
    <w:p w14:paraId="75DD81E1" w14:textId="77777777" w:rsidR="0041615D" w:rsidRPr="0072690B" w:rsidRDefault="00D60161" w:rsidP="00A10978">
      <w:pPr>
        <w:rPr>
          <w:rFonts w:eastAsia="Arial Unicode MS"/>
          <w:sz w:val="24"/>
          <w:szCs w:val="24"/>
          <w:u w:color="000000"/>
        </w:rPr>
      </w:pPr>
      <w:r w:rsidRPr="0072690B">
        <w:rPr>
          <w:rFonts w:eastAsia="Arial Unicode MS"/>
          <w:sz w:val="24"/>
          <w:szCs w:val="24"/>
          <w:u w:color="000000"/>
        </w:rPr>
        <w:tab/>
      </w:r>
    </w:p>
    <w:p w14:paraId="4DCC9D42" w14:textId="77777777" w:rsidR="00853852" w:rsidRDefault="00853852" w:rsidP="0041615D">
      <w:pPr>
        <w:ind w:left="720"/>
        <w:rPr>
          <w:rFonts w:eastAsia="Arial Unicode MS"/>
          <w:sz w:val="24"/>
          <w:szCs w:val="24"/>
          <w:u w:color="000000"/>
        </w:rPr>
      </w:pPr>
      <w:r w:rsidRPr="00853852">
        <w:rPr>
          <w:rFonts w:eastAsia="Arial Unicode MS"/>
          <w:sz w:val="24"/>
          <w:szCs w:val="24"/>
          <w:u w:color="000000"/>
        </w:rPr>
        <w:lastRenderedPageBreak/>
        <w:t>Respondents will incur no capital or maintenance costs.</w:t>
      </w:r>
    </w:p>
    <w:p w14:paraId="3DB9C505" w14:textId="77777777" w:rsidR="00F6498A" w:rsidRPr="0072690B" w:rsidRDefault="00F6498A" w:rsidP="0041615D">
      <w:pPr>
        <w:ind w:left="720"/>
        <w:rPr>
          <w:rFonts w:eastAsia="Arial Unicode MS"/>
          <w:sz w:val="24"/>
          <w:szCs w:val="24"/>
          <w:u w:color="000000"/>
        </w:rPr>
      </w:pPr>
    </w:p>
    <w:p w14:paraId="1AC814B4" w14:textId="77777777" w:rsidR="001A3A81" w:rsidRPr="00B651A5" w:rsidRDefault="00B505CE" w:rsidP="00B651A5">
      <w:pPr>
        <w:rPr>
          <w:rFonts w:eastAsia="Arial Unicode MS"/>
          <w:b/>
          <w:sz w:val="24"/>
          <w:szCs w:val="24"/>
          <w:u w:color="000000"/>
        </w:rPr>
      </w:pPr>
      <w:r w:rsidRPr="00B651A5">
        <w:rPr>
          <w:rFonts w:eastAsia="Arial Unicode MS"/>
          <w:b/>
          <w:sz w:val="24"/>
          <w:szCs w:val="24"/>
          <w:u w:color="000000"/>
        </w:rPr>
        <w:t xml:space="preserve">14. </w:t>
      </w:r>
      <w:r w:rsidR="007A226A" w:rsidRPr="00B651A5">
        <w:rPr>
          <w:rFonts w:eastAsia="Arial Unicode MS"/>
          <w:b/>
          <w:sz w:val="24"/>
          <w:szCs w:val="24"/>
          <w:u w:color="000000"/>
        </w:rPr>
        <w:tab/>
      </w:r>
      <w:r w:rsidR="001A3A81" w:rsidRPr="00B651A5">
        <w:rPr>
          <w:rFonts w:eastAsia="Arial Unicode MS"/>
          <w:b/>
          <w:sz w:val="24"/>
          <w:szCs w:val="24"/>
          <w:u w:color="000000"/>
        </w:rPr>
        <w:t>Annualized Cost to the Government</w:t>
      </w:r>
    </w:p>
    <w:p w14:paraId="08CF0699" w14:textId="77777777" w:rsidR="007A226A" w:rsidRPr="0072690B" w:rsidRDefault="007A226A" w:rsidP="00B651A5">
      <w:pPr>
        <w:ind w:left="720"/>
        <w:rPr>
          <w:rFonts w:eastAsia="Arial Unicode MS"/>
          <w:sz w:val="24"/>
          <w:szCs w:val="24"/>
          <w:u w:color="000000"/>
        </w:rPr>
      </w:pPr>
    </w:p>
    <w:p w14:paraId="093CE0D2" w14:textId="77777777" w:rsidR="002F6447" w:rsidRDefault="008021C0" w:rsidP="002F6447">
      <w:pPr>
        <w:ind w:left="720"/>
        <w:rPr>
          <w:rFonts w:eastAsia="Arial Unicode MS"/>
          <w:sz w:val="24"/>
          <w:szCs w:val="24"/>
          <w:u w:color="000000"/>
        </w:rPr>
      </w:pPr>
      <w:r>
        <w:rPr>
          <w:rFonts w:eastAsia="Arial Unicode MS"/>
          <w:sz w:val="24"/>
          <w:szCs w:val="24"/>
          <w:u w:color="000000"/>
        </w:rPr>
        <w:t xml:space="preserve">There are no equipment or overhead costs. </w:t>
      </w:r>
      <w:r w:rsidR="002F6447" w:rsidRPr="0072690B">
        <w:rPr>
          <w:rFonts w:eastAsia="Arial Unicode MS"/>
          <w:sz w:val="24"/>
          <w:szCs w:val="24"/>
          <w:u w:color="000000"/>
        </w:rPr>
        <w:t>The cost factors considered are related to routine procedures of the investigators in planning investigations; design, preparation, printing, and distribution of questionnaires; and editing, coding, tabulation, analysis, and presentation of the information. Th</w:t>
      </w:r>
      <w:r w:rsidR="002F6447" w:rsidRPr="006E754B">
        <w:rPr>
          <w:rFonts w:eastAsia="Arial Unicode MS"/>
          <w:sz w:val="24"/>
          <w:szCs w:val="24"/>
          <w:u w:color="000000"/>
        </w:rPr>
        <w:t>e annual cost is estimated based on the U.S. national average hourly wage for epidemiologists</w:t>
      </w:r>
      <w:r w:rsidR="002B00A1">
        <w:rPr>
          <w:rFonts w:eastAsia="Arial Unicode MS"/>
          <w:sz w:val="24"/>
          <w:szCs w:val="24"/>
          <w:u w:color="000000"/>
        </w:rPr>
        <w:t xml:space="preserve"> in 201</w:t>
      </w:r>
      <w:r w:rsidR="00E42377">
        <w:rPr>
          <w:rFonts w:eastAsia="Arial Unicode MS"/>
          <w:sz w:val="24"/>
          <w:szCs w:val="24"/>
          <w:u w:color="000000"/>
        </w:rPr>
        <w:t>3</w:t>
      </w:r>
      <w:r w:rsidR="002F6447" w:rsidRPr="006E754B">
        <w:rPr>
          <w:rFonts w:eastAsia="Arial Unicode MS"/>
          <w:sz w:val="24"/>
          <w:szCs w:val="24"/>
          <w:u w:color="000000"/>
        </w:rPr>
        <w:t xml:space="preserve"> ($</w:t>
      </w:r>
      <w:r w:rsidR="00E42377">
        <w:rPr>
          <w:rFonts w:eastAsia="Arial Unicode MS"/>
          <w:sz w:val="24"/>
          <w:szCs w:val="24"/>
          <w:u w:color="000000"/>
        </w:rPr>
        <w:t>35</w:t>
      </w:r>
      <w:r w:rsidR="002F6447" w:rsidRPr="006E754B">
        <w:rPr>
          <w:rFonts w:eastAsia="Arial Unicode MS"/>
          <w:sz w:val="24"/>
          <w:szCs w:val="24"/>
          <w:u w:color="000000"/>
        </w:rPr>
        <w:t>.</w:t>
      </w:r>
      <w:r w:rsidR="00E42377">
        <w:rPr>
          <w:rFonts w:eastAsia="Arial Unicode MS"/>
          <w:sz w:val="24"/>
          <w:szCs w:val="24"/>
          <w:u w:color="000000"/>
        </w:rPr>
        <w:t>11</w:t>
      </w:r>
      <w:r w:rsidR="002F6447" w:rsidRPr="0072690B">
        <w:rPr>
          <w:rFonts w:eastAsia="Arial Unicode MS"/>
          <w:sz w:val="24"/>
          <w:szCs w:val="24"/>
          <w:u w:color="000000"/>
        </w:rPr>
        <w:t xml:space="preserve">) </w:t>
      </w:r>
      <w:r w:rsidR="00884221">
        <w:rPr>
          <w:rFonts w:eastAsia="Arial Unicode MS"/>
          <w:sz w:val="24"/>
          <w:szCs w:val="24"/>
          <w:u w:color="000000"/>
        </w:rPr>
        <w:t>based on data from the Bureau of Labor Statistics (available at</w:t>
      </w:r>
      <w:r w:rsidR="00884221">
        <w:rPr>
          <w:rFonts w:eastAsia="Arial Unicode MS"/>
          <w:color w:val="0000FF"/>
          <w:sz w:val="24"/>
          <w:szCs w:val="24"/>
          <w:u w:val="single" w:color="0000FF"/>
        </w:rPr>
        <w:t xml:space="preserve"> </w:t>
      </w:r>
      <w:r w:rsidR="00884221" w:rsidRPr="00884221">
        <w:rPr>
          <w:rFonts w:eastAsia="Arial Unicode MS"/>
          <w:color w:val="0000FF"/>
          <w:sz w:val="24"/>
          <w:szCs w:val="24"/>
          <w:u w:val="single" w:color="0000FF"/>
        </w:rPr>
        <w:t>http://www.bls.gov/oes/current/oes_nat.htm#00-0000</w:t>
      </w:r>
      <w:r w:rsidR="00884221">
        <w:rPr>
          <w:rFonts w:eastAsia="Arial Unicode MS"/>
          <w:color w:val="0000FF"/>
          <w:sz w:val="24"/>
          <w:szCs w:val="24"/>
          <w:u w:val="single" w:color="0000FF"/>
        </w:rPr>
        <w:t>)</w:t>
      </w:r>
      <w:r w:rsidR="002F6447" w:rsidRPr="0072690B">
        <w:rPr>
          <w:rFonts w:eastAsia="Arial Unicode MS"/>
          <w:color w:val="0000FF"/>
          <w:sz w:val="24"/>
          <w:szCs w:val="24"/>
          <w:u w:val="single" w:color="0000FF"/>
        </w:rPr>
        <w:t>.</w:t>
      </w:r>
      <w:r w:rsidR="002F6447">
        <w:rPr>
          <w:rFonts w:eastAsia="Arial Unicode MS"/>
          <w:color w:val="0000FF"/>
          <w:sz w:val="24"/>
          <w:szCs w:val="24"/>
          <w:u w:val="single" w:color="0000FF"/>
        </w:rPr>
        <w:t xml:space="preserve"> </w:t>
      </w:r>
      <w:r w:rsidR="002F6447" w:rsidRPr="0072690B">
        <w:rPr>
          <w:rFonts w:eastAsia="Arial Unicode MS"/>
          <w:color w:val="0000FF"/>
          <w:sz w:val="24"/>
          <w:szCs w:val="24"/>
          <w:u w:val="single" w:color="0000FF"/>
        </w:rPr>
        <w:t xml:space="preserve"> </w:t>
      </w:r>
      <w:r w:rsidR="002F6447"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FA7520">
        <w:rPr>
          <w:rFonts w:eastAsia="Arial Unicode MS"/>
          <w:sz w:val="24"/>
          <w:szCs w:val="24"/>
          <w:u w:color="000000"/>
        </w:rPr>
        <w:t>200</w:t>
      </w:r>
      <w:r w:rsidR="00274FA8">
        <w:rPr>
          <w:rFonts w:eastAsia="Arial Unicode MS"/>
          <w:sz w:val="24"/>
          <w:szCs w:val="24"/>
          <w:u w:color="000000"/>
        </w:rPr>
        <w:t xml:space="preserve"> hours per </w:t>
      </w:r>
      <w:r w:rsidR="00E42377">
        <w:rPr>
          <w:rFonts w:eastAsia="Arial Unicode MS"/>
          <w:sz w:val="24"/>
          <w:szCs w:val="24"/>
          <w:u w:color="000000"/>
        </w:rPr>
        <w:t>DORI</w:t>
      </w:r>
      <w:r w:rsidR="002F6447" w:rsidRPr="0057310B">
        <w:rPr>
          <w:rFonts w:eastAsia="Arial Unicode MS"/>
          <w:sz w:val="24"/>
          <w:szCs w:val="24"/>
          <w:u w:color="000000"/>
        </w:rPr>
        <w:t xml:space="preserve">, </w:t>
      </w:r>
      <w:r w:rsidR="00FA7520">
        <w:rPr>
          <w:rFonts w:eastAsia="Arial Unicode MS"/>
          <w:sz w:val="24"/>
          <w:szCs w:val="24"/>
          <w:u w:color="000000"/>
        </w:rPr>
        <w:t>f</w:t>
      </w:r>
      <w:r w:rsidR="002F6447" w:rsidRPr="0057310B">
        <w:rPr>
          <w:rFonts w:eastAsia="Arial Unicode MS"/>
          <w:sz w:val="24"/>
          <w:szCs w:val="24"/>
          <w:u w:color="000000"/>
        </w:rPr>
        <w:t>or a total annualized co</w:t>
      </w:r>
      <w:r w:rsidR="00733369">
        <w:rPr>
          <w:rFonts w:eastAsia="Arial Unicode MS"/>
          <w:sz w:val="24"/>
          <w:szCs w:val="24"/>
          <w:u w:color="000000"/>
        </w:rPr>
        <w:t>st to the Government of $</w:t>
      </w:r>
      <w:r w:rsidR="00E42377">
        <w:rPr>
          <w:rFonts w:eastAsia="Arial Unicode MS"/>
          <w:sz w:val="24"/>
          <w:szCs w:val="24"/>
          <w:u w:color="000000"/>
        </w:rPr>
        <w:t xml:space="preserve">70,220 </w:t>
      </w:r>
      <w:r w:rsidR="00733369">
        <w:rPr>
          <w:rFonts w:eastAsia="Arial Unicode MS"/>
          <w:sz w:val="24"/>
          <w:szCs w:val="24"/>
          <w:u w:color="000000"/>
        </w:rPr>
        <w:t>(</w:t>
      </w:r>
      <w:r w:rsidR="00F07F10">
        <w:rPr>
          <w:rFonts w:eastAsia="Arial Unicode MS"/>
          <w:sz w:val="24"/>
          <w:szCs w:val="24"/>
          <w:u w:color="000000"/>
        </w:rPr>
        <w:t>see Table A-14.1)</w:t>
      </w:r>
      <w:r w:rsidR="002F6447" w:rsidRPr="0057310B">
        <w:rPr>
          <w:rFonts w:eastAsia="Arial Unicode MS"/>
          <w:sz w:val="24"/>
          <w:szCs w:val="24"/>
          <w:u w:color="000000"/>
        </w:rPr>
        <w:t>.</w:t>
      </w:r>
    </w:p>
    <w:p w14:paraId="7F898578" w14:textId="77777777" w:rsidR="00F07F10" w:rsidRDefault="00F07F10" w:rsidP="002F6447">
      <w:pPr>
        <w:ind w:left="720"/>
        <w:rPr>
          <w:rFonts w:eastAsia="Arial Unicode MS"/>
          <w:sz w:val="24"/>
          <w:szCs w:val="24"/>
          <w:u w:color="000000"/>
        </w:rPr>
      </w:pPr>
    </w:p>
    <w:p w14:paraId="59D23ABD" w14:textId="77777777" w:rsidR="002E2629" w:rsidRDefault="002E2629" w:rsidP="002F6447">
      <w:pPr>
        <w:ind w:left="720"/>
        <w:rPr>
          <w:rFonts w:eastAsia="Arial Unicode MS"/>
          <w:sz w:val="24"/>
          <w:szCs w:val="24"/>
          <w:u w:color="000000"/>
        </w:rPr>
      </w:pPr>
      <w:r>
        <w:rPr>
          <w:rFonts w:eastAsia="Arial Unicode MS"/>
          <w:sz w:val="24"/>
          <w:szCs w:val="24"/>
          <w:u w:color="000000"/>
        </w:rPr>
        <w:t>Table A-14.1 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10"/>
        <w:gridCol w:w="1800"/>
        <w:gridCol w:w="1530"/>
      </w:tblGrid>
      <w:tr w:rsidR="00F07F10" w:rsidRPr="00D55D38" w14:paraId="7E9A94C6" w14:textId="77777777" w:rsidTr="00D55D38">
        <w:tc>
          <w:tcPr>
            <w:tcW w:w="1998" w:type="dxa"/>
            <w:shd w:val="clear" w:color="auto" w:fill="auto"/>
          </w:tcPr>
          <w:p w14:paraId="71243F19" w14:textId="77777777" w:rsidR="00F07F10" w:rsidRPr="00D55D38" w:rsidRDefault="00F07F10" w:rsidP="00F07F10">
            <w:pPr>
              <w:rPr>
                <w:rFonts w:eastAsia="Arial Unicode MS"/>
                <w:sz w:val="24"/>
                <w:szCs w:val="24"/>
                <w:u w:color="000000"/>
              </w:rPr>
            </w:pPr>
            <w:r w:rsidRPr="00D55D38">
              <w:rPr>
                <w:rFonts w:eastAsia="Arial Unicode MS"/>
                <w:sz w:val="24"/>
                <w:szCs w:val="24"/>
                <w:u w:color="000000"/>
              </w:rPr>
              <w:t>Staff or Contractor</w:t>
            </w:r>
          </w:p>
        </w:tc>
        <w:tc>
          <w:tcPr>
            <w:tcW w:w="1800" w:type="dxa"/>
            <w:shd w:val="clear" w:color="auto" w:fill="auto"/>
          </w:tcPr>
          <w:p w14:paraId="16958524" w14:textId="77777777" w:rsidR="00F07F10" w:rsidRPr="00D55D38" w:rsidRDefault="00F07F10" w:rsidP="00E42377">
            <w:pPr>
              <w:rPr>
                <w:rFonts w:eastAsia="Arial Unicode MS"/>
                <w:sz w:val="24"/>
                <w:szCs w:val="24"/>
                <w:u w:color="000000"/>
              </w:rPr>
            </w:pPr>
            <w:r w:rsidRPr="00D55D38">
              <w:rPr>
                <w:rFonts w:eastAsia="Arial Unicode MS"/>
                <w:sz w:val="24"/>
                <w:szCs w:val="24"/>
                <w:u w:color="000000"/>
              </w:rPr>
              <w:t xml:space="preserve">Average Hours per </w:t>
            </w:r>
            <w:r w:rsidR="00E42377">
              <w:rPr>
                <w:rFonts w:eastAsia="Arial Unicode MS"/>
                <w:sz w:val="24"/>
                <w:szCs w:val="24"/>
                <w:u w:color="000000"/>
              </w:rPr>
              <w:t>DORI</w:t>
            </w:r>
          </w:p>
        </w:tc>
        <w:tc>
          <w:tcPr>
            <w:tcW w:w="1710" w:type="dxa"/>
            <w:shd w:val="clear" w:color="auto" w:fill="auto"/>
          </w:tcPr>
          <w:p w14:paraId="01216EA7" w14:textId="77777777" w:rsidR="00F07F10" w:rsidRPr="00D55D38" w:rsidRDefault="00066150" w:rsidP="002F6447">
            <w:pPr>
              <w:rPr>
                <w:rFonts w:eastAsia="Arial Unicode MS"/>
                <w:sz w:val="24"/>
                <w:szCs w:val="24"/>
                <w:u w:color="000000"/>
              </w:rPr>
            </w:pPr>
            <w:r w:rsidRPr="00D55D38">
              <w:rPr>
                <w:rFonts w:eastAsia="Arial Unicode MS"/>
                <w:sz w:val="24"/>
                <w:szCs w:val="24"/>
                <w:u w:color="000000"/>
              </w:rPr>
              <w:t>Average Hourly Rate</w:t>
            </w:r>
          </w:p>
        </w:tc>
        <w:tc>
          <w:tcPr>
            <w:tcW w:w="1800" w:type="dxa"/>
            <w:shd w:val="clear" w:color="auto" w:fill="auto"/>
          </w:tcPr>
          <w:p w14:paraId="7A9EB576" w14:textId="77777777" w:rsidR="00F07F10" w:rsidRPr="00D55D38" w:rsidRDefault="00066150" w:rsidP="00E42377">
            <w:pPr>
              <w:rPr>
                <w:rFonts w:eastAsia="Arial Unicode MS"/>
                <w:sz w:val="24"/>
                <w:szCs w:val="24"/>
                <w:u w:color="000000"/>
              </w:rPr>
            </w:pPr>
            <w:r>
              <w:rPr>
                <w:rFonts w:eastAsia="Arial Unicode MS"/>
                <w:sz w:val="24"/>
                <w:szCs w:val="24"/>
                <w:u w:color="000000"/>
              </w:rPr>
              <w:t xml:space="preserve">Number of </w:t>
            </w:r>
            <w:r w:rsidR="00E42377">
              <w:rPr>
                <w:rFonts w:eastAsia="Arial Unicode MS"/>
                <w:sz w:val="24"/>
                <w:szCs w:val="24"/>
                <w:u w:color="000000"/>
              </w:rPr>
              <w:t>DORI</w:t>
            </w:r>
            <w:r>
              <w:rPr>
                <w:rFonts w:eastAsia="Arial Unicode MS"/>
                <w:sz w:val="24"/>
                <w:szCs w:val="24"/>
                <w:u w:color="000000"/>
              </w:rPr>
              <w:t>s Annually</w:t>
            </w:r>
          </w:p>
        </w:tc>
        <w:tc>
          <w:tcPr>
            <w:tcW w:w="1530" w:type="dxa"/>
            <w:shd w:val="clear" w:color="auto" w:fill="auto"/>
          </w:tcPr>
          <w:p w14:paraId="35A463EF" w14:textId="77777777" w:rsidR="00F07F10" w:rsidRPr="00D55D38" w:rsidRDefault="00066150" w:rsidP="002F6447">
            <w:pPr>
              <w:rPr>
                <w:rFonts w:eastAsia="Arial Unicode MS"/>
                <w:sz w:val="24"/>
                <w:szCs w:val="24"/>
                <w:u w:color="000000"/>
              </w:rPr>
            </w:pPr>
            <w:r>
              <w:rPr>
                <w:rFonts w:eastAsia="Arial Unicode MS"/>
                <w:sz w:val="24"/>
                <w:szCs w:val="24"/>
                <w:u w:color="000000"/>
              </w:rPr>
              <w:t>Total Annualized Cost</w:t>
            </w:r>
          </w:p>
        </w:tc>
      </w:tr>
      <w:tr w:rsidR="00F07F10" w:rsidRPr="00D55D38" w14:paraId="7CE98604" w14:textId="77777777" w:rsidTr="00D55D38">
        <w:tc>
          <w:tcPr>
            <w:tcW w:w="1998" w:type="dxa"/>
            <w:shd w:val="clear" w:color="auto" w:fill="auto"/>
          </w:tcPr>
          <w:p w14:paraId="0B4A5EAD" w14:textId="77777777" w:rsidR="00F07F10" w:rsidRPr="00D55D38" w:rsidRDefault="00066150" w:rsidP="002F6447">
            <w:pPr>
              <w:rPr>
                <w:rFonts w:eastAsia="Arial Unicode MS"/>
                <w:sz w:val="24"/>
                <w:szCs w:val="24"/>
                <w:u w:color="000000"/>
              </w:rPr>
            </w:pPr>
            <w:r>
              <w:rPr>
                <w:rFonts w:eastAsia="Arial Unicode MS"/>
                <w:sz w:val="24"/>
                <w:szCs w:val="24"/>
                <w:u w:color="000000"/>
              </w:rPr>
              <w:t>Epidemiologist</w:t>
            </w:r>
          </w:p>
        </w:tc>
        <w:tc>
          <w:tcPr>
            <w:tcW w:w="1800" w:type="dxa"/>
            <w:shd w:val="clear" w:color="auto" w:fill="auto"/>
          </w:tcPr>
          <w:p w14:paraId="3F1ED84E" w14:textId="77777777" w:rsidR="00F07F10" w:rsidRPr="00D55D38" w:rsidRDefault="00C52483" w:rsidP="002F6447">
            <w:pPr>
              <w:rPr>
                <w:rFonts w:eastAsia="Arial Unicode MS"/>
                <w:sz w:val="24"/>
                <w:szCs w:val="24"/>
                <w:u w:color="000000"/>
              </w:rPr>
            </w:pPr>
            <w:r>
              <w:rPr>
                <w:rFonts w:eastAsia="Arial Unicode MS"/>
                <w:sz w:val="24"/>
                <w:szCs w:val="24"/>
                <w:u w:color="000000"/>
              </w:rPr>
              <w:t>200</w:t>
            </w:r>
          </w:p>
        </w:tc>
        <w:tc>
          <w:tcPr>
            <w:tcW w:w="1710" w:type="dxa"/>
            <w:shd w:val="clear" w:color="auto" w:fill="auto"/>
          </w:tcPr>
          <w:p w14:paraId="1D5D10CA" w14:textId="77777777" w:rsidR="00F07F10" w:rsidRPr="00D55D38" w:rsidRDefault="00066150" w:rsidP="00E42377">
            <w:pPr>
              <w:rPr>
                <w:rFonts w:eastAsia="Arial Unicode MS"/>
                <w:sz w:val="24"/>
                <w:szCs w:val="24"/>
                <w:u w:color="000000"/>
              </w:rPr>
            </w:pPr>
            <w:r>
              <w:rPr>
                <w:rFonts w:eastAsia="Arial Unicode MS"/>
                <w:sz w:val="24"/>
                <w:szCs w:val="24"/>
                <w:u w:color="000000"/>
              </w:rPr>
              <w:t>$3</w:t>
            </w:r>
            <w:r w:rsidR="00E42377">
              <w:rPr>
                <w:rFonts w:eastAsia="Arial Unicode MS"/>
                <w:sz w:val="24"/>
                <w:szCs w:val="24"/>
                <w:u w:color="000000"/>
              </w:rPr>
              <w:t>5</w:t>
            </w:r>
            <w:r>
              <w:rPr>
                <w:rFonts w:eastAsia="Arial Unicode MS"/>
                <w:sz w:val="24"/>
                <w:szCs w:val="24"/>
                <w:u w:color="000000"/>
              </w:rPr>
              <w:t>.</w:t>
            </w:r>
            <w:r w:rsidR="00E42377">
              <w:rPr>
                <w:rFonts w:eastAsia="Arial Unicode MS"/>
                <w:sz w:val="24"/>
                <w:szCs w:val="24"/>
                <w:u w:color="000000"/>
              </w:rPr>
              <w:t>11</w:t>
            </w:r>
          </w:p>
        </w:tc>
        <w:tc>
          <w:tcPr>
            <w:tcW w:w="1800" w:type="dxa"/>
            <w:shd w:val="clear" w:color="auto" w:fill="auto"/>
          </w:tcPr>
          <w:p w14:paraId="1659D0CE" w14:textId="77777777" w:rsidR="00F07F10" w:rsidRPr="00D55D38" w:rsidRDefault="0078769C" w:rsidP="002F6447">
            <w:pPr>
              <w:rPr>
                <w:rFonts w:eastAsia="Arial Unicode MS"/>
                <w:sz w:val="24"/>
                <w:szCs w:val="24"/>
                <w:u w:color="000000"/>
              </w:rPr>
            </w:pPr>
            <w:r>
              <w:rPr>
                <w:rFonts w:eastAsia="Arial Unicode MS"/>
                <w:sz w:val="24"/>
                <w:szCs w:val="24"/>
                <w:u w:color="000000"/>
              </w:rPr>
              <w:t>10</w:t>
            </w:r>
          </w:p>
        </w:tc>
        <w:tc>
          <w:tcPr>
            <w:tcW w:w="1530" w:type="dxa"/>
            <w:shd w:val="clear" w:color="auto" w:fill="auto"/>
          </w:tcPr>
          <w:p w14:paraId="0EAC23E3" w14:textId="77777777" w:rsidR="00F07F10" w:rsidRPr="00D55D38" w:rsidRDefault="00C52483" w:rsidP="00E42377">
            <w:pPr>
              <w:rPr>
                <w:rFonts w:eastAsia="Arial Unicode MS"/>
                <w:sz w:val="24"/>
                <w:szCs w:val="24"/>
                <w:u w:color="000000"/>
              </w:rPr>
            </w:pPr>
            <w:r>
              <w:rPr>
                <w:rFonts w:eastAsia="Arial Unicode MS"/>
                <w:sz w:val="24"/>
                <w:szCs w:val="24"/>
                <w:u w:color="000000"/>
              </w:rPr>
              <w:t>$</w:t>
            </w:r>
            <w:r w:rsidR="00E42377">
              <w:rPr>
                <w:rFonts w:eastAsia="Arial Unicode MS"/>
                <w:sz w:val="24"/>
                <w:szCs w:val="24"/>
                <w:u w:color="000000"/>
              </w:rPr>
              <w:t>70</w:t>
            </w:r>
            <w:r w:rsidR="0078769C">
              <w:rPr>
                <w:rFonts w:eastAsia="Arial Unicode MS"/>
                <w:sz w:val="24"/>
                <w:szCs w:val="24"/>
                <w:u w:color="000000"/>
              </w:rPr>
              <w:t>,</w:t>
            </w:r>
            <w:r w:rsidR="00E42377">
              <w:rPr>
                <w:rFonts w:eastAsia="Arial Unicode MS"/>
                <w:sz w:val="24"/>
                <w:szCs w:val="24"/>
                <w:u w:color="000000"/>
              </w:rPr>
              <w:t>220</w:t>
            </w:r>
          </w:p>
        </w:tc>
      </w:tr>
    </w:tbl>
    <w:p w14:paraId="25C73D64" w14:textId="77777777" w:rsidR="00F07F10" w:rsidRDefault="00F07F10" w:rsidP="002F6447">
      <w:pPr>
        <w:ind w:left="720"/>
        <w:rPr>
          <w:rFonts w:eastAsia="Arial Unicode MS"/>
          <w:sz w:val="24"/>
          <w:szCs w:val="24"/>
          <w:u w:color="000000"/>
        </w:rPr>
      </w:pPr>
    </w:p>
    <w:p w14:paraId="678AFB92" w14:textId="77777777" w:rsidR="001A3A81" w:rsidRPr="0072690B" w:rsidRDefault="001A3A81" w:rsidP="00CE0640">
      <w:pPr>
        <w:ind w:left="720"/>
        <w:rPr>
          <w:rFonts w:eastAsia="Arial Unicode MS"/>
          <w:sz w:val="24"/>
          <w:szCs w:val="24"/>
          <w:u w:color="000000"/>
        </w:rPr>
      </w:pPr>
    </w:p>
    <w:p w14:paraId="59E1EC80" w14:textId="77777777" w:rsidR="001A3A81" w:rsidRPr="00B651A5" w:rsidRDefault="00A93394" w:rsidP="00B651A5">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001A3A81" w:rsidRPr="00B651A5">
        <w:rPr>
          <w:rFonts w:eastAsia="Arial Unicode MS"/>
          <w:b/>
          <w:sz w:val="24"/>
          <w:szCs w:val="24"/>
          <w:u w:color="000000"/>
        </w:rPr>
        <w:t>Explanation for Program Changes or Adjustments</w:t>
      </w:r>
    </w:p>
    <w:p w14:paraId="4B3AC9E2" w14:textId="77777777" w:rsidR="001A3A81" w:rsidRDefault="001A3A81" w:rsidP="00B651A5">
      <w:pPr>
        <w:rPr>
          <w:rFonts w:eastAsia="Arial Unicode MS"/>
          <w:sz w:val="24"/>
          <w:szCs w:val="24"/>
          <w:u w:color="000000"/>
        </w:rPr>
      </w:pPr>
    </w:p>
    <w:p w14:paraId="295FC5B5" w14:textId="77777777" w:rsidR="00580166" w:rsidRPr="0072690B" w:rsidRDefault="00655C19" w:rsidP="00502F5E">
      <w:pPr>
        <w:rPr>
          <w:szCs w:val="24"/>
        </w:rPr>
      </w:pPr>
      <w:r>
        <w:rPr>
          <w:rFonts w:eastAsia="Arial Unicode MS"/>
          <w:sz w:val="24"/>
          <w:szCs w:val="24"/>
          <w:u w:color="000000"/>
        </w:rPr>
        <w:tab/>
      </w:r>
      <w:r w:rsidR="00D75048" w:rsidRPr="00D75048">
        <w:rPr>
          <w:rFonts w:eastAsia="Arial Unicode MS"/>
          <w:sz w:val="24"/>
          <w:szCs w:val="24"/>
          <w:u w:color="000000"/>
        </w:rPr>
        <w:t>This is a new data collection</w:t>
      </w:r>
    </w:p>
    <w:p w14:paraId="5A308C17" w14:textId="77777777" w:rsidR="001A3A81" w:rsidRPr="0072690B" w:rsidRDefault="001A3A81" w:rsidP="00B651A5">
      <w:pPr>
        <w:rPr>
          <w:rFonts w:eastAsia="Arial Unicode MS"/>
          <w:sz w:val="24"/>
          <w:szCs w:val="24"/>
          <w:u w:color="000000"/>
        </w:rPr>
      </w:pPr>
    </w:p>
    <w:p w14:paraId="137B384F" w14:textId="77777777" w:rsidR="001A3A81" w:rsidRPr="00B651A5" w:rsidRDefault="00A1254A" w:rsidP="00B651A5">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001A3A81" w:rsidRPr="00B651A5">
        <w:rPr>
          <w:rFonts w:eastAsia="Arial Unicode MS"/>
          <w:b/>
          <w:sz w:val="24"/>
          <w:szCs w:val="24"/>
          <w:u w:color="000000"/>
        </w:rPr>
        <w:t>Plans for Tabulation and Publication and Project Time Schedule</w:t>
      </w:r>
    </w:p>
    <w:p w14:paraId="792BDC07" w14:textId="77777777" w:rsidR="001A3A81" w:rsidRPr="0072690B" w:rsidRDefault="001A3A81" w:rsidP="00B651A5">
      <w:pPr>
        <w:rPr>
          <w:rFonts w:eastAsia="Arial Unicode MS"/>
          <w:sz w:val="24"/>
          <w:szCs w:val="24"/>
          <w:u w:color="000000"/>
        </w:rPr>
      </w:pPr>
    </w:p>
    <w:p w14:paraId="22A4F4A0" w14:textId="01C64F09" w:rsidR="00A2020C" w:rsidRDefault="001A3A81" w:rsidP="00B651A5">
      <w:pPr>
        <w:ind w:left="720"/>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w:t>
      </w:r>
      <w:r w:rsidR="00E42377">
        <w:rPr>
          <w:rFonts w:eastAsia="Arial Unicode MS"/>
          <w:sz w:val="24"/>
          <w:szCs w:val="24"/>
          <w:u w:color="000000"/>
        </w:rPr>
        <w:t xml:space="preserve">DORI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w:t>
      </w:r>
      <w:r w:rsidR="00F74281" w:rsidRPr="00E42377">
        <w:rPr>
          <w:rFonts w:eastAsia="Arial Unicode MS"/>
          <w:sz w:val="24"/>
          <w:szCs w:val="24"/>
          <w:u w:color="000000"/>
        </w:rPr>
        <w:t xml:space="preserve">effective public health response to </w:t>
      </w:r>
      <w:r w:rsidR="00E42377" w:rsidRPr="00E42377">
        <w:rPr>
          <w:sz w:val="24"/>
          <w:szCs w:val="24"/>
        </w:rPr>
        <w:t>drug use and misuse and associated fatal and nonfatal overdose</w:t>
      </w:r>
      <w:r w:rsidR="00F74281" w:rsidRPr="00E42377">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E42377">
        <w:rPr>
          <w:rFonts w:eastAsia="Arial Unicode MS"/>
          <w:sz w:val="24"/>
          <w:szCs w:val="24"/>
          <w:u w:color="000000"/>
        </w:rPr>
        <w:t xml:space="preserve">overdose </w:t>
      </w:r>
      <w:r w:rsidR="00F74281">
        <w:rPr>
          <w:rFonts w:eastAsia="Arial Unicode MS"/>
          <w:sz w:val="24"/>
          <w:szCs w:val="24"/>
          <w:u w:color="000000"/>
        </w:rPr>
        <w:t>event</w:t>
      </w:r>
      <w:r w:rsidR="00E42377">
        <w:rPr>
          <w:rFonts w:eastAsia="Arial Unicode MS"/>
          <w:sz w:val="24"/>
          <w:szCs w:val="24"/>
          <w:u w:color="000000"/>
        </w:rPr>
        <w:t>s</w:t>
      </w:r>
      <w:r w:rsidRPr="006E754B">
        <w:rPr>
          <w:rFonts w:eastAsia="Arial Unicode MS"/>
          <w:sz w:val="24"/>
          <w:szCs w:val="24"/>
          <w:u w:color="000000"/>
        </w:rPr>
        <w:t xml:space="preserve"> is critical to the epidemiologic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w:t>
      </w:r>
      <w:r w:rsidR="00E42377">
        <w:rPr>
          <w:rFonts w:eastAsia="Arial Unicode MS"/>
          <w:sz w:val="24"/>
          <w:szCs w:val="24"/>
          <w:u w:color="000000"/>
        </w:rPr>
        <w:t>DORI</w:t>
      </w:r>
      <w:r w:rsidR="00D11EB6">
        <w:rPr>
          <w:rFonts w:eastAsia="Arial Unicode MS"/>
          <w:sz w:val="24"/>
          <w:szCs w:val="24"/>
          <w:u w:color="000000"/>
        </w:rPr>
        <w:t xml:space="preserve">.  </w:t>
      </w:r>
    </w:p>
    <w:p w14:paraId="2FD2C55E" w14:textId="77777777" w:rsidR="00A2020C" w:rsidRDefault="00A2020C">
      <w:pPr>
        <w:rPr>
          <w:rFonts w:eastAsia="Arial Unicode MS"/>
          <w:sz w:val="24"/>
          <w:szCs w:val="24"/>
          <w:u w:color="000000"/>
        </w:rPr>
      </w:pPr>
      <w:r>
        <w:rPr>
          <w:rFonts w:eastAsia="Arial Unicode MS"/>
          <w:sz w:val="24"/>
          <w:szCs w:val="24"/>
          <w:u w:color="000000"/>
        </w:rPr>
        <w:br w:type="page"/>
      </w:r>
    </w:p>
    <w:p w14:paraId="12DEA0AA" w14:textId="77777777" w:rsidR="00D11EB6" w:rsidRDefault="00D11EB6" w:rsidP="00B651A5">
      <w:pPr>
        <w:ind w:left="720"/>
        <w:rPr>
          <w:rFonts w:eastAsia="Arial Unicode MS"/>
          <w:sz w:val="24"/>
          <w:szCs w:val="24"/>
          <w:u w:color="000000"/>
        </w:rPr>
      </w:pPr>
    </w:p>
    <w:p w14:paraId="2D49702C" w14:textId="77777777" w:rsidR="00D11EB6" w:rsidRDefault="00D11EB6" w:rsidP="00B651A5">
      <w:pPr>
        <w:ind w:left="720"/>
        <w:rPr>
          <w:rFonts w:eastAsia="Arial Unicode MS"/>
          <w:sz w:val="24"/>
          <w:szCs w:val="24"/>
          <w:u w:color="000000"/>
        </w:rPr>
      </w:pPr>
    </w:p>
    <w:tbl>
      <w:tblPr>
        <w:tblStyle w:val="TableGrid"/>
        <w:tblW w:w="8892" w:type="dxa"/>
        <w:tblInd w:w="720" w:type="dxa"/>
        <w:tblLook w:val="04A0" w:firstRow="1" w:lastRow="0" w:firstColumn="1" w:lastColumn="0" w:noHBand="0" w:noVBand="1"/>
      </w:tblPr>
      <w:tblGrid>
        <w:gridCol w:w="4484"/>
        <w:gridCol w:w="4408"/>
      </w:tblGrid>
      <w:tr w:rsidR="00D11EB6" w14:paraId="29C3142E" w14:textId="77777777" w:rsidTr="00D11EB6">
        <w:trPr>
          <w:trHeight w:val="280"/>
        </w:trPr>
        <w:tc>
          <w:tcPr>
            <w:tcW w:w="8892" w:type="dxa"/>
            <w:gridSpan w:val="2"/>
          </w:tcPr>
          <w:p w14:paraId="75611DD9" w14:textId="77777777" w:rsidR="00D11EB6" w:rsidRPr="00D11EB6" w:rsidRDefault="00D11EB6" w:rsidP="00B651A5">
            <w:pPr>
              <w:rPr>
                <w:rFonts w:eastAsia="Arial Unicode MS"/>
                <w:b/>
                <w:sz w:val="24"/>
                <w:szCs w:val="24"/>
                <w:u w:color="000000"/>
              </w:rPr>
            </w:pPr>
            <w:r w:rsidRPr="00D11EB6">
              <w:rPr>
                <w:rFonts w:eastAsia="Arial Unicode MS"/>
                <w:b/>
                <w:sz w:val="24"/>
                <w:szCs w:val="24"/>
                <w:u w:color="000000"/>
              </w:rPr>
              <w:t>Project Time Schedule</w:t>
            </w:r>
          </w:p>
        </w:tc>
      </w:tr>
      <w:tr w:rsidR="00D11EB6" w14:paraId="0416A44C" w14:textId="77777777" w:rsidTr="00D11EB6">
        <w:trPr>
          <w:trHeight w:val="280"/>
        </w:trPr>
        <w:tc>
          <w:tcPr>
            <w:tcW w:w="4484" w:type="dxa"/>
          </w:tcPr>
          <w:p w14:paraId="3BE9F66A" w14:textId="77777777" w:rsidR="00D11EB6" w:rsidRDefault="00D11EB6" w:rsidP="00D11EB6">
            <w:pPr>
              <w:jc w:val="center"/>
              <w:rPr>
                <w:rFonts w:eastAsia="Arial Unicode MS"/>
                <w:sz w:val="24"/>
                <w:szCs w:val="24"/>
                <w:u w:color="000000"/>
              </w:rPr>
            </w:pPr>
            <w:r>
              <w:rPr>
                <w:rFonts w:eastAsia="Arial Unicode MS"/>
                <w:sz w:val="24"/>
                <w:szCs w:val="24"/>
                <w:u w:color="000000"/>
              </w:rPr>
              <w:t>Activity</w:t>
            </w:r>
          </w:p>
        </w:tc>
        <w:tc>
          <w:tcPr>
            <w:tcW w:w="4408" w:type="dxa"/>
          </w:tcPr>
          <w:p w14:paraId="199F01D9" w14:textId="77777777" w:rsidR="00D11EB6" w:rsidRDefault="00D11EB6" w:rsidP="00D11EB6">
            <w:pPr>
              <w:jc w:val="center"/>
              <w:rPr>
                <w:rFonts w:eastAsia="Arial Unicode MS"/>
                <w:sz w:val="24"/>
                <w:szCs w:val="24"/>
                <w:u w:color="000000"/>
              </w:rPr>
            </w:pPr>
            <w:r>
              <w:rPr>
                <w:rFonts w:eastAsia="Arial Unicode MS"/>
                <w:sz w:val="24"/>
                <w:szCs w:val="24"/>
                <w:u w:color="000000"/>
              </w:rPr>
              <w:t>Time Schedule</w:t>
            </w:r>
          </w:p>
        </w:tc>
      </w:tr>
      <w:tr w:rsidR="00D11EB6" w14:paraId="66FF86C5" w14:textId="77777777" w:rsidTr="00D11EB6">
        <w:trPr>
          <w:trHeight w:val="558"/>
        </w:trPr>
        <w:tc>
          <w:tcPr>
            <w:tcW w:w="4484" w:type="dxa"/>
          </w:tcPr>
          <w:p w14:paraId="73A9AF81" w14:textId="77777777" w:rsidR="00D11EB6" w:rsidRDefault="00D11EB6" w:rsidP="00E5115A">
            <w:pPr>
              <w:rPr>
                <w:rFonts w:eastAsia="Arial Unicode MS"/>
                <w:sz w:val="24"/>
                <w:szCs w:val="24"/>
                <w:u w:color="000000"/>
              </w:rPr>
            </w:pPr>
            <w:r>
              <w:rPr>
                <w:rFonts w:eastAsia="Arial Unicode MS"/>
                <w:sz w:val="24"/>
                <w:szCs w:val="24"/>
                <w:u w:color="000000"/>
              </w:rPr>
              <w:t>Letter received from health agency requesting assistance</w:t>
            </w:r>
            <w:r w:rsidR="00E5115A">
              <w:rPr>
                <w:rFonts w:eastAsia="Arial Unicode MS"/>
                <w:sz w:val="24"/>
                <w:szCs w:val="24"/>
                <w:u w:color="000000"/>
              </w:rPr>
              <w:t xml:space="preserve"> </w:t>
            </w:r>
          </w:p>
        </w:tc>
        <w:tc>
          <w:tcPr>
            <w:tcW w:w="4408" w:type="dxa"/>
          </w:tcPr>
          <w:p w14:paraId="4FBED508" w14:textId="77777777" w:rsidR="00D11EB6" w:rsidRDefault="00E5115A" w:rsidP="00E42377">
            <w:pPr>
              <w:rPr>
                <w:rFonts w:eastAsia="Arial Unicode MS"/>
                <w:sz w:val="24"/>
                <w:szCs w:val="24"/>
                <w:u w:color="000000"/>
              </w:rPr>
            </w:pPr>
            <w:r>
              <w:rPr>
                <w:rFonts w:eastAsia="Arial Unicode MS"/>
                <w:sz w:val="24"/>
                <w:szCs w:val="24"/>
                <w:u w:color="000000"/>
              </w:rPr>
              <w:t xml:space="preserve">Investigation </w:t>
            </w:r>
            <w:r w:rsidR="00E42377">
              <w:rPr>
                <w:rFonts w:eastAsia="Arial Unicode MS"/>
                <w:sz w:val="24"/>
                <w:szCs w:val="24"/>
                <w:u w:color="000000"/>
              </w:rPr>
              <w:t>initiation</w:t>
            </w:r>
          </w:p>
        </w:tc>
      </w:tr>
      <w:tr w:rsidR="00D11EB6" w14:paraId="1CE53C22" w14:textId="77777777" w:rsidTr="00D11EB6">
        <w:trPr>
          <w:trHeight w:val="571"/>
        </w:trPr>
        <w:tc>
          <w:tcPr>
            <w:tcW w:w="4484" w:type="dxa"/>
          </w:tcPr>
          <w:p w14:paraId="73E21EDC" w14:textId="77777777" w:rsidR="00D11EB6" w:rsidRDefault="00D11EB6" w:rsidP="00B651A5">
            <w:pPr>
              <w:rPr>
                <w:rFonts w:eastAsia="Arial Unicode MS"/>
                <w:sz w:val="24"/>
                <w:szCs w:val="24"/>
                <w:u w:color="000000"/>
              </w:rPr>
            </w:pPr>
            <w:r>
              <w:rPr>
                <w:rFonts w:eastAsia="Arial Unicode MS"/>
                <w:sz w:val="24"/>
                <w:szCs w:val="24"/>
                <w:u w:color="000000"/>
              </w:rPr>
              <w:t>Convening of health sc</w:t>
            </w:r>
            <w:r w:rsidR="00E42377">
              <w:rPr>
                <w:rFonts w:eastAsia="Arial Unicode MS"/>
                <w:sz w:val="24"/>
                <w:szCs w:val="24"/>
                <w:u w:color="000000"/>
              </w:rPr>
              <w:t>ientists, epidemiologists, etc.</w:t>
            </w:r>
          </w:p>
        </w:tc>
        <w:tc>
          <w:tcPr>
            <w:tcW w:w="4408" w:type="dxa"/>
          </w:tcPr>
          <w:p w14:paraId="44C6E252" w14:textId="77777777" w:rsidR="00D11EB6" w:rsidRDefault="00E5115A" w:rsidP="00E5115A">
            <w:pPr>
              <w:rPr>
                <w:rFonts w:eastAsia="Arial Unicode MS"/>
                <w:sz w:val="24"/>
                <w:szCs w:val="24"/>
                <w:u w:color="000000"/>
              </w:rPr>
            </w:pPr>
            <w:r>
              <w:rPr>
                <w:rFonts w:eastAsia="Arial Unicode MS"/>
                <w:sz w:val="24"/>
                <w:szCs w:val="24"/>
                <w:u w:color="000000"/>
              </w:rPr>
              <w:t xml:space="preserve">Within 1 week </w:t>
            </w:r>
            <w:r w:rsidR="00E42377">
              <w:rPr>
                <w:rFonts w:eastAsia="Arial Unicode MS"/>
                <w:sz w:val="24"/>
                <w:szCs w:val="24"/>
                <w:u w:color="000000"/>
              </w:rPr>
              <w:t xml:space="preserve">after </w:t>
            </w:r>
            <w:r>
              <w:rPr>
                <w:rFonts w:eastAsia="Arial Unicode MS"/>
                <w:sz w:val="24"/>
                <w:szCs w:val="24"/>
                <w:u w:color="000000"/>
              </w:rPr>
              <w:t xml:space="preserve">investigation </w:t>
            </w:r>
            <w:r w:rsidR="00E42377">
              <w:rPr>
                <w:rFonts w:eastAsia="Arial Unicode MS"/>
                <w:sz w:val="24"/>
                <w:szCs w:val="24"/>
                <w:u w:color="000000"/>
              </w:rPr>
              <w:t>initiation</w:t>
            </w:r>
          </w:p>
        </w:tc>
      </w:tr>
      <w:tr w:rsidR="00D11EB6" w14:paraId="1489F3B1" w14:textId="77777777" w:rsidTr="00D11EB6">
        <w:trPr>
          <w:trHeight w:val="558"/>
        </w:trPr>
        <w:tc>
          <w:tcPr>
            <w:tcW w:w="4484" w:type="dxa"/>
          </w:tcPr>
          <w:p w14:paraId="21409DC0" w14:textId="77777777" w:rsidR="00D11EB6" w:rsidRDefault="00E42377" w:rsidP="00E42377">
            <w:pPr>
              <w:rPr>
                <w:rFonts w:eastAsia="Arial Unicode MS"/>
                <w:sz w:val="24"/>
                <w:szCs w:val="24"/>
                <w:u w:color="000000"/>
              </w:rPr>
            </w:pPr>
            <w:r>
              <w:rPr>
                <w:rFonts w:eastAsia="Arial Unicode MS"/>
                <w:sz w:val="24"/>
                <w:szCs w:val="24"/>
                <w:u w:color="000000"/>
              </w:rPr>
              <w:t xml:space="preserve">Development of data collection instrument or selection from </w:t>
            </w:r>
            <w:r w:rsidR="00D11EB6">
              <w:rPr>
                <w:rFonts w:eastAsia="Arial Unicode MS"/>
                <w:sz w:val="24"/>
                <w:szCs w:val="24"/>
                <w:u w:color="000000"/>
              </w:rPr>
              <w:t xml:space="preserve">instrument </w:t>
            </w:r>
            <w:r>
              <w:rPr>
                <w:rFonts w:eastAsia="Arial Unicode MS"/>
                <w:sz w:val="24"/>
                <w:szCs w:val="24"/>
                <w:u w:color="000000"/>
              </w:rPr>
              <w:t>l</w:t>
            </w:r>
            <w:r w:rsidR="00D11EB6">
              <w:rPr>
                <w:rFonts w:eastAsia="Arial Unicode MS"/>
                <w:sz w:val="24"/>
                <w:szCs w:val="24"/>
                <w:u w:color="000000"/>
              </w:rPr>
              <w:t>ibrary</w:t>
            </w:r>
          </w:p>
        </w:tc>
        <w:tc>
          <w:tcPr>
            <w:tcW w:w="4408" w:type="dxa"/>
          </w:tcPr>
          <w:p w14:paraId="46F08778" w14:textId="77777777" w:rsidR="00D11EB6" w:rsidRDefault="00E5115A" w:rsidP="00E5115A">
            <w:pPr>
              <w:rPr>
                <w:rFonts w:eastAsia="Arial Unicode MS"/>
                <w:sz w:val="24"/>
                <w:szCs w:val="24"/>
                <w:u w:color="000000"/>
              </w:rPr>
            </w:pPr>
            <w:r>
              <w:rPr>
                <w:rFonts w:eastAsia="Arial Unicode MS"/>
                <w:sz w:val="24"/>
                <w:szCs w:val="24"/>
                <w:u w:color="000000"/>
              </w:rPr>
              <w:t>Weeks 1 to 3 after investigation initiation</w:t>
            </w:r>
          </w:p>
        </w:tc>
      </w:tr>
      <w:tr w:rsidR="00E5115A" w14:paraId="6EBE70BF" w14:textId="77777777" w:rsidTr="00D11EB6">
        <w:trPr>
          <w:trHeight w:val="280"/>
        </w:trPr>
        <w:tc>
          <w:tcPr>
            <w:tcW w:w="4484" w:type="dxa"/>
          </w:tcPr>
          <w:p w14:paraId="33096827" w14:textId="77777777" w:rsidR="00E5115A" w:rsidRDefault="00E5115A" w:rsidP="00B651A5">
            <w:pPr>
              <w:rPr>
                <w:rFonts w:eastAsia="Arial Unicode MS"/>
                <w:sz w:val="24"/>
                <w:szCs w:val="24"/>
                <w:u w:color="000000"/>
              </w:rPr>
            </w:pPr>
            <w:proofErr w:type="spellStart"/>
            <w:r>
              <w:rPr>
                <w:rFonts w:eastAsia="Arial Unicode MS"/>
                <w:sz w:val="24"/>
                <w:szCs w:val="24"/>
                <w:u w:color="000000"/>
              </w:rPr>
              <w:t>GenIC</w:t>
            </w:r>
            <w:proofErr w:type="spellEnd"/>
            <w:r>
              <w:rPr>
                <w:rFonts w:eastAsia="Arial Unicode MS"/>
                <w:sz w:val="24"/>
                <w:szCs w:val="24"/>
                <w:u w:color="000000"/>
              </w:rPr>
              <w:t xml:space="preserve"> submission and approval</w:t>
            </w:r>
          </w:p>
          <w:p w14:paraId="0AED6ABA" w14:textId="77777777" w:rsidR="00E5115A" w:rsidRDefault="00E5115A" w:rsidP="00B651A5">
            <w:pPr>
              <w:rPr>
                <w:rFonts w:eastAsia="Arial Unicode MS"/>
                <w:sz w:val="24"/>
                <w:szCs w:val="24"/>
                <w:u w:color="000000"/>
              </w:rPr>
            </w:pPr>
          </w:p>
        </w:tc>
        <w:tc>
          <w:tcPr>
            <w:tcW w:w="4408" w:type="dxa"/>
          </w:tcPr>
          <w:p w14:paraId="51240AC8" w14:textId="77777777" w:rsidR="00E5115A" w:rsidRDefault="00E5115A" w:rsidP="00E5115A">
            <w:pPr>
              <w:rPr>
                <w:rFonts w:eastAsia="Arial Unicode MS"/>
                <w:sz w:val="24"/>
                <w:szCs w:val="24"/>
                <w:u w:color="000000"/>
              </w:rPr>
            </w:pPr>
            <w:r>
              <w:rPr>
                <w:rFonts w:eastAsia="Arial Unicode MS"/>
                <w:sz w:val="24"/>
                <w:szCs w:val="24"/>
                <w:u w:color="000000"/>
              </w:rPr>
              <w:t>Week 3 after investigation initiation</w:t>
            </w:r>
          </w:p>
        </w:tc>
      </w:tr>
      <w:tr w:rsidR="00D11EB6" w14:paraId="16A672EF" w14:textId="77777777" w:rsidTr="00D11EB6">
        <w:trPr>
          <w:trHeight w:val="280"/>
        </w:trPr>
        <w:tc>
          <w:tcPr>
            <w:tcW w:w="4484" w:type="dxa"/>
          </w:tcPr>
          <w:p w14:paraId="1AF84447" w14:textId="77777777" w:rsidR="00D11EB6" w:rsidRDefault="00E5115A" w:rsidP="00B651A5">
            <w:pPr>
              <w:rPr>
                <w:rFonts w:eastAsia="Arial Unicode MS"/>
                <w:sz w:val="24"/>
                <w:szCs w:val="24"/>
                <w:u w:color="000000"/>
              </w:rPr>
            </w:pPr>
            <w:r>
              <w:rPr>
                <w:rFonts w:eastAsia="Arial Unicode MS"/>
                <w:sz w:val="24"/>
                <w:szCs w:val="24"/>
                <w:u w:color="000000"/>
              </w:rPr>
              <w:t>Deployment into the field</w:t>
            </w:r>
          </w:p>
        </w:tc>
        <w:tc>
          <w:tcPr>
            <w:tcW w:w="4408" w:type="dxa"/>
          </w:tcPr>
          <w:p w14:paraId="4160190E" w14:textId="77777777" w:rsidR="00D11EB6" w:rsidRDefault="00E5115A" w:rsidP="00E5115A">
            <w:pPr>
              <w:rPr>
                <w:rFonts w:eastAsia="Arial Unicode MS"/>
                <w:sz w:val="24"/>
                <w:szCs w:val="24"/>
                <w:u w:color="000000"/>
              </w:rPr>
            </w:pPr>
            <w:r>
              <w:rPr>
                <w:rFonts w:eastAsia="Arial Unicode MS"/>
                <w:sz w:val="24"/>
                <w:szCs w:val="24"/>
                <w:u w:color="000000"/>
              </w:rPr>
              <w:t>Weeks 4 to 6 after project initiation</w:t>
            </w:r>
          </w:p>
          <w:p w14:paraId="1EAE0FF2" w14:textId="77777777" w:rsidR="00E5115A" w:rsidRDefault="00E5115A" w:rsidP="00E5115A">
            <w:pPr>
              <w:rPr>
                <w:rFonts w:eastAsia="Arial Unicode MS"/>
                <w:sz w:val="24"/>
                <w:szCs w:val="24"/>
                <w:u w:color="000000"/>
              </w:rPr>
            </w:pPr>
          </w:p>
        </w:tc>
      </w:tr>
      <w:tr w:rsidR="00D11EB6" w14:paraId="22F326AC" w14:textId="77777777" w:rsidTr="00D11EB6">
        <w:trPr>
          <w:trHeight w:val="280"/>
        </w:trPr>
        <w:tc>
          <w:tcPr>
            <w:tcW w:w="4484" w:type="dxa"/>
          </w:tcPr>
          <w:p w14:paraId="0A940143" w14:textId="77777777" w:rsidR="00D11EB6" w:rsidRDefault="00E5115A" w:rsidP="00B651A5">
            <w:pPr>
              <w:rPr>
                <w:rFonts w:eastAsia="Arial Unicode MS"/>
                <w:sz w:val="24"/>
                <w:szCs w:val="24"/>
                <w:u w:color="000000"/>
              </w:rPr>
            </w:pPr>
            <w:r>
              <w:rPr>
                <w:rFonts w:eastAsia="Arial Unicode MS"/>
                <w:sz w:val="24"/>
                <w:szCs w:val="24"/>
                <w:u w:color="000000"/>
              </w:rPr>
              <w:t>Data collection in the field</w:t>
            </w:r>
          </w:p>
        </w:tc>
        <w:tc>
          <w:tcPr>
            <w:tcW w:w="4408" w:type="dxa"/>
          </w:tcPr>
          <w:p w14:paraId="6B0110EC" w14:textId="77777777" w:rsidR="00E5115A" w:rsidRDefault="00E5115A" w:rsidP="00E5115A">
            <w:pPr>
              <w:rPr>
                <w:rFonts w:eastAsia="Arial Unicode MS"/>
                <w:sz w:val="24"/>
                <w:szCs w:val="24"/>
                <w:u w:color="000000"/>
              </w:rPr>
            </w:pPr>
            <w:r>
              <w:rPr>
                <w:rFonts w:eastAsia="Arial Unicode MS"/>
                <w:sz w:val="24"/>
                <w:szCs w:val="24"/>
                <w:u w:color="000000"/>
              </w:rPr>
              <w:t>Weeks 4 to 10 after project initiation (staff may be in the field for up to 3 weeks)</w:t>
            </w:r>
          </w:p>
        </w:tc>
      </w:tr>
      <w:tr w:rsidR="00D11EB6" w14:paraId="3A431167" w14:textId="77777777" w:rsidTr="00D11EB6">
        <w:trPr>
          <w:trHeight w:val="280"/>
        </w:trPr>
        <w:tc>
          <w:tcPr>
            <w:tcW w:w="4484" w:type="dxa"/>
          </w:tcPr>
          <w:p w14:paraId="651F4E8D" w14:textId="77777777" w:rsidR="00D11EB6" w:rsidRDefault="00E5115A" w:rsidP="00B651A5">
            <w:pPr>
              <w:rPr>
                <w:rFonts w:eastAsia="Arial Unicode MS"/>
                <w:sz w:val="24"/>
                <w:szCs w:val="24"/>
                <w:u w:color="000000"/>
              </w:rPr>
            </w:pPr>
            <w:r>
              <w:rPr>
                <w:rFonts w:eastAsia="Arial Unicode MS"/>
                <w:sz w:val="24"/>
                <w:szCs w:val="24"/>
                <w:u w:color="000000"/>
              </w:rPr>
              <w:t>Data collection from CDC</w:t>
            </w:r>
          </w:p>
        </w:tc>
        <w:tc>
          <w:tcPr>
            <w:tcW w:w="4408" w:type="dxa"/>
          </w:tcPr>
          <w:p w14:paraId="7D156EA8" w14:textId="77777777" w:rsidR="00E5115A" w:rsidRDefault="00E5115A" w:rsidP="00A427A8">
            <w:pPr>
              <w:rPr>
                <w:rFonts w:eastAsia="Arial Unicode MS"/>
                <w:sz w:val="24"/>
                <w:szCs w:val="24"/>
                <w:u w:color="000000"/>
              </w:rPr>
            </w:pPr>
            <w:r>
              <w:rPr>
                <w:rFonts w:eastAsia="Arial Unicode MS"/>
                <w:sz w:val="24"/>
                <w:szCs w:val="24"/>
                <w:u w:color="000000"/>
              </w:rPr>
              <w:t>Weeks 6 to 12 after investigation initiation</w:t>
            </w:r>
            <w:r w:rsidR="00A427A8">
              <w:rPr>
                <w:rFonts w:eastAsia="Arial Unicode MS"/>
                <w:sz w:val="24"/>
                <w:szCs w:val="24"/>
                <w:u w:color="000000"/>
              </w:rPr>
              <w:t xml:space="preserve"> (all data collected within 3 months)</w:t>
            </w:r>
          </w:p>
        </w:tc>
      </w:tr>
    </w:tbl>
    <w:p w14:paraId="39FF6553" w14:textId="77777777" w:rsidR="00F74281" w:rsidRDefault="00B764E7" w:rsidP="00B651A5">
      <w:pPr>
        <w:ind w:left="720"/>
        <w:rPr>
          <w:rFonts w:eastAsia="Arial Unicode MS"/>
          <w:sz w:val="24"/>
          <w:szCs w:val="24"/>
          <w:u w:color="000000"/>
        </w:rPr>
      </w:pPr>
      <w:r w:rsidDel="00B764E7">
        <w:rPr>
          <w:rFonts w:eastAsia="Arial Unicode MS"/>
          <w:sz w:val="24"/>
          <w:szCs w:val="24"/>
          <w:u w:color="000000"/>
        </w:rPr>
        <w:t xml:space="preserve"> </w:t>
      </w:r>
    </w:p>
    <w:p w14:paraId="15DEF0E1" w14:textId="77777777" w:rsidR="002C47A7" w:rsidRDefault="002C47A7" w:rsidP="00B651A5">
      <w:pPr>
        <w:ind w:left="720"/>
        <w:rPr>
          <w:rFonts w:eastAsia="Arial Unicode MS"/>
          <w:sz w:val="24"/>
          <w:szCs w:val="24"/>
          <w:u w:color="000000"/>
        </w:rPr>
      </w:pPr>
    </w:p>
    <w:p w14:paraId="24CBA568" w14:textId="77777777" w:rsidR="00012BA1" w:rsidRDefault="00926DD5" w:rsidP="00B651A5">
      <w:pPr>
        <w:ind w:left="720"/>
        <w:rPr>
          <w:rFonts w:eastAsia="Arial Unicode MS"/>
          <w:sz w:val="24"/>
          <w:szCs w:val="24"/>
          <w:u w:color="000000"/>
        </w:rPr>
      </w:pPr>
      <w:r>
        <w:rPr>
          <w:rFonts w:eastAsia="Arial Unicode MS"/>
          <w:sz w:val="24"/>
          <w:szCs w:val="24"/>
          <w:u w:color="000000"/>
        </w:rPr>
        <w:t xml:space="preserve">For each </w:t>
      </w:r>
      <w:r w:rsidR="00A427A8">
        <w:rPr>
          <w:rFonts w:eastAsia="Arial Unicode MS"/>
          <w:sz w:val="24"/>
          <w:szCs w:val="24"/>
          <w:u w:color="000000"/>
        </w:rPr>
        <w:t>DORI</w:t>
      </w:r>
      <w:r>
        <w:rPr>
          <w:rFonts w:eastAsia="Arial Unicode MS"/>
          <w:sz w:val="24"/>
          <w:szCs w:val="24"/>
          <w:u w:color="000000"/>
        </w:rPr>
        <w:t>,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Pr>
          <w:rFonts w:eastAsia="Arial Unicode MS"/>
          <w:sz w:val="24"/>
          <w:szCs w:val="24"/>
          <w:u w:color="000000"/>
        </w:rPr>
        <w:t xml:space="preserve"> for developing an analysis plan and conducting the d</w:t>
      </w:r>
      <w:r w:rsidR="001A3A81" w:rsidRPr="006E754B">
        <w:rPr>
          <w:rFonts w:eastAsia="Arial Unicode MS"/>
          <w:sz w:val="24"/>
          <w:szCs w:val="24"/>
          <w:u w:color="000000"/>
        </w:rPr>
        <w:t>ata analysis</w:t>
      </w:r>
      <w:r>
        <w:rPr>
          <w:rFonts w:eastAsia="Arial Unicode MS"/>
          <w:sz w:val="24"/>
          <w:szCs w:val="24"/>
          <w:u w:color="000000"/>
        </w:rPr>
        <w:t xml:space="preserve">. </w:t>
      </w:r>
      <w:r w:rsidR="007B21AA">
        <w:rPr>
          <w:rFonts w:eastAsia="Arial Unicode MS"/>
          <w:sz w:val="24"/>
          <w:szCs w:val="24"/>
          <w:u w:color="000000"/>
        </w:rPr>
        <w:t xml:space="preserve">A preliminary report summarizing the early findings of the investigation </w:t>
      </w:r>
      <w:r w:rsidR="00A211A1">
        <w:rPr>
          <w:rFonts w:eastAsia="Arial Unicode MS"/>
          <w:sz w:val="24"/>
          <w:szCs w:val="24"/>
          <w:u w:color="000000"/>
        </w:rPr>
        <w:t>is</w:t>
      </w:r>
      <w:r w:rsidR="007B21AA">
        <w:rPr>
          <w:rFonts w:eastAsia="Arial Unicode MS"/>
          <w:sz w:val="24"/>
          <w:szCs w:val="24"/>
          <w:u w:color="000000"/>
        </w:rPr>
        <w:t xml:space="preserve"> written by the lead investigator and provided to CDC within 14 days of the completion</w:t>
      </w:r>
      <w:r w:rsidR="00012BA1">
        <w:rPr>
          <w:rFonts w:eastAsia="Arial Unicode MS"/>
          <w:sz w:val="24"/>
          <w:szCs w:val="24"/>
          <w:u w:color="000000"/>
        </w:rPr>
        <w:t xml:space="preserve"> o</w:t>
      </w:r>
      <w:r w:rsidR="007B21AA">
        <w:rPr>
          <w:rFonts w:eastAsia="Arial Unicode MS"/>
          <w:sz w:val="24"/>
          <w:szCs w:val="24"/>
          <w:u w:color="000000"/>
        </w:rPr>
        <w:t>f</w:t>
      </w:r>
      <w:r w:rsidR="00012BA1">
        <w:rPr>
          <w:rFonts w:eastAsia="Arial Unicode MS"/>
          <w:sz w:val="24"/>
          <w:szCs w:val="24"/>
          <w:u w:color="000000"/>
        </w:rPr>
        <w:t xml:space="preserve"> </w:t>
      </w:r>
      <w:r w:rsidR="007B21AA">
        <w:rPr>
          <w:rFonts w:eastAsia="Arial Unicode MS"/>
          <w:sz w:val="24"/>
          <w:szCs w:val="24"/>
          <w:u w:color="000000"/>
        </w:rPr>
        <w:t>the investigation.</w:t>
      </w:r>
      <w:r w:rsidR="00012BA1">
        <w:rPr>
          <w:rFonts w:eastAsia="Arial Unicode MS"/>
          <w:sz w:val="24"/>
          <w:szCs w:val="24"/>
          <w:u w:color="000000"/>
        </w:rPr>
        <w:t xml:space="preserve"> </w:t>
      </w:r>
      <w:r w:rsidR="001A3A81" w:rsidRPr="006E754B">
        <w:rPr>
          <w:rFonts w:eastAsia="Arial Unicode MS"/>
          <w:sz w:val="24"/>
          <w:szCs w:val="24"/>
          <w:u w:color="000000"/>
        </w:rPr>
        <w:t>Any pu</w:t>
      </w:r>
      <w:r w:rsidR="001A3A81" w:rsidRPr="00B651A5">
        <w:rPr>
          <w:rFonts w:eastAsia="Arial Unicode MS"/>
          <w:sz w:val="24"/>
          <w:szCs w:val="24"/>
          <w:u w:color="000000"/>
        </w:rPr>
        <w:t xml:space="preserve">blication of data derived from </w:t>
      </w:r>
      <w:r w:rsidR="00A427A8">
        <w:rPr>
          <w:rFonts w:eastAsia="Arial Unicode MS"/>
          <w:sz w:val="24"/>
          <w:szCs w:val="24"/>
          <w:u w:color="000000"/>
        </w:rPr>
        <w:t xml:space="preserve">a DORI </w:t>
      </w:r>
      <w:r w:rsidR="001A3A81" w:rsidRPr="00B651A5">
        <w:rPr>
          <w:rFonts w:eastAsia="Arial Unicode MS"/>
          <w:sz w:val="24"/>
          <w:szCs w:val="24"/>
          <w:u w:color="000000"/>
        </w:rPr>
        <w:t xml:space="preserve">is subject to review by </w:t>
      </w:r>
      <w:r w:rsidR="005E4E8F" w:rsidRPr="00B651A5">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001A3A81" w:rsidRPr="00B651A5">
        <w:rPr>
          <w:rFonts w:eastAsia="Arial Unicode MS"/>
          <w:sz w:val="24"/>
          <w:szCs w:val="24"/>
          <w:u w:color="000000"/>
        </w:rPr>
        <w:t>CDC, or collaborating federal agencies.</w:t>
      </w:r>
      <w:r w:rsidR="00F74281">
        <w:rPr>
          <w:rFonts w:eastAsia="Arial Unicode MS"/>
          <w:sz w:val="24"/>
          <w:szCs w:val="24"/>
          <w:u w:color="000000"/>
        </w:rPr>
        <w:t xml:space="preserve"> </w:t>
      </w:r>
      <w:r w:rsidR="007B21AA">
        <w:rPr>
          <w:rFonts w:eastAsia="Arial Unicode MS"/>
          <w:sz w:val="24"/>
          <w:szCs w:val="24"/>
          <w:u w:color="000000"/>
        </w:rPr>
        <w:t xml:space="preserve">  </w:t>
      </w:r>
    </w:p>
    <w:p w14:paraId="33954D11" w14:textId="77777777" w:rsidR="00CB0869" w:rsidRDefault="00CB0869" w:rsidP="00B651A5">
      <w:pPr>
        <w:ind w:left="720"/>
        <w:rPr>
          <w:rFonts w:eastAsia="Arial Unicode MS"/>
          <w:sz w:val="24"/>
          <w:szCs w:val="24"/>
          <w:u w:color="000000"/>
        </w:rPr>
      </w:pPr>
    </w:p>
    <w:p w14:paraId="01BA4731" w14:textId="77777777" w:rsidR="00CB0869" w:rsidRPr="00B651A5" w:rsidRDefault="00CB0869" w:rsidP="00B651A5">
      <w:pPr>
        <w:ind w:left="720"/>
        <w:rPr>
          <w:rFonts w:eastAsia="Arial Unicode MS"/>
          <w:sz w:val="24"/>
          <w:szCs w:val="24"/>
          <w:u w:color="000000"/>
        </w:rPr>
      </w:pPr>
      <w:r w:rsidRPr="007366BE">
        <w:rPr>
          <w:rFonts w:eastAsia="Arial Unicode MS"/>
          <w:sz w:val="24"/>
          <w:szCs w:val="24"/>
          <w:u w:color="000000"/>
        </w:rPr>
        <w:t>CDC may receive requests to release the information (e.g., congressional inquiry, Freedom of Information Act requests).  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p>
    <w:p w14:paraId="6249D740" w14:textId="77777777" w:rsidR="001A3A81" w:rsidRPr="00B651A5" w:rsidRDefault="001A3A81" w:rsidP="00B651A5">
      <w:pPr>
        <w:ind w:left="720"/>
        <w:rPr>
          <w:rFonts w:eastAsia="Arial Unicode MS"/>
          <w:sz w:val="24"/>
          <w:szCs w:val="24"/>
          <w:u w:color="000000"/>
        </w:rPr>
      </w:pPr>
    </w:p>
    <w:p w14:paraId="45D391C9"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001A3A81" w:rsidRPr="00B651A5">
        <w:rPr>
          <w:rFonts w:eastAsia="Arial Unicode MS"/>
          <w:b/>
          <w:sz w:val="24"/>
          <w:szCs w:val="24"/>
          <w:u w:color="000000"/>
        </w:rPr>
        <w:t>Reason(s) Display of OMB Expiration Date is Inappropriate</w:t>
      </w:r>
    </w:p>
    <w:p w14:paraId="608CAD33" w14:textId="77777777" w:rsidR="001A3A81" w:rsidRPr="0072690B" w:rsidRDefault="001A3A81" w:rsidP="00B651A5">
      <w:pPr>
        <w:ind w:left="720"/>
        <w:rPr>
          <w:rFonts w:eastAsia="Arial Unicode MS"/>
          <w:sz w:val="24"/>
          <w:szCs w:val="24"/>
          <w:u w:color="000000"/>
        </w:rPr>
      </w:pPr>
    </w:p>
    <w:p w14:paraId="0FDD6DEC" w14:textId="77777777" w:rsidR="001A3A81" w:rsidRPr="0072690B" w:rsidRDefault="005E4E8F" w:rsidP="005E4E8F">
      <w:pPr>
        <w:tabs>
          <w:tab w:val="num" w:pos="720"/>
        </w:tabs>
        <w:rPr>
          <w:rFonts w:eastAsia="Arial Unicode MS"/>
          <w:sz w:val="24"/>
          <w:szCs w:val="24"/>
          <w:u w:color="000000"/>
        </w:rPr>
      </w:pPr>
      <w:r w:rsidRPr="0072690B">
        <w:rPr>
          <w:rFonts w:eastAsia="Arial Unicode MS"/>
          <w:sz w:val="24"/>
          <w:szCs w:val="24"/>
          <w:u w:color="000000"/>
        </w:rPr>
        <w:tab/>
      </w:r>
      <w:r w:rsidR="00126C83" w:rsidRPr="00126C83">
        <w:rPr>
          <w:rFonts w:eastAsia="Arial Unicode MS"/>
          <w:sz w:val="24"/>
          <w:szCs w:val="24"/>
          <w:u w:color="000000"/>
        </w:rPr>
        <w:t>The display of the OMB expiration date is not inappropriate</w:t>
      </w:r>
      <w:r w:rsidR="00A427A8">
        <w:rPr>
          <w:rFonts w:eastAsia="Arial Unicode MS"/>
          <w:sz w:val="24"/>
          <w:szCs w:val="24"/>
          <w:u w:color="000000"/>
        </w:rPr>
        <w:t>.</w:t>
      </w:r>
    </w:p>
    <w:p w14:paraId="3CCEBBE5" w14:textId="77777777" w:rsidR="001A3A81" w:rsidRPr="0072690B" w:rsidRDefault="001A3A81" w:rsidP="00B651A5">
      <w:pPr>
        <w:ind w:left="720"/>
        <w:rPr>
          <w:rFonts w:eastAsia="Arial Unicode MS"/>
          <w:sz w:val="24"/>
          <w:szCs w:val="24"/>
          <w:u w:color="000000"/>
        </w:rPr>
      </w:pPr>
    </w:p>
    <w:p w14:paraId="620B0CC4"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001A3A81" w:rsidRPr="00B651A5">
        <w:rPr>
          <w:rFonts w:eastAsia="Arial Unicode MS"/>
          <w:b/>
          <w:sz w:val="24"/>
          <w:szCs w:val="24"/>
          <w:u w:color="000000"/>
        </w:rPr>
        <w:t>Exceptions to Certification for Paperwork Reduction Act Submissions</w:t>
      </w:r>
    </w:p>
    <w:p w14:paraId="5CF5AD78" w14:textId="77777777" w:rsidR="001A3A81" w:rsidRPr="0072690B" w:rsidRDefault="001A3A81" w:rsidP="00B651A5">
      <w:pPr>
        <w:ind w:left="720"/>
        <w:rPr>
          <w:rFonts w:eastAsia="Arial Unicode MS"/>
          <w:sz w:val="24"/>
          <w:szCs w:val="24"/>
          <w:u w:color="000000"/>
        </w:rPr>
      </w:pPr>
    </w:p>
    <w:p w14:paraId="580CAE82" w14:textId="77777777" w:rsidR="00527A26" w:rsidRPr="00B26655" w:rsidRDefault="00D75048" w:rsidP="00D75048">
      <w:pPr>
        <w:ind w:left="720"/>
        <w:rPr>
          <w:i/>
          <w:szCs w:val="24"/>
          <w:highlight w:val="yellow"/>
        </w:rPr>
      </w:pPr>
      <w:r w:rsidRPr="00D75048">
        <w:rPr>
          <w:rFonts w:eastAsia="Arial Unicode MS"/>
          <w:sz w:val="24"/>
          <w:szCs w:val="24"/>
          <w:u w:color="000000"/>
        </w:rPr>
        <w:t>There are no exceptions to the certification</w:t>
      </w:r>
      <w:r w:rsidR="00A427A8">
        <w:rPr>
          <w:rFonts w:eastAsia="Arial Unicode MS"/>
          <w:sz w:val="24"/>
          <w:szCs w:val="24"/>
          <w:u w:color="000000"/>
        </w:rPr>
        <w:t xml:space="preserve">. </w:t>
      </w:r>
    </w:p>
    <w:sectPr w:rsidR="00527A26" w:rsidRPr="00B26655" w:rsidSect="00E42DF3">
      <w:footerReference w:type="default" r:id="rId14"/>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F32DB" w15:done="0"/>
  <w15:commentEx w15:paraId="1A6EFED6" w15:done="0"/>
  <w15:commentEx w15:paraId="2F331436" w15:done="0"/>
  <w15:commentEx w15:paraId="559B257F" w15:done="0"/>
  <w15:commentEx w15:paraId="3BFA56B9" w15:done="0"/>
  <w15:commentEx w15:paraId="0DDDCC07" w15:done="0"/>
  <w15:commentEx w15:paraId="10E8F3B3" w15:done="0"/>
  <w15:commentEx w15:paraId="53D9D49F" w15:done="0"/>
  <w15:commentEx w15:paraId="66BEB33F" w15:done="0"/>
  <w15:commentEx w15:paraId="3CEF6FC6" w15:done="0"/>
  <w15:commentEx w15:paraId="3D8AC5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C7BF1" w14:textId="77777777" w:rsidR="000B6B4A" w:rsidRDefault="000B6B4A" w:rsidP="007B00EF">
      <w:r>
        <w:separator/>
      </w:r>
    </w:p>
    <w:p w14:paraId="1CFBBED2" w14:textId="77777777" w:rsidR="000B6B4A" w:rsidRDefault="000B6B4A" w:rsidP="007B00EF"/>
    <w:p w14:paraId="00D431EB" w14:textId="77777777" w:rsidR="000B6B4A" w:rsidRDefault="000B6B4A" w:rsidP="007B00EF"/>
    <w:p w14:paraId="678BBD9D" w14:textId="77777777" w:rsidR="000B6B4A" w:rsidRDefault="000B6B4A"/>
  </w:endnote>
  <w:endnote w:type="continuationSeparator" w:id="0">
    <w:p w14:paraId="5C58004C" w14:textId="77777777" w:rsidR="000B6B4A" w:rsidRDefault="000B6B4A" w:rsidP="007B00EF">
      <w:r>
        <w:continuationSeparator/>
      </w:r>
    </w:p>
    <w:p w14:paraId="371046BE" w14:textId="77777777" w:rsidR="000B6B4A" w:rsidRDefault="000B6B4A" w:rsidP="007B00EF"/>
    <w:p w14:paraId="0676A66B" w14:textId="77777777" w:rsidR="000B6B4A" w:rsidRDefault="000B6B4A" w:rsidP="007B00EF"/>
    <w:p w14:paraId="10DAFD9D" w14:textId="77777777" w:rsidR="000B6B4A" w:rsidRDefault="000B6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1058" w14:textId="77777777" w:rsidR="000B6B4A" w:rsidRDefault="000B6B4A">
    <w:pPr>
      <w:pStyle w:val="Footer"/>
      <w:jc w:val="right"/>
    </w:pPr>
    <w:r>
      <w:fldChar w:fldCharType="begin"/>
    </w:r>
    <w:r>
      <w:instrText xml:space="preserve"> PAGE   \* MERGEFORMAT </w:instrText>
    </w:r>
    <w:r>
      <w:fldChar w:fldCharType="separate"/>
    </w:r>
    <w:r w:rsidR="000E6CAF">
      <w:rPr>
        <w:noProof/>
      </w:rPr>
      <w:t>2</w:t>
    </w:r>
    <w:r>
      <w:rPr>
        <w:noProof/>
      </w:rPr>
      <w:fldChar w:fldCharType="end"/>
    </w:r>
  </w:p>
  <w:p w14:paraId="4D37B4DE" w14:textId="77777777" w:rsidR="000B6B4A" w:rsidRDefault="000B6B4A" w:rsidP="007B0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A03AF" w14:textId="77777777" w:rsidR="000B6B4A" w:rsidRDefault="000B6B4A" w:rsidP="007B00EF">
      <w:r>
        <w:separator/>
      </w:r>
    </w:p>
    <w:p w14:paraId="0ABC215A" w14:textId="77777777" w:rsidR="000B6B4A" w:rsidRDefault="000B6B4A" w:rsidP="007B00EF"/>
    <w:p w14:paraId="6E5825D3" w14:textId="77777777" w:rsidR="000B6B4A" w:rsidRDefault="000B6B4A" w:rsidP="007B00EF"/>
    <w:p w14:paraId="46B00F54" w14:textId="77777777" w:rsidR="000B6B4A" w:rsidRDefault="000B6B4A"/>
  </w:footnote>
  <w:footnote w:type="continuationSeparator" w:id="0">
    <w:p w14:paraId="693DC996" w14:textId="77777777" w:rsidR="000B6B4A" w:rsidRDefault="000B6B4A" w:rsidP="007B00EF">
      <w:r>
        <w:continuationSeparator/>
      </w:r>
    </w:p>
    <w:p w14:paraId="026B719D" w14:textId="77777777" w:rsidR="000B6B4A" w:rsidRDefault="000B6B4A" w:rsidP="007B00EF"/>
    <w:p w14:paraId="6EF239A6" w14:textId="77777777" w:rsidR="000B6B4A" w:rsidRDefault="000B6B4A" w:rsidP="007B00EF"/>
    <w:p w14:paraId="5D9A7630" w14:textId="77777777" w:rsidR="000B6B4A" w:rsidRDefault="000B6B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08722370"/>
    <w:multiLevelType w:val="hybridMultilevel"/>
    <w:tmpl w:val="34900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D8698D"/>
    <w:multiLevelType w:val="multilevel"/>
    <w:tmpl w:val="091E22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484C66"/>
    <w:multiLevelType w:val="multilevel"/>
    <w:tmpl w:val="55B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4651F1"/>
    <w:multiLevelType w:val="hybridMultilevel"/>
    <w:tmpl w:val="A932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2E0670"/>
    <w:multiLevelType w:val="hybridMultilevel"/>
    <w:tmpl w:val="586CB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3360E5"/>
    <w:multiLevelType w:val="hybridMultilevel"/>
    <w:tmpl w:val="FF9A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FB370B"/>
    <w:multiLevelType w:val="multilevel"/>
    <w:tmpl w:val="AB485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BAC6714"/>
    <w:multiLevelType w:val="hybridMultilevel"/>
    <w:tmpl w:val="8732096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37237CD"/>
    <w:multiLevelType w:val="hybridMultilevel"/>
    <w:tmpl w:val="0E2C23A4"/>
    <w:lvl w:ilvl="0" w:tplc="9A94AE8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856C8"/>
    <w:multiLevelType w:val="hybridMultilevel"/>
    <w:tmpl w:val="63E48DEA"/>
    <w:lvl w:ilvl="0" w:tplc="A7307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B4763A"/>
    <w:multiLevelType w:val="hybridMultilevel"/>
    <w:tmpl w:val="62888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D3F44"/>
    <w:multiLevelType w:val="hybridMultilevel"/>
    <w:tmpl w:val="250CA26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nsid w:val="56F12528"/>
    <w:multiLevelType w:val="multilevel"/>
    <w:tmpl w:val="A84024E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3">
    <w:nsid w:val="7B55498D"/>
    <w:multiLevelType w:val="multilevel"/>
    <w:tmpl w:val="D57CAA8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3"/>
  </w:num>
  <w:num w:numId="10">
    <w:abstractNumId w:val="14"/>
  </w:num>
  <w:num w:numId="11">
    <w:abstractNumId w:val="11"/>
  </w:num>
  <w:num w:numId="12">
    <w:abstractNumId w:val="7"/>
  </w:num>
  <w:num w:numId="13">
    <w:abstractNumId w:val="12"/>
  </w:num>
  <w:num w:numId="14">
    <w:abstractNumId w:val="9"/>
  </w:num>
  <w:num w:numId="15">
    <w:abstractNumId w:val="20"/>
  </w:num>
  <w:num w:numId="16">
    <w:abstractNumId w:val="15"/>
  </w:num>
  <w:num w:numId="17">
    <w:abstractNumId w:val="18"/>
  </w:num>
  <w:num w:numId="18">
    <w:abstractNumId w:val="10"/>
  </w:num>
  <w:num w:numId="19">
    <w:abstractNumId w:val="17"/>
  </w:num>
  <w:num w:numId="20">
    <w:abstractNumId w:val="8"/>
  </w:num>
  <w:num w:numId="21">
    <w:abstractNumId w:val="19"/>
  </w:num>
  <w:num w:numId="22">
    <w:abstractNumId w:val="21"/>
  </w:num>
  <w:num w:numId="23">
    <w:abstractNumId w:val="23"/>
  </w:num>
  <w:num w:numId="24">
    <w:abstractNumId w:val="1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276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9F"/>
    <w:rsid w:val="00002F4E"/>
    <w:rsid w:val="00005127"/>
    <w:rsid w:val="00012BA1"/>
    <w:rsid w:val="00016DEC"/>
    <w:rsid w:val="00020382"/>
    <w:rsid w:val="000247F2"/>
    <w:rsid w:val="00024A7F"/>
    <w:rsid w:val="0002517B"/>
    <w:rsid w:val="0002585A"/>
    <w:rsid w:val="0002687E"/>
    <w:rsid w:val="00026EFB"/>
    <w:rsid w:val="00036299"/>
    <w:rsid w:val="000372F2"/>
    <w:rsid w:val="00042053"/>
    <w:rsid w:val="00044989"/>
    <w:rsid w:val="00052F35"/>
    <w:rsid w:val="000538E0"/>
    <w:rsid w:val="00054253"/>
    <w:rsid w:val="00061EBE"/>
    <w:rsid w:val="0006592E"/>
    <w:rsid w:val="00066150"/>
    <w:rsid w:val="0006715E"/>
    <w:rsid w:val="00067D72"/>
    <w:rsid w:val="000733E0"/>
    <w:rsid w:val="00074BA3"/>
    <w:rsid w:val="00076C2D"/>
    <w:rsid w:val="00076C45"/>
    <w:rsid w:val="00082808"/>
    <w:rsid w:val="00084DE8"/>
    <w:rsid w:val="0008519B"/>
    <w:rsid w:val="00090414"/>
    <w:rsid w:val="00090A7C"/>
    <w:rsid w:val="000930D0"/>
    <w:rsid w:val="00094296"/>
    <w:rsid w:val="00096679"/>
    <w:rsid w:val="00097DBB"/>
    <w:rsid w:val="000A20EA"/>
    <w:rsid w:val="000A37F1"/>
    <w:rsid w:val="000A7A00"/>
    <w:rsid w:val="000B6B4A"/>
    <w:rsid w:val="000B6E62"/>
    <w:rsid w:val="000B6F9B"/>
    <w:rsid w:val="000C132C"/>
    <w:rsid w:val="000C4532"/>
    <w:rsid w:val="000C4695"/>
    <w:rsid w:val="000C509C"/>
    <w:rsid w:val="000C6F89"/>
    <w:rsid w:val="000D6F7F"/>
    <w:rsid w:val="000D768F"/>
    <w:rsid w:val="000E01DB"/>
    <w:rsid w:val="000E20DA"/>
    <w:rsid w:val="000E290A"/>
    <w:rsid w:val="000E615D"/>
    <w:rsid w:val="000E6AB4"/>
    <w:rsid w:val="000E6CAF"/>
    <w:rsid w:val="000F01ED"/>
    <w:rsid w:val="000F07E4"/>
    <w:rsid w:val="000F515B"/>
    <w:rsid w:val="000F68D7"/>
    <w:rsid w:val="000F750C"/>
    <w:rsid w:val="001011A2"/>
    <w:rsid w:val="001016C4"/>
    <w:rsid w:val="00101E8A"/>
    <w:rsid w:val="00102314"/>
    <w:rsid w:val="0010570F"/>
    <w:rsid w:val="00106B85"/>
    <w:rsid w:val="001076E0"/>
    <w:rsid w:val="00115210"/>
    <w:rsid w:val="00121E6B"/>
    <w:rsid w:val="0012450C"/>
    <w:rsid w:val="00126329"/>
    <w:rsid w:val="00126C83"/>
    <w:rsid w:val="00131799"/>
    <w:rsid w:val="00132AAC"/>
    <w:rsid w:val="0013390E"/>
    <w:rsid w:val="001401CD"/>
    <w:rsid w:val="00142656"/>
    <w:rsid w:val="00144232"/>
    <w:rsid w:val="001450A6"/>
    <w:rsid w:val="001479A9"/>
    <w:rsid w:val="00157FCB"/>
    <w:rsid w:val="00165577"/>
    <w:rsid w:val="0016709B"/>
    <w:rsid w:val="00167BC4"/>
    <w:rsid w:val="001726FC"/>
    <w:rsid w:val="00173013"/>
    <w:rsid w:val="00174CDD"/>
    <w:rsid w:val="001860B7"/>
    <w:rsid w:val="00187F1A"/>
    <w:rsid w:val="00190FB0"/>
    <w:rsid w:val="001922D0"/>
    <w:rsid w:val="00194E12"/>
    <w:rsid w:val="00197195"/>
    <w:rsid w:val="00197565"/>
    <w:rsid w:val="001A08ED"/>
    <w:rsid w:val="001A1184"/>
    <w:rsid w:val="001A1ED2"/>
    <w:rsid w:val="001A3A81"/>
    <w:rsid w:val="001B1E51"/>
    <w:rsid w:val="001C1752"/>
    <w:rsid w:val="001D057E"/>
    <w:rsid w:val="001D372C"/>
    <w:rsid w:val="001D4CB1"/>
    <w:rsid w:val="001E0E20"/>
    <w:rsid w:val="001E3C25"/>
    <w:rsid w:val="001E5A9A"/>
    <w:rsid w:val="001E621C"/>
    <w:rsid w:val="001F1074"/>
    <w:rsid w:val="001F1EF2"/>
    <w:rsid w:val="001F2DB9"/>
    <w:rsid w:val="001F6366"/>
    <w:rsid w:val="001F7FCC"/>
    <w:rsid w:val="00203376"/>
    <w:rsid w:val="00206A43"/>
    <w:rsid w:val="00210A99"/>
    <w:rsid w:val="00213991"/>
    <w:rsid w:val="00214BB9"/>
    <w:rsid w:val="0022026C"/>
    <w:rsid w:val="0022047D"/>
    <w:rsid w:val="00220984"/>
    <w:rsid w:val="00221811"/>
    <w:rsid w:val="0022573B"/>
    <w:rsid w:val="002271AE"/>
    <w:rsid w:val="00230EFC"/>
    <w:rsid w:val="00233070"/>
    <w:rsid w:val="0024404F"/>
    <w:rsid w:val="00246E3D"/>
    <w:rsid w:val="002473B4"/>
    <w:rsid w:val="00247477"/>
    <w:rsid w:val="00257F3B"/>
    <w:rsid w:val="00262291"/>
    <w:rsid w:val="002624DC"/>
    <w:rsid w:val="002638C4"/>
    <w:rsid w:val="00266AB9"/>
    <w:rsid w:val="00270413"/>
    <w:rsid w:val="00271B6E"/>
    <w:rsid w:val="00271CA9"/>
    <w:rsid w:val="00274FA8"/>
    <w:rsid w:val="00284B6F"/>
    <w:rsid w:val="00285009"/>
    <w:rsid w:val="0029156B"/>
    <w:rsid w:val="00293F87"/>
    <w:rsid w:val="0029517C"/>
    <w:rsid w:val="002959BB"/>
    <w:rsid w:val="002A01BE"/>
    <w:rsid w:val="002A11A0"/>
    <w:rsid w:val="002A2094"/>
    <w:rsid w:val="002A3A1F"/>
    <w:rsid w:val="002A560C"/>
    <w:rsid w:val="002B00A1"/>
    <w:rsid w:val="002B3761"/>
    <w:rsid w:val="002B458F"/>
    <w:rsid w:val="002B4D56"/>
    <w:rsid w:val="002B7FD7"/>
    <w:rsid w:val="002C47A7"/>
    <w:rsid w:val="002C4FD0"/>
    <w:rsid w:val="002C5811"/>
    <w:rsid w:val="002C6FD8"/>
    <w:rsid w:val="002D0C89"/>
    <w:rsid w:val="002D2095"/>
    <w:rsid w:val="002D635F"/>
    <w:rsid w:val="002D7FE3"/>
    <w:rsid w:val="002E2629"/>
    <w:rsid w:val="002E6D60"/>
    <w:rsid w:val="002F3968"/>
    <w:rsid w:val="002F4D16"/>
    <w:rsid w:val="002F6278"/>
    <w:rsid w:val="002F6447"/>
    <w:rsid w:val="00300900"/>
    <w:rsid w:val="00301304"/>
    <w:rsid w:val="0030280F"/>
    <w:rsid w:val="00304F0B"/>
    <w:rsid w:val="00305642"/>
    <w:rsid w:val="00306122"/>
    <w:rsid w:val="0030686B"/>
    <w:rsid w:val="00312AA7"/>
    <w:rsid w:val="00317753"/>
    <w:rsid w:val="00317767"/>
    <w:rsid w:val="00324EC4"/>
    <w:rsid w:val="00325322"/>
    <w:rsid w:val="00325A6F"/>
    <w:rsid w:val="003323A5"/>
    <w:rsid w:val="00332B6F"/>
    <w:rsid w:val="003346A2"/>
    <w:rsid w:val="00334EB9"/>
    <w:rsid w:val="0033670B"/>
    <w:rsid w:val="00344C1E"/>
    <w:rsid w:val="00345C7F"/>
    <w:rsid w:val="00345D95"/>
    <w:rsid w:val="003503DE"/>
    <w:rsid w:val="00350D54"/>
    <w:rsid w:val="00352223"/>
    <w:rsid w:val="00353430"/>
    <w:rsid w:val="00361D66"/>
    <w:rsid w:val="00362743"/>
    <w:rsid w:val="0036547C"/>
    <w:rsid w:val="00367025"/>
    <w:rsid w:val="00370F59"/>
    <w:rsid w:val="00371B70"/>
    <w:rsid w:val="00374D9E"/>
    <w:rsid w:val="00377F69"/>
    <w:rsid w:val="003803D3"/>
    <w:rsid w:val="003832D0"/>
    <w:rsid w:val="00383C44"/>
    <w:rsid w:val="0038659E"/>
    <w:rsid w:val="00391807"/>
    <w:rsid w:val="00392215"/>
    <w:rsid w:val="00394D21"/>
    <w:rsid w:val="003A3667"/>
    <w:rsid w:val="003A6046"/>
    <w:rsid w:val="003B1051"/>
    <w:rsid w:val="003B1FBE"/>
    <w:rsid w:val="003B3F56"/>
    <w:rsid w:val="003B4912"/>
    <w:rsid w:val="003B6046"/>
    <w:rsid w:val="003B60F1"/>
    <w:rsid w:val="003B6FD9"/>
    <w:rsid w:val="003B7280"/>
    <w:rsid w:val="003C36C5"/>
    <w:rsid w:val="003C4D18"/>
    <w:rsid w:val="003C6761"/>
    <w:rsid w:val="003D1D34"/>
    <w:rsid w:val="003D244E"/>
    <w:rsid w:val="003D39F9"/>
    <w:rsid w:val="003D5A5C"/>
    <w:rsid w:val="003D7C59"/>
    <w:rsid w:val="003E15CC"/>
    <w:rsid w:val="003E1AEC"/>
    <w:rsid w:val="003E4F3A"/>
    <w:rsid w:val="003E5F22"/>
    <w:rsid w:val="003E6CF2"/>
    <w:rsid w:val="003E771C"/>
    <w:rsid w:val="003F1BEF"/>
    <w:rsid w:val="003F3652"/>
    <w:rsid w:val="003F4281"/>
    <w:rsid w:val="003F73C1"/>
    <w:rsid w:val="003F7482"/>
    <w:rsid w:val="004005EE"/>
    <w:rsid w:val="0040196A"/>
    <w:rsid w:val="004023AB"/>
    <w:rsid w:val="00406936"/>
    <w:rsid w:val="00406A94"/>
    <w:rsid w:val="004109F4"/>
    <w:rsid w:val="0041615D"/>
    <w:rsid w:val="0042175C"/>
    <w:rsid w:val="00425632"/>
    <w:rsid w:val="00425644"/>
    <w:rsid w:val="00433BD8"/>
    <w:rsid w:val="0043689B"/>
    <w:rsid w:val="00442472"/>
    <w:rsid w:val="00444F72"/>
    <w:rsid w:val="00445BE2"/>
    <w:rsid w:val="00446BD3"/>
    <w:rsid w:val="00451654"/>
    <w:rsid w:val="00456CF8"/>
    <w:rsid w:val="004612F1"/>
    <w:rsid w:val="00461626"/>
    <w:rsid w:val="00464AA4"/>
    <w:rsid w:val="00464AB6"/>
    <w:rsid w:val="00465D38"/>
    <w:rsid w:val="00465DBE"/>
    <w:rsid w:val="0047565B"/>
    <w:rsid w:val="00475995"/>
    <w:rsid w:val="00476ED6"/>
    <w:rsid w:val="00483688"/>
    <w:rsid w:val="00484982"/>
    <w:rsid w:val="00485EC5"/>
    <w:rsid w:val="00486366"/>
    <w:rsid w:val="0049013A"/>
    <w:rsid w:val="00492679"/>
    <w:rsid w:val="00495394"/>
    <w:rsid w:val="004955C2"/>
    <w:rsid w:val="00496C47"/>
    <w:rsid w:val="004A1378"/>
    <w:rsid w:val="004A2C6F"/>
    <w:rsid w:val="004A3D80"/>
    <w:rsid w:val="004A5470"/>
    <w:rsid w:val="004A6568"/>
    <w:rsid w:val="004B1F20"/>
    <w:rsid w:val="004B339C"/>
    <w:rsid w:val="004B35B1"/>
    <w:rsid w:val="004B5BC7"/>
    <w:rsid w:val="004B6929"/>
    <w:rsid w:val="004C2E26"/>
    <w:rsid w:val="004C3342"/>
    <w:rsid w:val="004C3F1E"/>
    <w:rsid w:val="004D04B0"/>
    <w:rsid w:val="004D09B0"/>
    <w:rsid w:val="004D1C1F"/>
    <w:rsid w:val="004D3AB4"/>
    <w:rsid w:val="004D7937"/>
    <w:rsid w:val="004E11CC"/>
    <w:rsid w:val="004E1210"/>
    <w:rsid w:val="004E4BCE"/>
    <w:rsid w:val="004E55A2"/>
    <w:rsid w:val="004E5690"/>
    <w:rsid w:val="004E5729"/>
    <w:rsid w:val="004F0087"/>
    <w:rsid w:val="004F01C8"/>
    <w:rsid w:val="004F2C57"/>
    <w:rsid w:val="004F2C60"/>
    <w:rsid w:val="004F3571"/>
    <w:rsid w:val="004F360B"/>
    <w:rsid w:val="004F4B5F"/>
    <w:rsid w:val="004F570B"/>
    <w:rsid w:val="00501620"/>
    <w:rsid w:val="00502F5E"/>
    <w:rsid w:val="00504DD6"/>
    <w:rsid w:val="005051EF"/>
    <w:rsid w:val="00506F5C"/>
    <w:rsid w:val="005100DC"/>
    <w:rsid w:val="005100F4"/>
    <w:rsid w:val="00512FCF"/>
    <w:rsid w:val="005140E4"/>
    <w:rsid w:val="00515B48"/>
    <w:rsid w:val="00515C52"/>
    <w:rsid w:val="00517DC4"/>
    <w:rsid w:val="0052102D"/>
    <w:rsid w:val="0052206B"/>
    <w:rsid w:val="005250DD"/>
    <w:rsid w:val="00525759"/>
    <w:rsid w:val="00525E54"/>
    <w:rsid w:val="005277A1"/>
    <w:rsid w:val="00527A26"/>
    <w:rsid w:val="00527E8C"/>
    <w:rsid w:val="00534FAE"/>
    <w:rsid w:val="0053703B"/>
    <w:rsid w:val="00542718"/>
    <w:rsid w:val="005427BE"/>
    <w:rsid w:val="005446F8"/>
    <w:rsid w:val="0055073F"/>
    <w:rsid w:val="0055162A"/>
    <w:rsid w:val="005534ED"/>
    <w:rsid w:val="00556D22"/>
    <w:rsid w:val="00561A72"/>
    <w:rsid w:val="005632DC"/>
    <w:rsid w:val="005666FA"/>
    <w:rsid w:val="0057020E"/>
    <w:rsid w:val="0057273B"/>
    <w:rsid w:val="0057310B"/>
    <w:rsid w:val="00573945"/>
    <w:rsid w:val="00573FE3"/>
    <w:rsid w:val="0057407D"/>
    <w:rsid w:val="0057601D"/>
    <w:rsid w:val="00580166"/>
    <w:rsid w:val="0058687C"/>
    <w:rsid w:val="00587D12"/>
    <w:rsid w:val="00591DFF"/>
    <w:rsid w:val="00595C86"/>
    <w:rsid w:val="00597AC3"/>
    <w:rsid w:val="005A0675"/>
    <w:rsid w:val="005A2160"/>
    <w:rsid w:val="005A4FDF"/>
    <w:rsid w:val="005A6841"/>
    <w:rsid w:val="005A702A"/>
    <w:rsid w:val="005A7152"/>
    <w:rsid w:val="005A72D6"/>
    <w:rsid w:val="005B0F82"/>
    <w:rsid w:val="005B18C3"/>
    <w:rsid w:val="005B6DA9"/>
    <w:rsid w:val="005C0568"/>
    <w:rsid w:val="005C0BF8"/>
    <w:rsid w:val="005C2324"/>
    <w:rsid w:val="005D08AD"/>
    <w:rsid w:val="005D7275"/>
    <w:rsid w:val="005E159F"/>
    <w:rsid w:val="005E4C86"/>
    <w:rsid w:val="005E4E8F"/>
    <w:rsid w:val="005F0179"/>
    <w:rsid w:val="005F675F"/>
    <w:rsid w:val="0060020B"/>
    <w:rsid w:val="00601AE9"/>
    <w:rsid w:val="00602841"/>
    <w:rsid w:val="00603B37"/>
    <w:rsid w:val="00603C5F"/>
    <w:rsid w:val="0060669F"/>
    <w:rsid w:val="00612D14"/>
    <w:rsid w:val="00623090"/>
    <w:rsid w:val="0062522E"/>
    <w:rsid w:val="00625BFD"/>
    <w:rsid w:val="00631986"/>
    <w:rsid w:val="0063287E"/>
    <w:rsid w:val="00632985"/>
    <w:rsid w:val="00633917"/>
    <w:rsid w:val="00634FD9"/>
    <w:rsid w:val="00635454"/>
    <w:rsid w:val="00637472"/>
    <w:rsid w:val="006400CE"/>
    <w:rsid w:val="00651E48"/>
    <w:rsid w:val="00652D54"/>
    <w:rsid w:val="00653F38"/>
    <w:rsid w:val="00655C19"/>
    <w:rsid w:val="0066020E"/>
    <w:rsid w:val="00660679"/>
    <w:rsid w:val="00661D5F"/>
    <w:rsid w:val="00665259"/>
    <w:rsid w:val="0066544C"/>
    <w:rsid w:val="006704EF"/>
    <w:rsid w:val="00673657"/>
    <w:rsid w:val="00674AFF"/>
    <w:rsid w:val="00676A7E"/>
    <w:rsid w:val="00677495"/>
    <w:rsid w:val="00683702"/>
    <w:rsid w:val="0068451A"/>
    <w:rsid w:val="00691477"/>
    <w:rsid w:val="00692342"/>
    <w:rsid w:val="00693732"/>
    <w:rsid w:val="00693ABF"/>
    <w:rsid w:val="006967AB"/>
    <w:rsid w:val="006A59AE"/>
    <w:rsid w:val="006A60A3"/>
    <w:rsid w:val="006A7BC9"/>
    <w:rsid w:val="006B3FFA"/>
    <w:rsid w:val="006B5C4B"/>
    <w:rsid w:val="006B6616"/>
    <w:rsid w:val="006B73D1"/>
    <w:rsid w:val="006C1323"/>
    <w:rsid w:val="006C1D25"/>
    <w:rsid w:val="006C395E"/>
    <w:rsid w:val="006C508A"/>
    <w:rsid w:val="006C6CE1"/>
    <w:rsid w:val="006D0E4B"/>
    <w:rsid w:val="006D10DD"/>
    <w:rsid w:val="006D47D5"/>
    <w:rsid w:val="006D7365"/>
    <w:rsid w:val="006E127B"/>
    <w:rsid w:val="006E5EB5"/>
    <w:rsid w:val="006E754B"/>
    <w:rsid w:val="006E7636"/>
    <w:rsid w:val="006F00D3"/>
    <w:rsid w:val="006F325B"/>
    <w:rsid w:val="006F3BC8"/>
    <w:rsid w:val="006F4031"/>
    <w:rsid w:val="007019A7"/>
    <w:rsid w:val="007026AA"/>
    <w:rsid w:val="00702969"/>
    <w:rsid w:val="00702DB7"/>
    <w:rsid w:val="00704140"/>
    <w:rsid w:val="00706D52"/>
    <w:rsid w:val="00706EC6"/>
    <w:rsid w:val="00710B97"/>
    <w:rsid w:val="007150E2"/>
    <w:rsid w:val="00715540"/>
    <w:rsid w:val="007227B1"/>
    <w:rsid w:val="007243F0"/>
    <w:rsid w:val="00725B6C"/>
    <w:rsid w:val="00725CF0"/>
    <w:rsid w:val="0072690B"/>
    <w:rsid w:val="00726D23"/>
    <w:rsid w:val="00730455"/>
    <w:rsid w:val="0073315B"/>
    <w:rsid w:val="00733369"/>
    <w:rsid w:val="0073465E"/>
    <w:rsid w:val="007366BE"/>
    <w:rsid w:val="00736C53"/>
    <w:rsid w:val="00736FD7"/>
    <w:rsid w:val="007436F9"/>
    <w:rsid w:val="00743AF9"/>
    <w:rsid w:val="007442FB"/>
    <w:rsid w:val="00746C28"/>
    <w:rsid w:val="0076067D"/>
    <w:rsid w:val="00765D5A"/>
    <w:rsid w:val="0077278C"/>
    <w:rsid w:val="00773955"/>
    <w:rsid w:val="00775C7A"/>
    <w:rsid w:val="0077737F"/>
    <w:rsid w:val="00783129"/>
    <w:rsid w:val="00784C67"/>
    <w:rsid w:val="007864BA"/>
    <w:rsid w:val="0078769C"/>
    <w:rsid w:val="0079241F"/>
    <w:rsid w:val="007930C5"/>
    <w:rsid w:val="00796489"/>
    <w:rsid w:val="0079779B"/>
    <w:rsid w:val="007A0CBB"/>
    <w:rsid w:val="007A226A"/>
    <w:rsid w:val="007A229D"/>
    <w:rsid w:val="007A35A8"/>
    <w:rsid w:val="007A664F"/>
    <w:rsid w:val="007A6CCE"/>
    <w:rsid w:val="007B00EF"/>
    <w:rsid w:val="007B14DE"/>
    <w:rsid w:val="007B21AA"/>
    <w:rsid w:val="007B50AA"/>
    <w:rsid w:val="007B55EF"/>
    <w:rsid w:val="007B622F"/>
    <w:rsid w:val="007B79DD"/>
    <w:rsid w:val="007C0C42"/>
    <w:rsid w:val="007C1705"/>
    <w:rsid w:val="007C1A8B"/>
    <w:rsid w:val="007C22E9"/>
    <w:rsid w:val="007C24F4"/>
    <w:rsid w:val="007C7C1B"/>
    <w:rsid w:val="007D2930"/>
    <w:rsid w:val="007D2C17"/>
    <w:rsid w:val="007D7E6C"/>
    <w:rsid w:val="007E1407"/>
    <w:rsid w:val="007E6CA5"/>
    <w:rsid w:val="007E759B"/>
    <w:rsid w:val="007F380B"/>
    <w:rsid w:val="007F388B"/>
    <w:rsid w:val="00801F06"/>
    <w:rsid w:val="008021C0"/>
    <w:rsid w:val="0080767C"/>
    <w:rsid w:val="008128E6"/>
    <w:rsid w:val="00821C53"/>
    <w:rsid w:val="00823B48"/>
    <w:rsid w:val="0082439B"/>
    <w:rsid w:val="008248AD"/>
    <w:rsid w:val="00824E8A"/>
    <w:rsid w:val="00825311"/>
    <w:rsid w:val="00826517"/>
    <w:rsid w:val="00826AE6"/>
    <w:rsid w:val="00826B23"/>
    <w:rsid w:val="00827FB0"/>
    <w:rsid w:val="00830DF9"/>
    <w:rsid w:val="008352B4"/>
    <w:rsid w:val="008402B3"/>
    <w:rsid w:val="00840E08"/>
    <w:rsid w:val="00842ED7"/>
    <w:rsid w:val="008436A6"/>
    <w:rsid w:val="00846FB3"/>
    <w:rsid w:val="00847460"/>
    <w:rsid w:val="00847CE1"/>
    <w:rsid w:val="00850C2F"/>
    <w:rsid w:val="008523D7"/>
    <w:rsid w:val="00853852"/>
    <w:rsid w:val="008553DD"/>
    <w:rsid w:val="00855F1E"/>
    <w:rsid w:val="00864093"/>
    <w:rsid w:val="00865821"/>
    <w:rsid w:val="00871EF7"/>
    <w:rsid w:val="00884221"/>
    <w:rsid w:val="008845B3"/>
    <w:rsid w:val="0088487F"/>
    <w:rsid w:val="00884D4F"/>
    <w:rsid w:val="00887549"/>
    <w:rsid w:val="00891725"/>
    <w:rsid w:val="0089379A"/>
    <w:rsid w:val="008A389B"/>
    <w:rsid w:val="008A70DD"/>
    <w:rsid w:val="008A769D"/>
    <w:rsid w:val="008B0D1B"/>
    <w:rsid w:val="008B0FD8"/>
    <w:rsid w:val="008B1118"/>
    <w:rsid w:val="008B40CF"/>
    <w:rsid w:val="008B53A1"/>
    <w:rsid w:val="008B5DF7"/>
    <w:rsid w:val="008B60AE"/>
    <w:rsid w:val="008B7029"/>
    <w:rsid w:val="008B710F"/>
    <w:rsid w:val="008C1F9E"/>
    <w:rsid w:val="008C32AF"/>
    <w:rsid w:val="008C496E"/>
    <w:rsid w:val="008C4E0C"/>
    <w:rsid w:val="008C5039"/>
    <w:rsid w:val="008C7192"/>
    <w:rsid w:val="008D41BA"/>
    <w:rsid w:val="008D4D35"/>
    <w:rsid w:val="008D6B6E"/>
    <w:rsid w:val="008D7C33"/>
    <w:rsid w:val="008D7C72"/>
    <w:rsid w:val="008E4B57"/>
    <w:rsid w:val="008E5894"/>
    <w:rsid w:val="008F0310"/>
    <w:rsid w:val="00901830"/>
    <w:rsid w:val="00902D98"/>
    <w:rsid w:val="00907102"/>
    <w:rsid w:val="00907CDB"/>
    <w:rsid w:val="00907FA5"/>
    <w:rsid w:val="00910F69"/>
    <w:rsid w:val="00912A6F"/>
    <w:rsid w:val="0091546E"/>
    <w:rsid w:val="00915960"/>
    <w:rsid w:val="009178D4"/>
    <w:rsid w:val="00922CB1"/>
    <w:rsid w:val="00922CE2"/>
    <w:rsid w:val="009232F5"/>
    <w:rsid w:val="009242D2"/>
    <w:rsid w:val="00926DD5"/>
    <w:rsid w:val="0093464B"/>
    <w:rsid w:val="00935A6B"/>
    <w:rsid w:val="00937BBE"/>
    <w:rsid w:val="00944B86"/>
    <w:rsid w:val="00946464"/>
    <w:rsid w:val="00946BF8"/>
    <w:rsid w:val="00946F29"/>
    <w:rsid w:val="00947010"/>
    <w:rsid w:val="0094710D"/>
    <w:rsid w:val="00947D02"/>
    <w:rsid w:val="009502E0"/>
    <w:rsid w:val="00950428"/>
    <w:rsid w:val="00952A8C"/>
    <w:rsid w:val="00954C0F"/>
    <w:rsid w:val="00955551"/>
    <w:rsid w:val="00960093"/>
    <w:rsid w:val="00961DFC"/>
    <w:rsid w:val="00962D6E"/>
    <w:rsid w:val="00963BFF"/>
    <w:rsid w:val="00964634"/>
    <w:rsid w:val="00965156"/>
    <w:rsid w:val="00966150"/>
    <w:rsid w:val="0096759A"/>
    <w:rsid w:val="00971766"/>
    <w:rsid w:val="009717C6"/>
    <w:rsid w:val="00975656"/>
    <w:rsid w:val="00975CAD"/>
    <w:rsid w:val="00976B38"/>
    <w:rsid w:val="009776A4"/>
    <w:rsid w:val="00977EFD"/>
    <w:rsid w:val="00981B75"/>
    <w:rsid w:val="009844C3"/>
    <w:rsid w:val="009854D9"/>
    <w:rsid w:val="00985A72"/>
    <w:rsid w:val="00985A79"/>
    <w:rsid w:val="00985D44"/>
    <w:rsid w:val="00990631"/>
    <w:rsid w:val="009974AD"/>
    <w:rsid w:val="009A2618"/>
    <w:rsid w:val="009A49E2"/>
    <w:rsid w:val="009A7C47"/>
    <w:rsid w:val="009B44C6"/>
    <w:rsid w:val="009C2D3D"/>
    <w:rsid w:val="009C3653"/>
    <w:rsid w:val="009C70BC"/>
    <w:rsid w:val="009D0E3F"/>
    <w:rsid w:val="009D625B"/>
    <w:rsid w:val="009D7F42"/>
    <w:rsid w:val="009E2AA1"/>
    <w:rsid w:val="009E7AEB"/>
    <w:rsid w:val="009F02CB"/>
    <w:rsid w:val="009F0C79"/>
    <w:rsid w:val="009F198C"/>
    <w:rsid w:val="009F1D6E"/>
    <w:rsid w:val="009F6C9A"/>
    <w:rsid w:val="009F7334"/>
    <w:rsid w:val="00A00C74"/>
    <w:rsid w:val="00A016EF"/>
    <w:rsid w:val="00A02FDC"/>
    <w:rsid w:val="00A05BCF"/>
    <w:rsid w:val="00A05FCA"/>
    <w:rsid w:val="00A07CD1"/>
    <w:rsid w:val="00A10978"/>
    <w:rsid w:val="00A11519"/>
    <w:rsid w:val="00A1202E"/>
    <w:rsid w:val="00A1254A"/>
    <w:rsid w:val="00A14E91"/>
    <w:rsid w:val="00A1546E"/>
    <w:rsid w:val="00A17FF9"/>
    <w:rsid w:val="00A2020C"/>
    <w:rsid w:val="00A211A1"/>
    <w:rsid w:val="00A22BDF"/>
    <w:rsid w:val="00A23785"/>
    <w:rsid w:val="00A24E11"/>
    <w:rsid w:val="00A2770D"/>
    <w:rsid w:val="00A30BA4"/>
    <w:rsid w:val="00A3295B"/>
    <w:rsid w:val="00A34032"/>
    <w:rsid w:val="00A34EFE"/>
    <w:rsid w:val="00A371B2"/>
    <w:rsid w:val="00A415D6"/>
    <w:rsid w:val="00A427A8"/>
    <w:rsid w:val="00A43A9E"/>
    <w:rsid w:val="00A4753D"/>
    <w:rsid w:val="00A50004"/>
    <w:rsid w:val="00A504FD"/>
    <w:rsid w:val="00A5163D"/>
    <w:rsid w:val="00A531D2"/>
    <w:rsid w:val="00A575B6"/>
    <w:rsid w:val="00A6307F"/>
    <w:rsid w:val="00A63232"/>
    <w:rsid w:val="00A642FC"/>
    <w:rsid w:val="00A65C77"/>
    <w:rsid w:val="00A730A0"/>
    <w:rsid w:val="00A7351A"/>
    <w:rsid w:val="00A750D6"/>
    <w:rsid w:val="00A769A3"/>
    <w:rsid w:val="00A81C28"/>
    <w:rsid w:val="00A846A4"/>
    <w:rsid w:val="00A8474C"/>
    <w:rsid w:val="00A91A26"/>
    <w:rsid w:val="00A923CF"/>
    <w:rsid w:val="00A93394"/>
    <w:rsid w:val="00AA28E2"/>
    <w:rsid w:val="00AA33C1"/>
    <w:rsid w:val="00AA3C3A"/>
    <w:rsid w:val="00AA674F"/>
    <w:rsid w:val="00AA6A7E"/>
    <w:rsid w:val="00AB3924"/>
    <w:rsid w:val="00AC3A9F"/>
    <w:rsid w:val="00AC5588"/>
    <w:rsid w:val="00AC611E"/>
    <w:rsid w:val="00AC7902"/>
    <w:rsid w:val="00AD502B"/>
    <w:rsid w:val="00AD796B"/>
    <w:rsid w:val="00AE4589"/>
    <w:rsid w:val="00AF041B"/>
    <w:rsid w:val="00AF5F23"/>
    <w:rsid w:val="00B04949"/>
    <w:rsid w:val="00B05BC8"/>
    <w:rsid w:val="00B05FCC"/>
    <w:rsid w:val="00B0693E"/>
    <w:rsid w:val="00B06F4C"/>
    <w:rsid w:val="00B10B91"/>
    <w:rsid w:val="00B14FF7"/>
    <w:rsid w:val="00B154FF"/>
    <w:rsid w:val="00B15FA1"/>
    <w:rsid w:val="00B1749F"/>
    <w:rsid w:val="00B240B0"/>
    <w:rsid w:val="00B25C53"/>
    <w:rsid w:val="00B26650"/>
    <w:rsid w:val="00B26655"/>
    <w:rsid w:val="00B27D8A"/>
    <w:rsid w:val="00B3187B"/>
    <w:rsid w:val="00B3544C"/>
    <w:rsid w:val="00B505CE"/>
    <w:rsid w:val="00B53A8E"/>
    <w:rsid w:val="00B6370A"/>
    <w:rsid w:val="00B63877"/>
    <w:rsid w:val="00B651A5"/>
    <w:rsid w:val="00B67C2C"/>
    <w:rsid w:val="00B7015B"/>
    <w:rsid w:val="00B717E8"/>
    <w:rsid w:val="00B764E7"/>
    <w:rsid w:val="00B76EAB"/>
    <w:rsid w:val="00B82063"/>
    <w:rsid w:val="00B83871"/>
    <w:rsid w:val="00B85447"/>
    <w:rsid w:val="00B86B7C"/>
    <w:rsid w:val="00B876C7"/>
    <w:rsid w:val="00B92817"/>
    <w:rsid w:val="00B93489"/>
    <w:rsid w:val="00B9408B"/>
    <w:rsid w:val="00B9584B"/>
    <w:rsid w:val="00BA23C3"/>
    <w:rsid w:val="00BA3632"/>
    <w:rsid w:val="00BA4130"/>
    <w:rsid w:val="00BA587A"/>
    <w:rsid w:val="00BA5BA3"/>
    <w:rsid w:val="00BB10B1"/>
    <w:rsid w:val="00BB4F5A"/>
    <w:rsid w:val="00BB750F"/>
    <w:rsid w:val="00BD28C1"/>
    <w:rsid w:val="00BD6262"/>
    <w:rsid w:val="00BD796A"/>
    <w:rsid w:val="00BD7D8F"/>
    <w:rsid w:val="00BE1D0E"/>
    <w:rsid w:val="00BE2EDE"/>
    <w:rsid w:val="00BE429F"/>
    <w:rsid w:val="00BE4F8A"/>
    <w:rsid w:val="00BE6469"/>
    <w:rsid w:val="00BE654E"/>
    <w:rsid w:val="00BF0293"/>
    <w:rsid w:val="00BF16E8"/>
    <w:rsid w:val="00BF1A48"/>
    <w:rsid w:val="00BF49BC"/>
    <w:rsid w:val="00BF66A3"/>
    <w:rsid w:val="00BF7CF5"/>
    <w:rsid w:val="00C0230A"/>
    <w:rsid w:val="00C12D36"/>
    <w:rsid w:val="00C15B0F"/>
    <w:rsid w:val="00C270F1"/>
    <w:rsid w:val="00C27627"/>
    <w:rsid w:val="00C33919"/>
    <w:rsid w:val="00C347C2"/>
    <w:rsid w:val="00C37B11"/>
    <w:rsid w:val="00C42CA2"/>
    <w:rsid w:val="00C5171D"/>
    <w:rsid w:val="00C52483"/>
    <w:rsid w:val="00C52C5E"/>
    <w:rsid w:val="00C54617"/>
    <w:rsid w:val="00C550B9"/>
    <w:rsid w:val="00C5682B"/>
    <w:rsid w:val="00C56DC3"/>
    <w:rsid w:val="00C61DFE"/>
    <w:rsid w:val="00C62209"/>
    <w:rsid w:val="00C66175"/>
    <w:rsid w:val="00C66BEC"/>
    <w:rsid w:val="00C74966"/>
    <w:rsid w:val="00C74A76"/>
    <w:rsid w:val="00C754FD"/>
    <w:rsid w:val="00C75F83"/>
    <w:rsid w:val="00C80A34"/>
    <w:rsid w:val="00C8703F"/>
    <w:rsid w:val="00C8757F"/>
    <w:rsid w:val="00C94CC1"/>
    <w:rsid w:val="00C9677C"/>
    <w:rsid w:val="00C96862"/>
    <w:rsid w:val="00C976A9"/>
    <w:rsid w:val="00CA07DF"/>
    <w:rsid w:val="00CA2CB1"/>
    <w:rsid w:val="00CB0869"/>
    <w:rsid w:val="00CB6078"/>
    <w:rsid w:val="00CB6135"/>
    <w:rsid w:val="00CC02AB"/>
    <w:rsid w:val="00CC0D60"/>
    <w:rsid w:val="00CC1801"/>
    <w:rsid w:val="00CC253E"/>
    <w:rsid w:val="00CD0411"/>
    <w:rsid w:val="00CD26D2"/>
    <w:rsid w:val="00CD2823"/>
    <w:rsid w:val="00CD527A"/>
    <w:rsid w:val="00CD7295"/>
    <w:rsid w:val="00CD74AE"/>
    <w:rsid w:val="00CE0640"/>
    <w:rsid w:val="00CE0ADD"/>
    <w:rsid w:val="00CE2C7B"/>
    <w:rsid w:val="00CE60DD"/>
    <w:rsid w:val="00CE6C16"/>
    <w:rsid w:val="00CE7002"/>
    <w:rsid w:val="00CF0CF4"/>
    <w:rsid w:val="00CF1109"/>
    <w:rsid w:val="00CF3E13"/>
    <w:rsid w:val="00CF3E23"/>
    <w:rsid w:val="00CF4D5A"/>
    <w:rsid w:val="00CF5812"/>
    <w:rsid w:val="00CF7084"/>
    <w:rsid w:val="00D07423"/>
    <w:rsid w:val="00D108F5"/>
    <w:rsid w:val="00D11EB6"/>
    <w:rsid w:val="00D14A6B"/>
    <w:rsid w:val="00D15F5A"/>
    <w:rsid w:val="00D17C0C"/>
    <w:rsid w:val="00D212BB"/>
    <w:rsid w:val="00D21E73"/>
    <w:rsid w:val="00D24053"/>
    <w:rsid w:val="00D25445"/>
    <w:rsid w:val="00D27B64"/>
    <w:rsid w:val="00D31842"/>
    <w:rsid w:val="00D32CAF"/>
    <w:rsid w:val="00D3422B"/>
    <w:rsid w:val="00D36F78"/>
    <w:rsid w:val="00D409FC"/>
    <w:rsid w:val="00D42D37"/>
    <w:rsid w:val="00D43B83"/>
    <w:rsid w:val="00D43C6D"/>
    <w:rsid w:val="00D43FCF"/>
    <w:rsid w:val="00D506FF"/>
    <w:rsid w:val="00D52205"/>
    <w:rsid w:val="00D55D38"/>
    <w:rsid w:val="00D55FE8"/>
    <w:rsid w:val="00D57090"/>
    <w:rsid w:val="00D60161"/>
    <w:rsid w:val="00D6119B"/>
    <w:rsid w:val="00D6354D"/>
    <w:rsid w:val="00D664CA"/>
    <w:rsid w:val="00D67043"/>
    <w:rsid w:val="00D72933"/>
    <w:rsid w:val="00D73446"/>
    <w:rsid w:val="00D75048"/>
    <w:rsid w:val="00D7645F"/>
    <w:rsid w:val="00D76BB3"/>
    <w:rsid w:val="00D8289C"/>
    <w:rsid w:val="00D83A42"/>
    <w:rsid w:val="00D83AF8"/>
    <w:rsid w:val="00D8546F"/>
    <w:rsid w:val="00D91CDF"/>
    <w:rsid w:val="00D95857"/>
    <w:rsid w:val="00D97692"/>
    <w:rsid w:val="00D97E72"/>
    <w:rsid w:val="00DB3EDC"/>
    <w:rsid w:val="00DC1265"/>
    <w:rsid w:val="00DC3882"/>
    <w:rsid w:val="00DC6509"/>
    <w:rsid w:val="00DC706D"/>
    <w:rsid w:val="00DC750D"/>
    <w:rsid w:val="00DC79C1"/>
    <w:rsid w:val="00DD331B"/>
    <w:rsid w:val="00DD7F6A"/>
    <w:rsid w:val="00DE3B6C"/>
    <w:rsid w:val="00DE7624"/>
    <w:rsid w:val="00DF2E52"/>
    <w:rsid w:val="00DF316D"/>
    <w:rsid w:val="00DF4387"/>
    <w:rsid w:val="00DF7974"/>
    <w:rsid w:val="00E01622"/>
    <w:rsid w:val="00E022C2"/>
    <w:rsid w:val="00E03852"/>
    <w:rsid w:val="00E078F9"/>
    <w:rsid w:val="00E105FF"/>
    <w:rsid w:val="00E110D6"/>
    <w:rsid w:val="00E12A14"/>
    <w:rsid w:val="00E144AB"/>
    <w:rsid w:val="00E14D26"/>
    <w:rsid w:val="00E158BC"/>
    <w:rsid w:val="00E179C6"/>
    <w:rsid w:val="00E226E0"/>
    <w:rsid w:val="00E31524"/>
    <w:rsid w:val="00E32CA2"/>
    <w:rsid w:val="00E34301"/>
    <w:rsid w:val="00E3449B"/>
    <w:rsid w:val="00E353B9"/>
    <w:rsid w:val="00E373CF"/>
    <w:rsid w:val="00E42377"/>
    <w:rsid w:val="00E4271D"/>
    <w:rsid w:val="00E42DF3"/>
    <w:rsid w:val="00E47DE9"/>
    <w:rsid w:val="00E5084B"/>
    <w:rsid w:val="00E5115A"/>
    <w:rsid w:val="00E51546"/>
    <w:rsid w:val="00E563F0"/>
    <w:rsid w:val="00E625DD"/>
    <w:rsid w:val="00E648EF"/>
    <w:rsid w:val="00E66F19"/>
    <w:rsid w:val="00E700DF"/>
    <w:rsid w:val="00E70AAC"/>
    <w:rsid w:val="00E74F0A"/>
    <w:rsid w:val="00E85B8F"/>
    <w:rsid w:val="00E9097A"/>
    <w:rsid w:val="00E92F86"/>
    <w:rsid w:val="00E94756"/>
    <w:rsid w:val="00EA0302"/>
    <w:rsid w:val="00EA0A7D"/>
    <w:rsid w:val="00EA31A3"/>
    <w:rsid w:val="00EA3788"/>
    <w:rsid w:val="00EA4C76"/>
    <w:rsid w:val="00EA7121"/>
    <w:rsid w:val="00EA7598"/>
    <w:rsid w:val="00EB647F"/>
    <w:rsid w:val="00EC113E"/>
    <w:rsid w:val="00EC1829"/>
    <w:rsid w:val="00EC69E2"/>
    <w:rsid w:val="00ED15A7"/>
    <w:rsid w:val="00ED6B8B"/>
    <w:rsid w:val="00EE3C7B"/>
    <w:rsid w:val="00EE77CE"/>
    <w:rsid w:val="00EF62B2"/>
    <w:rsid w:val="00F009B6"/>
    <w:rsid w:val="00F05883"/>
    <w:rsid w:val="00F07F10"/>
    <w:rsid w:val="00F1181D"/>
    <w:rsid w:val="00F1436E"/>
    <w:rsid w:val="00F2044B"/>
    <w:rsid w:val="00F215C7"/>
    <w:rsid w:val="00F26E8A"/>
    <w:rsid w:val="00F3329F"/>
    <w:rsid w:val="00F3506B"/>
    <w:rsid w:val="00F35441"/>
    <w:rsid w:val="00F36963"/>
    <w:rsid w:val="00F37DBC"/>
    <w:rsid w:val="00F4001B"/>
    <w:rsid w:val="00F41554"/>
    <w:rsid w:val="00F421E7"/>
    <w:rsid w:val="00F43F44"/>
    <w:rsid w:val="00F461E1"/>
    <w:rsid w:val="00F46FA7"/>
    <w:rsid w:val="00F47073"/>
    <w:rsid w:val="00F50BF4"/>
    <w:rsid w:val="00F51BB1"/>
    <w:rsid w:val="00F52E8C"/>
    <w:rsid w:val="00F52F66"/>
    <w:rsid w:val="00F56497"/>
    <w:rsid w:val="00F600A6"/>
    <w:rsid w:val="00F61C6C"/>
    <w:rsid w:val="00F61F68"/>
    <w:rsid w:val="00F6262C"/>
    <w:rsid w:val="00F6498A"/>
    <w:rsid w:val="00F7047B"/>
    <w:rsid w:val="00F70733"/>
    <w:rsid w:val="00F71F5D"/>
    <w:rsid w:val="00F7256A"/>
    <w:rsid w:val="00F74281"/>
    <w:rsid w:val="00F771B1"/>
    <w:rsid w:val="00F77EA8"/>
    <w:rsid w:val="00F801F2"/>
    <w:rsid w:val="00F81645"/>
    <w:rsid w:val="00F85C72"/>
    <w:rsid w:val="00F86A60"/>
    <w:rsid w:val="00F87A69"/>
    <w:rsid w:val="00F92935"/>
    <w:rsid w:val="00F931C6"/>
    <w:rsid w:val="00F956D1"/>
    <w:rsid w:val="00F95D9D"/>
    <w:rsid w:val="00F96693"/>
    <w:rsid w:val="00FA4E88"/>
    <w:rsid w:val="00FA71DD"/>
    <w:rsid w:val="00FA72BC"/>
    <w:rsid w:val="00FA7520"/>
    <w:rsid w:val="00FA769A"/>
    <w:rsid w:val="00FB0F60"/>
    <w:rsid w:val="00FB29A6"/>
    <w:rsid w:val="00FB58EE"/>
    <w:rsid w:val="00FB6207"/>
    <w:rsid w:val="00FC238B"/>
    <w:rsid w:val="00FC2A44"/>
    <w:rsid w:val="00FC2EE6"/>
    <w:rsid w:val="00FC3214"/>
    <w:rsid w:val="00FC35E5"/>
    <w:rsid w:val="00FC76DB"/>
    <w:rsid w:val="00FD6459"/>
    <w:rsid w:val="00FD690C"/>
    <w:rsid w:val="00FE54AE"/>
    <w:rsid w:val="00FE7A91"/>
    <w:rsid w:val="00FF0A6D"/>
    <w:rsid w:val="00FF1320"/>
    <w:rsid w:val="00FF201B"/>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wrap-style:none">
      <v:stroke weight="0" endcap="round"/>
      <v:textbox style="mso-column-count:0;mso-column-margin:0" inset="0,0,0,0"/>
    </o:shapedefaults>
    <o:shapelayout v:ext="edit">
      <o:idmap v:ext="edit" data="1"/>
    </o:shapelayout>
  </w:shapeDefaults>
  <w:doNotEmbedSmartTags/>
  <w:decimalSymbol w:val="."/>
  <w:listSeparator w:val=","/>
  <w14:docId w14:val="464E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0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uiPriority w:val="99"/>
    <w:locked/>
    <w:rsid w:val="001C1752"/>
    <w:rPr>
      <w:sz w:val="16"/>
      <w:szCs w:val="16"/>
    </w:rPr>
  </w:style>
  <w:style w:type="paragraph" w:styleId="CommentText">
    <w:name w:val="annotation text"/>
    <w:basedOn w:val="Normal"/>
    <w:link w:val="CommentTextChar"/>
    <w:uiPriority w:val="99"/>
    <w:locked/>
    <w:rsid w:val="001C1752"/>
  </w:style>
  <w:style w:type="character" w:customStyle="1" w:styleId="CommentTextChar">
    <w:name w:val="Comment Text Char"/>
    <w:basedOn w:val="DefaultParagraphFont"/>
    <w:link w:val="CommentText"/>
    <w:uiPriority w:val="99"/>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uiPriority w:val="59"/>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F7047B"/>
    <w:pPr>
      <w:spacing w:after="240" w:line="319" w:lineRule="atLeast"/>
    </w:pPr>
    <w:rPr>
      <w:sz w:val="24"/>
      <w:szCs w:val="24"/>
    </w:rPr>
  </w:style>
  <w:style w:type="character" w:customStyle="1" w:styleId="super1">
    <w:name w:val="super1"/>
    <w:basedOn w:val="DefaultParagraphFont"/>
    <w:rsid w:val="007019A7"/>
    <w:rPr>
      <w:sz w:val="19"/>
      <w:szCs w:val="19"/>
    </w:rPr>
  </w:style>
  <w:style w:type="paragraph" w:styleId="ListParagraph">
    <w:name w:val="List Paragraph"/>
    <w:basedOn w:val="Normal"/>
    <w:uiPriority w:val="34"/>
    <w:qFormat/>
    <w:rsid w:val="00597AC3"/>
    <w:pPr>
      <w:ind w:left="720"/>
      <w:contextualSpacing/>
    </w:pPr>
  </w:style>
  <w:style w:type="paragraph" w:styleId="BodyText">
    <w:name w:val="Body Text"/>
    <w:basedOn w:val="Normal"/>
    <w:link w:val="BodyTextChar"/>
    <w:uiPriority w:val="1"/>
    <w:qFormat/>
    <w:locked/>
    <w:rsid w:val="00673657"/>
    <w:pPr>
      <w:widowControl w:val="0"/>
      <w:ind w:left="203"/>
    </w:pPr>
    <w:rPr>
      <w:rFonts w:cstheme="minorBidi"/>
      <w:sz w:val="23"/>
      <w:szCs w:val="23"/>
    </w:rPr>
  </w:style>
  <w:style w:type="character" w:customStyle="1" w:styleId="BodyTextChar">
    <w:name w:val="Body Text Char"/>
    <w:basedOn w:val="DefaultParagraphFont"/>
    <w:link w:val="BodyText"/>
    <w:uiPriority w:val="1"/>
    <w:rsid w:val="00673657"/>
    <w:rPr>
      <w:rFonts w:cstheme="minorBidi"/>
      <w:sz w:val="23"/>
      <w:szCs w:val="23"/>
    </w:rPr>
  </w:style>
  <w:style w:type="paragraph" w:customStyle="1" w:styleId="Default">
    <w:name w:val="Default"/>
    <w:rsid w:val="0068451A"/>
    <w:pPr>
      <w:autoSpaceDE w:val="0"/>
      <w:autoSpaceDN w:val="0"/>
      <w:adjustRightInd w:val="0"/>
    </w:pPr>
    <w:rPr>
      <w:color w:val="000000"/>
      <w:sz w:val="24"/>
      <w:szCs w:val="24"/>
    </w:rPr>
  </w:style>
  <w:style w:type="paragraph" w:customStyle="1" w:styleId="OMBbodytext">
    <w:name w:val="OMB body text"/>
    <w:basedOn w:val="Normal"/>
    <w:link w:val="OMBbodytextChar"/>
    <w:uiPriority w:val="99"/>
    <w:rsid w:val="000B6B4A"/>
    <w:pPr>
      <w:spacing w:after="240"/>
    </w:pPr>
    <w:rPr>
      <w:sz w:val="24"/>
    </w:rPr>
  </w:style>
  <w:style w:type="character" w:customStyle="1" w:styleId="OMBbodytextChar">
    <w:name w:val="OMB body text Char"/>
    <w:link w:val="OMBbodytext"/>
    <w:uiPriority w:val="99"/>
    <w:locked/>
    <w:rsid w:val="000B6B4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0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uiPriority w:val="99"/>
    <w:locked/>
    <w:rsid w:val="001C1752"/>
    <w:rPr>
      <w:sz w:val="16"/>
      <w:szCs w:val="16"/>
    </w:rPr>
  </w:style>
  <w:style w:type="paragraph" w:styleId="CommentText">
    <w:name w:val="annotation text"/>
    <w:basedOn w:val="Normal"/>
    <w:link w:val="CommentTextChar"/>
    <w:uiPriority w:val="99"/>
    <w:locked/>
    <w:rsid w:val="001C1752"/>
  </w:style>
  <w:style w:type="character" w:customStyle="1" w:styleId="CommentTextChar">
    <w:name w:val="Comment Text Char"/>
    <w:basedOn w:val="DefaultParagraphFont"/>
    <w:link w:val="CommentText"/>
    <w:uiPriority w:val="99"/>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uiPriority w:val="59"/>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F7047B"/>
    <w:pPr>
      <w:spacing w:after="240" w:line="319" w:lineRule="atLeast"/>
    </w:pPr>
    <w:rPr>
      <w:sz w:val="24"/>
      <w:szCs w:val="24"/>
    </w:rPr>
  </w:style>
  <w:style w:type="character" w:customStyle="1" w:styleId="super1">
    <w:name w:val="super1"/>
    <w:basedOn w:val="DefaultParagraphFont"/>
    <w:rsid w:val="007019A7"/>
    <w:rPr>
      <w:sz w:val="19"/>
      <w:szCs w:val="19"/>
    </w:rPr>
  </w:style>
  <w:style w:type="paragraph" w:styleId="ListParagraph">
    <w:name w:val="List Paragraph"/>
    <w:basedOn w:val="Normal"/>
    <w:uiPriority w:val="34"/>
    <w:qFormat/>
    <w:rsid w:val="00597AC3"/>
    <w:pPr>
      <w:ind w:left="720"/>
      <w:contextualSpacing/>
    </w:pPr>
  </w:style>
  <w:style w:type="paragraph" w:styleId="BodyText">
    <w:name w:val="Body Text"/>
    <w:basedOn w:val="Normal"/>
    <w:link w:val="BodyTextChar"/>
    <w:uiPriority w:val="1"/>
    <w:qFormat/>
    <w:locked/>
    <w:rsid w:val="00673657"/>
    <w:pPr>
      <w:widowControl w:val="0"/>
      <w:ind w:left="203"/>
    </w:pPr>
    <w:rPr>
      <w:rFonts w:cstheme="minorBidi"/>
      <w:sz w:val="23"/>
      <w:szCs w:val="23"/>
    </w:rPr>
  </w:style>
  <w:style w:type="character" w:customStyle="1" w:styleId="BodyTextChar">
    <w:name w:val="Body Text Char"/>
    <w:basedOn w:val="DefaultParagraphFont"/>
    <w:link w:val="BodyText"/>
    <w:uiPriority w:val="1"/>
    <w:rsid w:val="00673657"/>
    <w:rPr>
      <w:rFonts w:cstheme="minorBidi"/>
      <w:sz w:val="23"/>
      <w:szCs w:val="23"/>
    </w:rPr>
  </w:style>
  <w:style w:type="paragraph" w:customStyle="1" w:styleId="Default">
    <w:name w:val="Default"/>
    <w:rsid w:val="0068451A"/>
    <w:pPr>
      <w:autoSpaceDE w:val="0"/>
      <w:autoSpaceDN w:val="0"/>
      <w:adjustRightInd w:val="0"/>
    </w:pPr>
    <w:rPr>
      <w:color w:val="000000"/>
      <w:sz w:val="24"/>
      <w:szCs w:val="24"/>
    </w:rPr>
  </w:style>
  <w:style w:type="paragraph" w:customStyle="1" w:styleId="OMBbodytext">
    <w:name w:val="OMB body text"/>
    <w:basedOn w:val="Normal"/>
    <w:link w:val="OMBbodytextChar"/>
    <w:uiPriority w:val="99"/>
    <w:rsid w:val="000B6B4A"/>
    <w:pPr>
      <w:spacing w:after="240"/>
    </w:pPr>
    <w:rPr>
      <w:sz w:val="24"/>
    </w:rPr>
  </w:style>
  <w:style w:type="character" w:customStyle="1" w:styleId="OMBbodytextChar">
    <w:name w:val="OMB body text Char"/>
    <w:link w:val="OMBbodytext"/>
    <w:uiPriority w:val="99"/>
    <w:locked/>
    <w:rsid w:val="000B6B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2144">
      <w:bodyDiv w:val="1"/>
      <w:marLeft w:val="0"/>
      <w:marRight w:val="0"/>
      <w:marTop w:val="0"/>
      <w:marBottom w:val="0"/>
      <w:divBdr>
        <w:top w:val="none" w:sz="0" w:space="0" w:color="auto"/>
        <w:left w:val="none" w:sz="0" w:space="0" w:color="auto"/>
        <w:bottom w:val="none" w:sz="0" w:space="0" w:color="auto"/>
        <w:right w:val="none" w:sz="0" w:space="0" w:color="auto"/>
      </w:divBdr>
      <w:divsChild>
        <w:div w:id="2127458732">
          <w:marLeft w:val="0"/>
          <w:marRight w:val="0"/>
          <w:marTop w:val="0"/>
          <w:marBottom w:val="0"/>
          <w:divBdr>
            <w:top w:val="none" w:sz="0" w:space="0" w:color="auto"/>
            <w:left w:val="none" w:sz="0" w:space="0" w:color="auto"/>
            <w:bottom w:val="none" w:sz="0" w:space="0" w:color="auto"/>
            <w:right w:val="none" w:sz="0" w:space="0" w:color="auto"/>
          </w:divBdr>
          <w:divsChild>
            <w:div w:id="136655095">
              <w:marLeft w:val="0"/>
              <w:marRight w:val="0"/>
              <w:marTop w:val="0"/>
              <w:marBottom w:val="0"/>
              <w:divBdr>
                <w:top w:val="none" w:sz="0" w:space="0" w:color="auto"/>
                <w:left w:val="none" w:sz="0" w:space="0" w:color="auto"/>
                <w:bottom w:val="none" w:sz="0" w:space="0" w:color="auto"/>
                <w:right w:val="none" w:sz="0" w:space="0" w:color="auto"/>
              </w:divBdr>
              <w:divsChild>
                <w:div w:id="1108433610">
                  <w:marLeft w:val="0"/>
                  <w:marRight w:val="0"/>
                  <w:marTop w:val="0"/>
                  <w:marBottom w:val="0"/>
                  <w:divBdr>
                    <w:top w:val="none" w:sz="0" w:space="0" w:color="auto"/>
                    <w:left w:val="none" w:sz="0" w:space="0" w:color="auto"/>
                    <w:bottom w:val="none" w:sz="0" w:space="0" w:color="auto"/>
                    <w:right w:val="none" w:sz="0" w:space="0" w:color="auto"/>
                  </w:divBdr>
                  <w:divsChild>
                    <w:div w:id="396755710">
                      <w:marLeft w:val="0"/>
                      <w:marRight w:val="0"/>
                      <w:marTop w:val="0"/>
                      <w:marBottom w:val="0"/>
                      <w:divBdr>
                        <w:top w:val="none" w:sz="0" w:space="0" w:color="auto"/>
                        <w:left w:val="none" w:sz="0" w:space="0" w:color="auto"/>
                        <w:bottom w:val="none" w:sz="0" w:space="0" w:color="auto"/>
                        <w:right w:val="none" w:sz="0" w:space="0" w:color="auto"/>
                      </w:divBdr>
                      <w:divsChild>
                        <w:div w:id="1717660366">
                          <w:marLeft w:val="0"/>
                          <w:marRight w:val="0"/>
                          <w:marTop w:val="150"/>
                          <w:marBottom w:val="0"/>
                          <w:divBdr>
                            <w:top w:val="none" w:sz="0" w:space="0" w:color="auto"/>
                            <w:left w:val="none" w:sz="0" w:space="0" w:color="auto"/>
                            <w:bottom w:val="none" w:sz="0" w:space="0" w:color="auto"/>
                            <w:right w:val="none" w:sz="0" w:space="0" w:color="auto"/>
                          </w:divBdr>
                          <w:divsChild>
                            <w:div w:id="1547990430">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1320385264">
      <w:bodyDiv w:val="1"/>
      <w:marLeft w:val="0"/>
      <w:marRight w:val="0"/>
      <w:marTop w:val="0"/>
      <w:marBottom w:val="0"/>
      <w:divBdr>
        <w:top w:val="none" w:sz="0" w:space="0" w:color="auto"/>
        <w:left w:val="none" w:sz="0" w:space="0" w:color="auto"/>
        <w:bottom w:val="none" w:sz="0" w:space="0" w:color="auto"/>
        <w:right w:val="none" w:sz="0" w:space="0" w:color="auto"/>
      </w:divBdr>
      <w:divsChild>
        <w:div w:id="1631478619">
          <w:marLeft w:val="0"/>
          <w:marRight w:val="0"/>
          <w:marTop w:val="0"/>
          <w:marBottom w:val="0"/>
          <w:divBdr>
            <w:top w:val="none" w:sz="0" w:space="0" w:color="auto"/>
            <w:left w:val="none" w:sz="0" w:space="0" w:color="auto"/>
            <w:bottom w:val="none" w:sz="0" w:space="0" w:color="auto"/>
            <w:right w:val="none" w:sz="0" w:space="0" w:color="auto"/>
          </w:divBdr>
          <w:divsChild>
            <w:div w:id="1579172754">
              <w:marLeft w:val="0"/>
              <w:marRight w:val="0"/>
              <w:marTop w:val="0"/>
              <w:marBottom w:val="0"/>
              <w:divBdr>
                <w:top w:val="none" w:sz="0" w:space="0" w:color="auto"/>
                <w:left w:val="none" w:sz="0" w:space="0" w:color="auto"/>
                <w:bottom w:val="none" w:sz="0" w:space="0" w:color="auto"/>
                <w:right w:val="none" w:sz="0" w:space="0" w:color="auto"/>
              </w:divBdr>
              <w:divsChild>
                <w:div w:id="560335975">
                  <w:marLeft w:val="0"/>
                  <w:marRight w:val="0"/>
                  <w:marTop w:val="0"/>
                  <w:marBottom w:val="0"/>
                  <w:divBdr>
                    <w:top w:val="none" w:sz="0" w:space="0" w:color="auto"/>
                    <w:left w:val="none" w:sz="0" w:space="0" w:color="auto"/>
                    <w:bottom w:val="none" w:sz="0" w:space="0" w:color="auto"/>
                    <w:right w:val="none" w:sz="0" w:space="0" w:color="auto"/>
                  </w:divBdr>
                  <w:divsChild>
                    <w:div w:id="592470737">
                      <w:marLeft w:val="0"/>
                      <w:marRight w:val="0"/>
                      <w:marTop w:val="0"/>
                      <w:marBottom w:val="0"/>
                      <w:divBdr>
                        <w:top w:val="none" w:sz="0" w:space="0" w:color="auto"/>
                        <w:left w:val="none" w:sz="0" w:space="0" w:color="auto"/>
                        <w:bottom w:val="none" w:sz="0" w:space="0" w:color="auto"/>
                        <w:right w:val="none" w:sz="0" w:space="0" w:color="auto"/>
                      </w:divBdr>
                      <w:divsChild>
                        <w:div w:id="1902862797">
                          <w:marLeft w:val="0"/>
                          <w:marRight w:val="0"/>
                          <w:marTop w:val="150"/>
                          <w:marBottom w:val="0"/>
                          <w:divBdr>
                            <w:top w:val="none" w:sz="0" w:space="0" w:color="auto"/>
                            <w:left w:val="none" w:sz="0" w:space="0" w:color="auto"/>
                            <w:bottom w:val="none" w:sz="0" w:space="0" w:color="auto"/>
                            <w:right w:val="none" w:sz="0" w:space="0" w:color="auto"/>
                          </w:divBdr>
                          <w:divsChild>
                            <w:div w:id="1834296819">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 w:id="2089112469">
      <w:bodyDiv w:val="1"/>
      <w:marLeft w:val="4"/>
      <w:marRight w:val="4"/>
      <w:marTop w:val="4"/>
      <w:marBottom w:val="4"/>
      <w:divBdr>
        <w:top w:val="none" w:sz="0" w:space="0" w:color="auto"/>
        <w:left w:val="none" w:sz="0" w:space="0" w:color="auto"/>
        <w:bottom w:val="none" w:sz="0" w:space="0" w:color="auto"/>
        <w:right w:val="none" w:sz="0" w:space="0" w:color="auto"/>
      </w:divBdr>
      <w:divsChild>
        <w:div w:id="2115515229">
          <w:marLeft w:val="0"/>
          <w:marRight w:val="0"/>
          <w:marTop w:val="0"/>
          <w:marBottom w:val="0"/>
          <w:divBdr>
            <w:top w:val="none" w:sz="0" w:space="0" w:color="auto"/>
            <w:left w:val="none" w:sz="0" w:space="0" w:color="auto"/>
            <w:bottom w:val="none" w:sz="0" w:space="0" w:color="auto"/>
            <w:right w:val="none" w:sz="0" w:space="0" w:color="auto"/>
          </w:divBdr>
          <w:divsChild>
            <w:div w:id="1514343128">
              <w:marLeft w:val="0"/>
              <w:marRight w:val="0"/>
              <w:marTop w:val="0"/>
              <w:marBottom w:val="0"/>
              <w:divBdr>
                <w:top w:val="none" w:sz="0" w:space="0" w:color="auto"/>
                <w:left w:val="none" w:sz="0" w:space="0" w:color="auto"/>
                <w:bottom w:val="none" w:sz="0" w:space="0" w:color="auto"/>
                <w:right w:val="none" w:sz="0" w:space="0" w:color="auto"/>
              </w:divBdr>
              <w:divsChild>
                <w:div w:id="1999653589">
                  <w:marLeft w:val="0"/>
                  <w:marRight w:val="0"/>
                  <w:marTop w:val="0"/>
                  <w:marBottom w:val="180"/>
                  <w:divBdr>
                    <w:top w:val="none" w:sz="0" w:space="0" w:color="auto"/>
                    <w:left w:val="none" w:sz="0" w:space="0" w:color="auto"/>
                    <w:bottom w:val="none" w:sz="0" w:space="0" w:color="auto"/>
                    <w:right w:val="none" w:sz="0" w:space="0" w:color="auto"/>
                  </w:divBdr>
                  <w:divsChild>
                    <w:div w:id="256181612">
                      <w:marLeft w:val="0"/>
                      <w:marRight w:val="0"/>
                      <w:marTop w:val="0"/>
                      <w:marBottom w:val="0"/>
                      <w:divBdr>
                        <w:top w:val="none" w:sz="0" w:space="0" w:color="auto"/>
                        <w:left w:val="none" w:sz="0" w:space="0" w:color="auto"/>
                        <w:bottom w:val="none" w:sz="0" w:space="0" w:color="auto"/>
                        <w:right w:val="none" w:sz="0" w:space="0" w:color="auto"/>
                      </w:divBdr>
                      <w:divsChild>
                        <w:div w:id="678773328">
                          <w:marLeft w:val="0"/>
                          <w:marRight w:val="0"/>
                          <w:marTop w:val="150"/>
                          <w:marBottom w:val="0"/>
                          <w:divBdr>
                            <w:top w:val="none" w:sz="0" w:space="0" w:color="auto"/>
                            <w:left w:val="none" w:sz="0" w:space="0" w:color="auto"/>
                            <w:bottom w:val="none" w:sz="0" w:space="0" w:color="auto"/>
                            <w:right w:val="none" w:sz="0" w:space="0" w:color="auto"/>
                          </w:divBdr>
                          <w:divsChild>
                            <w:div w:id="130364954">
                              <w:marLeft w:val="0"/>
                              <w:marRight w:val="0"/>
                              <w:marTop w:val="0"/>
                              <w:marBottom w:val="0"/>
                              <w:divBdr>
                                <w:top w:val="none" w:sz="0" w:space="0" w:color="auto"/>
                                <w:left w:val="none" w:sz="0" w:space="0" w:color="auto"/>
                                <w:bottom w:val="none" w:sz="0" w:space="0" w:color="auto"/>
                                <w:right w:val="none" w:sz="0" w:space="0" w:color="auto"/>
                              </w:divBdr>
                              <w:divsChild>
                                <w:div w:id="7140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321264">
      <w:bodyDiv w:val="1"/>
      <w:marLeft w:val="0"/>
      <w:marRight w:val="0"/>
      <w:marTop w:val="0"/>
      <w:marBottom w:val="0"/>
      <w:divBdr>
        <w:top w:val="none" w:sz="0" w:space="0" w:color="auto"/>
        <w:left w:val="none" w:sz="0" w:space="0" w:color="auto"/>
        <w:bottom w:val="none" w:sz="0" w:space="0" w:color="auto"/>
        <w:right w:val="none" w:sz="0" w:space="0" w:color="auto"/>
      </w:divBdr>
      <w:divsChild>
        <w:div w:id="2042436103">
          <w:marLeft w:val="0"/>
          <w:marRight w:val="0"/>
          <w:marTop w:val="0"/>
          <w:marBottom w:val="0"/>
          <w:divBdr>
            <w:top w:val="none" w:sz="0" w:space="0" w:color="auto"/>
            <w:left w:val="none" w:sz="0" w:space="0" w:color="auto"/>
            <w:bottom w:val="none" w:sz="0" w:space="0" w:color="auto"/>
            <w:right w:val="none" w:sz="0" w:space="0" w:color="auto"/>
          </w:divBdr>
          <w:divsChild>
            <w:div w:id="2020354781">
              <w:marLeft w:val="0"/>
              <w:marRight w:val="0"/>
              <w:marTop w:val="0"/>
              <w:marBottom w:val="0"/>
              <w:divBdr>
                <w:top w:val="none" w:sz="0" w:space="0" w:color="auto"/>
                <w:left w:val="none" w:sz="0" w:space="0" w:color="auto"/>
                <w:bottom w:val="none" w:sz="0" w:space="0" w:color="auto"/>
                <w:right w:val="none" w:sz="0" w:space="0" w:color="auto"/>
              </w:divBdr>
              <w:divsChild>
                <w:div w:id="115569101">
                  <w:marLeft w:val="0"/>
                  <w:marRight w:val="0"/>
                  <w:marTop w:val="0"/>
                  <w:marBottom w:val="0"/>
                  <w:divBdr>
                    <w:top w:val="none" w:sz="0" w:space="0" w:color="auto"/>
                    <w:left w:val="none" w:sz="0" w:space="0" w:color="auto"/>
                    <w:bottom w:val="none" w:sz="0" w:space="0" w:color="auto"/>
                    <w:right w:val="none" w:sz="0" w:space="0" w:color="auto"/>
                  </w:divBdr>
                  <w:divsChild>
                    <w:div w:id="442966198">
                      <w:marLeft w:val="0"/>
                      <w:marRight w:val="0"/>
                      <w:marTop w:val="0"/>
                      <w:marBottom w:val="0"/>
                      <w:divBdr>
                        <w:top w:val="none" w:sz="0" w:space="0" w:color="auto"/>
                        <w:left w:val="none" w:sz="0" w:space="0" w:color="auto"/>
                        <w:bottom w:val="none" w:sz="0" w:space="0" w:color="auto"/>
                        <w:right w:val="none" w:sz="0" w:space="0" w:color="auto"/>
                      </w:divBdr>
                      <w:divsChild>
                        <w:div w:id="1191576954">
                          <w:marLeft w:val="0"/>
                          <w:marRight w:val="0"/>
                          <w:marTop w:val="150"/>
                          <w:marBottom w:val="0"/>
                          <w:divBdr>
                            <w:top w:val="none" w:sz="0" w:space="0" w:color="auto"/>
                            <w:left w:val="none" w:sz="0" w:space="0" w:color="auto"/>
                            <w:bottom w:val="none" w:sz="0" w:space="0" w:color="auto"/>
                            <w:right w:val="none" w:sz="0" w:space="0" w:color="auto"/>
                          </w:divBdr>
                          <w:divsChild>
                            <w:div w:id="1838230246">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p-v-maso-apps/RecSched/ViewSchedule.aspx?RID=29"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sp-v-maso-apps/RecSched/ViewSchedule.aspx?RID=2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ron.larson@samhs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ob.lyerla@samhsa.gov" TargetMode="External"/><Relationship Id="rId4" Type="http://schemas.microsoft.com/office/2007/relationships/stylesWithEffects" Target="stylesWithEffects.xml"/><Relationship Id="rId9" Type="http://schemas.openxmlformats.org/officeDocument/2006/relationships/hyperlink" Target="mailto:GGI4@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831B-C382-406C-9135-22875EE3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5229</Words>
  <Characters>30581</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35739</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2</cp:revision>
  <cp:lastPrinted>2014-11-14T19:22:00Z</cp:lastPrinted>
  <dcterms:created xsi:type="dcterms:W3CDTF">2015-03-06T17:02:00Z</dcterms:created>
  <dcterms:modified xsi:type="dcterms:W3CDTF">2015-03-06T17:02:00Z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