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9FF1D" w14:textId="77777777" w:rsidR="00877C92" w:rsidRPr="00046E53" w:rsidRDefault="00613087" w:rsidP="00613087">
      <w:pPr>
        <w:spacing w:line="480" w:lineRule="auto"/>
        <w:jc w:val="center"/>
        <w:rPr>
          <w:bCs/>
          <w:sz w:val="28"/>
          <w:szCs w:val="28"/>
          <w:lang w:eastAsia="ja-JP"/>
        </w:rPr>
      </w:pPr>
      <w:bookmarkStart w:id="0" w:name="OLE_LINK2"/>
      <w:bookmarkStart w:id="1" w:name="OLE_LINK3"/>
      <w:r>
        <w:rPr>
          <w:bCs/>
          <w:sz w:val="28"/>
          <w:szCs w:val="28"/>
          <w:lang w:eastAsia="ja-JP"/>
        </w:rPr>
        <w:t xml:space="preserve">Incentives for the Adoption of the </w:t>
      </w:r>
      <w:proofErr w:type="spellStart"/>
      <w:r w:rsidR="00877C92" w:rsidRPr="00046E53">
        <w:rPr>
          <w:bCs/>
          <w:i/>
          <w:sz w:val="28"/>
          <w:szCs w:val="28"/>
          <w:lang w:eastAsia="ja-JP"/>
        </w:rPr>
        <w:t>Youth@Work</w:t>
      </w:r>
      <w:proofErr w:type="spellEnd"/>
      <w:r w:rsidR="00877C92" w:rsidRPr="00046E53">
        <w:rPr>
          <w:bCs/>
          <w:i/>
          <w:sz w:val="28"/>
          <w:szCs w:val="28"/>
          <w:lang w:eastAsia="ja-JP"/>
        </w:rPr>
        <w:t xml:space="preserve"> – Talking Safety</w:t>
      </w:r>
      <w:r w:rsidR="00877C92" w:rsidRPr="00046E53">
        <w:rPr>
          <w:bCs/>
          <w:sz w:val="28"/>
          <w:szCs w:val="28"/>
          <w:lang w:eastAsia="ja-JP"/>
        </w:rPr>
        <w:t xml:space="preserve"> Curriculum </w:t>
      </w:r>
    </w:p>
    <w:p w14:paraId="3A1C9EFA" w14:textId="77777777" w:rsidR="00797AB4" w:rsidRPr="006E4924" w:rsidRDefault="00797AB4" w:rsidP="00412609">
      <w:pPr>
        <w:spacing w:line="480" w:lineRule="auto"/>
        <w:jc w:val="center"/>
        <w:rPr>
          <w:b/>
        </w:rPr>
      </w:pPr>
      <w:r w:rsidRPr="006E4924">
        <w:rPr>
          <w:b/>
        </w:rPr>
        <w:t>Supporting Statement B</w:t>
      </w:r>
    </w:p>
    <w:p w14:paraId="770BB36F" w14:textId="77777777" w:rsidR="00797AB4" w:rsidRDefault="00797AB4" w:rsidP="00412609">
      <w:pPr>
        <w:spacing w:line="480" w:lineRule="auto"/>
      </w:pPr>
    </w:p>
    <w:p w14:paraId="16EFA8A1" w14:textId="77777777" w:rsidR="00797AB4" w:rsidRDefault="00797AB4" w:rsidP="00412609">
      <w:pPr>
        <w:spacing w:line="480" w:lineRule="auto"/>
        <w:jc w:val="center"/>
      </w:pPr>
      <w:r>
        <w:t xml:space="preserve">Request for Office of Management and Budget Review and Approval </w:t>
      </w:r>
    </w:p>
    <w:p w14:paraId="0324F358" w14:textId="77777777" w:rsidR="00797AB4" w:rsidRDefault="00797AB4" w:rsidP="00412609">
      <w:pPr>
        <w:spacing w:line="480" w:lineRule="auto"/>
        <w:jc w:val="center"/>
      </w:pPr>
      <w:r>
        <w:t>for Federally Sponsored Data Collection</w:t>
      </w:r>
    </w:p>
    <w:p w14:paraId="3B983C0E" w14:textId="77777777" w:rsidR="00797AB4" w:rsidRDefault="00797AB4" w:rsidP="00412609">
      <w:pPr>
        <w:spacing w:line="480" w:lineRule="auto"/>
        <w:jc w:val="center"/>
      </w:pPr>
    </w:p>
    <w:p w14:paraId="5A44AAB2" w14:textId="77777777" w:rsidR="00797AB4" w:rsidRDefault="00797AB4" w:rsidP="00412609">
      <w:pPr>
        <w:spacing w:line="480" w:lineRule="auto"/>
        <w:jc w:val="center"/>
      </w:pPr>
    </w:p>
    <w:p w14:paraId="175555B1" w14:textId="45D31501" w:rsidR="00797AB4" w:rsidRDefault="00096692" w:rsidP="00412609">
      <w:pPr>
        <w:spacing w:line="480" w:lineRule="auto"/>
        <w:jc w:val="center"/>
      </w:pPr>
      <w:r>
        <w:t>March 26</w:t>
      </w:r>
      <w:r w:rsidR="00877C92">
        <w:t xml:space="preserve">, </w:t>
      </w:r>
      <w:r>
        <w:t>201</w:t>
      </w:r>
      <w:r>
        <w:t>5</w:t>
      </w:r>
    </w:p>
    <w:p w14:paraId="3FC537C6" w14:textId="77777777" w:rsidR="00797AB4" w:rsidRDefault="00797AB4" w:rsidP="00412609">
      <w:pPr>
        <w:spacing w:line="480" w:lineRule="auto"/>
        <w:jc w:val="center"/>
      </w:pPr>
    </w:p>
    <w:p w14:paraId="0BF983EB" w14:textId="77777777" w:rsidR="00797AB4" w:rsidRDefault="00797AB4" w:rsidP="00412609">
      <w:pPr>
        <w:spacing w:line="480" w:lineRule="auto"/>
        <w:jc w:val="center"/>
      </w:pPr>
    </w:p>
    <w:p w14:paraId="7E4691CE" w14:textId="77777777" w:rsidR="00797AB4" w:rsidRDefault="00797AB4" w:rsidP="00412609">
      <w:pPr>
        <w:spacing w:line="480" w:lineRule="auto"/>
        <w:jc w:val="center"/>
      </w:pPr>
    </w:p>
    <w:p w14:paraId="745477F4" w14:textId="77777777" w:rsidR="00877C92" w:rsidRPr="001C7D71" w:rsidRDefault="00877C92" w:rsidP="004161E1">
      <w:pPr>
        <w:jc w:val="center"/>
        <w:rPr>
          <w:b/>
          <w:bCs/>
        </w:rPr>
      </w:pPr>
      <w:r>
        <w:rPr>
          <w:b/>
          <w:bCs/>
        </w:rPr>
        <w:t xml:space="preserve">Rebecca </w:t>
      </w:r>
      <w:r w:rsidR="004161E1">
        <w:rPr>
          <w:b/>
          <w:bCs/>
        </w:rPr>
        <w:t xml:space="preserve">J. </w:t>
      </w:r>
      <w:r>
        <w:rPr>
          <w:b/>
          <w:bCs/>
        </w:rPr>
        <w:t>Guerin, MA</w:t>
      </w:r>
    </w:p>
    <w:p w14:paraId="678AD009" w14:textId="77777777" w:rsidR="00877C92" w:rsidRDefault="00877C92" w:rsidP="004161E1">
      <w:pPr>
        <w:jc w:val="center"/>
      </w:pPr>
      <w:r>
        <w:t>National Institute for Occupational Safety and Health</w:t>
      </w:r>
    </w:p>
    <w:p w14:paraId="535BE7F9" w14:textId="77777777" w:rsidR="00877C92" w:rsidRPr="0086602C" w:rsidRDefault="00877C92" w:rsidP="004161E1">
      <w:pPr>
        <w:jc w:val="center"/>
      </w:pPr>
      <w:r>
        <w:t>Education and Information Dissemination Division</w:t>
      </w:r>
    </w:p>
    <w:p w14:paraId="07DF1B38" w14:textId="77777777" w:rsidR="00877C92" w:rsidRPr="0086602C" w:rsidRDefault="00877C92" w:rsidP="004161E1">
      <w:pPr>
        <w:jc w:val="center"/>
      </w:pPr>
      <w:r w:rsidRPr="0086602C">
        <w:t>1090 Tusculum Ave, MS C-10</w:t>
      </w:r>
    </w:p>
    <w:p w14:paraId="1523EC11" w14:textId="77777777" w:rsidR="00877C92" w:rsidRPr="0086602C" w:rsidRDefault="00877C92" w:rsidP="004161E1">
      <w:pPr>
        <w:jc w:val="center"/>
      </w:pPr>
      <w:r w:rsidRPr="0086602C">
        <w:t>Cincinnati, OH 45226-1998</w:t>
      </w:r>
    </w:p>
    <w:p w14:paraId="1E240EE9" w14:textId="77777777" w:rsidR="00877C92" w:rsidRDefault="00877C92" w:rsidP="004161E1">
      <w:pPr>
        <w:jc w:val="center"/>
      </w:pPr>
      <w:r w:rsidRPr="0086602C">
        <w:t>513-533-8435</w:t>
      </w:r>
      <w:r>
        <w:t xml:space="preserve"> (voice)</w:t>
      </w:r>
    </w:p>
    <w:p w14:paraId="685CC61A" w14:textId="77777777" w:rsidR="00877C92" w:rsidRPr="0086602C" w:rsidRDefault="00877C92" w:rsidP="004161E1">
      <w:pPr>
        <w:jc w:val="center"/>
      </w:pPr>
      <w:r>
        <w:t>513-533-8560 (fax)</w:t>
      </w:r>
    </w:p>
    <w:p w14:paraId="4A28BBE5" w14:textId="77777777" w:rsidR="00877C92" w:rsidRPr="0086602C" w:rsidRDefault="00877C92" w:rsidP="004161E1">
      <w:pPr>
        <w:jc w:val="center"/>
      </w:pPr>
      <w:r w:rsidRPr="0086602C">
        <w:t>Email:rguerin@cdc.gov</w:t>
      </w:r>
    </w:p>
    <w:p w14:paraId="17BD21FA" w14:textId="77777777" w:rsidR="00797AB4" w:rsidRDefault="00797AB4" w:rsidP="00412609">
      <w:pPr>
        <w:spacing w:line="480" w:lineRule="auto"/>
        <w:jc w:val="center"/>
      </w:pPr>
    </w:p>
    <w:p w14:paraId="4DCD28DE" w14:textId="77777777" w:rsidR="00797AB4" w:rsidRDefault="00797AB4" w:rsidP="00412609">
      <w:pPr>
        <w:spacing w:line="480" w:lineRule="auto"/>
        <w:jc w:val="center"/>
      </w:pPr>
    </w:p>
    <w:p w14:paraId="52A5BD91" w14:textId="77777777" w:rsidR="00FE5B07" w:rsidRDefault="00FE5B07" w:rsidP="00412609">
      <w:pPr>
        <w:spacing w:line="480" w:lineRule="auto"/>
        <w:jc w:val="center"/>
      </w:pPr>
    </w:p>
    <w:p w14:paraId="3B663340" w14:textId="77777777" w:rsidR="00FE5B07" w:rsidRDefault="00FE5B07" w:rsidP="00412609">
      <w:pPr>
        <w:spacing w:line="480" w:lineRule="auto"/>
        <w:jc w:val="center"/>
      </w:pPr>
    </w:p>
    <w:p w14:paraId="5AC8F457" w14:textId="77777777" w:rsidR="00FE5B07" w:rsidRDefault="00FE5B07" w:rsidP="00412609">
      <w:pPr>
        <w:spacing w:line="480" w:lineRule="auto"/>
        <w:jc w:val="center"/>
      </w:pPr>
    </w:p>
    <w:p w14:paraId="6A52A27E" w14:textId="77777777" w:rsidR="00FE5B07" w:rsidRDefault="00FE5B07" w:rsidP="00412609">
      <w:pPr>
        <w:spacing w:line="480" w:lineRule="auto"/>
        <w:jc w:val="center"/>
      </w:pPr>
    </w:p>
    <w:p w14:paraId="7F30A365" w14:textId="77777777" w:rsidR="00072EF4" w:rsidRDefault="00072EF4" w:rsidP="00412609">
      <w:pPr>
        <w:spacing w:line="480" w:lineRule="auto"/>
        <w:jc w:val="center"/>
      </w:pPr>
    </w:p>
    <w:p w14:paraId="07F961EA" w14:textId="77777777" w:rsidR="00797AB4" w:rsidRDefault="00797AB4" w:rsidP="00412609">
      <w:pPr>
        <w:spacing w:line="480" w:lineRule="auto"/>
        <w:jc w:val="center"/>
      </w:pPr>
    </w:p>
    <w:bookmarkEnd w:id="0"/>
    <w:bookmarkEnd w:id="1"/>
    <w:p w14:paraId="052E0A2E" w14:textId="77777777" w:rsidR="00797AB4" w:rsidRDefault="00797AB4" w:rsidP="00412609">
      <w:pPr>
        <w:spacing w:line="480" w:lineRule="auto"/>
        <w:jc w:val="center"/>
      </w:pPr>
      <w:r>
        <w:rPr>
          <w:b/>
          <w:bCs/>
          <w:sz w:val="28"/>
          <w:szCs w:val="28"/>
          <w:u w:val="single"/>
        </w:rPr>
        <w:lastRenderedPageBreak/>
        <w:t>Table of Content</w:t>
      </w:r>
      <w:r w:rsidR="00CE4075">
        <w:rPr>
          <w:b/>
          <w:bCs/>
          <w:sz w:val="28"/>
          <w:szCs w:val="28"/>
          <w:u w:val="single"/>
        </w:rPr>
        <w:t>s</w:t>
      </w:r>
      <w:r>
        <w:tab/>
      </w:r>
    </w:p>
    <w:p w14:paraId="524934B7" w14:textId="77777777" w:rsidR="00797AB4" w:rsidRPr="00900F29" w:rsidRDefault="00797AB4" w:rsidP="00A73B11">
      <w:pPr>
        <w:spacing w:line="480" w:lineRule="auto"/>
        <w:rPr>
          <w:sz w:val="28"/>
          <w:szCs w:val="28"/>
        </w:rPr>
      </w:pPr>
      <w:r>
        <w:rPr>
          <w:b/>
          <w:bCs/>
          <w:sz w:val="28"/>
          <w:szCs w:val="28"/>
          <w:u w:val="single"/>
        </w:rPr>
        <w:t>B</w:t>
      </w:r>
      <w:r w:rsidRPr="00CE4075">
        <w:rPr>
          <w:b/>
          <w:sz w:val="28"/>
          <w:szCs w:val="28"/>
          <w:u w:val="single"/>
        </w:rPr>
        <w:t xml:space="preserve">. </w:t>
      </w:r>
      <w:r w:rsidRPr="00CE4075">
        <w:rPr>
          <w:b/>
          <w:bCs/>
          <w:sz w:val="28"/>
          <w:szCs w:val="28"/>
          <w:u w:val="single"/>
        </w:rPr>
        <w:t>Collections of Information Employing Statistical Methods</w:t>
      </w:r>
    </w:p>
    <w:p w14:paraId="5D783E8C" w14:textId="77777777" w:rsidR="00797AB4" w:rsidRPr="00A73B11" w:rsidRDefault="00797AB4" w:rsidP="00406D28">
      <w:pPr>
        <w:pStyle w:val="ListParagraph"/>
        <w:numPr>
          <w:ilvl w:val="0"/>
          <w:numId w:val="19"/>
        </w:numPr>
        <w:autoSpaceDE w:val="0"/>
        <w:autoSpaceDN w:val="0"/>
        <w:adjustRightInd w:val="0"/>
      </w:pPr>
      <w:r w:rsidRPr="00A73B11">
        <w:t>Respondent Universe and Sampling Methods</w:t>
      </w:r>
    </w:p>
    <w:p w14:paraId="69047A8A" w14:textId="77777777" w:rsidR="00797AB4" w:rsidRPr="00A73B11" w:rsidRDefault="00797AB4" w:rsidP="00A73B11">
      <w:pPr>
        <w:autoSpaceDE w:val="0"/>
        <w:autoSpaceDN w:val="0"/>
        <w:adjustRightInd w:val="0"/>
      </w:pPr>
    </w:p>
    <w:p w14:paraId="6BDDFFBC" w14:textId="77777777" w:rsidR="00797AB4" w:rsidRPr="00A73B11" w:rsidRDefault="00797AB4" w:rsidP="00406D28">
      <w:pPr>
        <w:pStyle w:val="ListParagraph"/>
        <w:numPr>
          <w:ilvl w:val="0"/>
          <w:numId w:val="19"/>
        </w:numPr>
        <w:autoSpaceDE w:val="0"/>
        <w:autoSpaceDN w:val="0"/>
        <w:adjustRightInd w:val="0"/>
      </w:pPr>
      <w:r w:rsidRPr="00A73B11">
        <w:t>Procedures for the Collection of Information</w:t>
      </w:r>
    </w:p>
    <w:p w14:paraId="3EA8B5F3" w14:textId="77777777" w:rsidR="00797AB4" w:rsidRPr="00A73B11" w:rsidRDefault="00797AB4" w:rsidP="00A73B11">
      <w:pPr>
        <w:autoSpaceDE w:val="0"/>
        <w:autoSpaceDN w:val="0"/>
        <w:adjustRightInd w:val="0"/>
      </w:pPr>
    </w:p>
    <w:p w14:paraId="6958FF6B" w14:textId="77777777" w:rsidR="00797AB4" w:rsidRPr="00A73B11" w:rsidRDefault="00797AB4" w:rsidP="00406D28">
      <w:pPr>
        <w:pStyle w:val="ListParagraph"/>
        <w:numPr>
          <w:ilvl w:val="0"/>
          <w:numId w:val="19"/>
        </w:numPr>
        <w:autoSpaceDE w:val="0"/>
        <w:autoSpaceDN w:val="0"/>
        <w:adjustRightInd w:val="0"/>
      </w:pPr>
      <w:r w:rsidRPr="00A73B11">
        <w:t>Methods to Maximize Response Rates and Deal with Nonresponse</w:t>
      </w:r>
    </w:p>
    <w:p w14:paraId="164BAB67" w14:textId="77777777" w:rsidR="00797AB4" w:rsidRPr="00A73B11" w:rsidRDefault="00797AB4" w:rsidP="00A73B11">
      <w:pPr>
        <w:autoSpaceDE w:val="0"/>
        <w:autoSpaceDN w:val="0"/>
        <w:adjustRightInd w:val="0"/>
      </w:pPr>
    </w:p>
    <w:p w14:paraId="6FFB47BC" w14:textId="77777777" w:rsidR="00797AB4" w:rsidRPr="00A73B11" w:rsidRDefault="00797AB4" w:rsidP="00406D28">
      <w:pPr>
        <w:pStyle w:val="ListParagraph"/>
        <w:numPr>
          <w:ilvl w:val="0"/>
          <w:numId w:val="19"/>
        </w:numPr>
        <w:autoSpaceDE w:val="0"/>
        <w:autoSpaceDN w:val="0"/>
        <w:adjustRightInd w:val="0"/>
      </w:pPr>
      <w:r w:rsidRPr="00A73B11">
        <w:t>Tests of Procedures or Methods to be Undertaken</w:t>
      </w:r>
    </w:p>
    <w:p w14:paraId="15FBF5C7" w14:textId="77777777" w:rsidR="00797AB4" w:rsidRPr="00A73B11" w:rsidRDefault="00797AB4" w:rsidP="00A73B11">
      <w:pPr>
        <w:autoSpaceDE w:val="0"/>
        <w:autoSpaceDN w:val="0"/>
        <w:adjustRightInd w:val="0"/>
      </w:pPr>
    </w:p>
    <w:p w14:paraId="7E109E25" w14:textId="77777777" w:rsidR="00797AB4" w:rsidRPr="00A73B11" w:rsidRDefault="00797AB4" w:rsidP="00406D28">
      <w:pPr>
        <w:pStyle w:val="ListParagraph"/>
        <w:numPr>
          <w:ilvl w:val="0"/>
          <w:numId w:val="19"/>
        </w:numPr>
        <w:autoSpaceDE w:val="0"/>
        <w:autoSpaceDN w:val="0"/>
        <w:adjustRightInd w:val="0"/>
      </w:pPr>
      <w:r w:rsidRPr="00A73B11">
        <w:t>Individuals Consulted on Statistical Aspects and Individuals Collecting and/or</w:t>
      </w:r>
    </w:p>
    <w:p w14:paraId="5E8FDCE3" w14:textId="77777777" w:rsidR="00797AB4" w:rsidRPr="00A73B11" w:rsidRDefault="00797AB4" w:rsidP="00406D28">
      <w:pPr>
        <w:pStyle w:val="ListParagraph"/>
        <w:autoSpaceDE w:val="0"/>
        <w:autoSpaceDN w:val="0"/>
        <w:adjustRightInd w:val="0"/>
      </w:pPr>
      <w:r w:rsidRPr="00A73B11">
        <w:t>Analyzing Data</w:t>
      </w:r>
    </w:p>
    <w:p w14:paraId="5019DC96" w14:textId="77777777" w:rsidR="00797AB4" w:rsidRDefault="00797AB4" w:rsidP="00412609">
      <w:pPr>
        <w:spacing w:line="480" w:lineRule="auto"/>
        <w:rPr>
          <w:sz w:val="28"/>
          <w:szCs w:val="28"/>
          <w:u w:val="single"/>
        </w:rPr>
      </w:pPr>
    </w:p>
    <w:p w14:paraId="0B304475" w14:textId="77777777" w:rsidR="00797AB4" w:rsidRDefault="00797AB4" w:rsidP="00A81F89">
      <w:pPr>
        <w:spacing w:line="480" w:lineRule="auto"/>
        <w:jc w:val="center"/>
        <w:rPr>
          <w:b/>
          <w:bCs/>
          <w:u w:val="single"/>
        </w:rPr>
      </w:pPr>
    </w:p>
    <w:p w14:paraId="55BEE770" w14:textId="77777777" w:rsidR="002B49E2" w:rsidRDefault="002B49E2" w:rsidP="00A81F89">
      <w:pPr>
        <w:spacing w:line="480" w:lineRule="auto"/>
        <w:jc w:val="center"/>
        <w:rPr>
          <w:b/>
          <w:bCs/>
          <w:u w:val="single"/>
        </w:rPr>
      </w:pPr>
    </w:p>
    <w:p w14:paraId="17C1909A" w14:textId="77777777" w:rsidR="002B49E2" w:rsidRDefault="002B49E2" w:rsidP="00A81F89">
      <w:pPr>
        <w:spacing w:line="480" w:lineRule="auto"/>
        <w:jc w:val="center"/>
        <w:rPr>
          <w:b/>
          <w:bCs/>
          <w:u w:val="single"/>
        </w:rPr>
      </w:pPr>
    </w:p>
    <w:p w14:paraId="77D52069" w14:textId="77777777" w:rsidR="002B49E2" w:rsidRDefault="002B49E2" w:rsidP="00A81F89">
      <w:pPr>
        <w:spacing w:line="480" w:lineRule="auto"/>
        <w:jc w:val="center"/>
        <w:rPr>
          <w:b/>
          <w:bCs/>
          <w:u w:val="single"/>
        </w:rPr>
      </w:pPr>
    </w:p>
    <w:p w14:paraId="46494C63" w14:textId="77777777" w:rsidR="002B49E2" w:rsidRDefault="002B49E2" w:rsidP="00A81F89">
      <w:pPr>
        <w:spacing w:line="480" w:lineRule="auto"/>
        <w:jc w:val="center"/>
        <w:rPr>
          <w:b/>
          <w:bCs/>
          <w:u w:val="single"/>
        </w:rPr>
      </w:pPr>
    </w:p>
    <w:p w14:paraId="05044FB4" w14:textId="77777777" w:rsidR="002B49E2" w:rsidRDefault="002B49E2" w:rsidP="00A81F89">
      <w:pPr>
        <w:spacing w:line="480" w:lineRule="auto"/>
        <w:jc w:val="center"/>
        <w:rPr>
          <w:b/>
          <w:bCs/>
          <w:u w:val="single"/>
        </w:rPr>
      </w:pPr>
    </w:p>
    <w:p w14:paraId="117268C9" w14:textId="77777777" w:rsidR="002B49E2" w:rsidRDefault="002B49E2" w:rsidP="00A81F89">
      <w:pPr>
        <w:spacing w:line="480" w:lineRule="auto"/>
        <w:jc w:val="center"/>
        <w:rPr>
          <w:b/>
          <w:bCs/>
          <w:u w:val="single"/>
        </w:rPr>
      </w:pPr>
    </w:p>
    <w:p w14:paraId="6D2AA9EE" w14:textId="77777777" w:rsidR="002B49E2" w:rsidRDefault="002B49E2" w:rsidP="00A81F89">
      <w:pPr>
        <w:spacing w:line="480" w:lineRule="auto"/>
        <w:jc w:val="center"/>
        <w:rPr>
          <w:b/>
          <w:bCs/>
          <w:u w:val="single"/>
        </w:rPr>
      </w:pPr>
    </w:p>
    <w:p w14:paraId="18C5F12C" w14:textId="77777777" w:rsidR="002B49E2" w:rsidRDefault="002B49E2" w:rsidP="00A81F89">
      <w:pPr>
        <w:spacing w:line="480" w:lineRule="auto"/>
        <w:jc w:val="center"/>
        <w:rPr>
          <w:b/>
          <w:bCs/>
          <w:u w:val="single"/>
        </w:rPr>
      </w:pPr>
    </w:p>
    <w:p w14:paraId="7CC1D310" w14:textId="77777777" w:rsidR="002B49E2" w:rsidRDefault="002B49E2" w:rsidP="00A81F89">
      <w:pPr>
        <w:spacing w:line="480" w:lineRule="auto"/>
        <w:jc w:val="center"/>
        <w:rPr>
          <w:b/>
          <w:bCs/>
          <w:u w:val="single"/>
        </w:rPr>
      </w:pPr>
    </w:p>
    <w:p w14:paraId="32CB01DA" w14:textId="77777777" w:rsidR="002B49E2" w:rsidRDefault="002B49E2" w:rsidP="00A81F89">
      <w:pPr>
        <w:spacing w:line="480" w:lineRule="auto"/>
        <w:jc w:val="center"/>
        <w:rPr>
          <w:b/>
          <w:bCs/>
          <w:u w:val="single"/>
        </w:rPr>
      </w:pPr>
    </w:p>
    <w:p w14:paraId="3112D78C" w14:textId="77777777" w:rsidR="002B49E2" w:rsidRDefault="002B49E2" w:rsidP="00A81F89">
      <w:pPr>
        <w:spacing w:line="480" w:lineRule="auto"/>
        <w:jc w:val="center"/>
        <w:rPr>
          <w:b/>
          <w:bCs/>
          <w:u w:val="single"/>
        </w:rPr>
      </w:pPr>
    </w:p>
    <w:p w14:paraId="3AE3D70C" w14:textId="77777777" w:rsidR="002B49E2" w:rsidRDefault="002B49E2" w:rsidP="00A81F89">
      <w:pPr>
        <w:spacing w:line="480" w:lineRule="auto"/>
        <w:jc w:val="center"/>
        <w:rPr>
          <w:b/>
          <w:bCs/>
          <w:u w:val="single"/>
        </w:rPr>
      </w:pPr>
    </w:p>
    <w:p w14:paraId="51BDC23F" w14:textId="77777777" w:rsidR="002B49E2" w:rsidRDefault="002B49E2" w:rsidP="00A81F89">
      <w:pPr>
        <w:spacing w:line="480" w:lineRule="auto"/>
        <w:jc w:val="center"/>
        <w:rPr>
          <w:b/>
          <w:bCs/>
          <w:u w:val="single"/>
        </w:rPr>
      </w:pPr>
    </w:p>
    <w:p w14:paraId="77D1D163" w14:textId="77777777" w:rsidR="00370A53" w:rsidRDefault="00370A53" w:rsidP="00A81F89">
      <w:pPr>
        <w:spacing w:line="480" w:lineRule="auto"/>
        <w:jc w:val="center"/>
        <w:rPr>
          <w:b/>
          <w:bCs/>
          <w:u w:val="single"/>
        </w:rPr>
      </w:pPr>
    </w:p>
    <w:p w14:paraId="475AAF63" w14:textId="77777777" w:rsidR="00797AB4" w:rsidRPr="00900F29" w:rsidRDefault="00797AB4" w:rsidP="000C6F76">
      <w:pPr>
        <w:spacing w:line="480" w:lineRule="auto"/>
        <w:rPr>
          <w:sz w:val="28"/>
          <w:szCs w:val="28"/>
        </w:rPr>
      </w:pPr>
      <w:r>
        <w:rPr>
          <w:b/>
          <w:bCs/>
          <w:sz w:val="28"/>
          <w:szCs w:val="28"/>
          <w:u w:val="single"/>
        </w:rPr>
        <w:lastRenderedPageBreak/>
        <w:t>B</w:t>
      </w:r>
      <w:r w:rsidRPr="00E01D77">
        <w:rPr>
          <w:sz w:val="28"/>
          <w:szCs w:val="28"/>
          <w:u w:val="single"/>
        </w:rPr>
        <w:t xml:space="preserve">. </w:t>
      </w:r>
      <w:r w:rsidRPr="00E01D77">
        <w:rPr>
          <w:b/>
          <w:bCs/>
          <w:sz w:val="28"/>
          <w:szCs w:val="28"/>
          <w:u w:val="single"/>
        </w:rPr>
        <w:t>Collections of Information Employing Statistical Methods</w:t>
      </w:r>
    </w:p>
    <w:p w14:paraId="7D073C82" w14:textId="77777777" w:rsidR="00797AB4" w:rsidRPr="00E26001" w:rsidRDefault="00797AB4" w:rsidP="000C6F76">
      <w:pPr>
        <w:autoSpaceDE w:val="0"/>
        <w:autoSpaceDN w:val="0"/>
        <w:adjustRightInd w:val="0"/>
        <w:rPr>
          <w:b/>
          <w:bCs/>
          <w:sz w:val="28"/>
          <w:szCs w:val="28"/>
        </w:rPr>
      </w:pPr>
      <w:r w:rsidRPr="00E26001">
        <w:rPr>
          <w:b/>
          <w:bCs/>
          <w:sz w:val="28"/>
          <w:szCs w:val="28"/>
        </w:rPr>
        <w:t>1. Respondent Universe and Sampling Methods</w:t>
      </w:r>
    </w:p>
    <w:p w14:paraId="19A93560" w14:textId="77777777" w:rsidR="00797AB4" w:rsidRPr="00925966" w:rsidRDefault="00797AB4" w:rsidP="000C6F76">
      <w:pPr>
        <w:autoSpaceDE w:val="0"/>
        <w:autoSpaceDN w:val="0"/>
        <w:adjustRightInd w:val="0"/>
        <w:rPr>
          <w:sz w:val="22"/>
          <w:szCs w:val="22"/>
        </w:rPr>
      </w:pPr>
    </w:p>
    <w:p w14:paraId="0B7157F4" w14:textId="77777777" w:rsidR="00877C92" w:rsidRPr="00E26001" w:rsidRDefault="00797AB4" w:rsidP="008B2237">
      <w:pPr>
        <w:spacing w:line="480" w:lineRule="auto"/>
        <w:ind w:firstLine="720"/>
      </w:pPr>
      <w:r w:rsidRPr="00E26001">
        <w:t xml:space="preserve">The respondent universe </w:t>
      </w:r>
      <w:r w:rsidR="008B2237" w:rsidRPr="00E26001">
        <w:t xml:space="preserve">for this study </w:t>
      </w:r>
      <w:r w:rsidRPr="00E26001">
        <w:t xml:space="preserve">consists of </w:t>
      </w:r>
      <w:r w:rsidR="008B2237" w:rsidRPr="00E26001">
        <w:t xml:space="preserve">representatives of/from 13,567 U.S. public school districts (as estimated by the </w:t>
      </w:r>
      <w:r w:rsidR="008B2237" w:rsidRPr="00E26001">
        <w:rPr>
          <w:spacing w:val="1"/>
        </w:rPr>
        <w:t>N</w:t>
      </w:r>
      <w:r w:rsidR="008B2237" w:rsidRPr="00E26001">
        <w:rPr>
          <w:spacing w:val="-1"/>
        </w:rPr>
        <w:t>a</w:t>
      </w:r>
      <w:r w:rsidR="008B2237" w:rsidRPr="00E26001">
        <w:t>t</w:t>
      </w:r>
      <w:r w:rsidR="008B2237" w:rsidRPr="00E26001">
        <w:rPr>
          <w:spacing w:val="1"/>
        </w:rPr>
        <w:t>i</w:t>
      </w:r>
      <w:r w:rsidR="008B2237" w:rsidRPr="00E26001">
        <w:t>on</w:t>
      </w:r>
      <w:r w:rsidR="008B2237" w:rsidRPr="00E26001">
        <w:rPr>
          <w:spacing w:val="-1"/>
        </w:rPr>
        <w:t>a</w:t>
      </w:r>
      <w:r w:rsidR="008B2237" w:rsidRPr="00E26001">
        <w:t xml:space="preserve">l </w:t>
      </w:r>
      <w:r w:rsidR="008B2237" w:rsidRPr="00E26001">
        <w:rPr>
          <w:spacing w:val="1"/>
        </w:rPr>
        <w:t>C</w:t>
      </w:r>
      <w:r w:rsidR="008B2237" w:rsidRPr="00E26001">
        <w:rPr>
          <w:spacing w:val="-1"/>
        </w:rPr>
        <w:t>e</w:t>
      </w:r>
      <w:r w:rsidR="008B2237" w:rsidRPr="00E26001">
        <w:t>nter</w:t>
      </w:r>
      <w:r w:rsidR="008B2237" w:rsidRPr="00E26001">
        <w:rPr>
          <w:spacing w:val="-1"/>
        </w:rPr>
        <w:t xml:space="preserve"> f</w:t>
      </w:r>
      <w:r w:rsidR="008B2237" w:rsidRPr="00E26001">
        <w:t>or</w:t>
      </w:r>
      <w:r w:rsidR="008B2237" w:rsidRPr="00E26001">
        <w:rPr>
          <w:spacing w:val="-1"/>
        </w:rPr>
        <w:t xml:space="preserve"> </w:t>
      </w:r>
      <w:r w:rsidR="008B2237" w:rsidRPr="00E26001">
        <w:t>Ed</w:t>
      </w:r>
      <w:r w:rsidR="008B2237" w:rsidRPr="00E26001">
        <w:rPr>
          <w:spacing w:val="2"/>
        </w:rPr>
        <w:t>u</w:t>
      </w:r>
      <w:r w:rsidR="008B2237" w:rsidRPr="00E26001">
        <w:rPr>
          <w:spacing w:val="-1"/>
        </w:rPr>
        <w:t>ca</w:t>
      </w:r>
      <w:r w:rsidR="008B2237" w:rsidRPr="00E26001">
        <w:t>t</w:t>
      </w:r>
      <w:r w:rsidR="008B2237" w:rsidRPr="00E26001">
        <w:rPr>
          <w:spacing w:val="1"/>
        </w:rPr>
        <w:t>i</w:t>
      </w:r>
      <w:r w:rsidR="008B2237" w:rsidRPr="00E26001">
        <w:t xml:space="preserve">on </w:t>
      </w:r>
      <w:r w:rsidR="008B2237" w:rsidRPr="00E26001">
        <w:rPr>
          <w:spacing w:val="1"/>
        </w:rPr>
        <w:t>S</w:t>
      </w:r>
      <w:r w:rsidR="008B2237" w:rsidRPr="00E26001">
        <w:t>tatis</w:t>
      </w:r>
      <w:r w:rsidR="008B2237" w:rsidRPr="00E26001">
        <w:rPr>
          <w:spacing w:val="1"/>
        </w:rPr>
        <w:t>t</w:t>
      </w:r>
      <w:r w:rsidR="008B2237" w:rsidRPr="00E26001">
        <w:t>ics</w:t>
      </w:r>
      <w:r w:rsidR="008B2237" w:rsidRPr="00E26001">
        <w:rPr>
          <w:spacing w:val="3"/>
        </w:rPr>
        <w:t xml:space="preserve">, </w:t>
      </w:r>
      <w:r w:rsidR="008B2237" w:rsidRPr="00E26001">
        <w:rPr>
          <w:spacing w:val="-1"/>
        </w:rPr>
        <w:t>N</w:t>
      </w:r>
      <w:r w:rsidR="008B2237" w:rsidRPr="00E26001">
        <w:t xml:space="preserve">CES, for 2011-2012; </w:t>
      </w:r>
      <w:hyperlink r:id="rId9" w:history="1">
        <w:r w:rsidR="008B2237" w:rsidRPr="00E26001">
          <w:rPr>
            <w:rStyle w:val="Hyperlink"/>
          </w:rPr>
          <w:t>http://nces.ed.gov/programs/digest/d13/tables/dt13_214.10.asp</w:t>
        </w:r>
      </w:hyperlink>
      <w:r w:rsidR="008B2237" w:rsidRPr="00E26001">
        <w:t xml:space="preserve">). </w:t>
      </w:r>
      <w:r w:rsidRPr="00E26001">
        <w:t xml:space="preserve"> </w:t>
      </w:r>
      <w:r w:rsidR="00877C92" w:rsidRPr="00E26001">
        <w:t xml:space="preserve">Twenty-eight (28) key informant interviews will be conducted.  </w:t>
      </w:r>
      <w:r w:rsidR="001022CE">
        <w:t>This number is based on results from the pre-test and is consistent with qualitative research methods</w:t>
      </w:r>
      <w:r w:rsidR="001022CE" w:rsidRPr="00E26001">
        <w:t xml:space="preserve"> </w:t>
      </w:r>
      <w:r w:rsidR="001022CE">
        <w:t>for achieving response saturation [Guest 2006].  Interviews will be conducted with</w:t>
      </w:r>
      <w:r w:rsidR="00877C92" w:rsidRPr="00E26001">
        <w:t xml:space="preserve"> seven (7) respondents from each of the four (4) regions of the United States (Northeast, Midwest, West, South) as defined by the U.S. Census Bureau. In each region, a sample of districts will be selected based on jurisdictional density, as defined by the National Center for Education Statistics (NCES).  The categories of jurisdictional density are:</w:t>
      </w:r>
    </w:p>
    <w:p w14:paraId="1647E856" w14:textId="77777777" w:rsidR="00877C92" w:rsidRPr="00E26001" w:rsidRDefault="00877C92" w:rsidP="00877C92">
      <w:pPr>
        <w:pStyle w:val="ListParagraph"/>
        <w:numPr>
          <w:ilvl w:val="0"/>
          <w:numId w:val="17"/>
        </w:numPr>
        <w:tabs>
          <w:tab w:val="left" w:pos="810"/>
        </w:tabs>
        <w:spacing w:line="480" w:lineRule="auto"/>
        <w:ind w:left="821" w:hanging="274"/>
        <w:contextualSpacing w:val="0"/>
      </w:pPr>
      <w:r w:rsidRPr="00E26001">
        <w:t>City: Located inside an urbanized area and inside a principal city.</w:t>
      </w:r>
    </w:p>
    <w:p w14:paraId="5FA8E3A9" w14:textId="77777777" w:rsidR="00877C92" w:rsidRPr="00E26001" w:rsidRDefault="00877C92" w:rsidP="00877C92">
      <w:pPr>
        <w:pStyle w:val="ListParagraph"/>
        <w:numPr>
          <w:ilvl w:val="0"/>
          <w:numId w:val="17"/>
        </w:numPr>
        <w:tabs>
          <w:tab w:val="left" w:pos="810"/>
        </w:tabs>
        <w:spacing w:line="480" w:lineRule="auto"/>
        <w:ind w:left="821" w:hanging="274"/>
        <w:contextualSpacing w:val="0"/>
      </w:pPr>
      <w:r w:rsidRPr="00E26001">
        <w:t>Suburban: Located inside an urbanized area and outside a principal city.</w:t>
      </w:r>
    </w:p>
    <w:p w14:paraId="6D32C1FA" w14:textId="77777777" w:rsidR="00877C92" w:rsidRPr="00E26001" w:rsidRDefault="00877C92" w:rsidP="00877C92">
      <w:pPr>
        <w:tabs>
          <w:tab w:val="left" w:pos="810"/>
        </w:tabs>
        <w:spacing w:line="480" w:lineRule="auto"/>
        <w:ind w:left="821" w:hanging="274"/>
      </w:pPr>
      <w:r w:rsidRPr="00E26001">
        <w:t xml:space="preserve">• </w:t>
      </w:r>
      <w:r w:rsidRPr="00E26001">
        <w:tab/>
      </w:r>
      <w:r w:rsidRPr="00E26001">
        <w:tab/>
        <w:t xml:space="preserve">Town/rural: Territory inside an urban cluster/territory, or rural territory. </w:t>
      </w:r>
    </w:p>
    <w:p w14:paraId="4F489020" w14:textId="77777777" w:rsidR="007C7563" w:rsidRPr="00E26001" w:rsidRDefault="00877C92" w:rsidP="00877C92">
      <w:pPr>
        <w:tabs>
          <w:tab w:val="left" w:pos="0"/>
        </w:tabs>
        <w:spacing w:line="480" w:lineRule="auto"/>
      </w:pPr>
      <w:r w:rsidRPr="00E26001">
        <w:tab/>
        <w:t>In the United States in 2011-12, 29 percent of students attended schools in cities, 34 percent attended schools in suburbs, and 37 percent of students attended town or rur</w:t>
      </w:r>
      <w:r w:rsidR="007C7563" w:rsidRPr="00E26001">
        <w:t xml:space="preserve">al schools [Keaton 2013]. </w:t>
      </w:r>
      <w:r w:rsidRPr="00E26001">
        <w:t xml:space="preserve">To achieve a sample of districts that is proportional to the distribution of students in the United States, 2-3 City districts, 2-3 Suburban districts, and 2-3 Town/rural districts will be selected in each of the </w:t>
      </w:r>
      <w:r w:rsidR="00990738">
        <w:t>4</w:t>
      </w:r>
      <w:r w:rsidRPr="00E26001">
        <w:t xml:space="preserve"> Census regions. </w:t>
      </w:r>
    </w:p>
    <w:p w14:paraId="2DCE02A7" w14:textId="77777777" w:rsidR="00877C92" w:rsidRPr="00E26001" w:rsidRDefault="00877C92" w:rsidP="00877C92">
      <w:pPr>
        <w:tabs>
          <w:tab w:val="left" w:pos="0"/>
        </w:tabs>
        <w:spacing w:line="480" w:lineRule="auto"/>
      </w:pPr>
      <w:r w:rsidRPr="00E26001">
        <w:t>Table 1 shows how</w:t>
      </w:r>
      <w:r w:rsidR="007C7563" w:rsidRPr="00E26001">
        <w:t xml:space="preserve"> the sample will be distributed:</w:t>
      </w:r>
    </w:p>
    <w:p w14:paraId="53489124" w14:textId="77777777" w:rsidR="007C7563" w:rsidRPr="00E26001" w:rsidRDefault="007C7563" w:rsidP="00877C92">
      <w:pPr>
        <w:tabs>
          <w:tab w:val="left" w:pos="0"/>
        </w:tabs>
        <w:spacing w:line="480" w:lineRule="auto"/>
      </w:pPr>
    </w:p>
    <w:p w14:paraId="21F4EF11" w14:textId="77777777" w:rsidR="007C7563" w:rsidRPr="00E26001" w:rsidRDefault="007C7563" w:rsidP="00877C92">
      <w:pPr>
        <w:tabs>
          <w:tab w:val="left" w:pos="0"/>
        </w:tabs>
        <w:spacing w:line="480" w:lineRule="auto"/>
      </w:pPr>
    </w:p>
    <w:tbl>
      <w:tblPr>
        <w:tblStyle w:val="TableGrid"/>
        <w:tblpPr w:leftFromText="180" w:rightFromText="180" w:vertAnchor="text" w:horzAnchor="margin" w:tblpY="262"/>
        <w:tblW w:w="0" w:type="auto"/>
        <w:tblLook w:val="04A0" w:firstRow="1" w:lastRow="0" w:firstColumn="1" w:lastColumn="0" w:noHBand="0" w:noVBand="1"/>
      </w:tblPr>
      <w:tblGrid>
        <w:gridCol w:w="1971"/>
        <w:gridCol w:w="2187"/>
        <w:gridCol w:w="2520"/>
      </w:tblGrid>
      <w:tr w:rsidR="00877C92" w:rsidRPr="00046E53" w14:paraId="0430A6CC" w14:textId="77777777" w:rsidTr="00065FCB">
        <w:tc>
          <w:tcPr>
            <w:tcW w:w="6678" w:type="dxa"/>
            <w:gridSpan w:val="3"/>
            <w:vAlign w:val="bottom"/>
          </w:tcPr>
          <w:p w14:paraId="4C84229C" w14:textId="77777777" w:rsidR="00877C92" w:rsidRPr="00046E53" w:rsidRDefault="00877C92" w:rsidP="00065FCB">
            <w:pPr>
              <w:spacing w:line="480" w:lineRule="auto"/>
              <w:rPr>
                <w:rFonts w:ascii="Times New Roman" w:hAnsi="Times New Roman" w:cs="Times New Roman"/>
                <w:b/>
              </w:rPr>
            </w:pPr>
            <w:r w:rsidRPr="00046E53">
              <w:rPr>
                <w:rFonts w:ascii="Times New Roman" w:hAnsi="Times New Roman" w:cs="Times New Roman"/>
                <w:b/>
              </w:rPr>
              <w:lastRenderedPageBreak/>
              <w:t>Table 1:  Location and Number of Key Informant Interviews</w:t>
            </w:r>
          </w:p>
        </w:tc>
      </w:tr>
      <w:tr w:rsidR="00877C92" w:rsidRPr="00046E53" w14:paraId="20E76B75" w14:textId="77777777" w:rsidTr="00065FCB">
        <w:tc>
          <w:tcPr>
            <w:tcW w:w="1971" w:type="dxa"/>
            <w:vAlign w:val="center"/>
          </w:tcPr>
          <w:p w14:paraId="597B97B4" w14:textId="77777777" w:rsidR="00877C92" w:rsidRPr="00046E53" w:rsidRDefault="00877C92" w:rsidP="00065FCB">
            <w:pPr>
              <w:spacing w:line="480" w:lineRule="auto"/>
              <w:jc w:val="center"/>
              <w:rPr>
                <w:rFonts w:ascii="Times New Roman" w:hAnsi="Times New Roman" w:cs="Times New Roman"/>
                <w:b/>
              </w:rPr>
            </w:pPr>
            <w:r w:rsidRPr="00046E53">
              <w:rPr>
                <w:rFonts w:ascii="Times New Roman" w:hAnsi="Times New Roman" w:cs="Times New Roman"/>
                <w:b/>
              </w:rPr>
              <w:t>Region</w:t>
            </w:r>
          </w:p>
        </w:tc>
        <w:tc>
          <w:tcPr>
            <w:tcW w:w="2187" w:type="dxa"/>
            <w:vAlign w:val="center"/>
          </w:tcPr>
          <w:p w14:paraId="7577CC0C" w14:textId="77777777" w:rsidR="00877C92" w:rsidRPr="00046E53" w:rsidRDefault="00877C92" w:rsidP="00065FCB">
            <w:pPr>
              <w:spacing w:line="480" w:lineRule="auto"/>
              <w:jc w:val="center"/>
              <w:rPr>
                <w:rFonts w:ascii="Times New Roman" w:hAnsi="Times New Roman" w:cs="Times New Roman"/>
                <w:b/>
              </w:rPr>
            </w:pPr>
            <w:r w:rsidRPr="00046E53">
              <w:rPr>
                <w:rFonts w:ascii="Times New Roman" w:hAnsi="Times New Roman" w:cs="Times New Roman"/>
                <w:b/>
              </w:rPr>
              <w:t>Locale</w:t>
            </w:r>
          </w:p>
        </w:tc>
        <w:tc>
          <w:tcPr>
            <w:tcW w:w="2520" w:type="dxa"/>
            <w:vAlign w:val="center"/>
          </w:tcPr>
          <w:p w14:paraId="0FDBEBA3" w14:textId="77777777" w:rsidR="00877C92" w:rsidRDefault="00877C92" w:rsidP="00065FCB">
            <w:pPr>
              <w:spacing w:line="480" w:lineRule="auto"/>
              <w:jc w:val="center"/>
              <w:rPr>
                <w:rFonts w:ascii="Times New Roman" w:hAnsi="Times New Roman" w:cs="Times New Roman"/>
                <w:b/>
              </w:rPr>
            </w:pPr>
            <w:r>
              <w:rPr>
                <w:rFonts w:ascii="Times New Roman" w:hAnsi="Times New Roman" w:cs="Times New Roman"/>
                <w:b/>
              </w:rPr>
              <w:t>Target number of</w:t>
            </w:r>
          </w:p>
          <w:p w14:paraId="02EB88B0" w14:textId="77777777" w:rsidR="00877C92" w:rsidRPr="00046E53" w:rsidRDefault="00877C92" w:rsidP="00065FCB">
            <w:pPr>
              <w:spacing w:line="480" w:lineRule="auto"/>
              <w:jc w:val="center"/>
              <w:rPr>
                <w:rFonts w:ascii="Times New Roman" w:hAnsi="Times New Roman" w:cs="Times New Roman"/>
                <w:b/>
              </w:rPr>
            </w:pPr>
            <w:r w:rsidRPr="00046E53">
              <w:rPr>
                <w:rFonts w:ascii="Times New Roman" w:hAnsi="Times New Roman" w:cs="Times New Roman"/>
                <w:b/>
              </w:rPr>
              <w:t>completed interviews</w:t>
            </w:r>
          </w:p>
        </w:tc>
      </w:tr>
      <w:tr w:rsidR="00877C92" w:rsidRPr="00046E53" w14:paraId="6CD58139" w14:textId="77777777" w:rsidTr="00065FCB">
        <w:tc>
          <w:tcPr>
            <w:tcW w:w="1971" w:type="dxa"/>
          </w:tcPr>
          <w:p w14:paraId="69121EBA"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 xml:space="preserve">Northeast </w:t>
            </w:r>
          </w:p>
        </w:tc>
        <w:tc>
          <w:tcPr>
            <w:tcW w:w="2187" w:type="dxa"/>
          </w:tcPr>
          <w:p w14:paraId="7731B164"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City</w:t>
            </w:r>
          </w:p>
        </w:tc>
        <w:tc>
          <w:tcPr>
            <w:tcW w:w="2520" w:type="dxa"/>
          </w:tcPr>
          <w:p w14:paraId="486F31C7"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3</w:t>
            </w:r>
          </w:p>
        </w:tc>
      </w:tr>
      <w:tr w:rsidR="00877C92" w:rsidRPr="00046E53" w14:paraId="6C00913C" w14:textId="77777777" w:rsidTr="00065FCB">
        <w:tc>
          <w:tcPr>
            <w:tcW w:w="1971" w:type="dxa"/>
          </w:tcPr>
          <w:p w14:paraId="55CB510E" w14:textId="77777777" w:rsidR="00877C92" w:rsidRPr="00046E53" w:rsidRDefault="00877C92" w:rsidP="00065FCB">
            <w:pPr>
              <w:spacing w:line="480" w:lineRule="auto"/>
              <w:rPr>
                <w:rFonts w:ascii="Times New Roman" w:hAnsi="Times New Roman" w:cs="Times New Roman"/>
              </w:rPr>
            </w:pPr>
          </w:p>
        </w:tc>
        <w:tc>
          <w:tcPr>
            <w:tcW w:w="2187" w:type="dxa"/>
          </w:tcPr>
          <w:p w14:paraId="73F16EE8"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Suburb</w:t>
            </w:r>
          </w:p>
        </w:tc>
        <w:tc>
          <w:tcPr>
            <w:tcW w:w="2520" w:type="dxa"/>
          </w:tcPr>
          <w:p w14:paraId="1038BEE8"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2</w:t>
            </w:r>
          </w:p>
        </w:tc>
      </w:tr>
      <w:tr w:rsidR="00877C92" w:rsidRPr="00046E53" w14:paraId="607E77AB" w14:textId="77777777" w:rsidTr="00065FCB">
        <w:tc>
          <w:tcPr>
            <w:tcW w:w="1971" w:type="dxa"/>
          </w:tcPr>
          <w:p w14:paraId="6CD0AB85" w14:textId="77777777" w:rsidR="00877C92" w:rsidRPr="00046E53" w:rsidRDefault="00877C92" w:rsidP="00065FCB">
            <w:pPr>
              <w:spacing w:line="480" w:lineRule="auto"/>
              <w:rPr>
                <w:rFonts w:ascii="Times New Roman" w:hAnsi="Times New Roman" w:cs="Times New Roman"/>
              </w:rPr>
            </w:pPr>
          </w:p>
        </w:tc>
        <w:tc>
          <w:tcPr>
            <w:tcW w:w="2187" w:type="dxa"/>
          </w:tcPr>
          <w:p w14:paraId="1C510FEB"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Town/Rural</w:t>
            </w:r>
          </w:p>
        </w:tc>
        <w:tc>
          <w:tcPr>
            <w:tcW w:w="2520" w:type="dxa"/>
          </w:tcPr>
          <w:p w14:paraId="6CDC74EC"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2</w:t>
            </w:r>
          </w:p>
        </w:tc>
      </w:tr>
      <w:tr w:rsidR="00877C92" w:rsidRPr="00046E53" w14:paraId="7E6F123A" w14:textId="77777777" w:rsidTr="00065FCB">
        <w:tc>
          <w:tcPr>
            <w:tcW w:w="1971" w:type="dxa"/>
          </w:tcPr>
          <w:p w14:paraId="6EC1D7B9"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Midwest</w:t>
            </w:r>
          </w:p>
        </w:tc>
        <w:tc>
          <w:tcPr>
            <w:tcW w:w="2187" w:type="dxa"/>
          </w:tcPr>
          <w:p w14:paraId="1D7DD709"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 xml:space="preserve">City </w:t>
            </w:r>
          </w:p>
        </w:tc>
        <w:tc>
          <w:tcPr>
            <w:tcW w:w="2520" w:type="dxa"/>
          </w:tcPr>
          <w:p w14:paraId="7FAF2D70"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2</w:t>
            </w:r>
          </w:p>
        </w:tc>
      </w:tr>
      <w:tr w:rsidR="00877C92" w:rsidRPr="00046E53" w14:paraId="29C0EC04" w14:textId="77777777" w:rsidTr="00065FCB">
        <w:tc>
          <w:tcPr>
            <w:tcW w:w="1971" w:type="dxa"/>
          </w:tcPr>
          <w:p w14:paraId="061B34AF" w14:textId="77777777" w:rsidR="00877C92" w:rsidRPr="00046E53" w:rsidRDefault="00877C92" w:rsidP="00065FCB">
            <w:pPr>
              <w:spacing w:line="480" w:lineRule="auto"/>
              <w:rPr>
                <w:rFonts w:ascii="Times New Roman" w:hAnsi="Times New Roman" w:cs="Times New Roman"/>
              </w:rPr>
            </w:pPr>
          </w:p>
        </w:tc>
        <w:tc>
          <w:tcPr>
            <w:tcW w:w="2187" w:type="dxa"/>
          </w:tcPr>
          <w:p w14:paraId="5CC0C98E"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Suburb</w:t>
            </w:r>
          </w:p>
        </w:tc>
        <w:tc>
          <w:tcPr>
            <w:tcW w:w="2520" w:type="dxa"/>
          </w:tcPr>
          <w:p w14:paraId="6B013E53"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3</w:t>
            </w:r>
          </w:p>
        </w:tc>
      </w:tr>
      <w:tr w:rsidR="00877C92" w:rsidRPr="00046E53" w14:paraId="4B744346" w14:textId="77777777" w:rsidTr="00065FCB">
        <w:tc>
          <w:tcPr>
            <w:tcW w:w="1971" w:type="dxa"/>
          </w:tcPr>
          <w:p w14:paraId="692B24A6" w14:textId="77777777" w:rsidR="00877C92" w:rsidRPr="00046E53" w:rsidRDefault="00877C92" w:rsidP="00065FCB">
            <w:pPr>
              <w:spacing w:line="480" w:lineRule="auto"/>
              <w:rPr>
                <w:rFonts w:ascii="Times New Roman" w:hAnsi="Times New Roman" w:cs="Times New Roman"/>
              </w:rPr>
            </w:pPr>
          </w:p>
        </w:tc>
        <w:tc>
          <w:tcPr>
            <w:tcW w:w="2187" w:type="dxa"/>
          </w:tcPr>
          <w:p w14:paraId="3729F448"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 xml:space="preserve">Town/Rural </w:t>
            </w:r>
          </w:p>
        </w:tc>
        <w:tc>
          <w:tcPr>
            <w:tcW w:w="2520" w:type="dxa"/>
          </w:tcPr>
          <w:p w14:paraId="5F8D5149"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2</w:t>
            </w:r>
          </w:p>
        </w:tc>
      </w:tr>
      <w:tr w:rsidR="00877C92" w:rsidRPr="00046E53" w14:paraId="53E1488D" w14:textId="77777777" w:rsidTr="00065FCB">
        <w:tc>
          <w:tcPr>
            <w:tcW w:w="1971" w:type="dxa"/>
          </w:tcPr>
          <w:p w14:paraId="4645A188"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West</w:t>
            </w:r>
          </w:p>
        </w:tc>
        <w:tc>
          <w:tcPr>
            <w:tcW w:w="2187" w:type="dxa"/>
          </w:tcPr>
          <w:p w14:paraId="7852B4B8"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 xml:space="preserve">City </w:t>
            </w:r>
          </w:p>
        </w:tc>
        <w:tc>
          <w:tcPr>
            <w:tcW w:w="2520" w:type="dxa"/>
          </w:tcPr>
          <w:p w14:paraId="17EC00A4"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2</w:t>
            </w:r>
          </w:p>
        </w:tc>
      </w:tr>
      <w:tr w:rsidR="00877C92" w:rsidRPr="00046E53" w14:paraId="7C26C681" w14:textId="77777777" w:rsidTr="00065FCB">
        <w:tc>
          <w:tcPr>
            <w:tcW w:w="1971" w:type="dxa"/>
          </w:tcPr>
          <w:p w14:paraId="04A9332D" w14:textId="77777777" w:rsidR="00877C92" w:rsidRPr="00046E53" w:rsidRDefault="00877C92" w:rsidP="00065FCB">
            <w:pPr>
              <w:spacing w:line="480" w:lineRule="auto"/>
              <w:rPr>
                <w:rFonts w:ascii="Times New Roman" w:hAnsi="Times New Roman" w:cs="Times New Roman"/>
              </w:rPr>
            </w:pPr>
          </w:p>
        </w:tc>
        <w:tc>
          <w:tcPr>
            <w:tcW w:w="2187" w:type="dxa"/>
          </w:tcPr>
          <w:p w14:paraId="6A1CF2AD"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Suburb</w:t>
            </w:r>
          </w:p>
        </w:tc>
        <w:tc>
          <w:tcPr>
            <w:tcW w:w="2520" w:type="dxa"/>
          </w:tcPr>
          <w:p w14:paraId="7396D2ED"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2</w:t>
            </w:r>
          </w:p>
        </w:tc>
      </w:tr>
      <w:tr w:rsidR="00877C92" w:rsidRPr="00046E53" w14:paraId="0161D227" w14:textId="77777777" w:rsidTr="00065FCB">
        <w:tc>
          <w:tcPr>
            <w:tcW w:w="1971" w:type="dxa"/>
          </w:tcPr>
          <w:p w14:paraId="769A3F2B" w14:textId="77777777" w:rsidR="00877C92" w:rsidRPr="00046E53" w:rsidRDefault="00877C92" w:rsidP="00065FCB">
            <w:pPr>
              <w:spacing w:line="480" w:lineRule="auto"/>
              <w:rPr>
                <w:rFonts w:ascii="Times New Roman" w:hAnsi="Times New Roman" w:cs="Times New Roman"/>
              </w:rPr>
            </w:pPr>
          </w:p>
        </w:tc>
        <w:tc>
          <w:tcPr>
            <w:tcW w:w="2187" w:type="dxa"/>
          </w:tcPr>
          <w:p w14:paraId="16763BA6"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 xml:space="preserve">Town/Rural </w:t>
            </w:r>
          </w:p>
        </w:tc>
        <w:tc>
          <w:tcPr>
            <w:tcW w:w="2520" w:type="dxa"/>
          </w:tcPr>
          <w:p w14:paraId="50DB1FDA"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3</w:t>
            </w:r>
          </w:p>
        </w:tc>
      </w:tr>
      <w:tr w:rsidR="00877C92" w:rsidRPr="00046E53" w14:paraId="76CF0C01" w14:textId="77777777" w:rsidTr="00065FCB">
        <w:tc>
          <w:tcPr>
            <w:tcW w:w="1971" w:type="dxa"/>
          </w:tcPr>
          <w:p w14:paraId="20C7E17C"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South</w:t>
            </w:r>
          </w:p>
        </w:tc>
        <w:tc>
          <w:tcPr>
            <w:tcW w:w="2187" w:type="dxa"/>
          </w:tcPr>
          <w:p w14:paraId="2F22182F"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 xml:space="preserve">City </w:t>
            </w:r>
          </w:p>
        </w:tc>
        <w:tc>
          <w:tcPr>
            <w:tcW w:w="2520" w:type="dxa"/>
          </w:tcPr>
          <w:p w14:paraId="4A0682A7"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3</w:t>
            </w:r>
          </w:p>
        </w:tc>
      </w:tr>
      <w:tr w:rsidR="00877C92" w:rsidRPr="00046E53" w14:paraId="4CA73065" w14:textId="77777777" w:rsidTr="00065FCB">
        <w:tc>
          <w:tcPr>
            <w:tcW w:w="1971" w:type="dxa"/>
          </w:tcPr>
          <w:p w14:paraId="000C87E4" w14:textId="77777777" w:rsidR="00877C92" w:rsidRPr="00046E53" w:rsidRDefault="00877C92" w:rsidP="00065FCB">
            <w:pPr>
              <w:spacing w:line="480" w:lineRule="auto"/>
              <w:rPr>
                <w:rFonts w:ascii="Times New Roman" w:hAnsi="Times New Roman" w:cs="Times New Roman"/>
              </w:rPr>
            </w:pPr>
          </w:p>
        </w:tc>
        <w:tc>
          <w:tcPr>
            <w:tcW w:w="2187" w:type="dxa"/>
          </w:tcPr>
          <w:p w14:paraId="7BC5DD50"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Suburb</w:t>
            </w:r>
          </w:p>
        </w:tc>
        <w:tc>
          <w:tcPr>
            <w:tcW w:w="2520" w:type="dxa"/>
          </w:tcPr>
          <w:p w14:paraId="70C83BB3"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2</w:t>
            </w:r>
          </w:p>
        </w:tc>
      </w:tr>
      <w:tr w:rsidR="00877C92" w:rsidRPr="00046E53" w14:paraId="472B343F" w14:textId="77777777" w:rsidTr="00065FCB">
        <w:tc>
          <w:tcPr>
            <w:tcW w:w="1971" w:type="dxa"/>
          </w:tcPr>
          <w:p w14:paraId="44F881F6" w14:textId="77777777" w:rsidR="00877C92" w:rsidRPr="00046E53" w:rsidRDefault="00877C92" w:rsidP="00065FCB">
            <w:pPr>
              <w:spacing w:line="480" w:lineRule="auto"/>
              <w:rPr>
                <w:rFonts w:ascii="Times New Roman" w:hAnsi="Times New Roman" w:cs="Times New Roman"/>
              </w:rPr>
            </w:pPr>
          </w:p>
        </w:tc>
        <w:tc>
          <w:tcPr>
            <w:tcW w:w="2187" w:type="dxa"/>
          </w:tcPr>
          <w:p w14:paraId="0C9E8A18" w14:textId="77777777" w:rsidR="00877C92" w:rsidRPr="00046E53" w:rsidRDefault="00877C92" w:rsidP="00065FCB">
            <w:pPr>
              <w:spacing w:line="480" w:lineRule="auto"/>
              <w:rPr>
                <w:rFonts w:ascii="Times New Roman" w:hAnsi="Times New Roman" w:cs="Times New Roman"/>
              </w:rPr>
            </w:pPr>
            <w:r w:rsidRPr="00046E53">
              <w:rPr>
                <w:rFonts w:ascii="Times New Roman" w:hAnsi="Times New Roman" w:cs="Times New Roman"/>
              </w:rPr>
              <w:t xml:space="preserve">Town/Rural </w:t>
            </w:r>
          </w:p>
        </w:tc>
        <w:tc>
          <w:tcPr>
            <w:tcW w:w="2520" w:type="dxa"/>
          </w:tcPr>
          <w:p w14:paraId="39247863" w14:textId="77777777" w:rsidR="00877C92" w:rsidRPr="00046E53" w:rsidRDefault="00877C92" w:rsidP="00065FCB">
            <w:pPr>
              <w:spacing w:line="480" w:lineRule="auto"/>
              <w:jc w:val="center"/>
              <w:rPr>
                <w:rFonts w:ascii="Times New Roman" w:hAnsi="Times New Roman" w:cs="Times New Roman"/>
              </w:rPr>
            </w:pPr>
            <w:r w:rsidRPr="00046E53">
              <w:rPr>
                <w:rFonts w:ascii="Times New Roman" w:hAnsi="Times New Roman" w:cs="Times New Roman"/>
              </w:rPr>
              <w:t>2</w:t>
            </w:r>
          </w:p>
        </w:tc>
      </w:tr>
      <w:tr w:rsidR="00877C92" w:rsidRPr="00046E53" w14:paraId="13523C93" w14:textId="77777777" w:rsidTr="00065FCB">
        <w:tc>
          <w:tcPr>
            <w:tcW w:w="1971" w:type="dxa"/>
          </w:tcPr>
          <w:p w14:paraId="5F803D43" w14:textId="77777777" w:rsidR="00877C92" w:rsidRPr="00A642C4" w:rsidRDefault="00877C92" w:rsidP="00065FCB">
            <w:pPr>
              <w:spacing w:line="480" w:lineRule="auto"/>
              <w:rPr>
                <w:rFonts w:ascii="Times New Roman" w:hAnsi="Times New Roman" w:cs="Times New Roman"/>
                <w:b/>
              </w:rPr>
            </w:pPr>
            <w:r w:rsidRPr="00A642C4">
              <w:rPr>
                <w:rFonts w:ascii="Times New Roman" w:hAnsi="Times New Roman" w:cs="Times New Roman"/>
                <w:b/>
              </w:rPr>
              <w:t xml:space="preserve">Total </w:t>
            </w:r>
          </w:p>
        </w:tc>
        <w:tc>
          <w:tcPr>
            <w:tcW w:w="2187" w:type="dxa"/>
          </w:tcPr>
          <w:p w14:paraId="55BB0E27" w14:textId="77777777" w:rsidR="00877C92" w:rsidRPr="00A642C4" w:rsidRDefault="00877C92" w:rsidP="00065FCB">
            <w:pPr>
              <w:spacing w:line="480" w:lineRule="auto"/>
              <w:rPr>
                <w:rFonts w:ascii="Times New Roman" w:hAnsi="Times New Roman" w:cs="Times New Roman"/>
                <w:b/>
              </w:rPr>
            </w:pPr>
          </w:p>
        </w:tc>
        <w:tc>
          <w:tcPr>
            <w:tcW w:w="2520" w:type="dxa"/>
          </w:tcPr>
          <w:p w14:paraId="041ACDB5" w14:textId="77777777" w:rsidR="00877C92" w:rsidRPr="00A642C4" w:rsidRDefault="00877C92" w:rsidP="00065FCB">
            <w:pPr>
              <w:spacing w:line="480" w:lineRule="auto"/>
              <w:jc w:val="center"/>
              <w:rPr>
                <w:rFonts w:ascii="Times New Roman" w:hAnsi="Times New Roman" w:cs="Times New Roman"/>
                <w:b/>
              </w:rPr>
            </w:pPr>
            <w:r w:rsidRPr="00A642C4">
              <w:rPr>
                <w:rFonts w:ascii="Times New Roman" w:hAnsi="Times New Roman" w:cs="Times New Roman"/>
                <w:b/>
              </w:rPr>
              <w:t>28</w:t>
            </w:r>
          </w:p>
        </w:tc>
      </w:tr>
    </w:tbl>
    <w:p w14:paraId="54EA8022" w14:textId="77777777" w:rsidR="00877C92" w:rsidRPr="00046E53" w:rsidRDefault="00877C92" w:rsidP="00877C92">
      <w:pPr>
        <w:spacing w:line="480" w:lineRule="auto"/>
      </w:pPr>
    </w:p>
    <w:p w14:paraId="4342830D" w14:textId="77777777" w:rsidR="00877C92" w:rsidRPr="00046E53" w:rsidRDefault="00877C92" w:rsidP="00877C92">
      <w:pPr>
        <w:spacing w:line="480" w:lineRule="auto"/>
        <w:ind w:firstLine="720"/>
      </w:pPr>
    </w:p>
    <w:p w14:paraId="69AA565F" w14:textId="77777777" w:rsidR="00877C92" w:rsidRPr="00046E53" w:rsidRDefault="00877C92" w:rsidP="00877C92">
      <w:pPr>
        <w:spacing w:line="480" w:lineRule="auto"/>
        <w:ind w:firstLine="720"/>
      </w:pPr>
    </w:p>
    <w:p w14:paraId="46C073BF" w14:textId="77777777" w:rsidR="00877C92" w:rsidRPr="00046E53" w:rsidRDefault="00877C92" w:rsidP="00877C92">
      <w:pPr>
        <w:spacing w:line="480" w:lineRule="auto"/>
        <w:ind w:firstLine="720"/>
      </w:pPr>
    </w:p>
    <w:p w14:paraId="60253C2E" w14:textId="77777777" w:rsidR="00877C92" w:rsidRPr="00046E53" w:rsidRDefault="00877C92" w:rsidP="00877C92">
      <w:pPr>
        <w:spacing w:line="480" w:lineRule="auto"/>
        <w:ind w:firstLine="720"/>
      </w:pPr>
    </w:p>
    <w:p w14:paraId="0F8289BB" w14:textId="77777777" w:rsidR="00877C92" w:rsidRPr="00046E53" w:rsidRDefault="00877C92" w:rsidP="00877C92">
      <w:pPr>
        <w:spacing w:line="480" w:lineRule="auto"/>
        <w:ind w:firstLine="720"/>
      </w:pPr>
    </w:p>
    <w:p w14:paraId="1DEA7652" w14:textId="77777777" w:rsidR="00877C92" w:rsidRPr="00046E53" w:rsidRDefault="00877C92" w:rsidP="00877C92">
      <w:pPr>
        <w:spacing w:line="480" w:lineRule="auto"/>
        <w:ind w:firstLine="720"/>
      </w:pPr>
    </w:p>
    <w:p w14:paraId="46C9E1C9" w14:textId="77777777" w:rsidR="00877C92" w:rsidRPr="00046E53" w:rsidRDefault="00877C92" w:rsidP="00877C92">
      <w:pPr>
        <w:pStyle w:val="bodytextpsg"/>
        <w:spacing w:after="0" w:line="480" w:lineRule="auto"/>
        <w:ind w:firstLine="540"/>
        <w:rPr>
          <w:rFonts w:cs="Times New Roman"/>
          <w:sz w:val="24"/>
          <w:szCs w:val="24"/>
        </w:rPr>
      </w:pPr>
    </w:p>
    <w:p w14:paraId="49E7A620" w14:textId="77777777" w:rsidR="00877C92" w:rsidRDefault="00877C92" w:rsidP="00877C92">
      <w:pPr>
        <w:pStyle w:val="bodytextpsg"/>
        <w:spacing w:after="0" w:line="480" w:lineRule="auto"/>
        <w:ind w:firstLine="540"/>
        <w:rPr>
          <w:rFonts w:cs="Times New Roman"/>
          <w:sz w:val="24"/>
          <w:szCs w:val="24"/>
        </w:rPr>
      </w:pPr>
    </w:p>
    <w:p w14:paraId="56DCE5C0" w14:textId="77777777" w:rsidR="00877C92" w:rsidRDefault="00877C92" w:rsidP="00877C92">
      <w:pPr>
        <w:pStyle w:val="bodytextpsg"/>
        <w:spacing w:after="0" w:line="480" w:lineRule="auto"/>
        <w:ind w:firstLine="540"/>
        <w:rPr>
          <w:rFonts w:cs="Times New Roman"/>
          <w:sz w:val="24"/>
          <w:szCs w:val="24"/>
        </w:rPr>
      </w:pPr>
    </w:p>
    <w:p w14:paraId="7366E591" w14:textId="77777777" w:rsidR="00877C92" w:rsidRDefault="00877C92" w:rsidP="00877C92">
      <w:pPr>
        <w:pStyle w:val="bodytextpsg"/>
        <w:spacing w:after="0" w:line="480" w:lineRule="auto"/>
        <w:ind w:firstLine="540"/>
        <w:rPr>
          <w:rFonts w:cs="Times New Roman"/>
          <w:sz w:val="24"/>
          <w:szCs w:val="24"/>
        </w:rPr>
      </w:pPr>
    </w:p>
    <w:p w14:paraId="4D81DE51" w14:textId="77777777" w:rsidR="00877C92" w:rsidRDefault="00877C92" w:rsidP="00877C92">
      <w:pPr>
        <w:pStyle w:val="bodytextpsg"/>
        <w:spacing w:after="0" w:line="480" w:lineRule="auto"/>
        <w:ind w:firstLine="540"/>
        <w:rPr>
          <w:rFonts w:cs="Times New Roman"/>
          <w:sz w:val="24"/>
          <w:szCs w:val="24"/>
        </w:rPr>
      </w:pPr>
    </w:p>
    <w:p w14:paraId="0A3A9FF9" w14:textId="77777777" w:rsidR="00877C92" w:rsidRDefault="00877C92" w:rsidP="00877C92">
      <w:pPr>
        <w:pStyle w:val="bodytextpsg"/>
        <w:spacing w:after="0" w:line="480" w:lineRule="auto"/>
        <w:ind w:firstLine="540"/>
        <w:rPr>
          <w:rFonts w:cs="Times New Roman"/>
          <w:sz w:val="24"/>
          <w:szCs w:val="24"/>
        </w:rPr>
      </w:pPr>
    </w:p>
    <w:p w14:paraId="0617BF12" w14:textId="77777777" w:rsidR="00877C92" w:rsidRDefault="00877C92" w:rsidP="00877C92">
      <w:pPr>
        <w:pStyle w:val="bodytextpsg"/>
        <w:spacing w:after="0" w:line="480" w:lineRule="auto"/>
        <w:ind w:firstLine="540"/>
        <w:rPr>
          <w:rFonts w:cs="Times New Roman"/>
          <w:sz w:val="24"/>
          <w:szCs w:val="24"/>
        </w:rPr>
      </w:pPr>
    </w:p>
    <w:p w14:paraId="5809BE13" w14:textId="77777777" w:rsidR="007C7563" w:rsidRDefault="007C7563" w:rsidP="00877C92">
      <w:pPr>
        <w:spacing w:line="480" w:lineRule="auto"/>
        <w:rPr>
          <w:i/>
          <w:spacing w:val="1"/>
        </w:rPr>
      </w:pPr>
    </w:p>
    <w:p w14:paraId="08CDC303" w14:textId="77777777" w:rsidR="007C7563" w:rsidRDefault="007C7563" w:rsidP="00877C92">
      <w:pPr>
        <w:spacing w:line="480" w:lineRule="auto"/>
        <w:rPr>
          <w:i/>
          <w:spacing w:val="1"/>
        </w:rPr>
      </w:pPr>
    </w:p>
    <w:p w14:paraId="58BEF0FA" w14:textId="77777777" w:rsidR="007C7563" w:rsidRDefault="007C7563" w:rsidP="00877C92">
      <w:pPr>
        <w:spacing w:line="480" w:lineRule="auto"/>
        <w:rPr>
          <w:i/>
          <w:spacing w:val="1"/>
        </w:rPr>
      </w:pPr>
    </w:p>
    <w:p w14:paraId="302F8B13" w14:textId="77777777" w:rsidR="00B63E53" w:rsidRDefault="00B63E53" w:rsidP="00B63E53">
      <w:pPr>
        <w:pStyle w:val="bodytextpsg"/>
        <w:spacing w:after="0" w:line="480" w:lineRule="auto"/>
        <w:ind w:firstLine="547"/>
        <w:rPr>
          <w:rFonts w:asciiTheme="majorBidi" w:hAnsiTheme="majorBidi" w:cstheme="majorBidi"/>
          <w:sz w:val="24"/>
          <w:szCs w:val="24"/>
        </w:rPr>
      </w:pPr>
    </w:p>
    <w:p w14:paraId="2AF73317" w14:textId="77777777" w:rsidR="00947DE9" w:rsidRPr="00947DE9" w:rsidRDefault="00947DE9" w:rsidP="00947DE9">
      <w:pPr>
        <w:tabs>
          <w:tab w:val="left" w:pos="0"/>
        </w:tabs>
        <w:spacing w:line="480" w:lineRule="auto"/>
      </w:pPr>
      <w:r>
        <w:rPr>
          <w:rFonts w:asciiTheme="majorBidi" w:hAnsiTheme="majorBidi" w:cstheme="majorBidi"/>
        </w:rPr>
        <w:tab/>
      </w:r>
      <w:r w:rsidR="00B63E53" w:rsidRPr="006F1485">
        <w:rPr>
          <w:rFonts w:asciiTheme="majorBidi" w:hAnsiTheme="majorBidi" w:cstheme="majorBidi"/>
        </w:rPr>
        <w:t>Within each of the four regions, we will select 21 districts</w:t>
      </w:r>
      <w:r w:rsidR="001022CE">
        <w:rPr>
          <w:rFonts w:asciiTheme="majorBidi" w:hAnsiTheme="majorBidi" w:cstheme="majorBidi"/>
        </w:rPr>
        <w:t xml:space="preserve"> using random assignment. Two to</w:t>
      </w:r>
      <w:r w:rsidR="00B63E53" w:rsidRPr="006F1485">
        <w:rPr>
          <w:rFonts w:asciiTheme="majorBidi" w:hAnsiTheme="majorBidi" w:cstheme="majorBidi"/>
        </w:rPr>
        <w:t xml:space="preserve"> three </w:t>
      </w:r>
      <w:r w:rsidR="001022CE">
        <w:rPr>
          <w:rFonts w:asciiTheme="majorBidi" w:hAnsiTheme="majorBidi" w:cstheme="majorBidi"/>
        </w:rPr>
        <w:t>districts</w:t>
      </w:r>
      <w:r w:rsidR="00B63E53" w:rsidRPr="006F1485">
        <w:rPr>
          <w:rFonts w:asciiTheme="majorBidi" w:hAnsiTheme="majorBidi" w:cstheme="majorBidi"/>
        </w:rPr>
        <w:t xml:space="preserve"> will be selected from each locale code (city, suburb, rural).  </w:t>
      </w:r>
      <w:r w:rsidRPr="00947DE9">
        <w:t>Using the National Center for Education Statistics Local Education Agency Universe data, districts</w:t>
      </w:r>
      <w:r w:rsidR="001022CE">
        <w:t xml:space="preserve"> will be sorted</w:t>
      </w:r>
      <w:r w:rsidRPr="00947DE9">
        <w:t xml:space="preserve"> by region and locale code </w:t>
      </w:r>
      <w:r w:rsidR="001022CE" w:rsidRPr="00947DE9">
        <w:t xml:space="preserve">and </w:t>
      </w:r>
      <w:r w:rsidR="001022CE">
        <w:t>a</w:t>
      </w:r>
      <w:r w:rsidRPr="00947DE9">
        <w:t xml:space="preserve"> random process </w:t>
      </w:r>
      <w:r w:rsidR="001022CE">
        <w:t xml:space="preserve">will be utilized </w:t>
      </w:r>
      <w:r w:rsidRPr="00947DE9">
        <w:t xml:space="preserve">to identify the recruitment pool of seven districts within each region and locale code. </w:t>
      </w:r>
      <w:r w:rsidR="00877C92" w:rsidRPr="00046E53">
        <w:rPr>
          <w:spacing w:val="1"/>
        </w:rPr>
        <w:t xml:space="preserve"> </w:t>
      </w:r>
    </w:p>
    <w:p w14:paraId="686FD55E" w14:textId="1510A5C8" w:rsidR="00947DE9" w:rsidRDefault="00947DE9" w:rsidP="00947DE9">
      <w:pPr>
        <w:tabs>
          <w:tab w:val="left" w:pos="0"/>
        </w:tabs>
        <w:spacing w:line="480" w:lineRule="auto"/>
      </w:pPr>
      <w:r>
        <w:rPr>
          <w:spacing w:val="1"/>
        </w:rPr>
        <w:lastRenderedPageBreak/>
        <w:tab/>
      </w:r>
      <w:r w:rsidRPr="00947DE9">
        <w:t xml:space="preserve">The number of districts in the </w:t>
      </w:r>
      <w:r w:rsidR="00973F5E">
        <w:t xml:space="preserve">screening </w:t>
      </w:r>
      <w:r w:rsidRPr="00947DE9">
        <w:t>pool is based on our experience with the pilot test</w:t>
      </w:r>
      <w:r>
        <w:t xml:space="preserve">. </w:t>
      </w:r>
      <w:r w:rsidR="00860C65" w:rsidRPr="00860C65">
        <w:t>Therefore, 84 districts will be contacted</w:t>
      </w:r>
      <w:r w:rsidR="00973F5E">
        <w:t xml:space="preserve"> for screening</w:t>
      </w:r>
      <w:r w:rsidR="00860C65" w:rsidRPr="00860C65">
        <w:t xml:space="preserve"> in order to </w:t>
      </w:r>
      <w:r w:rsidR="00973F5E">
        <w:t xml:space="preserve">identify respondents who will be eligible to </w:t>
      </w:r>
      <w:r w:rsidR="00860C65" w:rsidRPr="00860C65">
        <w:t>complete the planned, 28 interviews.</w:t>
      </w:r>
      <w:r w:rsidR="00860C65" w:rsidRPr="00067D1D">
        <w:rPr>
          <w:rFonts w:asciiTheme="minorHAnsi" w:hAnsiTheme="minorHAnsi"/>
        </w:rPr>
        <w:t xml:space="preserve"> </w:t>
      </w:r>
      <w:r>
        <w:t xml:space="preserve">To achieve the </w:t>
      </w:r>
      <w:r w:rsidRPr="00947DE9">
        <w:t xml:space="preserve">same number of interviews in each region, 21 districts </w:t>
      </w:r>
      <w:r w:rsidR="001022CE">
        <w:t xml:space="preserve">will be </w:t>
      </w:r>
      <w:r w:rsidR="00973F5E">
        <w:t xml:space="preserve">screened </w:t>
      </w:r>
      <w:r w:rsidRPr="00947DE9">
        <w:t xml:space="preserve">in order to </w:t>
      </w:r>
      <w:r>
        <w:t>obtain</w:t>
      </w:r>
      <w:r w:rsidRPr="00947DE9">
        <w:t xml:space="preserve"> 7 </w:t>
      </w:r>
      <w:r w:rsidR="00973F5E">
        <w:t xml:space="preserve">eligible </w:t>
      </w:r>
      <w:r w:rsidRPr="00947DE9">
        <w:t>interviews.  In order to get about the same number of interviews per locale, 7 districts each of the three locale codes (city, suburb, rural)</w:t>
      </w:r>
      <w:r w:rsidR="001022CE">
        <w:t xml:space="preserve"> will be </w:t>
      </w:r>
      <w:r w:rsidR="00973F5E">
        <w:t>screened</w:t>
      </w:r>
      <w:r w:rsidR="00973F5E" w:rsidRPr="00947DE9">
        <w:t xml:space="preserve"> </w:t>
      </w:r>
      <w:r w:rsidRPr="00947DE9">
        <w:t xml:space="preserve">to yield two or three interviews in each locale code and </w:t>
      </w:r>
      <w:r>
        <w:t>region</w:t>
      </w:r>
      <w:r w:rsidRPr="00947DE9">
        <w:t xml:space="preserve">. Exhibit 1 shows the target number of interviews and recruiting goals at each phase. </w:t>
      </w:r>
    </w:p>
    <w:p w14:paraId="25595316" w14:textId="77777777" w:rsidR="00947DE9" w:rsidRPr="00947DE9" w:rsidRDefault="00947DE9" w:rsidP="00947DE9">
      <w:pPr>
        <w:tabs>
          <w:tab w:val="left" w:pos="0"/>
        </w:tabs>
        <w:spacing w:line="480" w:lineRule="auto"/>
      </w:pPr>
      <w:r w:rsidRPr="00947DE9">
        <w:t>Exhibit 1: Target number of interviews and recruits.</w:t>
      </w:r>
    </w:p>
    <w:tbl>
      <w:tblPr>
        <w:tblStyle w:val="TableGrid"/>
        <w:tblW w:w="0" w:type="auto"/>
        <w:tblLook w:val="04A0" w:firstRow="1" w:lastRow="0" w:firstColumn="1" w:lastColumn="0" w:noHBand="0" w:noVBand="1"/>
      </w:tblPr>
      <w:tblGrid>
        <w:gridCol w:w="2053"/>
        <w:gridCol w:w="1801"/>
        <w:gridCol w:w="1967"/>
        <w:gridCol w:w="1954"/>
      </w:tblGrid>
      <w:tr w:rsidR="00947DE9" w14:paraId="2AF17680" w14:textId="77777777" w:rsidTr="004F2305">
        <w:tc>
          <w:tcPr>
            <w:tcW w:w="2053" w:type="dxa"/>
          </w:tcPr>
          <w:p w14:paraId="6ED547F5" w14:textId="77777777" w:rsidR="00947DE9" w:rsidRPr="00947DE9" w:rsidRDefault="00947DE9" w:rsidP="00947DE9">
            <w:pPr>
              <w:tabs>
                <w:tab w:val="left" w:pos="0"/>
              </w:tabs>
              <w:rPr>
                <w:rFonts w:ascii="Times New Roman" w:hAnsi="Times New Roman" w:cs="Times New Roman"/>
              </w:rPr>
            </w:pPr>
          </w:p>
        </w:tc>
        <w:tc>
          <w:tcPr>
            <w:tcW w:w="1801" w:type="dxa"/>
          </w:tcPr>
          <w:p w14:paraId="07368176" w14:textId="77777777" w:rsidR="00947DE9" w:rsidRPr="00947DE9" w:rsidRDefault="00947DE9" w:rsidP="00947DE9">
            <w:pPr>
              <w:tabs>
                <w:tab w:val="left" w:pos="0"/>
              </w:tabs>
              <w:rPr>
                <w:rFonts w:ascii="Times New Roman" w:hAnsi="Times New Roman" w:cs="Times New Roman"/>
              </w:rPr>
            </w:pPr>
            <w:r w:rsidRPr="00947DE9">
              <w:rPr>
                <w:rFonts w:ascii="Times New Roman" w:hAnsi="Times New Roman" w:cs="Times New Roman"/>
              </w:rPr>
              <w:t xml:space="preserve">Total </w:t>
            </w:r>
          </w:p>
        </w:tc>
        <w:tc>
          <w:tcPr>
            <w:tcW w:w="1967" w:type="dxa"/>
          </w:tcPr>
          <w:p w14:paraId="51113E4B" w14:textId="77777777" w:rsidR="00947DE9" w:rsidRPr="00947DE9" w:rsidRDefault="00947DE9" w:rsidP="00947DE9">
            <w:pPr>
              <w:tabs>
                <w:tab w:val="left" w:pos="0"/>
              </w:tabs>
              <w:rPr>
                <w:rFonts w:ascii="Times New Roman" w:hAnsi="Times New Roman" w:cs="Times New Roman"/>
              </w:rPr>
            </w:pPr>
            <w:r w:rsidRPr="00947DE9">
              <w:rPr>
                <w:rFonts w:ascii="Times New Roman" w:hAnsi="Times New Roman" w:cs="Times New Roman"/>
              </w:rPr>
              <w:t>In each region (4)</w:t>
            </w:r>
          </w:p>
        </w:tc>
        <w:tc>
          <w:tcPr>
            <w:tcW w:w="1954" w:type="dxa"/>
          </w:tcPr>
          <w:p w14:paraId="1D8FA674" w14:textId="77777777" w:rsidR="00947DE9" w:rsidRPr="00947DE9" w:rsidRDefault="00947DE9" w:rsidP="00947DE9">
            <w:pPr>
              <w:tabs>
                <w:tab w:val="left" w:pos="0"/>
              </w:tabs>
              <w:rPr>
                <w:rFonts w:ascii="Times New Roman" w:hAnsi="Times New Roman" w:cs="Times New Roman"/>
              </w:rPr>
            </w:pPr>
            <w:r>
              <w:rPr>
                <w:rFonts w:ascii="Times New Roman" w:hAnsi="Times New Roman" w:cs="Times New Roman"/>
              </w:rPr>
              <w:t xml:space="preserve">In each locale </w:t>
            </w:r>
            <w:r w:rsidRPr="00947DE9">
              <w:rPr>
                <w:rFonts w:ascii="Times New Roman" w:hAnsi="Times New Roman" w:cs="Times New Roman"/>
              </w:rPr>
              <w:t>within a region (3)</w:t>
            </w:r>
          </w:p>
        </w:tc>
      </w:tr>
      <w:tr w:rsidR="00947DE9" w14:paraId="7C0B12B3" w14:textId="77777777" w:rsidTr="004F2305">
        <w:tc>
          <w:tcPr>
            <w:tcW w:w="2053" w:type="dxa"/>
          </w:tcPr>
          <w:p w14:paraId="0C5BD57C" w14:textId="77777777" w:rsidR="00947DE9" w:rsidRPr="00947DE9" w:rsidRDefault="00947DE9" w:rsidP="00947DE9">
            <w:pPr>
              <w:tabs>
                <w:tab w:val="left" w:pos="0"/>
              </w:tabs>
              <w:rPr>
                <w:rFonts w:ascii="Times New Roman" w:hAnsi="Times New Roman" w:cs="Times New Roman"/>
              </w:rPr>
            </w:pPr>
            <w:r w:rsidRPr="00947DE9">
              <w:rPr>
                <w:rFonts w:ascii="Times New Roman" w:hAnsi="Times New Roman" w:cs="Times New Roman"/>
              </w:rPr>
              <w:t xml:space="preserve">Target </w:t>
            </w:r>
          </w:p>
        </w:tc>
        <w:tc>
          <w:tcPr>
            <w:tcW w:w="1801" w:type="dxa"/>
          </w:tcPr>
          <w:p w14:paraId="3A19A660" w14:textId="77777777" w:rsidR="00947DE9" w:rsidRPr="00947DE9" w:rsidRDefault="00947DE9" w:rsidP="00947DE9">
            <w:pPr>
              <w:tabs>
                <w:tab w:val="left" w:pos="0"/>
              </w:tabs>
              <w:rPr>
                <w:rFonts w:ascii="Times New Roman" w:hAnsi="Times New Roman" w:cs="Times New Roman"/>
              </w:rPr>
            </w:pPr>
            <w:r w:rsidRPr="00947DE9">
              <w:rPr>
                <w:rFonts w:ascii="Times New Roman" w:hAnsi="Times New Roman" w:cs="Times New Roman"/>
              </w:rPr>
              <w:t>28 interviews</w:t>
            </w:r>
          </w:p>
        </w:tc>
        <w:tc>
          <w:tcPr>
            <w:tcW w:w="1967" w:type="dxa"/>
          </w:tcPr>
          <w:p w14:paraId="051090CA" w14:textId="77777777" w:rsidR="00947DE9" w:rsidRPr="00947DE9" w:rsidRDefault="00947DE9" w:rsidP="00947DE9">
            <w:pPr>
              <w:tabs>
                <w:tab w:val="left" w:pos="0"/>
              </w:tabs>
              <w:rPr>
                <w:rFonts w:ascii="Times New Roman" w:hAnsi="Times New Roman" w:cs="Times New Roman"/>
              </w:rPr>
            </w:pPr>
            <w:r w:rsidRPr="00947DE9">
              <w:rPr>
                <w:rFonts w:ascii="Times New Roman" w:hAnsi="Times New Roman" w:cs="Times New Roman"/>
              </w:rPr>
              <w:t>7</w:t>
            </w:r>
          </w:p>
        </w:tc>
        <w:tc>
          <w:tcPr>
            <w:tcW w:w="1954" w:type="dxa"/>
          </w:tcPr>
          <w:p w14:paraId="678F35AD" w14:textId="77777777" w:rsidR="00947DE9" w:rsidRPr="00947DE9" w:rsidRDefault="00947DE9" w:rsidP="00947DE9">
            <w:pPr>
              <w:tabs>
                <w:tab w:val="left" w:pos="0"/>
              </w:tabs>
              <w:rPr>
                <w:rFonts w:ascii="Times New Roman" w:hAnsi="Times New Roman" w:cs="Times New Roman"/>
              </w:rPr>
            </w:pPr>
            <w:r w:rsidRPr="00947DE9">
              <w:rPr>
                <w:rFonts w:ascii="Times New Roman" w:hAnsi="Times New Roman" w:cs="Times New Roman"/>
              </w:rPr>
              <w:t xml:space="preserve">2 or 3 </w:t>
            </w:r>
          </w:p>
        </w:tc>
      </w:tr>
      <w:tr w:rsidR="00947DE9" w14:paraId="4CDC0E64" w14:textId="77777777" w:rsidTr="004F2305">
        <w:tc>
          <w:tcPr>
            <w:tcW w:w="2053" w:type="dxa"/>
          </w:tcPr>
          <w:p w14:paraId="4FD94999" w14:textId="3AB4B722" w:rsidR="00947DE9" w:rsidRPr="00947DE9" w:rsidRDefault="00973F5E" w:rsidP="00947DE9">
            <w:pPr>
              <w:tabs>
                <w:tab w:val="left" w:pos="0"/>
              </w:tabs>
              <w:rPr>
                <w:rFonts w:ascii="Times New Roman" w:hAnsi="Times New Roman" w:cs="Times New Roman"/>
              </w:rPr>
            </w:pPr>
            <w:r>
              <w:rPr>
                <w:rFonts w:ascii="Times New Roman" w:hAnsi="Times New Roman" w:cs="Times New Roman"/>
              </w:rPr>
              <w:t>Screen</w:t>
            </w:r>
          </w:p>
        </w:tc>
        <w:tc>
          <w:tcPr>
            <w:tcW w:w="1801" w:type="dxa"/>
          </w:tcPr>
          <w:p w14:paraId="5DE95410" w14:textId="77777777" w:rsidR="00947DE9" w:rsidRPr="00947DE9" w:rsidRDefault="00947DE9" w:rsidP="00947DE9">
            <w:pPr>
              <w:tabs>
                <w:tab w:val="left" w:pos="0"/>
              </w:tabs>
              <w:rPr>
                <w:rFonts w:ascii="Times New Roman" w:hAnsi="Times New Roman" w:cs="Times New Roman"/>
              </w:rPr>
            </w:pPr>
            <w:r w:rsidRPr="00947DE9">
              <w:rPr>
                <w:rFonts w:ascii="Times New Roman" w:hAnsi="Times New Roman" w:cs="Times New Roman"/>
              </w:rPr>
              <w:t>84 districts</w:t>
            </w:r>
          </w:p>
        </w:tc>
        <w:tc>
          <w:tcPr>
            <w:tcW w:w="1967" w:type="dxa"/>
          </w:tcPr>
          <w:p w14:paraId="5B4ACFB7" w14:textId="77777777" w:rsidR="00947DE9" w:rsidRPr="00947DE9" w:rsidRDefault="00947DE9" w:rsidP="00947DE9">
            <w:pPr>
              <w:tabs>
                <w:tab w:val="left" w:pos="0"/>
              </w:tabs>
              <w:rPr>
                <w:rFonts w:ascii="Times New Roman" w:hAnsi="Times New Roman" w:cs="Times New Roman"/>
              </w:rPr>
            </w:pPr>
            <w:r w:rsidRPr="00947DE9">
              <w:rPr>
                <w:rFonts w:ascii="Times New Roman" w:hAnsi="Times New Roman" w:cs="Times New Roman"/>
              </w:rPr>
              <w:t>21</w:t>
            </w:r>
          </w:p>
        </w:tc>
        <w:tc>
          <w:tcPr>
            <w:tcW w:w="1954" w:type="dxa"/>
          </w:tcPr>
          <w:p w14:paraId="600F7A84" w14:textId="77777777" w:rsidR="00947DE9" w:rsidRPr="00947DE9" w:rsidRDefault="00947DE9" w:rsidP="00947DE9">
            <w:pPr>
              <w:tabs>
                <w:tab w:val="left" w:pos="0"/>
              </w:tabs>
              <w:rPr>
                <w:rFonts w:ascii="Times New Roman" w:hAnsi="Times New Roman" w:cs="Times New Roman"/>
              </w:rPr>
            </w:pPr>
            <w:r w:rsidRPr="00947DE9">
              <w:rPr>
                <w:rFonts w:ascii="Times New Roman" w:hAnsi="Times New Roman" w:cs="Times New Roman"/>
              </w:rPr>
              <w:t>7</w:t>
            </w:r>
          </w:p>
        </w:tc>
      </w:tr>
    </w:tbl>
    <w:p w14:paraId="3120F682" w14:textId="77777777" w:rsidR="00947DE9" w:rsidRPr="00947DE9" w:rsidRDefault="00947DE9" w:rsidP="00947DE9">
      <w:pPr>
        <w:tabs>
          <w:tab w:val="left" w:pos="0"/>
        </w:tabs>
        <w:spacing w:line="480" w:lineRule="auto"/>
      </w:pPr>
      <w:r w:rsidRPr="00947DE9">
        <w:t xml:space="preserve">   </w:t>
      </w:r>
    </w:p>
    <w:p w14:paraId="589DAD72" w14:textId="41E26626" w:rsidR="00877C92" w:rsidRPr="00046E53" w:rsidRDefault="00875846" w:rsidP="000E282E">
      <w:pPr>
        <w:spacing w:line="480" w:lineRule="auto"/>
        <w:ind w:firstLine="720"/>
        <w:rPr>
          <w:spacing w:val="1"/>
        </w:rPr>
      </w:pPr>
      <w:r>
        <w:t>Eligible r</w:t>
      </w:r>
      <w:r w:rsidR="00877C92" w:rsidRPr="00046E53">
        <w:t>espondents will consist of those staff who are responsible for making decisions about the curriculum delivered within their school districts</w:t>
      </w:r>
      <w:r w:rsidR="00877C92" w:rsidRPr="00046E53">
        <w:rPr>
          <w:spacing w:val="1"/>
        </w:rPr>
        <w:t xml:space="preserve"> for specific content area(s) (such as health education, family and consumer sciences, or others) where the </w:t>
      </w:r>
      <w:r w:rsidR="00877C92" w:rsidRPr="00046E53">
        <w:rPr>
          <w:i/>
          <w:spacing w:val="1"/>
        </w:rPr>
        <w:t xml:space="preserve">Talking Safety </w:t>
      </w:r>
      <w:r w:rsidR="00877C92" w:rsidRPr="00046E53">
        <w:rPr>
          <w:spacing w:val="1"/>
        </w:rPr>
        <w:t>curriculum would find a fit. The following inclusion criteria will be used in this phase of the study</w:t>
      </w:r>
      <w:r w:rsidR="00877C92">
        <w:rPr>
          <w:spacing w:val="1"/>
        </w:rPr>
        <w:t>.  P</w:t>
      </w:r>
      <w:r w:rsidR="00877C92" w:rsidRPr="00046E53">
        <w:rPr>
          <w:spacing w:val="1"/>
        </w:rPr>
        <w:t>articipants</w:t>
      </w:r>
      <w:r w:rsidR="00877C92">
        <w:rPr>
          <w:spacing w:val="1"/>
        </w:rPr>
        <w:t xml:space="preserve"> must</w:t>
      </w:r>
      <w:r w:rsidR="00877C92" w:rsidRPr="00046E53">
        <w:rPr>
          <w:spacing w:val="1"/>
        </w:rPr>
        <w:t>:</w:t>
      </w:r>
    </w:p>
    <w:p w14:paraId="3413CE8C" w14:textId="77777777" w:rsidR="00877C92" w:rsidRPr="00ED3992" w:rsidRDefault="00877C92" w:rsidP="00877C92">
      <w:pPr>
        <w:pStyle w:val="ListParagraph"/>
        <w:numPr>
          <w:ilvl w:val="0"/>
          <w:numId w:val="18"/>
        </w:numPr>
        <w:spacing w:line="480" w:lineRule="auto"/>
        <w:rPr>
          <w:spacing w:val="1"/>
        </w:rPr>
      </w:pPr>
      <w:r>
        <w:rPr>
          <w:spacing w:val="1"/>
        </w:rPr>
        <w:t>be at least 18 years of age</w:t>
      </w:r>
    </w:p>
    <w:p w14:paraId="76E7AC6B" w14:textId="77777777" w:rsidR="00877C92" w:rsidRDefault="00877C92" w:rsidP="00877C92">
      <w:pPr>
        <w:pStyle w:val="ListParagraph"/>
        <w:numPr>
          <w:ilvl w:val="0"/>
          <w:numId w:val="18"/>
        </w:numPr>
        <w:spacing w:line="480" w:lineRule="auto"/>
        <w:rPr>
          <w:spacing w:val="1"/>
        </w:rPr>
      </w:pPr>
      <w:r w:rsidRPr="00ED3992">
        <w:rPr>
          <w:spacing w:val="1"/>
        </w:rPr>
        <w:t>have a formal position (assistant superintendent; curriculum coordinator/director; or related position) within school districts identified for this study</w:t>
      </w:r>
    </w:p>
    <w:p w14:paraId="30CE83BA" w14:textId="77777777" w:rsidR="00877C92" w:rsidRPr="00ED3992" w:rsidRDefault="00877C92" w:rsidP="00877C92">
      <w:pPr>
        <w:pStyle w:val="ListParagraph"/>
        <w:numPr>
          <w:ilvl w:val="0"/>
          <w:numId w:val="18"/>
        </w:numPr>
        <w:spacing w:line="480" w:lineRule="auto"/>
        <w:rPr>
          <w:spacing w:val="1"/>
        </w:rPr>
      </w:pPr>
      <w:r w:rsidRPr="00ED3992">
        <w:rPr>
          <w:spacing w:val="1"/>
        </w:rPr>
        <w:t>be responsible for making decisions in their school district</w:t>
      </w:r>
      <w:r w:rsidRPr="00046E53">
        <w:t xml:space="preserve"> </w:t>
      </w:r>
      <w:r w:rsidRPr="00ED3992">
        <w:rPr>
          <w:spacing w:val="1"/>
        </w:rPr>
        <w:t>about curriculum that would include workplace safety and health</w:t>
      </w:r>
    </w:p>
    <w:p w14:paraId="7DA03DF9" w14:textId="6BAF1604" w:rsidR="00877C92" w:rsidRPr="00860C65" w:rsidRDefault="00973F5E" w:rsidP="009D2325">
      <w:pPr>
        <w:pStyle w:val="bodytextpsg"/>
        <w:spacing w:after="0" w:line="480" w:lineRule="auto"/>
        <w:ind w:firstLine="540"/>
        <w:rPr>
          <w:rFonts w:cs="Times New Roman"/>
          <w:spacing w:val="1"/>
          <w:sz w:val="24"/>
          <w:szCs w:val="24"/>
        </w:rPr>
      </w:pPr>
      <w:r>
        <w:rPr>
          <w:rFonts w:cs="Times New Roman"/>
          <w:spacing w:val="1"/>
          <w:sz w:val="24"/>
          <w:szCs w:val="24"/>
        </w:rPr>
        <w:t>Screening</w:t>
      </w:r>
      <w:r w:rsidRPr="00D032F6">
        <w:rPr>
          <w:rFonts w:cs="Times New Roman"/>
          <w:spacing w:val="1"/>
          <w:sz w:val="24"/>
          <w:szCs w:val="24"/>
        </w:rPr>
        <w:t xml:space="preserve"> </w:t>
      </w:r>
      <w:r w:rsidR="00D032F6" w:rsidRPr="00D032F6">
        <w:rPr>
          <w:rFonts w:cs="Times New Roman"/>
          <w:spacing w:val="1"/>
          <w:sz w:val="24"/>
          <w:szCs w:val="24"/>
        </w:rPr>
        <w:t xml:space="preserve">will begin with </w:t>
      </w:r>
      <w:r w:rsidR="00D032F6" w:rsidRPr="00D032F6">
        <w:rPr>
          <w:sz w:val="24"/>
          <w:szCs w:val="24"/>
        </w:rPr>
        <w:t xml:space="preserve">an introductory letter </w:t>
      </w:r>
      <w:r w:rsidR="00D032F6">
        <w:rPr>
          <w:sz w:val="24"/>
          <w:szCs w:val="24"/>
        </w:rPr>
        <w:t xml:space="preserve">sent to the </w:t>
      </w:r>
      <w:r w:rsidR="006F74B1">
        <w:rPr>
          <w:sz w:val="24"/>
          <w:szCs w:val="24"/>
        </w:rPr>
        <w:t xml:space="preserve">superintendents’ offices of </w:t>
      </w:r>
      <w:r>
        <w:rPr>
          <w:sz w:val="24"/>
          <w:szCs w:val="24"/>
        </w:rPr>
        <w:t>the</w:t>
      </w:r>
      <w:r w:rsidR="006F74B1">
        <w:rPr>
          <w:sz w:val="24"/>
          <w:szCs w:val="24"/>
        </w:rPr>
        <w:t xml:space="preserve"> pool school districts</w:t>
      </w:r>
      <w:r w:rsidR="00D032F6">
        <w:rPr>
          <w:sz w:val="24"/>
          <w:szCs w:val="24"/>
        </w:rPr>
        <w:t xml:space="preserve">, </w:t>
      </w:r>
      <w:r w:rsidR="00D032F6" w:rsidRPr="00D032F6">
        <w:rPr>
          <w:sz w:val="24"/>
          <w:szCs w:val="24"/>
        </w:rPr>
        <w:t xml:space="preserve">describing the goals of the study, including a brief introduction to </w:t>
      </w:r>
      <w:r w:rsidR="00D032F6" w:rsidRPr="00D032F6">
        <w:rPr>
          <w:i/>
          <w:sz w:val="24"/>
          <w:szCs w:val="24"/>
        </w:rPr>
        <w:t xml:space="preserve">Talking </w:t>
      </w:r>
      <w:r w:rsidR="00D032F6" w:rsidRPr="00D032F6">
        <w:rPr>
          <w:i/>
          <w:sz w:val="24"/>
          <w:szCs w:val="24"/>
        </w:rPr>
        <w:lastRenderedPageBreak/>
        <w:t>Safety</w:t>
      </w:r>
      <w:r w:rsidR="00D032F6" w:rsidRPr="00D032F6">
        <w:rPr>
          <w:sz w:val="24"/>
          <w:szCs w:val="24"/>
        </w:rPr>
        <w:t xml:space="preserve"> curriculum, and explaining the process of conducting the interviews. The letter informs the potential key informants that they will be contacted </w:t>
      </w:r>
      <w:r w:rsidR="006F74B1">
        <w:rPr>
          <w:sz w:val="24"/>
          <w:szCs w:val="24"/>
        </w:rPr>
        <w:t xml:space="preserve">by phone </w:t>
      </w:r>
      <w:r w:rsidR="00D032F6" w:rsidRPr="00D032F6">
        <w:rPr>
          <w:sz w:val="24"/>
          <w:szCs w:val="24"/>
        </w:rPr>
        <w:t xml:space="preserve">to </w:t>
      </w:r>
      <w:r w:rsidR="00D032F6">
        <w:rPr>
          <w:sz w:val="24"/>
          <w:szCs w:val="24"/>
        </w:rPr>
        <w:t>discuss the best possible respondent</w:t>
      </w:r>
      <w:r w:rsidR="00D032F6" w:rsidRPr="00D032F6">
        <w:rPr>
          <w:rFonts w:cs="Times New Roman"/>
          <w:spacing w:val="1"/>
          <w:sz w:val="24"/>
          <w:szCs w:val="24"/>
        </w:rPr>
        <w:t xml:space="preserve"> </w:t>
      </w:r>
      <w:r w:rsidR="00D032F6">
        <w:rPr>
          <w:rFonts w:cs="Times New Roman"/>
          <w:spacing w:val="1"/>
          <w:sz w:val="24"/>
          <w:szCs w:val="24"/>
        </w:rPr>
        <w:t xml:space="preserve">for that district. Next, a </w:t>
      </w:r>
      <w:r>
        <w:rPr>
          <w:rFonts w:cs="Times New Roman"/>
          <w:spacing w:val="1"/>
          <w:sz w:val="24"/>
          <w:szCs w:val="24"/>
        </w:rPr>
        <w:t>screening</w:t>
      </w:r>
      <w:r w:rsidRPr="00D032F6">
        <w:rPr>
          <w:rFonts w:cs="Times New Roman"/>
          <w:spacing w:val="1"/>
          <w:sz w:val="24"/>
          <w:szCs w:val="24"/>
        </w:rPr>
        <w:t xml:space="preserve"> </w:t>
      </w:r>
      <w:r w:rsidR="00877C92" w:rsidRPr="00D032F6">
        <w:rPr>
          <w:rFonts w:cs="Times New Roman"/>
          <w:spacing w:val="1"/>
          <w:sz w:val="24"/>
          <w:szCs w:val="24"/>
        </w:rPr>
        <w:t>call to the superintendent’s office</w:t>
      </w:r>
      <w:r w:rsidR="00D032F6">
        <w:rPr>
          <w:rFonts w:cs="Times New Roman"/>
          <w:spacing w:val="1"/>
          <w:sz w:val="24"/>
          <w:szCs w:val="24"/>
        </w:rPr>
        <w:t xml:space="preserve"> will take place</w:t>
      </w:r>
      <w:r w:rsidR="00877C92" w:rsidRPr="00D032F6">
        <w:rPr>
          <w:rFonts w:cs="Times New Roman"/>
          <w:spacing w:val="1"/>
          <w:sz w:val="24"/>
          <w:szCs w:val="24"/>
        </w:rPr>
        <w:t xml:space="preserve">. We will consult with either the superintendent or, more likely, the superintendent’s assistant, to determine the best person to </w:t>
      </w:r>
      <w:r w:rsidR="005F42EA" w:rsidRPr="00D032F6">
        <w:rPr>
          <w:rFonts w:cs="Times New Roman"/>
          <w:spacing w:val="1"/>
          <w:sz w:val="24"/>
          <w:szCs w:val="24"/>
        </w:rPr>
        <w:t>interview</w:t>
      </w:r>
      <w:r w:rsidR="005F42EA">
        <w:rPr>
          <w:rFonts w:cs="Times New Roman"/>
          <w:spacing w:val="1"/>
          <w:sz w:val="24"/>
          <w:szCs w:val="24"/>
        </w:rPr>
        <w:t xml:space="preserve">. </w:t>
      </w:r>
      <w:r w:rsidR="00877C92" w:rsidRPr="00A642C4">
        <w:rPr>
          <w:rFonts w:cs="Times New Roman"/>
          <w:spacing w:val="1"/>
          <w:sz w:val="24"/>
          <w:szCs w:val="24"/>
        </w:rPr>
        <w:t>In addition to shortening the process for identifying the respondent, this process will have the added advantage of allowing the recruiter to mention that we got the prospective interviewee’s name from the superintendent’s office.</w:t>
      </w:r>
      <w:r w:rsidR="00860C65">
        <w:rPr>
          <w:rFonts w:cs="Times New Roman"/>
          <w:spacing w:val="1"/>
          <w:sz w:val="24"/>
          <w:szCs w:val="24"/>
        </w:rPr>
        <w:t xml:space="preserve"> </w:t>
      </w:r>
      <w:r w:rsidR="00877C92" w:rsidRPr="00046E53">
        <w:rPr>
          <w:rFonts w:cs="Times New Roman"/>
          <w:sz w:val="24"/>
          <w:szCs w:val="24"/>
        </w:rPr>
        <w:t xml:space="preserve">One person will be interviewed in each district. </w:t>
      </w:r>
    </w:p>
    <w:p w14:paraId="0F442AFB" w14:textId="46133382" w:rsidR="009D2325" w:rsidRPr="009D2325" w:rsidRDefault="00877C92" w:rsidP="009D2325">
      <w:pPr>
        <w:autoSpaceDE w:val="0"/>
        <w:autoSpaceDN w:val="0"/>
        <w:adjustRightInd w:val="0"/>
        <w:spacing w:line="480" w:lineRule="auto"/>
      </w:pPr>
      <w:r w:rsidRPr="00046E53">
        <w:rPr>
          <w:spacing w:val="1"/>
        </w:rPr>
        <w:t>For purposes of reaching population response saturation, which means enough responses are gathered that no new response themes are generated, these interviews will be administered to a total of 28</w:t>
      </w:r>
      <w:r>
        <w:rPr>
          <w:spacing w:val="1"/>
        </w:rPr>
        <w:t xml:space="preserve"> </w:t>
      </w:r>
      <w:r w:rsidRPr="00046E53">
        <w:rPr>
          <w:spacing w:val="1"/>
        </w:rPr>
        <w:t>curriculum coordinators/directors located in selected</w:t>
      </w:r>
      <w:r w:rsidR="005F42EA">
        <w:rPr>
          <w:spacing w:val="1"/>
        </w:rPr>
        <w:t xml:space="preserve">, public school districts </w:t>
      </w:r>
      <w:r w:rsidRPr="00046E53">
        <w:rPr>
          <w:spacing w:val="1"/>
        </w:rPr>
        <w:t>within the continental U</w:t>
      </w:r>
      <w:r w:rsidR="005F42EA">
        <w:rPr>
          <w:spacing w:val="1"/>
        </w:rPr>
        <w:t>nited States</w:t>
      </w:r>
      <w:r w:rsidRPr="00046E53">
        <w:rPr>
          <w:spacing w:val="1"/>
        </w:rPr>
        <w:t>.</w:t>
      </w:r>
      <w:r w:rsidR="00307CED">
        <w:rPr>
          <w:spacing w:val="1"/>
        </w:rPr>
        <w:t xml:space="preserve"> </w:t>
      </w:r>
      <w:r w:rsidR="009D2325" w:rsidRPr="009D2325">
        <w:t xml:space="preserve">Based on </w:t>
      </w:r>
      <w:r w:rsidR="009D2325">
        <w:t xml:space="preserve">evidence from Guest, </w:t>
      </w:r>
      <w:proofErr w:type="spellStart"/>
      <w:r w:rsidR="009D2325">
        <w:t>Bunce</w:t>
      </w:r>
      <w:proofErr w:type="spellEnd"/>
      <w:r w:rsidR="009D2325">
        <w:t xml:space="preserve"> and Johnson (2006)</w:t>
      </w:r>
      <w:r w:rsidR="009D2325" w:rsidRPr="009D2325">
        <w:t xml:space="preserve">, </w:t>
      </w:r>
      <w:r w:rsidR="009D2325">
        <w:t xml:space="preserve">it is posited that </w:t>
      </w:r>
      <w:r w:rsidR="009D2325" w:rsidRPr="009D2325">
        <w:t xml:space="preserve">data saturation </w:t>
      </w:r>
      <w:r w:rsidR="009D2325">
        <w:t xml:space="preserve">may occur after as few as </w:t>
      </w:r>
      <w:r w:rsidR="009D2325" w:rsidRPr="009D2325">
        <w:t>twelve interviews.</w:t>
      </w:r>
    </w:p>
    <w:p w14:paraId="07767DA2" w14:textId="7D5FD926" w:rsidR="00990738" w:rsidRDefault="00406D28" w:rsidP="000E282E">
      <w:pPr>
        <w:spacing w:line="480" w:lineRule="auto"/>
        <w:ind w:firstLine="540"/>
        <w:rPr>
          <w:spacing w:val="1"/>
        </w:rPr>
      </w:pPr>
      <w:r w:rsidRPr="00046E53">
        <w:t>Qu</w:t>
      </w:r>
      <w:r w:rsidRPr="00046E53">
        <w:rPr>
          <w:spacing w:val="-1"/>
        </w:rPr>
        <w:t>a</w:t>
      </w:r>
      <w:r w:rsidRPr="00046E53">
        <w:t>l</w:t>
      </w:r>
      <w:r w:rsidRPr="00046E53">
        <w:rPr>
          <w:spacing w:val="1"/>
        </w:rPr>
        <w:t>i</w:t>
      </w:r>
      <w:r w:rsidRPr="00046E53">
        <w:t xml:space="preserve">tative data </w:t>
      </w:r>
      <w:r w:rsidRPr="00046E53">
        <w:rPr>
          <w:spacing w:val="-1"/>
        </w:rPr>
        <w:t>a</w:t>
      </w:r>
      <w:r w:rsidRPr="00046E53">
        <w:t>n</w:t>
      </w:r>
      <w:r w:rsidRPr="00046E53">
        <w:rPr>
          <w:spacing w:val="-1"/>
        </w:rPr>
        <w:t>a</w:t>
      </w:r>
      <w:r w:rsidRPr="00046E53">
        <w:rPr>
          <w:spacing w:val="3"/>
        </w:rPr>
        <w:t>l</w:t>
      </w:r>
      <w:r w:rsidRPr="00046E53">
        <w:rPr>
          <w:spacing w:val="-5"/>
        </w:rPr>
        <w:t>y</w:t>
      </w:r>
      <w:r w:rsidRPr="00046E53">
        <w:rPr>
          <w:spacing w:val="2"/>
        </w:rPr>
        <w:t>s</w:t>
      </w:r>
      <w:r w:rsidRPr="00046E53">
        <w:t xml:space="preserve">is will be conducted </w:t>
      </w:r>
      <w:r w:rsidRPr="00046E53">
        <w:rPr>
          <w:spacing w:val="1"/>
        </w:rPr>
        <w:t>t</w:t>
      </w:r>
      <w:r w:rsidRPr="00046E53">
        <w:t xml:space="preserve">o </w:t>
      </w:r>
      <w:r w:rsidRPr="00046E53">
        <w:rPr>
          <w:spacing w:val="-1"/>
        </w:rPr>
        <w:t>e</w:t>
      </w:r>
      <w:r w:rsidRPr="00046E53">
        <w:rPr>
          <w:spacing w:val="2"/>
        </w:rPr>
        <w:t>x</w:t>
      </w:r>
      <w:r w:rsidRPr="00046E53">
        <w:t>plore</w:t>
      </w:r>
      <w:r w:rsidRPr="00046E53">
        <w:rPr>
          <w:spacing w:val="-1"/>
        </w:rPr>
        <w:t xml:space="preserve"> c</w:t>
      </w:r>
      <w:r w:rsidRPr="00046E53">
        <w:t>om</w:t>
      </w:r>
      <w:r w:rsidRPr="00046E53">
        <w:rPr>
          <w:spacing w:val="1"/>
        </w:rPr>
        <w:t>m</w:t>
      </w:r>
      <w:r w:rsidRPr="00046E53">
        <w:t>on them</w:t>
      </w:r>
      <w:r w:rsidRPr="00046E53">
        <w:rPr>
          <w:spacing w:val="-1"/>
        </w:rPr>
        <w:t>e</w:t>
      </w:r>
      <w:r w:rsidRPr="00046E53">
        <w:t>s and</w:t>
      </w:r>
      <w:r w:rsidRPr="00046E53">
        <w:rPr>
          <w:spacing w:val="-1"/>
        </w:rPr>
        <w:t xml:space="preserve"> f</w:t>
      </w:r>
      <w:r w:rsidRPr="00046E53">
        <w:t>ind</w:t>
      </w:r>
      <w:r w:rsidRPr="00046E53">
        <w:rPr>
          <w:spacing w:val="1"/>
        </w:rPr>
        <w:t>i</w:t>
      </w:r>
      <w:r w:rsidRPr="00046E53">
        <w:rPr>
          <w:spacing w:val="2"/>
        </w:rPr>
        <w:t>n</w:t>
      </w:r>
      <w:r w:rsidRPr="00046E53">
        <w:rPr>
          <w:spacing w:val="-2"/>
        </w:rPr>
        <w:t>g</w:t>
      </w:r>
      <w:r w:rsidRPr="00046E53">
        <w:t>s</w:t>
      </w:r>
      <w:r w:rsidRPr="00046E53">
        <w:rPr>
          <w:spacing w:val="3"/>
        </w:rPr>
        <w:t xml:space="preserve"> </w:t>
      </w:r>
      <w:r w:rsidRPr="00046E53">
        <w:t>with</w:t>
      </w:r>
      <w:r w:rsidRPr="00046E53">
        <w:rPr>
          <w:spacing w:val="1"/>
        </w:rPr>
        <w:t>i</w:t>
      </w:r>
      <w:r w:rsidRPr="00046E53">
        <w:t>n the 28 k</w:t>
      </w:r>
      <w:r w:rsidRPr="00046E53">
        <w:rPr>
          <w:spacing w:val="4"/>
        </w:rPr>
        <w:t>e</w:t>
      </w:r>
      <w:r w:rsidRPr="00046E53">
        <w:rPr>
          <w:spacing w:val="-4"/>
        </w:rPr>
        <w:t>y</w:t>
      </w:r>
      <w:r w:rsidRPr="00046E53">
        <w:t>-info</w:t>
      </w:r>
      <w:r w:rsidRPr="00046E53">
        <w:rPr>
          <w:spacing w:val="-1"/>
        </w:rPr>
        <w:t>r</w:t>
      </w:r>
      <w:r w:rsidRPr="00046E53">
        <w:t>mant in</w:t>
      </w:r>
      <w:r w:rsidRPr="00046E53">
        <w:rPr>
          <w:spacing w:val="1"/>
        </w:rPr>
        <w:t>t</w:t>
      </w:r>
      <w:r w:rsidRPr="00046E53">
        <w:rPr>
          <w:spacing w:val="-1"/>
        </w:rPr>
        <w:t>e</w:t>
      </w:r>
      <w:r w:rsidRPr="00046E53">
        <w:t>rvi</w:t>
      </w:r>
      <w:r w:rsidRPr="00046E53">
        <w:rPr>
          <w:spacing w:val="-1"/>
        </w:rPr>
        <w:t>e</w:t>
      </w:r>
      <w:r w:rsidRPr="00046E53">
        <w:t>ws.</w:t>
      </w:r>
      <w:r w:rsidR="00860C65">
        <w:rPr>
          <w:spacing w:val="2"/>
        </w:rPr>
        <w:t xml:space="preserve"> </w:t>
      </w:r>
      <w:r w:rsidRPr="00046E53">
        <w:rPr>
          <w:spacing w:val="2"/>
        </w:rPr>
        <w:t>The information from the initial</w:t>
      </w:r>
      <w:r>
        <w:rPr>
          <w:spacing w:val="2"/>
        </w:rPr>
        <w:t xml:space="preserve"> six</w:t>
      </w:r>
      <w:r w:rsidRPr="00046E53">
        <w:rPr>
          <w:spacing w:val="2"/>
        </w:rPr>
        <w:t xml:space="preserve"> pretest </w:t>
      </w:r>
      <w:r w:rsidRPr="00737748">
        <w:t xml:space="preserve">interviews will be included in the analysis. </w:t>
      </w:r>
      <w:r w:rsidRPr="00C51F56">
        <w:rPr>
          <w:spacing w:val="-1"/>
        </w:rPr>
        <w:t xml:space="preserve">It should be noted that the qualitative methods used to analyze data from open-ended questions do not lend themselves to the same sort of power analyses </w:t>
      </w:r>
      <w:r>
        <w:t xml:space="preserve">aimed at identifying between group differences </w:t>
      </w:r>
      <w:r w:rsidRPr="00C51F56">
        <w:rPr>
          <w:spacing w:val="-1"/>
        </w:rPr>
        <w:t>used for quantitative research approaches. Rather, the concept of saturation is used to determine whether or not an adequate number of interviews have been conducted [</w:t>
      </w:r>
      <w:proofErr w:type="spellStart"/>
      <w:r w:rsidRPr="00C51F56">
        <w:rPr>
          <w:spacing w:val="-1"/>
        </w:rPr>
        <w:t>Kuzel</w:t>
      </w:r>
      <w:proofErr w:type="spellEnd"/>
      <w:r w:rsidRPr="00C51F56">
        <w:rPr>
          <w:spacing w:val="-1"/>
        </w:rPr>
        <w:t xml:space="preserve"> 1999</w:t>
      </w:r>
      <w:r>
        <w:rPr>
          <w:spacing w:val="-1"/>
        </w:rPr>
        <w:t>]</w:t>
      </w:r>
      <w:r w:rsidRPr="00C51F56">
        <w:rPr>
          <w:spacing w:val="-1"/>
        </w:rPr>
        <w:t xml:space="preserve">.  </w:t>
      </w:r>
      <w:r>
        <w:rPr>
          <w:spacing w:val="-1"/>
        </w:rPr>
        <w:t>R</w:t>
      </w:r>
      <w:r>
        <w:t xml:space="preserve">ecommendations in the literature and prior experience of the current research team with similar qualitative data collection efforts have informed the expectation that </w:t>
      </w:r>
      <w:r w:rsidRPr="00C51F56">
        <w:rPr>
          <w:spacing w:val="-1"/>
        </w:rPr>
        <w:t xml:space="preserve">the sample of </w:t>
      </w:r>
      <w:r>
        <w:rPr>
          <w:spacing w:val="-1"/>
        </w:rPr>
        <w:t>28</w:t>
      </w:r>
      <w:r w:rsidRPr="00C51F56">
        <w:rPr>
          <w:spacing w:val="-1"/>
        </w:rPr>
        <w:t xml:space="preserve"> </w:t>
      </w:r>
      <w:r>
        <w:rPr>
          <w:spacing w:val="-1"/>
        </w:rPr>
        <w:t>respondents</w:t>
      </w:r>
      <w:r w:rsidRPr="00C51F56">
        <w:rPr>
          <w:spacing w:val="-1"/>
        </w:rPr>
        <w:t xml:space="preserve"> shou</w:t>
      </w:r>
      <w:r>
        <w:rPr>
          <w:spacing w:val="-1"/>
        </w:rPr>
        <w:t xml:space="preserve">ld provide sufficient data to successfully carry </w:t>
      </w:r>
      <w:r>
        <w:rPr>
          <w:spacing w:val="-1"/>
        </w:rPr>
        <w:lastRenderedPageBreak/>
        <w:t xml:space="preserve">out the research </w:t>
      </w:r>
      <w:r>
        <w:t>[Guest</w:t>
      </w:r>
      <w:r w:rsidR="00875846">
        <w:t xml:space="preserve">, </w:t>
      </w:r>
      <w:proofErr w:type="spellStart"/>
      <w:r w:rsidR="00875846">
        <w:t>Bunce</w:t>
      </w:r>
      <w:proofErr w:type="spellEnd"/>
      <w:r w:rsidR="00875846">
        <w:t xml:space="preserve"> &amp; Johnson</w:t>
      </w:r>
      <w:r>
        <w:t xml:space="preserve"> 2006]</w:t>
      </w:r>
      <w:r>
        <w:rPr>
          <w:spacing w:val="-1"/>
        </w:rPr>
        <w:t xml:space="preserve">. </w:t>
      </w:r>
      <w:r>
        <w:t xml:space="preserve">The proposed sample size allows for the likely attainment of response saturation. </w:t>
      </w:r>
    </w:p>
    <w:p w14:paraId="67BE7336" w14:textId="77777777" w:rsidR="00797AB4" w:rsidRPr="00925966" w:rsidRDefault="00797AB4" w:rsidP="000C6F76">
      <w:pPr>
        <w:autoSpaceDE w:val="0"/>
        <w:autoSpaceDN w:val="0"/>
        <w:adjustRightInd w:val="0"/>
        <w:rPr>
          <w:sz w:val="22"/>
          <w:szCs w:val="22"/>
        </w:rPr>
      </w:pPr>
      <w:r w:rsidRPr="00925966">
        <w:rPr>
          <w:sz w:val="22"/>
          <w:szCs w:val="22"/>
        </w:rPr>
        <w:t>Data Collection Table</w:t>
      </w:r>
    </w:p>
    <w:p w14:paraId="1056C3C6" w14:textId="77777777" w:rsidR="00797AB4" w:rsidRPr="00925966" w:rsidRDefault="00797AB4" w:rsidP="000C6F76">
      <w:pPr>
        <w:autoSpaceDE w:val="0"/>
        <w:autoSpaceDN w:val="0"/>
        <w:adjustRightInd w:val="0"/>
        <w:rPr>
          <w:sz w:val="22"/>
          <w:szCs w:val="22"/>
        </w:rPr>
      </w:pPr>
    </w:p>
    <w:tbl>
      <w:tblPr>
        <w:tblStyle w:val="TableGrid"/>
        <w:tblW w:w="0" w:type="auto"/>
        <w:tblLook w:val="01E0" w:firstRow="1" w:lastRow="1" w:firstColumn="1" w:lastColumn="1" w:noHBand="0" w:noVBand="0"/>
      </w:tblPr>
      <w:tblGrid>
        <w:gridCol w:w="4788"/>
        <w:gridCol w:w="4788"/>
      </w:tblGrid>
      <w:tr w:rsidR="00797AB4" w:rsidRPr="00245C9A" w14:paraId="5E6C8C80" w14:textId="77777777" w:rsidTr="001A3900">
        <w:tc>
          <w:tcPr>
            <w:tcW w:w="4788" w:type="dxa"/>
          </w:tcPr>
          <w:p w14:paraId="6BA13EA5" w14:textId="77777777" w:rsidR="00797AB4" w:rsidRPr="008B2237" w:rsidRDefault="008B2237" w:rsidP="005C79F9">
            <w:pPr>
              <w:autoSpaceDE w:val="0"/>
              <w:autoSpaceDN w:val="0"/>
              <w:adjustRightInd w:val="0"/>
              <w:rPr>
                <w:rFonts w:ascii="Times New Roman" w:hAnsi="Times New Roman" w:cs="Times New Roman"/>
                <w:spacing w:val="1"/>
              </w:rPr>
            </w:pPr>
            <w:r w:rsidRPr="008B2237">
              <w:rPr>
                <w:rFonts w:ascii="Times New Roman" w:hAnsi="Times New Roman" w:cs="Times New Roman"/>
                <w:spacing w:val="1"/>
              </w:rPr>
              <w:t>U.S. public school districts</w:t>
            </w:r>
          </w:p>
        </w:tc>
        <w:tc>
          <w:tcPr>
            <w:tcW w:w="4788" w:type="dxa"/>
          </w:tcPr>
          <w:p w14:paraId="23ED373B" w14:textId="77777777" w:rsidR="00797AB4" w:rsidRPr="008B2237" w:rsidRDefault="00797AB4" w:rsidP="001A3900">
            <w:pPr>
              <w:autoSpaceDE w:val="0"/>
              <w:autoSpaceDN w:val="0"/>
              <w:adjustRightInd w:val="0"/>
              <w:rPr>
                <w:rFonts w:ascii="Times New Roman" w:hAnsi="Times New Roman" w:cs="Times New Roman"/>
                <w:spacing w:val="1"/>
              </w:rPr>
            </w:pPr>
            <w:r w:rsidRPr="008B2237">
              <w:rPr>
                <w:rFonts w:ascii="Times New Roman" w:hAnsi="Times New Roman" w:cs="Times New Roman"/>
                <w:spacing w:val="1"/>
              </w:rPr>
              <w:t>Sample</w:t>
            </w:r>
          </w:p>
        </w:tc>
      </w:tr>
      <w:tr w:rsidR="00797AB4" w:rsidRPr="00925966" w14:paraId="643072FE" w14:textId="77777777" w:rsidTr="001A3900">
        <w:tc>
          <w:tcPr>
            <w:tcW w:w="4788" w:type="dxa"/>
          </w:tcPr>
          <w:p w14:paraId="055701F1" w14:textId="77777777" w:rsidR="00797AB4" w:rsidRPr="008B2237" w:rsidRDefault="008B2237" w:rsidP="008B2237">
            <w:pPr>
              <w:autoSpaceDE w:val="0"/>
              <w:autoSpaceDN w:val="0"/>
              <w:adjustRightInd w:val="0"/>
              <w:rPr>
                <w:rFonts w:ascii="Times New Roman" w:hAnsi="Times New Roman" w:cs="Times New Roman"/>
                <w:spacing w:val="1"/>
              </w:rPr>
            </w:pPr>
            <w:r w:rsidRPr="008B2237">
              <w:rPr>
                <w:rFonts w:ascii="Times New Roman" w:hAnsi="Times New Roman" w:cs="Times New Roman"/>
                <w:spacing w:val="1"/>
              </w:rPr>
              <w:t xml:space="preserve">13,567 </w:t>
            </w:r>
          </w:p>
        </w:tc>
        <w:tc>
          <w:tcPr>
            <w:tcW w:w="4788" w:type="dxa"/>
          </w:tcPr>
          <w:p w14:paraId="75F21C31" w14:textId="77777777" w:rsidR="00797AB4" w:rsidRPr="008B2237" w:rsidRDefault="00A4505D" w:rsidP="008B2237">
            <w:pPr>
              <w:autoSpaceDE w:val="0"/>
              <w:autoSpaceDN w:val="0"/>
              <w:adjustRightInd w:val="0"/>
              <w:rPr>
                <w:rFonts w:ascii="Times New Roman" w:hAnsi="Times New Roman" w:cs="Times New Roman"/>
                <w:spacing w:val="1"/>
              </w:rPr>
            </w:pPr>
            <w:r w:rsidRPr="008B2237">
              <w:rPr>
                <w:rFonts w:ascii="Times New Roman" w:hAnsi="Times New Roman" w:cs="Times New Roman"/>
                <w:spacing w:val="1"/>
              </w:rPr>
              <w:t xml:space="preserve">28 </w:t>
            </w:r>
            <w:r w:rsidR="00797AB4" w:rsidRPr="008B2237">
              <w:rPr>
                <w:rFonts w:ascii="Times New Roman" w:hAnsi="Times New Roman" w:cs="Times New Roman"/>
                <w:spacing w:val="1"/>
              </w:rPr>
              <w:t xml:space="preserve"> </w:t>
            </w:r>
            <w:r w:rsidR="008B2237" w:rsidRPr="008B2237">
              <w:rPr>
                <w:rFonts w:ascii="Times New Roman" w:hAnsi="Times New Roman" w:cs="Times New Roman"/>
                <w:spacing w:val="1"/>
              </w:rPr>
              <w:t>representatives of  U.S. public school districts</w:t>
            </w:r>
          </w:p>
        </w:tc>
      </w:tr>
    </w:tbl>
    <w:p w14:paraId="31B86965" w14:textId="77777777" w:rsidR="00FB7CD5" w:rsidRDefault="00FB7CD5" w:rsidP="000C6F76">
      <w:pPr>
        <w:autoSpaceDE w:val="0"/>
        <w:autoSpaceDN w:val="0"/>
        <w:adjustRightInd w:val="0"/>
        <w:rPr>
          <w:b/>
          <w:bCs/>
        </w:rPr>
      </w:pPr>
    </w:p>
    <w:p w14:paraId="0AB0097B" w14:textId="77777777" w:rsidR="00797AB4" w:rsidRPr="00624FE6" w:rsidRDefault="00797AB4" w:rsidP="000C6F76">
      <w:pPr>
        <w:autoSpaceDE w:val="0"/>
        <w:autoSpaceDN w:val="0"/>
        <w:adjustRightInd w:val="0"/>
        <w:rPr>
          <w:b/>
          <w:bCs/>
          <w:sz w:val="28"/>
          <w:szCs w:val="28"/>
        </w:rPr>
      </w:pPr>
      <w:r w:rsidRPr="00624FE6">
        <w:rPr>
          <w:b/>
          <w:bCs/>
          <w:sz w:val="28"/>
          <w:szCs w:val="28"/>
        </w:rPr>
        <w:t>2. Procedures for the Collection of Information</w:t>
      </w:r>
    </w:p>
    <w:p w14:paraId="1E687998" w14:textId="77777777" w:rsidR="00797AB4" w:rsidRPr="00925966" w:rsidRDefault="00797AB4" w:rsidP="000C6F76">
      <w:pPr>
        <w:autoSpaceDE w:val="0"/>
        <w:autoSpaceDN w:val="0"/>
        <w:adjustRightInd w:val="0"/>
        <w:rPr>
          <w:sz w:val="22"/>
          <w:szCs w:val="22"/>
        </w:rPr>
      </w:pPr>
    </w:p>
    <w:p w14:paraId="290D81C1" w14:textId="77777777" w:rsidR="00A4505D" w:rsidRDefault="00FB7CD5" w:rsidP="00FB7CD5">
      <w:pPr>
        <w:spacing w:line="480" w:lineRule="auto"/>
        <w:ind w:firstLine="720"/>
      </w:pPr>
      <w:r>
        <w:t>Pa</w:t>
      </w:r>
      <w:r w:rsidR="00797AB4" w:rsidRPr="00925966">
        <w:t xml:space="preserve">rticipants for this data collection will be recruited with the assistance of contractors who have successfully performed similar tasks for NIOSH in the past.  </w:t>
      </w:r>
    </w:p>
    <w:p w14:paraId="0637922C" w14:textId="77777777" w:rsidR="00A4505D" w:rsidRPr="00046E53" w:rsidRDefault="00A4505D" w:rsidP="00A4505D">
      <w:pPr>
        <w:tabs>
          <w:tab w:val="num" w:pos="0"/>
        </w:tabs>
        <w:spacing w:line="480" w:lineRule="auto"/>
      </w:pPr>
      <w:r w:rsidRPr="00046E53">
        <w:t xml:space="preserve">Potential study participants will receive an introductory letter describing the goals of the study, including a brief introduction to </w:t>
      </w:r>
      <w:r w:rsidRPr="00A4505D">
        <w:rPr>
          <w:i/>
        </w:rPr>
        <w:t>Talking Safety</w:t>
      </w:r>
      <w:r w:rsidRPr="00046E53">
        <w:t xml:space="preserve"> curriculum, and explaining the process of conducting the interviews. The letter informs the potential key informants that they will be contact</w:t>
      </w:r>
      <w:r w:rsidR="006A7AEE">
        <w:t>ed</w:t>
      </w:r>
      <w:r w:rsidRPr="00046E53">
        <w:t xml:space="preserve"> to schedule an interview.  These individuals also are provided contact information for NIOSH and the contractor conducting the interviews. The letter, sent via Federal Express to help highlight its importance, also will include the </w:t>
      </w:r>
      <w:r w:rsidRPr="00FB7CD5">
        <w:rPr>
          <w:i/>
        </w:rPr>
        <w:t>Talking Safety</w:t>
      </w:r>
      <w:r w:rsidR="00FB7CD5">
        <w:t xml:space="preserve"> </w:t>
      </w:r>
      <w:r w:rsidR="00E53747">
        <w:t>information sheet (Attachment L</w:t>
      </w:r>
      <w:r w:rsidR="00B63E53">
        <w:t xml:space="preserve">). </w:t>
      </w:r>
      <w:r w:rsidR="007C7563">
        <w:t>Attachment</w:t>
      </w:r>
      <w:r w:rsidR="00D50F8E">
        <w:t>s</w:t>
      </w:r>
      <w:r w:rsidR="007C7563">
        <w:t xml:space="preserve"> C</w:t>
      </w:r>
      <w:r w:rsidR="00D50F8E">
        <w:t xml:space="preserve"> and D</w:t>
      </w:r>
      <w:r w:rsidRPr="00046E53">
        <w:t xml:space="preserve"> ha</w:t>
      </w:r>
      <w:r w:rsidR="00D50F8E">
        <w:t>ve</w:t>
      </w:r>
      <w:r w:rsidRPr="00046E53">
        <w:t xml:space="preserve"> </w:t>
      </w:r>
      <w:r w:rsidR="00D50F8E">
        <w:t>the</w:t>
      </w:r>
      <w:r w:rsidRPr="00046E53">
        <w:t xml:space="preserve"> draft advance letter</w:t>
      </w:r>
      <w:r w:rsidR="00D50F8E">
        <w:t>s for respondents and superintendents, respectively</w:t>
      </w:r>
      <w:r w:rsidRPr="00046E53">
        <w:t xml:space="preserve">.  </w:t>
      </w:r>
    </w:p>
    <w:p w14:paraId="1CEF5949" w14:textId="02F3C2A8" w:rsidR="00A4505D" w:rsidRPr="00046E53" w:rsidRDefault="00A4505D" w:rsidP="00A4505D">
      <w:pPr>
        <w:spacing w:line="480" w:lineRule="auto"/>
        <w:ind w:firstLine="450"/>
      </w:pPr>
      <w:r w:rsidRPr="00046E53">
        <w:t xml:space="preserve">Respondents will be contacted via telephone and email a few days after the advance materials are mailed in order to secure their participation in the interview. The aim of the initial call is to confirm the eligibility of the selected respondent, discuss the interview process and to secure participation. Based on our experience in the pilot, it is expected that </w:t>
      </w:r>
      <w:r>
        <w:t>three</w:t>
      </w:r>
      <w:r w:rsidRPr="00046E53">
        <w:t xml:space="preserve"> schools will need to be recruited for every completed interview. </w:t>
      </w:r>
      <w:r w:rsidR="00875846">
        <w:t xml:space="preserve">Screening </w:t>
      </w:r>
      <w:r w:rsidRPr="00046E53">
        <w:t xml:space="preserve">materials will be sent to all schools simultaneously. </w:t>
      </w:r>
      <w:r w:rsidR="007C7563">
        <w:t>Attachment</w:t>
      </w:r>
      <w:r w:rsidR="00D50F8E">
        <w:t>s E and F</w:t>
      </w:r>
      <w:r w:rsidRPr="00046E53">
        <w:t xml:space="preserve"> include the draft script</w:t>
      </w:r>
      <w:r w:rsidR="00D50F8E">
        <w:t>s</w:t>
      </w:r>
      <w:r w:rsidRPr="00046E53">
        <w:t xml:space="preserve"> for the </w:t>
      </w:r>
      <w:r w:rsidR="00875846">
        <w:t xml:space="preserve">screening </w:t>
      </w:r>
      <w:r w:rsidRPr="00046E53">
        <w:t>calls</w:t>
      </w:r>
      <w:r w:rsidR="00D50F8E">
        <w:t xml:space="preserve"> to </w:t>
      </w:r>
      <w:r w:rsidR="00D50F8E">
        <w:lastRenderedPageBreak/>
        <w:t>respondents and superintendents</w:t>
      </w:r>
      <w:r w:rsidR="00DD36A8">
        <w:t>’ offices</w:t>
      </w:r>
      <w:r w:rsidR="00D50F8E">
        <w:t>, respectively</w:t>
      </w:r>
      <w:r w:rsidRPr="00046E53">
        <w:t>.  The specific items to include during the calls include the following:</w:t>
      </w:r>
    </w:p>
    <w:p w14:paraId="2540FAF2" w14:textId="77777777" w:rsidR="00A4505D" w:rsidRPr="00ED3992" w:rsidRDefault="00A4505D" w:rsidP="00A4505D">
      <w:pPr>
        <w:pStyle w:val="ListParagraph"/>
        <w:numPr>
          <w:ilvl w:val="0"/>
          <w:numId w:val="18"/>
        </w:numPr>
        <w:spacing w:line="480" w:lineRule="auto"/>
        <w:rPr>
          <w:spacing w:val="1"/>
        </w:rPr>
      </w:pPr>
      <w:r w:rsidRPr="00ED3992">
        <w:rPr>
          <w:spacing w:val="1"/>
        </w:rPr>
        <w:t>Sharing the goals for the interview</w:t>
      </w:r>
      <w:r w:rsidR="006A7AEE">
        <w:rPr>
          <w:spacing w:val="1"/>
        </w:rPr>
        <w:t>.</w:t>
      </w:r>
    </w:p>
    <w:p w14:paraId="48E7DCF2" w14:textId="77777777" w:rsidR="00A4505D" w:rsidRPr="00ED3992" w:rsidRDefault="00A4505D" w:rsidP="00A4505D">
      <w:pPr>
        <w:pStyle w:val="ListParagraph"/>
        <w:numPr>
          <w:ilvl w:val="0"/>
          <w:numId w:val="18"/>
        </w:numPr>
        <w:spacing w:line="480" w:lineRule="auto"/>
        <w:rPr>
          <w:spacing w:val="1"/>
        </w:rPr>
      </w:pPr>
      <w:r w:rsidRPr="00ED3992">
        <w:rPr>
          <w:spacing w:val="1"/>
        </w:rPr>
        <w:t xml:space="preserve">Confirming that this person is most appropriate to interview. If not, get a recommendation of another person on district staff and begin the process again. </w:t>
      </w:r>
    </w:p>
    <w:p w14:paraId="02141140" w14:textId="77777777" w:rsidR="00A4505D" w:rsidRPr="00ED3992" w:rsidRDefault="00A4505D" w:rsidP="00A4505D">
      <w:pPr>
        <w:pStyle w:val="ListParagraph"/>
        <w:numPr>
          <w:ilvl w:val="0"/>
          <w:numId w:val="18"/>
        </w:numPr>
        <w:spacing w:line="480" w:lineRule="auto"/>
        <w:rPr>
          <w:spacing w:val="1"/>
        </w:rPr>
      </w:pPr>
      <w:r w:rsidRPr="00ED3992">
        <w:rPr>
          <w:spacing w:val="1"/>
        </w:rPr>
        <w:t>Stating the process for conducting the interview and how long the interview will take</w:t>
      </w:r>
      <w:r w:rsidR="006A7AEE">
        <w:rPr>
          <w:spacing w:val="1"/>
        </w:rPr>
        <w:t>.</w:t>
      </w:r>
    </w:p>
    <w:p w14:paraId="56E675DA" w14:textId="77777777" w:rsidR="00A4505D" w:rsidRPr="00ED3992" w:rsidRDefault="00A4505D" w:rsidP="00A4505D">
      <w:pPr>
        <w:pStyle w:val="ListParagraph"/>
        <w:numPr>
          <w:ilvl w:val="0"/>
          <w:numId w:val="18"/>
        </w:numPr>
        <w:spacing w:line="480" w:lineRule="auto"/>
        <w:rPr>
          <w:spacing w:val="1"/>
        </w:rPr>
      </w:pPr>
      <w:r w:rsidRPr="00ED3992">
        <w:rPr>
          <w:spacing w:val="1"/>
        </w:rPr>
        <w:t xml:space="preserve">Noting how the respondent’s data will be used in the report and how it will be protected after the interview.  </w:t>
      </w:r>
    </w:p>
    <w:p w14:paraId="62440F7A" w14:textId="77777777" w:rsidR="00A4505D" w:rsidRPr="00ED3992" w:rsidRDefault="00A4505D" w:rsidP="00A4505D">
      <w:pPr>
        <w:pStyle w:val="ListParagraph"/>
        <w:numPr>
          <w:ilvl w:val="0"/>
          <w:numId w:val="18"/>
        </w:numPr>
        <w:spacing w:line="480" w:lineRule="auto"/>
        <w:rPr>
          <w:spacing w:val="1"/>
        </w:rPr>
      </w:pPr>
      <w:r w:rsidRPr="00ED3992">
        <w:rPr>
          <w:spacing w:val="1"/>
        </w:rPr>
        <w:t xml:space="preserve">Securing agreement to participate in the interview.  </w:t>
      </w:r>
    </w:p>
    <w:p w14:paraId="68129FA6" w14:textId="77777777" w:rsidR="00A4505D" w:rsidRPr="00076335" w:rsidRDefault="00A4505D" w:rsidP="00076335">
      <w:pPr>
        <w:spacing w:line="480" w:lineRule="auto"/>
        <w:ind w:firstLine="360"/>
      </w:pPr>
      <w:r w:rsidRPr="00ED3992">
        <w:rPr>
          <w:spacing w:val="1"/>
        </w:rPr>
        <w:t>Within each region and locales, we will interview the first qualified</w:t>
      </w:r>
      <w:r w:rsidRPr="00046E53">
        <w:t xml:space="preserve"> individual who agrees to the interview.  When a target respondent agrees to be interviewed, a time is scheduled at the respondent’s convenience</w:t>
      </w:r>
      <w:r w:rsidR="00B63E53" w:rsidRPr="00B63E53">
        <w:t xml:space="preserve"> </w:t>
      </w:r>
      <w:r w:rsidR="00B63E53">
        <w:t xml:space="preserve">Attachment G includes the </w:t>
      </w:r>
      <w:r w:rsidR="00B63E53" w:rsidRPr="00046E53">
        <w:t xml:space="preserve">follow-up email </w:t>
      </w:r>
      <w:r w:rsidR="00B63E53">
        <w:t>to be</w:t>
      </w:r>
      <w:r w:rsidR="00B63E53" w:rsidRPr="00046E53">
        <w:t xml:space="preserve"> sent thanking the respondent for agreeing to be interviewed, confirming the interview time, and providing contact information in case the respondent need</w:t>
      </w:r>
      <w:r w:rsidR="00B63E53">
        <w:t xml:space="preserve">s to reschedule the interview. </w:t>
      </w:r>
      <w:r w:rsidR="00B63E53" w:rsidRPr="00046E53">
        <w:t xml:space="preserve">Forty-eight hours prior to the interview, </w:t>
      </w:r>
      <w:r w:rsidR="00B63E53">
        <w:t>the same email will be sent again as a</w:t>
      </w:r>
      <w:r w:rsidR="00B63E53" w:rsidRPr="00046E53">
        <w:t xml:space="preserve"> reminder to the respondent. </w:t>
      </w:r>
    </w:p>
    <w:p w14:paraId="2D838576" w14:textId="77777777" w:rsidR="00A4505D" w:rsidRPr="00046E53" w:rsidRDefault="00A4505D" w:rsidP="00FB7CD5">
      <w:pPr>
        <w:spacing w:line="480" w:lineRule="auto"/>
        <w:ind w:firstLine="630"/>
        <w:rPr>
          <w:spacing w:val="1"/>
        </w:rPr>
      </w:pPr>
      <w:r w:rsidRPr="00046E53">
        <w:rPr>
          <w:spacing w:val="1"/>
        </w:rPr>
        <w:t xml:space="preserve">It is estimated that the interviews will take approximately 30 minutes to complete.  The interviews will be conducted on the telephone and will be audio-recorded. Participants will not be compensated for these interviews. Individuals will be provided with information about the purpose of the study. They also will be told that whatever information they share will be kept private to the extent permitted by law.  Data will be collected using </w:t>
      </w:r>
      <w:r w:rsidR="00307CED">
        <w:rPr>
          <w:spacing w:val="1"/>
        </w:rPr>
        <w:t xml:space="preserve">open-ended questions in </w:t>
      </w:r>
      <w:r w:rsidRPr="00046E53">
        <w:rPr>
          <w:spacing w:val="1"/>
        </w:rPr>
        <w:t>the interview guide (</w:t>
      </w:r>
      <w:r w:rsidR="007C7563">
        <w:rPr>
          <w:spacing w:val="1"/>
        </w:rPr>
        <w:t xml:space="preserve">Attachment </w:t>
      </w:r>
      <w:r w:rsidR="00B63E53">
        <w:rPr>
          <w:spacing w:val="1"/>
        </w:rPr>
        <w:t>I</w:t>
      </w:r>
      <w:r w:rsidRPr="00046E53">
        <w:rPr>
          <w:spacing w:val="1"/>
        </w:rPr>
        <w:t xml:space="preserve">: </w:t>
      </w:r>
      <w:r w:rsidR="007C7563">
        <w:t>Discussion Guide</w:t>
      </w:r>
      <w:r w:rsidRPr="00046E53">
        <w:rPr>
          <w:spacing w:val="1"/>
        </w:rPr>
        <w:t xml:space="preserve">) and also will include spontaneous probes to clarify or follow-up on responses to the questions in the guide. In addition to the items directly related to the study, some basic demographic information from participants regarding their </w:t>
      </w:r>
      <w:r w:rsidRPr="00046E53">
        <w:rPr>
          <w:spacing w:val="1"/>
        </w:rPr>
        <w:lastRenderedPageBreak/>
        <w:t xml:space="preserve">position in the organization will be collected.  No personally identifiable information, such as their name or birth date, will be collected. </w:t>
      </w:r>
    </w:p>
    <w:p w14:paraId="29A3D7C2" w14:textId="77777777" w:rsidR="00A4505D" w:rsidRPr="00046E53" w:rsidRDefault="00A4505D" w:rsidP="00A4505D">
      <w:pPr>
        <w:spacing w:line="480" w:lineRule="auto"/>
        <w:ind w:firstLine="630"/>
        <w:rPr>
          <w:spacing w:val="1"/>
        </w:rPr>
      </w:pPr>
      <w:r w:rsidRPr="00046E53">
        <w:rPr>
          <w:spacing w:val="1"/>
        </w:rPr>
        <w:t xml:space="preserve">Results from the interviews will be used to gain an understanding about how districts across the United States integrate new materials into school curricula, the extent to which districts currently include workplace health and safety materials in curricula, and whether districts would consider including the vital work readiness skills taught through the Talking Safety curriculum into current programs. NIOSH also would like to understand the challenges districts might face in including these concepts. </w:t>
      </w:r>
    </w:p>
    <w:p w14:paraId="0D9909CB" w14:textId="77777777" w:rsidR="00A4505D" w:rsidRPr="00046E53" w:rsidRDefault="00A4505D" w:rsidP="00A4505D">
      <w:pPr>
        <w:spacing w:line="480" w:lineRule="auto"/>
        <w:ind w:firstLine="540"/>
        <w:rPr>
          <w:spacing w:val="1"/>
        </w:rPr>
      </w:pPr>
      <w:r w:rsidRPr="00046E53">
        <w:rPr>
          <w:spacing w:val="1"/>
        </w:rPr>
        <w:t>The interviews will begin with a consent statement (A</w:t>
      </w:r>
      <w:r w:rsidR="007C7563">
        <w:rPr>
          <w:spacing w:val="1"/>
        </w:rPr>
        <w:t>ttachment</w:t>
      </w:r>
      <w:r w:rsidRPr="00046E53">
        <w:rPr>
          <w:spacing w:val="1"/>
        </w:rPr>
        <w:t xml:space="preserve"> </w:t>
      </w:r>
      <w:r w:rsidR="00B63E53">
        <w:rPr>
          <w:spacing w:val="1"/>
        </w:rPr>
        <w:t>H</w:t>
      </w:r>
      <w:r w:rsidRPr="00046E53">
        <w:rPr>
          <w:spacing w:val="1"/>
        </w:rPr>
        <w:t xml:space="preserve">: </w:t>
      </w:r>
      <w:r w:rsidR="00DD36A8">
        <w:t>Interview Opening Statement [Confidentiality and Consent]</w:t>
      </w:r>
      <w:r w:rsidRPr="00046E53">
        <w:rPr>
          <w:spacing w:val="1"/>
        </w:rPr>
        <w:t xml:space="preserve">). </w:t>
      </w:r>
      <w:r w:rsidR="00307CED">
        <w:rPr>
          <w:spacing w:val="1"/>
        </w:rPr>
        <w:t xml:space="preserve">The NIOSH </w:t>
      </w:r>
      <w:r w:rsidRPr="00046E53">
        <w:rPr>
          <w:spacing w:val="1"/>
        </w:rPr>
        <w:t xml:space="preserve">Human Subjects Review Board </w:t>
      </w:r>
      <w:r w:rsidR="00307CED">
        <w:rPr>
          <w:spacing w:val="1"/>
        </w:rPr>
        <w:t xml:space="preserve">(HSRB) </w:t>
      </w:r>
      <w:r w:rsidRPr="00046E53">
        <w:rPr>
          <w:spacing w:val="1"/>
        </w:rPr>
        <w:t xml:space="preserve">generally waives the documentation of informed consent in studies like this one because the research presents no more than minimal risk of harm to participants and involves no procedures for which written consent is normally required outside of the research context. Each interviewee will be asked to consent verbally before beginning the interview. They also will receive, by email, a handout that contains the name and contact information for the project officer should they have questions related to the study and the contact information for the NIOSH </w:t>
      </w:r>
      <w:r w:rsidR="00307CED">
        <w:rPr>
          <w:spacing w:val="1"/>
        </w:rPr>
        <w:t xml:space="preserve">HSRB </w:t>
      </w:r>
      <w:r w:rsidRPr="00046E53">
        <w:rPr>
          <w:spacing w:val="1"/>
        </w:rPr>
        <w:t xml:space="preserve">office should they have questions about their rights or privacy. We do not anticipate any significant risks. Participation/non-participation is entirely voluntary. Participants will be advised that there is a small risk that their participation or the information they provide will not remain confidential. </w:t>
      </w:r>
      <w:r w:rsidR="00FB7CD5" w:rsidRPr="00925966">
        <w:t xml:space="preserve">The data collection will not use electronic respondent reporting as attempting to collect the data using a computer would only increase the response time and add an additional level of discomfort for the majority of the respondents.  The interviewer will read the items to the respondents and </w:t>
      </w:r>
      <w:r w:rsidR="00FB7CD5" w:rsidRPr="00245C9A">
        <w:t>their answers</w:t>
      </w:r>
      <w:r w:rsidR="00FB7CD5">
        <w:t xml:space="preserve"> will be recorded on a digital audio device</w:t>
      </w:r>
      <w:r w:rsidR="00FB7CD5" w:rsidRPr="00925966">
        <w:t>.</w:t>
      </w:r>
    </w:p>
    <w:p w14:paraId="43195BD4" w14:textId="77777777" w:rsidR="00A4505D" w:rsidRDefault="00A4505D" w:rsidP="00A4505D">
      <w:pPr>
        <w:spacing w:line="480" w:lineRule="auto"/>
        <w:ind w:firstLine="720"/>
      </w:pPr>
      <w:r w:rsidRPr="00046E53">
        <w:rPr>
          <w:spacing w:val="1"/>
        </w:rPr>
        <w:lastRenderedPageBreak/>
        <w:t>The recordings will be saved on a password protected computer and/or on CDs that will be stored in a locking file cabinet for the duration of the project (</w:t>
      </w:r>
      <w:r w:rsidR="00B63E53">
        <w:rPr>
          <w:spacing w:val="1"/>
        </w:rPr>
        <w:t xml:space="preserve">up to </w:t>
      </w:r>
      <w:r w:rsidRPr="00046E53">
        <w:rPr>
          <w:spacing w:val="1"/>
        </w:rPr>
        <w:t>5 years) in the Taft Building of National Institute for National Occupational Safety and Health (NIOSH) in Cincinnati, OH.  Only the investigators will have access to the recordings once the data transcriptions are complete. The recordings will be destroyed at the end of the study.</w:t>
      </w:r>
      <w:r w:rsidRPr="007E47BA">
        <w:t xml:space="preserve"> </w:t>
      </w:r>
      <w:r w:rsidRPr="008404AA">
        <w:t xml:space="preserve">The proposed collection will have no impact on the respondent’s privacy other than their identity being known </w:t>
      </w:r>
      <w:r w:rsidR="00FB7CD5">
        <w:t>among the research team members.</w:t>
      </w:r>
    </w:p>
    <w:p w14:paraId="3EE4BEDD" w14:textId="77777777" w:rsidR="00102A04" w:rsidRDefault="00102A04" w:rsidP="000C6F76">
      <w:pPr>
        <w:autoSpaceDE w:val="0"/>
        <w:autoSpaceDN w:val="0"/>
        <w:adjustRightInd w:val="0"/>
        <w:rPr>
          <w:b/>
          <w:bCs/>
          <w:sz w:val="28"/>
          <w:szCs w:val="28"/>
        </w:rPr>
      </w:pPr>
    </w:p>
    <w:p w14:paraId="687AFEDF" w14:textId="77777777" w:rsidR="00797AB4" w:rsidRPr="00624FE6" w:rsidRDefault="00797AB4" w:rsidP="000C6F76">
      <w:pPr>
        <w:autoSpaceDE w:val="0"/>
        <w:autoSpaceDN w:val="0"/>
        <w:adjustRightInd w:val="0"/>
        <w:rPr>
          <w:b/>
          <w:bCs/>
          <w:sz w:val="28"/>
          <w:szCs w:val="28"/>
        </w:rPr>
      </w:pPr>
      <w:r w:rsidRPr="00624FE6">
        <w:rPr>
          <w:b/>
          <w:bCs/>
          <w:sz w:val="28"/>
          <w:szCs w:val="28"/>
        </w:rPr>
        <w:t>3. Methods to Maximize Response Rates and Deal with Nonresponse</w:t>
      </w:r>
    </w:p>
    <w:p w14:paraId="5190A201" w14:textId="77777777" w:rsidR="00FB7CD5" w:rsidRDefault="00FB7CD5" w:rsidP="00FB7CD5">
      <w:pPr>
        <w:autoSpaceDE w:val="0"/>
        <w:autoSpaceDN w:val="0"/>
        <w:adjustRightInd w:val="0"/>
        <w:spacing w:line="480" w:lineRule="auto"/>
      </w:pPr>
    </w:p>
    <w:p w14:paraId="34A3D6E8" w14:textId="5027E9FA" w:rsidR="004D4C41" w:rsidRDefault="00BC4E69" w:rsidP="00DD36A8">
      <w:pPr>
        <w:autoSpaceDE w:val="0"/>
        <w:autoSpaceDN w:val="0"/>
        <w:adjustRightInd w:val="0"/>
        <w:spacing w:line="480" w:lineRule="auto"/>
        <w:ind w:firstLine="720"/>
        <w:rPr>
          <w:sz w:val="22"/>
          <w:szCs w:val="22"/>
        </w:rPr>
      </w:pPr>
      <w:r w:rsidRPr="00D83B4B">
        <w:t xml:space="preserve">The contractor representatives who will be conducting the </w:t>
      </w:r>
      <w:r w:rsidR="00875846">
        <w:t xml:space="preserve">screening, </w:t>
      </w:r>
      <w:r w:rsidRPr="00D83B4B">
        <w:t>recruiting and scheduling of participants will be trained by NIOSH researchers regarding the purpose of the overall study and this data collection. It is expected that this training will assist them in responding to any concerns expressed by prospective participants</w:t>
      </w:r>
      <w:r w:rsidR="00371FAF">
        <w:t>,</w:t>
      </w:r>
      <w:r w:rsidRPr="00D83B4B">
        <w:t xml:space="preserve"> as well as clarifying item meanings for participants completing the interview.</w:t>
      </w:r>
      <w:r w:rsidR="00307CED" w:rsidRPr="00D83B4B">
        <w:t xml:space="preserve"> After the pre-screening process is conducted to determine eligible schools districts and the suitable respondent within that district, based on past experience (a</w:t>
      </w:r>
      <w:r w:rsidR="00371FAF">
        <w:t xml:space="preserve">n interview </w:t>
      </w:r>
      <w:r w:rsidR="00307CED" w:rsidRPr="00D83B4B">
        <w:t xml:space="preserve">pre-test), a 95%-100% response rate </w:t>
      </w:r>
      <w:r w:rsidR="001022CE">
        <w:t xml:space="preserve">is expected among the individuals </w:t>
      </w:r>
      <w:r w:rsidR="00E43084">
        <w:t>who meet the criteria of the initial screening process</w:t>
      </w:r>
      <w:r w:rsidR="00307CED" w:rsidRPr="00D83B4B">
        <w:t xml:space="preserve">. </w:t>
      </w:r>
      <w:r w:rsidR="00754C67">
        <w:t xml:space="preserve">  </w:t>
      </w:r>
      <w:r w:rsidR="004D4C41">
        <w:t>(A</w:t>
      </w:r>
      <w:r w:rsidR="004D4C41" w:rsidRPr="00D83B4B">
        <w:t xml:space="preserve"> 100% response rate was achieved with the pre-test, but the sample size of six districts was smaller)</w:t>
      </w:r>
      <w:r w:rsidR="004D4C41">
        <w:t xml:space="preserve">. </w:t>
      </w:r>
      <w:r w:rsidR="00307CED" w:rsidRPr="00D83B4B">
        <w:t>The</w:t>
      </w:r>
      <w:bookmarkStart w:id="2" w:name="_GoBack"/>
      <w:bookmarkEnd w:id="2"/>
      <w:r w:rsidR="00307CED" w:rsidRPr="00D83B4B">
        <w:t xml:space="preserve"> </w:t>
      </w:r>
      <w:r w:rsidR="00245C9A" w:rsidRPr="00D83B4B">
        <w:t>interview</w:t>
      </w:r>
      <w:r w:rsidR="00B95A9D" w:rsidRPr="00D83B4B">
        <w:t xml:space="preserve"> will be administered once to each responden</w:t>
      </w:r>
      <w:r w:rsidR="00FB7CD5" w:rsidRPr="00D83B4B">
        <w:t>t.</w:t>
      </w:r>
      <w:r w:rsidR="00FB7CD5">
        <w:t xml:space="preserve"> </w:t>
      </w:r>
      <w:r w:rsidR="004D4C41">
        <w:rPr>
          <w:sz w:val="22"/>
          <w:szCs w:val="22"/>
        </w:rPr>
        <w:t xml:space="preserve">It is possible that some participants </w:t>
      </w:r>
      <w:r w:rsidR="004D4C41" w:rsidRPr="00DD36A8">
        <w:t xml:space="preserve">who </w:t>
      </w:r>
      <w:r w:rsidR="00DD36A8" w:rsidRPr="00DD36A8">
        <w:t xml:space="preserve">initially </w:t>
      </w:r>
      <w:r w:rsidR="004D4C41" w:rsidRPr="00DD36A8">
        <w:t xml:space="preserve">agree to participate in the interviews will not do so. However, NIOSH assumes, based on the pretest, that the majority </w:t>
      </w:r>
      <w:r w:rsidR="00DD36A8">
        <w:t xml:space="preserve">(if not all) </w:t>
      </w:r>
      <w:r w:rsidR="004D4C41" w:rsidRPr="00DD36A8">
        <w:t>of participants will complete the interviews.</w:t>
      </w:r>
      <w:r w:rsidR="004D4C41">
        <w:rPr>
          <w:sz w:val="22"/>
          <w:szCs w:val="22"/>
        </w:rPr>
        <w:t xml:space="preserve"> </w:t>
      </w:r>
    </w:p>
    <w:p w14:paraId="0C785442" w14:textId="77777777" w:rsidR="00442CE4" w:rsidRPr="00925966" w:rsidRDefault="00442CE4" w:rsidP="00DD36A8">
      <w:pPr>
        <w:autoSpaceDE w:val="0"/>
        <w:autoSpaceDN w:val="0"/>
        <w:adjustRightInd w:val="0"/>
        <w:spacing w:line="480" w:lineRule="auto"/>
        <w:ind w:firstLine="720"/>
        <w:rPr>
          <w:sz w:val="22"/>
          <w:szCs w:val="22"/>
        </w:rPr>
      </w:pPr>
    </w:p>
    <w:p w14:paraId="7F451082" w14:textId="77777777" w:rsidR="00797AB4" w:rsidRPr="00624FE6" w:rsidRDefault="00797AB4" w:rsidP="000C6F76">
      <w:pPr>
        <w:autoSpaceDE w:val="0"/>
        <w:autoSpaceDN w:val="0"/>
        <w:adjustRightInd w:val="0"/>
        <w:rPr>
          <w:b/>
          <w:bCs/>
          <w:sz w:val="28"/>
          <w:szCs w:val="28"/>
        </w:rPr>
      </w:pPr>
      <w:r w:rsidRPr="00624FE6">
        <w:rPr>
          <w:b/>
          <w:bCs/>
          <w:sz w:val="28"/>
          <w:szCs w:val="28"/>
        </w:rPr>
        <w:t>4. Tests of Procedures or Methods to be Undertaken</w:t>
      </w:r>
    </w:p>
    <w:p w14:paraId="179755B2" w14:textId="77777777" w:rsidR="00797AB4" w:rsidRPr="00925966" w:rsidRDefault="00797AB4" w:rsidP="000C6F76">
      <w:pPr>
        <w:autoSpaceDE w:val="0"/>
        <w:autoSpaceDN w:val="0"/>
        <w:adjustRightInd w:val="0"/>
        <w:spacing w:line="480" w:lineRule="auto"/>
        <w:rPr>
          <w:sz w:val="22"/>
          <w:szCs w:val="22"/>
        </w:rPr>
      </w:pPr>
    </w:p>
    <w:p w14:paraId="23BF5AEB" w14:textId="3648A3EE" w:rsidR="004D0CCD" w:rsidRPr="00046E53" w:rsidRDefault="004D0CCD" w:rsidP="004D0CCD">
      <w:pPr>
        <w:spacing w:line="480" w:lineRule="auto"/>
        <w:ind w:firstLine="720"/>
      </w:pPr>
      <w:r w:rsidRPr="00046E53">
        <w:lastRenderedPageBreak/>
        <w:t>Six interviews were conducted as a pre-test of the recruitment</w:t>
      </w:r>
      <w:r>
        <w:t xml:space="preserve"> methods and interview guide.  </w:t>
      </w:r>
      <w:r w:rsidRPr="00046E53">
        <w:t xml:space="preserve">These six interviews included two different school districts from each of three states (California, New York, and Oregon) where NIOSH currently has demonstration projects for implementation of the curriculum. </w:t>
      </w:r>
      <w:r w:rsidR="009D2325">
        <w:t xml:space="preserve">NIOSH had no prior connection to the school districts. </w:t>
      </w:r>
      <w:r w:rsidRPr="00046E53">
        <w:t>The selection of the school districts within these states was based on input from the external partners in these states</w:t>
      </w:r>
      <w:r w:rsidR="009D2325">
        <w:t xml:space="preserve"> regarding districts they would like to learn more about/screen as potential collaborators</w:t>
      </w:r>
      <w:r w:rsidRPr="00046E53">
        <w:t>.  Based on these six pretest interviews, modifications were made to the recruitment procedures and interview guide to best assure that the 28 key informant interviews would address the study questions of interest defined above.  The pretest also was used to determine the length of time needed to conduct the interviews and the burden hours requested.</w:t>
      </w:r>
    </w:p>
    <w:p w14:paraId="7F0FA742" w14:textId="77777777" w:rsidR="00797AB4" w:rsidRPr="00D83B4B" w:rsidRDefault="001C6F89" w:rsidP="004D0CCD">
      <w:pPr>
        <w:autoSpaceDE w:val="0"/>
        <w:autoSpaceDN w:val="0"/>
        <w:adjustRightInd w:val="0"/>
        <w:spacing w:line="480" w:lineRule="auto"/>
        <w:ind w:firstLine="720"/>
      </w:pPr>
      <w:r w:rsidRPr="00D83B4B">
        <w:t>These reviews</w:t>
      </w:r>
      <w:r w:rsidR="00797AB4" w:rsidRPr="00D83B4B">
        <w:t xml:space="preserve"> insured the items were understood as intended by the researchers, that no unnecessarily redundant items were retained</w:t>
      </w:r>
      <w:r w:rsidRPr="00D83B4B">
        <w:t xml:space="preserve">, and that the interview could be administered within a </w:t>
      </w:r>
      <w:r w:rsidR="004D0CCD" w:rsidRPr="00D83B4B">
        <w:t>3</w:t>
      </w:r>
      <w:r w:rsidR="00370A53" w:rsidRPr="00D83B4B">
        <w:t>0 minute</w:t>
      </w:r>
      <w:r w:rsidRPr="00D83B4B">
        <w:t xml:space="preserve"> period</w:t>
      </w:r>
      <w:r w:rsidR="00797AB4" w:rsidRPr="00D83B4B">
        <w:t xml:space="preserve">. The items themselves were derived from insights provided by subject matter experts and </w:t>
      </w:r>
      <w:r w:rsidR="00371FAF">
        <w:t xml:space="preserve">a </w:t>
      </w:r>
      <w:r w:rsidR="00797AB4" w:rsidRPr="00D83B4B">
        <w:t>review of the literature.</w:t>
      </w:r>
    </w:p>
    <w:p w14:paraId="16909088" w14:textId="77777777" w:rsidR="00293B7D" w:rsidRDefault="00293B7D" w:rsidP="004D0CCD">
      <w:pPr>
        <w:autoSpaceDE w:val="0"/>
        <w:autoSpaceDN w:val="0"/>
        <w:adjustRightInd w:val="0"/>
        <w:spacing w:line="480" w:lineRule="auto"/>
        <w:ind w:firstLine="720"/>
        <w:rPr>
          <w:sz w:val="22"/>
          <w:szCs w:val="22"/>
        </w:rPr>
      </w:pPr>
    </w:p>
    <w:p w14:paraId="43056721" w14:textId="77777777" w:rsidR="00797AB4" w:rsidRPr="00624FE6" w:rsidRDefault="00797AB4" w:rsidP="000C6F76">
      <w:pPr>
        <w:autoSpaceDE w:val="0"/>
        <w:autoSpaceDN w:val="0"/>
        <w:adjustRightInd w:val="0"/>
        <w:rPr>
          <w:b/>
          <w:bCs/>
          <w:sz w:val="28"/>
          <w:szCs w:val="28"/>
        </w:rPr>
      </w:pPr>
      <w:r w:rsidRPr="00624FE6">
        <w:rPr>
          <w:b/>
          <w:bCs/>
          <w:sz w:val="28"/>
          <w:szCs w:val="28"/>
        </w:rPr>
        <w:t>5. Individuals Consulted on Statistical Aspects and Individuals Collecting and/or</w:t>
      </w:r>
      <w:r w:rsidR="00624FE6">
        <w:rPr>
          <w:b/>
          <w:bCs/>
          <w:sz w:val="28"/>
          <w:szCs w:val="28"/>
        </w:rPr>
        <w:t xml:space="preserve"> </w:t>
      </w:r>
      <w:r w:rsidRPr="00624FE6">
        <w:rPr>
          <w:b/>
          <w:bCs/>
          <w:sz w:val="28"/>
          <w:szCs w:val="28"/>
        </w:rPr>
        <w:t>Analyzing Data</w:t>
      </w:r>
    </w:p>
    <w:p w14:paraId="41523FE5" w14:textId="77777777" w:rsidR="00797AB4" w:rsidRPr="00925966" w:rsidRDefault="00797AB4" w:rsidP="000C6F76">
      <w:pPr>
        <w:spacing w:line="480" w:lineRule="auto"/>
        <w:rPr>
          <w:sz w:val="22"/>
          <w:szCs w:val="22"/>
        </w:rPr>
      </w:pPr>
    </w:p>
    <w:p w14:paraId="0B6A050B" w14:textId="77777777" w:rsidR="00797AB4" w:rsidRPr="00925966" w:rsidRDefault="00797AB4" w:rsidP="000C6F76">
      <w:pPr>
        <w:spacing w:line="480" w:lineRule="auto"/>
        <w:ind w:firstLine="720"/>
        <w:rPr>
          <w:sz w:val="22"/>
          <w:szCs w:val="22"/>
        </w:rPr>
      </w:pPr>
      <w:r w:rsidRPr="00925966">
        <w:rPr>
          <w:sz w:val="22"/>
          <w:szCs w:val="22"/>
        </w:rPr>
        <w:t xml:space="preserve">The following individuals </w:t>
      </w:r>
      <w:r w:rsidR="004D4C41">
        <w:rPr>
          <w:sz w:val="22"/>
          <w:szCs w:val="22"/>
        </w:rPr>
        <w:t>provided peer-review</w:t>
      </w:r>
      <w:r w:rsidRPr="00925966">
        <w:rPr>
          <w:sz w:val="22"/>
          <w:szCs w:val="22"/>
        </w:rPr>
        <w:t xml:space="preserve"> regarding statistical aspects, data collection, and/or data analysis:</w:t>
      </w:r>
    </w:p>
    <w:p w14:paraId="7D502A18" w14:textId="77777777" w:rsidR="000E282E" w:rsidRDefault="000E282E" w:rsidP="004D0CCD"/>
    <w:p w14:paraId="076BD647" w14:textId="77777777" w:rsidR="004D0CCD" w:rsidRPr="00EC1D61" w:rsidRDefault="004D0CCD" w:rsidP="004D0CCD">
      <w:r w:rsidRPr="00EC1D61">
        <w:t>Liliana Rojas-Guyler, PhD, CHES</w:t>
      </w:r>
    </w:p>
    <w:p w14:paraId="4F082980" w14:textId="77777777" w:rsidR="004D0CCD" w:rsidRPr="00EC1D61" w:rsidRDefault="004D0CCD" w:rsidP="004D0CCD">
      <w:r w:rsidRPr="00EC1D61">
        <w:t>Associate Professor</w:t>
      </w:r>
    </w:p>
    <w:p w14:paraId="072CE6D3" w14:textId="77777777" w:rsidR="004D0CCD" w:rsidRPr="00EC1D61" w:rsidRDefault="004D0CCD" w:rsidP="004D0CCD">
      <w:r w:rsidRPr="00EC1D61">
        <w:t>Health Promotion and Education</w:t>
      </w:r>
    </w:p>
    <w:p w14:paraId="609FDF87" w14:textId="77777777" w:rsidR="004D0CCD" w:rsidRPr="00EC1D61" w:rsidRDefault="004D0CCD" w:rsidP="004D0CCD">
      <w:r w:rsidRPr="00EC1D61">
        <w:t>University of Cincinnati</w:t>
      </w:r>
    </w:p>
    <w:p w14:paraId="704F24B1" w14:textId="77777777" w:rsidR="004D0CCD" w:rsidRPr="00EC1D61" w:rsidRDefault="004D0CCD" w:rsidP="004D0CCD">
      <w:r w:rsidRPr="00EC1D61">
        <w:t>PO Box 210068</w:t>
      </w:r>
    </w:p>
    <w:p w14:paraId="273F94A9" w14:textId="77777777" w:rsidR="004D0CCD" w:rsidRPr="00EC1D61" w:rsidRDefault="004D0CCD" w:rsidP="004D0CCD">
      <w:r w:rsidRPr="00EC1D61">
        <w:t>Teachers College 542</w:t>
      </w:r>
    </w:p>
    <w:p w14:paraId="4D36E2B2" w14:textId="77777777" w:rsidR="004D0CCD" w:rsidRPr="00EC1D61" w:rsidRDefault="004D0CCD" w:rsidP="004D0CCD">
      <w:r w:rsidRPr="00EC1D61">
        <w:t>Cincinnati OH 45221-0068</w:t>
      </w:r>
    </w:p>
    <w:p w14:paraId="4DA3B58F" w14:textId="77777777" w:rsidR="004D0CCD" w:rsidRPr="00EC1D61" w:rsidRDefault="00096692" w:rsidP="004D0CCD">
      <w:hyperlink r:id="rId10" w:history="1">
        <w:r w:rsidR="004D0CCD" w:rsidRPr="00EC1D61">
          <w:t>Liliana.guyler@uc.edu</w:t>
        </w:r>
      </w:hyperlink>
    </w:p>
    <w:p w14:paraId="1C790232" w14:textId="77777777" w:rsidR="004D0CCD" w:rsidRDefault="004D0CCD" w:rsidP="004D0CCD"/>
    <w:p w14:paraId="69560A6F" w14:textId="77777777" w:rsidR="004D0CCD" w:rsidRPr="00EC1D61" w:rsidRDefault="004D0CCD" w:rsidP="004D0CCD">
      <w:r w:rsidRPr="00EC1D61">
        <w:t xml:space="preserve">Diane S. </w:t>
      </w:r>
      <w:proofErr w:type="spellStart"/>
      <w:r w:rsidRPr="00EC1D61">
        <w:t>Rohlman</w:t>
      </w:r>
      <w:proofErr w:type="spellEnd"/>
      <w:r w:rsidRPr="00EC1D61">
        <w:t>, PhD</w:t>
      </w:r>
      <w:r w:rsidRPr="00EC1D61">
        <w:br/>
        <w:t>Occupational and Environmental Health</w:t>
      </w:r>
      <w:r w:rsidRPr="00EC1D61">
        <w:br/>
        <w:t>University of Iowa</w:t>
      </w:r>
      <w:r w:rsidRPr="00EC1D61">
        <w:br/>
      </w:r>
      <w:proofErr w:type="spellStart"/>
      <w:r w:rsidRPr="00EC1D61">
        <w:t>Iowa</w:t>
      </w:r>
      <w:proofErr w:type="spellEnd"/>
      <w:r w:rsidRPr="00EC1D61">
        <w:t xml:space="preserve"> City, IA 52242</w:t>
      </w:r>
      <w:r w:rsidRPr="00EC1D61">
        <w:br/>
      </w:r>
      <w:r>
        <w:t xml:space="preserve">(319) </w:t>
      </w:r>
      <w:r w:rsidRPr="00EC1D61">
        <w:t>384-4007</w:t>
      </w:r>
    </w:p>
    <w:p w14:paraId="24DB2F19" w14:textId="77777777" w:rsidR="004D0CCD" w:rsidRDefault="004D0CCD" w:rsidP="004D0CCD">
      <w:r w:rsidRPr="00EC1D61">
        <w:t>diane-rohlman@uiowa.edu</w:t>
      </w:r>
    </w:p>
    <w:p w14:paraId="07AAA5B5" w14:textId="77777777" w:rsidR="001022CE" w:rsidRDefault="001022CE" w:rsidP="005D7966">
      <w:pPr>
        <w:rPr>
          <w:sz w:val="22"/>
          <w:szCs w:val="22"/>
        </w:rPr>
      </w:pPr>
    </w:p>
    <w:p w14:paraId="38A3B924" w14:textId="77777777" w:rsidR="004D4C41" w:rsidRDefault="004D4C41" w:rsidP="005D7966">
      <w:r w:rsidRPr="00925966">
        <w:rPr>
          <w:sz w:val="22"/>
          <w:szCs w:val="22"/>
        </w:rPr>
        <w:t xml:space="preserve">The following </w:t>
      </w:r>
      <w:r w:rsidR="005D7966">
        <w:rPr>
          <w:sz w:val="22"/>
          <w:szCs w:val="22"/>
        </w:rPr>
        <w:t xml:space="preserve">NIOSH/CDC staff </w:t>
      </w:r>
      <w:r>
        <w:rPr>
          <w:sz w:val="22"/>
          <w:szCs w:val="22"/>
        </w:rPr>
        <w:t xml:space="preserve">will </w:t>
      </w:r>
      <w:r w:rsidR="00FE5B07">
        <w:rPr>
          <w:sz w:val="22"/>
          <w:szCs w:val="22"/>
        </w:rPr>
        <w:t xml:space="preserve">assist with </w:t>
      </w:r>
      <w:r w:rsidR="005D7966">
        <w:rPr>
          <w:sz w:val="22"/>
          <w:szCs w:val="22"/>
        </w:rPr>
        <w:t xml:space="preserve">overseeing the contract deliverables, </w:t>
      </w:r>
      <w:r w:rsidR="001022CE">
        <w:rPr>
          <w:sz w:val="22"/>
          <w:szCs w:val="22"/>
        </w:rPr>
        <w:t xml:space="preserve">and </w:t>
      </w:r>
      <w:r w:rsidR="005D7966">
        <w:rPr>
          <w:sz w:val="22"/>
          <w:szCs w:val="22"/>
        </w:rPr>
        <w:t xml:space="preserve">designing the </w:t>
      </w:r>
      <w:r w:rsidR="00FE5B07">
        <w:rPr>
          <w:sz w:val="22"/>
          <w:szCs w:val="22"/>
        </w:rPr>
        <w:t xml:space="preserve">data </w:t>
      </w:r>
      <w:r>
        <w:t>collect</w:t>
      </w:r>
      <w:r w:rsidR="00FE5B07">
        <w:t>ion</w:t>
      </w:r>
      <w:r>
        <w:t xml:space="preserve"> and analy</w:t>
      </w:r>
      <w:r w:rsidR="00FE5B07">
        <w:t>sis for</w:t>
      </w:r>
      <w:r>
        <w:t xml:space="preserve"> this project:</w:t>
      </w:r>
    </w:p>
    <w:p w14:paraId="7C02703E" w14:textId="77777777" w:rsidR="005D7966" w:rsidRDefault="005D7966" w:rsidP="00FE5B07"/>
    <w:p w14:paraId="0498F662" w14:textId="77777777" w:rsidR="00FE5B07" w:rsidRPr="00FE5B07" w:rsidRDefault="00FE5B07" w:rsidP="00FE5B07">
      <w:r w:rsidRPr="00FE5B07">
        <w:t xml:space="preserve">Andrea </w:t>
      </w:r>
      <w:proofErr w:type="spellStart"/>
      <w:r w:rsidRPr="00FE5B07">
        <w:t>Okun</w:t>
      </w:r>
      <w:proofErr w:type="spellEnd"/>
      <w:r w:rsidRPr="00FE5B07">
        <w:t xml:space="preserve">, </w:t>
      </w:r>
      <w:proofErr w:type="spellStart"/>
      <w:r w:rsidRPr="00FE5B07">
        <w:t>DrPH</w:t>
      </w:r>
      <w:proofErr w:type="spellEnd"/>
    </w:p>
    <w:p w14:paraId="7B30CAD1" w14:textId="77777777" w:rsidR="00FE5B07" w:rsidRDefault="00FE5B07" w:rsidP="00FE5B07">
      <w:r w:rsidRPr="00FE5B07">
        <w:t>Associate Director for Global Collaborations</w:t>
      </w:r>
    </w:p>
    <w:p w14:paraId="19E19D21" w14:textId="77777777" w:rsidR="00FE5B07" w:rsidRDefault="00FE5B07" w:rsidP="00FE5B07">
      <w:r>
        <w:t xml:space="preserve">Office of the Director (OD) </w:t>
      </w:r>
    </w:p>
    <w:p w14:paraId="7F55AF5C" w14:textId="77777777" w:rsidR="00FE5B07" w:rsidRDefault="00FE5B07" w:rsidP="00FE5B07">
      <w:r>
        <w:t>National Institute for Occupational Safety and Health</w:t>
      </w:r>
    </w:p>
    <w:p w14:paraId="15355B5A" w14:textId="77777777" w:rsidR="00FE5B07" w:rsidRDefault="00FE5B07" w:rsidP="00FE5B07">
      <w:r>
        <w:t>Office of the Director</w:t>
      </w:r>
    </w:p>
    <w:p w14:paraId="3AFE5A25" w14:textId="77777777" w:rsidR="00FE5B07" w:rsidRPr="0086602C" w:rsidRDefault="00FE5B07" w:rsidP="00FE5B07">
      <w:r w:rsidRPr="0086602C">
        <w:t>1090 Tusculum Ave</w:t>
      </w:r>
    </w:p>
    <w:p w14:paraId="4AD51E19" w14:textId="77777777" w:rsidR="00FE5B07" w:rsidRDefault="00FE5B07" w:rsidP="00FE5B07">
      <w:r w:rsidRPr="0086602C">
        <w:t>Cincinnati, OH 45226-1998</w:t>
      </w:r>
    </w:p>
    <w:p w14:paraId="6CF08B0F" w14:textId="77777777" w:rsidR="00FE5B07" w:rsidRDefault="00FE5B07" w:rsidP="00FE5B07">
      <w:r>
        <w:t>513-533-8377 (voice)</w:t>
      </w:r>
      <w:r w:rsidRPr="004032CB">
        <w:t xml:space="preserve"> </w:t>
      </w:r>
    </w:p>
    <w:p w14:paraId="6313A074" w14:textId="77777777" w:rsidR="00FE5B07" w:rsidRDefault="00FE5B07" w:rsidP="00FE5B07">
      <w:r>
        <w:t>Email: aokun@cdc.gov</w:t>
      </w:r>
    </w:p>
    <w:p w14:paraId="02FF7276" w14:textId="77777777" w:rsidR="00DD36A8" w:rsidRDefault="00DD36A8" w:rsidP="004D4C41"/>
    <w:p w14:paraId="1CD6D70F" w14:textId="77777777" w:rsidR="005D7966" w:rsidRDefault="005D7966" w:rsidP="005D7966">
      <w:pPr>
        <w:spacing w:line="480" w:lineRule="auto"/>
      </w:pPr>
      <w:r w:rsidRPr="00925966">
        <w:rPr>
          <w:sz w:val="22"/>
          <w:szCs w:val="22"/>
        </w:rPr>
        <w:t>The following individuals</w:t>
      </w:r>
      <w:r>
        <w:rPr>
          <w:sz w:val="22"/>
          <w:szCs w:val="22"/>
        </w:rPr>
        <w:t xml:space="preserve"> will collect and analyze the data</w:t>
      </w:r>
      <w:r>
        <w:t xml:space="preserve"> for this project:</w:t>
      </w:r>
    </w:p>
    <w:p w14:paraId="79052B25" w14:textId="77777777" w:rsidR="004D4C41" w:rsidRPr="004D4C41" w:rsidRDefault="004D4C41" w:rsidP="004D4C41">
      <w:r w:rsidRPr="004D4C41">
        <w:t>Elizabeth Glennie, PhD</w:t>
      </w:r>
    </w:p>
    <w:p w14:paraId="56553356" w14:textId="77777777" w:rsidR="004D4C41" w:rsidRPr="004D4C41" w:rsidRDefault="004D4C41" w:rsidP="004D4C41">
      <w:r w:rsidRPr="004D4C41">
        <w:t>Senior Education Research Analyst</w:t>
      </w:r>
    </w:p>
    <w:p w14:paraId="1D9F3EB0" w14:textId="77777777" w:rsidR="004D4C41" w:rsidRPr="004D4C41" w:rsidRDefault="004D4C41" w:rsidP="004D4C41">
      <w:r w:rsidRPr="004D4C41">
        <w:t>Education Studies Division</w:t>
      </w:r>
    </w:p>
    <w:p w14:paraId="0134B49E" w14:textId="77777777" w:rsidR="004D4C41" w:rsidRPr="004D4C41" w:rsidRDefault="004D4C41" w:rsidP="004D4C41">
      <w:r w:rsidRPr="004D4C41">
        <w:t>RTI International</w:t>
      </w:r>
    </w:p>
    <w:p w14:paraId="5E01BA3C" w14:textId="77777777" w:rsidR="004D4C41" w:rsidRPr="004D4C41" w:rsidRDefault="004D4C41" w:rsidP="004D4C41">
      <w:r w:rsidRPr="004D4C41">
        <w:t>3040 Cornwallis Road</w:t>
      </w:r>
    </w:p>
    <w:p w14:paraId="0352696B" w14:textId="77777777" w:rsidR="004D4C41" w:rsidRPr="004D4C41" w:rsidRDefault="004D4C41" w:rsidP="004D4C41">
      <w:r w:rsidRPr="004D4C41">
        <w:t>Research Triangle Park, NC  27709-2194</w:t>
      </w:r>
    </w:p>
    <w:p w14:paraId="0BA2CFBE" w14:textId="77777777" w:rsidR="004D4C41" w:rsidRPr="004D4C41" w:rsidRDefault="00096692" w:rsidP="004D4C41">
      <w:hyperlink r:id="rId11" w:history="1">
        <w:r w:rsidR="004D4C41" w:rsidRPr="004D4C41">
          <w:t>eglennie@rti.org</w:t>
        </w:r>
      </w:hyperlink>
    </w:p>
    <w:p w14:paraId="00086367" w14:textId="77777777" w:rsidR="004D4C41" w:rsidRPr="004D4C41" w:rsidRDefault="004D4C41" w:rsidP="004D4C41">
      <w:r w:rsidRPr="004D4C41">
        <w:t>Hobbs 358 (office)</w:t>
      </w:r>
    </w:p>
    <w:p w14:paraId="5CDA1370" w14:textId="77777777" w:rsidR="004D4C41" w:rsidRPr="004D4C41" w:rsidRDefault="004D4C41" w:rsidP="004D4C41">
      <w:r>
        <w:t>(919) 541-</w:t>
      </w:r>
      <w:r w:rsidRPr="004D4C41">
        <w:t>6434 (phone)</w:t>
      </w:r>
    </w:p>
    <w:p w14:paraId="3528A701" w14:textId="77777777" w:rsidR="004D4C41" w:rsidRPr="004D4C41" w:rsidRDefault="004D4C41" w:rsidP="004D4C41">
      <w:r>
        <w:t>(919) 541-</w:t>
      </w:r>
      <w:r w:rsidRPr="004D4C41">
        <w:t>7014 (fax)</w:t>
      </w:r>
    </w:p>
    <w:p w14:paraId="739BA07C" w14:textId="77777777" w:rsidR="004D4C41" w:rsidRPr="004D4C41" w:rsidRDefault="004D4C41" w:rsidP="004D4C41"/>
    <w:p w14:paraId="3468AE0F" w14:textId="77777777" w:rsidR="004D4C41" w:rsidRPr="004D4C41" w:rsidRDefault="004D4C41" w:rsidP="004D4C41">
      <w:r w:rsidRPr="004D4C41">
        <w:t>Kristina Peterson, Ph.D.</w:t>
      </w:r>
    </w:p>
    <w:p w14:paraId="2EEA366A" w14:textId="77777777" w:rsidR="004D4C41" w:rsidRPr="004D4C41" w:rsidRDefault="004D4C41" w:rsidP="004D4C41">
      <w:r w:rsidRPr="004D4C41">
        <w:t>Director, Program for Occupational Safety and Health</w:t>
      </w:r>
    </w:p>
    <w:p w14:paraId="6A36467D" w14:textId="77777777" w:rsidR="004D4C41" w:rsidRPr="004D4C41" w:rsidRDefault="004D4C41" w:rsidP="004D4C41">
      <w:r w:rsidRPr="004D4C41">
        <w:t>RTI International</w:t>
      </w:r>
    </w:p>
    <w:p w14:paraId="3F3B1C47" w14:textId="77777777" w:rsidR="004D4C41" w:rsidRPr="004D4C41" w:rsidRDefault="004D4C41" w:rsidP="004D4C41">
      <w:r w:rsidRPr="004D4C41">
        <w:t>3040 Cornwallis Road</w:t>
      </w:r>
    </w:p>
    <w:p w14:paraId="59B894BA" w14:textId="77777777" w:rsidR="004D4C41" w:rsidRPr="004D4C41" w:rsidRDefault="004D4C41" w:rsidP="004D4C41">
      <w:r w:rsidRPr="004D4C41">
        <w:t>P.O. Box 12194</w:t>
      </w:r>
    </w:p>
    <w:p w14:paraId="192E819C" w14:textId="77777777" w:rsidR="004D4C41" w:rsidRPr="004D4C41" w:rsidRDefault="004D4C41" w:rsidP="004D4C41">
      <w:r w:rsidRPr="004D4C41">
        <w:t>Research Triangle Park, NC 27709-2194</w:t>
      </w:r>
    </w:p>
    <w:p w14:paraId="282EEF93" w14:textId="77777777" w:rsidR="004D4C41" w:rsidRPr="004D4C41" w:rsidRDefault="004D4C41" w:rsidP="004D4C41">
      <w:r w:rsidRPr="004D4C41">
        <w:t>Phone: (919) 485-7722</w:t>
      </w:r>
    </w:p>
    <w:p w14:paraId="2BA9B332" w14:textId="77777777" w:rsidR="004D4C41" w:rsidRDefault="004D4C41" w:rsidP="004D4C41">
      <w:r w:rsidRPr="004D4C41">
        <w:t>Fax: (919) 541-6604</w:t>
      </w:r>
    </w:p>
    <w:p w14:paraId="284C4202" w14:textId="77777777" w:rsidR="004D4C41" w:rsidRPr="004D4C41" w:rsidRDefault="00096692" w:rsidP="004D4C41">
      <w:hyperlink r:id="rId12" w:history="1">
        <w:r w:rsidR="004D4C41" w:rsidRPr="004D4C41">
          <w:t>www.rti.org</w:t>
        </w:r>
      </w:hyperlink>
    </w:p>
    <w:p w14:paraId="108D0D16" w14:textId="77777777" w:rsidR="004D4C41" w:rsidRDefault="004D4C41" w:rsidP="004D4C41"/>
    <w:sectPr w:rsidR="004D4C41" w:rsidSect="008C65D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FA392" w15:done="0"/>
  <w15:commentEx w15:paraId="6A52DE3F" w15:done="0"/>
  <w15:commentEx w15:paraId="0824F84C" w15:done="0"/>
  <w15:commentEx w15:paraId="0D5634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08C0C" w14:textId="77777777" w:rsidR="00DC679D" w:rsidRDefault="00DC679D" w:rsidP="00DF0367">
      <w:r>
        <w:separator/>
      </w:r>
    </w:p>
  </w:endnote>
  <w:endnote w:type="continuationSeparator" w:id="0">
    <w:p w14:paraId="66D8CF4B" w14:textId="77777777" w:rsidR="00DC679D" w:rsidRDefault="00DC679D" w:rsidP="00DF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3530D" w14:textId="77777777" w:rsidR="009E2C74" w:rsidRDefault="009E2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4C6E9" w14:textId="77777777" w:rsidR="00151507" w:rsidRDefault="00B612F4" w:rsidP="009E2C74">
    <w:pPr>
      <w:pStyle w:val="Footer"/>
      <w:jc w:val="center"/>
    </w:pPr>
    <w:r>
      <w:fldChar w:fldCharType="begin"/>
    </w:r>
    <w:r>
      <w:instrText xml:space="preserve"> PAGE   \* MERGEFORMAT </w:instrText>
    </w:r>
    <w:r>
      <w:fldChar w:fldCharType="separate"/>
    </w:r>
    <w:r w:rsidR="00096692">
      <w:rPr>
        <w:noProof/>
      </w:rPr>
      <w:t>2</w:t>
    </w:r>
    <w:r>
      <w:rPr>
        <w:noProof/>
      </w:rPr>
      <w:fldChar w:fldCharType="end"/>
    </w:r>
  </w:p>
  <w:p w14:paraId="17FF89E0" w14:textId="77777777" w:rsidR="00151507" w:rsidRDefault="001515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CEFF0" w14:textId="77777777" w:rsidR="009E2C74" w:rsidRDefault="009E2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0E3B6" w14:textId="77777777" w:rsidR="00DC679D" w:rsidRDefault="00DC679D" w:rsidP="00DF0367">
      <w:r>
        <w:separator/>
      </w:r>
    </w:p>
  </w:footnote>
  <w:footnote w:type="continuationSeparator" w:id="0">
    <w:p w14:paraId="711BCEBF" w14:textId="77777777" w:rsidR="00DC679D" w:rsidRDefault="00DC679D" w:rsidP="00DF0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3D004" w14:textId="77777777" w:rsidR="009E2C74" w:rsidRDefault="009E2C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CC690" w14:textId="77777777" w:rsidR="00C15C91" w:rsidRDefault="00C15C91">
    <w:pPr>
      <w:pStyle w:val="Header"/>
    </w:pPr>
    <w:r w:rsidRPr="006E4924">
      <w:rPr>
        <w:b/>
      </w:rPr>
      <w:t>Supporting Statement B</w:t>
    </w:r>
    <w:r>
      <w:rPr>
        <w:b/>
      </w:rPr>
      <w:t xml:space="preserve"> </w:t>
    </w: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D0B7F" w14:textId="77777777" w:rsidR="009E2C74" w:rsidRDefault="009E2C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5F1"/>
    <w:multiLevelType w:val="hybridMultilevel"/>
    <w:tmpl w:val="3798152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4F2404"/>
    <w:multiLevelType w:val="hybridMultilevel"/>
    <w:tmpl w:val="4B28C1D2"/>
    <w:lvl w:ilvl="0" w:tplc="30D4911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13CE6C6F"/>
    <w:multiLevelType w:val="hybridMultilevel"/>
    <w:tmpl w:val="383A6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97036"/>
    <w:multiLevelType w:val="hybridMultilevel"/>
    <w:tmpl w:val="78E088C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C0BF4"/>
    <w:multiLevelType w:val="hybridMultilevel"/>
    <w:tmpl w:val="80084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7F10692"/>
    <w:multiLevelType w:val="hybridMultilevel"/>
    <w:tmpl w:val="3BAE1264"/>
    <w:lvl w:ilvl="0" w:tplc="0A747D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16C46"/>
    <w:multiLevelType w:val="hybridMultilevel"/>
    <w:tmpl w:val="2C40FC0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713095B"/>
    <w:multiLevelType w:val="hybridMultilevel"/>
    <w:tmpl w:val="0E3A44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CFE2EF3"/>
    <w:multiLevelType w:val="hybridMultilevel"/>
    <w:tmpl w:val="74E0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5A1BCD"/>
    <w:multiLevelType w:val="hybridMultilevel"/>
    <w:tmpl w:val="1E527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7B1D75"/>
    <w:multiLevelType w:val="hybridMultilevel"/>
    <w:tmpl w:val="B6DE0A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B50135"/>
    <w:multiLevelType w:val="hybridMultilevel"/>
    <w:tmpl w:val="694AC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B45569"/>
    <w:multiLevelType w:val="hybridMultilevel"/>
    <w:tmpl w:val="BDE2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CC3998"/>
    <w:multiLevelType w:val="hybridMultilevel"/>
    <w:tmpl w:val="91D65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CD7A6A"/>
    <w:multiLevelType w:val="hybridMultilevel"/>
    <w:tmpl w:val="5538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E0241"/>
    <w:multiLevelType w:val="hybridMultilevel"/>
    <w:tmpl w:val="5110685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6">
    <w:nsid w:val="6BEB7322"/>
    <w:multiLevelType w:val="hybridMultilevel"/>
    <w:tmpl w:val="01348D60"/>
    <w:lvl w:ilvl="0" w:tplc="353CAFC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D5765A5"/>
    <w:multiLevelType w:val="hybridMultilevel"/>
    <w:tmpl w:val="8DAA3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97F40"/>
    <w:multiLevelType w:val="hybridMultilevel"/>
    <w:tmpl w:val="5FCEECFA"/>
    <w:lvl w:ilvl="0" w:tplc="F1A03BC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77EC6386"/>
    <w:multiLevelType w:val="hybridMultilevel"/>
    <w:tmpl w:val="B2B68EA2"/>
    <w:lvl w:ilvl="0" w:tplc="0409000F">
      <w:start w:val="1"/>
      <w:numFmt w:val="decimal"/>
      <w:lvlText w:val="%1."/>
      <w:lvlJc w:val="left"/>
      <w:pPr>
        <w:tabs>
          <w:tab w:val="num" w:pos="720"/>
        </w:tabs>
        <w:ind w:left="720" w:hanging="360"/>
      </w:pPr>
      <w:rPr>
        <w:rFonts w:hint="default"/>
      </w:rPr>
    </w:lvl>
    <w:lvl w:ilvl="1" w:tplc="5A306D5A">
      <w:start w:val="1"/>
      <w:numFmt w:val="lowerLetter"/>
      <w:lvlText w:val="%2."/>
      <w:lvlJc w:val="left"/>
      <w:pPr>
        <w:tabs>
          <w:tab w:val="num" w:pos="1440"/>
        </w:tabs>
        <w:ind w:left="1440" w:hanging="360"/>
      </w:pPr>
      <w:rPr>
        <w:rFonts w:hint="default"/>
      </w:rPr>
    </w:lvl>
    <w:lvl w:ilvl="2" w:tplc="63D68ADC">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0C4A73"/>
    <w:multiLevelType w:val="hybridMultilevel"/>
    <w:tmpl w:val="8072F73E"/>
    <w:lvl w:ilvl="0" w:tplc="027CCF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10"/>
  </w:num>
  <w:num w:numId="4">
    <w:abstractNumId w:val="3"/>
  </w:num>
  <w:num w:numId="5">
    <w:abstractNumId w:val="8"/>
  </w:num>
  <w:num w:numId="6">
    <w:abstractNumId w:val="13"/>
  </w:num>
  <w:num w:numId="7">
    <w:abstractNumId w:val="16"/>
  </w:num>
  <w:num w:numId="8">
    <w:abstractNumId w:val="11"/>
  </w:num>
  <w:num w:numId="9">
    <w:abstractNumId w:val="2"/>
  </w:num>
  <w:num w:numId="10">
    <w:abstractNumId w:val="20"/>
  </w:num>
  <w:num w:numId="11">
    <w:abstractNumId w:val="19"/>
  </w:num>
  <w:num w:numId="12">
    <w:abstractNumId w:val="5"/>
  </w:num>
  <w:num w:numId="13">
    <w:abstractNumId w:val="7"/>
  </w:num>
  <w:num w:numId="14">
    <w:abstractNumId w:val="0"/>
  </w:num>
  <w:num w:numId="15">
    <w:abstractNumId w:val="6"/>
  </w:num>
  <w:num w:numId="16">
    <w:abstractNumId w:val="15"/>
  </w:num>
  <w:num w:numId="17">
    <w:abstractNumId w:val="18"/>
  </w:num>
  <w:num w:numId="18">
    <w:abstractNumId w:val="12"/>
  </w:num>
  <w:num w:numId="19">
    <w:abstractNumId w:val="17"/>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15"/>
    <w:rsid w:val="00016AF0"/>
    <w:rsid w:val="000220B1"/>
    <w:rsid w:val="000400C4"/>
    <w:rsid w:val="00041795"/>
    <w:rsid w:val="00042C0D"/>
    <w:rsid w:val="0004337C"/>
    <w:rsid w:val="0005430B"/>
    <w:rsid w:val="0005484B"/>
    <w:rsid w:val="000603E8"/>
    <w:rsid w:val="000641CE"/>
    <w:rsid w:val="00071F15"/>
    <w:rsid w:val="00072EF4"/>
    <w:rsid w:val="00076335"/>
    <w:rsid w:val="0008246B"/>
    <w:rsid w:val="00094F5C"/>
    <w:rsid w:val="000958C8"/>
    <w:rsid w:val="00096692"/>
    <w:rsid w:val="000C32C3"/>
    <w:rsid w:val="000C3E6F"/>
    <w:rsid w:val="000C6F76"/>
    <w:rsid w:val="000E282E"/>
    <w:rsid w:val="001022CE"/>
    <w:rsid w:val="00102A04"/>
    <w:rsid w:val="00102BB4"/>
    <w:rsid w:val="001141A2"/>
    <w:rsid w:val="00130173"/>
    <w:rsid w:val="00131221"/>
    <w:rsid w:val="00151507"/>
    <w:rsid w:val="001535A4"/>
    <w:rsid w:val="0018352A"/>
    <w:rsid w:val="00184C8F"/>
    <w:rsid w:val="00192B09"/>
    <w:rsid w:val="001A3900"/>
    <w:rsid w:val="001A79A0"/>
    <w:rsid w:val="001C6F89"/>
    <w:rsid w:val="001C7D71"/>
    <w:rsid w:val="001D5127"/>
    <w:rsid w:val="001D580F"/>
    <w:rsid w:val="001D73C1"/>
    <w:rsid w:val="001E266E"/>
    <w:rsid w:val="001F0A5C"/>
    <w:rsid w:val="00200FEE"/>
    <w:rsid w:val="00204201"/>
    <w:rsid w:val="002101D6"/>
    <w:rsid w:val="00212BA3"/>
    <w:rsid w:val="00220B0C"/>
    <w:rsid w:val="00245C9A"/>
    <w:rsid w:val="002460A3"/>
    <w:rsid w:val="00274EB5"/>
    <w:rsid w:val="00293B7D"/>
    <w:rsid w:val="002B49E2"/>
    <w:rsid w:val="002C3391"/>
    <w:rsid w:val="002D061D"/>
    <w:rsid w:val="00306FC4"/>
    <w:rsid w:val="00307CED"/>
    <w:rsid w:val="00312C64"/>
    <w:rsid w:val="00316BF4"/>
    <w:rsid w:val="00322EF0"/>
    <w:rsid w:val="003254EB"/>
    <w:rsid w:val="00326C3F"/>
    <w:rsid w:val="003338B2"/>
    <w:rsid w:val="00344256"/>
    <w:rsid w:val="003518A3"/>
    <w:rsid w:val="00370A53"/>
    <w:rsid w:val="00371FAF"/>
    <w:rsid w:val="00383189"/>
    <w:rsid w:val="0039280C"/>
    <w:rsid w:val="00393667"/>
    <w:rsid w:val="003A32FA"/>
    <w:rsid w:val="003C1177"/>
    <w:rsid w:val="003E18E5"/>
    <w:rsid w:val="003F1101"/>
    <w:rsid w:val="003F1CC8"/>
    <w:rsid w:val="003F6611"/>
    <w:rsid w:val="00406D28"/>
    <w:rsid w:val="00412609"/>
    <w:rsid w:val="004161E1"/>
    <w:rsid w:val="00432745"/>
    <w:rsid w:val="00442CE4"/>
    <w:rsid w:val="0046380D"/>
    <w:rsid w:val="00464469"/>
    <w:rsid w:val="0046455D"/>
    <w:rsid w:val="004A5C61"/>
    <w:rsid w:val="004A7BED"/>
    <w:rsid w:val="004B3F7A"/>
    <w:rsid w:val="004D0CCD"/>
    <w:rsid w:val="004D40F2"/>
    <w:rsid w:val="004D4C41"/>
    <w:rsid w:val="00501767"/>
    <w:rsid w:val="00504F97"/>
    <w:rsid w:val="0051192C"/>
    <w:rsid w:val="00520564"/>
    <w:rsid w:val="00543BC7"/>
    <w:rsid w:val="00563988"/>
    <w:rsid w:val="00591756"/>
    <w:rsid w:val="005A5C41"/>
    <w:rsid w:val="005C31D9"/>
    <w:rsid w:val="005C79F9"/>
    <w:rsid w:val="005D7966"/>
    <w:rsid w:val="005E18FC"/>
    <w:rsid w:val="005E6511"/>
    <w:rsid w:val="005F42EA"/>
    <w:rsid w:val="00613087"/>
    <w:rsid w:val="00616531"/>
    <w:rsid w:val="00624FE6"/>
    <w:rsid w:val="00644847"/>
    <w:rsid w:val="006500B5"/>
    <w:rsid w:val="0065326E"/>
    <w:rsid w:val="006716D8"/>
    <w:rsid w:val="00682794"/>
    <w:rsid w:val="00685D5A"/>
    <w:rsid w:val="006A4590"/>
    <w:rsid w:val="006A7AEE"/>
    <w:rsid w:val="006B332E"/>
    <w:rsid w:val="006B3380"/>
    <w:rsid w:val="006B4020"/>
    <w:rsid w:val="006C1EFF"/>
    <w:rsid w:val="006E4924"/>
    <w:rsid w:val="006F2B17"/>
    <w:rsid w:val="006F3DAD"/>
    <w:rsid w:val="006F74B1"/>
    <w:rsid w:val="007015ED"/>
    <w:rsid w:val="007153DD"/>
    <w:rsid w:val="00747A33"/>
    <w:rsid w:val="00751C54"/>
    <w:rsid w:val="00754C67"/>
    <w:rsid w:val="00797AB4"/>
    <w:rsid w:val="007B35A7"/>
    <w:rsid w:val="007C3B37"/>
    <w:rsid w:val="007C7563"/>
    <w:rsid w:val="007D079E"/>
    <w:rsid w:val="007D3BEB"/>
    <w:rsid w:val="007E7F8D"/>
    <w:rsid w:val="007F3D28"/>
    <w:rsid w:val="007F50BE"/>
    <w:rsid w:val="007F76E0"/>
    <w:rsid w:val="00804010"/>
    <w:rsid w:val="00832459"/>
    <w:rsid w:val="00834C22"/>
    <w:rsid w:val="008561CB"/>
    <w:rsid w:val="00860C65"/>
    <w:rsid w:val="00875846"/>
    <w:rsid w:val="00877C92"/>
    <w:rsid w:val="00882AEE"/>
    <w:rsid w:val="0088673F"/>
    <w:rsid w:val="008962B3"/>
    <w:rsid w:val="008B2237"/>
    <w:rsid w:val="008C5924"/>
    <w:rsid w:val="008C65D1"/>
    <w:rsid w:val="00900F29"/>
    <w:rsid w:val="00920ADC"/>
    <w:rsid w:val="0092345C"/>
    <w:rsid w:val="00925966"/>
    <w:rsid w:val="00947507"/>
    <w:rsid w:val="00947DE9"/>
    <w:rsid w:val="00967CD9"/>
    <w:rsid w:val="0097005F"/>
    <w:rsid w:val="00972AAB"/>
    <w:rsid w:val="00973E84"/>
    <w:rsid w:val="00973F5E"/>
    <w:rsid w:val="00990738"/>
    <w:rsid w:val="009A5D3E"/>
    <w:rsid w:val="009A77F7"/>
    <w:rsid w:val="009B04BB"/>
    <w:rsid w:val="009B43A7"/>
    <w:rsid w:val="009D2325"/>
    <w:rsid w:val="009D3E97"/>
    <w:rsid w:val="009E113B"/>
    <w:rsid w:val="009E2C74"/>
    <w:rsid w:val="009E73AF"/>
    <w:rsid w:val="00A07751"/>
    <w:rsid w:val="00A139A1"/>
    <w:rsid w:val="00A3335D"/>
    <w:rsid w:val="00A33AA6"/>
    <w:rsid w:val="00A4236B"/>
    <w:rsid w:val="00A4505D"/>
    <w:rsid w:val="00A54AF1"/>
    <w:rsid w:val="00A55E5D"/>
    <w:rsid w:val="00A61288"/>
    <w:rsid w:val="00A73B11"/>
    <w:rsid w:val="00A73C5E"/>
    <w:rsid w:val="00A81F89"/>
    <w:rsid w:val="00AA24B8"/>
    <w:rsid w:val="00AB212B"/>
    <w:rsid w:val="00AB23D1"/>
    <w:rsid w:val="00AC2024"/>
    <w:rsid w:val="00AC501C"/>
    <w:rsid w:val="00AD5B50"/>
    <w:rsid w:val="00AE4AA0"/>
    <w:rsid w:val="00B04700"/>
    <w:rsid w:val="00B149A0"/>
    <w:rsid w:val="00B16ED7"/>
    <w:rsid w:val="00B30724"/>
    <w:rsid w:val="00B53555"/>
    <w:rsid w:val="00B55647"/>
    <w:rsid w:val="00B612F4"/>
    <w:rsid w:val="00B63E53"/>
    <w:rsid w:val="00B66B7C"/>
    <w:rsid w:val="00B80056"/>
    <w:rsid w:val="00B85975"/>
    <w:rsid w:val="00B95A9D"/>
    <w:rsid w:val="00BB5895"/>
    <w:rsid w:val="00BC4E69"/>
    <w:rsid w:val="00BE2264"/>
    <w:rsid w:val="00C033FC"/>
    <w:rsid w:val="00C15BE4"/>
    <w:rsid w:val="00C15C91"/>
    <w:rsid w:val="00C17171"/>
    <w:rsid w:val="00C367D1"/>
    <w:rsid w:val="00C51D66"/>
    <w:rsid w:val="00C8096D"/>
    <w:rsid w:val="00CA161B"/>
    <w:rsid w:val="00CC3625"/>
    <w:rsid w:val="00CC5E92"/>
    <w:rsid w:val="00CD2A36"/>
    <w:rsid w:val="00CE4075"/>
    <w:rsid w:val="00CE642B"/>
    <w:rsid w:val="00D032F6"/>
    <w:rsid w:val="00D10AEF"/>
    <w:rsid w:val="00D25EBB"/>
    <w:rsid w:val="00D2769F"/>
    <w:rsid w:val="00D36584"/>
    <w:rsid w:val="00D4144C"/>
    <w:rsid w:val="00D50F8E"/>
    <w:rsid w:val="00D5542C"/>
    <w:rsid w:val="00D61F88"/>
    <w:rsid w:val="00D72256"/>
    <w:rsid w:val="00D77F46"/>
    <w:rsid w:val="00D83B4B"/>
    <w:rsid w:val="00DA23E8"/>
    <w:rsid w:val="00DC1972"/>
    <w:rsid w:val="00DC679D"/>
    <w:rsid w:val="00DD36A8"/>
    <w:rsid w:val="00DD4D9D"/>
    <w:rsid w:val="00DF0367"/>
    <w:rsid w:val="00E01D77"/>
    <w:rsid w:val="00E10606"/>
    <w:rsid w:val="00E230B0"/>
    <w:rsid w:val="00E26001"/>
    <w:rsid w:val="00E43084"/>
    <w:rsid w:val="00E53747"/>
    <w:rsid w:val="00E70F5E"/>
    <w:rsid w:val="00E95560"/>
    <w:rsid w:val="00E97B8F"/>
    <w:rsid w:val="00EA2F10"/>
    <w:rsid w:val="00ED5188"/>
    <w:rsid w:val="00ED7C49"/>
    <w:rsid w:val="00F0560F"/>
    <w:rsid w:val="00F06ABC"/>
    <w:rsid w:val="00F07044"/>
    <w:rsid w:val="00F07FE1"/>
    <w:rsid w:val="00F121D0"/>
    <w:rsid w:val="00F156E7"/>
    <w:rsid w:val="00F17CDA"/>
    <w:rsid w:val="00F23270"/>
    <w:rsid w:val="00F32053"/>
    <w:rsid w:val="00F33586"/>
    <w:rsid w:val="00F33B97"/>
    <w:rsid w:val="00F369EF"/>
    <w:rsid w:val="00F56531"/>
    <w:rsid w:val="00F62F21"/>
    <w:rsid w:val="00F72452"/>
    <w:rsid w:val="00F73FB0"/>
    <w:rsid w:val="00F75112"/>
    <w:rsid w:val="00F824C5"/>
    <w:rsid w:val="00F82FC8"/>
    <w:rsid w:val="00FA0633"/>
    <w:rsid w:val="00FB7CD5"/>
    <w:rsid w:val="00FC592A"/>
    <w:rsid w:val="00FD07E0"/>
    <w:rsid w:val="00FD151F"/>
    <w:rsid w:val="00FD517A"/>
    <w:rsid w:val="00FE5B07"/>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51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uiPriority w:val="99"/>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5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77C92"/>
    <w:rPr>
      <w:sz w:val="24"/>
      <w:szCs w:val="24"/>
    </w:rPr>
  </w:style>
  <w:style w:type="paragraph" w:customStyle="1" w:styleId="bodytextpsg">
    <w:name w:val="body text_psg"/>
    <w:basedOn w:val="Normal"/>
    <w:link w:val="bodytextpsgChar"/>
    <w:qFormat/>
    <w:rsid w:val="00877C92"/>
    <w:pPr>
      <w:spacing w:after="240" w:line="320" w:lineRule="exact"/>
    </w:pPr>
    <w:rPr>
      <w:rFonts w:eastAsia="Calibri" w:cs="Arial"/>
      <w:sz w:val="22"/>
      <w:szCs w:val="22"/>
    </w:rPr>
  </w:style>
  <w:style w:type="character" w:customStyle="1" w:styleId="bodytextpsgChar">
    <w:name w:val="body text_psg Char"/>
    <w:link w:val="bodytextpsg"/>
    <w:rsid w:val="00877C92"/>
    <w:rPr>
      <w:rFonts w:eastAsia="Calibri" w:cs="Arial"/>
    </w:rPr>
  </w:style>
  <w:style w:type="paragraph" w:styleId="NoSpacing">
    <w:name w:val="No Spacing"/>
    <w:uiPriority w:val="1"/>
    <w:qFormat/>
    <w:rsid w:val="00406D28"/>
    <w:rPr>
      <w:rFonts w:eastAsia="Calibri"/>
      <w:sz w:val="24"/>
      <w:szCs w:val="24"/>
    </w:rPr>
  </w:style>
  <w:style w:type="paragraph" w:customStyle="1" w:styleId="Cov-Address">
    <w:name w:val="Cov-Address"/>
    <w:basedOn w:val="Normal"/>
    <w:rsid w:val="004D4C41"/>
    <w:pPr>
      <w:jc w:val="right"/>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uiPriority w:val="99"/>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5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77C92"/>
    <w:rPr>
      <w:sz w:val="24"/>
      <w:szCs w:val="24"/>
    </w:rPr>
  </w:style>
  <w:style w:type="paragraph" w:customStyle="1" w:styleId="bodytextpsg">
    <w:name w:val="body text_psg"/>
    <w:basedOn w:val="Normal"/>
    <w:link w:val="bodytextpsgChar"/>
    <w:qFormat/>
    <w:rsid w:val="00877C92"/>
    <w:pPr>
      <w:spacing w:after="240" w:line="320" w:lineRule="exact"/>
    </w:pPr>
    <w:rPr>
      <w:rFonts w:eastAsia="Calibri" w:cs="Arial"/>
      <w:sz w:val="22"/>
      <w:szCs w:val="22"/>
    </w:rPr>
  </w:style>
  <w:style w:type="character" w:customStyle="1" w:styleId="bodytextpsgChar">
    <w:name w:val="body text_psg Char"/>
    <w:link w:val="bodytextpsg"/>
    <w:rsid w:val="00877C92"/>
    <w:rPr>
      <w:rFonts w:eastAsia="Calibri" w:cs="Arial"/>
    </w:rPr>
  </w:style>
  <w:style w:type="paragraph" w:styleId="NoSpacing">
    <w:name w:val="No Spacing"/>
    <w:uiPriority w:val="1"/>
    <w:qFormat/>
    <w:rsid w:val="00406D28"/>
    <w:rPr>
      <w:rFonts w:eastAsia="Calibri"/>
      <w:sz w:val="24"/>
      <w:szCs w:val="24"/>
    </w:rPr>
  </w:style>
  <w:style w:type="paragraph" w:customStyle="1" w:styleId="Cov-Address">
    <w:name w:val="Cov-Address"/>
    <w:basedOn w:val="Normal"/>
    <w:rsid w:val="004D4C41"/>
    <w:pPr>
      <w:jc w:val="right"/>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1269">
      <w:marLeft w:val="0"/>
      <w:marRight w:val="0"/>
      <w:marTop w:val="0"/>
      <w:marBottom w:val="0"/>
      <w:divBdr>
        <w:top w:val="none" w:sz="0" w:space="0" w:color="auto"/>
        <w:left w:val="none" w:sz="0" w:space="0" w:color="auto"/>
        <w:bottom w:val="none" w:sz="0" w:space="0" w:color="auto"/>
        <w:right w:val="none" w:sz="0" w:space="0" w:color="auto"/>
      </w:divBdr>
      <w:divsChild>
        <w:div w:id="274871279">
          <w:marLeft w:val="0"/>
          <w:marRight w:val="0"/>
          <w:marTop w:val="0"/>
          <w:marBottom w:val="0"/>
          <w:divBdr>
            <w:top w:val="none" w:sz="0" w:space="0" w:color="auto"/>
            <w:left w:val="none" w:sz="0" w:space="0" w:color="auto"/>
            <w:bottom w:val="none" w:sz="0" w:space="0" w:color="auto"/>
            <w:right w:val="none" w:sz="0" w:space="0" w:color="auto"/>
          </w:divBdr>
          <w:divsChild>
            <w:div w:id="274871271">
              <w:marLeft w:val="0"/>
              <w:marRight w:val="0"/>
              <w:marTop w:val="0"/>
              <w:marBottom w:val="0"/>
              <w:divBdr>
                <w:top w:val="none" w:sz="0" w:space="0" w:color="auto"/>
                <w:left w:val="none" w:sz="0" w:space="0" w:color="auto"/>
                <w:bottom w:val="none" w:sz="0" w:space="0" w:color="auto"/>
                <w:right w:val="none" w:sz="0" w:space="0" w:color="auto"/>
              </w:divBdr>
              <w:divsChild>
                <w:div w:id="2748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2">
      <w:marLeft w:val="0"/>
      <w:marRight w:val="0"/>
      <w:marTop w:val="0"/>
      <w:marBottom w:val="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274871270">
          <w:marLeft w:val="0"/>
          <w:marRight w:val="0"/>
          <w:marTop w:val="0"/>
          <w:marBottom w:val="0"/>
          <w:divBdr>
            <w:top w:val="none" w:sz="0" w:space="0" w:color="auto"/>
            <w:left w:val="none" w:sz="0" w:space="0" w:color="auto"/>
            <w:bottom w:val="none" w:sz="0" w:space="0" w:color="auto"/>
            <w:right w:val="none" w:sz="0" w:space="0" w:color="auto"/>
          </w:divBdr>
          <w:divsChild>
            <w:div w:id="274871273">
              <w:marLeft w:val="0"/>
              <w:marRight w:val="0"/>
              <w:marTop w:val="0"/>
              <w:marBottom w:val="0"/>
              <w:divBdr>
                <w:top w:val="none" w:sz="0" w:space="0" w:color="auto"/>
                <w:left w:val="none" w:sz="0" w:space="0" w:color="auto"/>
                <w:bottom w:val="none" w:sz="0" w:space="0" w:color="auto"/>
                <w:right w:val="none" w:sz="0" w:space="0" w:color="auto"/>
              </w:divBdr>
              <w:divsChild>
                <w:div w:id="274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5">
      <w:marLeft w:val="0"/>
      <w:marRight w:val="0"/>
      <w:marTop w:val="0"/>
      <w:marBottom w:val="0"/>
      <w:divBdr>
        <w:top w:val="none" w:sz="0" w:space="0" w:color="auto"/>
        <w:left w:val="none" w:sz="0" w:space="0" w:color="auto"/>
        <w:bottom w:val="none" w:sz="0" w:space="0" w:color="auto"/>
        <w:right w:val="none" w:sz="0" w:space="0" w:color="auto"/>
      </w:divBdr>
    </w:div>
    <w:div w:id="274871278">
      <w:marLeft w:val="0"/>
      <w:marRight w:val="0"/>
      <w:marTop w:val="0"/>
      <w:marBottom w:val="0"/>
      <w:divBdr>
        <w:top w:val="none" w:sz="0" w:space="0" w:color="auto"/>
        <w:left w:val="none" w:sz="0" w:space="0" w:color="auto"/>
        <w:bottom w:val="none" w:sz="0" w:space="0" w:color="auto"/>
        <w:right w:val="none" w:sz="0" w:space="0" w:color="auto"/>
      </w:divBdr>
    </w:div>
    <w:div w:id="281501843">
      <w:bodyDiv w:val="1"/>
      <w:marLeft w:val="0"/>
      <w:marRight w:val="0"/>
      <w:marTop w:val="0"/>
      <w:marBottom w:val="0"/>
      <w:divBdr>
        <w:top w:val="none" w:sz="0" w:space="0" w:color="auto"/>
        <w:left w:val="none" w:sz="0" w:space="0" w:color="auto"/>
        <w:bottom w:val="none" w:sz="0" w:space="0" w:color="auto"/>
        <w:right w:val="none" w:sz="0" w:space="0" w:color="auto"/>
      </w:divBdr>
    </w:div>
    <w:div w:id="288780802">
      <w:bodyDiv w:val="1"/>
      <w:marLeft w:val="0"/>
      <w:marRight w:val="0"/>
      <w:marTop w:val="0"/>
      <w:marBottom w:val="0"/>
      <w:divBdr>
        <w:top w:val="none" w:sz="0" w:space="0" w:color="auto"/>
        <w:left w:val="none" w:sz="0" w:space="0" w:color="auto"/>
        <w:bottom w:val="none" w:sz="0" w:space="0" w:color="auto"/>
        <w:right w:val="none" w:sz="0" w:space="0" w:color="auto"/>
      </w:divBdr>
    </w:div>
    <w:div w:id="1170557245">
      <w:bodyDiv w:val="1"/>
      <w:marLeft w:val="0"/>
      <w:marRight w:val="0"/>
      <w:marTop w:val="0"/>
      <w:marBottom w:val="0"/>
      <w:divBdr>
        <w:top w:val="none" w:sz="0" w:space="0" w:color="auto"/>
        <w:left w:val="none" w:sz="0" w:space="0" w:color="auto"/>
        <w:bottom w:val="none" w:sz="0" w:space="0" w:color="auto"/>
        <w:right w:val="none" w:sz="0" w:space="0" w:color="auto"/>
      </w:divBdr>
    </w:div>
    <w:div w:id="1273318149">
      <w:bodyDiv w:val="1"/>
      <w:marLeft w:val="0"/>
      <w:marRight w:val="0"/>
      <w:marTop w:val="0"/>
      <w:marBottom w:val="0"/>
      <w:divBdr>
        <w:top w:val="none" w:sz="0" w:space="0" w:color="auto"/>
        <w:left w:val="none" w:sz="0" w:space="0" w:color="auto"/>
        <w:bottom w:val="none" w:sz="0" w:space="0" w:color="auto"/>
        <w:right w:val="none" w:sz="0" w:space="0" w:color="auto"/>
      </w:divBdr>
    </w:div>
    <w:div w:id="210495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i.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lennie@rti.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liana.guyler@uc.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ces.ed.gov/programs/digest/d13/tables/dt13_214.10.asp" TargetMode="External"/><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348F5-87A6-4432-B8A5-E96A3AC1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2560</Words>
  <Characters>14872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2015-03-26T15:32:00Z</dcterms:created>
  <dcterms:modified xsi:type="dcterms:W3CDTF">2015-03-26T15:32:00Z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