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16" w:rsidRDefault="00FF6E72" w:rsidP="00485D6F">
      <w:pPr>
        <w:jc w:val="center"/>
        <w:rPr>
          <w:b/>
          <w:sz w:val="24"/>
          <w:szCs w:val="24"/>
        </w:rPr>
      </w:pPr>
      <w:r>
        <w:rPr>
          <w:b/>
          <w:sz w:val="24"/>
          <w:szCs w:val="24"/>
        </w:rPr>
        <w:t>Attachment C</w:t>
      </w:r>
    </w:p>
    <w:p w:rsidR="00FF6516" w:rsidRDefault="00FF6516" w:rsidP="00485D6F">
      <w:pPr>
        <w:jc w:val="center"/>
        <w:rPr>
          <w:b/>
          <w:sz w:val="24"/>
          <w:szCs w:val="24"/>
        </w:rPr>
      </w:pPr>
    </w:p>
    <w:p w:rsidR="00485D6F" w:rsidRPr="009B0C4D" w:rsidRDefault="00485D6F" w:rsidP="00485D6F">
      <w:pPr>
        <w:jc w:val="center"/>
        <w:rPr>
          <w:b/>
          <w:sz w:val="24"/>
          <w:szCs w:val="24"/>
        </w:rPr>
      </w:pPr>
      <w:r w:rsidRPr="00FF6516">
        <w:rPr>
          <w:b/>
          <w:sz w:val="24"/>
          <w:szCs w:val="24"/>
        </w:rPr>
        <w:t>NIOSH Strategic Goals</w:t>
      </w:r>
      <w:r w:rsidR="00FF6516">
        <w:rPr>
          <w:b/>
          <w:sz w:val="24"/>
          <w:szCs w:val="24"/>
        </w:rPr>
        <w:t xml:space="preserve"> Met by Current Project</w:t>
      </w:r>
    </w:p>
    <w:p w:rsidR="00485D6F" w:rsidRDefault="00485D6F" w:rsidP="00485D6F">
      <w:pPr>
        <w:jc w:val="center"/>
        <w:rPr>
          <w:b/>
          <w:sz w:val="24"/>
          <w:szCs w:val="24"/>
        </w:rPr>
      </w:pPr>
    </w:p>
    <w:p w:rsidR="00C92E4F" w:rsidRPr="009B0C4D" w:rsidRDefault="00C92E4F" w:rsidP="00485D6F">
      <w:pPr>
        <w:jc w:val="center"/>
        <w:rPr>
          <w:b/>
          <w:sz w:val="24"/>
          <w:szCs w:val="24"/>
        </w:rPr>
      </w:pPr>
    </w:p>
    <w:p w:rsidR="00485D6F" w:rsidRPr="00FF6516" w:rsidRDefault="00FF30F3" w:rsidP="00412529">
      <w:pPr>
        <w:jc w:val="center"/>
        <w:rPr>
          <w:bCs/>
          <w:sz w:val="24"/>
          <w:szCs w:val="24"/>
          <w:u w:val="single"/>
        </w:rPr>
      </w:pPr>
      <w:r>
        <w:rPr>
          <w:b/>
          <w:bCs/>
          <w:sz w:val="24"/>
          <w:szCs w:val="24"/>
          <w:u w:val="single"/>
        </w:rPr>
        <w:t xml:space="preserve">Sector Programs Strategic and </w:t>
      </w:r>
      <w:r w:rsidR="00485D6F" w:rsidRPr="00FF6516">
        <w:rPr>
          <w:b/>
          <w:bCs/>
          <w:sz w:val="24"/>
          <w:szCs w:val="24"/>
          <w:u w:val="single"/>
        </w:rPr>
        <w:t>In</w:t>
      </w:r>
      <w:r>
        <w:rPr>
          <w:b/>
          <w:bCs/>
          <w:sz w:val="24"/>
          <w:szCs w:val="24"/>
          <w:u w:val="single"/>
        </w:rPr>
        <w:t xml:space="preserve">termediate </w:t>
      </w:r>
      <w:r w:rsidR="00485D6F" w:rsidRPr="00FF6516">
        <w:rPr>
          <w:b/>
          <w:bCs/>
          <w:sz w:val="24"/>
          <w:szCs w:val="24"/>
          <w:u w:val="single"/>
        </w:rPr>
        <w:t>Goal(s):</w:t>
      </w:r>
    </w:p>
    <w:p w:rsidR="00485D6F" w:rsidRPr="009B0C4D" w:rsidRDefault="00485D6F" w:rsidP="00485D6F">
      <w:pPr>
        <w:rPr>
          <w:b/>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90"/>
        <w:gridCol w:w="5400"/>
      </w:tblGrid>
      <w:tr w:rsidR="00485D6F" w:rsidRPr="009B0C4D" w:rsidTr="00FF6516">
        <w:trPr>
          <w:trHeight w:val="720"/>
        </w:trPr>
        <w:tc>
          <w:tcPr>
            <w:tcW w:w="1800" w:type="dxa"/>
            <w:shd w:val="clear" w:color="auto" w:fill="3366FF"/>
            <w:vAlign w:val="center"/>
          </w:tcPr>
          <w:p w:rsidR="00485D6F" w:rsidRPr="00FF6516" w:rsidRDefault="00485D6F" w:rsidP="00FF6516">
            <w:pPr>
              <w:tabs>
                <w:tab w:val="left" w:pos="720"/>
              </w:tabs>
              <w:jc w:val="center"/>
              <w:rPr>
                <w:b/>
                <w:color w:val="FFFFFF"/>
                <w:sz w:val="24"/>
                <w:szCs w:val="24"/>
              </w:rPr>
            </w:pPr>
            <w:r w:rsidRPr="00FF6516">
              <w:rPr>
                <w:b/>
                <w:color w:val="FFFFFF"/>
                <w:sz w:val="24"/>
                <w:szCs w:val="24"/>
              </w:rPr>
              <w:t xml:space="preserve">Goal Type </w:t>
            </w:r>
          </w:p>
        </w:tc>
        <w:tc>
          <w:tcPr>
            <w:tcW w:w="1890" w:type="dxa"/>
            <w:shd w:val="clear" w:color="auto" w:fill="3366FF"/>
            <w:vAlign w:val="center"/>
          </w:tcPr>
          <w:p w:rsidR="00485D6F" w:rsidRPr="00FF6516" w:rsidRDefault="00485D6F" w:rsidP="00FF6516">
            <w:pPr>
              <w:tabs>
                <w:tab w:val="left" w:pos="720"/>
              </w:tabs>
              <w:jc w:val="center"/>
              <w:rPr>
                <w:b/>
                <w:color w:val="FFFFFF"/>
                <w:sz w:val="24"/>
                <w:szCs w:val="24"/>
              </w:rPr>
            </w:pPr>
            <w:r w:rsidRPr="00FF6516">
              <w:rPr>
                <w:b/>
                <w:color w:val="FFFFFF"/>
                <w:sz w:val="24"/>
                <w:szCs w:val="24"/>
              </w:rPr>
              <w:t xml:space="preserve">Goal Number </w:t>
            </w:r>
          </w:p>
          <w:p w:rsidR="00FF6516" w:rsidRPr="00FF6516" w:rsidRDefault="00FF6516" w:rsidP="00FF6516">
            <w:pPr>
              <w:tabs>
                <w:tab w:val="left" w:pos="720"/>
              </w:tabs>
              <w:jc w:val="center"/>
              <w:rPr>
                <w:b/>
                <w:color w:val="FFFFFF"/>
                <w:sz w:val="24"/>
                <w:szCs w:val="24"/>
              </w:rPr>
            </w:pPr>
          </w:p>
        </w:tc>
        <w:tc>
          <w:tcPr>
            <w:tcW w:w="5400" w:type="dxa"/>
            <w:shd w:val="clear" w:color="auto" w:fill="3366FF"/>
            <w:vAlign w:val="center"/>
          </w:tcPr>
          <w:p w:rsidR="00485D6F" w:rsidRPr="00FF6516" w:rsidRDefault="00485D6F" w:rsidP="001A1EE5">
            <w:pPr>
              <w:tabs>
                <w:tab w:val="left" w:pos="720"/>
              </w:tabs>
              <w:jc w:val="center"/>
              <w:rPr>
                <w:b/>
                <w:color w:val="FFFFFF"/>
                <w:sz w:val="24"/>
                <w:szCs w:val="24"/>
              </w:rPr>
            </w:pPr>
            <w:r w:rsidRPr="00FF6516">
              <w:rPr>
                <w:b/>
                <w:color w:val="FFFFFF"/>
                <w:sz w:val="24"/>
                <w:szCs w:val="24"/>
              </w:rPr>
              <w:t>Sector Program Goal Text</w:t>
            </w:r>
          </w:p>
        </w:tc>
        <w:bookmarkStart w:id="0" w:name="_GoBack"/>
        <w:bookmarkEnd w:id="0"/>
      </w:tr>
      <w:tr w:rsidR="00485D6F" w:rsidRPr="009B0C4D" w:rsidTr="00FF6516">
        <w:trPr>
          <w:trHeight w:val="827"/>
        </w:trPr>
        <w:tc>
          <w:tcPr>
            <w:tcW w:w="1800" w:type="dxa"/>
          </w:tcPr>
          <w:p w:rsidR="00485D6F" w:rsidRPr="00335230" w:rsidRDefault="00485D6F" w:rsidP="001A1EE5">
            <w:pPr>
              <w:tabs>
                <w:tab w:val="left" w:pos="720"/>
              </w:tabs>
              <w:rPr>
                <w:bCs/>
                <w:color w:val="000000"/>
                <w:sz w:val="24"/>
                <w:szCs w:val="24"/>
              </w:rPr>
            </w:pPr>
            <w:r w:rsidRPr="00335230">
              <w:rPr>
                <w:bCs/>
                <w:color w:val="000000"/>
                <w:sz w:val="24"/>
                <w:szCs w:val="24"/>
              </w:rPr>
              <w:t>Strategic</w:t>
            </w:r>
          </w:p>
        </w:tc>
        <w:tc>
          <w:tcPr>
            <w:tcW w:w="1890" w:type="dxa"/>
          </w:tcPr>
          <w:p w:rsidR="00FF30F3" w:rsidRPr="00335230" w:rsidRDefault="00FF30F3" w:rsidP="00FF30F3">
            <w:pPr>
              <w:rPr>
                <w:bCs/>
                <w:sz w:val="24"/>
                <w:szCs w:val="24"/>
              </w:rPr>
            </w:pPr>
            <w:r w:rsidRPr="00335230">
              <w:rPr>
                <w:bCs/>
                <w:sz w:val="24"/>
                <w:szCs w:val="24"/>
              </w:rPr>
              <w:t>09PPTWUSG2</w:t>
            </w:r>
          </w:p>
          <w:p w:rsidR="00485D6F" w:rsidRPr="00335230" w:rsidRDefault="00485D6F" w:rsidP="001A1EE5">
            <w:pPr>
              <w:tabs>
                <w:tab w:val="left" w:pos="720"/>
              </w:tabs>
              <w:rPr>
                <w:bCs/>
                <w:color w:val="000000"/>
                <w:sz w:val="24"/>
                <w:szCs w:val="24"/>
              </w:rPr>
            </w:pPr>
          </w:p>
        </w:tc>
        <w:tc>
          <w:tcPr>
            <w:tcW w:w="5400" w:type="dxa"/>
          </w:tcPr>
          <w:p w:rsidR="00485D6F" w:rsidRPr="00335230" w:rsidRDefault="00FF30F3" w:rsidP="001A1EE5">
            <w:pPr>
              <w:pStyle w:val="CM20"/>
              <w:spacing w:line="276" w:lineRule="atLeast"/>
              <w:ind w:right="695"/>
            </w:pPr>
            <w:r w:rsidRPr="00335230">
              <w:rPr>
                <w:bCs/>
              </w:rPr>
              <w:t>Reduce the incidence and severity of work-related musculoskeletal disorders (WMSD) among workers in the Transportation, Warehousing and Utilities (TWU) sector.</w:t>
            </w:r>
          </w:p>
        </w:tc>
      </w:tr>
      <w:tr w:rsidR="00485D6F" w:rsidRPr="009B0C4D" w:rsidTr="00FF6516">
        <w:trPr>
          <w:trHeight w:val="1340"/>
        </w:trPr>
        <w:tc>
          <w:tcPr>
            <w:tcW w:w="1800" w:type="dxa"/>
          </w:tcPr>
          <w:p w:rsidR="00485D6F" w:rsidRPr="00335230" w:rsidRDefault="00FF30F3" w:rsidP="001A1EE5">
            <w:pPr>
              <w:tabs>
                <w:tab w:val="left" w:pos="720"/>
              </w:tabs>
              <w:rPr>
                <w:bCs/>
                <w:color w:val="000000"/>
                <w:sz w:val="24"/>
                <w:szCs w:val="24"/>
              </w:rPr>
            </w:pPr>
            <w:r w:rsidRPr="00335230">
              <w:rPr>
                <w:bCs/>
                <w:color w:val="000000"/>
                <w:sz w:val="24"/>
                <w:szCs w:val="24"/>
              </w:rPr>
              <w:t xml:space="preserve">Intermediate </w:t>
            </w:r>
          </w:p>
        </w:tc>
        <w:tc>
          <w:tcPr>
            <w:tcW w:w="1890" w:type="dxa"/>
          </w:tcPr>
          <w:p w:rsidR="00FF30F3" w:rsidRPr="00335230" w:rsidRDefault="00FF30F3" w:rsidP="00FF30F3">
            <w:pPr>
              <w:rPr>
                <w:sz w:val="24"/>
                <w:szCs w:val="24"/>
              </w:rPr>
            </w:pPr>
            <w:r w:rsidRPr="00335230">
              <w:rPr>
                <w:sz w:val="24"/>
                <w:szCs w:val="24"/>
              </w:rPr>
              <w:t>09PPTWUIG2.2</w:t>
            </w:r>
          </w:p>
          <w:p w:rsidR="00485D6F" w:rsidRPr="00335230" w:rsidRDefault="00485D6F" w:rsidP="001A1EE5">
            <w:pPr>
              <w:tabs>
                <w:tab w:val="left" w:pos="720"/>
              </w:tabs>
              <w:rPr>
                <w:bCs/>
                <w:color w:val="000000"/>
                <w:sz w:val="24"/>
                <w:szCs w:val="24"/>
              </w:rPr>
            </w:pPr>
          </w:p>
        </w:tc>
        <w:tc>
          <w:tcPr>
            <w:tcW w:w="5400" w:type="dxa"/>
          </w:tcPr>
          <w:p w:rsidR="00485D6F" w:rsidRPr="00335230" w:rsidRDefault="00335230" w:rsidP="00C92E4F">
            <w:pPr>
              <w:rPr>
                <w:sz w:val="24"/>
                <w:szCs w:val="24"/>
              </w:rPr>
            </w:pPr>
            <w:r w:rsidRPr="00335230">
              <w:rPr>
                <w:sz w:val="24"/>
                <w:szCs w:val="24"/>
              </w:rPr>
              <w:t>Quantify the associations between risk factors and upper extremity, lower back and lower extremity WMSDs in the TWU sector through the collaboration of partners.</w:t>
            </w:r>
          </w:p>
        </w:tc>
      </w:tr>
      <w:tr w:rsidR="00485D6F" w:rsidRPr="009B0C4D" w:rsidTr="00FF6516">
        <w:trPr>
          <w:trHeight w:val="720"/>
        </w:trPr>
        <w:tc>
          <w:tcPr>
            <w:tcW w:w="1800" w:type="dxa"/>
          </w:tcPr>
          <w:p w:rsidR="00485D6F" w:rsidRPr="00335230" w:rsidRDefault="00335230" w:rsidP="001A1EE5">
            <w:pPr>
              <w:tabs>
                <w:tab w:val="left" w:pos="720"/>
              </w:tabs>
              <w:rPr>
                <w:bCs/>
                <w:color w:val="000000"/>
                <w:sz w:val="24"/>
                <w:szCs w:val="24"/>
              </w:rPr>
            </w:pPr>
            <w:r w:rsidRPr="00335230">
              <w:rPr>
                <w:bCs/>
                <w:color w:val="000000"/>
                <w:sz w:val="24"/>
                <w:szCs w:val="24"/>
              </w:rPr>
              <w:t>Intermediate</w:t>
            </w:r>
          </w:p>
        </w:tc>
        <w:tc>
          <w:tcPr>
            <w:tcW w:w="1890" w:type="dxa"/>
          </w:tcPr>
          <w:p w:rsidR="00335230" w:rsidRPr="00335230" w:rsidRDefault="00335230" w:rsidP="00335230">
            <w:pPr>
              <w:rPr>
                <w:sz w:val="24"/>
                <w:szCs w:val="24"/>
              </w:rPr>
            </w:pPr>
            <w:r w:rsidRPr="00335230">
              <w:rPr>
                <w:sz w:val="24"/>
                <w:szCs w:val="24"/>
              </w:rPr>
              <w:t>09PPTWUIG2.3</w:t>
            </w:r>
          </w:p>
          <w:p w:rsidR="00485D6F" w:rsidRPr="00335230" w:rsidRDefault="00485D6F" w:rsidP="001A1EE5">
            <w:pPr>
              <w:tabs>
                <w:tab w:val="left" w:pos="720"/>
              </w:tabs>
              <w:rPr>
                <w:bCs/>
                <w:color w:val="000000"/>
                <w:sz w:val="24"/>
                <w:szCs w:val="24"/>
              </w:rPr>
            </w:pPr>
          </w:p>
        </w:tc>
        <w:tc>
          <w:tcPr>
            <w:tcW w:w="5400" w:type="dxa"/>
          </w:tcPr>
          <w:p w:rsidR="00485D6F" w:rsidRPr="00335230" w:rsidRDefault="00335230" w:rsidP="00C92E4F">
            <w:pPr>
              <w:rPr>
                <w:sz w:val="24"/>
                <w:szCs w:val="24"/>
              </w:rPr>
            </w:pPr>
            <w:r w:rsidRPr="00335230">
              <w:rPr>
                <w:sz w:val="24"/>
                <w:szCs w:val="24"/>
              </w:rPr>
              <w:t>Establish successful WMSD interventions and best practices in air transportation through the collaboration of partners.</w:t>
            </w:r>
          </w:p>
        </w:tc>
      </w:tr>
      <w:tr w:rsidR="00485D6F" w:rsidRPr="009B0C4D" w:rsidTr="00FF6516">
        <w:trPr>
          <w:trHeight w:val="720"/>
        </w:trPr>
        <w:tc>
          <w:tcPr>
            <w:tcW w:w="1800" w:type="dxa"/>
          </w:tcPr>
          <w:p w:rsidR="00485D6F" w:rsidRPr="00335230" w:rsidRDefault="00335230" w:rsidP="001A1EE5">
            <w:pPr>
              <w:tabs>
                <w:tab w:val="left" w:pos="720"/>
              </w:tabs>
              <w:rPr>
                <w:bCs/>
                <w:color w:val="000000"/>
                <w:sz w:val="24"/>
                <w:szCs w:val="24"/>
              </w:rPr>
            </w:pPr>
            <w:r w:rsidRPr="00335230">
              <w:rPr>
                <w:bCs/>
                <w:color w:val="000000"/>
                <w:sz w:val="24"/>
                <w:szCs w:val="24"/>
              </w:rPr>
              <w:t>Intermediate</w:t>
            </w:r>
          </w:p>
        </w:tc>
        <w:tc>
          <w:tcPr>
            <w:tcW w:w="1890" w:type="dxa"/>
          </w:tcPr>
          <w:p w:rsidR="00335230" w:rsidRPr="00335230" w:rsidRDefault="00335230" w:rsidP="00335230">
            <w:pPr>
              <w:rPr>
                <w:sz w:val="24"/>
                <w:szCs w:val="24"/>
              </w:rPr>
            </w:pPr>
            <w:r w:rsidRPr="00335230">
              <w:rPr>
                <w:sz w:val="24"/>
                <w:szCs w:val="24"/>
              </w:rPr>
              <w:t>09PPTWUIG2.8</w:t>
            </w:r>
          </w:p>
          <w:p w:rsidR="00485D6F" w:rsidRPr="00335230" w:rsidRDefault="00485D6F" w:rsidP="001A1EE5">
            <w:pPr>
              <w:tabs>
                <w:tab w:val="left" w:pos="720"/>
              </w:tabs>
              <w:rPr>
                <w:bCs/>
                <w:color w:val="000000"/>
                <w:sz w:val="24"/>
                <w:szCs w:val="24"/>
              </w:rPr>
            </w:pPr>
          </w:p>
        </w:tc>
        <w:tc>
          <w:tcPr>
            <w:tcW w:w="5400" w:type="dxa"/>
          </w:tcPr>
          <w:p w:rsidR="00485D6F" w:rsidRPr="00335230" w:rsidRDefault="00335230" w:rsidP="00C92E4F">
            <w:pPr>
              <w:rPr>
                <w:sz w:val="24"/>
                <w:szCs w:val="24"/>
              </w:rPr>
            </w:pPr>
            <w:r w:rsidRPr="00335230">
              <w:rPr>
                <w:sz w:val="24"/>
                <w:szCs w:val="24"/>
              </w:rPr>
              <w:t>Disseminate and promote findings on successful practices and partnerships within the TWU sector that reduce WMSD costs and yield economic benefit through the collaboration of partners.</w:t>
            </w:r>
          </w:p>
        </w:tc>
      </w:tr>
    </w:tbl>
    <w:p w:rsidR="00485D6F" w:rsidRPr="009B0C4D" w:rsidRDefault="00485D6F" w:rsidP="00485D6F">
      <w:pPr>
        <w:rPr>
          <w:b/>
          <w:sz w:val="24"/>
          <w:szCs w:val="24"/>
        </w:rPr>
      </w:pPr>
    </w:p>
    <w:p w:rsidR="00485D6F" w:rsidRDefault="00485D6F" w:rsidP="00485D6F">
      <w:pPr>
        <w:rPr>
          <w:b/>
          <w:bCs/>
          <w:sz w:val="24"/>
          <w:szCs w:val="24"/>
          <w:u w:val="single"/>
        </w:rPr>
      </w:pPr>
    </w:p>
    <w:p w:rsidR="00C92E4F" w:rsidRDefault="00C92E4F" w:rsidP="00485D6F">
      <w:pPr>
        <w:rPr>
          <w:b/>
          <w:bCs/>
          <w:sz w:val="24"/>
          <w:szCs w:val="24"/>
          <w:u w:val="single"/>
        </w:rPr>
      </w:pPr>
    </w:p>
    <w:p w:rsidR="00485D6F" w:rsidRDefault="00485D6F" w:rsidP="00412529">
      <w:pPr>
        <w:jc w:val="center"/>
        <w:rPr>
          <w:b/>
          <w:bCs/>
          <w:sz w:val="24"/>
          <w:szCs w:val="24"/>
          <w:u w:val="single"/>
        </w:rPr>
      </w:pPr>
      <w:r w:rsidRPr="009B0C4D">
        <w:rPr>
          <w:b/>
          <w:bCs/>
          <w:sz w:val="24"/>
          <w:szCs w:val="24"/>
          <w:u w:val="single"/>
        </w:rPr>
        <w:t>Cross-Sector Health Outcome Programs</w:t>
      </w:r>
    </w:p>
    <w:p w:rsidR="00485D6F" w:rsidRPr="009B0C4D" w:rsidRDefault="00485D6F" w:rsidP="00485D6F">
      <w:pPr>
        <w:rPr>
          <w:b/>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160"/>
        <w:gridCol w:w="5310"/>
      </w:tblGrid>
      <w:tr w:rsidR="00485D6F" w:rsidRPr="009B0C4D" w:rsidTr="00FF6516">
        <w:trPr>
          <w:trHeight w:val="720"/>
        </w:trPr>
        <w:tc>
          <w:tcPr>
            <w:tcW w:w="162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Type </w:t>
            </w:r>
          </w:p>
        </w:tc>
        <w:tc>
          <w:tcPr>
            <w:tcW w:w="216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Number </w:t>
            </w:r>
          </w:p>
        </w:tc>
        <w:tc>
          <w:tcPr>
            <w:tcW w:w="5310" w:type="dxa"/>
            <w:shd w:val="clear" w:color="auto" w:fill="3366FF"/>
            <w:vAlign w:val="center"/>
          </w:tcPr>
          <w:p w:rsidR="00485D6F" w:rsidRPr="009B0C4D" w:rsidRDefault="00485D6F" w:rsidP="001A1EE5">
            <w:pPr>
              <w:tabs>
                <w:tab w:val="left" w:pos="720"/>
              </w:tabs>
              <w:jc w:val="center"/>
              <w:rPr>
                <w:b/>
                <w:color w:val="FFFFFF"/>
                <w:sz w:val="24"/>
                <w:szCs w:val="24"/>
              </w:rPr>
            </w:pPr>
            <w:r w:rsidRPr="009B0C4D">
              <w:rPr>
                <w:b/>
                <w:color w:val="FFFFFF"/>
                <w:sz w:val="24"/>
                <w:szCs w:val="24"/>
              </w:rPr>
              <w:t>Cross-Sector Health Outcome Program Goal Text</w:t>
            </w:r>
          </w:p>
        </w:tc>
      </w:tr>
      <w:tr w:rsidR="00335230" w:rsidRPr="006301C0" w:rsidTr="00FF6516">
        <w:trPr>
          <w:trHeight w:val="1178"/>
        </w:trPr>
        <w:tc>
          <w:tcPr>
            <w:tcW w:w="1620" w:type="dxa"/>
          </w:tcPr>
          <w:p w:rsidR="00335230" w:rsidRPr="006301C0" w:rsidRDefault="00335230" w:rsidP="00412529">
            <w:pPr>
              <w:tabs>
                <w:tab w:val="left" w:pos="720"/>
              </w:tabs>
              <w:rPr>
                <w:bCs/>
                <w:color w:val="000000"/>
                <w:sz w:val="24"/>
                <w:szCs w:val="24"/>
              </w:rPr>
            </w:pPr>
            <w:r w:rsidRPr="006301C0">
              <w:rPr>
                <w:bCs/>
                <w:color w:val="000000"/>
                <w:sz w:val="24"/>
                <w:szCs w:val="24"/>
              </w:rPr>
              <w:t>Strategic</w:t>
            </w:r>
          </w:p>
        </w:tc>
        <w:tc>
          <w:tcPr>
            <w:tcW w:w="2160" w:type="dxa"/>
          </w:tcPr>
          <w:p w:rsidR="006301C0" w:rsidRPr="006301C0" w:rsidRDefault="006301C0" w:rsidP="00412529">
            <w:pPr>
              <w:rPr>
                <w:bCs/>
                <w:sz w:val="24"/>
                <w:szCs w:val="24"/>
              </w:rPr>
            </w:pPr>
            <w:r w:rsidRPr="006301C0">
              <w:rPr>
                <w:bCs/>
                <w:sz w:val="24"/>
                <w:szCs w:val="24"/>
              </w:rPr>
              <w:t>09PPMSDSG1</w:t>
            </w:r>
          </w:p>
          <w:p w:rsidR="00335230" w:rsidRPr="006301C0" w:rsidRDefault="00335230" w:rsidP="00412529">
            <w:pPr>
              <w:tabs>
                <w:tab w:val="left" w:pos="720"/>
              </w:tabs>
              <w:rPr>
                <w:bCs/>
                <w:color w:val="000000"/>
                <w:sz w:val="24"/>
                <w:szCs w:val="24"/>
              </w:rPr>
            </w:pPr>
          </w:p>
        </w:tc>
        <w:tc>
          <w:tcPr>
            <w:tcW w:w="5310" w:type="dxa"/>
          </w:tcPr>
          <w:p w:rsidR="006301C0" w:rsidRPr="006301C0" w:rsidRDefault="006301C0" w:rsidP="006301C0">
            <w:pPr>
              <w:rPr>
                <w:bCs/>
                <w:sz w:val="24"/>
                <w:szCs w:val="24"/>
              </w:rPr>
            </w:pPr>
            <w:r w:rsidRPr="006301C0">
              <w:rPr>
                <w:bCs/>
                <w:sz w:val="24"/>
                <w:szCs w:val="24"/>
              </w:rPr>
              <w:t>Reduce the incidence of work-related MSDs on the basis of accurate risk assessments by developing and using valid and reliable exposure assessment methods and devices.</w:t>
            </w:r>
          </w:p>
          <w:p w:rsidR="00335230" w:rsidRPr="006301C0" w:rsidRDefault="00335230" w:rsidP="001A1EE5">
            <w:pPr>
              <w:tabs>
                <w:tab w:val="left" w:pos="720"/>
              </w:tabs>
              <w:rPr>
                <w:bCs/>
                <w:color w:val="000000"/>
                <w:sz w:val="24"/>
                <w:szCs w:val="24"/>
              </w:rPr>
            </w:pPr>
          </w:p>
        </w:tc>
      </w:tr>
      <w:tr w:rsidR="00335230" w:rsidRPr="006301C0" w:rsidTr="00FF6516">
        <w:trPr>
          <w:trHeight w:val="720"/>
        </w:trPr>
        <w:tc>
          <w:tcPr>
            <w:tcW w:w="1620" w:type="dxa"/>
          </w:tcPr>
          <w:p w:rsidR="00335230" w:rsidRPr="006301C0" w:rsidRDefault="00335230" w:rsidP="00412529">
            <w:pPr>
              <w:tabs>
                <w:tab w:val="left" w:pos="720"/>
              </w:tabs>
              <w:rPr>
                <w:bCs/>
                <w:color w:val="000000"/>
                <w:sz w:val="24"/>
                <w:szCs w:val="24"/>
              </w:rPr>
            </w:pPr>
            <w:r w:rsidRPr="006301C0">
              <w:rPr>
                <w:bCs/>
                <w:color w:val="000000"/>
                <w:sz w:val="24"/>
                <w:szCs w:val="24"/>
              </w:rPr>
              <w:t xml:space="preserve">Intermediate </w:t>
            </w:r>
          </w:p>
        </w:tc>
        <w:tc>
          <w:tcPr>
            <w:tcW w:w="2160" w:type="dxa"/>
          </w:tcPr>
          <w:p w:rsidR="006301C0" w:rsidRPr="006301C0" w:rsidRDefault="006301C0" w:rsidP="00412529">
            <w:pPr>
              <w:rPr>
                <w:sz w:val="24"/>
                <w:szCs w:val="24"/>
              </w:rPr>
            </w:pPr>
            <w:r w:rsidRPr="006301C0">
              <w:rPr>
                <w:sz w:val="24"/>
                <w:szCs w:val="24"/>
              </w:rPr>
              <w:t>11PPMSDIG1.1</w:t>
            </w:r>
          </w:p>
          <w:p w:rsidR="00335230" w:rsidRPr="006301C0" w:rsidRDefault="00335230" w:rsidP="00412529">
            <w:pPr>
              <w:tabs>
                <w:tab w:val="left" w:pos="720"/>
              </w:tabs>
              <w:rPr>
                <w:bCs/>
                <w:color w:val="000000"/>
                <w:sz w:val="24"/>
                <w:szCs w:val="24"/>
              </w:rPr>
            </w:pPr>
          </w:p>
        </w:tc>
        <w:tc>
          <w:tcPr>
            <w:tcW w:w="5310" w:type="dxa"/>
          </w:tcPr>
          <w:p w:rsidR="00335230" w:rsidRPr="00412529" w:rsidRDefault="006301C0" w:rsidP="00412529">
            <w:pPr>
              <w:rPr>
                <w:sz w:val="24"/>
                <w:szCs w:val="24"/>
              </w:rPr>
            </w:pPr>
            <w:r w:rsidRPr="006301C0">
              <w:rPr>
                <w:sz w:val="24"/>
                <w:szCs w:val="24"/>
              </w:rPr>
              <w:t>Safety professionals use new or improved devices and methods for valid and reliable exposure assessments of biomechanical, physiological, behavioral, psychosocial, chemical, or environmental risk factors that may be associated with the development of MSDs.</w:t>
            </w:r>
          </w:p>
        </w:tc>
      </w:tr>
      <w:tr w:rsidR="00335230" w:rsidRPr="006301C0" w:rsidTr="00FF6516">
        <w:trPr>
          <w:trHeight w:val="720"/>
        </w:trPr>
        <w:tc>
          <w:tcPr>
            <w:tcW w:w="1620" w:type="dxa"/>
          </w:tcPr>
          <w:p w:rsidR="00335230" w:rsidRPr="006301C0" w:rsidRDefault="00335230" w:rsidP="00412529">
            <w:pPr>
              <w:tabs>
                <w:tab w:val="left" w:pos="720"/>
              </w:tabs>
              <w:rPr>
                <w:bCs/>
                <w:color w:val="000000"/>
                <w:sz w:val="24"/>
                <w:szCs w:val="24"/>
              </w:rPr>
            </w:pPr>
            <w:r w:rsidRPr="006301C0">
              <w:rPr>
                <w:bCs/>
                <w:color w:val="000000"/>
                <w:sz w:val="24"/>
                <w:szCs w:val="24"/>
              </w:rPr>
              <w:lastRenderedPageBreak/>
              <w:t>Intermediate</w:t>
            </w:r>
          </w:p>
        </w:tc>
        <w:tc>
          <w:tcPr>
            <w:tcW w:w="2160" w:type="dxa"/>
          </w:tcPr>
          <w:p w:rsidR="006301C0" w:rsidRPr="006301C0" w:rsidRDefault="006301C0" w:rsidP="00412529">
            <w:pPr>
              <w:rPr>
                <w:sz w:val="24"/>
                <w:szCs w:val="24"/>
              </w:rPr>
            </w:pPr>
            <w:r w:rsidRPr="006301C0">
              <w:rPr>
                <w:sz w:val="24"/>
                <w:szCs w:val="24"/>
              </w:rPr>
              <w:t>11PPMSDIG1.2</w:t>
            </w:r>
          </w:p>
          <w:p w:rsidR="00335230" w:rsidRPr="006301C0" w:rsidRDefault="00335230" w:rsidP="00412529">
            <w:pPr>
              <w:tabs>
                <w:tab w:val="left" w:pos="720"/>
              </w:tabs>
              <w:rPr>
                <w:bCs/>
                <w:color w:val="000000"/>
                <w:sz w:val="24"/>
                <w:szCs w:val="24"/>
              </w:rPr>
            </w:pPr>
          </w:p>
        </w:tc>
        <w:tc>
          <w:tcPr>
            <w:tcW w:w="5310" w:type="dxa"/>
          </w:tcPr>
          <w:p w:rsidR="00335230" w:rsidRPr="006301C0" w:rsidRDefault="006301C0" w:rsidP="00C92E4F">
            <w:pPr>
              <w:rPr>
                <w:sz w:val="24"/>
                <w:szCs w:val="24"/>
              </w:rPr>
            </w:pPr>
            <w:r w:rsidRPr="006301C0">
              <w:rPr>
                <w:sz w:val="24"/>
                <w:szCs w:val="24"/>
              </w:rPr>
              <w:t>Safety professionals, trade and labor organizations, standards committees and government agencies, and public and private businesses consult the scientific evidence pertaining to exposure risks associated with MSDs to help design safer workplaces and safer worker and management practices.</w:t>
            </w:r>
          </w:p>
        </w:tc>
      </w:tr>
      <w:tr w:rsidR="00335230" w:rsidRPr="006301C0" w:rsidTr="00FF6516">
        <w:trPr>
          <w:trHeight w:val="548"/>
        </w:trPr>
        <w:tc>
          <w:tcPr>
            <w:tcW w:w="1620" w:type="dxa"/>
          </w:tcPr>
          <w:p w:rsidR="00335230" w:rsidRPr="006301C0" w:rsidRDefault="00335230" w:rsidP="00412529">
            <w:pPr>
              <w:tabs>
                <w:tab w:val="left" w:pos="720"/>
              </w:tabs>
              <w:rPr>
                <w:bCs/>
                <w:color w:val="000000"/>
                <w:sz w:val="24"/>
                <w:szCs w:val="24"/>
              </w:rPr>
            </w:pPr>
            <w:r w:rsidRPr="006301C0">
              <w:rPr>
                <w:bCs/>
                <w:color w:val="000000"/>
                <w:sz w:val="24"/>
                <w:szCs w:val="24"/>
              </w:rPr>
              <w:t>Intermediate</w:t>
            </w:r>
          </w:p>
        </w:tc>
        <w:tc>
          <w:tcPr>
            <w:tcW w:w="2160" w:type="dxa"/>
          </w:tcPr>
          <w:p w:rsidR="006301C0" w:rsidRPr="006301C0" w:rsidRDefault="006301C0" w:rsidP="00412529">
            <w:pPr>
              <w:rPr>
                <w:sz w:val="24"/>
                <w:szCs w:val="24"/>
              </w:rPr>
            </w:pPr>
            <w:r w:rsidRPr="006301C0">
              <w:rPr>
                <w:sz w:val="24"/>
                <w:szCs w:val="24"/>
              </w:rPr>
              <w:t>11PPMSDIG1.3</w:t>
            </w:r>
          </w:p>
          <w:p w:rsidR="00335230" w:rsidRPr="006301C0" w:rsidRDefault="00335230" w:rsidP="00412529">
            <w:pPr>
              <w:tabs>
                <w:tab w:val="left" w:pos="720"/>
              </w:tabs>
              <w:rPr>
                <w:bCs/>
                <w:color w:val="000000"/>
                <w:sz w:val="24"/>
                <w:szCs w:val="24"/>
              </w:rPr>
            </w:pPr>
          </w:p>
        </w:tc>
        <w:tc>
          <w:tcPr>
            <w:tcW w:w="5310" w:type="dxa"/>
          </w:tcPr>
          <w:p w:rsidR="00335230" w:rsidRPr="00C92E4F" w:rsidRDefault="006301C0" w:rsidP="00C92E4F">
            <w:pPr>
              <w:rPr>
                <w:sz w:val="24"/>
                <w:szCs w:val="24"/>
              </w:rPr>
            </w:pPr>
            <w:r w:rsidRPr="006301C0">
              <w:rPr>
                <w:sz w:val="24"/>
                <w:szCs w:val="24"/>
              </w:rPr>
              <w:t>Tool, equipment, and vehicle manufacturers use the results of exposure-assessment studies in the design, manufacture, or modification of tools and equipment to eliminate or minimize operator exposure to MSD risk factors.</w:t>
            </w:r>
          </w:p>
        </w:tc>
      </w:tr>
      <w:tr w:rsidR="006301C0" w:rsidRPr="006301C0" w:rsidTr="00FF6516">
        <w:trPr>
          <w:trHeight w:val="548"/>
        </w:trPr>
        <w:tc>
          <w:tcPr>
            <w:tcW w:w="1620" w:type="dxa"/>
          </w:tcPr>
          <w:p w:rsidR="006301C0" w:rsidRPr="006301C0" w:rsidRDefault="006301C0" w:rsidP="00412529">
            <w:pPr>
              <w:tabs>
                <w:tab w:val="left" w:pos="720"/>
              </w:tabs>
              <w:rPr>
                <w:bCs/>
                <w:color w:val="000000"/>
                <w:sz w:val="24"/>
                <w:szCs w:val="24"/>
              </w:rPr>
            </w:pPr>
            <w:r w:rsidRPr="006301C0">
              <w:rPr>
                <w:bCs/>
                <w:color w:val="000000"/>
                <w:sz w:val="24"/>
                <w:szCs w:val="24"/>
              </w:rPr>
              <w:t>Strategic</w:t>
            </w:r>
          </w:p>
        </w:tc>
        <w:tc>
          <w:tcPr>
            <w:tcW w:w="2160" w:type="dxa"/>
          </w:tcPr>
          <w:p w:rsidR="006301C0" w:rsidRPr="006301C0" w:rsidRDefault="006301C0" w:rsidP="00412529">
            <w:pPr>
              <w:rPr>
                <w:bCs/>
                <w:sz w:val="24"/>
                <w:szCs w:val="24"/>
              </w:rPr>
            </w:pPr>
            <w:r w:rsidRPr="006301C0">
              <w:rPr>
                <w:bCs/>
                <w:sz w:val="24"/>
                <w:szCs w:val="24"/>
              </w:rPr>
              <w:t>11PPMSDSG3</w:t>
            </w:r>
          </w:p>
          <w:p w:rsidR="006301C0" w:rsidRPr="006301C0" w:rsidRDefault="006301C0" w:rsidP="00412529">
            <w:pPr>
              <w:tabs>
                <w:tab w:val="left" w:pos="720"/>
              </w:tabs>
              <w:rPr>
                <w:rFonts w:eastAsia="MS Mincho"/>
                <w:sz w:val="24"/>
                <w:szCs w:val="24"/>
              </w:rPr>
            </w:pPr>
          </w:p>
        </w:tc>
        <w:tc>
          <w:tcPr>
            <w:tcW w:w="5310" w:type="dxa"/>
          </w:tcPr>
          <w:p w:rsidR="006301C0" w:rsidRPr="006301C0" w:rsidRDefault="006301C0" w:rsidP="006301C0">
            <w:pPr>
              <w:tabs>
                <w:tab w:val="left" w:pos="1224"/>
              </w:tabs>
              <w:autoSpaceDE w:val="0"/>
              <w:autoSpaceDN w:val="0"/>
              <w:adjustRightInd w:val="0"/>
              <w:rPr>
                <w:bCs/>
                <w:iCs/>
                <w:sz w:val="24"/>
                <w:szCs w:val="24"/>
              </w:rPr>
            </w:pPr>
            <w:r w:rsidRPr="006301C0">
              <w:rPr>
                <w:bCs/>
                <w:iCs/>
                <w:sz w:val="24"/>
                <w:szCs w:val="24"/>
              </w:rPr>
              <w:t>Reduce the incidence of work-related MSDs by implementing practical and effective workplace interventions to reduce MSD risk factors.</w:t>
            </w:r>
          </w:p>
        </w:tc>
      </w:tr>
      <w:tr w:rsidR="006301C0" w:rsidRPr="006301C0" w:rsidTr="00FF6516">
        <w:trPr>
          <w:trHeight w:val="548"/>
        </w:trPr>
        <w:tc>
          <w:tcPr>
            <w:tcW w:w="1620" w:type="dxa"/>
          </w:tcPr>
          <w:p w:rsidR="006301C0" w:rsidRPr="006301C0" w:rsidRDefault="006301C0" w:rsidP="00412529">
            <w:pPr>
              <w:tabs>
                <w:tab w:val="left" w:pos="720"/>
              </w:tabs>
              <w:rPr>
                <w:bCs/>
                <w:color w:val="000000"/>
                <w:sz w:val="24"/>
                <w:szCs w:val="24"/>
              </w:rPr>
            </w:pPr>
            <w:r w:rsidRPr="006301C0">
              <w:rPr>
                <w:bCs/>
                <w:color w:val="000000"/>
                <w:sz w:val="24"/>
                <w:szCs w:val="24"/>
              </w:rPr>
              <w:t xml:space="preserve">Intermediate </w:t>
            </w:r>
          </w:p>
        </w:tc>
        <w:tc>
          <w:tcPr>
            <w:tcW w:w="2160" w:type="dxa"/>
          </w:tcPr>
          <w:p w:rsidR="006301C0" w:rsidRPr="006301C0" w:rsidRDefault="006301C0" w:rsidP="00C92E4F">
            <w:pPr>
              <w:rPr>
                <w:sz w:val="24"/>
                <w:szCs w:val="24"/>
              </w:rPr>
            </w:pPr>
            <w:r w:rsidRPr="006301C0">
              <w:rPr>
                <w:sz w:val="24"/>
                <w:szCs w:val="24"/>
              </w:rPr>
              <w:t>11PPMSDIG3.1</w:t>
            </w:r>
          </w:p>
          <w:p w:rsidR="006301C0" w:rsidRPr="006301C0" w:rsidRDefault="006301C0" w:rsidP="00C92E4F">
            <w:pPr>
              <w:rPr>
                <w:rFonts w:eastAsia="MS Mincho"/>
                <w:sz w:val="24"/>
                <w:szCs w:val="24"/>
              </w:rPr>
            </w:pPr>
          </w:p>
        </w:tc>
        <w:tc>
          <w:tcPr>
            <w:tcW w:w="5310" w:type="dxa"/>
          </w:tcPr>
          <w:p w:rsidR="006301C0" w:rsidRPr="006301C0" w:rsidRDefault="006301C0" w:rsidP="00C92E4F">
            <w:pPr>
              <w:rPr>
                <w:sz w:val="24"/>
                <w:szCs w:val="24"/>
              </w:rPr>
            </w:pPr>
            <w:r w:rsidRPr="006301C0">
              <w:rPr>
                <w:sz w:val="24"/>
                <w:szCs w:val="24"/>
              </w:rPr>
              <w:t>Safety professionals in public and private industry implement practical and effective workplace interventions for the prevention or mitigation of MSDs on the basis on the best available scientific evidence.</w:t>
            </w:r>
          </w:p>
        </w:tc>
      </w:tr>
      <w:tr w:rsidR="006301C0" w:rsidRPr="006301C0" w:rsidTr="00FF6516">
        <w:trPr>
          <w:trHeight w:val="620"/>
        </w:trPr>
        <w:tc>
          <w:tcPr>
            <w:tcW w:w="1620" w:type="dxa"/>
          </w:tcPr>
          <w:p w:rsidR="006301C0" w:rsidRPr="006301C0" w:rsidRDefault="006301C0" w:rsidP="00412529">
            <w:pPr>
              <w:tabs>
                <w:tab w:val="left" w:pos="720"/>
              </w:tabs>
              <w:rPr>
                <w:bCs/>
                <w:color w:val="000000"/>
                <w:sz w:val="24"/>
                <w:szCs w:val="24"/>
              </w:rPr>
            </w:pPr>
            <w:r w:rsidRPr="006301C0">
              <w:rPr>
                <w:bCs/>
                <w:color w:val="000000"/>
                <w:sz w:val="24"/>
                <w:szCs w:val="24"/>
              </w:rPr>
              <w:t>Intermediate</w:t>
            </w:r>
          </w:p>
        </w:tc>
        <w:tc>
          <w:tcPr>
            <w:tcW w:w="2160" w:type="dxa"/>
          </w:tcPr>
          <w:p w:rsidR="006301C0" w:rsidRPr="006301C0" w:rsidRDefault="006301C0" w:rsidP="00412529">
            <w:pPr>
              <w:rPr>
                <w:sz w:val="24"/>
                <w:szCs w:val="24"/>
              </w:rPr>
            </w:pPr>
            <w:r w:rsidRPr="006301C0">
              <w:rPr>
                <w:sz w:val="24"/>
                <w:szCs w:val="24"/>
              </w:rPr>
              <w:t>11PPMSDIG3.2</w:t>
            </w:r>
          </w:p>
          <w:p w:rsidR="006301C0" w:rsidRPr="006301C0" w:rsidRDefault="006301C0" w:rsidP="00412529">
            <w:pPr>
              <w:rPr>
                <w:sz w:val="24"/>
                <w:szCs w:val="24"/>
              </w:rPr>
            </w:pPr>
          </w:p>
        </w:tc>
        <w:tc>
          <w:tcPr>
            <w:tcW w:w="5310" w:type="dxa"/>
          </w:tcPr>
          <w:p w:rsidR="006301C0" w:rsidRPr="006301C0" w:rsidRDefault="006301C0" w:rsidP="00C92E4F">
            <w:pPr>
              <w:rPr>
                <w:sz w:val="24"/>
                <w:szCs w:val="24"/>
              </w:rPr>
            </w:pPr>
            <w:r w:rsidRPr="006301C0">
              <w:rPr>
                <w:sz w:val="24"/>
                <w:szCs w:val="24"/>
              </w:rPr>
              <w:t xml:space="preserve">Safety professionals, leaders of labor and trade organizations, and leaders in public and private industry advocate comprehensive approaches to safety that address the multi-factorial nature of the development and mitigation of work-related MSDs.  </w:t>
            </w:r>
          </w:p>
        </w:tc>
      </w:tr>
      <w:tr w:rsidR="006301C0" w:rsidRPr="006301C0" w:rsidTr="00FF6516">
        <w:trPr>
          <w:trHeight w:val="620"/>
        </w:trPr>
        <w:tc>
          <w:tcPr>
            <w:tcW w:w="1620" w:type="dxa"/>
          </w:tcPr>
          <w:p w:rsidR="006301C0" w:rsidRPr="006301C0" w:rsidRDefault="006301C0" w:rsidP="00412529">
            <w:pPr>
              <w:tabs>
                <w:tab w:val="left" w:pos="720"/>
              </w:tabs>
              <w:rPr>
                <w:bCs/>
                <w:color w:val="000000"/>
                <w:sz w:val="24"/>
                <w:szCs w:val="24"/>
              </w:rPr>
            </w:pPr>
            <w:r w:rsidRPr="006301C0">
              <w:rPr>
                <w:bCs/>
                <w:color w:val="000000"/>
                <w:sz w:val="24"/>
                <w:szCs w:val="24"/>
              </w:rPr>
              <w:t>Intermediate</w:t>
            </w:r>
          </w:p>
        </w:tc>
        <w:tc>
          <w:tcPr>
            <w:tcW w:w="2160" w:type="dxa"/>
          </w:tcPr>
          <w:p w:rsidR="006301C0" w:rsidRPr="006301C0" w:rsidRDefault="006301C0" w:rsidP="00412529">
            <w:pPr>
              <w:rPr>
                <w:sz w:val="24"/>
                <w:szCs w:val="24"/>
              </w:rPr>
            </w:pPr>
            <w:r w:rsidRPr="006301C0">
              <w:rPr>
                <w:sz w:val="24"/>
                <w:szCs w:val="24"/>
              </w:rPr>
              <w:t>11PPMSDIG3.3</w:t>
            </w:r>
          </w:p>
          <w:p w:rsidR="006301C0" w:rsidRPr="006301C0" w:rsidRDefault="006301C0" w:rsidP="00412529">
            <w:pPr>
              <w:tabs>
                <w:tab w:val="left" w:pos="720"/>
              </w:tabs>
              <w:rPr>
                <w:bCs/>
                <w:color w:val="000000"/>
                <w:sz w:val="24"/>
                <w:szCs w:val="24"/>
              </w:rPr>
            </w:pPr>
          </w:p>
          <w:p w:rsidR="006301C0" w:rsidRPr="006301C0" w:rsidRDefault="006301C0" w:rsidP="00412529">
            <w:pPr>
              <w:rPr>
                <w:sz w:val="24"/>
                <w:szCs w:val="24"/>
              </w:rPr>
            </w:pPr>
          </w:p>
          <w:p w:rsidR="006301C0" w:rsidRPr="006301C0" w:rsidRDefault="006301C0" w:rsidP="00412529">
            <w:pPr>
              <w:rPr>
                <w:sz w:val="24"/>
                <w:szCs w:val="24"/>
              </w:rPr>
            </w:pPr>
          </w:p>
        </w:tc>
        <w:tc>
          <w:tcPr>
            <w:tcW w:w="5310" w:type="dxa"/>
          </w:tcPr>
          <w:p w:rsidR="006301C0" w:rsidRPr="006301C0" w:rsidRDefault="006301C0" w:rsidP="00C92E4F">
            <w:pPr>
              <w:rPr>
                <w:sz w:val="24"/>
                <w:szCs w:val="24"/>
              </w:rPr>
            </w:pPr>
            <w:r w:rsidRPr="006301C0">
              <w:rPr>
                <w:sz w:val="24"/>
                <w:szCs w:val="24"/>
              </w:rPr>
              <w:t>Business leaders in public and private industries have access to cost-benefit data regarding the implementation and maintenance of safety programs for the prevention and mitigation of MSDs.</w:t>
            </w:r>
          </w:p>
        </w:tc>
      </w:tr>
    </w:tbl>
    <w:p w:rsidR="00485D6F" w:rsidRPr="006301C0" w:rsidRDefault="00485D6F" w:rsidP="00485D6F">
      <w:pPr>
        <w:rPr>
          <w:sz w:val="24"/>
          <w:szCs w:val="24"/>
        </w:rPr>
      </w:pPr>
    </w:p>
    <w:p w:rsidR="00485D6F" w:rsidRPr="006301C0" w:rsidRDefault="00485D6F" w:rsidP="00485D6F">
      <w:pPr>
        <w:rPr>
          <w:sz w:val="24"/>
          <w:szCs w:val="24"/>
        </w:rPr>
      </w:pPr>
    </w:p>
    <w:sectPr w:rsidR="00485D6F" w:rsidRPr="006301C0"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6F"/>
    <w:rsid w:val="001F0923"/>
    <w:rsid w:val="00335230"/>
    <w:rsid w:val="00412529"/>
    <w:rsid w:val="00485D6F"/>
    <w:rsid w:val="006301C0"/>
    <w:rsid w:val="009F7C9D"/>
    <w:rsid w:val="00C92E4F"/>
    <w:rsid w:val="00FF30F3"/>
    <w:rsid w:val="00FF6516"/>
    <w:rsid w:val="00FF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link w:val="List2Char"/>
    <w:rsid w:val="00485D6F"/>
    <w:pPr>
      <w:ind w:left="720" w:hanging="360"/>
    </w:pPr>
    <w:rPr>
      <w:sz w:val="24"/>
      <w:szCs w:val="24"/>
    </w:rPr>
  </w:style>
  <w:style w:type="character" w:customStyle="1" w:styleId="List2Char">
    <w:name w:val="List 2 Char"/>
    <w:basedOn w:val="DefaultParagraphFont"/>
    <w:link w:val="List2"/>
    <w:rsid w:val="00485D6F"/>
    <w:rPr>
      <w:rFonts w:ascii="Times New Roman" w:eastAsia="Times New Roman" w:hAnsi="Times New Roman" w:cs="Times New Roman"/>
      <w:sz w:val="24"/>
      <w:szCs w:val="24"/>
    </w:rPr>
  </w:style>
  <w:style w:type="paragraph" w:customStyle="1" w:styleId="CM20">
    <w:name w:val="CM20"/>
    <w:basedOn w:val="Normal"/>
    <w:next w:val="Normal"/>
    <w:rsid w:val="00485D6F"/>
    <w:pPr>
      <w:widowControl w:val="0"/>
      <w:autoSpaceDE w:val="0"/>
      <w:autoSpaceDN w:val="0"/>
      <w:adjustRightInd w:val="0"/>
      <w:spacing w:after="278"/>
    </w:pPr>
    <w:rPr>
      <w:rFonts w:eastAsia="MS Mincho"/>
      <w:sz w:val="24"/>
      <w:szCs w:val="24"/>
      <w:lang w:eastAsia="ja-JP"/>
    </w:rPr>
  </w:style>
  <w:style w:type="paragraph" w:customStyle="1" w:styleId="CM22">
    <w:name w:val="CM22"/>
    <w:basedOn w:val="Normal"/>
    <w:next w:val="Normal"/>
    <w:rsid w:val="00485D6F"/>
    <w:pPr>
      <w:widowControl w:val="0"/>
      <w:autoSpaceDE w:val="0"/>
      <w:autoSpaceDN w:val="0"/>
      <w:adjustRightInd w:val="0"/>
      <w:spacing w:after="398"/>
    </w:pPr>
    <w:rPr>
      <w:rFonts w:eastAsia="MS Mincho"/>
      <w:sz w:val="24"/>
      <w:szCs w:val="24"/>
      <w:lang w:eastAsia="ja-JP"/>
    </w:rPr>
  </w:style>
  <w:style w:type="paragraph" w:customStyle="1" w:styleId="CM23">
    <w:name w:val="CM23"/>
    <w:basedOn w:val="Normal"/>
    <w:next w:val="Normal"/>
    <w:rsid w:val="00485D6F"/>
    <w:pPr>
      <w:widowControl w:val="0"/>
      <w:autoSpaceDE w:val="0"/>
      <w:autoSpaceDN w:val="0"/>
      <w:adjustRightInd w:val="0"/>
      <w:spacing w:after="515"/>
    </w:pPr>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link w:val="List2Char"/>
    <w:rsid w:val="00485D6F"/>
    <w:pPr>
      <w:ind w:left="720" w:hanging="360"/>
    </w:pPr>
    <w:rPr>
      <w:sz w:val="24"/>
      <w:szCs w:val="24"/>
    </w:rPr>
  </w:style>
  <w:style w:type="character" w:customStyle="1" w:styleId="List2Char">
    <w:name w:val="List 2 Char"/>
    <w:basedOn w:val="DefaultParagraphFont"/>
    <w:link w:val="List2"/>
    <w:rsid w:val="00485D6F"/>
    <w:rPr>
      <w:rFonts w:ascii="Times New Roman" w:eastAsia="Times New Roman" w:hAnsi="Times New Roman" w:cs="Times New Roman"/>
      <w:sz w:val="24"/>
      <w:szCs w:val="24"/>
    </w:rPr>
  </w:style>
  <w:style w:type="paragraph" w:customStyle="1" w:styleId="CM20">
    <w:name w:val="CM20"/>
    <w:basedOn w:val="Normal"/>
    <w:next w:val="Normal"/>
    <w:rsid w:val="00485D6F"/>
    <w:pPr>
      <w:widowControl w:val="0"/>
      <w:autoSpaceDE w:val="0"/>
      <w:autoSpaceDN w:val="0"/>
      <w:adjustRightInd w:val="0"/>
      <w:spacing w:after="278"/>
    </w:pPr>
    <w:rPr>
      <w:rFonts w:eastAsia="MS Mincho"/>
      <w:sz w:val="24"/>
      <w:szCs w:val="24"/>
      <w:lang w:eastAsia="ja-JP"/>
    </w:rPr>
  </w:style>
  <w:style w:type="paragraph" w:customStyle="1" w:styleId="CM22">
    <w:name w:val="CM22"/>
    <w:basedOn w:val="Normal"/>
    <w:next w:val="Normal"/>
    <w:rsid w:val="00485D6F"/>
    <w:pPr>
      <w:widowControl w:val="0"/>
      <w:autoSpaceDE w:val="0"/>
      <w:autoSpaceDN w:val="0"/>
      <w:adjustRightInd w:val="0"/>
      <w:spacing w:after="398"/>
    </w:pPr>
    <w:rPr>
      <w:rFonts w:eastAsia="MS Mincho"/>
      <w:sz w:val="24"/>
      <w:szCs w:val="24"/>
      <w:lang w:eastAsia="ja-JP"/>
    </w:rPr>
  </w:style>
  <w:style w:type="paragraph" w:customStyle="1" w:styleId="CM23">
    <w:name w:val="CM23"/>
    <w:basedOn w:val="Normal"/>
    <w:next w:val="Normal"/>
    <w:rsid w:val="00485D6F"/>
    <w:pPr>
      <w:widowControl w:val="0"/>
      <w:autoSpaceDE w:val="0"/>
      <w:autoSpaceDN w:val="0"/>
      <w:adjustRightInd w:val="0"/>
      <w:spacing w:after="515"/>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6409">
      <w:bodyDiv w:val="1"/>
      <w:marLeft w:val="0"/>
      <w:marRight w:val="0"/>
      <w:marTop w:val="0"/>
      <w:marBottom w:val="0"/>
      <w:divBdr>
        <w:top w:val="none" w:sz="0" w:space="0" w:color="auto"/>
        <w:left w:val="none" w:sz="0" w:space="0" w:color="auto"/>
        <w:bottom w:val="none" w:sz="0" w:space="0" w:color="auto"/>
        <w:right w:val="none" w:sz="0" w:space="0" w:color="auto"/>
      </w:divBdr>
    </w:div>
    <w:div w:id="305864345">
      <w:bodyDiv w:val="1"/>
      <w:marLeft w:val="0"/>
      <w:marRight w:val="0"/>
      <w:marTop w:val="0"/>
      <w:marBottom w:val="0"/>
      <w:divBdr>
        <w:top w:val="none" w:sz="0" w:space="0" w:color="auto"/>
        <w:left w:val="none" w:sz="0" w:space="0" w:color="auto"/>
        <w:bottom w:val="none" w:sz="0" w:space="0" w:color="auto"/>
        <w:right w:val="none" w:sz="0" w:space="0" w:color="auto"/>
      </w:divBdr>
    </w:div>
    <w:div w:id="439304392">
      <w:bodyDiv w:val="1"/>
      <w:marLeft w:val="0"/>
      <w:marRight w:val="0"/>
      <w:marTop w:val="0"/>
      <w:marBottom w:val="0"/>
      <w:divBdr>
        <w:top w:val="none" w:sz="0" w:space="0" w:color="auto"/>
        <w:left w:val="none" w:sz="0" w:space="0" w:color="auto"/>
        <w:bottom w:val="none" w:sz="0" w:space="0" w:color="auto"/>
        <w:right w:val="none" w:sz="0" w:space="0" w:color="auto"/>
      </w:divBdr>
    </w:div>
    <w:div w:id="454955058">
      <w:bodyDiv w:val="1"/>
      <w:marLeft w:val="0"/>
      <w:marRight w:val="0"/>
      <w:marTop w:val="0"/>
      <w:marBottom w:val="0"/>
      <w:divBdr>
        <w:top w:val="none" w:sz="0" w:space="0" w:color="auto"/>
        <w:left w:val="none" w:sz="0" w:space="0" w:color="auto"/>
        <w:bottom w:val="none" w:sz="0" w:space="0" w:color="auto"/>
        <w:right w:val="none" w:sz="0" w:space="0" w:color="auto"/>
      </w:divBdr>
    </w:div>
    <w:div w:id="514534681">
      <w:bodyDiv w:val="1"/>
      <w:marLeft w:val="0"/>
      <w:marRight w:val="0"/>
      <w:marTop w:val="0"/>
      <w:marBottom w:val="0"/>
      <w:divBdr>
        <w:top w:val="none" w:sz="0" w:space="0" w:color="auto"/>
        <w:left w:val="none" w:sz="0" w:space="0" w:color="auto"/>
        <w:bottom w:val="none" w:sz="0" w:space="0" w:color="auto"/>
        <w:right w:val="none" w:sz="0" w:space="0" w:color="auto"/>
      </w:divBdr>
    </w:div>
    <w:div w:id="584193687">
      <w:bodyDiv w:val="1"/>
      <w:marLeft w:val="0"/>
      <w:marRight w:val="0"/>
      <w:marTop w:val="0"/>
      <w:marBottom w:val="0"/>
      <w:divBdr>
        <w:top w:val="none" w:sz="0" w:space="0" w:color="auto"/>
        <w:left w:val="none" w:sz="0" w:space="0" w:color="auto"/>
        <w:bottom w:val="none" w:sz="0" w:space="0" w:color="auto"/>
        <w:right w:val="none" w:sz="0" w:space="0" w:color="auto"/>
      </w:divBdr>
    </w:div>
    <w:div w:id="633608080">
      <w:bodyDiv w:val="1"/>
      <w:marLeft w:val="0"/>
      <w:marRight w:val="0"/>
      <w:marTop w:val="0"/>
      <w:marBottom w:val="0"/>
      <w:divBdr>
        <w:top w:val="none" w:sz="0" w:space="0" w:color="auto"/>
        <w:left w:val="none" w:sz="0" w:space="0" w:color="auto"/>
        <w:bottom w:val="none" w:sz="0" w:space="0" w:color="auto"/>
        <w:right w:val="none" w:sz="0" w:space="0" w:color="auto"/>
      </w:divBdr>
    </w:div>
    <w:div w:id="637952327">
      <w:bodyDiv w:val="1"/>
      <w:marLeft w:val="0"/>
      <w:marRight w:val="0"/>
      <w:marTop w:val="0"/>
      <w:marBottom w:val="0"/>
      <w:divBdr>
        <w:top w:val="none" w:sz="0" w:space="0" w:color="auto"/>
        <w:left w:val="none" w:sz="0" w:space="0" w:color="auto"/>
        <w:bottom w:val="none" w:sz="0" w:space="0" w:color="auto"/>
        <w:right w:val="none" w:sz="0" w:space="0" w:color="auto"/>
      </w:divBdr>
    </w:div>
    <w:div w:id="770591920">
      <w:bodyDiv w:val="1"/>
      <w:marLeft w:val="0"/>
      <w:marRight w:val="0"/>
      <w:marTop w:val="0"/>
      <w:marBottom w:val="0"/>
      <w:divBdr>
        <w:top w:val="none" w:sz="0" w:space="0" w:color="auto"/>
        <w:left w:val="none" w:sz="0" w:space="0" w:color="auto"/>
        <w:bottom w:val="none" w:sz="0" w:space="0" w:color="auto"/>
        <w:right w:val="none" w:sz="0" w:space="0" w:color="auto"/>
      </w:divBdr>
    </w:div>
    <w:div w:id="884292342">
      <w:bodyDiv w:val="1"/>
      <w:marLeft w:val="0"/>
      <w:marRight w:val="0"/>
      <w:marTop w:val="0"/>
      <w:marBottom w:val="0"/>
      <w:divBdr>
        <w:top w:val="none" w:sz="0" w:space="0" w:color="auto"/>
        <w:left w:val="none" w:sz="0" w:space="0" w:color="auto"/>
        <w:bottom w:val="none" w:sz="0" w:space="0" w:color="auto"/>
        <w:right w:val="none" w:sz="0" w:space="0" w:color="auto"/>
      </w:divBdr>
    </w:div>
    <w:div w:id="899556578">
      <w:bodyDiv w:val="1"/>
      <w:marLeft w:val="0"/>
      <w:marRight w:val="0"/>
      <w:marTop w:val="0"/>
      <w:marBottom w:val="0"/>
      <w:divBdr>
        <w:top w:val="none" w:sz="0" w:space="0" w:color="auto"/>
        <w:left w:val="none" w:sz="0" w:space="0" w:color="auto"/>
        <w:bottom w:val="none" w:sz="0" w:space="0" w:color="auto"/>
        <w:right w:val="none" w:sz="0" w:space="0" w:color="auto"/>
      </w:divBdr>
    </w:div>
    <w:div w:id="987829375">
      <w:bodyDiv w:val="1"/>
      <w:marLeft w:val="0"/>
      <w:marRight w:val="0"/>
      <w:marTop w:val="0"/>
      <w:marBottom w:val="0"/>
      <w:divBdr>
        <w:top w:val="none" w:sz="0" w:space="0" w:color="auto"/>
        <w:left w:val="none" w:sz="0" w:space="0" w:color="auto"/>
        <w:bottom w:val="none" w:sz="0" w:space="0" w:color="auto"/>
        <w:right w:val="none" w:sz="0" w:space="0" w:color="auto"/>
      </w:divBdr>
    </w:div>
    <w:div w:id="990601733">
      <w:bodyDiv w:val="1"/>
      <w:marLeft w:val="0"/>
      <w:marRight w:val="0"/>
      <w:marTop w:val="0"/>
      <w:marBottom w:val="0"/>
      <w:divBdr>
        <w:top w:val="none" w:sz="0" w:space="0" w:color="auto"/>
        <w:left w:val="none" w:sz="0" w:space="0" w:color="auto"/>
        <w:bottom w:val="none" w:sz="0" w:space="0" w:color="auto"/>
        <w:right w:val="none" w:sz="0" w:space="0" w:color="auto"/>
      </w:divBdr>
    </w:div>
    <w:div w:id="1022626465">
      <w:bodyDiv w:val="1"/>
      <w:marLeft w:val="0"/>
      <w:marRight w:val="0"/>
      <w:marTop w:val="0"/>
      <w:marBottom w:val="0"/>
      <w:divBdr>
        <w:top w:val="none" w:sz="0" w:space="0" w:color="auto"/>
        <w:left w:val="none" w:sz="0" w:space="0" w:color="auto"/>
        <w:bottom w:val="none" w:sz="0" w:space="0" w:color="auto"/>
        <w:right w:val="none" w:sz="0" w:space="0" w:color="auto"/>
      </w:divBdr>
    </w:div>
    <w:div w:id="1031494424">
      <w:bodyDiv w:val="1"/>
      <w:marLeft w:val="0"/>
      <w:marRight w:val="0"/>
      <w:marTop w:val="0"/>
      <w:marBottom w:val="0"/>
      <w:divBdr>
        <w:top w:val="none" w:sz="0" w:space="0" w:color="auto"/>
        <w:left w:val="none" w:sz="0" w:space="0" w:color="auto"/>
        <w:bottom w:val="none" w:sz="0" w:space="0" w:color="auto"/>
        <w:right w:val="none" w:sz="0" w:space="0" w:color="auto"/>
      </w:divBdr>
    </w:div>
    <w:div w:id="1072390103">
      <w:bodyDiv w:val="1"/>
      <w:marLeft w:val="0"/>
      <w:marRight w:val="0"/>
      <w:marTop w:val="0"/>
      <w:marBottom w:val="0"/>
      <w:divBdr>
        <w:top w:val="none" w:sz="0" w:space="0" w:color="auto"/>
        <w:left w:val="none" w:sz="0" w:space="0" w:color="auto"/>
        <w:bottom w:val="none" w:sz="0" w:space="0" w:color="auto"/>
        <w:right w:val="none" w:sz="0" w:space="0" w:color="auto"/>
      </w:divBdr>
    </w:div>
    <w:div w:id="1084111130">
      <w:bodyDiv w:val="1"/>
      <w:marLeft w:val="0"/>
      <w:marRight w:val="0"/>
      <w:marTop w:val="0"/>
      <w:marBottom w:val="0"/>
      <w:divBdr>
        <w:top w:val="none" w:sz="0" w:space="0" w:color="auto"/>
        <w:left w:val="none" w:sz="0" w:space="0" w:color="auto"/>
        <w:bottom w:val="none" w:sz="0" w:space="0" w:color="auto"/>
        <w:right w:val="none" w:sz="0" w:space="0" w:color="auto"/>
      </w:divBdr>
    </w:div>
    <w:div w:id="1124888280">
      <w:bodyDiv w:val="1"/>
      <w:marLeft w:val="0"/>
      <w:marRight w:val="0"/>
      <w:marTop w:val="0"/>
      <w:marBottom w:val="0"/>
      <w:divBdr>
        <w:top w:val="none" w:sz="0" w:space="0" w:color="auto"/>
        <w:left w:val="none" w:sz="0" w:space="0" w:color="auto"/>
        <w:bottom w:val="none" w:sz="0" w:space="0" w:color="auto"/>
        <w:right w:val="none" w:sz="0" w:space="0" w:color="auto"/>
      </w:divBdr>
    </w:div>
    <w:div w:id="1298216652">
      <w:bodyDiv w:val="1"/>
      <w:marLeft w:val="0"/>
      <w:marRight w:val="0"/>
      <w:marTop w:val="0"/>
      <w:marBottom w:val="0"/>
      <w:divBdr>
        <w:top w:val="none" w:sz="0" w:space="0" w:color="auto"/>
        <w:left w:val="none" w:sz="0" w:space="0" w:color="auto"/>
        <w:bottom w:val="none" w:sz="0" w:space="0" w:color="auto"/>
        <w:right w:val="none" w:sz="0" w:space="0" w:color="auto"/>
      </w:divBdr>
    </w:div>
    <w:div w:id="1682703731">
      <w:bodyDiv w:val="1"/>
      <w:marLeft w:val="0"/>
      <w:marRight w:val="0"/>
      <w:marTop w:val="0"/>
      <w:marBottom w:val="0"/>
      <w:divBdr>
        <w:top w:val="none" w:sz="0" w:space="0" w:color="auto"/>
        <w:left w:val="none" w:sz="0" w:space="0" w:color="auto"/>
        <w:bottom w:val="none" w:sz="0" w:space="0" w:color="auto"/>
        <w:right w:val="none" w:sz="0" w:space="0" w:color="auto"/>
      </w:divBdr>
    </w:div>
    <w:div w:id="1720938626">
      <w:bodyDiv w:val="1"/>
      <w:marLeft w:val="0"/>
      <w:marRight w:val="0"/>
      <w:marTop w:val="0"/>
      <w:marBottom w:val="0"/>
      <w:divBdr>
        <w:top w:val="none" w:sz="0" w:space="0" w:color="auto"/>
        <w:left w:val="none" w:sz="0" w:space="0" w:color="auto"/>
        <w:bottom w:val="none" w:sz="0" w:space="0" w:color="auto"/>
        <w:right w:val="none" w:sz="0" w:space="0" w:color="auto"/>
      </w:divBdr>
    </w:div>
    <w:div w:id="1947499148">
      <w:bodyDiv w:val="1"/>
      <w:marLeft w:val="0"/>
      <w:marRight w:val="0"/>
      <w:marTop w:val="0"/>
      <w:marBottom w:val="0"/>
      <w:divBdr>
        <w:top w:val="none" w:sz="0" w:space="0" w:color="auto"/>
        <w:left w:val="none" w:sz="0" w:space="0" w:color="auto"/>
        <w:bottom w:val="none" w:sz="0" w:space="0" w:color="auto"/>
        <w:right w:val="none" w:sz="0" w:space="0" w:color="auto"/>
      </w:divBdr>
    </w:div>
    <w:div w:id="1967002894">
      <w:bodyDiv w:val="1"/>
      <w:marLeft w:val="0"/>
      <w:marRight w:val="0"/>
      <w:marTop w:val="0"/>
      <w:marBottom w:val="0"/>
      <w:divBdr>
        <w:top w:val="none" w:sz="0" w:space="0" w:color="auto"/>
        <w:left w:val="none" w:sz="0" w:space="0" w:color="auto"/>
        <w:bottom w:val="none" w:sz="0" w:space="0" w:color="auto"/>
        <w:right w:val="none" w:sz="0" w:space="0" w:color="auto"/>
      </w:divBdr>
    </w:div>
    <w:div w:id="20119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2014-08-05T13:47:00Z</dcterms:created>
  <dcterms:modified xsi:type="dcterms:W3CDTF">2014-08-05T13:47:00Z</dcterms:modified>
</cp:coreProperties>
</file>