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16" w:rsidRPr="00043ADA" w:rsidRDefault="003C4316" w:rsidP="003C4316">
      <w:pPr>
        <w:jc w:val="center"/>
        <w:rPr>
          <w:b/>
          <w:sz w:val="24"/>
          <w:szCs w:val="24"/>
        </w:rPr>
      </w:pPr>
      <w:r w:rsidRPr="00043ADA">
        <w:rPr>
          <w:b/>
          <w:sz w:val="24"/>
          <w:szCs w:val="24"/>
        </w:rPr>
        <w:t>Attachment A</w:t>
      </w:r>
    </w:p>
    <w:p w:rsidR="003C4316" w:rsidRPr="00043ADA" w:rsidRDefault="003C4316" w:rsidP="003C4316">
      <w:pPr>
        <w:jc w:val="center"/>
        <w:rPr>
          <w:b/>
          <w:sz w:val="24"/>
          <w:szCs w:val="24"/>
        </w:rPr>
      </w:pPr>
    </w:p>
    <w:p w:rsidR="003C4316" w:rsidRDefault="003C4316" w:rsidP="003C4316">
      <w:pPr>
        <w:jc w:val="center"/>
        <w:rPr>
          <w:b/>
          <w:sz w:val="24"/>
          <w:szCs w:val="24"/>
        </w:rPr>
      </w:pPr>
      <w:r w:rsidRPr="00043ADA">
        <w:rPr>
          <w:b/>
          <w:sz w:val="24"/>
          <w:szCs w:val="24"/>
        </w:rPr>
        <w:t>Authorizing Legislation: Occupational Safety and Health Act (29 U.S.C. 669)</w:t>
      </w:r>
    </w:p>
    <w:p w:rsidR="00043ADA" w:rsidRPr="00043ADA" w:rsidRDefault="00043ADA" w:rsidP="003C4316">
      <w:pPr>
        <w:jc w:val="center"/>
        <w:rPr>
          <w:b/>
          <w:sz w:val="24"/>
          <w:szCs w:val="24"/>
        </w:rPr>
      </w:pPr>
    </w:p>
    <w:p w:rsidR="003C4316" w:rsidRPr="00C44DAE" w:rsidRDefault="003C4316" w:rsidP="003C4316">
      <w:pPr>
        <w:tabs>
          <w:tab w:val="left" w:pos="360"/>
          <w:tab w:val="left" w:pos="720"/>
          <w:tab w:val="left" w:pos="1080"/>
        </w:tabs>
        <w:jc w:val="center"/>
        <w:rPr>
          <w:b/>
          <w:bCs/>
          <w:iCs/>
          <w:sz w:val="24"/>
          <w:szCs w:val="24"/>
        </w:rPr>
      </w:pPr>
    </w:p>
    <w:p w:rsidR="003C4316" w:rsidRPr="00C44DAE" w:rsidRDefault="003C4316" w:rsidP="003C4316">
      <w:pPr>
        <w:tabs>
          <w:tab w:val="left" w:pos="360"/>
          <w:tab w:val="left" w:pos="720"/>
          <w:tab w:val="left" w:pos="1080"/>
        </w:tabs>
        <w:rPr>
          <w:bCs/>
          <w:iCs/>
          <w:sz w:val="24"/>
          <w:szCs w:val="24"/>
        </w:rPr>
      </w:pPr>
      <w:r w:rsidRPr="00C44DAE">
        <w:rPr>
          <w:bCs/>
          <w:iCs/>
          <w:sz w:val="24"/>
          <w:szCs w:val="24"/>
        </w:rPr>
        <w:t>Occupational Safety and Health Act</w:t>
      </w:r>
      <w:bookmarkStart w:id="0" w:name="_GoBack"/>
      <w:bookmarkEnd w:id="0"/>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 20)</w:t>
      </w:r>
    </w:p>
    <w:p w:rsidR="003C4316" w:rsidRPr="00C44DAE" w:rsidRDefault="003C4316" w:rsidP="003C4316">
      <w:pPr>
        <w:tabs>
          <w:tab w:val="left" w:pos="360"/>
          <w:tab w:val="left" w:pos="720"/>
          <w:tab w:val="left" w:pos="1080"/>
        </w:tabs>
        <w:rPr>
          <w:bCs/>
          <w:sz w:val="24"/>
          <w:szCs w:val="24"/>
        </w:rPr>
      </w:pPr>
      <w:r w:rsidRPr="00C44DAE">
        <w:rPr>
          <w:bCs/>
          <w:sz w:val="24"/>
          <w:szCs w:val="24"/>
        </w:rPr>
        <w:t>OSH Act of 1970 -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1" w:name="a20"/>
      <w:proofErr w:type="gramStart"/>
      <w:r w:rsidRPr="00C44DAE">
        <w:rPr>
          <w:b/>
          <w:bCs/>
          <w:sz w:val="24"/>
          <w:szCs w:val="24"/>
        </w:rPr>
        <w:t>SEC. 20.</w:t>
      </w:r>
      <w:proofErr w:type="gramEnd"/>
      <w:r w:rsidRPr="00C44DAE">
        <w:rPr>
          <w:b/>
          <w:bCs/>
          <w:sz w:val="24"/>
          <w:szCs w:val="24"/>
        </w:rPr>
        <w:t xml:space="preserve"> Research and Related Activities</w:t>
      </w:r>
      <w:bookmarkEnd w:id="1"/>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 Monospace">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6"/>
    <w:rsid w:val="00043ADA"/>
    <w:rsid w:val="00101017"/>
    <w:rsid w:val="001F0923"/>
    <w:rsid w:val="003C4316"/>
    <w:rsid w:val="006B72B7"/>
    <w:rsid w:val="00823B32"/>
    <w:rsid w:val="00BD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 w:type="character" w:styleId="CommentReference">
    <w:name w:val="annotation reference"/>
    <w:basedOn w:val="DefaultParagraphFont"/>
    <w:uiPriority w:val="99"/>
    <w:semiHidden/>
    <w:unhideWhenUsed/>
    <w:rsid w:val="00101017"/>
    <w:rPr>
      <w:sz w:val="16"/>
      <w:szCs w:val="16"/>
    </w:rPr>
  </w:style>
  <w:style w:type="paragraph" w:styleId="CommentText">
    <w:name w:val="annotation text"/>
    <w:basedOn w:val="Normal"/>
    <w:link w:val="CommentTextChar"/>
    <w:uiPriority w:val="99"/>
    <w:semiHidden/>
    <w:unhideWhenUsed/>
    <w:rsid w:val="00101017"/>
  </w:style>
  <w:style w:type="character" w:customStyle="1" w:styleId="CommentTextChar">
    <w:name w:val="Comment Text Char"/>
    <w:basedOn w:val="DefaultParagraphFont"/>
    <w:link w:val="CommentText"/>
    <w:uiPriority w:val="99"/>
    <w:semiHidden/>
    <w:rsid w:val="00101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1017"/>
    <w:rPr>
      <w:b/>
      <w:bCs/>
    </w:rPr>
  </w:style>
  <w:style w:type="character" w:customStyle="1" w:styleId="CommentSubjectChar">
    <w:name w:val="Comment Subject Char"/>
    <w:basedOn w:val="CommentTextChar"/>
    <w:link w:val="CommentSubject"/>
    <w:uiPriority w:val="99"/>
    <w:semiHidden/>
    <w:rsid w:val="001010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1017"/>
    <w:rPr>
      <w:rFonts w:ascii="Tahoma" w:hAnsi="Tahoma" w:cs="Tahoma"/>
      <w:sz w:val="16"/>
      <w:szCs w:val="16"/>
    </w:rPr>
  </w:style>
  <w:style w:type="character" w:customStyle="1" w:styleId="BalloonTextChar">
    <w:name w:val="Balloon Text Char"/>
    <w:basedOn w:val="DefaultParagraphFont"/>
    <w:link w:val="BalloonText"/>
    <w:uiPriority w:val="99"/>
    <w:semiHidden/>
    <w:rsid w:val="001010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 w:type="character" w:styleId="CommentReference">
    <w:name w:val="annotation reference"/>
    <w:basedOn w:val="DefaultParagraphFont"/>
    <w:uiPriority w:val="99"/>
    <w:semiHidden/>
    <w:unhideWhenUsed/>
    <w:rsid w:val="00101017"/>
    <w:rPr>
      <w:sz w:val="16"/>
      <w:szCs w:val="16"/>
    </w:rPr>
  </w:style>
  <w:style w:type="paragraph" w:styleId="CommentText">
    <w:name w:val="annotation text"/>
    <w:basedOn w:val="Normal"/>
    <w:link w:val="CommentTextChar"/>
    <w:uiPriority w:val="99"/>
    <w:semiHidden/>
    <w:unhideWhenUsed/>
    <w:rsid w:val="00101017"/>
  </w:style>
  <w:style w:type="character" w:customStyle="1" w:styleId="CommentTextChar">
    <w:name w:val="Comment Text Char"/>
    <w:basedOn w:val="DefaultParagraphFont"/>
    <w:link w:val="CommentText"/>
    <w:uiPriority w:val="99"/>
    <w:semiHidden/>
    <w:rsid w:val="00101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1017"/>
    <w:rPr>
      <w:b/>
      <w:bCs/>
    </w:rPr>
  </w:style>
  <w:style w:type="character" w:customStyle="1" w:styleId="CommentSubjectChar">
    <w:name w:val="Comment Subject Char"/>
    <w:basedOn w:val="CommentTextChar"/>
    <w:link w:val="CommentSubject"/>
    <w:uiPriority w:val="99"/>
    <w:semiHidden/>
    <w:rsid w:val="001010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1017"/>
    <w:rPr>
      <w:rFonts w:ascii="Tahoma" w:hAnsi="Tahoma" w:cs="Tahoma"/>
      <w:sz w:val="16"/>
      <w:szCs w:val="16"/>
    </w:rPr>
  </w:style>
  <w:style w:type="character" w:customStyle="1" w:styleId="BalloonTextChar">
    <w:name w:val="Balloon Text Char"/>
    <w:basedOn w:val="DefaultParagraphFont"/>
    <w:link w:val="BalloonText"/>
    <w:uiPriority w:val="99"/>
    <w:semiHidden/>
    <w:rsid w:val="001010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4</cp:revision>
  <dcterms:created xsi:type="dcterms:W3CDTF">2014-08-05T13:44:00Z</dcterms:created>
  <dcterms:modified xsi:type="dcterms:W3CDTF">2014-09-22T13:41:00Z</dcterms:modified>
</cp:coreProperties>
</file>