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8BF" w:rsidRDefault="002C78BF" w:rsidP="002C78BF">
      <w:pPr>
        <w:jc w:val="center"/>
        <w:rPr>
          <w:rStyle w:val="BookTitle"/>
          <w:rFonts w:asciiTheme="majorHAnsi" w:hAnsiTheme="majorHAnsi"/>
        </w:rPr>
      </w:pPr>
    </w:p>
    <w:p w:rsidR="002C78BF" w:rsidRDefault="002C78BF" w:rsidP="002C78BF">
      <w:pPr>
        <w:jc w:val="center"/>
        <w:rPr>
          <w:rStyle w:val="BookTitle"/>
          <w:rFonts w:asciiTheme="majorHAnsi" w:hAnsiTheme="majorHAnsi"/>
        </w:rPr>
      </w:pPr>
    </w:p>
    <w:p w:rsidR="002C78BF" w:rsidRDefault="002C78BF" w:rsidP="002C78BF">
      <w:pPr>
        <w:jc w:val="center"/>
        <w:rPr>
          <w:rStyle w:val="BookTitle"/>
          <w:rFonts w:asciiTheme="majorHAnsi" w:hAnsiTheme="majorHAnsi"/>
        </w:rPr>
      </w:pPr>
    </w:p>
    <w:p w:rsidR="002C78BF" w:rsidRDefault="002C78BF" w:rsidP="002C78BF">
      <w:pPr>
        <w:jc w:val="center"/>
        <w:rPr>
          <w:rStyle w:val="BookTitle"/>
          <w:rFonts w:asciiTheme="majorHAnsi" w:hAnsiTheme="majorHAnsi"/>
        </w:rPr>
      </w:pPr>
    </w:p>
    <w:p w:rsidR="002C78BF" w:rsidRDefault="002C78BF" w:rsidP="002C78BF">
      <w:pPr>
        <w:jc w:val="center"/>
        <w:rPr>
          <w:rStyle w:val="BookTitle"/>
          <w:rFonts w:asciiTheme="majorHAnsi" w:hAnsiTheme="majorHAnsi"/>
        </w:rPr>
      </w:pPr>
    </w:p>
    <w:p w:rsidR="000134E1" w:rsidRDefault="000134E1" w:rsidP="002C78BF">
      <w:pPr>
        <w:jc w:val="center"/>
        <w:rPr>
          <w:rStyle w:val="BookTitle"/>
          <w:rFonts w:asciiTheme="majorHAnsi" w:hAnsiTheme="majorHAnsi"/>
        </w:rPr>
      </w:pPr>
    </w:p>
    <w:p w:rsidR="00E07600" w:rsidRPr="00711D6C" w:rsidRDefault="00E07600" w:rsidP="00E07600">
      <w:pPr>
        <w:jc w:val="center"/>
        <w:rPr>
          <w:rStyle w:val="BookTitle"/>
          <w:rFonts w:asciiTheme="majorHAnsi" w:hAnsiTheme="majorHAnsi"/>
          <w:sz w:val="28"/>
          <w:szCs w:val="28"/>
        </w:rPr>
      </w:pPr>
      <w:r w:rsidRPr="00711D6C">
        <w:rPr>
          <w:rStyle w:val="BookTitle"/>
          <w:rFonts w:asciiTheme="majorHAnsi" w:hAnsiTheme="majorHAnsi"/>
          <w:sz w:val="28"/>
          <w:szCs w:val="28"/>
        </w:rPr>
        <w:t>Monitoring and Reporting System for</w:t>
      </w:r>
      <w:r>
        <w:rPr>
          <w:rStyle w:val="BookTitle"/>
          <w:rFonts w:asciiTheme="majorHAnsi" w:hAnsiTheme="majorHAnsi"/>
          <w:sz w:val="28"/>
          <w:szCs w:val="28"/>
        </w:rPr>
        <w:t xml:space="preserve"> the</w:t>
      </w:r>
    </w:p>
    <w:p w:rsidR="00E07600" w:rsidRPr="0049607C" w:rsidRDefault="00E07600" w:rsidP="00E07600">
      <w:pPr>
        <w:jc w:val="center"/>
        <w:rPr>
          <w:rStyle w:val="BookTitle"/>
          <w:rFonts w:asciiTheme="majorHAnsi" w:hAnsiTheme="majorHAnsi"/>
          <w:sz w:val="28"/>
          <w:szCs w:val="28"/>
        </w:rPr>
      </w:pPr>
      <w:r w:rsidRPr="00711D6C">
        <w:rPr>
          <w:rStyle w:val="BookTitle"/>
          <w:rFonts w:asciiTheme="majorHAnsi" w:hAnsiTheme="majorHAnsi"/>
          <w:sz w:val="28"/>
          <w:szCs w:val="28"/>
        </w:rPr>
        <w:t>State Public Health Actions Cooperative Agreement</w:t>
      </w:r>
    </w:p>
    <w:p w:rsidR="000134E1" w:rsidRPr="0049607C" w:rsidRDefault="000134E1" w:rsidP="000134E1">
      <w:pPr>
        <w:jc w:val="center"/>
        <w:rPr>
          <w:rStyle w:val="BookTitle"/>
          <w:rFonts w:asciiTheme="majorHAnsi" w:hAnsiTheme="majorHAnsi"/>
          <w:sz w:val="28"/>
          <w:szCs w:val="28"/>
        </w:rPr>
      </w:pPr>
    </w:p>
    <w:p w:rsidR="000134E1" w:rsidRPr="0049607C" w:rsidRDefault="000134E1" w:rsidP="000134E1">
      <w:pPr>
        <w:jc w:val="center"/>
        <w:rPr>
          <w:rStyle w:val="BookTitle"/>
          <w:rFonts w:asciiTheme="majorHAnsi" w:hAnsiTheme="majorHAnsi"/>
          <w:sz w:val="28"/>
          <w:szCs w:val="28"/>
        </w:rPr>
      </w:pPr>
    </w:p>
    <w:p w:rsidR="000134E1" w:rsidRPr="0049607C" w:rsidRDefault="000134E1" w:rsidP="000134E1">
      <w:pPr>
        <w:jc w:val="center"/>
        <w:rPr>
          <w:rStyle w:val="BookTitle"/>
          <w:rFonts w:asciiTheme="majorHAnsi" w:hAnsiTheme="majorHAnsi"/>
          <w:sz w:val="28"/>
          <w:szCs w:val="28"/>
        </w:rPr>
      </w:pPr>
    </w:p>
    <w:p w:rsidR="000134E1" w:rsidRPr="0049607C" w:rsidRDefault="000134E1" w:rsidP="000134E1">
      <w:pPr>
        <w:jc w:val="center"/>
        <w:rPr>
          <w:rStyle w:val="BookTitle"/>
          <w:rFonts w:asciiTheme="majorHAnsi" w:hAnsiTheme="majorHAnsi"/>
          <w:sz w:val="28"/>
          <w:szCs w:val="28"/>
        </w:rPr>
      </w:pPr>
      <w:r w:rsidRPr="0049607C">
        <w:rPr>
          <w:rStyle w:val="BookTitle"/>
          <w:rFonts w:asciiTheme="majorHAnsi" w:hAnsiTheme="majorHAnsi"/>
          <w:sz w:val="28"/>
          <w:szCs w:val="28"/>
        </w:rPr>
        <w:t>Part b:  Statistical Methods</w:t>
      </w:r>
    </w:p>
    <w:p w:rsidR="000134E1" w:rsidRPr="0049607C" w:rsidRDefault="000134E1" w:rsidP="000134E1">
      <w:pPr>
        <w:jc w:val="center"/>
        <w:rPr>
          <w:rStyle w:val="BookTitle"/>
          <w:rFonts w:asciiTheme="majorHAnsi" w:hAnsiTheme="majorHAnsi"/>
          <w:sz w:val="28"/>
          <w:szCs w:val="28"/>
        </w:rPr>
      </w:pPr>
    </w:p>
    <w:p w:rsidR="000134E1" w:rsidRPr="0049607C" w:rsidRDefault="000134E1" w:rsidP="000134E1">
      <w:pPr>
        <w:jc w:val="center"/>
        <w:rPr>
          <w:rFonts w:asciiTheme="majorHAnsi" w:hAnsiTheme="majorHAnsi"/>
          <w:b/>
          <w:sz w:val="32"/>
          <w:szCs w:val="32"/>
        </w:rPr>
      </w:pPr>
    </w:p>
    <w:p w:rsidR="000134E1" w:rsidRPr="0049607C" w:rsidRDefault="000134E1" w:rsidP="000134E1">
      <w:pPr>
        <w:jc w:val="center"/>
        <w:rPr>
          <w:rFonts w:asciiTheme="majorHAnsi" w:hAnsiTheme="majorHAnsi"/>
          <w:b/>
          <w:sz w:val="32"/>
          <w:szCs w:val="32"/>
        </w:rPr>
      </w:pPr>
    </w:p>
    <w:p w:rsidR="000134E1" w:rsidRPr="0049607C" w:rsidRDefault="000134E1" w:rsidP="000134E1">
      <w:pPr>
        <w:jc w:val="center"/>
        <w:rPr>
          <w:rFonts w:asciiTheme="majorHAnsi" w:hAnsiTheme="majorHAnsi"/>
          <w:b/>
          <w:sz w:val="32"/>
          <w:szCs w:val="32"/>
        </w:rPr>
      </w:pPr>
    </w:p>
    <w:p w:rsidR="000134E1" w:rsidRPr="0049607C" w:rsidRDefault="00B44BDE" w:rsidP="000134E1">
      <w:pPr>
        <w:jc w:val="center"/>
        <w:rPr>
          <w:rFonts w:asciiTheme="majorHAnsi" w:hAnsiTheme="majorHAnsi"/>
          <w:b/>
        </w:rPr>
      </w:pPr>
      <w:r>
        <w:rPr>
          <w:rFonts w:asciiTheme="majorHAnsi" w:hAnsiTheme="majorHAnsi"/>
          <w:b/>
        </w:rPr>
        <w:t>October 29</w:t>
      </w:r>
      <w:r w:rsidR="000134E1" w:rsidRPr="0049607C">
        <w:rPr>
          <w:rFonts w:asciiTheme="majorHAnsi" w:hAnsiTheme="majorHAnsi"/>
          <w:b/>
        </w:rPr>
        <w:t>, 2014</w:t>
      </w:r>
    </w:p>
    <w:p w:rsidR="000134E1" w:rsidRPr="0049607C" w:rsidRDefault="000134E1" w:rsidP="000134E1">
      <w:pPr>
        <w:jc w:val="center"/>
        <w:rPr>
          <w:rFonts w:asciiTheme="majorHAnsi" w:hAnsiTheme="majorHAnsi"/>
          <w:b/>
        </w:rPr>
      </w:pPr>
    </w:p>
    <w:p w:rsidR="000134E1" w:rsidRPr="0049607C" w:rsidRDefault="000134E1" w:rsidP="000134E1">
      <w:pPr>
        <w:jc w:val="center"/>
        <w:rPr>
          <w:rFonts w:asciiTheme="majorHAnsi" w:hAnsiTheme="majorHAnsi"/>
          <w:b/>
        </w:rPr>
      </w:pPr>
    </w:p>
    <w:p w:rsidR="000134E1" w:rsidRPr="0049607C" w:rsidRDefault="000134E1" w:rsidP="000134E1">
      <w:pPr>
        <w:jc w:val="center"/>
        <w:rPr>
          <w:rFonts w:asciiTheme="majorHAnsi" w:hAnsiTheme="majorHAnsi"/>
          <w:b/>
        </w:rPr>
      </w:pPr>
    </w:p>
    <w:p w:rsidR="000134E1" w:rsidRPr="0049607C" w:rsidRDefault="000134E1" w:rsidP="000134E1">
      <w:pPr>
        <w:jc w:val="center"/>
        <w:rPr>
          <w:rFonts w:asciiTheme="majorHAnsi" w:hAnsiTheme="majorHAnsi"/>
          <w:b/>
        </w:rPr>
      </w:pPr>
    </w:p>
    <w:p w:rsidR="000134E1" w:rsidRPr="0049607C" w:rsidRDefault="000134E1" w:rsidP="000134E1">
      <w:pPr>
        <w:tabs>
          <w:tab w:val="left" w:pos="5205"/>
        </w:tabs>
        <w:rPr>
          <w:rFonts w:asciiTheme="majorHAnsi" w:hAnsiTheme="majorHAnsi"/>
          <w:b/>
        </w:rPr>
      </w:pPr>
      <w:r w:rsidRPr="0049607C">
        <w:rPr>
          <w:rFonts w:asciiTheme="majorHAnsi" w:hAnsiTheme="majorHAnsi"/>
          <w:b/>
        </w:rPr>
        <w:tab/>
      </w:r>
    </w:p>
    <w:p w:rsidR="000134E1" w:rsidRPr="0049607C" w:rsidRDefault="000134E1" w:rsidP="000134E1">
      <w:pPr>
        <w:rPr>
          <w:rFonts w:asciiTheme="majorHAnsi" w:hAnsiTheme="majorHAnsi"/>
          <w:b/>
        </w:rPr>
      </w:pPr>
    </w:p>
    <w:p w:rsidR="000134E1" w:rsidRPr="0049607C" w:rsidRDefault="000134E1" w:rsidP="000134E1">
      <w:pPr>
        <w:jc w:val="center"/>
        <w:rPr>
          <w:rFonts w:asciiTheme="majorHAnsi" w:hAnsiTheme="majorHAnsi"/>
          <w:b/>
        </w:rPr>
      </w:pPr>
    </w:p>
    <w:p w:rsidR="000134E1" w:rsidRPr="0049607C" w:rsidRDefault="000134E1" w:rsidP="000134E1">
      <w:pPr>
        <w:jc w:val="center"/>
        <w:rPr>
          <w:rFonts w:asciiTheme="majorHAnsi" w:hAnsiTheme="majorHAnsi"/>
          <w:b/>
        </w:rPr>
      </w:pPr>
    </w:p>
    <w:p w:rsidR="000134E1" w:rsidRPr="0049607C" w:rsidRDefault="000134E1" w:rsidP="000134E1">
      <w:pPr>
        <w:jc w:val="center"/>
        <w:rPr>
          <w:rFonts w:asciiTheme="majorHAnsi" w:hAnsiTheme="majorHAnsi"/>
          <w:b/>
        </w:rPr>
      </w:pPr>
    </w:p>
    <w:p w:rsidR="000134E1" w:rsidRPr="0049607C" w:rsidRDefault="000134E1" w:rsidP="000134E1">
      <w:pPr>
        <w:jc w:val="center"/>
        <w:rPr>
          <w:rFonts w:asciiTheme="majorHAnsi" w:hAnsiTheme="majorHAnsi"/>
          <w:b/>
        </w:rPr>
      </w:pPr>
    </w:p>
    <w:p w:rsidR="000134E1" w:rsidRPr="0049607C" w:rsidRDefault="000134E1" w:rsidP="000134E1">
      <w:pPr>
        <w:jc w:val="center"/>
        <w:rPr>
          <w:rFonts w:asciiTheme="majorHAnsi" w:hAnsiTheme="majorHAnsi"/>
          <w:b/>
        </w:rPr>
      </w:pPr>
    </w:p>
    <w:p w:rsidR="000134E1" w:rsidRPr="0049607C" w:rsidRDefault="000134E1" w:rsidP="000134E1">
      <w:pPr>
        <w:jc w:val="center"/>
        <w:rPr>
          <w:rFonts w:asciiTheme="majorHAnsi" w:hAnsiTheme="majorHAnsi"/>
          <w:b/>
        </w:rPr>
      </w:pPr>
    </w:p>
    <w:p w:rsidR="000134E1" w:rsidRPr="0049607C" w:rsidRDefault="000134E1" w:rsidP="000134E1">
      <w:pPr>
        <w:jc w:val="center"/>
        <w:rPr>
          <w:rFonts w:asciiTheme="majorHAnsi" w:hAnsiTheme="majorHAnsi"/>
          <w:b/>
        </w:rPr>
      </w:pPr>
    </w:p>
    <w:p w:rsidR="000134E1" w:rsidRPr="0049607C" w:rsidRDefault="000134E1" w:rsidP="000134E1">
      <w:pPr>
        <w:jc w:val="center"/>
        <w:rPr>
          <w:rFonts w:asciiTheme="majorHAnsi" w:hAnsiTheme="majorHAnsi"/>
          <w:b/>
        </w:rPr>
      </w:pPr>
    </w:p>
    <w:p w:rsidR="000134E1" w:rsidRPr="0049607C" w:rsidRDefault="000134E1" w:rsidP="000134E1">
      <w:pPr>
        <w:jc w:val="center"/>
        <w:rPr>
          <w:rFonts w:asciiTheme="majorHAnsi" w:hAnsiTheme="majorHAnsi"/>
          <w:b/>
        </w:rPr>
      </w:pPr>
    </w:p>
    <w:p w:rsidR="000134E1" w:rsidRPr="0049607C" w:rsidRDefault="000134E1" w:rsidP="000134E1">
      <w:pPr>
        <w:jc w:val="center"/>
        <w:rPr>
          <w:rFonts w:asciiTheme="majorHAnsi" w:hAnsiTheme="majorHAnsi"/>
          <w:b/>
        </w:rPr>
      </w:pPr>
    </w:p>
    <w:p w:rsidR="000134E1" w:rsidRPr="0049607C" w:rsidRDefault="000134E1" w:rsidP="000134E1">
      <w:pPr>
        <w:jc w:val="right"/>
        <w:rPr>
          <w:rFonts w:asciiTheme="majorHAnsi" w:hAnsiTheme="majorHAnsi"/>
          <w:b/>
        </w:rPr>
      </w:pPr>
    </w:p>
    <w:p w:rsidR="000134E1" w:rsidRPr="0049607C" w:rsidRDefault="000134E1" w:rsidP="000134E1">
      <w:pPr>
        <w:jc w:val="right"/>
        <w:rPr>
          <w:rFonts w:asciiTheme="majorHAnsi" w:hAnsiTheme="majorHAnsi"/>
          <w:b/>
        </w:rPr>
      </w:pPr>
      <w:r w:rsidRPr="0049607C">
        <w:rPr>
          <w:rFonts w:asciiTheme="majorHAnsi" w:hAnsiTheme="majorHAnsi"/>
          <w:b/>
        </w:rPr>
        <w:t xml:space="preserve">Contact: Jan Jernigan, Ph.D. </w:t>
      </w:r>
    </w:p>
    <w:p w:rsidR="000134E1" w:rsidRPr="0049607C" w:rsidRDefault="000134E1" w:rsidP="000134E1">
      <w:pPr>
        <w:jc w:val="right"/>
        <w:rPr>
          <w:rFonts w:asciiTheme="majorHAnsi" w:hAnsiTheme="majorHAnsi"/>
          <w:b/>
        </w:rPr>
      </w:pPr>
      <w:r w:rsidRPr="0049607C">
        <w:rPr>
          <w:rFonts w:asciiTheme="majorHAnsi" w:hAnsiTheme="majorHAnsi"/>
          <w:b/>
        </w:rPr>
        <w:t>Telephone: 770.488.5224</w:t>
      </w:r>
    </w:p>
    <w:p w:rsidR="000134E1" w:rsidRPr="0049607C" w:rsidRDefault="000134E1" w:rsidP="000134E1">
      <w:pPr>
        <w:jc w:val="right"/>
        <w:rPr>
          <w:rFonts w:asciiTheme="majorHAnsi" w:hAnsiTheme="majorHAnsi"/>
          <w:b/>
        </w:rPr>
      </w:pPr>
      <w:r w:rsidRPr="0049607C">
        <w:rPr>
          <w:rFonts w:asciiTheme="majorHAnsi" w:hAnsiTheme="majorHAnsi"/>
          <w:b/>
        </w:rPr>
        <w:t xml:space="preserve">E-mail: </w:t>
      </w:r>
      <w:r w:rsidR="0049607C">
        <w:rPr>
          <w:rFonts w:asciiTheme="majorHAnsi" w:hAnsiTheme="majorHAnsi"/>
          <w:b/>
        </w:rPr>
        <w:t>ddq8</w:t>
      </w:r>
      <w:hyperlink r:id="rId6" w:history="1">
        <w:r w:rsidRPr="0049607C">
          <w:rPr>
            <w:rStyle w:val="Hyperlink"/>
            <w:rFonts w:asciiTheme="majorHAnsi" w:hAnsiTheme="majorHAnsi"/>
            <w:b/>
          </w:rPr>
          <w:t>@cdc.gov</w:t>
        </w:r>
      </w:hyperlink>
    </w:p>
    <w:p w:rsidR="000134E1" w:rsidRPr="0049607C" w:rsidRDefault="000134E1" w:rsidP="000134E1">
      <w:pPr>
        <w:jc w:val="right"/>
        <w:rPr>
          <w:rFonts w:asciiTheme="majorHAnsi" w:hAnsiTheme="majorHAnsi"/>
          <w:b/>
        </w:rPr>
      </w:pPr>
      <w:r w:rsidRPr="0049607C">
        <w:rPr>
          <w:rFonts w:asciiTheme="majorHAnsi" w:hAnsiTheme="majorHAnsi"/>
          <w:b/>
        </w:rPr>
        <w:t xml:space="preserve">National Center for Chronic Disease </w:t>
      </w:r>
    </w:p>
    <w:p w:rsidR="000134E1" w:rsidRPr="0049607C" w:rsidRDefault="000134E1" w:rsidP="000134E1">
      <w:pPr>
        <w:jc w:val="right"/>
        <w:rPr>
          <w:rFonts w:asciiTheme="majorHAnsi" w:hAnsiTheme="majorHAnsi"/>
          <w:b/>
        </w:rPr>
      </w:pPr>
      <w:r w:rsidRPr="0049607C">
        <w:rPr>
          <w:rFonts w:asciiTheme="majorHAnsi" w:hAnsiTheme="majorHAnsi"/>
          <w:b/>
        </w:rPr>
        <w:t>Prevention and Health Promotion</w:t>
      </w:r>
    </w:p>
    <w:p w:rsidR="000134E1" w:rsidRPr="0049607C" w:rsidRDefault="000134E1" w:rsidP="000134E1">
      <w:pPr>
        <w:jc w:val="right"/>
        <w:rPr>
          <w:rFonts w:asciiTheme="majorHAnsi" w:hAnsiTheme="majorHAnsi"/>
          <w:b/>
        </w:rPr>
      </w:pPr>
      <w:r w:rsidRPr="0049607C">
        <w:rPr>
          <w:rFonts w:asciiTheme="majorHAnsi" w:hAnsiTheme="majorHAnsi"/>
          <w:b/>
        </w:rPr>
        <w:t>Centers for Disease Prevention and Control</w:t>
      </w:r>
    </w:p>
    <w:p w:rsidR="000134E1" w:rsidRPr="0049607C" w:rsidRDefault="000134E1" w:rsidP="000134E1">
      <w:pPr>
        <w:jc w:val="right"/>
        <w:rPr>
          <w:rFonts w:asciiTheme="majorHAnsi" w:hAnsiTheme="majorHAnsi"/>
          <w:b/>
        </w:rPr>
      </w:pPr>
      <w:r w:rsidRPr="0049607C">
        <w:rPr>
          <w:rFonts w:asciiTheme="majorHAnsi" w:hAnsiTheme="majorHAnsi"/>
          <w:b/>
        </w:rPr>
        <w:t>Atlanta, Georgia</w:t>
      </w:r>
    </w:p>
    <w:p w:rsidR="000134E1" w:rsidRPr="0049607C" w:rsidRDefault="000134E1" w:rsidP="000134E1">
      <w:pPr>
        <w:rPr>
          <w:rFonts w:asciiTheme="majorHAnsi" w:hAnsiTheme="majorHAnsi"/>
        </w:rPr>
      </w:pPr>
    </w:p>
    <w:p w:rsidR="00992D40" w:rsidRDefault="00992D40" w:rsidP="000134E1">
      <w:pPr>
        <w:jc w:val="center"/>
        <w:rPr>
          <w:rFonts w:asciiTheme="majorHAnsi" w:hAnsiTheme="majorHAnsi"/>
          <w:b/>
        </w:rPr>
      </w:pPr>
      <w:r>
        <w:rPr>
          <w:rFonts w:asciiTheme="majorHAnsi" w:hAnsiTheme="majorHAnsi"/>
          <w:b/>
        </w:rPr>
        <w:br w:type="page"/>
      </w:r>
    </w:p>
    <w:p w:rsidR="000134E1" w:rsidRPr="0049607C" w:rsidRDefault="000134E1" w:rsidP="000134E1">
      <w:pPr>
        <w:jc w:val="center"/>
        <w:rPr>
          <w:rFonts w:asciiTheme="majorHAnsi" w:hAnsiTheme="majorHAnsi"/>
          <w:b/>
        </w:rPr>
      </w:pPr>
      <w:r w:rsidRPr="0049607C">
        <w:rPr>
          <w:rFonts w:asciiTheme="majorHAnsi" w:hAnsiTheme="majorHAnsi"/>
          <w:b/>
        </w:rPr>
        <w:lastRenderedPageBreak/>
        <w:t>TABLE OF CONTENTS</w:t>
      </w:r>
    </w:p>
    <w:p w:rsidR="000134E1" w:rsidRPr="0049607C" w:rsidRDefault="000134E1" w:rsidP="000134E1">
      <w:pPr>
        <w:jc w:val="center"/>
        <w:rPr>
          <w:rFonts w:asciiTheme="majorHAnsi" w:hAnsiTheme="majorHAnsi"/>
        </w:rPr>
      </w:pPr>
    </w:p>
    <w:p w:rsidR="000134E1" w:rsidRPr="0049607C" w:rsidRDefault="000134E1" w:rsidP="000134E1">
      <w:pPr>
        <w:ind w:left="450" w:hanging="450"/>
        <w:rPr>
          <w:rFonts w:asciiTheme="majorHAnsi" w:hAnsiTheme="majorHAnsi"/>
        </w:rPr>
      </w:pPr>
      <w:r w:rsidRPr="0049607C">
        <w:rPr>
          <w:rFonts w:asciiTheme="majorHAnsi" w:hAnsiTheme="majorHAnsi"/>
        </w:rPr>
        <w:t xml:space="preserve">1. </w:t>
      </w:r>
      <w:r w:rsidRPr="0049607C">
        <w:rPr>
          <w:rFonts w:asciiTheme="majorHAnsi" w:hAnsiTheme="majorHAnsi"/>
        </w:rPr>
        <w:tab/>
        <w:t>Respondent Universe and Sampling Methods</w:t>
      </w:r>
    </w:p>
    <w:p w:rsidR="000134E1" w:rsidRPr="0049607C" w:rsidRDefault="000134E1" w:rsidP="000134E1">
      <w:pPr>
        <w:ind w:left="450" w:hanging="450"/>
        <w:rPr>
          <w:rFonts w:asciiTheme="majorHAnsi" w:hAnsiTheme="majorHAnsi"/>
        </w:rPr>
      </w:pPr>
    </w:p>
    <w:p w:rsidR="000134E1" w:rsidRPr="0049607C" w:rsidRDefault="000134E1" w:rsidP="000134E1">
      <w:pPr>
        <w:ind w:left="450" w:hanging="450"/>
        <w:rPr>
          <w:rFonts w:asciiTheme="majorHAnsi" w:hAnsiTheme="majorHAnsi"/>
        </w:rPr>
      </w:pPr>
      <w:r w:rsidRPr="0049607C">
        <w:rPr>
          <w:rFonts w:asciiTheme="majorHAnsi" w:hAnsiTheme="majorHAnsi"/>
        </w:rPr>
        <w:t xml:space="preserve">2. </w:t>
      </w:r>
      <w:r w:rsidRPr="0049607C">
        <w:rPr>
          <w:rFonts w:asciiTheme="majorHAnsi" w:hAnsiTheme="majorHAnsi"/>
        </w:rPr>
        <w:tab/>
        <w:t>Procedures for the Collection of Information</w:t>
      </w:r>
    </w:p>
    <w:p w:rsidR="000134E1" w:rsidRPr="0049607C" w:rsidRDefault="000134E1" w:rsidP="000134E1">
      <w:pPr>
        <w:ind w:left="450" w:hanging="450"/>
        <w:rPr>
          <w:rFonts w:asciiTheme="majorHAnsi" w:hAnsiTheme="majorHAnsi"/>
        </w:rPr>
      </w:pPr>
    </w:p>
    <w:p w:rsidR="000134E1" w:rsidRPr="0049607C" w:rsidRDefault="000134E1" w:rsidP="000134E1">
      <w:pPr>
        <w:ind w:left="450" w:hanging="450"/>
        <w:rPr>
          <w:rFonts w:asciiTheme="majorHAnsi" w:hAnsiTheme="majorHAnsi"/>
        </w:rPr>
      </w:pPr>
      <w:r w:rsidRPr="0049607C">
        <w:rPr>
          <w:rFonts w:asciiTheme="majorHAnsi" w:hAnsiTheme="majorHAnsi"/>
        </w:rPr>
        <w:t xml:space="preserve">3. </w:t>
      </w:r>
      <w:r w:rsidRPr="0049607C">
        <w:rPr>
          <w:rFonts w:asciiTheme="majorHAnsi" w:hAnsiTheme="majorHAnsi"/>
        </w:rPr>
        <w:tab/>
        <w:t>Methods to Maximize Response Rates and Deal with Nonresponse</w:t>
      </w:r>
    </w:p>
    <w:p w:rsidR="000134E1" w:rsidRPr="0049607C" w:rsidRDefault="000134E1" w:rsidP="000134E1">
      <w:pPr>
        <w:ind w:left="450" w:hanging="450"/>
        <w:rPr>
          <w:rFonts w:asciiTheme="majorHAnsi" w:hAnsiTheme="majorHAnsi"/>
        </w:rPr>
      </w:pPr>
    </w:p>
    <w:p w:rsidR="000134E1" w:rsidRPr="0049607C" w:rsidRDefault="000134E1" w:rsidP="000134E1">
      <w:pPr>
        <w:ind w:left="450" w:hanging="450"/>
        <w:rPr>
          <w:rFonts w:asciiTheme="majorHAnsi" w:hAnsiTheme="majorHAnsi"/>
        </w:rPr>
      </w:pPr>
      <w:r w:rsidRPr="0049607C">
        <w:rPr>
          <w:rFonts w:asciiTheme="majorHAnsi" w:hAnsiTheme="majorHAnsi"/>
        </w:rPr>
        <w:t xml:space="preserve">4. </w:t>
      </w:r>
      <w:r w:rsidRPr="0049607C">
        <w:rPr>
          <w:rFonts w:asciiTheme="majorHAnsi" w:hAnsiTheme="majorHAnsi"/>
        </w:rPr>
        <w:tab/>
        <w:t xml:space="preserve">Test of Procedures or Methods to be </w:t>
      </w:r>
      <w:proofErr w:type="gramStart"/>
      <w:r w:rsidRPr="0049607C">
        <w:rPr>
          <w:rFonts w:asciiTheme="majorHAnsi" w:hAnsiTheme="majorHAnsi"/>
        </w:rPr>
        <w:t>Undertaken</w:t>
      </w:r>
      <w:proofErr w:type="gramEnd"/>
    </w:p>
    <w:p w:rsidR="000134E1" w:rsidRPr="0049607C" w:rsidRDefault="000134E1" w:rsidP="000134E1">
      <w:pPr>
        <w:ind w:left="450" w:hanging="450"/>
        <w:rPr>
          <w:rFonts w:asciiTheme="majorHAnsi" w:hAnsiTheme="majorHAnsi"/>
        </w:rPr>
      </w:pPr>
    </w:p>
    <w:p w:rsidR="000134E1" w:rsidRPr="0049607C" w:rsidRDefault="000134E1" w:rsidP="000134E1">
      <w:pPr>
        <w:ind w:left="450" w:hanging="450"/>
        <w:rPr>
          <w:rFonts w:asciiTheme="majorHAnsi" w:hAnsiTheme="majorHAnsi"/>
        </w:rPr>
      </w:pPr>
      <w:r w:rsidRPr="0049607C">
        <w:rPr>
          <w:rFonts w:asciiTheme="majorHAnsi" w:hAnsiTheme="majorHAnsi"/>
        </w:rPr>
        <w:t xml:space="preserve">5. </w:t>
      </w:r>
      <w:r w:rsidRPr="0049607C">
        <w:rPr>
          <w:rFonts w:asciiTheme="majorHAnsi" w:hAnsiTheme="majorHAnsi"/>
        </w:rPr>
        <w:tab/>
        <w:t>Individuals Consulted on Statistical Aspects and Individuals Collecting and/or Analyzing Data</w:t>
      </w:r>
    </w:p>
    <w:p w:rsidR="000134E1" w:rsidRPr="0049607C" w:rsidRDefault="000134E1" w:rsidP="000134E1">
      <w:pPr>
        <w:ind w:left="450" w:hanging="450"/>
        <w:rPr>
          <w:rFonts w:asciiTheme="majorHAnsi" w:hAnsiTheme="majorHAnsi"/>
        </w:rPr>
      </w:pPr>
    </w:p>
    <w:p w:rsidR="00992D40" w:rsidRDefault="00992D40">
      <w:pPr>
        <w:spacing w:after="200" w:line="276" w:lineRule="auto"/>
        <w:rPr>
          <w:rFonts w:asciiTheme="majorHAnsi" w:hAnsiTheme="majorHAnsi"/>
        </w:rPr>
      </w:pPr>
    </w:p>
    <w:p w:rsidR="00992D40" w:rsidRDefault="00992D40">
      <w:pPr>
        <w:spacing w:after="200" w:line="276" w:lineRule="auto"/>
        <w:rPr>
          <w:rFonts w:asciiTheme="majorHAnsi" w:hAnsiTheme="majorHAnsi"/>
        </w:rPr>
      </w:pPr>
    </w:p>
    <w:p w:rsidR="00737668" w:rsidRDefault="00737668">
      <w:pPr>
        <w:spacing w:after="200" w:line="276" w:lineRule="auto"/>
        <w:rPr>
          <w:rFonts w:asciiTheme="majorHAnsi" w:hAnsiTheme="majorHAnsi"/>
        </w:rPr>
      </w:pPr>
    </w:p>
    <w:p w:rsidR="00737668" w:rsidRDefault="00737668">
      <w:pPr>
        <w:spacing w:after="200" w:line="276" w:lineRule="auto"/>
        <w:rPr>
          <w:rFonts w:asciiTheme="majorHAnsi" w:hAnsiTheme="majorHAnsi"/>
        </w:rPr>
      </w:pPr>
    </w:p>
    <w:p w:rsidR="00992D40" w:rsidRDefault="00992D40" w:rsidP="00992D40">
      <w:pPr>
        <w:spacing w:line="360" w:lineRule="auto"/>
        <w:rPr>
          <w:rFonts w:asciiTheme="majorHAnsi" w:hAnsiTheme="majorHAnsi"/>
          <w:b/>
        </w:rPr>
      </w:pPr>
      <w:r w:rsidRPr="00711D6C">
        <w:rPr>
          <w:rFonts w:asciiTheme="majorHAnsi" w:hAnsiTheme="majorHAnsi"/>
          <w:b/>
        </w:rPr>
        <w:t>List of Attachments</w:t>
      </w:r>
    </w:p>
    <w:p w:rsidR="00992D40" w:rsidRPr="00711D6C" w:rsidRDefault="00992D40" w:rsidP="00992D40">
      <w:pPr>
        <w:spacing w:line="360" w:lineRule="auto"/>
        <w:rPr>
          <w:rFonts w:asciiTheme="majorHAnsi" w:hAnsiTheme="majorHAnsi"/>
          <w:b/>
        </w:rPr>
      </w:pPr>
    </w:p>
    <w:p w:rsidR="00B44BDE" w:rsidRDefault="00B44BDE" w:rsidP="00B44BDE">
      <w:pPr>
        <w:pStyle w:val="ListParagraph"/>
        <w:numPr>
          <w:ilvl w:val="0"/>
          <w:numId w:val="2"/>
        </w:numPr>
        <w:rPr>
          <w:rFonts w:asciiTheme="majorHAnsi" w:hAnsiTheme="majorHAnsi"/>
        </w:rPr>
      </w:pPr>
      <w:r>
        <w:rPr>
          <w:rFonts w:asciiTheme="majorHAnsi" w:hAnsiTheme="majorHAnsi"/>
        </w:rPr>
        <w:t xml:space="preserve">a.  Public Health Service Act (PHSA) </w:t>
      </w:r>
      <w:r>
        <w:rPr>
          <w:color w:val="000000" w:themeColor="text1"/>
        </w:rPr>
        <w:t xml:space="preserve">42 U.S.C. 247b (k)(2), </w:t>
      </w:r>
      <w:r w:rsidRPr="00581EC0">
        <w:rPr>
          <w:color w:val="000000" w:themeColor="text1"/>
        </w:rPr>
        <w:t>Section 317(k)(2)</w:t>
      </w:r>
    </w:p>
    <w:p w:rsidR="00B44BDE" w:rsidRDefault="00B44BDE" w:rsidP="00B44BDE">
      <w:pPr>
        <w:ind w:left="1440" w:hanging="720"/>
        <w:rPr>
          <w:rFonts w:asciiTheme="majorHAnsi" w:hAnsiTheme="majorHAnsi"/>
        </w:rPr>
      </w:pPr>
      <w:r>
        <w:rPr>
          <w:rFonts w:asciiTheme="majorHAnsi" w:hAnsiTheme="majorHAnsi"/>
        </w:rPr>
        <w:t xml:space="preserve">       </w:t>
      </w:r>
      <w:proofErr w:type="gramStart"/>
      <w:r w:rsidRPr="00FA7122">
        <w:rPr>
          <w:rFonts w:asciiTheme="majorHAnsi" w:hAnsiTheme="majorHAnsi"/>
        </w:rPr>
        <w:t xml:space="preserve">b.  </w:t>
      </w:r>
      <w:r w:rsidRPr="00D7527E">
        <w:rPr>
          <w:rFonts w:asciiTheme="majorHAnsi" w:hAnsiTheme="majorHAnsi" w:cs="Shruti"/>
        </w:rPr>
        <w:t>Patient</w:t>
      </w:r>
      <w:proofErr w:type="gramEnd"/>
      <w:r w:rsidRPr="00D7527E">
        <w:rPr>
          <w:rFonts w:asciiTheme="majorHAnsi" w:hAnsiTheme="majorHAnsi" w:cs="Shruti"/>
        </w:rPr>
        <w:t xml:space="preserve"> Protection and Affordable Care Act, Prevention and Public Health Fund</w:t>
      </w:r>
    </w:p>
    <w:p w:rsidR="00B44BDE" w:rsidRDefault="00B44BDE" w:rsidP="00B44BDE">
      <w:pPr>
        <w:ind w:left="720" w:firstLine="360"/>
        <w:rPr>
          <w:color w:val="000000" w:themeColor="text1"/>
        </w:rPr>
      </w:pPr>
      <w:proofErr w:type="gramStart"/>
      <w:r>
        <w:rPr>
          <w:rFonts w:asciiTheme="majorHAnsi" w:hAnsiTheme="majorHAnsi"/>
        </w:rPr>
        <w:t>c.  Public</w:t>
      </w:r>
      <w:proofErr w:type="gramEnd"/>
      <w:r>
        <w:rPr>
          <w:rFonts w:asciiTheme="majorHAnsi" w:hAnsiTheme="majorHAnsi"/>
        </w:rPr>
        <w:t xml:space="preserve"> Health Service Act (PHSA) </w:t>
      </w:r>
      <w:r w:rsidRPr="00FA7122">
        <w:rPr>
          <w:color w:val="000000" w:themeColor="text1"/>
        </w:rPr>
        <w:t>42 U.S.C. 241(a)</w:t>
      </w:r>
      <w:r>
        <w:rPr>
          <w:rFonts w:asciiTheme="majorHAnsi" w:hAnsiTheme="majorHAnsi"/>
        </w:rPr>
        <w:t xml:space="preserve">, </w:t>
      </w:r>
      <w:r w:rsidRPr="00FA7122">
        <w:rPr>
          <w:color w:val="000000" w:themeColor="text1"/>
        </w:rPr>
        <w:t xml:space="preserve">Section 301(a) </w:t>
      </w:r>
    </w:p>
    <w:p w:rsidR="00B44BDE" w:rsidRDefault="00B44BDE" w:rsidP="00B44BDE">
      <w:pPr>
        <w:ind w:left="720"/>
        <w:rPr>
          <w:rFonts w:asciiTheme="majorHAnsi" w:hAnsiTheme="majorHAnsi"/>
        </w:rPr>
      </w:pPr>
    </w:p>
    <w:p w:rsidR="00992D40" w:rsidRPr="00FA7122" w:rsidRDefault="00992D40" w:rsidP="00B44BDE">
      <w:pPr>
        <w:rPr>
          <w:rFonts w:asciiTheme="majorHAnsi" w:hAnsiTheme="majorHAnsi"/>
        </w:rPr>
      </w:pPr>
      <w:bookmarkStart w:id="0" w:name="_GoBack"/>
      <w:bookmarkEnd w:id="0"/>
    </w:p>
    <w:p w:rsidR="00992D40" w:rsidRDefault="00992D40" w:rsidP="00992D40">
      <w:pPr>
        <w:numPr>
          <w:ilvl w:val="0"/>
          <w:numId w:val="2"/>
        </w:numPr>
        <w:spacing w:after="240"/>
        <w:rPr>
          <w:rFonts w:asciiTheme="majorHAnsi" w:hAnsiTheme="majorHAnsi"/>
        </w:rPr>
      </w:pPr>
      <w:r w:rsidRPr="00711D6C">
        <w:rPr>
          <w:rFonts w:asciiTheme="majorHAnsi" w:hAnsiTheme="majorHAnsi"/>
        </w:rPr>
        <w:t>List of Awardees</w:t>
      </w:r>
    </w:p>
    <w:p w:rsidR="00992D40" w:rsidRDefault="00992D40" w:rsidP="00992D40">
      <w:pPr>
        <w:tabs>
          <w:tab w:val="num" w:pos="1710"/>
        </w:tabs>
        <w:rPr>
          <w:rFonts w:asciiTheme="majorHAnsi" w:hAnsiTheme="majorHAnsi"/>
        </w:rPr>
      </w:pPr>
    </w:p>
    <w:p w:rsidR="00992D40" w:rsidRPr="001873EC" w:rsidRDefault="00992D40" w:rsidP="00992D40">
      <w:pPr>
        <w:pStyle w:val="ListParagraph"/>
        <w:numPr>
          <w:ilvl w:val="0"/>
          <w:numId w:val="2"/>
        </w:numPr>
        <w:rPr>
          <w:rFonts w:asciiTheme="majorHAnsi" w:hAnsiTheme="majorHAnsi"/>
        </w:rPr>
      </w:pPr>
      <w:r>
        <w:rPr>
          <w:rFonts w:asciiTheme="majorHAnsi" w:hAnsiTheme="majorHAnsi"/>
        </w:rPr>
        <w:t>a.  F</w:t>
      </w:r>
      <w:r w:rsidRPr="001873EC">
        <w:rPr>
          <w:rFonts w:asciiTheme="majorHAnsi" w:hAnsiTheme="majorHAnsi"/>
        </w:rPr>
        <w:t>ederal Register Notice</w:t>
      </w:r>
    </w:p>
    <w:p w:rsidR="00992D40" w:rsidRDefault="00992D40" w:rsidP="00992D40">
      <w:pPr>
        <w:ind w:left="720" w:firstLine="360"/>
        <w:rPr>
          <w:rFonts w:asciiTheme="majorHAnsi" w:hAnsiTheme="majorHAnsi"/>
        </w:rPr>
      </w:pPr>
      <w:proofErr w:type="gramStart"/>
      <w:r w:rsidRPr="00D6687A">
        <w:rPr>
          <w:rFonts w:asciiTheme="majorHAnsi" w:hAnsiTheme="majorHAnsi"/>
        </w:rPr>
        <w:t>b.  Summary</w:t>
      </w:r>
      <w:proofErr w:type="gramEnd"/>
      <w:r w:rsidRPr="00D6687A">
        <w:rPr>
          <w:rFonts w:asciiTheme="majorHAnsi" w:hAnsiTheme="majorHAnsi"/>
        </w:rPr>
        <w:t xml:space="preserve"> of Public Comments and CDC Response</w:t>
      </w:r>
    </w:p>
    <w:p w:rsidR="00992D40" w:rsidRDefault="00992D40" w:rsidP="00992D40">
      <w:pPr>
        <w:ind w:left="720" w:firstLine="360"/>
        <w:rPr>
          <w:rFonts w:asciiTheme="majorHAnsi" w:hAnsiTheme="majorHAnsi"/>
        </w:rPr>
      </w:pPr>
    </w:p>
    <w:p w:rsidR="00992D40" w:rsidRDefault="00992D40" w:rsidP="00992D40">
      <w:pPr>
        <w:ind w:left="720" w:firstLine="360"/>
        <w:rPr>
          <w:rFonts w:asciiTheme="majorHAnsi" w:hAnsiTheme="majorHAnsi"/>
        </w:rPr>
      </w:pPr>
    </w:p>
    <w:p w:rsidR="00992D40" w:rsidRPr="00D6687A" w:rsidRDefault="00992D40" w:rsidP="00992D40">
      <w:pPr>
        <w:pStyle w:val="ListParagraph"/>
        <w:numPr>
          <w:ilvl w:val="0"/>
          <w:numId w:val="2"/>
        </w:numPr>
        <w:rPr>
          <w:rFonts w:asciiTheme="majorHAnsi" w:hAnsiTheme="majorHAnsi"/>
        </w:rPr>
      </w:pPr>
      <w:r>
        <w:rPr>
          <w:rFonts w:asciiTheme="majorHAnsi" w:hAnsiTheme="majorHAnsi"/>
        </w:rPr>
        <w:t xml:space="preserve">a.  </w:t>
      </w:r>
      <w:r w:rsidRPr="00D6687A">
        <w:rPr>
          <w:rFonts w:asciiTheme="majorHAnsi" w:hAnsiTheme="majorHAnsi"/>
        </w:rPr>
        <w:t>Work Plan Tool (Basic and Enhanced)</w:t>
      </w:r>
    </w:p>
    <w:p w:rsidR="00992D40" w:rsidRDefault="00992D40" w:rsidP="00992D40">
      <w:pPr>
        <w:ind w:left="1080"/>
        <w:rPr>
          <w:rFonts w:asciiTheme="majorHAnsi" w:hAnsiTheme="majorHAnsi"/>
        </w:rPr>
      </w:pPr>
      <w:proofErr w:type="gramStart"/>
      <w:r>
        <w:rPr>
          <w:rFonts w:asciiTheme="majorHAnsi" w:hAnsiTheme="majorHAnsi"/>
        </w:rPr>
        <w:t>b.  Budget</w:t>
      </w:r>
      <w:proofErr w:type="gramEnd"/>
      <w:r>
        <w:rPr>
          <w:rFonts w:asciiTheme="majorHAnsi" w:hAnsiTheme="majorHAnsi"/>
        </w:rPr>
        <w:t xml:space="preserve"> Tool (Basic and Enhanced)</w:t>
      </w:r>
    </w:p>
    <w:p w:rsidR="00992D40" w:rsidRDefault="00992D40" w:rsidP="00992D40">
      <w:pPr>
        <w:ind w:left="1080"/>
        <w:rPr>
          <w:rFonts w:asciiTheme="majorHAnsi" w:hAnsiTheme="majorHAnsi"/>
        </w:rPr>
      </w:pPr>
      <w:proofErr w:type="gramStart"/>
      <w:r>
        <w:rPr>
          <w:rFonts w:asciiTheme="majorHAnsi" w:hAnsiTheme="majorHAnsi"/>
        </w:rPr>
        <w:t>c.  Evaluation</w:t>
      </w:r>
      <w:proofErr w:type="gramEnd"/>
      <w:r>
        <w:rPr>
          <w:rFonts w:asciiTheme="majorHAnsi" w:hAnsiTheme="majorHAnsi"/>
        </w:rPr>
        <w:t xml:space="preserve"> Work Plan (Basic)</w:t>
      </w:r>
    </w:p>
    <w:p w:rsidR="00992D40" w:rsidRDefault="00992D40" w:rsidP="00992D40">
      <w:pPr>
        <w:ind w:left="1080"/>
        <w:rPr>
          <w:rFonts w:asciiTheme="majorHAnsi" w:hAnsiTheme="majorHAnsi"/>
        </w:rPr>
      </w:pPr>
      <w:r>
        <w:rPr>
          <w:rFonts w:asciiTheme="majorHAnsi" w:hAnsiTheme="majorHAnsi"/>
        </w:rPr>
        <w:t>d. Evaluation Work Plan (Enhanced)</w:t>
      </w:r>
    </w:p>
    <w:p w:rsidR="00992D40" w:rsidRDefault="00992D40" w:rsidP="00992D40">
      <w:pPr>
        <w:ind w:left="1080"/>
        <w:rPr>
          <w:rFonts w:asciiTheme="majorHAnsi" w:hAnsiTheme="majorHAnsi"/>
        </w:rPr>
      </w:pPr>
      <w:proofErr w:type="gramStart"/>
      <w:r>
        <w:rPr>
          <w:rFonts w:asciiTheme="majorHAnsi" w:hAnsiTheme="majorHAnsi"/>
        </w:rPr>
        <w:t>e.  Screen</w:t>
      </w:r>
      <w:proofErr w:type="gramEnd"/>
      <w:r>
        <w:rPr>
          <w:rFonts w:asciiTheme="majorHAnsi" w:hAnsiTheme="majorHAnsi"/>
        </w:rPr>
        <w:t xml:space="preserve"> Shots of FTP Site for Data Transmission</w:t>
      </w:r>
    </w:p>
    <w:p w:rsidR="000134E1" w:rsidRPr="0049607C" w:rsidRDefault="000134E1">
      <w:pPr>
        <w:spacing w:after="200" w:line="276" w:lineRule="auto"/>
        <w:rPr>
          <w:rFonts w:asciiTheme="majorHAnsi" w:hAnsiTheme="majorHAnsi"/>
        </w:rPr>
      </w:pPr>
      <w:r w:rsidRPr="0049607C">
        <w:rPr>
          <w:rFonts w:asciiTheme="majorHAnsi" w:hAnsiTheme="majorHAnsi"/>
        </w:rPr>
        <w:br w:type="page"/>
      </w:r>
    </w:p>
    <w:p w:rsidR="000134E1" w:rsidRPr="0049607C" w:rsidRDefault="000134E1" w:rsidP="000134E1">
      <w:pPr>
        <w:rPr>
          <w:rFonts w:asciiTheme="majorHAnsi" w:hAnsiTheme="majorHAnsi"/>
        </w:rPr>
      </w:pPr>
    </w:p>
    <w:p w:rsidR="000134E1" w:rsidRPr="0049607C" w:rsidRDefault="000134E1" w:rsidP="000134E1">
      <w:pPr>
        <w:rPr>
          <w:rFonts w:asciiTheme="majorHAnsi" w:hAnsiTheme="majorHAnsi"/>
          <w:b/>
        </w:rPr>
      </w:pPr>
      <w:r w:rsidRPr="0049607C">
        <w:rPr>
          <w:rFonts w:asciiTheme="majorHAnsi" w:hAnsiTheme="majorHAnsi"/>
          <w:b/>
        </w:rPr>
        <w:t>B. Collections of Information Employing Statistical Methods</w:t>
      </w:r>
    </w:p>
    <w:p w:rsidR="000134E1" w:rsidRPr="0049607C" w:rsidRDefault="000134E1" w:rsidP="000134E1">
      <w:pPr>
        <w:rPr>
          <w:rFonts w:asciiTheme="majorHAnsi" w:hAnsiTheme="majorHAnsi"/>
        </w:rPr>
      </w:pPr>
    </w:p>
    <w:p w:rsidR="000134E1" w:rsidRPr="0049607C" w:rsidRDefault="000134E1" w:rsidP="000134E1">
      <w:pPr>
        <w:rPr>
          <w:rFonts w:asciiTheme="majorHAnsi" w:hAnsiTheme="majorHAnsi"/>
        </w:rPr>
      </w:pPr>
    </w:p>
    <w:p w:rsidR="000134E1" w:rsidRPr="0049607C" w:rsidRDefault="000134E1" w:rsidP="000134E1">
      <w:pPr>
        <w:numPr>
          <w:ilvl w:val="0"/>
          <w:numId w:val="1"/>
        </w:numPr>
        <w:rPr>
          <w:rFonts w:asciiTheme="majorHAnsi" w:hAnsiTheme="majorHAnsi"/>
          <w:b/>
        </w:rPr>
      </w:pPr>
      <w:r w:rsidRPr="0049607C">
        <w:rPr>
          <w:rFonts w:asciiTheme="majorHAnsi" w:hAnsiTheme="majorHAnsi"/>
          <w:b/>
        </w:rPr>
        <w:t>Respondent Universe and Sampling Methods</w:t>
      </w:r>
    </w:p>
    <w:p w:rsidR="000134E1" w:rsidRPr="0049607C" w:rsidRDefault="000134E1" w:rsidP="000134E1">
      <w:pPr>
        <w:rPr>
          <w:rFonts w:asciiTheme="majorHAnsi" w:hAnsiTheme="majorHAnsi"/>
        </w:rPr>
      </w:pPr>
    </w:p>
    <w:p w:rsidR="000134E1" w:rsidRPr="0049607C" w:rsidRDefault="000134E1" w:rsidP="000134E1">
      <w:pPr>
        <w:rPr>
          <w:rFonts w:asciiTheme="majorHAnsi" w:hAnsiTheme="majorHAnsi"/>
        </w:rPr>
      </w:pPr>
      <w:r w:rsidRPr="0049607C">
        <w:rPr>
          <w:rFonts w:asciiTheme="majorHAnsi" w:hAnsiTheme="majorHAnsi"/>
        </w:rPr>
        <w:t xml:space="preserve">Respondents are 51 current awardees funded through </w:t>
      </w:r>
      <w:r w:rsidRPr="0049607C">
        <w:rPr>
          <w:rStyle w:val="NoSpacingChar"/>
          <w:rFonts w:asciiTheme="majorHAnsi" w:eastAsia="Calibri" w:hAnsiTheme="majorHAnsi"/>
        </w:rPr>
        <w:t xml:space="preserve">FOA DP13-1305, State Public Health Actions to </w:t>
      </w:r>
      <w:proofErr w:type="gramStart"/>
      <w:r w:rsidRPr="0049607C">
        <w:rPr>
          <w:rStyle w:val="NoSpacingChar"/>
          <w:rFonts w:asciiTheme="majorHAnsi" w:eastAsia="Calibri" w:hAnsiTheme="majorHAnsi"/>
        </w:rPr>
        <w:t>Prevent</w:t>
      </w:r>
      <w:proofErr w:type="gramEnd"/>
      <w:r w:rsidRPr="0049607C">
        <w:rPr>
          <w:rStyle w:val="NoSpacingChar"/>
          <w:rFonts w:asciiTheme="majorHAnsi" w:eastAsia="Calibri" w:hAnsiTheme="majorHAnsi"/>
        </w:rPr>
        <w:t xml:space="preserve"> and Control Diabetes, Heart Disease, Obesity and Associated Risk Factors and Promote School Health </w:t>
      </w:r>
      <w:r w:rsidR="005A0741">
        <w:rPr>
          <w:rStyle w:val="NoSpacingChar"/>
          <w:rFonts w:asciiTheme="majorHAnsi" w:eastAsia="Calibri" w:hAnsiTheme="majorHAnsi"/>
        </w:rPr>
        <w:t xml:space="preserve">program (the “State Public Health Actions” program). </w:t>
      </w:r>
      <w:r w:rsidR="005A0741">
        <w:rPr>
          <w:rFonts w:asciiTheme="majorHAnsi" w:hAnsiTheme="majorHAnsi"/>
        </w:rPr>
        <w:t xml:space="preserve"> A list of awardees is provided in</w:t>
      </w:r>
      <w:r w:rsidRPr="0049607C">
        <w:rPr>
          <w:rFonts w:asciiTheme="majorHAnsi" w:hAnsiTheme="majorHAnsi"/>
        </w:rPr>
        <w:t xml:space="preserve"> </w:t>
      </w:r>
      <w:r w:rsidR="00274234">
        <w:rPr>
          <w:rFonts w:asciiTheme="majorHAnsi" w:hAnsiTheme="majorHAnsi"/>
          <w:b/>
        </w:rPr>
        <w:t>Attachment 2</w:t>
      </w:r>
      <w:r w:rsidRPr="0049607C">
        <w:rPr>
          <w:rFonts w:asciiTheme="majorHAnsi" w:hAnsiTheme="majorHAnsi"/>
        </w:rPr>
        <w:t>.  Fifty</w:t>
      </w:r>
      <w:r w:rsidR="0002149C">
        <w:rPr>
          <w:rFonts w:asciiTheme="majorHAnsi" w:hAnsiTheme="majorHAnsi"/>
        </w:rPr>
        <w:t xml:space="preserve"> awardees are state governments</w:t>
      </w:r>
      <w:r w:rsidRPr="0049607C">
        <w:rPr>
          <w:rFonts w:asciiTheme="majorHAnsi" w:hAnsiTheme="majorHAnsi"/>
        </w:rPr>
        <w:t xml:space="preserve"> and one awardee represents the District of Columbia. </w:t>
      </w:r>
      <w:r w:rsidR="00274234">
        <w:rPr>
          <w:rFonts w:asciiTheme="majorHAnsi" w:hAnsiTheme="majorHAnsi"/>
        </w:rPr>
        <w:t xml:space="preserve"> There are two funding levels:</w:t>
      </w:r>
      <w:r w:rsidR="00274234" w:rsidRPr="00711D6C">
        <w:rPr>
          <w:rFonts w:asciiTheme="majorHAnsi" w:hAnsiTheme="majorHAnsi"/>
        </w:rPr>
        <w:t xml:space="preserve"> </w:t>
      </w:r>
      <w:r w:rsidR="00274234">
        <w:rPr>
          <w:rFonts w:asciiTheme="majorHAnsi" w:hAnsiTheme="majorHAnsi"/>
        </w:rPr>
        <w:t xml:space="preserve">19 </w:t>
      </w:r>
      <w:r w:rsidR="00274234" w:rsidRPr="00711D6C">
        <w:rPr>
          <w:rFonts w:asciiTheme="majorHAnsi" w:hAnsiTheme="majorHAnsi"/>
        </w:rPr>
        <w:t>respondents receive funding at the Basic level</w:t>
      </w:r>
      <w:r w:rsidR="00274234">
        <w:rPr>
          <w:rFonts w:asciiTheme="majorHAnsi" w:hAnsiTheme="majorHAnsi"/>
        </w:rPr>
        <w:t>, and</w:t>
      </w:r>
      <w:r w:rsidR="00274234" w:rsidRPr="00711D6C">
        <w:rPr>
          <w:rFonts w:asciiTheme="majorHAnsi" w:hAnsiTheme="majorHAnsi"/>
        </w:rPr>
        <w:t xml:space="preserve"> 32 respondents</w:t>
      </w:r>
      <w:r w:rsidR="00274234">
        <w:rPr>
          <w:rFonts w:asciiTheme="majorHAnsi" w:hAnsiTheme="majorHAnsi"/>
        </w:rPr>
        <w:t xml:space="preserve"> receive </w:t>
      </w:r>
      <w:r w:rsidR="00274234" w:rsidRPr="00711D6C">
        <w:rPr>
          <w:rFonts w:asciiTheme="majorHAnsi" w:hAnsiTheme="majorHAnsi"/>
        </w:rPr>
        <w:t>fund</w:t>
      </w:r>
      <w:r w:rsidR="00274234">
        <w:rPr>
          <w:rFonts w:asciiTheme="majorHAnsi" w:hAnsiTheme="majorHAnsi"/>
        </w:rPr>
        <w:t>ing</w:t>
      </w:r>
      <w:r w:rsidR="00274234" w:rsidRPr="00711D6C">
        <w:rPr>
          <w:rFonts w:asciiTheme="majorHAnsi" w:hAnsiTheme="majorHAnsi"/>
        </w:rPr>
        <w:t xml:space="preserve"> at the Enhanced level.</w:t>
      </w:r>
      <w:r w:rsidR="00326052">
        <w:rPr>
          <w:rFonts w:asciiTheme="majorHAnsi" w:hAnsiTheme="majorHAnsi"/>
        </w:rPr>
        <w:t xml:space="preserve">  Reporting burden for a</w:t>
      </w:r>
      <w:r w:rsidR="00274234">
        <w:rPr>
          <w:rFonts w:asciiTheme="majorHAnsi" w:hAnsiTheme="majorHAnsi"/>
        </w:rPr>
        <w:t xml:space="preserve">wardees funded at the Enhanced level </w:t>
      </w:r>
      <w:r w:rsidR="00326052">
        <w:rPr>
          <w:rFonts w:asciiTheme="majorHAnsi" w:hAnsiTheme="majorHAnsi"/>
        </w:rPr>
        <w:t>is higher since they will be reporting on</w:t>
      </w:r>
      <w:r w:rsidR="00274234">
        <w:rPr>
          <w:rFonts w:asciiTheme="majorHAnsi" w:hAnsiTheme="majorHAnsi"/>
        </w:rPr>
        <w:t xml:space="preserve"> mor</w:t>
      </w:r>
      <w:r w:rsidR="00326052">
        <w:rPr>
          <w:rFonts w:asciiTheme="majorHAnsi" w:hAnsiTheme="majorHAnsi"/>
        </w:rPr>
        <w:t xml:space="preserve">e extensive activities.  </w:t>
      </w:r>
      <w:r w:rsidRPr="0049607C">
        <w:rPr>
          <w:rFonts w:asciiTheme="majorHAnsi" w:hAnsiTheme="majorHAnsi"/>
        </w:rPr>
        <w:t xml:space="preserve">If additional funding is made available to the </w:t>
      </w:r>
      <w:r w:rsidR="00FD0EDC">
        <w:rPr>
          <w:rFonts w:asciiTheme="majorHAnsi" w:hAnsiTheme="majorHAnsi"/>
        </w:rPr>
        <w:t>program</w:t>
      </w:r>
      <w:r w:rsidRPr="0049607C">
        <w:rPr>
          <w:rFonts w:asciiTheme="majorHAnsi" w:hAnsiTheme="majorHAnsi"/>
        </w:rPr>
        <w:t xml:space="preserve">, CDC will submit a Change Request to increase the number of awardees participating in the </w:t>
      </w:r>
      <w:r w:rsidR="00FD0EDC">
        <w:rPr>
          <w:rFonts w:asciiTheme="majorHAnsi" w:hAnsiTheme="majorHAnsi"/>
        </w:rPr>
        <w:t>program or to</w:t>
      </w:r>
      <w:r w:rsidR="0002149C">
        <w:rPr>
          <w:rFonts w:asciiTheme="majorHAnsi" w:hAnsiTheme="majorHAnsi"/>
        </w:rPr>
        <w:t xml:space="preserve"> reassign Basic level awardees to the Enhanced level, and to adjust the burden table as needed.</w:t>
      </w:r>
    </w:p>
    <w:p w:rsidR="000134E1" w:rsidRPr="0049607C" w:rsidRDefault="000134E1" w:rsidP="000134E1">
      <w:pPr>
        <w:rPr>
          <w:rFonts w:asciiTheme="majorHAnsi" w:hAnsiTheme="majorHAnsi"/>
        </w:rPr>
      </w:pPr>
    </w:p>
    <w:p w:rsidR="000134E1" w:rsidRPr="0049607C" w:rsidRDefault="000134E1" w:rsidP="000134E1">
      <w:pPr>
        <w:rPr>
          <w:rFonts w:asciiTheme="majorHAnsi" w:hAnsiTheme="majorHAnsi"/>
        </w:rPr>
      </w:pPr>
      <w:r w:rsidRPr="0049607C">
        <w:rPr>
          <w:rFonts w:asciiTheme="majorHAnsi" w:hAnsiTheme="majorHAnsi"/>
        </w:rPr>
        <w:t>No statistical</w:t>
      </w:r>
      <w:r w:rsidR="0002149C">
        <w:rPr>
          <w:rFonts w:asciiTheme="majorHAnsi" w:hAnsiTheme="majorHAnsi"/>
        </w:rPr>
        <w:t xml:space="preserve"> sampling method will be used</w:t>
      </w:r>
      <w:r w:rsidRPr="0049607C">
        <w:rPr>
          <w:rFonts w:asciiTheme="majorHAnsi" w:hAnsiTheme="majorHAnsi"/>
        </w:rPr>
        <w:t>.</w:t>
      </w:r>
    </w:p>
    <w:p w:rsidR="000134E1" w:rsidRPr="0049607C" w:rsidRDefault="000134E1" w:rsidP="000134E1">
      <w:pPr>
        <w:rPr>
          <w:rFonts w:asciiTheme="majorHAnsi" w:hAnsiTheme="majorHAnsi"/>
        </w:rPr>
      </w:pPr>
    </w:p>
    <w:p w:rsidR="000134E1" w:rsidRPr="0049607C" w:rsidRDefault="000134E1" w:rsidP="000134E1">
      <w:pPr>
        <w:rPr>
          <w:rFonts w:asciiTheme="majorHAnsi" w:hAnsiTheme="majorHAnsi"/>
        </w:rPr>
      </w:pPr>
    </w:p>
    <w:p w:rsidR="000134E1" w:rsidRPr="0049607C" w:rsidRDefault="000134E1" w:rsidP="000134E1">
      <w:pPr>
        <w:numPr>
          <w:ilvl w:val="0"/>
          <w:numId w:val="1"/>
        </w:numPr>
        <w:rPr>
          <w:rFonts w:asciiTheme="majorHAnsi" w:hAnsiTheme="majorHAnsi"/>
          <w:b/>
        </w:rPr>
      </w:pPr>
      <w:r w:rsidRPr="0049607C">
        <w:rPr>
          <w:rFonts w:asciiTheme="majorHAnsi" w:hAnsiTheme="majorHAnsi"/>
          <w:b/>
        </w:rPr>
        <w:t>Procedures for the Collection of Information</w:t>
      </w:r>
    </w:p>
    <w:p w:rsidR="000134E1" w:rsidRPr="0049607C" w:rsidRDefault="000134E1" w:rsidP="000134E1">
      <w:pPr>
        <w:rPr>
          <w:rFonts w:asciiTheme="majorHAnsi" w:hAnsiTheme="majorHAnsi"/>
          <w:b/>
        </w:rPr>
      </w:pPr>
    </w:p>
    <w:p w:rsidR="000134E1" w:rsidRPr="0049607C" w:rsidRDefault="000134E1" w:rsidP="000134E1">
      <w:pPr>
        <w:rPr>
          <w:rFonts w:asciiTheme="majorHAnsi" w:hAnsiTheme="majorHAnsi"/>
        </w:rPr>
      </w:pPr>
      <w:r w:rsidRPr="0049607C">
        <w:rPr>
          <w:rFonts w:asciiTheme="majorHAnsi" w:hAnsiTheme="majorHAnsi"/>
        </w:rPr>
        <w:t xml:space="preserve">Information will be collected from awardees on an annual basis. </w:t>
      </w:r>
      <w:r w:rsidR="00737668">
        <w:rPr>
          <w:rFonts w:asciiTheme="majorHAnsi" w:hAnsiTheme="majorHAnsi"/>
        </w:rPr>
        <w:t xml:space="preserve"> Awardees</w:t>
      </w:r>
      <w:r w:rsidR="00737668" w:rsidRPr="00711D6C">
        <w:rPr>
          <w:rFonts w:asciiTheme="majorHAnsi" w:hAnsiTheme="majorHAnsi"/>
        </w:rPr>
        <w:t xml:space="preserve"> will report progress on their work plan objectives, activities, </w:t>
      </w:r>
      <w:r w:rsidR="00737668">
        <w:rPr>
          <w:rFonts w:asciiTheme="majorHAnsi" w:hAnsiTheme="majorHAnsi"/>
        </w:rPr>
        <w:t xml:space="preserve">and </w:t>
      </w:r>
      <w:r w:rsidR="00737668" w:rsidRPr="00711D6C">
        <w:rPr>
          <w:rFonts w:asciiTheme="majorHAnsi" w:hAnsiTheme="majorHAnsi"/>
        </w:rPr>
        <w:t>performance measures</w:t>
      </w:r>
      <w:r w:rsidR="00737668">
        <w:rPr>
          <w:rFonts w:asciiTheme="majorHAnsi" w:hAnsiTheme="majorHAnsi"/>
        </w:rPr>
        <w:t xml:space="preserve">. Two related tools have been developed to collect this information: </w:t>
      </w:r>
      <w:r w:rsidR="00737668" w:rsidRPr="00711D6C">
        <w:rPr>
          <w:rFonts w:asciiTheme="majorHAnsi" w:hAnsiTheme="majorHAnsi"/>
        </w:rPr>
        <w:t xml:space="preserve"> </w:t>
      </w:r>
      <w:r w:rsidR="00737668">
        <w:rPr>
          <w:rFonts w:asciiTheme="majorHAnsi" w:hAnsiTheme="majorHAnsi"/>
        </w:rPr>
        <w:t>an Excel-based Work Plan Tool (</w:t>
      </w:r>
      <w:r w:rsidR="00737668" w:rsidRPr="00E01669">
        <w:rPr>
          <w:rFonts w:asciiTheme="majorHAnsi" w:hAnsiTheme="majorHAnsi"/>
          <w:b/>
        </w:rPr>
        <w:t>Attachment 4a</w:t>
      </w:r>
      <w:r w:rsidR="00737668">
        <w:rPr>
          <w:rFonts w:asciiTheme="majorHAnsi" w:hAnsiTheme="majorHAnsi"/>
        </w:rPr>
        <w:t>) and an Excel-based Budget Tool (</w:t>
      </w:r>
      <w:r w:rsidR="00737668" w:rsidRPr="00E01669">
        <w:rPr>
          <w:rFonts w:asciiTheme="majorHAnsi" w:hAnsiTheme="majorHAnsi"/>
          <w:b/>
        </w:rPr>
        <w:t>Attachment 4b</w:t>
      </w:r>
      <w:r w:rsidR="00737668">
        <w:rPr>
          <w:rFonts w:asciiTheme="majorHAnsi" w:hAnsiTheme="majorHAnsi"/>
        </w:rPr>
        <w:t>). In addition, each awardee will develop an e</w:t>
      </w:r>
      <w:r w:rsidR="00737668" w:rsidRPr="00711D6C">
        <w:rPr>
          <w:rFonts w:asciiTheme="majorHAnsi" w:hAnsiTheme="majorHAnsi"/>
        </w:rPr>
        <w:t xml:space="preserve">valuation plan </w:t>
      </w:r>
      <w:r w:rsidR="00737668">
        <w:rPr>
          <w:rFonts w:asciiTheme="majorHAnsi" w:hAnsiTheme="majorHAnsi"/>
        </w:rPr>
        <w:t>and</w:t>
      </w:r>
      <w:r w:rsidR="00737668" w:rsidRPr="00711D6C">
        <w:rPr>
          <w:rFonts w:asciiTheme="majorHAnsi" w:hAnsiTheme="majorHAnsi"/>
        </w:rPr>
        <w:t xml:space="preserve"> report</w:t>
      </w:r>
      <w:r w:rsidR="00737668">
        <w:rPr>
          <w:rFonts w:asciiTheme="majorHAnsi" w:hAnsiTheme="majorHAnsi"/>
        </w:rPr>
        <w:t xml:space="preserve"> relevant information</w:t>
      </w:r>
      <w:r w:rsidR="00737668" w:rsidRPr="00711D6C">
        <w:rPr>
          <w:rFonts w:asciiTheme="majorHAnsi" w:hAnsiTheme="majorHAnsi"/>
        </w:rPr>
        <w:t xml:space="preserve"> using </w:t>
      </w:r>
      <w:r w:rsidR="00737668">
        <w:rPr>
          <w:rFonts w:asciiTheme="majorHAnsi" w:hAnsiTheme="majorHAnsi"/>
        </w:rPr>
        <w:t>a Word template called the</w:t>
      </w:r>
      <w:r w:rsidR="00737668" w:rsidRPr="00711D6C">
        <w:rPr>
          <w:rFonts w:asciiTheme="majorHAnsi" w:hAnsiTheme="majorHAnsi"/>
        </w:rPr>
        <w:t xml:space="preserve"> Evaluation Plan Reporting Tool</w:t>
      </w:r>
      <w:r w:rsidR="00737668">
        <w:rPr>
          <w:rFonts w:asciiTheme="majorHAnsi" w:hAnsiTheme="majorHAnsi"/>
        </w:rPr>
        <w:t xml:space="preserve"> (</w:t>
      </w:r>
      <w:r w:rsidR="00737668" w:rsidRPr="00E01669">
        <w:rPr>
          <w:rFonts w:asciiTheme="majorHAnsi" w:hAnsiTheme="majorHAnsi"/>
          <w:b/>
        </w:rPr>
        <w:t>Attachments 4c and 4d</w:t>
      </w:r>
      <w:r w:rsidR="00737668">
        <w:rPr>
          <w:rFonts w:asciiTheme="majorHAnsi" w:hAnsiTheme="majorHAnsi"/>
        </w:rPr>
        <w:t>)</w:t>
      </w:r>
      <w:r w:rsidR="00737668" w:rsidRPr="00711D6C">
        <w:rPr>
          <w:rFonts w:asciiTheme="majorHAnsi" w:hAnsiTheme="majorHAnsi"/>
        </w:rPr>
        <w:t>.</w:t>
      </w:r>
      <w:r w:rsidR="00737668">
        <w:rPr>
          <w:rFonts w:asciiTheme="majorHAnsi" w:hAnsiTheme="majorHAnsi"/>
        </w:rPr>
        <w:t xml:space="preserve">  Information will be transmitted to CDC electronically through a secure FTP site (</w:t>
      </w:r>
      <w:r w:rsidR="00737668" w:rsidRPr="00E01669">
        <w:rPr>
          <w:rFonts w:asciiTheme="majorHAnsi" w:hAnsiTheme="majorHAnsi"/>
          <w:b/>
        </w:rPr>
        <w:t>Attachment 4e</w:t>
      </w:r>
      <w:r w:rsidR="00737668">
        <w:rPr>
          <w:rFonts w:asciiTheme="majorHAnsi" w:hAnsiTheme="majorHAnsi"/>
        </w:rPr>
        <w:t>).</w:t>
      </w:r>
      <w:r w:rsidR="001A0619">
        <w:rPr>
          <w:rFonts w:asciiTheme="majorHAnsi" w:hAnsiTheme="majorHAnsi"/>
        </w:rPr>
        <w:t xml:space="preserve">  </w:t>
      </w:r>
      <w:r w:rsidRPr="0049607C">
        <w:rPr>
          <w:rFonts w:asciiTheme="majorHAnsi" w:hAnsiTheme="majorHAnsi"/>
        </w:rPr>
        <w:t xml:space="preserve">Instructions </w:t>
      </w:r>
      <w:r w:rsidR="001A0619">
        <w:rPr>
          <w:rFonts w:asciiTheme="majorHAnsi" w:hAnsiTheme="majorHAnsi"/>
        </w:rPr>
        <w:t xml:space="preserve">and training </w:t>
      </w:r>
      <w:r w:rsidRPr="0049607C">
        <w:rPr>
          <w:rFonts w:asciiTheme="majorHAnsi" w:hAnsiTheme="majorHAnsi"/>
        </w:rPr>
        <w:t>will be provided to users for completing the template</w:t>
      </w:r>
      <w:r w:rsidR="000E41B8">
        <w:rPr>
          <w:rFonts w:asciiTheme="majorHAnsi" w:hAnsiTheme="majorHAnsi"/>
        </w:rPr>
        <w:t>s</w:t>
      </w:r>
      <w:r w:rsidR="001A0619">
        <w:rPr>
          <w:rFonts w:asciiTheme="majorHAnsi" w:hAnsiTheme="majorHAnsi"/>
        </w:rPr>
        <w:t>.</w:t>
      </w:r>
      <w:r w:rsidRPr="0049607C">
        <w:rPr>
          <w:rFonts w:asciiTheme="majorHAnsi" w:hAnsiTheme="majorHAnsi"/>
        </w:rPr>
        <w:t xml:space="preserve">  </w:t>
      </w:r>
    </w:p>
    <w:p w:rsidR="000134E1" w:rsidRPr="0049607C" w:rsidRDefault="000134E1" w:rsidP="000134E1">
      <w:pPr>
        <w:rPr>
          <w:rFonts w:asciiTheme="majorHAnsi" w:hAnsiTheme="majorHAnsi"/>
        </w:rPr>
      </w:pPr>
    </w:p>
    <w:p w:rsidR="000134E1" w:rsidRDefault="001A0619" w:rsidP="000134E1">
      <w:pPr>
        <w:rPr>
          <w:rFonts w:asciiTheme="majorHAnsi" w:hAnsiTheme="majorHAnsi"/>
        </w:rPr>
      </w:pPr>
      <w:r>
        <w:rPr>
          <w:rFonts w:asciiTheme="majorHAnsi" w:hAnsiTheme="majorHAnsi"/>
        </w:rPr>
        <w:t>Upon receipt of i</w:t>
      </w:r>
      <w:r w:rsidR="000134E1" w:rsidRPr="0049607C">
        <w:rPr>
          <w:rFonts w:asciiTheme="majorHAnsi" w:hAnsiTheme="majorHAnsi"/>
        </w:rPr>
        <w:t>nformation from each awardee</w:t>
      </w:r>
      <w:r>
        <w:rPr>
          <w:rFonts w:asciiTheme="majorHAnsi" w:hAnsiTheme="majorHAnsi"/>
        </w:rPr>
        <w:t xml:space="preserve"> through the FTP site, CDC staff or CDC’s contractor will enter the information</w:t>
      </w:r>
      <w:r w:rsidR="000134E1" w:rsidRPr="0049607C">
        <w:rPr>
          <w:rFonts w:asciiTheme="majorHAnsi" w:hAnsiTheme="majorHAnsi"/>
        </w:rPr>
        <w:t xml:space="preserve"> into an Access database</w:t>
      </w:r>
      <w:r>
        <w:rPr>
          <w:rFonts w:asciiTheme="majorHAnsi" w:hAnsiTheme="majorHAnsi"/>
        </w:rPr>
        <w:t>.  The</w:t>
      </w:r>
      <w:r w:rsidR="00A61053">
        <w:rPr>
          <w:rFonts w:asciiTheme="majorHAnsi" w:hAnsiTheme="majorHAnsi"/>
        </w:rPr>
        <w:t xml:space="preserve"> database will </w:t>
      </w:r>
      <w:r w:rsidR="000134E1" w:rsidRPr="0049607C">
        <w:rPr>
          <w:rFonts w:asciiTheme="majorHAnsi" w:hAnsiTheme="majorHAnsi"/>
        </w:rPr>
        <w:t>only</w:t>
      </w:r>
      <w:r w:rsidR="00A61053">
        <w:rPr>
          <w:rFonts w:asciiTheme="majorHAnsi" w:hAnsiTheme="majorHAnsi"/>
        </w:rPr>
        <w:t xml:space="preserve"> be available to authorized</w:t>
      </w:r>
      <w:r w:rsidR="000134E1" w:rsidRPr="0049607C">
        <w:rPr>
          <w:rFonts w:asciiTheme="majorHAnsi" w:hAnsiTheme="majorHAnsi"/>
        </w:rPr>
        <w:t xml:space="preserve"> CDC program staff</w:t>
      </w:r>
      <w:r w:rsidR="00A61053">
        <w:rPr>
          <w:rFonts w:asciiTheme="majorHAnsi" w:hAnsiTheme="majorHAnsi"/>
        </w:rPr>
        <w:t xml:space="preserve"> and contractors</w:t>
      </w:r>
      <w:r w:rsidR="000134E1" w:rsidRPr="0049607C">
        <w:rPr>
          <w:rFonts w:asciiTheme="majorHAnsi" w:hAnsiTheme="majorHAnsi"/>
        </w:rPr>
        <w:t>.  Responses will be stored on secure network servers, subject to the agency’s computer security measures.  CDC staff will have the capacity to query the database to extract individual or aggregate awardee-related data.  CDC staff will generate reports for each of their ass</w:t>
      </w:r>
      <w:r>
        <w:rPr>
          <w:rFonts w:asciiTheme="majorHAnsi" w:hAnsiTheme="majorHAnsi"/>
        </w:rPr>
        <w:t>igned states on an annual basis.</w:t>
      </w:r>
    </w:p>
    <w:p w:rsidR="001A0619" w:rsidRDefault="001A0619" w:rsidP="000134E1">
      <w:pPr>
        <w:rPr>
          <w:rFonts w:asciiTheme="majorHAnsi" w:hAnsiTheme="majorHAnsi"/>
        </w:rPr>
      </w:pPr>
    </w:p>
    <w:p w:rsidR="001A0619" w:rsidRPr="0049607C" w:rsidRDefault="001A0619" w:rsidP="000134E1">
      <w:pPr>
        <w:rPr>
          <w:rFonts w:asciiTheme="majorHAnsi" w:hAnsiTheme="majorHAnsi"/>
        </w:rPr>
      </w:pPr>
    </w:p>
    <w:p w:rsidR="000134E1" w:rsidRPr="0049607C" w:rsidRDefault="000134E1" w:rsidP="000134E1">
      <w:pPr>
        <w:numPr>
          <w:ilvl w:val="0"/>
          <w:numId w:val="1"/>
        </w:numPr>
        <w:rPr>
          <w:rFonts w:asciiTheme="majorHAnsi" w:hAnsiTheme="majorHAnsi"/>
          <w:b/>
        </w:rPr>
      </w:pPr>
      <w:r w:rsidRPr="0049607C">
        <w:rPr>
          <w:rFonts w:asciiTheme="majorHAnsi" w:hAnsiTheme="majorHAnsi"/>
          <w:b/>
        </w:rPr>
        <w:t>Methods to Maximize Response Rates and Deal with Nonresponse</w:t>
      </w:r>
    </w:p>
    <w:p w:rsidR="000134E1" w:rsidRPr="0049607C" w:rsidRDefault="000134E1" w:rsidP="000134E1">
      <w:pPr>
        <w:rPr>
          <w:rFonts w:asciiTheme="majorHAnsi" w:hAnsiTheme="majorHAnsi"/>
          <w:b/>
        </w:rPr>
      </w:pPr>
    </w:p>
    <w:p w:rsidR="000134E1" w:rsidRPr="0049607C" w:rsidRDefault="000134E1" w:rsidP="000134E1">
      <w:pPr>
        <w:rPr>
          <w:rFonts w:asciiTheme="majorHAnsi" w:hAnsiTheme="majorHAnsi"/>
        </w:rPr>
      </w:pPr>
      <w:r w:rsidRPr="0049607C">
        <w:rPr>
          <w:rFonts w:asciiTheme="majorHAnsi" w:hAnsiTheme="majorHAnsi"/>
        </w:rPr>
        <w:t>Annual reports are a requirement for each program awarded funding under the FOA in order to continue to receive cooperative agreement funding. Hence, response rates are expected to be 100%.</w:t>
      </w:r>
    </w:p>
    <w:p w:rsidR="000134E1" w:rsidRPr="0049607C" w:rsidRDefault="000134E1" w:rsidP="000134E1">
      <w:pPr>
        <w:rPr>
          <w:rFonts w:asciiTheme="majorHAnsi" w:hAnsiTheme="majorHAnsi"/>
          <w:b/>
        </w:rPr>
      </w:pPr>
    </w:p>
    <w:p w:rsidR="000134E1" w:rsidRPr="0049607C" w:rsidRDefault="000134E1" w:rsidP="000134E1">
      <w:pPr>
        <w:pStyle w:val="ListParagraph"/>
        <w:numPr>
          <w:ilvl w:val="0"/>
          <w:numId w:val="1"/>
        </w:numPr>
        <w:rPr>
          <w:rFonts w:asciiTheme="majorHAnsi" w:hAnsiTheme="majorHAnsi"/>
          <w:b/>
        </w:rPr>
      </w:pPr>
      <w:r w:rsidRPr="0049607C">
        <w:rPr>
          <w:rFonts w:asciiTheme="majorHAnsi" w:hAnsiTheme="majorHAnsi"/>
          <w:b/>
        </w:rPr>
        <w:lastRenderedPageBreak/>
        <w:t>Test of Procedures or Methods to be Undertaken</w:t>
      </w:r>
    </w:p>
    <w:p w:rsidR="000134E1" w:rsidRPr="0049607C" w:rsidRDefault="000134E1" w:rsidP="000134E1">
      <w:pPr>
        <w:rPr>
          <w:rFonts w:asciiTheme="majorHAnsi" w:hAnsiTheme="majorHAnsi"/>
        </w:rPr>
      </w:pPr>
    </w:p>
    <w:p w:rsidR="000134E1" w:rsidRPr="0049607C" w:rsidRDefault="000134E1" w:rsidP="000134E1">
      <w:pPr>
        <w:rPr>
          <w:rFonts w:asciiTheme="majorHAnsi" w:hAnsiTheme="majorHAnsi"/>
        </w:rPr>
      </w:pPr>
      <w:r w:rsidRPr="0049607C">
        <w:rPr>
          <w:rFonts w:asciiTheme="majorHAnsi" w:hAnsiTheme="majorHAnsi"/>
        </w:rPr>
        <w:t xml:space="preserve">Beta-testing of the reporting tool with no more than 9 awardees from select states and CDC program staff will occur prior to full scale implementation of the reporting tool for annual data collection with all awardees.  Beta-testing will occur via a link </w:t>
      </w:r>
      <w:r w:rsidR="00FD586F">
        <w:rPr>
          <w:rFonts w:asciiTheme="majorHAnsi" w:hAnsiTheme="majorHAnsi"/>
        </w:rPr>
        <w:t>to the tool provided by CDC’s data management contractor</w:t>
      </w:r>
      <w:r w:rsidRPr="0049607C">
        <w:rPr>
          <w:rFonts w:asciiTheme="majorHAnsi" w:hAnsiTheme="majorHAnsi"/>
        </w:rPr>
        <w:t xml:space="preserve"> as part of an explanatory email.  Beta-testing will assess the content of the reporting tool, the design of the tool including skip patterns and drop-down menus, the time needed to complete the tool and the ease of completing the tool.  Awardees and staff will provide feedback via completion of a questionnaire and </w:t>
      </w:r>
      <w:r w:rsidR="00FD586F">
        <w:rPr>
          <w:rFonts w:asciiTheme="majorHAnsi" w:hAnsiTheme="majorHAnsi"/>
        </w:rPr>
        <w:t xml:space="preserve">limited participation in </w:t>
      </w:r>
      <w:r w:rsidRPr="0049607C">
        <w:rPr>
          <w:rFonts w:asciiTheme="majorHAnsi" w:hAnsiTheme="majorHAnsi"/>
        </w:rPr>
        <w:t>focus groups.</w:t>
      </w:r>
    </w:p>
    <w:p w:rsidR="000134E1" w:rsidRDefault="000134E1" w:rsidP="000134E1">
      <w:pPr>
        <w:rPr>
          <w:rFonts w:asciiTheme="majorHAnsi" w:hAnsiTheme="majorHAnsi"/>
        </w:rPr>
      </w:pPr>
    </w:p>
    <w:p w:rsidR="00FD586F" w:rsidRPr="0049607C" w:rsidRDefault="00FD586F" w:rsidP="000134E1">
      <w:pPr>
        <w:rPr>
          <w:rFonts w:asciiTheme="majorHAnsi" w:hAnsiTheme="majorHAnsi"/>
        </w:rPr>
      </w:pPr>
    </w:p>
    <w:p w:rsidR="000134E1" w:rsidRPr="0049607C" w:rsidRDefault="000134E1" w:rsidP="000134E1">
      <w:pPr>
        <w:numPr>
          <w:ilvl w:val="0"/>
          <w:numId w:val="1"/>
        </w:numPr>
        <w:rPr>
          <w:rFonts w:asciiTheme="majorHAnsi" w:hAnsiTheme="majorHAnsi"/>
          <w:b/>
        </w:rPr>
      </w:pPr>
      <w:r w:rsidRPr="0049607C">
        <w:rPr>
          <w:rFonts w:asciiTheme="majorHAnsi" w:hAnsiTheme="majorHAnsi"/>
          <w:b/>
        </w:rPr>
        <w:t>Individuals Consulted on Statistical Aspects and Individuals Collecting and/or Analyzing Data</w:t>
      </w:r>
    </w:p>
    <w:p w:rsidR="000134E1" w:rsidRPr="0049607C" w:rsidRDefault="000134E1" w:rsidP="000134E1">
      <w:pPr>
        <w:rPr>
          <w:rFonts w:asciiTheme="majorHAnsi" w:hAnsiTheme="majorHAnsi"/>
          <w:b/>
        </w:rPr>
      </w:pPr>
    </w:p>
    <w:p w:rsidR="000134E1" w:rsidRPr="0049607C" w:rsidRDefault="000134E1" w:rsidP="000134E1">
      <w:pPr>
        <w:rPr>
          <w:rFonts w:asciiTheme="majorHAnsi" w:hAnsiTheme="majorHAnsi"/>
        </w:rPr>
      </w:pPr>
      <w:r w:rsidRPr="0049607C">
        <w:rPr>
          <w:rFonts w:asciiTheme="majorHAnsi" w:hAnsiTheme="majorHAnsi"/>
        </w:rPr>
        <w:t>A workgroup has been established to assist in the development of the reporting tool. The CDC members provided input on content, functionality, and usability of the database, and work with the contractor in the design of the tool.</w:t>
      </w:r>
    </w:p>
    <w:p w:rsidR="000134E1" w:rsidRPr="0049607C" w:rsidRDefault="000134E1" w:rsidP="000134E1">
      <w:pPr>
        <w:rPr>
          <w:rFonts w:asciiTheme="majorHAnsi" w:hAnsiTheme="majorHAnsi"/>
        </w:rPr>
      </w:pPr>
    </w:p>
    <w:p w:rsidR="000134E1" w:rsidRPr="0049607C" w:rsidRDefault="000134E1" w:rsidP="000134E1">
      <w:pPr>
        <w:rPr>
          <w:rFonts w:asciiTheme="majorHAnsi" w:hAnsiTheme="majorHAnsi"/>
        </w:rPr>
      </w:pPr>
      <w:r w:rsidRPr="0049607C">
        <w:rPr>
          <w:rFonts w:asciiTheme="majorHAnsi" w:hAnsiTheme="majorHAnsi"/>
        </w:rPr>
        <w:t>The individuals responsible for design and management of the data collection system include:</w:t>
      </w:r>
    </w:p>
    <w:p w:rsidR="000134E1" w:rsidRPr="0049607C" w:rsidRDefault="000134E1" w:rsidP="000134E1">
      <w:pPr>
        <w:rPr>
          <w:rFonts w:asciiTheme="majorHAnsi" w:hAnsiTheme="majorHAnsi"/>
        </w:rPr>
      </w:pPr>
    </w:p>
    <w:p w:rsidR="000134E1" w:rsidRPr="0049607C" w:rsidRDefault="000134E1" w:rsidP="000134E1">
      <w:pPr>
        <w:ind w:left="360"/>
        <w:rPr>
          <w:rFonts w:asciiTheme="majorHAnsi" w:hAnsiTheme="majorHAnsi"/>
        </w:rPr>
      </w:pPr>
      <w:r w:rsidRPr="0049607C">
        <w:rPr>
          <w:rFonts w:asciiTheme="majorHAnsi" w:hAnsiTheme="majorHAnsi"/>
        </w:rPr>
        <w:t xml:space="preserve">Kim </w:t>
      </w:r>
      <w:proofErr w:type="spellStart"/>
      <w:r w:rsidRPr="0049607C">
        <w:rPr>
          <w:rFonts w:asciiTheme="majorHAnsi" w:hAnsiTheme="majorHAnsi"/>
        </w:rPr>
        <w:t>Delguercio</w:t>
      </w:r>
      <w:proofErr w:type="spellEnd"/>
      <w:r w:rsidRPr="0049607C">
        <w:rPr>
          <w:rFonts w:asciiTheme="majorHAnsi" w:hAnsiTheme="majorHAnsi"/>
        </w:rPr>
        <w:t xml:space="preserve">, Deloitte LLC, </w:t>
      </w:r>
      <w:hyperlink r:id="rId7" w:history="1">
        <w:r w:rsidRPr="0049607C">
          <w:rPr>
            <w:rStyle w:val="Hyperlink"/>
            <w:rFonts w:asciiTheme="majorHAnsi" w:hAnsiTheme="majorHAnsi"/>
          </w:rPr>
          <w:t>kdelguercio@deloitte.com</w:t>
        </w:r>
      </w:hyperlink>
    </w:p>
    <w:p w:rsidR="000134E1" w:rsidRPr="0049607C" w:rsidRDefault="000134E1" w:rsidP="000134E1">
      <w:pPr>
        <w:ind w:left="360"/>
        <w:rPr>
          <w:rFonts w:asciiTheme="majorHAnsi" w:hAnsiTheme="majorHAnsi"/>
        </w:rPr>
      </w:pPr>
    </w:p>
    <w:p w:rsidR="000134E1" w:rsidRPr="0049607C" w:rsidRDefault="000134E1" w:rsidP="000134E1">
      <w:pPr>
        <w:ind w:left="360"/>
        <w:rPr>
          <w:rFonts w:asciiTheme="majorHAnsi" w:hAnsiTheme="majorHAnsi"/>
        </w:rPr>
      </w:pPr>
      <w:r w:rsidRPr="0049607C">
        <w:rPr>
          <w:rFonts w:asciiTheme="majorHAnsi" w:hAnsiTheme="majorHAnsi"/>
        </w:rPr>
        <w:t xml:space="preserve">Scott </w:t>
      </w:r>
      <w:proofErr w:type="spellStart"/>
      <w:r w:rsidRPr="0049607C">
        <w:rPr>
          <w:rFonts w:asciiTheme="majorHAnsi" w:hAnsiTheme="majorHAnsi"/>
        </w:rPr>
        <w:t>Klisures</w:t>
      </w:r>
      <w:proofErr w:type="spellEnd"/>
      <w:r w:rsidRPr="0049607C">
        <w:rPr>
          <w:rFonts w:asciiTheme="majorHAnsi" w:hAnsiTheme="majorHAnsi"/>
        </w:rPr>
        <w:t xml:space="preserve">, Deloitte LLC, </w:t>
      </w:r>
      <w:hyperlink r:id="rId8" w:history="1">
        <w:r w:rsidRPr="0049607C">
          <w:rPr>
            <w:rStyle w:val="Hyperlink"/>
            <w:rFonts w:asciiTheme="majorHAnsi" w:hAnsiTheme="majorHAnsi"/>
          </w:rPr>
          <w:t>sklisures@deloitte.com</w:t>
        </w:r>
      </w:hyperlink>
    </w:p>
    <w:p w:rsidR="000134E1" w:rsidRPr="0049607C" w:rsidRDefault="000134E1" w:rsidP="000134E1">
      <w:pPr>
        <w:ind w:left="360"/>
        <w:rPr>
          <w:rFonts w:asciiTheme="majorHAnsi" w:hAnsiTheme="majorHAnsi"/>
        </w:rPr>
      </w:pPr>
    </w:p>
    <w:p w:rsidR="000134E1" w:rsidRPr="0049607C" w:rsidRDefault="000134E1" w:rsidP="000134E1">
      <w:pPr>
        <w:ind w:left="360"/>
        <w:rPr>
          <w:rFonts w:asciiTheme="majorHAnsi" w:hAnsiTheme="majorHAnsi"/>
        </w:rPr>
      </w:pPr>
      <w:r w:rsidRPr="0049607C">
        <w:rPr>
          <w:rFonts w:asciiTheme="majorHAnsi" w:hAnsiTheme="majorHAnsi"/>
        </w:rPr>
        <w:t xml:space="preserve">Jeffrey Williams, Deloitte LLC, </w:t>
      </w:r>
      <w:hyperlink r:id="rId9" w:history="1">
        <w:r w:rsidRPr="0049607C">
          <w:rPr>
            <w:rStyle w:val="Hyperlink"/>
            <w:rFonts w:asciiTheme="majorHAnsi" w:hAnsiTheme="majorHAnsi"/>
          </w:rPr>
          <w:t>jewilliams@deloitte.com</w:t>
        </w:r>
      </w:hyperlink>
    </w:p>
    <w:p w:rsidR="000134E1" w:rsidRPr="0049607C" w:rsidRDefault="000134E1" w:rsidP="000134E1">
      <w:pPr>
        <w:ind w:left="360"/>
        <w:rPr>
          <w:rFonts w:asciiTheme="majorHAnsi" w:hAnsiTheme="majorHAnsi"/>
        </w:rPr>
      </w:pPr>
    </w:p>
    <w:p w:rsidR="000134E1" w:rsidRPr="0049607C" w:rsidRDefault="000134E1" w:rsidP="000134E1">
      <w:pPr>
        <w:ind w:left="360"/>
        <w:rPr>
          <w:rFonts w:asciiTheme="majorHAnsi" w:hAnsiTheme="majorHAnsi"/>
        </w:rPr>
      </w:pPr>
      <w:r w:rsidRPr="0049607C">
        <w:rPr>
          <w:rFonts w:asciiTheme="majorHAnsi" w:hAnsiTheme="majorHAnsi"/>
        </w:rPr>
        <w:t xml:space="preserve">Arthur Anglin, Deloitte LLC, </w:t>
      </w:r>
      <w:hyperlink r:id="rId10" w:history="1">
        <w:r w:rsidRPr="0049607C">
          <w:rPr>
            <w:rStyle w:val="Hyperlink"/>
            <w:rFonts w:asciiTheme="majorHAnsi" w:hAnsiTheme="majorHAnsi"/>
          </w:rPr>
          <w:t>aanglin@deloitte.com</w:t>
        </w:r>
      </w:hyperlink>
    </w:p>
    <w:p w:rsidR="000134E1" w:rsidRPr="0049607C" w:rsidRDefault="000134E1" w:rsidP="000134E1">
      <w:pPr>
        <w:ind w:left="360"/>
        <w:rPr>
          <w:rFonts w:asciiTheme="majorHAnsi" w:hAnsiTheme="majorHAnsi"/>
        </w:rPr>
      </w:pPr>
    </w:p>
    <w:p w:rsidR="000134E1" w:rsidRPr="0049607C" w:rsidRDefault="000134E1" w:rsidP="000134E1">
      <w:pPr>
        <w:ind w:left="360"/>
        <w:rPr>
          <w:rFonts w:asciiTheme="majorHAnsi" w:hAnsiTheme="majorHAnsi"/>
        </w:rPr>
      </w:pPr>
      <w:r w:rsidRPr="0049607C">
        <w:rPr>
          <w:rFonts w:asciiTheme="majorHAnsi" w:hAnsiTheme="majorHAnsi"/>
        </w:rPr>
        <w:t xml:space="preserve">Sara Ziegler, Branch Chief, DHDSP, CDC, (770) 488-6194, </w:t>
      </w:r>
      <w:hyperlink r:id="rId11" w:history="1">
        <w:r w:rsidRPr="0049607C">
          <w:rPr>
            <w:rStyle w:val="Hyperlink"/>
            <w:rFonts w:asciiTheme="majorHAnsi" w:hAnsiTheme="majorHAnsi"/>
          </w:rPr>
          <w:t>zas7@cdc.gov</w:t>
        </w:r>
      </w:hyperlink>
    </w:p>
    <w:p w:rsidR="000134E1" w:rsidRPr="0049607C" w:rsidRDefault="000134E1" w:rsidP="000134E1">
      <w:pPr>
        <w:ind w:left="360"/>
        <w:rPr>
          <w:rFonts w:asciiTheme="majorHAnsi" w:hAnsiTheme="majorHAnsi"/>
        </w:rPr>
      </w:pPr>
    </w:p>
    <w:p w:rsidR="000134E1" w:rsidRPr="0049607C" w:rsidRDefault="000134E1" w:rsidP="000134E1">
      <w:pPr>
        <w:ind w:left="360"/>
        <w:rPr>
          <w:rFonts w:asciiTheme="majorHAnsi" w:hAnsiTheme="majorHAnsi"/>
        </w:rPr>
      </w:pPr>
      <w:r w:rsidRPr="0049607C">
        <w:rPr>
          <w:rFonts w:asciiTheme="majorHAnsi" w:hAnsiTheme="majorHAnsi"/>
        </w:rPr>
        <w:t xml:space="preserve">Jennifer Kohr, Public Health Advisor, DPH, CDC (770) 488-5253, </w:t>
      </w:r>
      <w:hyperlink r:id="rId12" w:history="1">
        <w:r w:rsidRPr="0049607C">
          <w:rPr>
            <w:rStyle w:val="Hyperlink"/>
            <w:rFonts w:asciiTheme="majorHAnsi" w:hAnsiTheme="majorHAnsi"/>
          </w:rPr>
          <w:t>enj5@cdc.gov</w:t>
        </w:r>
      </w:hyperlink>
    </w:p>
    <w:p w:rsidR="000134E1" w:rsidRPr="0049607C" w:rsidRDefault="000134E1" w:rsidP="000134E1">
      <w:pPr>
        <w:ind w:left="360"/>
        <w:rPr>
          <w:rFonts w:asciiTheme="majorHAnsi" w:hAnsiTheme="majorHAnsi"/>
        </w:rPr>
      </w:pPr>
    </w:p>
    <w:p w:rsidR="000134E1" w:rsidRPr="0049607C" w:rsidRDefault="000134E1" w:rsidP="000134E1">
      <w:pPr>
        <w:ind w:left="360"/>
        <w:rPr>
          <w:rFonts w:asciiTheme="majorHAnsi" w:hAnsiTheme="majorHAnsi"/>
        </w:rPr>
      </w:pPr>
      <w:r w:rsidRPr="0049607C">
        <w:rPr>
          <w:rFonts w:asciiTheme="majorHAnsi" w:hAnsiTheme="majorHAnsi"/>
        </w:rPr>
        <w:t xml:space="preserve">Jennifer Brown, Deputy Branch Chief, DNPAO, CDC, (770) 488-6456, </w:t>
      </w:r>
      <w:hyperlink r:id="rId13" w:history="1">
        <w:r w:rsidRPr="0049607C">
          <w:rPr>
            <w:rStyle w:val="Hyperlink"/>
            <w:rFonts w:asciiTheme="majorHAnsi" w:hAnsiTheme="majorHAnsi"/>
          </w:rPr>
          <w:t>jxb9@cdc.gov</w:t>
        </w:r>
      </w:hyperlink>
    </w:p>
    <w:p w:rsidR="000134E1" w:rsidRPr="0049607C" w:rsidRDefault="000134E1" w:rsidP="000134E1">
      <w:pPr>
        <w:ind w:left="360"/>
        <w:rPr>
          <w:rFonts w:asciiTheme="majorHAnsi" w:hAnsiTheme="majorHAnsi"/>
        </w:rPr>
      </w:pPr>
    </w:p>
    <w:p w:rsidR="000134E1" w:rsidRPr="0049607C" w:rsidRDefault="000134E1" w:rsidP="000134E1">
      <w:pPr>
        <w:ind w:left="360"/>
        <w:rPr>
          <w:rFonts w:asciiTheme="majorHAnsi" w:hAnsiTheme="majorHAnsi"/>
        </w:rPr>
      </w:pPr>
      <w:r w:rsidRPr="0049607C">
        <w:rPr>
          <w:rFonts w:asciiTheme="majorHAnsi" w:hAnsiTheme="majorHAnsi"/>
        </w:rPr>
        <w:t xml:space="preserve">Marla Vaughan, Team Lead, DHDSP, CDC, (770) 488-4826, </w:t>
      </w:r>
      <w:hyperlink r:id="rId14" w:history="1">
        <w:r w:rsidRPr="0049607C">
          <w:rPr>
            <w:rStyle w:val="Hyperlink"/>
            <w:rFonts w:asciiTheme="majorHAnsi" w:hAnsiTheme="majorHAnsi"/>
          </w:rPr>
          <w:t>mhv1@cdc.gov</w:t>
        </w:r>
      </w:hyperlink>
    </w:p>
    <w:p w:rsidR="000134E1" w:rsidRPr="0049607C" w:rsidRDefault="000134E1" w:rsidP="000134E1">
      <w:pPr>
        <w:ind w:left="360"/>
        <w:rPr>
          <w:rFonts w:asciiTheme="majorHAnsi" w:hAnsiTheme="majorHAnsi"/>
        </w:rPr>
      </w:pPr>
    </w:p>
    <w:p w:rsidR="000134E1" w:rsidRPr="0049607C" w:rsidRDefault="000134E1" w:rsidP="000134E1">
      <w:pPr>
        <w:ind w:left="360"/>
        <w:rPr>
          <w:rFonts w:asciiTheme="majorHAnsi" w:hAnsiTheme="majorHAnsi"/>
        </w:rPr>
      </w:pPr>
      <w:r w:rsidRPr="0049607C">
        <w:rPr>
          <w:rFonts w:asciiTheme="majorHAnsi" w:hAnsiTheme="majorHAnsi"/>
        </w:rPr>
        <w:t xml:space="preserve">Pat Schumacher, Team Lead, DDT, CDC, (770) 488-5968, </w:t>
      </w:r>
      <w:hyperlink r:id="rId15" w:history="1">
        <w:r w:rsidRPr="0049607C">
          <w:rPr>
            <w:rStyle w:val="Hyperlink"/>
            <w:rFonts w:asciiTheme="majorHAnsi" w:hAnsiTheme="majorHAnsi"/>
          </w:rPr>
          <w:t>prs5@cdc.gov</w:t>
        </w:r>
      </w:hyperlink>
    </w:p>
    <w:p w:rsidR="000134E1" w:rsidRPr="0049607C" w:rsidRDefault="000134E1" w:rsidP="000134E1">
      <w:pPr>
        <w:ind w:left="360"/>
        <w:rPr>
          <w:rFonts w:asciiTheme="majorHAnsi" w:hAnsiTheme="majorHAnsi"/>
        </w:rPr>
      </w:pPr>
    </w:p>
    <w:p w:rsidR="000134E1" w:rsidRPr="0049607C" w:rsidRDefault="000134E1" w:rsidP="000134E1">
      <w:pPr>
        <w:rPr>
          <w:rFonts w:asciiTheme="majorHAnsi" w:hAnsiTheme="majorHAnsi"/>
        </w:rPr>
      </w:pPr>
    </w:p>
    <w:p w:rsidR="008D2838" w:rsidRPr="006A0DEF" w:rsidRDefault="008D2838">
      <w:pPr>
        <w:rPr>
          <w:rFonts w:asciiTheme="majorHAnsi" w:hAnsiTheme="majorHAnsi"/>
          <w:b/>
          <w:sz w:val="28"/>
          <w:szCs w:val="28"/>
        </w:rPr>
      </w:pPr>
    </w:p>
    <w:sectPr w:rsidR="008D2838" w:rsidRPr="006A0DEF" w:rsidSect="00E07600">
      <w:pgSz w:w="12240" w:h="15840"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hruti">
    <w:panose1 w:val="020B0502040204020203"/>
    <w:charset w:val="01"/>
    <w:family w:val="roman"/>
    <w:notTrueType/>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D05F5"/>
    <w:multiLevelType w:val="hybridMultilevel"/>
    <w:tmpl w:val="89CE0A82"/>
    <w:lvl w:ilvl="0" w:tplc="D7C06FB4">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4CF764E5"/>
    <w:multiLevelType w:val="hybridMultilevel"/>
    <w:tmpl w:val="A19C823E"/>
    <w:lvl w:ilvl="0" w:tplc="0409000F">
      <w:start w:val="1"/>
      <w:numFmt w:val="decimal"/>
      <w:lvlText w:val="%1."/>
      <w:lvlJc w:val="left"/>
      <w:pPr>
        <w:tabs>
          <w:tab w:val="num" w:pos="1080"/>
        </w:tabs>
        <w:ind w:left="1080" w:hanging="360"/>
      </w:pPr>
    </w:lvl>
    <w:lvl w:ilvl="1" w:tplc="10167590">
      <w:start w:val="1"/>
      <w:numFmt w:val="lowerLetter"/>
      <w:lvlText w:val="%2."/>
      <w:lvlJc w:val="left"/>
      <w:pPr>
        <w:tabs>
          <w:tab w:val="num" w:pos="1710"/>
        </w:tabs>
        <w:ind w:left="1710" w:hanging="360"/>
      </w:pPr>
      <w:rPr>
        <w:b w:val="0"/>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4E1"/>
    <w:rsid w:val="000134E1"/>
    <w:rsid w:val="0002149C"/>
    <w:rsid w:val="000E41B8"/>
    <w:rsid w:val="001A0619"/>
    <w:rsid w:val="00274234"/>
    <w:rsid w:val="002C78BF"/>
    <w:rsid w:val="00326052"/>
    <w:rsid w:val="003751BE"/>
    <w:rsid w:val="0049607C"/>
    <w:rsid w:val="005A0741"/>
    <w:rsid w:val="00697269"/>
    <w:rsid w:val="006A0DEF"/>
    <w:rsid w:val="006E2620"/>
    <w:rsid w:val="0072648D"/>
    <w:rsid w:val="00737668"/>
    <w:rsid w:val="0081157D"/>
    <w:rsid w:val="008568B9"/>
    <w:rsid w:val="008D2838"/>
    <w:rsid w:val="00992D40"/>
    <w:rsid w:val="00A61053"/>
    <w:rsid w:val="00B44BDE"/>
    <w:rsid w:val="00C4230E"/>
    <w:rsid w:val="00D0456A"/>
    <w:rsid w:val="00E07600"/>
    <w:rsid w:val="00E146D8"/>
    <w:rsid w:val="00FD0EDC"/>
    <w:rsid w:val="00FD5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4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134E1"/>
    <w:rPr>
      <w:color w:val="0000FF"/>
      <w:u w:val="single"/>
    </w:rPr>
  </w:style>
  <w:style w:type="character" w:styleId="BookTitle">
    <w:name w:val="Book Title"/>
    <w:basedOn w:val="DefaultParagraphFont"/>
    <w:uiPriority w:val="33"/>
    <w:qFormat/>
    <w:rsid w:val="000134E1"/>
    <w:rPr>
      <w:b/>
      <w:bCs/>
      <w:smallCaps/>
      <w:spacing w:val="5"/>
    </w:rPr>
  </w:style>
  <w:style w:type="paragraph" w:styleId="ListParagraph">
    <w:name w:val="List Paragraph"/>
    <w:basedOn w:val="Normal"/>
    <w:uiPriority w:val="34"/>
    <w:qFormat/>
    <w:rsid w:val="000134E1"/>
    <w:pPr>
      <w:ind w:left="720"/>
      <w:contextualSpacing/>
    </w:pPr>
  </w:style>
  <w:style w:type="paragraph" w:styleId="NoSpacing">
    <w:name w:val="No Spacing"/>
    <w:link w:val="NoSpacingChar"/>
    <w:uiPriority w:val="1"/>
    <w:qFormat/>
    <w:rsid w:val="000134E1"/>
    <w:pPr>
      <w:spacing w:after="0" w:line="240" w:lineRule="auto"/>
    </w:pPr>
    <w:rPr>
      <w:rFonts w:ascii="Calibri" w:eastAsia="Times New Roman" w:hAnsi="Calibri" w:cs="Times New Roman"/>
      <w:lang w:eastAsia="ja-JP"/>
    </w:rPr>
  </w:style>
  <w:style w:type="character" w:customStyle="1" w:styleId="NoSpacingChar">
    <w:name w:val="No Spacing Char"/>
    <w:link w:val="NoSpacing"/>
    <w:uiPriority w:val="1"/>
    <w:rsid w:val="000134E1"/>
    <w:rPr>
      <w:rFonts w:ascii="Calibri" w:eastAsia="Times New Roman" w:hAnsi="Calibri" w:cs="Times New Roman"/>
      <w:lang w:eastAsia="ja-JP"/>
    </w:rPr>
  </w:style>
  <w:style w:type="paragraph" w:styleId="BalloonText">
    <w:name w:val="Balloon Text"/>
    <w:basedOn w:val="Normal"/>
    <w:link w:val="BalloonTextChar"/>
    <w:uiPriority w:val="99"/>
    <w:semiHidden/>
    <w:unhideWhenUsed/>
    <w:rsid w:val="00E146D8"/>
    <w:rPr>
      <w:rFonts w:ascii="Tahoma" w:hAnsi="Tahoma" w:cs="Tahoma"/>
      <w:sz w:val="16"/>
      <w:szCs w:val="16"/>
    </w:rPr>
  </w:style>
  <w:style w:type="character" w:customStyle="1" w:styleId="BalloonTextChar">
    <w:name w:val="Balloon Text Char"/>
    <w:basedOn w:val="DefaultParagraphFont"/>
    <w:link w:val="BalloonText"/>
    <w:uiPriority w:val="99"/>
    <w:semiHidden/>
    <w:rsid w:val="00E146D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568B9"/>
    <w:rPr>
      <w:sz w:val="16"/>
      <w:szCs w:val="16"/>
    </w:rPr>
  </w:style>
  <w:style w:type="paragraph" w:styleId="CommentText">
    <w:name w:val="annotation text"/>
    <w:basedOn w:val="Normal"/>
    <w:link w:val="CommentTextChar"/>
    <w:uiPriority w:val="99"/>
    <w:semiHidden/>
    <w:unhideWhenUsed/>
    <w:rsid w:val="008568B9"/>
    <w:rPr>
      <w:sz w:val="20"/>
      <w:szCs w:val="20"/>
    </w:rPr>
  </w:style>
  <w:style w:type="character" w:customStyle="1" w:styleId="CommentTextChar">
    <w:name w:val="Comment Text Char"/>
    <w:basedOn w:val="DefaultParagraphFont"/>
    <w:link w:val="CommentText"/>
    <w:uiPriority w:val="99"/>
    <w:semiHidden/>
    <w:rsid w:val="008568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68B9"/>
    <w:rPr>
      <w:b/>
      <w:bCs/>
    </w:rPr>
  </w:style>
  <w:style w:type="character" w:customStyle="1" w:styleId="CommentSubjectChar">
    <w:name w:val="Comment Subject Char"/>
    <w:basedOn w:val="CommentTextChar"/>
    <w:link w:val="CommentSubject"/>
    <w:uiPriority w:val="99"/>
    <w:semiHidden/>
    <w:rsid w:val="008568B9"/>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4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134E1"/>
    <w:rPr>
      <w:color w:val="0000FF"/>
      <w:u w:val="single"/>
    </w:rPr>
  </w:style>
  <w:style w:type="character" w:styleId="BookTitle">
    <w:name w:val="Book Title"/>
    <w:basedOn w:val="DefaultParagraphFont"/>
    <w:uiPriority w:val="33"/>
    <w:qFormat/>
    <w:rsid w:val="000134E1"/>
    <w:rPr>
      <w:b/>
      <w:bCs/>
      <w:smallCaps/>
      <w:spacing w:val="5"/>
    </w:rPr>
  </w:style>
  <w:style w:type="paragraph" w:styleId="ListParagraph">
    <w:name w:val="List Paragraph"/>
    <w:basedOn w:val="Normal"/>
    <w:uiPriority w:val="34"/>
    <w:qFormat/>
    <w:rsid w:val="000134E1"/>
    <w:pPr>
      <w:ind w:left="720"/>
      <w:contextualSpacing/>
    </w:pPr>
  </w:style>
  <w:style w:type="paragraph" w:styleId="NoSpacing">
    <w:name w:val="No Spacing"/>
    <w:link w:val="NoSpacingChar"/>
    <w:uiPriority w:val="1"/>
    <w:qFormat/>
    <w:rsid w:val="000134E1"/>
    <w:pPr>
      <w:spacing w:after="0" w:line="240" w:lineRule="auto"/>
    </w:pPr>
    <w:rPr>
      <w:rFonts w:ascii="Calibri" w:eastAsia="Times New Roman" w:hAnsi="Calibri" w:cs="Times New Roman"/>
      <w:lang w:eastAsia="ja-JP"/>
    </w:rPr>
  </w:style>
  <w:style w:type="character" w:customStyle="1" w:styleId="NoSpacingChar">
    <w:name w:val="No Spacing Char"/>
    <w:link w:val="NoSpacing"/>
    <w:uiPriority w:val="1"/>
    <w:rsid w:val="000134E1"/>
    <w:rPr>
      <w:rFonts w:ascii="Calibri" w:eastAsia="Times New Roman" w:hAnsi="Calibri" w:cs="Times New Roman"/>
      <w:lang w:eastAsia="ja-JP"/>
    </w:rPr>
  </w:style>
  <w:style w:type="paragraph" w:styleId="BalloonText">
    <w:name w:val="Balloon Text"/>
    <w:basedOn w:val="Normal"/>
    <w:link w:val="BalloonTextChar"/>
    <w:uiPriority w:val="99"/>
    <w:semiHidden/>
    <w:unhideWhenUsed/>
    <w:rsid w:val="00E146D8"/>
    <w:rPr>
      <w:rFonts w:ascii="Tahoma" w:hAnsi="Tahoma" w:cs="Tahoma"/>
      <w:sz w:val="16"/>
      <w:szCs w:val="16"/>
    </w:rPr>
  </w:style>
  <w:style w:type="character" w:customStyle="1" w:styleId="BalloonTextChar">
    <w:name w:val="Balloon Text Char"/>
    <w:basedOn w:val="DefaultParagraphFont"/>
    <w:link w:val="BalloonText"/>
    <w:uiPriority w:val="99"/>
    <w:semiHidden/>
    <w:rsid w:val="00E146D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568B9"/>
    <w:rPr>
      <w:sz w:val="16"/>
      <w:szCs w:val="16"/>
    </w:rPr>
  </w:style>
  <w:style w:type="paragraph" w:styleId="CommentText">
    <w:name w:val="annotation text"/>
    <w:basedOn w:val="Normal"/>
    <w:link w:val="CommentTextChar"/>
    <w:uiPriority w:val="99"/>
    <w:semiHidden/>
    <w:unhideWhenUsed/>
    <w:rsid w:val="008568B9"/>
    <w:rPr>
      <w:sz w:val="20"/>
      <w:szCs w:val="20"/>
    </w:rPr>
  </w:style>
  <w:style w:type="character" w:customStyle="1" w:styleId="CommentTextChar">
    <w:name w:val="Comment Text Char"/>
    <w:basedOn w:val="DefaultParagraphFont"/>
    <w:link w:val="CommentText"/>
    <w:uiPriority w:val="99"/>
    <w:semiHidden/>
    <w:rsid w:val="008568B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68B9"/>
    <w:rPr>
      <w:b/>
      <w:bCs/>
    </w:rPr>
  </w:style>
  <w:style w:type="character" w:customStyle="1" w:styleId="CommentSubjectChar">
    <w:name w:val="Comment Subject Char"/>
    <w:basedOn w:val="CommentTextChar"/>
    <w:link w:val="CommentSubject"/>
    <w:uiPriority w:val="99"/>
    <w:semiHidden/>
    <w:rsid w:val="008568B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klisures@deloitte.com" TargetMode="External"/><Relationship Id="rId13" Type="http://schemas.openxmlformats.org/officeDocument/2006/relationships/hyperlink" Target="mailto:jxb9@cdc.gov" TargetMode="External"/><Relationship Id="rId3" Type="http://schemas.microsoft.com/office/2007/relationships/stylesWithEffects" Target="stylesWithEffects.xml"/><Relationship Id="rId7" Type="http://schemas.openxmlformats.org/officeDocument/2006/relationships/hyperlink" Target="mailto:kdelguercio@deloitte.com" TargetMode="External"/><Relationship Id="rId12" Type="http://schemas.openxmlformats.org/officeDocument/2006/relationships/hyperlink" Target="mailto:enj5@cdc.go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cdc.gov" TargetMode="External"/><Relationship Id="rId11" Type="http://schemas.openxmlformats.org/officeDocument/2006/relationships/hyperlink" Target="mailto:zas7@cdc.gov" TargetMode="External"/><Relationship Id="rId5" Type="http://schemas.openxmlformats.org/officeDocument/2006/relationships/webSettings" Target="webSettings.xml"/><Relationship Id="rId15" Type="http://schemas.openxmlformats.org/officeDocument/2006/relationships/hyperlink" Target="mailto:prs5@cdc.gov" TargetMode="External"/><Relationship Id="rId10" Type="http://schemas.openxmlformats.org/officeDocument/2006/relationships/hyperlink" Target="mailto:aanglin@deloitte.com" TargetMode="External"/><Relationship Id="rId4" Type="http://schemas.openxmlformats.org/officeDocument/2006/relationships/settings" Target="settings.xml"/><Relationship Id="rId9" Type="http://schemas.openxmlformats.org/officeDocument/2006/relationships/hyperlink" Target="mailto:jewilliams@deloitte.com" TargetMode="External"/><Relationship Id="rId14" Type="http://schemas.openxmlformats.org/officeDocument/2006/relationships/hyperlink" Target="mailto:mhv1@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893</Words>
  <Characters>5092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16</cp:revision>
  <dcterms:created xsi:type="dcterms:W3CDTF">2014-09-26T00:38:00Z</dcterms:created>
  <dcterms:modified xsi:type="dcterms:W3CDTF">2014-10-29T18:09:00Z</dcterms:modified>
</cp:coreProperties>
</file>