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0F1F7FC0" w:rsidR="00236FA3" w:rsidRPr="006578E6" w:rsidRDefault="00236FA3" w:rsidP="00FB0FA3">
      <w:pPr>
        <w:pBdr>
          <w:bottom w:val="single" w:sz="12" w:space="1" w:color="auto"/>
        </w:pBdr>
        <w:spacing w:line="240" w:lineRule="auto"/>
        <w:jc w:val="center"/>
        <w:rPr>
          <w:rFonts w:ascii="Times New Roman" w:hAnsi="Times New Roman"/>
          <w:b/>
          <w:sz w:val="24"/>
          <w:szCs w:val="24"/>
        </w:rPr>
      </w:pPr>
      <w:bookmarkStart w:id="0" w:name="_GoBack"/>
      <w:bookmarkEnd w:id="0"/>
      <w:r w:rsidRPr="006578E6">
        <w:rPr>
          <w:rFonts w:ascii="Times New Roman" w:hAnsi="Times New Roman"/>
          <w:b/>
          <w:sz w:val="24"/>
          <w:szCs w:val="24"/>
        </w:rPr>
        <w:t xml:space="preserve">FDA DOCUMENTATION FOR THE </w:t>
      </w:r>
      <w:r w:rsidR="005F546B" w:rsidRPr="006578E6">
        <w:rPr>
          <w:rFonts w:ascii="Times New Roman" w:hAnsi="Times New Roman"/>
          <w:b/>
          <w:sz w:val="24"/>
          <w:szCs w:val="24"/>
        </w:rPr>
        <w:t xml:space="preserve">GENERIC </w:t>
      </w:r>
      <w:r w:rsidRPr="006578E6">
        <w:rPr>
          <w:rFonts w:ascii="Times New Roman" w:hAnsi="Times New Roman"/>
          <w:b/>
          <w:sz w:val="24"/>
          <w:szCs w:val="24"/>
        </w:rPr>
        <w:t xml:space="preserve">CLEARANCE </w:t>
      </w:r>
    </w:p>
    <w:p w14:paraId="29F24322" w14:textId="0C87DC6D" w:rsidR="00BD66B4" w:rsidRPr="006578E6" w:rsidRDefault="00BD66B4" w:rsidP="00FB0FA3">
      <w:pPr>
        <w:pBdr>
          <w:bottom w:val="single" w:sz="12" w:space="1" w:color="auto"/>
        </w:pBdr>
        <w:spacing w:line="240" w:lineRule="auto"/>
        <w:jc w:val="center"/>
        <w:rPr>
          <w:rFonts w:ascii="Times New Roman" w:hAnsi="Times New Roman"/>
          <w:b/>
          <w:sz w:val="24"/>
          <w:szCs w:val="24"/>
        </w:rPr>
      </w:pPr>
      <w:r w:rsidRPr="006578E6">
        <w:rPr>
          <w:rFonts w:ascii="Times New Roman" w:hAnsi="Times New Roman"/>
          <w:b/>
          <w:sz w:val="24"/>
          <w:szCs w:val="24"/>
        </w:rPr>
        <w:t>OF TESTING COMMUNICATIONS ON TOBACCO PRODUCTS</w:t>
      </w:r>
    </w:p>
    <w:p w14:paraId="0AD6F8BB" w14:textId="61441934" w:rsidR="00236FA3" w:rsidRPr="006578E6" w:rsidRDefault="00207C31" w:rsidP="00FB0FA3">
      <w:pPr>
        <w:pBdr>
          <w:bottom w:val="single" w:sz="12" w:space="1" w:color="auto"/>
        </w:pBdr>
        <w:spacing w:line="240" w:lineRule="auto"/>
        <w:jc w:val="center"/>
        <w:rPr>
          <w:rFonts w:ascii="Times New Roman" w:hAnsi="Times New Roman"/>
          <w:b/>
          <w:sz w:val="24"/>
          <w:szCs w:val="24"/>
        </w:rPr>
      </w:pPr>
      <w:r w:rsidRPr="006578E6">
        <w:rPr>
          <w:rFonts w:ascii="Times New Roman" w:hAnsi="Times New Roman"/>
          <w:b/>
          <w:sz w:val="24"/>
          <w:szCs w:val="24"/>
        </w:rPr>
        <w:t xml:space="preserve"> </w:t>
      </w:r>
      <w:r w:rsidR="00236FA3" w:rsidRPr="006578E6">
        <w:rPr>
          <w:rFonts w:ascii="Times New Roman" w:hAnsi="Times New Roman"/>
          <w:b/>
          <w:sz w:val="24"/>
          <w:szCs w:val="24"/>
        </w:rPr>
        <w:t>(0910-</w:t>
      </w:r>
      <w:r w:rsidR="00E33C38" w:rsidRPr="006578E6">
        <w:rPr>
          <w:rFonts w:ascii="Times New Roman" w:hAnsi="Times New Roman"/>
          <w:b/>
          <w:sz w:val="24"/>
          <w:szCs w:val="24"/>
        </w:rPr>
        <w:t>0796</w:t>
      </w:r>
      <w:r w:rsidR="00236FA3" w:rsidRPr="006578E6">
        <w:rPr>
          <w:rFonts w:ascii="Times New Roman" w:hAnsi="Times New Roman"/>
          <w:b/>
          <w:sz w:val="24"/>
          <w:szCs w:val="24"/>
        </w:rPr>
        <w:t>)</w:t>
      </w:r>
    </w:p>
    <w:p w14:paraId="7B69FCB7" w14:textId="77777777" w:rsidR="002A35C7" w:rsidRPr="006578E6" w:rsidRDefault="002A35C7" w:rsidP="00FB0FA3">
      <w:pPr>
        <w:pBdr>
          <w:bottom w:val="single" w:sz="12" w:space="1" w:color="auto"/>
        </w:pBdr>
        <w:spacing w:line="240" w:lineRule="auto"/>
        <w:jc w:val="center"/>
        <w:rPr>
          <w:rFonts w:ascii="Times New Roman" w:hAnsi="Times New Roman"/>
          <w:b/>
          <w:sz w:val="24"/>
          <w:szCs w:val="24"/>
        </w:rPr>
      </w:pPr>
    </w:p>
    <w:p w14:paraId="1269AEF7" w14:textId="77777777" w:rsidR="002A35C7" w:rsidRPr="006578E6" w:rsidRDefault="002A35C7" w:rsidP="00FB0FA3">
      <w:pPr>
        <w:spacing w:line="240" w:lineRule="auto"/>
        <w:rPr>
          <w:rFonts w:ascii="Times New Roman" w:hAnsi="Times New Roman"/>
          <w:b/>
          <w:sz w:val="24"/>
          <w:szCs w:val="24"/>
        </w:rPr>
      </w:pPr>
    </w:p>
    <w:p w14:paraId="7410E0B1" w14:textId="2B70F95E" w:rsidR="00957513" w:rsidRPr="006578E6" w:rsidRDefault="00957513" w:rsidP="00E3120A">
      <w:pPr>
        <w:rPr>
          <w:rFonts w:ascii="Times New Roman" w:hAnsi="Times New Roman"/>
          <w:b/>
          <w:sz w:val="24"/>
          <w:szCs w:val="24"/>
        </w:rPr>
      </w:pPr>
      <w:r w:rsidRPr="006578E6">
        <w:rPr>
          <w:rFonts w:ascii="Times New Roman" w:hAnsi="Times New Roman"/>
          <w:b/>
          <w:sz w:val="24"/>
          <w:szCs w:val="24"/>
        </w:rPr>
        <w:t>TITLE OF INFORMATION COLLECTION</w:t>
      </w:r>
      <w:r w:rsidRPr="006578E6">
        <w:rPr>
          <w:rFonts w:ascii="Times New Roman" w:eastAsiaTheme="minorHAnsi" w:hAnsi="Times New Roman"/>
          <w:sz w:val="24"/>
          <w:szCs w:val="24"/>
        </w:rPr>
        <w:t>:</w:t>
      </w:r>
      <w:r w:rsidR="00385DE8" w:rsidRPr="006578E6">
        <w:rPr>
          <w:rFonts w:ascii="Times New Roman" w:eastAsiaTheme="minorHAnsi" w:hAnsi="Times New Roman"/>
          <w:sz w:val="24"/>
          <w:szCs w:val="24"/>
        </w:rPr>
        <w:t xml:space="preserve"> </w:t>
      </w:r>
      <w:r w:rsidR="00312FFE" w:rsidRPr="00312FFE">
        <w:rPr>
          <w:rFonts w:ascii="Times New Roman" w:hAnsi="Times New Roman"/>
          <w:bCs/>
          <w:sz w:val="24"/>
          <w:szCs w:val="24"/>
        </w:rPr>
        <w:t xml:space="preserve">The Real Cost Smokeless: Wave 2 Focus Group Study of Reactions to Creative Advertising Concepts Designed to Prevent </w:t>
      </w:r>
      <w:r w:rsidR="00312FFE">
        <w:rPr>
          <w:rFonts w:ascii="Times New Roman" w:hAnsi="Times New Roman"/>
          <w:bCs/>
          <w:sz w:val="24"/>
          <w:szCs w:val="24"/>
        </w:rPr>
        <w:t xml:space="preserve">Rural </w:t>
      </w:r>
      <w:r w:rsidR="00312FFE" w:rsidRPr="00312FFE">
        <w:rPr>
          <w:rFonts w:ascii="Times New Roman" w:hAnsi="Times New Roman"/>
          <w:bCs/>
          <w:sz w:val="24"/>
          <w:szCs w:val="24"/>
        </w:rPr>
        <w:t>Youth Tobacco Use</w:t>
      </w:r>
      <w:r w:rsidR="00FB27BC">
        <w:rPr>
          <w:rFonts w:ascii="Times New Roman" w:hAnsi="Times New Roman"/>
          <w:sz w:val="24"/>
          <w:szCs w:val="24"/>
        </w:rPr>
        <w:t>; OMB</w:t>
      </w:r>
      <w:r w:rsidRPr="006578E6">
        <w:rPr>
          <w:rFonts w:ascii="Times New Roman" w:hAnsi="Times New Roman"/>
          <w:sz w:val="24"/>
          <w:szCs w:val="24"/>
        </w:rPr>
        <w:t xml:space="preserve"> Control Number</w:t>
      </w:r>
      <w:r w:rsidR="00374D82" w:rsidRPr="006578E6">
        <w:rPr>
          <w:rFonts w:ascii="Times New Roman" w:hAnsi="Times New Roman"/>
          <w:sz w:val="24"/>
          <w:szCs w:val="24"/>
        </w:rPr>
        <w:t xml:space="preserve"> </w:t>
      </w:r>
      <w:r w:rsidR="00236FA3" w:rsidRPr="006578E6">
        <w:rPr>
          <w:rFonts w:ascii="Times New Roman" w:hAnsi="Times New Roman"/>
          <w:sz w:val="24"/>
          <w:szCs w:val="24"/>
        </w:rPr>
        <w:t>0910-</w:t>
      </w:r>
      <w:r w:rsidR="00E33C38" w:rsidRPr="006578E6">
        <w:rPr>
          <w:rFonts w:ascii="Times New Roman" w:hAnsi="Times New Roman"/>
          <w:sz w:val="24"/>
          <w:szCs w:val="24"/>
        </w:rPr>
        <w:t>0</w:t>
      </w:r>
      <w:r w:rsidR="00772BD8">
        <w:rPr>
          <w:rFonts w:ascii="Times New Roman" w:hAnsi="Times New Roman"/>
          <w:sz w:val="24"/>
          <w:szCs w:val="24"/>
        </w:rPr>
        <w:t>796</w:t>
      </w:r>
      <w:r w:rsidR="0089024B" w:rsidRPr="006578E6">
        <w:rPr>
          <w:rFonts w:ascii="Times New Roman" w:hAnsi="Times New Roman"/>
          <w:color w:val="000000"/>
          <w:sz w:val="24"/>
          <w:szCs w:val="24"/>
        </w:rPr>
        <w:t>.</w:t>
      </w:r>
    </w:p>
    <w:p w14:paraId="4688E06F" w14:textId="77777777" w:rsidR="00957513" w:rsidRPr="006578E6" w:rsidRDefault="00957513" w:rsidP="00FB0FA3">
      <w:pPr>
        <w:pStyle w:val="Default"/>
        <w:ind w:firstLine="720"/>
      </w:pPr>
    </w:p>
    <w:p w14:paraId="0C16DF2A" w14:textId="77777777" w:rsidR="0048710E" w:rsidRPr="006578E6" w:rsidRDefault="00957513" w:rsidP="00FB0FA3">
      <w:pPr>
        <w:pStyle w:val="Default"/>
        <w:jc w:val="both"/>
        <w:rPr>
          <w:b/>
        </w:rPr>
      </w:pPr>
      <w:r w:rsidRPr="006578E6">
        <w:t xml:space="preserve"> </w:t>
      </w:r>
      <w:r w:rsidRPr="006578E6">
        <w:rPr>
          <w:b/>
        </w:rPr>
        <w:t>DESCRIPTION OF THIS SPECIFIC COLLECTION</w:t>
      </w:r>
    </w:p>
    <w:p w14:paraId="647C03C1" w14:textId="77777777" w:rsidR="0017329A" w:rsidRPr="006578E6" w:rsidRDefault="0017329A" w:rsidP="00FB0FA3">
      <w:pPr>
        <w:pStyle w:val="Default"/>
        <w:jc w:val="both"/>
        <w:rPr>
          <w:b/>
        </w:rPr>
      </w:pPr>
    </w:p>
    <w:p w14:paraId="04A8F77B" w14:textId="77777777" w:rsidR="00957513" w:rsidRPr="006578E6" w:rsidRDefault="00957513" w:rsidP="00FB0FA3">
      <w:pPr>
        <w:pStyle w:val="Default"/>
        <w:numPr>
          <w:ilvl w:val="0"/>
          <w:numId w:val="2"/>
        </w:numPr>
        <w:ind w:left="360" w:right="-180"/>
        <w:jc w:val="both"/>
      </w:pPr>
      <w:r w:rsidRPr="006578E6">
        <w:rPr>
          <w:b/>
        </w:rPr>
        <w:t xml:space="preserve"> Statement of need: </w:t>
      </w:r>
    </w:p>
    <w:p w14:paraId="4D5BFFBB" w14:textId="07C394DD" w:rsidR="002D00B3" w:rsidRPr="006578E6" w:rsidRDefault="00957513" w:rsidP="00FB0FA3">
      <w:pPr>
        <w:pStyle w:val="NoSpacing"/>
        <w:ind w:left="360"/>
        <w:jc w:val="both"/>
        <w:rPr>
          <w:rFonts w:ascii="Times New Roman" w:hAnsi="Times New Roman" w:cs="Times New Roman"/>
        </w:rPr>
      </w:pPr>
      <w:r w:rsidRPr="006578E6">
        <w:rPr>
          <w:rFonts w:ascii="Times New Roman" w:hAnsi="Times New Roman" w:cs="Times New Roman"/>
        </w:rPr>
        <w:t xml:space="preserve">The Food and Drug Administration (FDA) Center for Tobacco Products (CTP) is seeking </w:t>
      </w:r>
      <w:r w:rsidR="005246A3" w:rsidRPr="006578E6">
        <w:rPr>
          <w:rFonts w:ascii="Times New Roman" w:hAnsi="Times New Roman" w:cs="Times New Roman"/>
        </w:rPr>
        <w:t>Office of Management and Budget (</w:t>
      </w:r>
      <w:r w:rsidRPr="006578E6">
        <w:rPr>
          <w:rFonts w:ascii="Times New Roman" w:hAnsi="Times New Roman" w:cs="Times New Roman"/>
        </w:rPr>
        <w:t>OMB</w:t>
      </w:r>
      <w:r w:rsidR="005246A3" w:rsidRPr="006578E6">
        <w:rPr>
          <w:rFonts w:ascii="Times New Roman" w:hAnsi="Times New Roman" w:cs="Times New Roman"/>
        </w:rPr>
        <w:t>)</w:t>
      </w:r>
      <w:r w:rsidRPr="006578E6">
        <w:rPr>
          <w:rFonts w:ascii="Times New Roman" w:hAnsi="Times New Roman" w:cs="Times New Roman"/>
        </w:rPr>
        <w:t xml:space="preserve"> approval under generic clearance </w:t>
      </w:r>
      <w:r w:rsidR="00236FA3" w:rsidRPr="006578E6">
        <w:rPr>
          <w:rFonts w:ascii="Times New Roman" w:hAnsi="Times New Roman" w:cs="Times New Roman"/>
        </w:rPr>
        <w:t>0910-</w:t>
      </w:r>
      <w:r w:rsidR="00FB27BC" w:rsidRPr="006578E6">
        <w:rPr>
          <w:rFonts w:ascii="Times New Roman" w:hAnsi="Times New Roman" w:cs="Times New Roman"/>
        </w:rPr>
        <w:t>0</w:t>
      </w:r>
      <w:r w:rsidR="00FB27BC">
        <w:rPr>
          <w:rFonts w:ascii="Times New Roman" w:hAnsi="Times New Roman" w:cs="Times New Roman"/>
        </w:rPr>
        <w:t>796</w:t>
      </w:r>
      <w:r w:rsidR="00FB27BC" w:rsidRPr="006578E6">
        <w:rPr>
          <w:rFonts w:ascii="Times New Roman" w:hAnsi="Times New Roman" w:cs="Times New Roman"/>
        </w:rPr>
        <w:t xml:space="preserve"> </w:t>
      </w:r>
      <w:r w:rsidRPr="006578E6">
        <w:rPr>
          <w:rFonts w:ascii="Times New Roman" w:hAnsi="Times New Roman" w:cs="Times New Roman"/>
        </w:rPr>
        <w:t>to conduct focus groups</w:t>
      </w:r>
      <w:r w:rsidR="00740DF6" w:rsidRPr="006578E6">
        <w:rPr>
          <w:rFonts w:ascii="Times New Roman" w:hAnsi="Times New Roman" w:cs="Times New Roman"/>
        </w:rPr>
        <w:t xml:space="preserve"> with </w:t>
      </w:r>
      <w:r w:rsidR="00F13224" w:rsidRPr="006578E6">
        <w:rPr>
          <w:rFonts w:ascii="Times New Roman" w:hAnsi="Times New Roman" w:cs="Times New Roman"/>
        </w:rPr>
        <w:t>rural</w:t>
      </w:r>
      <w:r w:rsidR="00E3120A" w:rsidRPr="006578E6">
        <w:rPr>
          <w:rFonts w:ascii="Times New Roman" w:hAnsi="Times New Roman" w:cs="Times New Roman"/>
        </w:rPr>
        <w:t xml:space="preserve"> </w:t>
      </w:r>
      <w:r w:rsidR="00F13224" w:rsidRPr="006578E6">
        <w:rPr>
          <w:rFonts w:ascii="Times New Roman" w:hAnsi="Times New Roman" w:cs="Times New Roman"/>
        </w:rPr>
        <w:t>male</w:t>
      </w:r>
      <w:r w:rsidR="00E3120A" w:rsidRPr="006578E6">
        <w:rPr>
          <w:rFonts w:ascii="Times New Roman" w:hAnsi="Times New Roman" w:cs="Times New Roman"/>
        </w:rPr>
        <w:t xml:space="preserve"> youth </w:t>
      </w:r>
      <w:r w:rsidR="000E0537" w:rsidRPr="006578E6">
        <w:rPr>
          <w:rFonts w:ascii="Times New Roman" w:hAnsi="Times New Roman" w:cs="Times New Roman"/>
        </w:rPr>
        <w:t>aged 1</w:t>
      </w:r>
      <w:r w:rsidR="00E3120A" w:rsidRPr="006578E6">
        <w:rPr>
          <w:rFonts w:ascii="Times New Roman" w:hAnsi="Times New Roman" w:cs="Times New Roman"/>
        </w:rPr>
        <w:t>2</w:t>
      </w:r>
      <w:r w:rsidR="000E0537" w:rsidRPr="006578E6">
        <w:rPr>
          <w:rFonts w:ascii="Times New Roman" w:hAnsi="Times New Roman" w:cs="Times New Roman"/>
        </w:rPr>
        <w:t>–1</w:t>
      </w:r>
      <w:r w:rsidR="00E3120A" w:rsidRPr="006578E6">
        <w:rPr>
          <w:rFonts w:ascii="Times New Roman" w:hAnsi="Times New Roman" w:cs="Times New Roman"/>
        </w:rPr>
        <w:t>7</w:t>
      </w:r>
      <w:r w:rsidR="000E0537" w:rsidRPr="006578E6">
        <w:rPr>
          <w:rFonts w:ascii="Times New Roman" w:hAnsi="Times New Roman" w:cs="Times New Roman"/>
        </w:rPr>
        <w:t xml:space="preserve"> (n</w:t>
      </w:r>
      <w:r w:rsidR="00FB27BC">
        <w:rPr>
          <w:rFonts w:ascii="Times New Roman" w:hAnsi="Times New Roman" w:cs="Times New Roman"/>
        </w:rPr>
        <w:t>&lt;</w:t>
      </w:r>
      <w:r w:rsidR="000E0537" w:rsidRPr="006578E6">
        <w:rPr>
          <w:rFonts w:ascii="Times New Roman" w:hAnsi="Times New Roman" w:cs="Times New Roman"/>
        </w:rPr>
        <w:t>=</w:t>
      </w:r>
      <w:r w:rsidR="006D75EC" w:rsidRPr="006578E6">
        <w:rPr>
          <w:rFonts w:ascii="Times New Roman" w:hAnsi="Times New Roman" w:cs="Times New Roman"/>
        </w:rPr>
        <w:t>144</w:t>
      </w:r>
      <w:r w:rsidR="000E0537" w:rsidRPr="006578E6">
        <w:rPr>
          <w:rFonts w:ascii="Times New Roman" w:hAnsi="Times New Roman" w:cs="Times New Roman"/>
        </w:rPr>
        <w:t>)</w:t>
      </w:r>
      <w:r w:rsidR="00E3120A" w:rsidRPr="006578E6">
        <w:rPr>
          <w:rFonts w:ascii="Times New Roman" w:hAnsi="Times New Roman" w:cs="Times New Roman"/>
        </w:rPr>
        <w:t xml:space="preserve"> who</w:t>
      </w:r>
      <w:r w:rsidR="00F13224" w:rsidRPr="006578E6">
        <w:rPr>
          <w:rFonts w:ascii="Times New Roman" w:hAnsi="Times New Roman" w:cs="Times New Roman"/>
        </w:rPr>
        <w:t xml:space="preserve"> </w:t>
      </w:r>
      <w:r w:rsidR="00E3120A" w:rsidRPr="006578E6">
        <w:rPr>
          <w:rFonts w:ascii="Times New Roman" w:hAnsi="Times New Roman" w:cs="Times New Roman"/>
        </w:rPr>
        <w:t xml:space="preserve">are either experimental </w:t>
      </w:r>
      <w:r w:rsidR="00F13224" w:rsidRPr="006578E6">
        <w:rPr>
          <w:rFonts w:ascii="Times New Roman" w:hAnsi="Times New Roman" w:cs="Times New Roman"/>
        </w:rPr>
        <w:t xml:space="preserve">smokeless </w:t>
      </w:r>
      <w:r w:rsidR="00E3120A" w:rsidRPr="006578E6">
        <w:rPr>
          <w:rFonts w:ascii="Times New Roman" w:hAnsi="Times New Roman" w:cs="Times New Roman"/>
        </w:rPr>
        <w:t>tobacco users or at-risk non-triers.</w:t>
      </w:r>
      <w:r w:rsidR="00A97CFD">
        <w:rPr>
          <w:rFonts w:ascii="Times New Roman" w:hAnsi="Times New Roman" w:cs="Times New Roman"/>
        </w:rPr>
        <w:t xml:space="preserve"> For this study, we are seeking participants from rural locations, defined as those living in RUC (Rural Urban Codes) 5-9</w:t>
      </w:r>
      <w:r w:rsidR="00620B17">
        <w:rPr>
          <w:rStyle w:val="FootnoteReference"/>
          <w:rFonts w:ascii="Times New Roman" w:hAnsi="Times New Roman" w:cs="Times New Roman"/>
        </w:rPr>
        <w:footnoteReference w:id="2"/>
      </w:r>
      <w:r w:rsidR="004F2D3E">
        <w:rPr>
          <w:rFonts w:ascii="Times New Roman" w:hAnsi="Times New Roman" w:cs="Times New Roman"/>
        </w:rPr>
        <w:t>, with an emphasis on RUCs 7–9</w:t>
      </w:r>
      <w:r w:rsidR="005E09F7">
        <w:rPr>
          <w:rFonts w:ascii="Times New Roman" w:hAnsi="Times New Roman" w:cs="Times New Roman"/>
        </w:rPr>
        <w:t xml:space="preserve"> (see T</w:t>
      </w:r>
      <w:r w:rsidR="00A97CFD">
        <w:rPr>
          <w:rFonts w:ascii="Times New Roman" w:hAnsi="Times New Roman" w:cs="Times New Roman"/>
        </w:rPr>
        <w:t>able 1). These locations</w:t>
      </w:r>
      <w:r w:rsidR="00517F40">
        <w:rPr>
          <w:rFonts w:ascii="Times New Roman" w:hAnsi="Times New Roman" w:cs="Times New Roman"/>
        </w:rPr>
        <w:t xml:space="preserve"> (particularly those in codes 7-9)</w:t>
      </w:r>
      <w:r w:rsidR="00A97CFD">
        <w:rPr>
          <w:rFonts w:ascii="Times New Roman" w:hAnsi="Times New Roman" w:cs="Times New Roman"/>
        </w:rPr>
        <w:t xml:space="preserve"> are often geographically isolated. </w:t>
      </w:r>
      <w:r w:rsidR="0077276D" w:rsidRPr="006578E6">
        <w:rPr>
          <w:rFonts w:ascii="Times New Roman" w:hAnsi="Times New Roman" w:cs="Times New Roman"/>
        </w:rPr>
        <w:t>The research will be used to assess advertising concepts design</w:t>
      </w:r>
      <w:r w:rsidR="00BA32D9" w:rsidRPr="006578E6">
        <w:rPr>
          <w:rFonts w:ascii="Times New Roman" w:hAnsi="Times New Roman" w:cs="Times New Roman"/>
        </w:rPr>
        <w:t>ed</w:t>
      </w:r>
      <w:r w:rsidR="0077276D" w:rsidRPr="006578E6">
        <w:rPr>
          <w:rFonts w:ascii="Times New Roman" w:hAnsi="Times New Roman" w:cs="Times New Roman"/>
        </w:rPr>
        <w:t xml:space="preserve"> to reduce </w:t>
      </w:r>
      <w:r w:rsidR="00E3120A" w:rsidRPr="006578E6">
        <w:rPr>
          <w:rFonts w:ascii="Times New Roman" w:hAnsi="Times New Roman" w:cs="Times New Roman"/>
        </w:rPr>
        <w:t>y</w:t>
      </w:r>
      <w:r w:rsidR="0077276D" w:rsidRPr="006578E6">
        <w:rPr>
          <w:rFonts w:ascii="Times New Roman" w:hAnsi="Times New Roman" w:cs="Times New Roman"/>
        </w:rPr>
        <w:t xml:space="preserve">outh tobacco use. </w:t>
      </w:r>
      <w:r w:rsidR="00DC6F48">
        <w:rPr>
          <w:rFonts w:ascii="Times New Roman" w:hAnsi="Times New Roman" w:cs="Times New Roman"/>
        </w:rPr>
        <w:t>Specifically, this research assesses participants’ qualitative responses (such</w:t>
      </w:r>
      <w:r w:rsidR="001840E8">
        <w:rPr>
          <w:rFonts w:ascii="Times New Roman" w:hAnsi="Times New Roman" w:cs="Times New Roman"/>
        </w:rPr>
        <w:t xml:space="preserve"> as</w:t>
      </w:r>
      <w:r w:rsidR="00DC6F48">
        <w:rPr>
          <w:rFonts w:ascii="Times New Roman" w:hAnsi="Times New Roman" w:cs="Times New Roman"/>
        </w:rPr>
        <w:t xml:space="preserve"> </w:t>
      </w:r>
      <w:r w:rsidR="00DC6F48" w:rsidRPr="00DC6F48">
        <w:rPr>
          <w:rFonts w:ascii="Times New Roman" w:hAnsi="Times New Roman" w:cs="Times New Roman"/>
        </w:rPr>
        <w:t xml:space="preserve">initial reactions to the concepts, what </w:t>
      </w:r>
      <w:r w:rsidR="00DC6F48">
        <w:rPr>
          <w:rFonts w:ascii="Times New Roman" w:hAnsi="Times New Roman" w:cs="Times New Roman"/>
        </w:rPr>
        <w:t xml:space="preserve">they liked and didn’t like, </w:t>
      </w:r>
      <w:r w:rsidR="00DC6F48" w:rsidRPr="00DC6F48">
        <w:rPr>
          <w:rFonts w:ascii="Times New Roman" w:hAnsi="Times New Roman" w:cs="Times New Roman"/>
        </w:rPr>
        <w:t>if the ads were relatable or grabbed their attention</w:t>
      </w:r>
      <w:r w:rsidR="00DC6F48">
        <w:rPr>
          <w:rFonts w:ascii="Times New Roman" w:hAnsi="Times New Roman" w:cs="Times New Roman"/>
        </w:rPr>
        <w:t xml:space="preserve">) to creative concepts. These responses are then used to decide whether or not to move forward </w:t>
      </w:r>
      <w:r w:rsidR="009521A9">
        <w:rPr>
          <w:rFonts w:ascii="Times New Roman" w:hAnsi="Times New Roman" w:cs="Times New Roman"/>
        </w:rPr>
        <w:t>and develop</w:t>
      </w:r>
      <w:r w:rsidR="00DC6F48">
        <w:rPr>
          <w:rFonts w:ascii="Times New Roman" w:hAnsi="Times New Roman" w:cs="Times New Roman"/>
        </w:rPr>
        <w:t xml:space="preserve"> creative concepts into ads and are also used to further refine these concepts into ads.</w:t>
      </w:r>
    </w:p>
    <w:p w14:paraId="7307974B" w14:textId="77777777" w:rsidR="002D00B3" w:rsidRPr="006578E6" w:rsidRDefault="002D00B3" w:rsidP="00FB0FA3">
      <w:pPr>
        <w:pStyle w:val="NoSpacing"/>
        <w:ind w:left="360"/>
        <w:jc w:val="both"/>
        <w:rPr>
          <w:rFonts w:ascii="Times New Roman" w:hAnsi="Times New Roman" w:cs="Times New Roman"/>
        </w:rPr>
      </w:pPr>
    </w:p>
    <w:p w14:paraId="085EC644" w14:textId="6B7B23C7" w:rsidR="00DE3365" w:rsidRPr="006578E6" w:rsidRDefault="00E3120A" w:rsidP="00DE3365">
      <w:pPr>
        <w:ind w:left="360"/>
        <w:jc w:val="both"/>
        <w:rPr>
          <w:rFonts w:ascii="Times New Roman" w:hAnsi="Times New Roman"/>
          <w:sz w:val="24"/>
          <w:szCs w:val="24"/>
        </w:rPr>
      </w:pPr>
      <w:r w:rsidRPr="006578E6">
        <w:rPr>
          <w:rFonts w:ascii="Times New Roman" w:hAnsi="Times New Roman"/>
          <w:sz w:val="24"/>
          <w:szCs w:val="24"/>
        </w:rPr>
        <w:t xml:space="preserve">For FDA’s </w:t>
      </w:r>
      <w:r w:rsidR="00F13224" w:rsidRPr="006578E6">
        <w:rPr>
          <w:rFonts w:ascii="Times New Roman" w:hAnsi="Times New Roman"/>
          <w:i/>
          <w:sz w:val="24"/>
          <w:szCs w:val="24"/>
        </w:rPr>
        <w:t>The Real Cost Smokeless</w:t>
      </w:r>
      <w:r w:rsidRPr="006578E6">
        <w:rPr>
          <w:rFonts w:ascii="Times New Roman" w:hAnsi="Times New Roman"/>
          <w:sz w:val="24"/>
          <w:szCs w:val="24"/>
        </w:rPr>
        <w:t xml:space="preserve"> Campaign, </w:t>
      </w:r>
      <w:r w:rsidR="00DE3365" w:rsidRPr="006578E6">
        <w:rPr>
          <w:rFonts w:ascii="Times New Roman" w:hAnsi="Times New Roman"/>
          <w:sz w:val="24"/>
          <w:szCs w:val="24"/>
        </w:rPr>
        <w:t>rural mal</w:t>
      </w:r>
      <w:r w:rsidR="00F13224" w:rsidRPr="006578E6">
        <w:rPr>
          <w:rFonts w:ascii="Times New Roman" w:hAnsi="Times New Roman"/>
          <w:sz w:val="24"/>
          <w:szCs w:val="24"/>
        </w:rPr>
        <w:t>e youth aged 12-17 are the target audience. According to the National Survey on Drug Use and Health, the use of smokeless tobacco is two to three times higher in rural areas of the United States compared to metropolitan areas. In rural counties, 4.6% of youth 12–17 years old use smokeless tobacco products compared to 1.6% of urban youth 12–17 years old. Furthermore, smokeless t</w:t>
      </w:r>
      <w:r w:rsidR="005D2506">
        <w:rPr>
          <w:rFonts w:ascii="Times New Roman" w:hAnsi="Times New Roman"/>
          <w:sz w:val="24"/>
          <w:szCs w:val="24"/>
        </w:rPr>
        <w:t>obacco regular use among rural n</w:t>
      </w:r>
      <w:r w:rsidR="00F13224" w:rsidRPr="006578E6">
        <w:rPr>
          <w:rFonts w:ascii="Times New Roman" w:hAnsi="Times New Roman"/>
          <w:sz w:val="24"/>
          <w:szCs w:val="24"/>
        </w:rPr>
        <w:t xml:space="preserve">on-Hispanic </w:t>
      </w:r>
      <w:r w:rsidR="00F13224" w:rsidRPr="006578E6">
        <w:rPr>
          <w:rFonts w:ascii="Times New Roman" w:hAnsi="Times New Roman"/>
          <w:noProof/>
          <w:sz w:val="24"/>
          <w:szCs w:val="24"/>
        </w:rPr>
        <w:t>White</w:t>
      </w:r>
      <w:r w:rsidR="00F13224" w:rsidRPr="006578E6">
        <w:rPr>
          <w:rFonts w:ascii="Times New Roman" w:hAnsi="Times New Roman"/>
          <w:sz w:val="24"/>
          <w:szCs w:val="24"/>
        </w:rPr>
        <w:t xml:space="preserve"> males in 12</w:t>
      </w:r>
      <w:r w:rsidR="00F13224" w:rsidRPr="006578E6">
        <w:rPr>
          <w:rFonts w:ascii="Times New Roman" w:hAnsi="Times New Roman"/>
          <w:sz w:val="24"/>
          <w:szCs w:val="24"/>
          <w:vertAlign w:val="superscript"/>
        </w:rPr>
        <w:t>th</w:t>
      </w:r>
      <w:r w:rsidR="00F13224" w:rsidRPr="006578E6">
        <w:rPr>
          <w:rFonts w:ascii="Times New Roman" w:hAnsi="Times New Roman"/>
          <w:sz w:val="24"/>
          <w:szCs w:val="24"/>
        </w:rPr>
        <w:t xml:space="preserve"> grade (16.5%) is more than double the average for all rural youth (6.8%), indicating the high level of risk for this particular demographic segment (Johnston, 2012). </w:t>
      </w:r>
      <w:r w:rsidR="004127F3">
        <w:rPr>
          <w:rFonts w:ascii="Times New Roman" w:hAnsi="Times New Roman"/>
          <w:sz w:val="24"/>
          <w:szCs w:val="24"/>
        </w:rPr>
        <w:t>Per</w:t>
      </w:r>
      <w:r w:rsidR="00F13224" w:rsidRPr="006578E6">
        <w:rPr>
          <w:rFonts w:ascii="Times New Roman" w:hAnsi="Times New Roman"/>
          <w:sz w:val="24"/>
          <w:szCs w:val="24"/>
        </w:rPr>
        <w:t xml:space="preserve"> the most recent data from the FDA’s Population Assessment of Tobacco and Health (PATH) study, 31.8% of rural, white males 12–17 years of age are either experimenting </w:t>
      </w:r>
      <w:r w:rsidR="00F13224" w:rsidRPr="006578E6">
        <w:rPr>
          <w:rFonts w:ascii="Times New Roman" w:hAnsi="Times New Roman"/>
          <w:noProof/>
          <w:sz w:val="24"/>
          <w:szCs w:val="24"/>
        </w:rPr>
        <w:t>with,</w:t>
      </w:r>
      <w:r w:rsidR="00F13224" w:rsidRPr="006578E6">
        <w:rPr>
          <w:rFonts w:ascii="Times New Roman" w:hAnsi="Times New Roman"/>
          <w:sz w:val="24"/>
          <w:szCs w:val="24"/>
        </w:rPr>
        <w:t xml:space="preserve"> or at-risk for, using smokeless tobacco – this amounts to approximately 629,000 male youth nationwide (</w:t>
      </w:r>
      <w:r w:rsidR="0034431D" w:rsidRPr="006578E6">
        <w:rPr>
          <w:rFonts w:ascii="Times New Roman" w:hAnsi="Times New Roman"/>
          <w:sz w:val="24"/>
          <w:szCs w:val="24"/>
          <w:shd w:val="clear" w:color="auto" w:fill="FFFFFF"/>
        </w:rPr>
        <w:t>NIH 2016; US Census Bureau 2015</w:t>
      </w:r>
      <w:r w:rsidR="00F13224" w:rsidRPr="006578E6">
        <w:rPr>
          <w:rFonts w:ascii="Times New Roman" w:hAnsi="Times New Roman"/>
          <w:sz w:val="24"/>
          <w:szCs w:val="24"/>
          <w:shd w:val="clear" w:color="auto" w:fill="FFFFFF"/>
        </w:rPr>
        <w:t xml:space="preserve">). </w:t>
      </w:r>
    </w:p>
    <w:p w14:paraId="6001FC1A" w14:textId="77777777" w:rsidR="00F90560" w:rsidRPr="006578E6" w:rsidRDefault="00F90560" w:rsidP="00DE3365">
      <w:pPr>
        <w:ind w:left="360"/>
        <w:jc w:val="both"/>
        <w:rPr>
          <w:rFonts w:ascii="Times New Roman" w:hAnsi="Times New Roman"/>
          <w:sz w:val="24"/>
          <w:szCs w:val="24"/>
          <w:shd w:val="clear" w:color="auto" w:fill="FFFFFF"/>
        </w:rPr>
      </w:pPr>
    </w:p>
    <w:p w14:paraId="6825ACB0" w14:textId="2250E6EA" w:rsidR="00DE3365" w:rsidRPr="006578E6" w:rsidRDefault="00F90560" w:rsidP="00DE3365">
      <w:pPr>
        <w:ind w:left="360"/>
        <w:jc w:val="both"/>
        <w:rPr>
          <w:rFonts w:ascii="Times New Roman" w:hAnsi="Times New Roman"/>
          <w:sz w:val="24"/>
          <w:szCs w:val="24"/>
        </w:rPr>
      </w:pPr>
      <w:r w:rsidRPr="006578E6">
        <w:rPr>
          <w:rFonts w:ascii="Times New Roman" w:hAnsi="Times New Roman"/>
          <w:sz w:val="24"/>
          <w:szCs w:val="24"/>
        </w:rPr>
        <w:t xml:space="preserve">The urgent need for a youth smokeless tobacco use prevention campaign is underscored primarily by two trends. First, the profile of smokeless tobacco users has changed dramatically. Smokeless tobacco has gone from a product used primarily by older men to one </w:t>
      </w:r>
      <w:r w:rsidRPr="006578E6">
        <w:rPr>
          <w:rFonts w:ascii="Times New Roman" w:hAnsi="Times New Roman"/>
          <w:sz w:val="24"/>
          <w:szCs w:val="24"/>
        </w:rPr>
        <w:lastRenderedPageBreak/>
        <w:t>used predominantly by young men and boys. In 1970, men 65 and older were almost six times as likely as those 18-24 to use smokeless tobacco regularly, but by 1991, young men were 50% more likely than men over 65 to be regular users (CDC, 1994). According to the Centers for Disease Control and Prevention (CDC), there were about one million new users of smokeless tobacco in 2012; of those, approximately 46% were under age 18 (SAMHSA, 2014). Comparatively, youth cigarette smoking has declined nearly 55% since 1999; however, youth smokeless tobacco use has remained flat (CDC, 2016). These trends indicate a need for youth public education campaigns targeted at rural male youth. Therefore, the target audience of this campaign represents a population that is at high risk of using tobacco products, and thus is in need of health education messaging.</w:t>
      </w:r>
    </w:p>
    <w:p w14:paraId="660187CF" w14:textId="77777777" w:rsidR="006D75EC" w:rsidRPr="006578E6" w:rsidRDefault="006D75EC" w:rsidP="00DE3365">
      <w:pPr>
        <w:ind w:left="360"/>
        <w:jc w:val="both"/>
        <w:rPr>
          <w:rFonts w:ascii="Times New Roman" w:hAnsi="Times New Roman"/>
          <w:sz w:val="24"/>
          <w:szCs w:val="24"/>
          <w:shd w:val="clear" w:color="auto" w:fill="FFFFFF"/>
        </w:rPr>
      </w:pPr>
    </w:p>
    <w:p w14:paraId="1E6B3EA8" w14:textId="68B6ACF4" w:rsidR="00DE3365" w:rsidRDefault="00DE3365" w:rsidP="00DE3365">
      <w:pPr>
        <w:ind w:left="360"/>
        <w:jc w:val="both"/>
        <w:rPr>
          <w:rFonts w:ascii="Times New Roman" w:hAnsi="Times New Roman"/>
          <w:sz w:val="24"/>
          <w:szCs w:val="24"/>
        </w:rPr>
      </w:pPr>
      <w:r w:rsidRPr="006578E6">
        <w:rPr>
          <w:rFonts w:ascii="Times New Roman" w:hAnsi="Times New Roman"/>
          <w:sz w:val="24"/>
          <w:szCs w:val="24"/>
        </w:rPr>
        <w:t>Although the main target pop</w:t>
      </w:r>
      <w:r w:rsidR="005D2506">
        <w:rPr>
          <w:rFonts w:ascii="Times New Roman" w:hAnsi="Times New Roman"/>
          <w:sz w:val="24"/>
          <w:szCs w:val="24"/>
        </w:rPr>
        <w:t>ulation of this study is rural n</w:t>
      </w:r>
      <w:r w:rsidRPr="006578E6">
        <w:rPr>
          <w:rFonts w:ascii="Times New Roman" w:hAnsi="Times New Roman"/>
          <w:sz w:val="24"/>
          <w:szCs w:val="24"/>
        </w:rPr>
        <w:t xml:space="preserve">on-Hispanic White male youth, the study will also look into understanding the reactions toward creative messages and attitudes regarding smokeless tobacco among rural youth of other racial and ethnic backgrounds to ensure that these messages will be well-received among individuals of all racial/ethnic backgrounds within the targeted market areas.  </w:t>
      </w:r>
    </w:p>
    <w:p w14:paraId="328AF9AD" w14:textId="77777777" w:rsidR="00517F40" w:rsidRDefault="00517F40" w:rsidP="00DE3365">
      <w:pPr>
        <w:ind w:left="360"/>
        <w:jc w:val="both"/>
        <w:rPr>
          <w:rFonts w:ascii="Times New Roman" w:hAnsi="Times New Roman"/>
          <w:sz w:val="24"/>
          <w:szCs w:val="24"/>
        </w:rPr>
      </w:pPr>
    </w:p>
    <w:tbl>
      <w:tblPr>
        <w:tblStyle w:val="TableGrid"/>
        <w:tblW w:w="0" w:type="auto"/>
        <w:tblLook w:val="04A0" w:firstRow="1" w:lastRow="0" w:firstColumn="1" w:lastColumn="0" w:noHBand="0" w:noVBand="1"/>
      </w:tblPr>
      <w:tblGrid>
        <w:gridCol w:w="828"/>
        <w:gridCol w:w="8748"/>
      </w:tblGrid>
      <w:tr w:rsidR="00517F40" w14:paraId="3B154D4B" w14:textId="77777777" w:rsidTr="00517F40">
        <w:tc>
          <w:tcPr>
            <w:tcW w:w="9576" w:type="dxa"/>
            <w:gridSpan w:val="2"/>
            <w:tcBorders>
              <w:top w:val="nil"/>
              <w:left w:val="nil"/>
              <w:right w:val="nil"/>
            </w:tcBorders>
            <w:shd w:val="clear" w:color="auto" w:fill="FFFFFF" w:themeFill="background1"/>
          </w:tcPr>
          <w:p w14:paraId="317A477D" w14:textId="6144F0EC" w:rsidR="00517F40" w:rsidRDefault="00517F40" w:rsidP="00C73197">
            <w:pPr>
              <w:jc w:val="center"/>
              <w:rPr>
                <w:b/>
              </w:rPr>
            </w:pPr>
          </w:p>
        </w:tc>
      </w:tr>
      <w:tr w:rsidR="00517F40" w14:paraId="62B70583" w14:textId="77777777" w:rsidTr="005175E9">
        <w:trPr>
          <w:trHeight w:val="350"/>
        </w:trPr>
        <w:tc>
          <w:tcPr>
            <w:tcW w:w="9576" w:type="dxa"/>
            <w:gridSpan w:val="2"/>
            <w:shd w:val="clear" w:color="auto" w:fill="FFFFFF" w:themeFill="background1"/>
          </w:tcPr>
          <w:p w14:paraId="18572870" w14:textId="689F96A2" w:rsidR="00517F40" w:rsidRPr="00517F40" w:rsidRDefault="00517F40" w:rsidP="00C73197">
            <w:pPr>
              <w:jc w:val="center"/>
              <w:rPr>
                <w:b/>
              </w:rPr>
            </w:pPr>
            <w:r>
              <w:rPr>
                <w:b/>
              </w:rPr>
              <w:t xml:space="preserve">Table 1: </w:t>
            </w:r>
            <w:r w:rsidRPr="000173F1">
              <w:rPr>
                <w:b/>
              </w:rPr>
              <w:t>RURAL-URBAN CONTINUUM CODES DESCRIPTIO</w:t>
            </w:r>
            <w:r w:rsidR="005175E9">
              <w:rPr>
                <w:b/>
              </w:rPr>
              <w:t>N</w:t>
            </w:r>
          </w:p>
        </w:tc>
      </w:tr>
      <w:tr w:rsidR="00517F40" w14:paraId="23E345E2" w14:textId="77777777" w:rsidTr="00517F40">
        <w:tc>
          <w:tcPr>
            <w:tcW w:w="9576" w:type="dxa"/>
            <w:gridSpan w:val="2"/>
            <w:shd w:val="clear" w:color="auto" w:fill="E36C0A" w:themeFill="accent6" w:themeFillShade="BF"/>
          </w:tcPr>
          <w:p w14:paraId="225B4E9B" w14:textId="77777777" w:rsidR="00517F40" w:rsidRDefault="00517F40" w:rsidP="00C73197">
            <w:r w:rsidRPr="00E16171">
              <w:rPr>
                <w:rFonts w:ascii="Times New Roman" w:eastAsia="Times New Roman" w:hAnsi="Times New Roman"/>
                <w:b/>
                <w:bCs/>
                <w:color w:val="FFFFFF" w:themeColor="background1"/>
                <w:sz w:val="24"/>
                <w:szCs w:val="24"/>
              </w:rPr>
              <w:t>Metro counties:</w:t>
            </w:r>
          </w:p>
        </w:tc>
      </w:tr>
      <w:tr w:rsidR="00517F40" w14:paraId="3D965C34" w14:textId="77777777" w:rsidTr="00E16171">
        <w:tc>
          <w:tcPr>
            <w:tcW w:w="828" w:type="dxa"/>
          </w:tcPr>
          <w:p w14:paraId="60FCC412" w14:textId="77777777" w:rsidR="00517F40" w:rsidRDefault="00517F40" w:rsidP="00C73197">
            <w:r>
              <w:t>1</w:t>
            </w:r>
          </w:p>
        </w:tc>
        <w:tc>
          <w:tcPr>
            <w:tcW w:w="8748" w:type="dxa"/>
            <w:vAlign w:val="center"/>
          </w:tcPr>
          <w:p w14:paraId="5BFABFA1"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Counties in metro areas of 1 million population or more</w:t>
            </w:r>
          </w:p>
        </w:tc>
      </w:tr>
      <w:tr w:rsidR="00517F40" w14:paraId="2DC9FB33" w14:textId="77777777" w:rsidTr="00E16171">
        <w:tc>
          <w:tcPr>
            <w:tcW w:w="828" w:type="dxa"/>
          </w:tcPr>
          <w:p w14:paraId="4C5C1320" w14:textId="77777777" w:rsidR="00517F40" w:rsidRDefault="00517F40" w:rsidP="00C73197">
            <w:r>
              <w:t>2</w:t>
            </w:r>
          </w:p>
        </w:tc>
        <w:tc>
          <w:tcPr>
            <w:tcW w:w="8748" w:type="dxa"/>
            <w:vAlign w:val="center"/>
          </w:tcPr>
          <w:p w14:paraId="0356A379"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Counties in metro areas of 250,000 to 1 million population</w:t>
            </w:r>
          </w:p>
        </w:tc>
      </w:tr>
      <w:tr w:rsidR="00517F40" w14:paraId="11C32323" w14:textId="77777777" w:rsidTr="00E16171">
        <w:tc>
          <w:tcPr>
            <w:tcW w:w="828" w:type="dxa"/>
          </w:tcPr>
          <w:p w14:paraId="38B6ADBE" w14:textId="77777777" w:rsidR="00517F40" w:rsidRDefault="00517F40" w:rsidP="00C73197">
            <w:r>
              <w:t>3</w:t>
            </w:r>
          </w:p>
        </w:tc>
        <w:tc>
          <w:tcPr>
            <w:tcW w:w="8748" w:type="dxa"/>
            <w:vAlign w:val="center"/>
          </w:tcPr>
          <w:p w14:paraId="5334202C"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Counties in metro areas of fewer than 250,000 population</w:t>
            </w:r>
          </w:p>
        </w:tc>
      </w:tr>
      <w:tr w:rsidR="00517F40" w14:paraId="391CDF49" w14:textId="77777777" w:rsidTr="00517F40">
        <w:tc>
          <w:tcPr>
            <w:tcW w:w="9576" w:type="dxa"/>
            <w:gridSpan w:val="2"/>
            <w:shd w:val="clear" w:color="auto" w:fill="E36C0A" w:themeFill="accent6" w:themeFillShade="BF"/>
          </w:tcPr>
          <w:p w14:paraId="06279F74" w14:textId="74E91704" w:rsidR="00517F40" w:rsidRDefault="00517F40" w:rsidP="00C73197">
            <w:r w:rsidRPr="00E16171">
              <w:rPr>
                <w:rFonts w:ascii="Times New Roman" w:eastAsia="Times New Roman" w:hAnsi="Times New Roman"/>
                <w:b/>
                <w:bCs/>
                <w:color w:val="FFFFFF" w:themeColor="background1"/>
                <w:sz w:val="24"/>
                <w:szCs w:val="24"/>
              </w:rPr>
              <w:t>Non</w:t>
            </w:r>
            <w:r w:rsidR="00A97F1E">
              <w:rPr>
                <w:rFonts w:ascii="Times New Roman" w:eastAsia="Times New Roman" w:hAnsi="Times New Roman"/>
                <w:b/>
                <w:bCs/>
                <w:color w:val="FFFFFF" w:themeColor="background1"/>
                <w:sz w:val="24"/>
                <w:szCs w:val="24"/>
              </w:rPr>
              <w:t>-</w:t>
            </w:r>
            <w:r w:rsidRPr="00E16171">
              <w:rPr>
                <w:rFonts w:ascii="Times New Roman" w:eastAsia="Times New Roman" w:hAnsi="Times New Roman"/>
                <w:b/>
                <w:bCs/>
                <w:color w:val="FFFFFF" w:themeColor="background1"/>
                <w:sz w:val="24"/>
                <w:szCs w:val="24"/>
              </w:rPr>
              <w:t>metro counties:</w:t>
            </w:r>
          </w:p>
        </w:tc>
      </w:tr>
      <w:tr w:rsidR="00517F40" w14:paraId="14BAC8BC" w14:textId="77777777" w:rsidTr="00C73197">
        <w:tc>
          <w:tcPr>
            <w:tcW w:w="828" w:type="dxa"/>
          </w:tcPr>
          <w:p w14:paraId="23AECB90" w14:textId="77777777" w:rsidR="00517F40" w:rsidRDefault="00517F40" w:rsidP="00C73197">
            <w:r>
              <w:t>4</w:t>
            </w:r>
          </w:p>
        </w:tc>
        <w:tc>
          <w:tcPr>
            <w:tcW w:w="8748" w:type="dxa"/>
            <w:vAlign w:val="center"/>
          </w:tcPr>
          <w:p w14:paraId="03C41734"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Urban population of 20,000 or more, adjacent to a metro area</w:t>
            </w:r>
          </w:p>
        </w:tc>
      </w:tr>
      <w:tr w:rsidR="00517F40" w14:paraId="6BF15D6B" w14:textId="77777777" w:rsidTr="00C73197">
        <w:tc>
          <w:tcPr>
            <w:tcW w:w="828" w:type="dxa"/>
          </w:tcPr>
          <w:p w14:paraId="5CB39987" w14:textId="77777777" w:rsidR="00517F40" w:rsidRDefault="00517F40" w:rsidP="00C73197">
            <w:r>
              <w:t>5</w:t>
            </w:r>
          </w:p>
        </w:tc>
        <w:tc>
          <w:tcPr>
            <w:tcW w:w="8748" w:type="dxa"/>
            <w:vAlign w:val="center"/>
          </w:tcPr>
          <w:p w14:paraId="7115C9F3"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Urban population of 20,000 or more, not adjacent to a metro area</w:t>
            </w:r>
          </w:p>
        </w:tc>
      </w:tr>
      <w:tr w:rsidR="00517F40" w14:paraId="1C88E002" w14:textId="77777777" w:rsidTr="00C73197">
        <w:tc>
          <w:tcPr>
            <w:tcW w:w="828" w:type="dxa"/>
          </w:tcPr>
          <w:p w14:paraId="2599D286" w14:textId="77777777" w:rsidR="00517F40" w:rsidRDefault="00517F40" w:rsidP="00C73197">
            <w:r>
              <w:t>6</w:t>
            </w:r>
          </w:p>
        </w:tc>
        <w:tc>
          <w:tcPr>
            <w:tcW w:w="8748" w:type="dxa"/>
            <w:vAlign w:val="center"/>
          </w:tcPr>
          <w:p w14:paraId="192E33E0"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Urban population of 2,500 to 19,999, adjacent to a metro area</w:t>
            </w:r>
          </w:p>
        </w:tc>
      </w:tr>
      <w:tr w:rsidR="00517F40" w14:paraId="77F9CD66" w14:textId="77777777" w:rsidTr="00C73197">
        <w:tc>
          <w:tcPr>
            <w:tcW w:w="828" w:type="dxa"/>
          </w:tcPr>
          <w:p w14:paraId="4A067914" w14:textId="77777777" w:rsidR="00517F40" w:rsidRDefault="00517F40" w:rsidP="00C73197">
            <w:r>
              <w:t>7</w:t>
            </w:r>
          </w:p>
        </w:tc>
        <w:tc>
          <w:tcPr>
            <w:tcW w:w="8748" w:type="dxa"/>
            <w:vAlign w:val="center"/>
          </w:tcPr>
          <w:p w14:paraId="755FD1A0"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Urban population of 2,500 to 19,999, not adjacent to a metro area</w:t>
            </w:r>
          </w:p>
        </w:tc>
      </w:tr>
      <w:tr w:rsidR="00517F40" w14:paraId="7E2943D7" w14:textId="77777777" w:rsidTr="00C73197">
        <w:tc>
          <w:tcPr>
            <w:tcW w:w="828" w:type="dxa"/>
          </w:tcPr>
          <w:p w14:paraId="4549C002" w14:textId="77777777" w:rsidR="00517F40" w:rsidRDefault="00517F40" w:rsidP="00C73197">
            <w:r>
              <w:t>8</w:t>
            </w:r>
          </w:p>
        </w:tc>
        <w:tc>
          <w:tcPr>
            <w:tcW w:w="8748" w:type="dxa"/>
            <w:vAlign w:val="center"/>
          </w:tcPr>
          <w:p w14:paraId="3957F39B"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Completely rural or less than 2,500 urban population, adjacent to a metro area</w:t>
            </w:r>
          </w:p>
        </w:tc>
      </w:tr>
      <w:tr w:rsidR="00517F40" w14:paraId="02D12428" w14:textId="77777777" w:rsidTr="00C73197">
        <w:tc>
          <w:tcPr>
            <w:tcW w:w="828" w:type="dxa"/>
          </w:tcPr>
          <w:p w14:paraId="101C9AB3" w14:textId="77777777" w:rsidR="00517F40" w:rsidRDefault="00517F40" w:rsidP="00C73197">
            <w:r>
              <w:t>9</w:t>
            </w:r>
          </w:p>
        </w:tc>
        <w:tc>
          <w:tcPr>
            <w:tcW w:w="8748" w:type="dxa"/>
            <w:vAlign w:val="center"/>
          </w:tcPr>
          <w:p w14:paraId="346787CA" w14:textId="77777777" w:rsidR="00517F40" w:rsidRPr="00817F1C" w:rsidRDefault="00517F40" w:rsidP="00C73197">
            <w:pPr>
              <w:spacing w:line="240" w:lineRule="auto"/>
              <w:rPr>
                <w:rFonts w:ascii="Times New Roman" w:eastAsia="Times New Roman" w:hAnsi="Times New Roman"/>
                <w:sz w:val="24"/>
                <w:szCs w:val="24"/>
              </w:rPr>
            </w:pPr>
            <w:r w:rsidRPr="00817F1C">
              <w:rPr>
                <w:rFonts w:ascii="Times New Roman" w:eastAsia="Times New Roman" w:hAnsi="Times New Roman"/>
                <w:sz w:val="24"/>
                <w:szCs w:val="24"/>
              </w:rPr>
              <w:t>Completely rural or less than 2,500 urban population, not adjacent to a metro area</w:t>
            </w:r>
          </w:p>
        </w:tc>
      </w:tr>
    </w:tbl>
    <w:p w14:paraId="14EA1C01" w14:textId="77777777" w:rsidR="00E3120A" w:rsidRDefault="00E3120A" w:rsidP="00A97F1E">
      <w:pPr>
        <w:pStyle w:val="NoSpacing"/>
        <w:jc w:val="both"/>
        <w:rPr>
          <w:rFonts w:ascii="Times New Roman" w:eastAsia="Calibri" w:hAnsi="Times New Roman" w:cs="Times New Roman"/>
        </w:rPr>
      </w:pPr>
    </w:p>
    <w:p w14:paraId="2D24EF69" w14:textId="77777777" w:rsidR="00A97F1E" w:rsidRPr="006578E6" w:rsidRDefault="00A97F1E" w:rsidP="00A97F1E">
      <w:pPr>
        <w:pStyle w:val="NoSpacing"/>
        <w:jc w:val="both"/>
        <w:rPr>
          <w:rFonts w:ascii="Times New Roman" w:hAnsi="Times New Roman" w:cs="Times New Roman"/>
        </w:rPr>
      </w:pPr>
    </w:p>
    <w:p w14:paraId="0200AE88" w14:textId="77777777" w:rsidR="00957513" w:rsidRPr="006578E6" w:rsidRDefault="00957513" w:rsidP="00FB0FA3">
      <w:pPr>
        <w:pStyle w:val="Default"/>
        <w:numPr>
          <w:ilvl w:val="0"/>
          <w:numId w:val="2"/>
        </w:numPr>
        <w:ind w:left="360" w:right="-180"/>
        <w:jc w:val="both"/>
      </w:pPr>
      <w:r w:rsidRPr="006578E6">
        <w:rPr>
          <w:b/>
        </w:rPr>
        <w:t xml:space="preserve">Intended use of information: </w:t>
      </w:r>
    </w:p>
    <w:p w14:paraId="5CF39F69" w14:textId="26BBA1DD" w:rsidR="00E3120A" w:rsidRPr="006578E6" w:rsidRDefault="00E3120A" w:rsidP="00E3120A">
      <w:pPr>
        <w:pStyle w:val="NoSpacing"/>
        <w:ind w:left="360"/>
        <w:jc w:val="both"/>
        <w:rPr>
          <w:rFonts w:ascii="Times New Roman" w:hAnsi="Times New Roman" w:cs="Times New Roman"/>
        </w:rPr>
      </w:pPr>
      <w:r w:rsidRPr="006578E6">
        <w:rPr>
          <w:rFonts w:ascii="Times New Roman" w:hAnsi="Times New Roman" w:cs="Times New Roman"/>
        </w:rPr>
        <w:t xml:space="preserve">The information obtained through this study will inform the implementation of FDA’s </w:t>
      </w:r>
      <w:r w:rsidR="00DE3365" w:rsidRPr="006578E6">
        <w:rPr>
          <w:rFonts w:ascii="Times New Roman" w:hAnsi="Times New Roman" w:cs="Times New Roman"/>
          <w:i/>
        </w:rPr>
        <w:t xml:space="preserve">The Real Cost (TRC) Smokeless </w:t>
      </w:r>
      <w:r w:rsidR="00DE3365" w:rsidRPr="006578E6">
        <w:rPr>
          <w:rFonts w:ascii="Times New Roman" w:hAnsi="Times New Roman" w:cs="Times New Roman"/>
        </w:rPr>
        <w:t>campaign</w:t>
      </w:r>
      <w:r w:rsidRPr="006578E6">
        <w:rPr>
          <w:rFonts w:ascii="Times New Roman" w:hAnsi="Times New Roman" w:cs="Times New Roman"/>
        </w:rPr>
        <w:t>. While not exhaustive, the list below illustrates a range of purposes and uses for the proposed information collection:</w:t>
      </w:r>
    </w:p>
    <w:p w14:paraId="09376307" w14:textId="77777777" w:rsidR="00E3120A" w:rsidRPr="006578E6" w:rsidRDefault="00E3120A" w:rsidP="00E3120A">
      <w:pPr>
        <w:pStyle w:val="NoSpacing"/>
        <w:ind w:left="360"/>
        <w:jc w:val="both"/>
        <w:rPr>
          <w:rFonts w:ascii="Times New Roman" w:hAnsi="Times New Roman" w:cs="Times New Roman"/>
        </w:rPr>
      </w:pPr>
    </w:p>
    <w:p w14:paraId="0222BE14" w14:textId="0F70FE87" w:rsidR="00DC6F48" w:rsidRPr="00DC6F48" w:rsidRDefault="00E3120A" w:rsidP="00DC6F48">
      <w:pPr>
        <w:pStyle w:val="ListParagraph"/>
        <w:numPr>
          <w:ilvl w:val="0"/>
          <w:numId w:val="9"/>
        </w:numPr>
        <w:rPr>
          <w:rFonts w:ascii="Times New Roman" w:hAnsi="Times New Roman"/>
          <w:sz w:val="24"/>
          <w:szCs w:val="24"/>
        </w:rPr>
      </w:pPr>
      <w:r w:rsidRPr="00DC6F48">
        <w:rPr>
          <w:rFonts w:ascii="Times New Roman" w:hAnsi="Times New Roman"/>
          <w:sz w:val="24"/>
          <w:szCs w:val="24"/>
        </w:rPr>
        <w:t xml:space="preserve">Refine and optimize creative concepts to be developed into video ads for FDA’s </w:t>
      </w:r>
      <w:r w:rsidR="00DE3365" w:rsidRPr="00DC6F48">
        <w:rPr>
          <w:rFonts w:ascii="Times New Roman" w:hAnsi="Times New Roman"/>
          <w:i/>
          <w:sz w:val="24"/>
          <w:szCs w:val="24"/>
        </w:rPr>
        <w:t>The Real Cost (TRC) Smokeless</w:t>
      </w:r>
      <w:r w:rsidRPr="00DC6F48">
        <w:rPr>
          <w:rFonts w:ascii="Times New Roman" w:hAnsi="Times New Roman"/>
          <w:sz w:val="24"/>
          <w:szCs w:val="24"/>
        </w:rPr>
        <w:t xml:space="preserve"> </w:t>
      </w:r>
      <w:r w:rsidR="00DE3365" w:rsidRPr="00DC6F48">
        <w:rPr>
          <w:rFonts w:ascii="Times New Roman" w:hAnsi="Times New Roman"/>
          <w:sz w:val="24"/>
          <w:szCs w:val="24"/>
        </w:rPr>
        <w:t>c</w:t>
      </w:r>
      <w:r w:rsidRPr="00DC6F48">
        <w:rPr>
          <w:rFonts w:ascii="Times New Roman" w:hAnsi="Times New Roman"/>
          <w:sz w:val="24"/>
          <w:szCs w:val="24"/>
        </w:rPr>
        <w:t>ampaign.</w:t>
      </w:r>
      <w:r w:rsidR="00DC6F48" w:rsidRPr="00DC6F48">
        <w:rPr>
          <w:rFonts w:ascii="Times New Roman" w:hAnsi="Times New Roman"/>
          <w:sz w:val="24"/>
          <w:szCs w:val="24"/>
        </w:rPr>
        <w:t xml:space="preserve"> Specifically, the goals of this study are to take creative concepts in the form of animatics (drawn images with voice overs) and get qualitative feedback from youth. The feedback includes initial reactions to the concepts, what they liked and didn’t like, and if the ads were relatable or grabbed their attention. This feedback is then used to decide if a creative concept should be further developed into an ad and is also used to refine the creative concepts into ads. </w:t>
      </w:r>
    </w:p>
    <w:p w14:paraId="7CE13424" w14:textId="77777777" w:rsidR="00DC6F48" w:rsidRPr="00DC6F48" w:rsidRDefault="00DC6F48" w:rsidP="00DC6F48">
      <w:pPr>
        <w:pStyle w:val="ListParagraph"/>
        <w:ind w:left="1080"/>
      </w:pPr>
    </w:p>
    <w:p w14:paraId="236CD3B2" w14:textId="417483C6" w:rsidR="00E3120A" w:rsidRPr="006578E6" w:rsidRDefault="00E3120A" w:rsidP="00C473B6">
      <w:pPr>
        <w:pStyle w:val="NoSpacing"/>
        <w:numPr>
          <w:ilvl w:val="0"/>
          <w:numId w:val="9"/>
        </w:numPr>
        <w:spacing w:after="120"/>
        <w:jc w:val="both"/>
        <w:rPr>
          <w:rFonts w:ascii="Times New Roman" w:hAnsi="Times New Roman" w:cs="Times New Roman"/>
        </w:rPr>
      </w:pPr>
      <w:r w:rsidRPr="006578E6">
        <w:rPr>
          <w:rFonts w:ascii="Times New Roman" w:hAnsi="Times New Roman" w:cs="Times New Roman"/>
        </w:rPr>
        <w:t>Inform future programs</w:t>
      </w:r>
      <w:r w:rsidR="00DC6F48">
        <w:rPr>
          <w:rFonts w:ascii="Times New Roman" w:hAnsi="Times New Roman" w:cs="Times New Roman"/>
        </w:rPr>
        <w:t>, such as other health messaging campaigns,</w:t>
      </w:r>
      <w:r w:rsidRPr="006578E6">
        <w:rPr>
          <w:rFonts w:ascii="Times New Roman" w:hAnsi="Times New Roman" w:cs="Times New Roman"/>
        </w:rPr>
        <w:t xml:space="preserve"> that may be designed for similar purposes.</w:t>
      </w:r>
      <w:r w:rsidR="00DC6F48">
        <w:rPr>
          <w:rFonts w:ascii="Times New Roman" w:hAnsi="Times New Roman" w:cs="Times New Roman"/>
        </w:rPr>
        <w:t xml:space="preserve"> </w:t>
      </w:r>
    </w:p>
    <w:p w14:paraId="1FED392C" w14:textId="77777777" w:rsidR="0017329A" w:rsidRPr="006578E6" w:rsidRDefault="0017329A" w:rsidP="00FB0FA3">
      <w:pPr>
        <w:pStyle w:val="Default"/>
        <w:ind w:right="-180"/>
        <w:jc w:val="both"/>
      </w:pPr>
    </w:p>
    <w:p w14:paraId="6AB706AD" w14:textId="77777777" w:rsidR="00957513" w:rsidRPr="006578E6" w:rsidRDefault="00957513" w:rsidP="00FB0FA3">
      <w:pPr>
        <w:pStyle w:val="Default"/>
        <w:numPr>
          <w:ilvl w:val="0"/>
          <w:numId w:val="2"/>
        </w:numPr>
        <w:ind w:left="360" w:right="-180"/>
        <w:jc w:val="both"/>
      </w:pPr>
      <w:r w:rsidRPr="006578E6">
        <w:rPr>
          <w:b/>
        </w:rPr>
        <w:t xml:space="preserve">Description of respondents: </w:t>
      </w:r>
    </w:p>
    <w:p w14:paraId="76BA673C" w14:textId="32C5AF0C" w:rsidR="001D047A" w:rsidRPr="006578E6" w:rsidRDefault="00527423" w:rsidP="001D047A">
      <w:pPr>
        <w:pStyle w:val="NoSpacing"/>
        <w:ind w:left="360"/>
        <w:jc w:val="both"/>
        <w:rPr>
          <w:rFonts w:ascii="Times New Roman" w:hAnsi="Times New Roman" w:cs="Times New Roman"/>
        </w:rPr>
      </w:pPr>
      <w:r w:rsidRPr="006578E6">
        <w:rPr>
          <w:rFonts w:ascii="Times New Roman" w:hAnsi="Times New Roman" w:cs="Times New Roman"/>
        </w:rPr>
        <w:t>P</w:t>
      </w:r>
      <w:r w:rsidR="001D047A" w:rsidRPr="006578E6">
        <w:rPr>
          <w:rFonts w:ascii="Times New Roman" w:hAnsi="Times New Roman" w:cs="Times New Roman"/>
        </w:rPr>
        <w:t xml:space="preserve">articipants will be enrolled via in-person recruitment at </w:t>
      </w:r>
      <w:r w:rsidR="00DE3365" w:rsidRPr="006578E6">
        <w:rPr>
          <w:rFonts w:ascii="Times New Roman" w:hAnsi="Times New Roman" w:cs="Times New Roman"/>
        </w:rPr>
        <w:t xml:space="preserve">rural </w:t>
      </w:r>
      <w:r w:rsidR="001D047A" w:rsidRPr="006578E6">
        <w:rPr>
          <w:rFonts w:ascii="Times New Roman" w:hAnsi="Times New Roman" w:cs="Times New Roman"/>
        </w:rPr>
        <w:t>middle and high schools</w:t>
      </w:r>
      <w:r w:rsidR="00DE3365" w:rsidRPr="006578E6">
        <w:rPr>
          <w:rFonts w:ascii="Times New Roman" w:hAnsi="Times New Roman" w:cs="Times New Roman"/>
        </w:rPr>
        <w:t xml:space="preserve"> (identifi</w:t>
      </w:r>
      <w:r w:rsidR="006D75EC" w:rsidRPr="006578E6">
        <w:rPr>
          <w:rFonts w:ascii="Times New Roman" w:hAnsi="Times New Roman" w:cs="Times New Roman"/>
        </w:rPr>
        <w:t>ed as areas with a R</w:t>
      </w:r>
      <w:r w:rsidR="00E50DD5">
        <w:rPr>
          <w:rFonts w:ascii="Times New Roman" w:hAnsi="Times New Roman" w:cs="Times New Roman"/>
        </w:rPr>
        <w:t xml:space="preserve">ural </w:t>
      </w:r>
      <w:r w:rsidR="006D75EC" w:rsidRPr="006578E6">
        <w:rPr>
          <w:rFonts w:ascii="Times New Roman" w:hAnsi="Times New Roman" w:cs="Times New Roman"/>
        </w:rPr>
        <w:t>U</w:t>
      </w:r>
      <w:r w:rsidR="00E50DD5">
        <w:rPr>
          <w:rFonts w:ascii="Times New Roman" w:hAnsi="Times New Roman" w:cs="Times New Roman"/>
        </w:rPr>
        <w:t xml:space="preserve">rban </w:t>
      </w:r>
      <w:r w:rsidR="006D75EC" w:rsidRPr="006578E6">
        <w:rPr>
          <w:rFonts w:ascii="Times New Roman" w:hAnsi="Times New Roman" w:cs="Times New Roman"/>
        </w:rPr>
        <w:t>C</w:t>
      </w:r>
      <w:r w:rsidR="00E50DD5">
        <w:rPr>
          <w:rFonts w:ascii="Times New Roman" w:hAnsi="Times New Roman" w:cs="Times New Roman"/>
        </w:rPr>
        <w:t>ontinuum</w:t>
      </w:r>
      <w:r w:rsidR="006D75EC" w:rsidRPr="006578E6">
        <w:rPr>
          <w:rFonts w:ascii="Times New Roman" w:hAnsi="Times New Roman" w:cs="Times New Roman"/>
        </w:rPr>
        <w:t xml:space="preserve"> code of 5</w:t>
      </w:r>
      <w:r w:rsidR="00DE3365" w:rsidRPr="006578E6">
        <w:rPr>
          <w:rFonts w:ascii="Times New Roman" w:hAnsi="Times New Roman" w:cs="Times New Roman"/>
        </w:rPr>
        <w:t xml:space="preserve"> or higher</w:t>
      </w:r>
      <w:r w:rsidR="004F2D3E">
        <w:rPr>
          <w:rFonts w:ascii="Times New Roman" w:hAnsi="Times New Roman" w:cs="Times New Roman"/>
        </w:rPr>
        <w:t>, with an emphasis on RUCs 7–9,</w:t>
      </w:r>
      <w:r w:rsidR="00E50DD5">
        <w:rPr>
          <w:rFonts w:ascii="Times New Roman" w:hAnsi="Times New Roman" w:cs="Times New Roman"/>
        </w:rPr>
        <w:t xml:space="preserve"> as defined by the U.S. Department of Agriculture</w:t>
      </w:r>
      <w:r w:rsidR="00DE3365" w:rsidRPr="006578E6">
        <w:rPr>
          <w:rFonts w:ascii="Times New Roman" w:hAnsi="Times New Roman" w:cs="Times New Roman"/>
        </w:rPr>
        <w:t>)</w:t>
      </w:r>
      <w:r w:rsidR="001D047A" w:rsidRPr="006578E6">
        <w:rPr>
          <w:rFonts w:ascii="Times New Roman" w:hAnsi="Times New Roman" w:cs="Times New Roman"/>
        </w:rPr>
        <w:t xml:space="preserve"> across the US. The screening criteria are based on </w:t>
      </w:r>
      <w:r w:rsidR="00DE3365" w:rsidRPr="006578E6">
        <w:rPr>
          <w:rFonts w:ascii="Times New Roman" w:hAnsi="Times New Roman" w:cs="Times New Roman"/>
        </w:rPr>
        <w:t xml:space="preserve">sex, </w:t>
      </w:r>
      <w:r w:rsidR="001D047A" w:rsidRPr="006578E6">
        <w:rPr>
          <w:rFonts w:ascii="Times New Roman" w:hAnsi="Times New Roman" w:cs="Times New Roman"/>
        </w:rPr>
        <w:t>age, tobacco use status, intention to use tobacco in the future</w:t>
      </w:r>
      <w:r w:rsidR="00DE3365" w:rsidRPr="006578E6">
        <w:rPr>
          <w:rFonts w:ascii="Times New Roman" w:hAnsi="Times New Roman" w:cs="Times New Roman"/>
        </w:rPr>
        <w:t>.</w:t>
      </w:r>
      <w:r w:rsidR="004F2D3E">
        <w:rPr>
          <w:rFonts w:ascii="Times New Roman" w:hAnsi="Times New Roman" w:cs="Times New Roman"/>
        </w:rPr>
        <w:t xml:space="preserve"> Regarding tobacco use status, we are specifically interested in those who are susceptible to or have experimented with smokeless tobacco. </w:t>
      </w:r>
    </w:p>
    <w:p w14:paraId="68176061" w14:textId="77777777" w:rsidR="001D047A" w:rsidRPr="006578E6" w:rsidRDefault="001D047A" w:rsidP="001D047A">
      <w:pPr>
        <w:pStyle w:val="NoSpacing"/>
        <w:ind w:left="360"/>
        <w:jc w:val="both"/>
        <w:rPr>
          <w:rFonts w:ascii="Times New Roman" w:hAnsi="Times New Roman" w:cs="Times New Roman"/>
        </w:rPr>
      </w:pPr>
    </w:p>
    <w:p w14:paraId="32643521" w14:textId="2A96F0C5" w:rsidR="001D047A" w:rsidRPr="006578E6" w:rsidRDefault="001D047A" w:rsidP="001D047A">
      <w:pPr>
        <w:pStyle w:val="NoSpacing"/>
        <w:ind w:left="360"/>
        <w:jc w:val="both"/>
        <w:rPr>
          <w:rFonts w:ascii="Times New Roman" w:hAnsi="Times New Roman" w:cs="Times New Roman"/>
        </w:rPr>
      </w:pPr>
      <w:r w:rsidRPr="006578E6">
        <w:rPr>
          <w:rFonts w:ascii="Times New Roman" w:hAnsi="Times New Roman" w:cs="Times New Roman"/>
        </w:rPr>
        <w:t>All potentia</w:t>
      </w:r>
      <w:r w:rsidR="00A97F1E">
        <w:rPr>
          <w:rFonts w:ascii="Times New Roman" w:hAnsi="Times New Roman" w:cs="Times New Roman"/>
        </w:rPr>
        <w:t>l participants will complete a s</w:t>
      </w:r>
      <w:r w:rsidRPr="006578E6">
        <w:rPr>
          <w:rFonts w:ascii="Times New Roman" w:hAnsi="Times New Roman" w:cs="Times New Roman"/>
        </w:rPr>
        <w:t>creener to determine their qualification for inclus</w:t>
      </w:r>
      <w:r w:rsidR="00A97F1E">
        <w:rPr>
          <w:rFonts w:ascii="Times New Roman" w:hAnsi="Times New Roman" w:cs="Times New Roman"/>
        </w:rPr>
        <w:t>ion into the focus groups. The s</w:t>
      </w:r>
      <w:r w:rsidRPr="006578E6">
        <w:rPr>
          <w:rFonts w:ascii="Times New Roman" w:hAnsi="Times New Roman" w:cs="Times New Roman"/>
        </w:rPr>
        <w:t>creener survey will be distributed</w:t>
      </w:r>
      <w:r w:rsidR="0070753A" w:rsidRPr="006578E6">
        <w:rPr>
          <w:rFonts w:ascii="Times New Roman" w:hAnsi="Times New Roman" w:cs="Times New Roman"/>
        </w:rPr>
        <w:t xml:space="preserve"> as a paper survey</w:t>
      </w:r>
      <w:r w:rsidRPr="006578E6">
        <w:rPr>
          <w:rFonts w:ascii="Times New Roman" w:hAnsi="Times New Roman" w:cs="Times New Roman"/>
        </w:rPr>
        <w:t xml:space="preserve"> in middle and high school cafeterias during lunch periods. Researchers will sample as many individuals as well as entire groups as possible from every area of the lunchroom so that they represent different ages, genders, grades, and races/ethnicities. Researchers will never turn away ind</w:t>
      </w:r>
      <w:r w:rsidR="00D37E2F">
        <w:rPr>
          <w:rFonts w:ascii="Times New Roman" w:hAnsi="Times New Roman" w:cs="Times New Roman"/>
        </w:rPr>
        <w:t>ividuals who ask to fill out a s</w:t>
      </w:r>
      <w:r w:rsidRPr="006578E6">
        <w:rPr>
          <w:rFonts w:ascii="Times New Roman" w:hAnsi="Times New Roman" w:cs="Times New Roman"/>
        </w:rPr>
        <w:t>creener. Potential participants will be informed that any information they provide will be private and not shared with the school or their parents.</w:t>
      </w:r>
    </w:p>
    <w:p w14:paraId="37BF1E16" w14:textId="77777777" w:rsidR="001D047A" w:rsidRPr="006578E6" w:rsidRDefault="001D047A" w:rsidP="001D047A">
      <w:pPr>
        <w:pStyle w:val="NoSpacing"/>
        <w:ind w:left="360"/>
        <w:jc w:val="both"/>
        <w:rPr>
          <w:rFonts w:ascii="Times New Roman" w:hAnsi="Times New Roman" w:cs="Times New Roman"/>
        </w:rPr>
      </w:pPr>
    </w:p>
    <w:p w14:paraId="034E677B" w14:textId="369CE60C" w:rsidR="001D047A" w:rsidRPr="006578E6" w:rsidRDefault="001D047A" w:rsidP="001D047A">
      <w:pPr>
        <w:pStyle w:val="NoSpacing"/>
        <w:ind w:left="360"/>
        <w:jc w:val="both"/>
        <w:rPr>
          <w:rFonts w:ascii="Times New Roman" w:hAnsi="Times New Roman" w:cs="Times New Roman"/>
        </w:rPr>
      </w:pPr>
      <w:r w:rsidRPr="006578E6">
        <w:rPr>
          <w:rFonts w:ascii="Times New Roman" w:hAnsi="Times New Roman" w:cs="Times New Roman"/>
        </w:rPr>
        <w:t>All enrolled participants will be asked to answer questions about their tobacco-related kno</w:t>
      </w:r>
      <w:r w:rsidR="006D75EC" w:rsidRPr="006578E6">
        <w:rPr>
          <w:rFonts w:ascii="Times New Roman" w:hAnsi="Times New Roman" w:cs="Times New Roman"/>
        </w:rPr>
        <w:t>wledge, attitudes, and beliefs,</w:t>
      </w:r>
      <w:r w:rsidRPr="006578E6">
        <w:rPr>
          <w:rFonts w:ascii="Times New Roman" w:hAnsi="Times New Roman" w:cs="Times New Roman"/>
        </w:rPr>
        <w:t xml:space="preserve"> in addition to demographic information which will be collected during the screening process.</w:t>
      </w:r>
    </w:p>
    <w:p w14:paraId="02A8ADC7" w14:textId="15D3BB05" w:rsidR="004C253B" w:rsidRPr="006578E6" w:rsidRDefault="004C253B" w:rsidP="00FB0FA3">
      <w:pPr>
        <w:pStyle w:val="Default"/>
        <w:ind w:right="-180"/>
      </w:pPr>
    </w:p>
    <w:p w14:paraId="5F1C6EBC" w14:textId="77777777" w:rsidR="00957513" w:rsidRPr="006578E6" w:rsidRDefault="002B6165"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6578E6">
        <w:rPr>
          <w:rFonts w:ascii="Times New Roman" w:hAnsi="Times New Roman"/>
          <w:b/>
          <w:color w:val="000000"/>
          <w:sz w:val="24"/>
          <w:szCs w:val="24"/>
        </w:rPr>
        <w:t>Date(s) t</w:t>
      </w:r>
      <w:r w:rsidR="00957513" w:rsidRPr="006578E6">
        <w:rPr>
          <w:rFonts w:ascii="Times New Roman" w:hAnsi="Times New Roman"/>
          <w:b/>
          <w:color w:val="000000"/>
          <w:sz w:val="24"/>
          <w:szCs w:val="24"/>
        </w:rPr>
        <w:t xml:space="preserve">o be conducted: </w:t>
      </w:r>
    </w:p>
    <w:p w14:paraId="60D0FCA9" w14:textId="754C89FD" w:rsidR="00C81A7A" w:rsidRPr="006578E6" w:rsidRDefault="00957513" w:rsidP="00FB0FA3">
      <w:pPr>
        <w:pStyle w:val="NoSpacing"/>
        <w:ind w:left="360"/>
        <w:jc w:val="both"/>
        <w:rPr>
          <w:rFonts w:ascii="Times New Roman" w:hAnsi="Times New Roman" w:cs="Times New Roman"/>
        </w:rPr>
      </w:pPr>
      <w:r w:rsidRPr="006578E6">
        <w:rPr>
          <w:rFonts w:ascii="Times New Roman" w:hAnsi="Times New Roman" w:cs="Times New Roman"/>
        </w:rPr>
        <w:t xml:space="preserve">The </w:t>
      </w:r>
      <w:r w:rsidR="00A846A2" w:rsidRPr="006578E6">
        <w:rPr>
          <w:rFonts w:ascii="Times New Roman" w:hAnsi="Times New Roman" w:cs="Times New Roman"/>
        </w:rPr>
        <w:t>stud</w:t>
      </w:r>
      <w:r w:rsidR="000F5A13">
        <w:rPr>
          <w:rFonts w:ascii="Times New Roman" w:hAnsi="Times New Roman" w:cs="Times New Roman"/>
        </w:rPr>
        <w:t>y is projected to occur from February 15</w:t>
      </w:r>
      <w:r w:rsidR="000F5A13" w:rsidRPr="000F5A13">
        <w:rPr>
          <w:rFonts w:ascii="Times New Roman" w:hAnsi="Times New Roman" w:cs="Times New Roman"/>
          <w:vertAlign w:val="superscript"/>
        </w:rPr>
        <w:t>th</w:t>
      </w:r>
      <w:r w:rsidR="00307EE0">
        <w:rPr>
          <w:rFonts w:ascii="Times New Roman" w:hAnsi="Times New Roman" w:cs="Times New Roman"/>
        </w:rPr>
        <w:t xml:space="preserve"> to</w:t>
      </w:r>
      <w:r w:rsidR="00A846A2" w:rsidRPr="006578E6">
        <w:rPr>
          <w:rFonts w:ascii="Times New Roman" w:hAnsi="Times New Roman" w:cs="Times New Roman"/>
        </w:rPr>
        <w:t xml:space="preserve"> </w:t>
      </w:r>
      <w:r w:rsidR="000F5A13">
        <w:rPr>
          <w:rFonts w:ascii="Times New Roman" w:hAnsi="Times New Roman" w:cs="Times New Roman"/>
        </w:rPr>
        <w:t>July 15</w:t>
      </w:r>
      <w:r w:rsidR="000F5A13" w:rsidRPr="000F5A13">
        <w:rPr>
          <w:rFonts w:ascii="Times New Roman" w:hAnsi="Times New Roman" w:cs="Times New Roman"/>
          <w:vertAlign w:val="superscript"/>
        </w:rPr>
        <w:t>th</w:t>
      </w:r>
      <w:r w:rsidR="00307EE0">
        <w:rPr>
          <w:rFonts w:ascii="Times New Roman" w:hAnsi="Times New Roman" w:cs="Times New Roman"/>
        </w:rPr>
        <w:t>, 2018</w:t>
      </w:r>
      <w:r w:rsidR="00A846A2" w:rsidRPr="006578E6">
        <w:rPr>
          <w:rFonts w:ascii="Times New Roman" w:hAnsi="Times New Roman" w:cs="Times New Roman"/>
        </w:rPr>
        <w:t xml:space="preserve">.  </w:t>
      </w:r>
    </w:p>
    <w:p w14:paraId="751A4096" w14:textId="77777777" w:rsidR="00BA2160" w:rsidRPr="006578E6" w:rsidRDefault="00BA2160" w:rsidP="00FB0FA3">
      <w:pPr>
        <w:widowControl w:val="0"/>
        <w:autoSpaceDE w:val="0"/>
        <w:autoSpaceDN w:val="0"/>
        <w:adjustRightInd w:val="0"/>
        <w:spacing w:line="240" w:lineRule="auto"/>
        <w:jc w:val="both"/>
        <w:rPr>
          <w:rFonts w:ascii="Times New Roman" w:hAnsi="Times New Roman"/>
          <w:sz w:val="24"/>
          <w:szCs w:val="24"/>
        </w:rPr>
      </w:pPr>
    </w:p>
    <w:p w14:paraId="0B2CB1B5" w14:textId="77777777" w:rsidR="00957513" w:rsidRPr="006578E6" w:rsidRDefault="00957513"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6578E6">
        <w:rPr>
          <w:rFonts w:ascii="Times New Roman" w:hAnsi="Times New Roman"/>
          <w:b/>
          <w:color w:val="000000"/>
          <w:sz w:val="24"/>
          <w:szCs w:val="24"/>
        </w:rPr>
        <w:t xml:space="preserve">How the </w:t>
      </w:r>
      <w:r w:rsidR="003766CC" w:rsidRPr="006578E6">
        <w:rPr>
          <w:rFonts w:ascii="Times New Roman" w:hAnsi="Times New Roman"/>
          <w:b/>
          <w:color w:val="000000"/>
          <w:sz w:val="24"/>
          <w:szCs w:val="24"/>
        </w:rPr>
        <w:t>i</w:t>
      </w:r>
      <w:r w:rsidRPr="006578E6">
        <w:rPr>
          <w:rFonts w:ascii="Times New Roman" w:hAnsi="Times New Roman"/>
          <w:b/>
          <w:color w:val="000000"/>
          <w:sz w:val="24"/>
          <w:szCs w:val="24"/>
        </w:rPr>
        <w:t xml:space="preserve">nformation is being collected: </w:t>
      </w:r>
    </w:p>
    <w:p w14:paraId="2D15A10F" w14:textId="37C8A2E6" w:rsidR="00B26D80" w:rsidRPr="006578E6" w:rsidRDefault="000E4F02" w:rsidP="00B26D80">
      <w:pPr>
        <w:pStyle w:val="NoSpacing"/>
        <w:ind w:left="360"/>
        <w:jc w:val="both"/>
        <w:rPr>
          <w:rFonts w:ascii="Times New Roman" w:hAnsi="Times New Roman" w:cs="Times New Roman"/>
        </w:rPr>
      </w:pPr>
      <w:r w:rsidRPr="006578E6">
        <w:rPr>
          <w:rFonts w:ascii="Times New Roman" w:hAnsi="Times New Roman" w:cs="Times New Roman"/>
        </w:rPr>
        <w:t>The information is being collected by Fors Marsh Group who will conduct the focus groups. The focus groups will be segmented by school level (middle school or high school), smokeless tobacco status (at-risk or exp</w:t>
      </w:r>
      <w:r w:rsidR="005D2506">
        <w:rPr>
          <w:rFonts w:ascii="Times New Roman" w:hAnsi="Times New Roman" w:cs="Times New Roman"/>
        </w:rPr>
        <w:t>erimenter) and race/ethnicity (n</w:t>
      </w:r>
      <w:r w:rsidRPr="006578E6">
        <w:rPr>
          <w:rFonts w:ascii="Times New Roman" w:hAnsi="Times New Roman" w:cs="Times New Roman"/>
        </w:rPr>
        <w:t>on-Hispanic White or all other races and ethnicities—</w:t>
      </w:r>
      <w:r w:rsidR="005D2506">
        <w:rPr>
          <w:rFonts w:ascii="Times New Roman" w:hAnsi="Times New Roman" w:cs="Times New Roman"/>
        </w:rPr>
        <w:t>i.e., besides n</w:t>
      </w:r>
      <w:r w:rsidRPr="006578E6">
        <w:rPr>
          <w:rFonts w:ascii="Times New Roman" w:hAnsi="Times New Roman" w:cs="Times New Roman"/>
        </w:rPr>
        <w:t xml:space="preserve">on-Hispanic White). Research will take place in up to </w:t>
      </w:r>
      <w:r w:rsidR="006D75EC" w:rsidRPr="006578E6">
        <w:rPr>
          <w:rFonts w:ascii="Times New Roman" w:hAnsi="Times New Roman" w:cs="Times New Roman"/>
        </w:rPr>
        <w:t>four</w:t>
      </w:r>
      <w:r w:rsidRPr="006578E6">
        <w:rPr>
          <w:rFonts w:ascii="Times New Roman" w:hAnsi="Times New Roman" w:cs="Times New Roman"/>
        </w:rPr>
        <w:t xml:space="preserve"> distinct locations and will include approximately </w:t>
      </w:r>
      <w:r w:rsidR="006D75EC" w:rsidRPr="006578E6">
        <w:rPr>
          <w:rFonts w:ascii="Times New Roman" w:hAnsi="Times New Roman" w:cs="Times New Roman"/>
        </w:rPr>
        <w:t xml:space="preserve">18 </w:t>
      </w:r>
      <w:r w:rsidRPr="006578E6">
        <w:rPr>
          <w:rFonts w:ascii="Times New Roman" w:hAnsi="Times New Roman" w:cs="Times New Roman"/>
        </w:rPr>
        <w:t xml:space="preserve">focus groups with four to </w:t>
      </w:r>
      <w:r w:rsidR="006D75EC" w:rsidRPr="006578E6">
        <w:rPr>
          <w:rFonts w:ascii="Times New Roman" w:hAnsi="Times New Roman" w:cs="Times New Roman"/>
        </w:rPr>
        <w:t>eight participants each (n</w:t>
      </w:r>
      <w:r w:rsidR="00FB27BC">
        <w:rPr>
          <w:rFonts w:ascii="Times New Roman" w:hAnsi="Times New Roman" w:cs="Times New Roman"/>
        </w:rPr>
        <w:t>&lt;</w:t>
      </w:r>
      <w:r w:rsidR="006D75EC" w:rsidRPr="006578E6">
        <w:rPr>
          <w:rFonts w:ascii="Times New Roman" w:hAnsi="Times New Roman" w:cs="Times New Roman"/>
        </w:rPr>
        <w:t xml:space="preserve">=144). </w:t>
      </w:r>
      <w:r w:rsidRPr="006578E6">
        <w:rPr>
          <w:rFonts w:ascii="Times New Roman" w:hAnsi="Times New Roman" w:cs="Times New Roman"/>
        </w:rPr>
        <w:t xml:space="preserve">While we anticipate traveling only to </w:t>
      </w:r>
      <w:r w:rsidR="006D75EC" w:rsidRPr="006578E6">
        <w:rPr>
          <w:rFonts w:ascii="Times New Roman" w:hAnsi="Times New Roman" w:cs="Times New Roman"/>
        </w:rPr>
        <w:t>three</w:t>
      </w:r>
      <w:r w:rsidRPr="006578E6">
        <w:rPr>
          <w:rFonts w:ascii="Times New Roman" w:hAnsi="Times New Roman" w:cs="Times New Roman"/>
        </w:rPr>
        <w:t xml:space="preserve"> locations, we will reserve a </w:t>
      </w:r>
      <w:r w:rsidR="006D75EC" w:rsidRPr="006578E6">
        <w:rPr>
          <w:rFonts w:ascii="Times New Roman" w:hAnsi="Times New Roman" w:cs="Times New Roman"/>
        </w:rPr>
        <w:t>fourth</w:t>
      </w:r>
      <w:r w:rsidRPr="006578E6">
        <w:rPr>
          <w:rFonts w:ascii="Times New Roman" w:hAnsi="Times New Roman" w:cs="Times New Roman"/>
        </w:rPr>
        <w:t xml:space="preserve"> location in the event of needing back-up focus groups to ensure desired fi</w:t>
      </w:r>
      <w:r w:rsidR="006D75EC" w:rsidRPr="006578E6">
        <w:rPr>
          <w:rFonts w:ascii="Times New Roman" w:hAnsi="Times New Roman" w:cs="Times New Roman"/>
        </w:rPr>
        <w:t>nal sample size. Approximately six</w:t>
      </w:r>
      <w:r w:rsidRPr="006578E6">
        <w:rPr>
          <w:rFonts w:ascii="Times New Roman" w:hAnsi="Times New Roman" w:cs="Times New Roman"/>
        </w:rPr>
        <w:t xml:space="preserve"> focus groups will take place in each of </w:t>
      </w:r>
      <w:r w:rsidR="006D75EC" w:rsidRPr="006578E6">
        <w:rPr>
          <w:rFonts w:ascii="Times New Roman" w:hAnsi="Times New Roman" w:cs="Times New Roman"/>
        </w:rPr>
        <w:t>three</w:t>
      </w:r>
      <w:r w:rsidRPr="006578E6">
        <w:rPr>
          <w:rFonts w:ascii="Times New Roman" w:hAnsi="Times New Roman" w:cs="Times New Roman"/>
        </w:rPr>
        <w:t xml:space="preserve"> target locations</w:t>
      </w:r>
      <w:r w:rsidR="00572BBE" w:rsidRPr="006578E6">
        <w:rPr>
          <w:rFonts w:ascii="Times New Roman" w:hAnsi="Times New Roman" w:cs="Times New Roman"/>
        </w:rPr>
        <w:t xml:space="preserve"> and each focus group will take approximately 90 minutes.</w:t>
      </w:r>
      <w:r w:rsidR="00B26D80" w:rsidRPr="006578E6">
        <w:rPr>
          <w:rFonts w:ascii="Times New Roman" w:hAnsi="Times New Roman" w:cs="Times New Roman"/>
        </w:rPr>
        <w:t xml:space="preserve"> In each focu</w:t>
      </w:r>
      <w:r w:rsidR="006D75EC" w:rsidRPr="006578E6">
        <w:rPr>
          <w:rFonts w:ascii="Times New Roman" w:hAnsi="Times New Roman" w:cs="Times New Roman"/>
        </w:rPr>
        <w:t xml:space="preserve">s group, participants will see 3 to 4 rotated concepts from up to </w:t>
      </w:r>
      <w:r w:rsidR="0094593F" w:rsidRPr="006578E6">
        <w:rPr>
          <w:rFonts w:ascii="Times New Roman" w:hAnsi="Times New Roman" w:cs="Times New Roman"/>
        </w:rPr>
        <w:t>6</w:t>
      </w:r>
      <w:r w:rsidR="00B26D80" w:rsidRPr="006578E6">
        <w:rPr>
          <w:rFonts w:ascii="Times New Roman" w:hAnsi="Times New Roman" w:cs="Times New Roman"/>
        </w:rPr>
        <w:t xml:space="preserve"> total creative concepts. Participants will provide quantitative and qualitative feedback about creative concepts viewed in the focus groups. </w:t>
      </w:r>
    </w:p>
    <w:p w14:paraId="15E1EA31" w14:textId="77777777" w:rsidR="000E4F02" w:rsidRPr="006578E6" w:rsidRDefault="000E4F02" w:rsidP="000E4F0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p>
    <w:p w14:paraId="16E2270E" w14:textId="77777777" w:rsidR="000E4F02" w:rsidRPr="006578E6" w:rsidRDefault="000E4F02" w:rsidP="000E4F0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sz w:val="24"/>
          <w:szCs w:val="24"/>
        </w:rPr>
      </w:pPr>
      <w:r w:rsidRPr="006578E6">
        <w:rPr>
          <w:rFonts w:ascii="Times New Roman" w:hAnsi="Times New Roman"/>
          <w:sz w:val="24"/>
          <w:szCs w:val="24"/>
        </w:rPr>
        <w:t xml:space="preserve">Due to the geographic nature of the targeted rural counties, holding focus groups in a traditional focus group center in a metropolitan area is unrealistic. As a result, the focus groups will be held in local, rural schools. Previous experiences with past research in support of this campaign (e.g., Wave 1 creative concept and copy testing) and other research groups that have conducted school-based research in rural areas (e.g., RTI) indicate that we will likely be limited to conducting the sessions during regular school hours. </w:t>
      </w:r>
    </w:p>
    <w:p w14:paraId="7D0101F9" w14:textId="77777777" w:rsidR="000E4F02" w:rsidRPr="006578E6" w:rsidRDefault="000E4F02" w:rsidP="000E4F0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sz w:val="24"/>
          <w:szCs w:val="24"/>
        </w:rPr>
      </w:pPr>
    </w:p>
    <w:p w14:paraId="2AB5AF02" w14:textId="333B3290" w:rsidR="000E4F02" w:rsidRPr="006578E6" w:rsidRDefault="000E4F02" w:rsidP="000E4F02">
      <w:pPr>
        <w:ind w:left="360"/>
        <w:jc w:val="both"/>
        <w:rPr>
          <w:rFonts w:ascii="Times New Roman" w:hAnsi="Times New Roman"/>
          <w:sz w:val="24"/>
          <w:szCs w:val="24"/>
        </w:rPr>
      </w:pPr>
      <w:r w:rsidRPr="006578E6">
        <w:rPr>
          <w:rFonts w:ascii="Times New Roman" w:hAnsi="Times New Roman"/>
          <w:sz w:val="24"/>
          <w:szCs w:val="24"/>
        </w:rPr>
        <w:t xml:space="preserve">The purpose of the focus groups is to gather insights on rural, adolescent males’ exposure to and attitudes toward tobacco products including smokeless tobacco as well as perceptions and attitudes towards the creative concepts tested that are helpful in improving creative concepts for </w:t>
      </w:r>
      <w:r w:rsidRPr="006578E6">
        <w:rPr>
          <w:rFonts w:ascii="Times New Roman" w:hAnsi="Times New Roman"/>
          <w:i/>
          <w:sz w:val="24"/>
          <w:szCs w:val="24"/>
        </w:rPr>
        <w:t xml:space="preserve">TRC Smokeless </w:t>
      </w:r>
      <w:r w:rsidRPr="006578E6">
        <w:rPr>
          <w:rFonts w:ascii="Times New Roman" w:hAnsi="Times New Roman"/>
          <w:sz w:val="24"/>
          <w:szCs w:val="24"/>
        </w:rPr>
        <w:t>campaign. Potential participants will fill out a brief screener (</w:t>
      </w:r>
      <w:r w:rsidR="00FB27BC">
        <w:rPr>
          <w:rFonts w:ascii="Times New Roman" w:hAnsi="Times New Roman"/>
          <w:sz w:val="24"/>
          <w:szCs w:val="24"/>
        </w:rPr>
        <w:t xml:space="preserve">Attachment A) </w:t>
      </w:r>
      <w:r w:rsidRPr="006578E6">
        <w:rPr>
          <w:rFonts w:ascii="Times New Roman" w:hAnsi="Times New Roman"/>
          <w:sz w:val="24"/>
          <w:szCs w:val="24"/>
        </w:rPr>
        <w:t xml:space="preserve">assessing their smokeless tobacco use status. Participants that are eligible and selected for participation will be provided the appropriate parental </w:t>
      </w:r>
      <w:r w:rsidR="001840E8">
        <w:rPr>
          <w:rFonts w:ascii="Times New Roman" w:hAnsi="Times New Roman"/>
          <w:sz w:val="24"/>
          <w:szCs w:val="24"/>
        </w:rPr>
        <w:t>permission</w:t>
      </w:r>
      <w:r w:rsidRPr="006578E6">
        <w:rPr>
          <w:rFonts w:ascii="Times New Roman" w:hAnsi="Times New Roman"/>
          <w:sz w:val="24"/>
          <w:szCs w:val="24"/>
        </w:rPr>
        <w:t>/</w:t>
      </w:r>
      <w:r w:rsidR="001840E8">
        <w:rPr>
          <w:rFonts w:ascii="Times New Roman" w:hAnsi="Times New Roman"/>
          <w:sz w:val="24"/>
          <w:szCs w:val="24"/>
        </w:rPr>
        <w:t>opt-out</w:t>
      </w:r>
      <w:r w:rsidR="000F382C">
        <w:rPr>
          <w:rFonts w:ascii="Times New Roman" w:hAnsi="Times New Roman"/>
          <w:sz w:val="24"/>
          <w:szCs w:val="24"/>
        </w:rPr>
        <w:t xml:space="preserve"> </w:t>
      </w:r>
      <w:r w:rsidR="005C616A" w:rsidRPr="006578E6">
        <w:rPr>
          <w:rFonts w:ascii="Times New Roman" w:hAnsi="Times New Roman"/>
          <w:sz w:val="24"/>
          <w:szCs w:val="24"/>
        </w:rPr>
        <w:t>and youth assent materials (</w:t>
      </w:r>
      <w:r w:rsidR="00FB27BC">
        <w:rPr>
          <w:rFonts w:ascii="Times New Roman" w:hAnsi="Times New Roman"/>
          <w:sz w:val="24"/>
          <w:szCs w:val="24"/>
        </w:rPr>
        <w:t>Attachment B</w:t>
      </w:r>
      <w:r w:rsidR="004311BF">
        <w:rPr>
          <w:rFonts w:ascii="Times New Roman" w:hAnsi="Times New Roman"/>
          <w:sz w:val="24"/>
          <w:szCs w:val="24"/>
        </w:rPr>
        <w:t xml:space="preserve">1, B2, and </w:t>
      </w:r>
      <w:r w:rsidR="00DC596D">
        <w:rPr>
          <w:rFonts w:ascii="Times New Roman" w:hAnsi="Times New Roman"/>
          <w:sz w:val="24"/>
          <w:szCs w:val="24"/>
        </w:rPr>
        <w:t>C</w:t>
      </w:r>
      <w:r w:rsidRPr="006578E6">
        <w:rPr>
          <w:rFonts w:ascii="Times New Roman" w:hAnsi="Times New Roman"/>
          <w:sz w:val="24"/>
          <w:szCs w:val="24"/>
        </w:rPr>
        <w:t xml:space="preserve">) that must be signed before participation (note: parental </w:t>
      </w:r>
      <w:r w:rsidR="001840E8">
        <w:rPr>
          <w:rFonts w:ascii="Times New Roman" w:hAnsi="Times New Roman"/>
          <w:sz w:val="24"/>
          <w:szCs w:val="24"/>
        </w:rPr>
        <w:t>opt-out</w:t>
      </w:r>
      <w:r w:rsidRPr="006578E6">
        <w:rPr>
          <w:rFonts w:ascii="Times New Roman" w:hAnsi="Times New Roman"/>
          <w:sz w:val="24"/>
          <w:szCs w:val="24"/>
        </w:rPr>
        <w:t xml:space="preserve"> does not require a signature</w:t>
      </w:r>
      <w:r w:rsidR="00572BBE" w:rsidRPr="006578E6">
        <w:rPr>
          <w:rFonts w:ascii="Times New Roman" w:hAnsi="Times New Roman"/>
          <w:sz w:val="24"/>
          <w:szCs w:val="24"/>
        </w:rPr>
        <w:t xml:space="preserve">; individuals 12 years </w:t>
      </w:r>
      <w:r w:rsidR="00A97F1E">
        <w:rPr>
          <w:rFonts w:ascii="Times New Roman" w:hAnsi="Times New Roman"/>
          <w:sz w:val="24"/>
          <w:szCs w:val="24"/>
        </w:rPr>
        <w:t>of age will be provided with a p</w:t>
      </w:r>
      <w:r w:rsidR="00572BBE" w:rsidRPr="006578E6">
        <w:rPr>
          <w:rFonts w:ascii="Times New Roman" w:hAnsi="Times New Roman"/>
          <w:sz w:val="24"/>
          <w:szCs w:val="24"/>
        </w:rPr>
        <w:t xml:space="preserve">arental </w:t>
      </w:r>
      <w:r w:rsidR="00A97F1E">
        <w:rPr>
          <w:rFonts w:ascii="Times New Roman" w:hAnsi="Times New Roman"/>
          <w:sz w:val="24"/>
          <w:szCs w:val="24"/>
        </w:rPr>
        <w:t>p</w:t>
      </w:r>
      <w:r w:rsidR="001840E8">
        <w:rPr>
          <w:rFonts w:ascii="Times New Roman" w:hAnsi="Times New Roman"/>
          <w:sz w:val="24"/>
          <w:szCs w:val="24"/>
        </w:rPr>
        <w:t>ermission</w:t>
      </w:r>
      <w:r w:rsidR="00572BBE" w:rsidRPr="006578E6">
        <w:rPr>
          <w:rFonts w:ascii="Times New Roman" w:hAnsi="Times New Roman"/>
          <w:sz w:val="24"/>
          <w:szCs w:val="24"/>
        </w:rPr>
        <w:t xml:space="preserve"> form even if that school has agreed to parental </w:t>
      </w:r>
      <w:r w:rsidR="001840E8">
        <w:rPr>
          <w:rFonts w:ascii="Times New Roman" w:hAnsi="Times New Roman"/>
          <w:sz w:val="24"/>
          <w:szCs w:val="24"/>
        </w:rPr>
        <w:t>opt-out</w:t>
      </w:r>
      <w:r w:rsidR="00572BBE" w:rsidRPr="006578E6">
        <w:rPr>
          <w:rFonts w:ascii="Times New Roman" w:hAnsi="Times New Roman"/>
          <w:sz w:val="24"/>
          <w:szCs w:val="24"/>
        </w:rPr>
        <w:t xml:space="preserve"> forms for individuals 13-17 years of age</w:t>
      </w:r>
      <w:r w:rsidRPr="006578E6">
        <w:rPr>
          <w:rFonts w:ascii="Times New Roman" w:hAnsi="Times New Roman"/>
          <w:sz w:val="24"/>
          <w:szCs w:val="24"/>
        </w:rPr>
        <w:t>)</w:t>
      </w:r>
      <w:r w:rsidR="00DC596D">
        <w:rPr>
          <w:rFonts w:ascii="Times New Roman" w:hAnsi="Times New Roman"/>
          <w:sz w:val="24"/>
          <w:szCs w:val="24"/>
        </w:rPr>
        <w:t>.</w:t>
      </w:r>
    </w:p>
    <w:p w14:paraId="1F130487" w14:textId="77777777" w:rsidR="00517F40" w:rsidRPr="006578E6" w:rsidRDefault="00517F40" w:rsidP="00517F40">
      <w:pPr>
        <w:pStyle w:val="Default"/>
        <w:ind w:left="1440"/>
        <w:jc w:val="both"/>
        <w:rPr>
          <w:color w:val="auto"/>
        </w:rPr>
      </w:pPr>
    </w:p>
    <w:p w14:paraId="3A425442" w14:textId="41CBF4C4" w:rsidR="00F90560" w:rsidRPr="006578E6" w:rsidRDefault="000E4F02" w:rsidP="00517F40">
      <w:pPr>
        <w:ind w:left="360"/>
        <w:jc w:val="both"/>
        <w:rPr>
          <w:rFonts w:ascii="Times New Roman" w:hAnsi="Times New Roman"/>
          <w:sz w:val="24"/>
          <w:szCs w:val="24"/>
        </w:rPr>
      </w:pPr>
      <w:r w:rsidRPr="006578E6">
        <w:rPr>
          <w:rFonts w:ascii="Times New Roman" w:hAnsi="Times New Roman"/>
          <w:sz w:val="24"/>
          <w:szCs w:val="24"/>
        </w:rPr>
        <w:t>During the focus groups, the moderator will f</w:t>
      </w:r>
      <w:r w:rsidR="005C616A" w:rsidRPr="006578E6">
        <w:rPr>
          <w:rFonts w:ascii="Times New Roman" w:hAnsi="Times New Roman"/>
          <w:sz w:val="24"/>
          <w:szCs w:val="24"/>
        </w:rPr>
        <w:t>ollow the discussion guide (</w:t>
      </w:r>
      <w:r w:rsidR="00FB27BC">
        <w:rPr>
          <w:rFonts w:ascii="Times New Roman" w:hAnsi="Times New Roman"/>
          <w:sz w:val="24"/>
          <w:szCs w:val="24"/>
        </w:rPr>
        <w:t xml:space="preserve">Attachment </w:t>
      </w:r>
      <w:r w:rsidR="00776D06">
        <w:rPr>
          <w:rFonts w:ascii="Times New Roman" w:hAnsi="Times New Roman"/>
          <w:sz w:val="24"/>
          <w:szCs w:val="24"/>
        </w:rPr>
        <w:t>D</w:t>
      </w:r>
      <w:r w:rsidRPr="006578E6">
        <w:rPr>
          <w:rFonts w:ascii="Times New Roman" w:hAnsi="Times New Roman"/>
          <w:sz w:val="24"/>
          <w:szCs w:val="24"/>
        </w:rPr>
        <w:t>) to gather feedback on three</w:t>
      </w:r>
      <w:r w:rsidR="00EE2B10">
        <w:rPr>
          <w:rFonts w:ascii="Times New Roman" w:hAnsi="Times New Roman"/>
          <w:sz w:val="24"/>
          <w:szCs w:val="24"/>
        </w:rPr>
        <w:t xml:space="preserve"> to four</w:t>
      </w:r>
      <w:r w:rsidRPr="006578E6">
        <w:rPr>
          <w:rFonts w:ascii="Times New Roman" w:hAnsi="Times New Roman"/>
          <w:sz w:val="24"/>
          <w:szCs w:val="24"/>
        </w:rPr>
        <w:t xml:space="preserve"> creative concepts. First, the moderator will welcome the group and set some ground rules. The participants will then be asked to introduce themselves and participate in an icebreaker (5 minutes). The moderator will</w:t>
      </w:r>
      <w:r w:rsidR="0034431D" w:rsidRPr="006578E6">
        <w:rPr>
          <w:rFonts w:ascii="Times New Roman" w:hAnsi="Times New Roman"/>
          <w:sz w:val="24"/>
          <w:szCs w:val="24"/>
        </w:rPr>
        <w:t xml:space="preserve"> then expose the participants</w:t>
      </w:r>
      <w:r w:rsidR="001840E8">
        <w:rPr>
          <w:rFonts w:ascii="Times New Roman" w:hAnsi="Times New Roman"/>
          <w:sz w:val="24"/>
          <w:szCs w:val="24"/>
        </w:rPr>
        <w:t xml:space="preserve"> to</w:t>
      </w:r>
      <w:r w:rsidR="0034431D" w:rsidRPr="006578E6">
        <w:rPr>
          <w:rFonts w:ascii="Times New Roman" w:hAnsi="Times New Roman"/>
          <w:sz w:val="24"/>
          <w:szCs w:val="24"/>
        </w:rPr>
        <w:t xml:space="preserve"> three to four</w:t>
      </w:r>
      <w:r w:rsidR="005C616A" w:rsidRPr="006578E6">
        <w:rPr>
          <w:rFonts w:ascii="Times New Roman" w:hAnsi="Times New Roman"/>
          <w:sz w:val="24"/>
          <w:szCs w:val="24"/>
        </w:rPr>
        <w:t xml:space="preserve"> creative concepts (</w:t>
      </w:r>
      <w:r w:rsidR="00FB27BC">
        <w:rPr>
          <w:rFonts w:ascii="Times New Roman" w:hAnsi="Times New Roman"/>
          <w:sz w:val="24"/>
          <w:szCs w:val="24"/>
        </w:rPr>
        <w:t xml:space="preserve">Attachment </w:t>
      </w:r>
      <w:r w:rsidR="00776D06">
        <w:rPr>
          <w:rFonts w:ascii="Times New Roman" w:hAnsi="Times New Roman"/>
          <w:sz w:val="24"/>
          <w:szCs w:val="24"/>
        </w:rPr>
        <w:t>E</w:t>
      </w:r>
      <w:r w:rsidRPr="006578E6">
        <w:rPr>
          <w:rFonts w:ascii="Times New Roman" w:hAnsi="Times New Roman"/>
          <w:sz w:val="24"/>
          <w:szCs w:val="24"/>
        </w:rPr>
        <w:t xml:space="preserve">) in turn, </w:t>
      </w:r>
      <w:r w:rsidR="001840E8">
        <w:rPr>
          <w:rFonts w:ascii="Times New Roman" w:hAnsi="Times New Roman"/>
          <w:sz w:val="24"/>
          <w:szCs w:val="24"/>
        </w:rPr>
        <w:t>which may</w:t>
      </w:r>
      <w:r w:rsidR="00A97F1E">
        <w:rPr>
          <w:rFonts w:ascii="Times New Roman" w:hAnsi="Times New Roman"/>
          <w:sz w:val="24"/>
          <w:szCs w:val="24"/>
        </w:rPr>
        <w:t xml:space="preserve"> </w:t>
      </w:r>
      <w:r w:rsidRPr="006578E6">
        <w:rPr>
          <w:rFonts w:ascii="Times New Roman" w:hAnsi="Times New Roman"/>
          <w:sz w:val="24"/>
          <w:szCs w:val="24"/>
        </w:rPr>
        <w:t>includ</w:t>
      </w:r>
      <w:r w:rsidR="001840E8">
        <w:rPr>
          <w:rFonts w:ascii="Times New Roman" w:hAnsi="Times New Roman"/>
          <w:sz w:val="24"/>
          <w:szCs w:val="24"/>
        </w:rPr>
        <w:t xml:space="preserve">e </w:t>
      </w:r>
      <w:r w:rsidRPr="006578E6">
        <w:rPr>
          <w:rFonts w:ascii="Times New Roman" w:hAnsi="Times New Roman"/>
          <w:sz w:val="24"/>
          <w:szCs w:val="24"/>
        </w:rPr>
        <w:t>additional executions within each concept. After participants are exposed to a creative concept, they will individually complete</w:t>
      </w:r>
      <w:r w:rsidR="00A97F1E">
        <w:rPr>
          <w:rFonts w:ascii="Times New Roman" w:hAnsi="Times New Roman"/>
          <w:sz w:val="24"/>
          <w:szCs w:val="24"/>
        </w:rPr>
        <w:t xml:space="preserve"> a concept rating w</w:t>
      </w:r>
      <w:r w:rsidR="005C616A" w:rsidRPr="006578E6">
        <w:rPr>
          <w:rFonts w:ascii="Times New Roman" w:hAnsi="Times New Roman"/>
          <w:sz w:val="24"/>
          <w:szCs w:val="24"/>
        </w:rPr>
        <w:t>orksheet (</w:t>
      </w:r>
      <w:r w:rsidR="00FB27BC">
        <w:rPr>
          <w:rFonts w:ascii="Times New Roman" w:hAnsi="Times New Roman"/>
          <w:sz w:val="24"/>
          <w:szCs w:val="24"/>
        </w:rPr>
        <w:t xml:space="preserve">Attachment </w:t>
      </w:r>
      <w:r w:rsidR="00776D06">
        <w:rPr>
          <w:rFonts w:ascii="Times New Roman" w:hAnsi="Times New Roman"/>
          <w:sz w:val="24"/>
          <w:szCs w:val="24"/>
        </w:rPr>
        <w:t>F</w:t>
      </w:r>
      <w:r w:rsidRPr="006578E6">
        <w:rPr>
          <w:rFonts w:ascii="Times New Roman" w:hAnsi="Times New Roman"/>
          <w:sz w:val="24"/>
          <w:szCs w:val="24"/>
        </w:rPr>
        <w:t>) before the group dis</w:t>
      </w:r>
      <w:r w:rsidR="00A97F1E">
        <w:rPr>
          <w:rFonts w:ascii="Times New Roman" w:hAnsi="Times New Roman"/>
          <w:sz w:val="24"/>
          <w:szCs w:val="24"/>
        </w:rPr>
        <w:t>cussion commences. The rating w</w:t>
      </w:r>
      <w:r w:rsidRPr="006578E6">
        <w:rPr>
          <w:rFonts w:ascii="Times New Roman" w:hAnsi="Times New Roman"/>
          <w:sz w:val="24"/>
          <w:szCs w:val="24"/>
        </w:rPr>
        <w:t xml:space="preserve">orksheet asks participants to reiterate the main idea of the concept, grade it, rate it on several dimensions, and specify what they found to be most compelling and what they would change. After all participants have completed the worksheet for a given concept, the moderator will lead a discussion about their reactions, thoughts, and opinions of the concept and specific executions. This process will be repeated until the participants have been exposed to all </w:t>
      </w:r>
      <w:r w:rsidR="0034431D" w:rsidRPr="006578E6">
        <w:rPr>
          <w:rFonts w:ascii="Times New Roman" w:hAnsi="Times New Roman"/>
          <w:sz w:val="24"/>
          <w:szCs w:val="24"/>
        </w:rPr>
        <w:t>three or four</w:t>
      </w:r>
      <w:r w:rsidRPr="006578E6">
        <w:rPr>
          <w:rFonts w:ascii="Times New Roman" w:hAnsi="Times New Roman"/>
          <w:sz w:val="24"/>
          <w:szCs w:val="24"/>
        </w:rPr>
        <w:t xml:space="preserve"> concepts (</w:t>
      </w:r>
      <w:r w:rsidR="003D4523">
        <w:rPr>
          <w:rFonts w:ascii="Times New Roman" w:hAnsi="Times New Roman"/>
          <w:sz w:val="24"/>
          <w:szCs w:val="24"/>
        </w:rPr>
        <w:t>75</w:t>
      </w:r>
      <w:r w:rsidR="0034431D" w:rsidRPr="006578E6">
        <w:rPr>
          <w:rFonts w:ascii="Times New Roman" w:hAnsi="Times New Roman"/>
          <w:sz w:val="24"/>
          <w:szCs w:val="24"/>
        </w:rPr>
        <w:t xml:space="preserve"> </w:t>
      </w:r>
      <w:r w:rsidRPr="006578E6">
        <w:rPr>
          <w:rFonts w:ascii="Times New Roman" w:hAnsi="Times New Roman"/>
          <w:sz w:val="24"/>
          <w:szCs w:val="24"/>
        </w:rPr>
        <w:t>minutes). Concepts will be randomly assigned to groups so that each concept will be shown at least once in each school. Across groups, each concept will be presented in first, second, and third place to help control for order effects. Following the concepts, participants will be asked to complete a</w:t>
      </w:r>
      <w:r w:rsidR="00A97F1E">
        <w:rPr>
          <w:rFonts w:ascii="Times New Roman" w:hAnsi="Times New Roman"/>
          <w:sz w:val="24"/>
          <w:szCs w:val="24"/>
        </w:rPr>
        <w:t xml:space="preserve"> concept ranking w</w:t>
      </w:r>
      <w:r w:rsidR="005C616A" w:rsidRPr="006578E6">
        <w:rPr>
          <w:rFonts w:ascii="Times New Roman" w:hAnsi="Times New Roman"/>
          <w:sz w:val="24"/>
          <w:szCs w:val="24"/>
        </w:rPr>
        <w:t>orksheet (</w:t>
      </w:r>
      <w:r w:rsidR="00E5288E">
        <w:rPr>
          <w:rFonts w:ascii="Times New Roman" w:hAnsi="Times New Roman"/>
          <w:sz w:val="24"/>
          <w:szCs w:val="24"/>
        </w:rPr>
        <w:t xml:space="preserve">Attachment </w:t>
      </w:r>
      <w:r w:rsidR="00776D06">
        <w:rPr>
          <w:rFonts w:ascii="Times New Roman" w:hAnsi="Times New Roman"/>
          <w:sz w:val="24"/>
          <w:szCs w:val="24"/>
        </w:rPr>
        <w:t>G</w:t>
      </w:r>
      <w:r w:rsidRPr="006578E6">
        <w:rPr>
          <w:rFonts w:ascii="Times New Roman" w:hAnsi="Times New Roman"/>
          <w:sz w:val="24"/>
          <w:szCs w:val="24"/>
        </w:rPr>
        <w:t>), which asks which concept was their favorite and why; which concept would make them stop and think twice, which concept they would share with a friend. Following the worksheet, the moderator will facilitate a conversation to sum up their feedback asking participants which ad would stick with them and if they feel any differently about dip after viewing all the ads (5 minutes). After the summing-up conversation, the moderator will close the group by addressing observers and asking if there are any clarifying questions, time permitting. The moderator would then ask if there are any remaining comments or questions from the participants and then inform participants that tobacco use prevention materials are available in the back of the room for anyone who is interested (5 minutes).</w:t>
      </w:r>
    </w:p>
    <w:p w14:paraId="706456D9" w14:textId="77777777" w:rsidR="0034431D" w:rsidRPr="006578E6" w:rsidRDefault="0034431D" w:rsidP="0034431D">
      <w:pPr>
        <w:ind w:left="720"/>
        <w:jc w:val="both"/>
        <w:rPr>
          <w:rFonts w:ascii="Times New Roman" w:hAnsi="Times New Roman"/>
          <w:sz w:val="24"/>
          <w:szCs w:val="24"/>
        </w:rPr>
      </w:pPr>
    </w:p>
    <w:p w14:paraId="498E93EF" w14:textId="4F7456AB" w:rsidR="001D047A" w:rsidRPr="006578E6" w:rsidRDefault="001D047A" w:rsidP="00FB0FA3">
      <w:pPr>
        <w:pStyle w:val="NoSpacing"/>
        <w:ind w:left="360"/>
        <w:jc w:val="both"/>
        <w:rPr>
          <w:rFonts w:ascii="Times New Roman" w:hAnsi="Times New Roman" w:cs="Times New Roman"/>
        </w:rPr>
      </w:pPr>
      <w:r w:rsidRPr="006578E6">
        <w:rPr>
          <w:rFonts w:ascii="Times New Roman" w:hAnsi="Times New Roman" w:cs="Times New Roman"/>
        </w:rPr>
        <w:t>The stu</w:t>
      </w:r>
      <w:r w:rsidR="0034431D" w:rsidRPr="006578E6">
        <w:rPr>
          <w:rFonts w:ascii="Times New Roman" w:hAnsi="Times New Roman" w:cs="Times New Roman"/>
        </w:rPr>
        <w:t>dy will consist of showing three to four (3-4</w:t>
      </w:r>
      <w:r w:rsidRPr="006578E6">
        <w:rPr>
          <w:rFonts w:ascii="Times New Roman" w:hAnsi="Times New Roman" w:cs="Times New Roman"/>
        </w:rPr>
        <w:t>)</w:t>
      </w:r>
      <w:r w:rsidR="0034431D" w:rsidRPr="006578E6">
        <w:rPr>
          <w:rFonts w:ascii="Times New Roman" w:hAnsi="Times New Roman" w:cs="Times New Roman"/>
        </w:rPr>
        <w:t xml:space="preserve"> rotated concep</w:t>
      </w:r>
      <w:r w:rsidR="0094593F" w:rsidRPr="006578E6">
        <w:rPr>
          <w:rFonts w:ascii="Times New Roman" w:hAnsi="Times New Roman" w:cs="Times New Roman"/>
        </w:rPr>
        <w:t xml:space="preserve">ts from up to </w:t>
      </w:r>
      <w:r w:rsidR="004311BF">
        <w:rPr>
          <w:rFonts w:ascii="Times New Roman" w:hAnsi="Times New Roman" w:cs="Times New Roman"/>
        </w:rPr>
        <w:t>five</w:t>
      </w:r>
      <w:r w:rsidRPr="006578E6">
        <w:rPr>
          <w:rFonts w:ascii="Times New Roman" w:hAnsi="Times New Roman" w:cs="Times New Roman"/>
        </w:rPr>
        <w:t xml:space="preserve"> </w:t>
      </w:r>
      <w:r w:rsidR="0034431D" w:rsidRPr="006578E6">
        <w:rPr>
          <w:rFonts w:ascii="Times New Roman" w:hAnsi="Times New Roman" w:cs="Times New Roman"/>
        </w:rPr>
        <w:tab/>
        <w:t>(</w:t>
      </w:r>
      <w:r w:rsidR="004311BF">
        <w:rPr>
          <w:rFonts w:ascii="Times New Roman" w:hAnsi="Times New Roman" w:cs="Times New Roman"/>
        </w:rPr>
        <w:t>5</w:t>
      </w:r>
      <w:r w:rsidRPr="006578E6">
        <w:rPr>
          <w:rFonts w:ascii="Times New Roman" w:hAnsi="Times New Roman" w:cs="Times New Roman"/>
        </w:rPr>
        <w:t xml:space="preserve">) creative concept storyboards to a sample of the target audience during in-person focus groups. Participants will provide quantitative and qualitative feedback about creative concepts viewed in the focus groups. </w:t>
      </w:r>
    </w:p>
    <w:p w14:paraId="5464C1C2" w14:textId="77777777" w:rsidR="0034431D" w:rsidRPr="006578E6" w:rsidRDefault="0034431D" w:rsidP="00FB0FA3">
      <w:pPr>
        <w:pStyle w:val="NoSpacing"/>
        <w:ind w:left="360"/>
        <w:jc w:val="both"/>
        <w:rPr>
          <w:rFonts w:ascii="Times New Roman" w:hAnsi="Times New Roman" w:cs="Times New Roman"/>
        </w:rPr>
      </w:pPr>
    </w:p>
    <w:p w14:paraId="1698F3BF" w14:textId="038DEA0A" w:rsidR="00AE4D81" w:rsidRPr="006578E6" w:rsidRDefault="00E139AA"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6578E6">
        <w:rPr>
          <w:rFonts w:ascii="Times New Roman" w:hAnsi="Times New Roman"/>
          <w:b/>
          <w:color w:val="000000"/>
          <w:sz w:val="24"/>
          <w:szCs w:val="24"/>
        </w:rPr>
        <w:t>Confidentiality of respondents</w:t>
      </w:r>
      <w:r w:rsidR="00957513" w:rsidRPr="006578E6">
        <w:rPr>
          <w:rFonts w:ascii="Times New Roman" w:hAnsi="Times New Roman"/>
          <w:b/>
          <w:color w:val="000000"/>
          <w:sz w:val="24"/>
          <w:szCs w:val="24"/>
        </w:rPr>
        <w:t xml:space="preserve">: </w:t>
      </w:r>
    </w:p>
    <w:p w14:paraId="0384E079" w14:textId="77777777" w:rsidR="001F1357" w:rsidRPr="006578E6" w:rsidRDefault="001F1357" w:rsidP="00FB0FA3">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6578E6">
        <w:rPr>
          <w:rFonts w:ascii="Times New Roman" w:eastAsiaTheme="minorHAnsi" w:hAnsi="Times New Roman"/>
          <w:sz w:val="24"/>
          <w:szCs w:val="24"/>
        </w:rPr>
        <w:t>All data will be collected with an assurance that the respondents' responses will remain private to the extent allowable by law.</w:t>
      </w:r>
    </w:p>
    <w:p w14:paraId="20DD028A" w14:textId="11A79158" w:rsidR="001539FC" w:rsidRPr="006578E6" w:rsidRDefault="005E2F20" w:rsidP="00FB0FA3">
      <w:pPr>
        <w:pStyle w:val="NoSpacing"/>
        <w:ind w:left="360"/>
        <w:jc w:val="both"/>
        <w:rPr>
          <w:rFonts w:ascii="Times New Roman" w:hAnsi="Times New Roman" w:cs="Times New Roman"/>
        </w:rPr>
      </w:pPr>
      <w:r w:rsidRPr="006578E6">
        <w:rPr>
          <w:rFonts w:ascii="Times New Roman" w:hAnsi="Times New Roman" w:cs="Times New Roman"/>
        </w:rPr>
        <w:t xml:space="preserve">Prior to </w:t>
      </w:r>
      <w:r w:rsidR="00AE76EB" w:rsidRPr="006578E6">
        <w:rPr>
          <w:rFonts w:ascii="Times New Roman" w:hAnsi="Times New Roman" w:cs="Times New Roman"/>
        </w:rPr>
        <w:t xml:space="preserve">the </w:t>
      </w:r>
      <w:r w:rsidRPr="006578E6">
        <w:rPr>
          <w:rFonts w:ascii="Times New Roman" w:hAnsi="Times New Roman" w:cs="Times New Roman"/>
        </w:rPr>
        <w:t xml:space="preserve">focus group facilitation, </w:t>
      </w:r>
      <w:r w:rsidR="00C473B6" w:rsidRPr="006578E6">
        <w:rPr>
          <w:rFonts w:ascii="Times New Roman" w:hAnsi="Times New Roman" w:cs="Times New Roman"/>
        </w:rPr>
        <w:t>youth participants</w:t>
      </w:r>
      <w:r w:rsidRPr="006578E6">
        <w:rPr>
          <w:rFonts w:ascii="Times New Roman" w:hAnsi="Times New Roman" w:cs="Times New Roman"/>
        </w:rPr>
        <w:t xml:space="preserve"> will be asked by research staff to complete a</w:t>
      </w:r>
      <w:r w:rsidR="0070753A" w:rsidRPr="006578E6">
        <w:rPr>
          <w:rFonts w:ascii="Times New Roman" w:hAnsi="Times New Roman" w:cs="Times New Roman"/>
        </w:rPr>
        <w:t xml:space="preserve">n </w:t>
      </w:r>
      <w:r w:rsidRPr="006578E6">
        <w:rPr>
          <w:rFonts w:ascii="Times New Roman" w:hAnsi="Times New Roman" w:cs="Times New Roman"/>
        </w:rPr>
        <w:t>assent form</w:t>
      </w:r>
      <w:r w:rsidR="0070753A" w:rsidRPr="006578E6">
        <w:rPr>
          <w:rFonts w:ascii="Times New Roman" w:hAnsi="Times New Roman" w:cs="Times New Roman"/>
        </w:rPr>
        <w:t xml:space="preserve"> </w:t>
      </w:r>
      <w:r w:rsidR="00C473B6" w:rsidRPr="006578E6">
        <w:rPr>
          <w:rFonts w:ascii="Times New Roman" w:hAnsi="Times New Roman" w:cs="Times New Roman"/>
        </w:rPr>
        <w:t>and parents</w:t>
      </w:r>
      <w:r w:rsidR="0070753A" w:rsidRPr="006578E6">
        <w:rPr>
          <w:rFonts w:ascii="Times New Roman" w:hAnsi="Times New Roman" w:cs="Times New Roman"/>
        </w:rPr>
        <w:t xml:space="preserve"> </w:t>
      </w:r>
      <w:r w:rsidR="00572BBE" w:rsidRPr="006578E6">
        <w:rPr>
          <w:rFonts w:ascii="Times New Roman" w:hAnsi="Times New Roman" w:cs="Times New Roman"/>
        </w:rPr>
        <w:t xml:space="preserve">will be given </w:t>
      </w:r>
      <w:r w:rsidR="0070753A" w:rsidRPr="006578E6">
        <w:rPr>
          <w:rFonts w:ascii="Times New Roman" w:hAnsi="Times New Roman" w:cs="Times New Roman"/>
        </w:rPr>
        <w:t xml:space="preserve">a </w:t>
      </w:r>
      <w:r w:rsidR="0044566A">
        <w:rPr>
          <w:rFonts w:ascii="Times New Roman" w:hAnsi="Times New Roman" w:cs="Times New Roman"/>
        </w:rPr>
        <w:t>permission</w:t>
      </w:r>
      <w:r w:rsidR="00572BBE" w:rsidRPr="006578E6">
        <w:rPr>
          <w:rFonts w:ascii="Times New Roman" w:hAnsi="Times New Roman" w:cs="Times New Roman"/>
        </w:rPr>
        <w:t xml:space="preserve"> or </w:t>
      </w:r>
      <w:r w:rsidR="0044566A">
        <w:rPr>
          <w:rFonts w:ascii="Times New Roman" w:hAnsi="Times New Roman" w:cs="Times New Roman"/>
        </w:rPr>
        <w:t>opt-out</w:t>
      </w:r>
      <w:r w:rsidR="0070753A" w:rsidRPr="006578E6">
        <w:rPr>
          <w:rFonts w:ascii="Times New Roman" w:hAnsi="Times New Roman" w:cs="Times New Roman"/>
        </w:rPr>
        <w:t xml:space="preserve"> form</w:t>
      </w:r>
      <w:r w:rsidR="00572BBE" w:rsidRPr="006578E6">
        <w:rPr>
          <w:rFonts w:ascii="Times New Roman" w:hAnsi="Times New Roman" w:cs="Times New Roman"/>
        </w:rPr>
        <w:t xml:space="preserve"> </w:t>
      </w:r>
      <w:r w:rsidR="00AE76EB" w:rsidRPr="006578E6">
        <w:rPr>
          <w:rFonts w:ascii="Times New Roman" w:hAnsi="Times New Roman" w:cs="Times New Roman"/>
        </w:rPr>
        <w:t xml:space="preserve">as </w:t>
      </w:r>
      <w:r w:rsidR="00572BBE" w:rsidRPr="006578E6">
        <w:rPr>
          <w:rFonts w:ascii="Times New Roman" w:hAnsi="Times New Roman" w:cs="Times New Roman"/>
        </w:rPr>
        <w:t>appropriate (in instances where schools agree to a</w:t>
      </w:r>
      <w:r w:rsidR="0044566A">
        <w:rPr>
          <w:rFonts w:ascii="Times New Roman" w:hAnsi="Times New Roman" w:cs="Times New Roman"/>
        </w:rPr>
        <w:t>n opt-out</w:t>
      </w:r>
      <w:r w:rsidR="00572BBE" w:rsidRPr="006578E6">
        <w:rPr>
          <w:rFonts w:ascii="Times New Roman" w:hAnsi="Times New Roman" w:cs="Times New Roman"/>
        </w:rPr>
        <w:t xml:space="preserve"> </w:t>
      </w:r>
      <w:r w:rsidR="00AE76EB" w:rsidRPr="006578E6">
        <w:rPr>
          <w:rFonts w:ascii="Times New Roman" w:hAnsi="Times New Roman" w:cs="Times New Roman"/>
        </w:rPr>
        <w:t xml:space="preserve">form </w:t>
      </w:r>
      <w:r w:rsidR="00572BBE" w:rsidRPr="006578E6">
        <w:rPr>
          <w:rFonts w:ascii="Times New Roman" w:hAnsi="Times New Roman" w:cs="Times New Roman"/>
        </w:rPr>
        <w:t>parents will be given this form, in instan</w:t>
      </w:r>
      <w:r w:rsidR="00AE76EB" w:rsidRPr="006578E6">
        <w:rPr>
          <w:rFonts w:ascii="Times New Roman" w:hAnsi="Times New Roman" w:cs="Times New Roman"/>
        </w:rPr>
        <w:t>ces where schools want a</w:t>
      </w:r>
      <w:r w:rsidR="00572BBE" w:rsidRPr="006578E6">
        <w:rPr>
          <w:rFonts w:ascii="Times New Roman" w:hAnsi="Times New Roman" w:cs="Times New Roman"/>
        </w:rPr>
        <w:t xml:space="preserve"> consent form, </w:t>
      </w:r>
      <w:r w:rsidR="00AE76EB" w:rsidRPr="006578E6">
        <w:rPr>
          <w:rFonts w:ascii="Times New Roman" w:hAnsi="Times New Roman" w:cs="Times New Roman"/>
        </w:rPr>
        <w:t xml:space="preserve">parents will be given a </w:t>
      </w:r>
      <w:r w:rsidR="0044566A">
        <w:rPr>
          <w:rFonts w:ascii="Times New Roman" w:hAnsi="Times New Roman" w:cs="Times New Roman"/>
        </w:rPr>
        <w:t>permission</w:t>
      </w:r>
      <w:r w:rsidR="00572BBE" w:rsidRPr="006578E6">
        <w:rPr>
          <w:rFonts w:ascii="Times New Roman" w:hAnsi="Times New Roman" w:cs="Times New Roman"/>
        </w:rPr>
        <w:t xml:space="preserve"> form, in all instances the parents of children 12 years of age will be giv</w:t>
      </w:r>
      <w:r w:rsidR="00AE76EB" w:rsidRPr="006578E6">
        <w:rPr>
          <w:rFonts w:ascii="Times New Roman" w:hAnsi="Times New Roman" w:cs="Times New Roman"/>
        </w:rPr>
        <w:t xml:space="preserve">en a </w:t>
      </w:r>
      <w:r w:rsidR="0044566A">
        <w:rPr>
          <w:rFonts w:ascii="Times New Roman" w:hAnsi="Times New Roman" w:cs="Times New Roman"/>
        </w:rPr>
        <w:t>permission</w:t>
      </w:r>
      <w:r w:rsidR="00572BBE" w:rsidRPr="006578E6">
        <w:rPr>
          <w:rFonts w:ascii="Times New Roman" w:hAnsi="Times New Roman" w:cs="Times New Roman"/>
        </w:rPr>
        <w:t xml:space="preserve"> form (</w:t>
      </w:r>
      <w:r w:rsidR="00E5288E">
        <w:rPr>
          <w:rFonts w:ascii="Times New Roman" w:hAnsi="Times New Roman" w:cs="Times New Roman"/>
        </w:rPr>
        <w:t>Attachment B</w:t>
      </w:r>
      <w:r w:rsidR="0044566A">
        <w:rPr>
          <w:rFonts w:ascii="Times New Roman" w:hAnsi="Times New Roman" w:cs="Times New Roman"/>
        </w:rPr>
        <w:t xml:space="preserve">1, B2, </w:t>
      </w:r>
      <w:r w:rsidR="004311BF">
        <w:rPr>
          <w:rFonts w:ascii="Times New Roman" w:hAnsi="Times New Roman" w:cs="Times New Roman"/>
        </w:rPr>
        <w:t>B3</w:t>
      </w:r>
      <w:r w:rsidR="00AE76EB" w:rsidRPr="006578E6">
        <w:rPr>
          <w:rFonts w:ascii="Times New Roman" w:hAnsi="Times New Roman" w:cs="Times New Roman"/>
        </w:rPr>
        <w:t>)</w:t>
      </w:r>
      <w:r w:rsidRPr="006578E6">
        <w:rPr>
          <w:rFonts w:ascii="Times New Roman" w:hAnsi="Times New Roman" w:cs="Times New Roman"/>
        </w:rPr>
        <w:t>.</w:t>
      </w:r>
      <w:r w:rsidR="005F3292" w:rsidRPr="006578E6">
        <w:rPr>
          <w:rFonts w:ascii="Times New Roman" w:hAnsi="Times New Roman" w:cs="Times New Roman"/>
        </w:rPr>
        <w:t xml:space="preserve"> These forms will contain a statement that no one will be able to link the </w:t>
      </w:r>
      <w:r w:rsidR="00A53F63">
        <w:rPr>
          <w:rFonts w:ascii="Times New Roman" w:hAnsi="Times New Roman" w:cs="Times New Roman"/>
        </w:rPr>
        <w:t>respondent’s identity to his</w:t>
      </w:r>
      <w:r w:rsidR="005F3292" w:rsidRPr="006578E6">
        <w:rPr>
          <w:rFonts w:ascii="Times New Roman" w:hAnsi="Times New Roman" w:cs="Times New Roman"/>
        </w:rPr>
        <w:t xml:space="preserve"> responses. Additionally, a</w:t>
      </w:r>
      <w:r w:rsidRPr="006578E6">
        <w:rPr>
          <w:rFonts w:ascii="Times New Roman" w:hAnsi="Times New Roman" w:cs="Times New Roman"/>
        </w:rPr>
        <w:t xml:space="preserve">t the beginning of the focus group, the facilitator </w:t>
      </w:r>
      <w:r w:rsidR="00A53F63">
        <w:rPr>
          <w:rFonts w:ascii="Times New Roman" w:hAnsi="Times New Roman" w:cs="Times New Roman"/>
        </w:rPr>
        <w:t xml:space="preserve">will review the content of the </w:t>
      </w:r>
      <w:r w:rsidRPr="006578E6">
        <w:rPr>
          <w:rFonts w:ascii="Times New Roman" w:hAnsi="Times New Roman" w:cs="Times New Roman"/>
        </w:rPr>
        <w:t>assent form</w:t>
      </w:r>
      <w:r w:rsidR="005F3292" w:rsidRPr="006578E6">
        <w:rPr>
          <w:rFonts w:ascii="Times New Roman" w:hAnsi="Times New Roman" w:cs="Times New Roman"/>
        </w:rPr>
        <w:t xml:space="preserve"> and reiterate</w:t>
      </w:r>
      <w:r w:rsidR="0008152F" w:rsidRPr="006578E6">
        <w:rPr>
          <w:rFonts w:ascii="Times New Roman" w:hAnsi="Times New Roman" w:cs="Times New Roman"/>
        </w:rPr>
        <w:t xml:space="preserve"> that no one will be able to link the </w:t>
      </w:r>
      <w:r w:rsidR="00A53F63">
        <w:rPr>
          <w:rFonts w:ascii="Times New Roman" w:hAnsi="Times New Roman" w:cs="Times New Roman"/>
        </w:rPr>
        <w:t>respondent’s identity to his</w:t>
      </w:r>
      <w:r w:rsidR="0008152F" w:rsidRPr="006578E6">
        <w:rPr>
          <w:rFonts w:ascii="Times New Roman" w:hAnsi="Times New Roman" w:cs="Times New Roman"/>
        </w:rPr>
        <w:t xml:space="preserve"> responses. Additionally, </w:t>
      </w:r>
      <w:r w:rsidR="005F3292" w:rsidRPr="006578E6">
        <w:rPr>
          <w:rFonts w:ascii="Times New Roman" w:hAnsi="Times New Roman" w:cs="Times New Roman"/>
        </w:rPr>
        <w:t>n</w:t>
      </w:r>
      <w:r w:rsidR="008F7330">
        <w:rPr>
          <w:rFonts w:ascii="Times New Roman" w:hAnsi="Times New Roman" w:cs="Times New Roman"/>
        </w:rPr>
        <w:t xml:space="preserve">one of </w:t>
      </w:r>
      <w:r w:rsidR="005F3292" w:rsidRPr="006578E6">
        <w:rPr>
          <w:rFonts w:ascii="Times New Roman" w:hAnsi="Times New Roman" w:cs="Times New Roman"/>
        </w:rPr>
        <w:t xml:space="preserve">the </w:t>
      </w:r>
      <w:r w:rsidR="0008152F" w:rsidRPr="006578E6">
        <w:rPr>
          <w:rFonts w:ascii="Times New Roman" w:hAnsi="Times New Roman" w:cs="Times New Roman"/>
        </w:rPr>
        <w:t xml:space="preserve">focus group questions will ask participants to provide identifying information as part of their responses. </w:t>
      </w:r>
    </w:p>
    <w:p w14:paraId="59B72952" w14:textId="77777777" w:rsidR="001539FC" w:rsidRPr="006578E6" w:rsidRDefault="001539FC" w:rsidP="00FB0FA3">
      <w:pPr>
        <w:pStyle w:val="NoSpacing"/>
        <w:ind w:left="360"/>
        <w:jc w:val="both"/>
        <w:rPr>
          <w:rFonts w:ascii="Times New Roman" w:hAnsi="Times New Roman" w:cs="Times New Roman"/>
        </w:rPr>
      </w:pPr>
    </w:p>
    <w:p w14:paraId="62B909AD" w14:textId="237FE1B7" w:rsidR="001539FC" w:rsidRPr="006578E6" w:rsidRDefault="001539FC" w:rsidP="00FB0FA3">
      <w:pPr>
        <w:pStyle w:val="NoSpacing"/>
        <w:ind w:left="360"/>
        <w:jc w:val="both"/>
        <w:rPr>
          <w:rFonts w:ascii="Times New Roman" w:hAnsi="Times New Roman" w:cs="Times New Roman"/>
        </w:rPr>
      </w:pPr>
      <w:r w:rsidRPr="006578E6">
        <w:rPr>
          <w:rFonts w:ascii="Times New Roman" w:hAnsi="Times New Roman" w:cs="Times New Roman"/>
        </w:rPr>
        <w:t>Before each group begins, the moderator will obtain verbal</w:t>
      </w:r>
      <w:r w:rsidR="00B26D80" w:rsidRPr="006578E6">
        <w:rPr>
          <w:rFonts w:ascii="Times New Roman" w:hAnsi="Times New Roman" w:cs="Times New Roman"/>
        </w:rPr>
        <w:t xml:space="preserve"> permission</w:t>
      </w:r>
      <w:r w:rsidR="0094593F" w:rsidRPr="006578E6">
        <w:rPr>
          <w:rFonts w:ascii="Times New Roman" w:hAnsi="Times New Roman" w:cs="Times New Roman"/>
        </w:rPr>
        <w:t xml:space="preserve"> </w:t>
      </w:r>
      <w:r w:rsidRPr="006578E6">
        <w:rPr>
          <w:rFonts w:ascii="Times New Roman" w:hAnsi="Times New Roman" w:cs="Times New Roman"/>
        </w:rPr>
        <w:t>from the participants to audio record the session. In the event</w:t>
      </w:r>
      <w:r w:rsidR="00B26D80" w:rsidRPr="006578E6">
        <w:rPr>
          <w:rFonts w:ascii="Times New Roman" w:hAnsi="Times New Roman" w:cs="Times New Roman"/>
        </w:rPr>
        <w:t xml:space="preserve"> permission</w:t>
      </w:r>
      <w:r w:rsidR="0094593F" w:rsidRPr="006578E6">
        <w:rPr>
          <w:rFonts w:ascii="Times New Roman" w:hAnsi="Times New Roman" w:cs="Times New Roman"/>
        </w:rPr>
        <w:t xml:space="preserve"> </w:t>
      </w:r>
      <w:r w:rsidRPr="006578E6">
        <w:rPr>
          <w:rFonts w:ascii="Times New Roman" w:hAnsi="Times New Roman" w:cs="Times New Roman"/>
        </w:rPr>
        <w:t xml:space="preserve">is not given, the contractor will refrain from audio recording the session, although live notes/transcriptions may still be taken. The </w:t>
      </w:r>
      <w:r w:rsidR="0044566A">
        <w:rPr>
          <w:rFonts w:ascii="Times New Roman" w:hAnsi="Times New Roman" w:cs="Times New Roman"/>
        </w:rPr>
        <w:t>permission</w:t>
      </w:r>
      <w:r w:rsidR="00AE76EB" w:rsidRPr="006578E6">
        <w:rPr>
          <w:rFonts w:ascii="Times New Roman" w:hAnsi="Times New Roman" w:cs="Times New Roman"/>
        </w:rPr>
        <w:t>/</w:t>
      </w:r>
      <w:r w:rsidR="0044566A">
        <w:rPr>
          <w:rFonts w:ascii="Times New Roman" w:hAnsi="Times New Roman" w:cs="Times New Roman"/>
        </w:rPr>
        <w:t>opt-out</w:t>
      </w:r>
      <w:r w:rsidRPr="006578E6">
        <w:rPr>
          <w:rFonts w:ascii="Times New Roman" w:hAnsi="Times New Roman" w:cs="Times New Roman"/>
        </w:rPr>
        <w:t xml:space="preserve"> form will also contain a statement notifying participants that audio recording will occur.</w:t>
      </w:r>
    </w:p>
    <w:p w14:paraId="6FB51859" w14:textId="77777777" w:rsidR="001539FC" w:rsidRPr="006578E6" w:rsidRDefault="001539FC" w:rsidP="00FB0FA3">
      <w:pPr>
        <w:pStyle w:val="NoSpacing"/>
        <w:ind w:left="360"/>
        <w:jc w:val="both"/>
        <w:rPr>
          <w:rFonts w:ascii="Times New Roman" w:hAnsi="Times New Roman" w:cs="Times New Roman"/>
        </w:rPr>
      </w:pPr>
    </w:p>
    <w:p w14:paraId="6E8D66DA" w14:textId="64592599" w:rsidR="00957513" w:rsidRPr="006578E6" w:rsidRDefault="001539FC" w:rsidP="00057842">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6578E6">
        <w:rPr>
          <w:rFonts w:ascii="Times New Roman" w:hAnsi="Times New Roman"/>
          <w:sz w:val="24"/>
          <w:szCs w:val="24"/>
        </w:rPr>
        <w:t xml:space="preserve">Neither independent contractors nor focus group agencies will share personal information regarding participants with any third party without the participant’s permission unless it is required by law to protect their rights or to comply with judicial proceedings, a court order, or other legal process. </w:t>
      </w:r>
      <w:r w:rsidR="001F1357" w:rsidRPr="006578E6">
        <w:rPr>
          <w:rFonts w:ascii="Times New Roman" w:eastAsiaTheme="minorHAnsi" w:hAnsi="Times New Roman"/>
          <w:sz w:val="24"/>
          <w:szCs w:val="24"/>
        </w:rPr>
        <w:t>Identifying information will not be included in the reports delivered to the agency. All data received by FDA will remain in a secured area or on a password-protected computer. No data will contain identifying information.</w:t>
      </w:r>
    </w:p>
    <w:p w14:paraId="38A6CA03" w14:textId="12E73F9C" w:rsidR="00057842" w:rsidRPr="006578E6" w:rsidRDefault="00957513" w:rsidP="00057842">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6578E6">
        <w:rPr>
          <w:rFonts w:ascii="Times New Roman" w:hAnsi="Times New Roman"/>
          <w:b/>
          <w:color w:val="000000"/>
          <w:sz w:val="24"/>
          <w:szCs w:val="24"/>
        </w:rPr>
        <w:t xml:space="preserve">Amount and justification for any proposed incentive: </w:t>
      </w:r>
    </w:p>
    <w:p w14:paraId="4B0B0ECA" w14:textId="77777777" w:rsidR="009D4554" w:rsidRDefault="009D4554" w:rsidP="009D4554">
      <w:pPr>
        <w:pStyle w:val="Default"/>
        <w:spacing w:line="288" w:lineRule="auto"/>
        <w:ind w:left="360"/>
      </w:pPr>
      <w:r>
        <w:t xml:space="preserve">There is no incentive </w:t>
      </w:r>
      <w:r w:rsidRPr="00C022D5">
        <w:t xml:space="preserve">or gift </w:t>
      </w:r>
      <w:r>
        <w:t xml:space="preserve">provided </w:t>
      </w:r>
      <w:r w:rsidRPr="00C022D5">
        <w:t>to respondents for participation.</w:t>
      </w:r>
    </w:p>
    <w:p w14:paraId="11145D04" w14:textId="77777777" w:rsidR="002B5E62" w:rsidRPr="006578E6" w:rsidRDefault="002B5E62" w:rsidP="00057842">
      <w:pPr>
        <w:pStyle w:val="ListParagraph"/>
        <w:autoSpaceDE w:val="0"/>
        <w:autoSpaceDN w:val="0"/>
        <w:adjustRightInd w:val="0"/>
        <w:spacing w:line="240" w:lineRule="auto"/>
        <w:ind w:left="360" w:right="-180"/>
        <w:jc w:val="both"/>
        <w:rPr>
          <w:rFonts w:ascii="Times New Roman" w:hAnsi="Times New Roman"/>
          <w:color w:val="000000"/>
          <w:sz w:val="24"/>
          <w:szCs w:val="24"/>
        </w:rPr>
      </w:pPr>
    </w:p>
    <w:p w14:paraId="71A09A8C" w14:textId="4C72E578" w:rsidR="00057842" w:rsidRPr="006578E6" w:rsidRDefault="00957513" w:rsidP="00057842">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6578E6">
        <w:rPr>
          <w:rFonts w:ascii="Times New Roman" w:hAnsi="Times New Roman"/>
          <w:b/>
          <w:color w:val="000000"/>
          <w:sz w:val="24"/>
          <w:szCs w:val="24"/>
        </w:rPr>
        <w:t xml:space="preserve">Questions of a </w:t>
      </w:r>
      <w:r w:rsidR="004D3D53" w:rsidRPr="006578E6">
        <w:rPr>
          <w:rFonts w:ascii="Times New Roman" w:hAnsi="Times New Roman"/>
          <w:b/>
          <w:color w:val="000000"/>
          <w:sz w:val="24"/>
          <w:szCs w:val="24"/>
        </w:rPr>
        <w:t>s</w:t>
      </w:r>
      <w:r w:rsidRPr="006578E6">
        <w:rPr>
          <w:rFonts w:ascii="Times New Roman" w:hAnsi="Times New Roman"/>
          <w:b/>
          <w:color w:val="000000"/>
          <w:sz w:val="24"/>
          <w:szCs w:val="24"/>
        </w:rPr>
        <w:t xml:space="preserve">ensitive </w:t>
      </w:r>
      <w:r w:rsidR="004D3D53" w:rsidRPr="006578E6">
        <w:rPr>
          <w:rFonts w:ascii="Times New Roman" w:hAnsi="Times New Roman"/>
          <w:b/>
          <w:color w:val="000000"/>
          <w:sz w:val="24"/>
          <w:szCs w:val="24"/>
        </w:rPr>
        <w:t>n</w:t>
      </w:r>
      <w:r w:rsidRPr="006578E6">
        <w:rPr>
          <w:rFonts w:ascii="Times New Roman" w:hAnsi="Times New Roman"/>
          <w:b/>
          <w:color w:val="000000"/>
          <w:sz w:val="24"/>
          <w:szCs w:val="24"/>
        </w:rPr>
        <w:t xml:space="preserve">ature: </w:t>
      </w:r>
    </w:p>
    <w:p w14:paraId="0409D676" w14:textId="533B6CA4" w:rsidR="00057842" w:rsidRPr="006578E6" w:rsidRDefault="00057842" w:rsidP="00057842">
      <w:pPr>
        <w:pStyle w:val="NoSpacing"/>
        <w:ind w:left="360"/>
        <w:jc w:val="both"/>
        <w:rPr>
          <w:rFonts w:ascii="Times New Roman" w:hAnsi="Times New Roman" w:cs="Times New Roman"/>
        </w:rPr>
      </w:pPr>
      <w:r w:rsidRPr="006578E6">
        <w:rPr>
          <w:rFonts w:ascii="Times New Roman" w:hAnsi="Times New Roman" w:cs="Times New Roman"/>
        </w:rPr>
        <w:t>The majority of questions asked will not be of a sensitive nature. However, it will be necessary to ask some questions that may be considered to be of a sensitive nature in order to assess tobacco use. These questions are essential to the objectives of this information collection. Questions about messages concerning tobacco use behavior</w:t>
      </w:r>
      <w:r w:rsidR="005F3292" w:rsidRPr="006578E6">
        <w:rPr>
          <w:rFonts w:ascii="Times New Roman" w:hAnsi="Times New Roman" w:cs="Times New Roman"/>
        </w:rPr>
        <w:t xml:space="preserve"> </w:t>
      </w:r>
      <w:r w:rsidRPr="006578E6">
        <w:rPr>
          <w:rFonts w:ascii="Times New Roman" w:hAnsi="Times New Roman" w:cs="Times New Roman"/>
        </w:rPr>
        <w:t xml:space="preserve">could be considered sensitive, but not highly sensitive. </w:t>
      </w:r>
    </w:p>
    <w:p w14:paraId="08752F55" w14:textId="77777777" w:rsidR="00057842" w:rsidRPr="006578E6" w:rsidRDefault="00057842" w:rsidP="00057842">
      <w:pPr>
        <w:pStyle w:val="NoSpacing"/>
        <w:ind w:left="360"/>
        <w:jc w:val="both"/>
        <w:rPr>
          <w:rFonts w:ascii="Times New Roman" w:hAnsi="Times New Roman" w:cs="Times New Roman"/>
        </w:rPr>
      </w:pPr>
    </w:p>
    <w:p w14:paraId="12A587C7" w14:textId="537AC840" w:rsidR="00057842" w:rsidRPr="006578E6" w:rsidRDefault="00057842" w:rsidP="00057842">
      <w:pPr>
        <w:pStyle w:val="NoSpacing"/>
        <w:ind w:left="360"/>
        <w:jc w:val="both"/>
        <w:rPr>
          <w:rFonts w:ascii="Times New Roman" w:hAnsi="Times New Roman" w:cs="Times New Roman"/>
        </w:rPr>
      </w:pPr>
      <w:r w:rsidRPr="006578E6">
        <w:rPr>
          <w:rFonts w:ascii="Times New Roman" w:hAnsi="Times New Roman" w:cs="Times New Roman"/>
        </w:rPr>
        <w:t xml:space="preserve">To address any concerns about inadvertent disclosure of sensitive information, respondents will be fully informed of the applicable privacy safeguards. The </w:t>
      </w:r>
      <w:r w:rsidR="0044566A">
        <w:rPr>
          <w:rFonts w:ascii="Times New Roman" w:hAnsi="Times New Roman" w:cs="Times New Roman"/>
        </w:rPr>
        <w:t>assent</w:t>
      </w:r>
      <w:r w:rsidRPr="006578E6">
        <w:rPr>
          <w:rFonts w:ascii="Times New Roman" w:hAnsi="Times New Roman" w:cs="Times New Roman"/>
        </w:rPr>
        <w:t xml:space="preserve"> protocol will apprise youth that these topics will be covered during the study. In addition, this study includes the following procedures and methodological characteristics that will minimize potential negative reactions to these types of questions, including the following:</w:t>
      </w:r>
    </w:p>
    <w:p w14:paraId="7356A419" w14:textId="09227877" w:rsidR="00057842" w:rsidRPr="006578E6" w:rsidRDefault="00057842" w:rsidP="00057842">
      <w:pPr>
        <w:pStyle w:val="NoSpacing"/>
        <w:ind w:left="360"/>
        <w:jc w:val="both"/>
        <w:rPr>
          <w:rFonts w:ascii="Times New Roman" w:hAnsi="Times New Roman" w:cs="Times New Roman"/>
        </w:rPr>
      </w:pPr>
    </w:p>
    <w:p w14:paraId="5DE245DF" w14:textId="6FEC62B6" w:rsidR="00057842" w:rsidRPr="006578E6" w:rsidRDefault="00057842" w:rsidP="00DC596D">
      <w:pPr>
        <w:pStyle w:val="NoSpacing"/>
        <w:numPr>
          <w:ilvl w:val="0"/>
          <w:numId w:val="10"/>
        </w:numPr>
        <w:jc w:val="both"/>
        <w:rPr>
          <w:rFonts w:ascii="Times New Roman" w:hAnsi="Times New Roman" w:cs="Times New Roman"/>
        </w:rPr>
      </w:pPr>
      <w:r w:rsidRPr="006578E6">
        <w:rPr>
          <w:rFonts w:ascii="Times New Roman" w:hAnsi="Times New Roman" w:cs="Times New Roman"/>
        </w:rPr>
        <w:t>Respondents will be informed that they need not answer any question that makes them feel uncomfortable or that they simply do not wish to answer, and that they may leave the focus group at any time without penalty.</w:t>
      </w:r>
    </w:p>
    <w:p w14:paraId="671913A1" w14:textId="77777777" w:rsidR="00057842" w:rsidRPr="006578E6" w:rsidRDefault="00057842" w:rsidP="00057842">
      <w:pPr>
        <w:pStyle w:val="NoSpacing"/>
        <w:ind w:left="360"/>
        <w:jc w:val="both"/>
        <w:rPr>
          <w:rFonts w:ascii="Times New Roman" w:hAnsi="Times New Roman" w:cs="Times New Roman"/>
        </w:rPr>
      </w:pPr>
    </w:p>
    <w:p w14:paraId="703BFB30" w14:textId="441F339F" w:rsidR="00AE76EB" w:rsidRPr="006578E6" w:rsidRDefault="00A53F63" w:rsidP="00DC596D">
      <w:pPr>
        <w:pStyle w:val="NoSpacing"/>
        <w:numPr>
          <w:ilvl w:val="0"/>
          <w:numId w:val="10"/>
        </w:numPr>
        <w:jc w:val="both"/>
        <w:rPr>
          <w:rFonts w:ascii="Times New Roman" w:hAnsi="Times New Roman" w:cs="Times New Roman"/>
        </w:rPr>
      </w:pPr>
      <w:r>
        <w:rPr>
          <w:rFonts w:ascii="Times New Roman" w:hAnsi="Times New Roman" w:cs="Times New Roman"/>
        </w:rPr>
        <w:t>The s</w:t>
      </w:r>
      <w:r w:rsidR="00057842" w:rsidRPr="006578E6">
        <w:rPr>
          <w:rFonts w:ascii="Times New Roman" w:hAnsi="Times New Roman" w:cs="Times New Roman"/>
        </w:rPr>
        <w:t>creener,</w:t>
      </w:r>
      <w:r w:rsidR="005C616A" w:rsidRPr="006578E6">
        <w:rPr>
          <w:rFonts w:ascii="Times New Roman" w:hAnsi="Times New Roman" w:cs="Times New Roman"/>
        </w:rPr>
        <w:t xml:space="preserve"> </w:t>
      </w:r>
      <w:r>
        <w:rPr>
          <w:rFonts w:ascii="Times New Roman" w:hAnsi="Times New Roman" w:cs="Times New Roman"/>
        </w:rPr>
        <w:t>ranking and rating w</w:t>
      </w:r>
      <w:r w:rsidR="003D1D72" w:rsidRPr="006578E6">
        <w:rPr>
          <w:rFonts w:ascii="Times New Roman" w:hAnsi="Times New Roman" w:cs="Times New Roman"/>
        </w:rPr>
        <w:t>orksheets</w:t>
      </w:r>
      <w:r w:rsidR="003D4523">
        <w:rPr>
          <w:rFonts w:ascii="Times New Roman" w:hAnsi="Times New Roman" w:cs="Times New Roman"/>
        </w:rPr>
        <w:t xml:space="preserve"> </w:t>
      </w:r>
      <w:r w:rsidR="00057842" w:rsidRPr="006578E6">
        <w:rPr>
          <w:rFonts w:ascii="Times New Roman" w:hAnsi="Times New Roman" w:cs="Times New Roman"/>
        </w:rPr>
        <w:t>are entirely self-administered and maximize respondent privacy without the need to verbalize responses.</w:t>
      </w:r>
    </w:p>
    <w:p w14:paraId="16329245" w14:textId="77777777" w:rsidR="005C616A" w:rsidRPr="006578E6" w:rsidRDefault="005C616A" w:rsidP="00057842">
      <w:pPr>
        <w:pStyle w:val="NoSpacing"/>
        <w:ind w:left="360"/>
        <w:jc w:val="both"/>
        <w:rPr>
          <w:rFonts w:ascii="Times New Roman" w:hAnsi="Times New Roman" w:cs="Times New Roman"/>
        </w:rPr>
      </w:pPr>
    </w:p>
    <w:p w14:paraId="193FCBC4" w14:textId="1F7D7056" w:rsidR="00057842" w:rsidRPr="006578E6" w:rsidRDefault="00057842" w:rsidP="00DC596D">
      <w:pPr>
        <w:pStyle w:val="NoSpacing"/>
        <w:numPr>
          <w:ilvl w:val="0"/>
          <w:numId w:val="10"/>
        </w:numPr>
        <w:jc w:val="both"/>
        <w:rPr>
          <w:rFonts w:ascii="Times New Roman" w:hAnsi="Times New Roman" w:cs="Times New Roman"/>
        </w:rPr>
      </w:pPr>
      <w:r w:rsidRPr="006578E6">
        <w:rPr>
          <w:rFonts w:ascii="Times New Roman" w:hAnsi="Times New Roman" w:cs="Times New Roman"/>
        </w:rPr>
        <w:t xml:space="preserve">Participants will be informed that the focus group will be audio recorded </w:t>
      </w:r>
      <w:r w:rsidR="00492447" w:rsidRPr="006578E6">
        <w:rPr>
          <w:rFonts w:ascii="Times New Roman" w:hAnsi="Times New Roman" w:cs="Times New Roman"/>
        </w:rPr>
        <w:t xml:space="preserve">and they </w:t>
      </w:r>
      <w:r w:rsidRPr="006578E6">
        <w:rPr>
          <w:rFonts w:ascii="Times New Roman" w:hAnsi="Times New Roman" w:cs="Times New Roman"/>
        </w:rPr>
        <w:t>will have an opportunity to provide or reject consent for the group to be recorded at the start of the focus group.</w:t>
      </w:r>
    </w:p>
    <w:p w14:paraId="545BF6D4" w14:textId="77777777" w:rsidR="00057842" w:rsidRPr="006578E6" w:rsidRDefault="00057842" w:rsidP="00057842">
      <w:pPr>
        <w:pStyle w:val="NoSpacing"/>
        <w:ind w:left="360"/>
        <w:jc w:val="both"/>
        <w:rPr>
          <w:rFonts w:ascii="Times New Roman" w:hAnsi="Times New Roman" w:cs="Times New Roman"/>
        </w:rPr>
      </w:pPr>
    </w:p>
    <w:p w14:paraId="3F78CFBB" w14:textId="77777777" w:rsidR="00057842" w:rsidRPr="006578E6" w:rsidRDefault="00057842" w:rsidP="00DC596D">
      <w:pPr>
        <w:pStyle w:val="NoSpacing"/>
        <w:numPr>
          <w:ilvl w:val="0"/>
          <w:numId w:val="10"/>
        </w:numPr>
        <w:jc w:val="both"/>
        <w:rPr>
          <w:rFonts w:ascii="Times New Roman" w:hAnsi="Times New Roman" w:cs="Times New Roman"/>
        </w:rPr>
      </w:pPr>
      <w:r w:rsidRPr="006578E6">
        <w:rPr>
          <w:rFonts w:ascii="Times New Roman" w:hAnsi="Times New Roman" w:cs="Times New Roman"/>
        </w:rPr>
        <w:t xml:space="preserve">Participants will be provided with an email address and phone number for the Principal Investigator and the IRB should they have any questions or concerns about the study or their rights as a study participant. </w:t>
      </w:r>
    </w:p>
    <w:p w14:paraId="2C75D3BD" w14:textId="70469CA7" w:rsidR="00957513" w:rsidRPr="006578E6" w:rsidRDefault="00957513" w:rsidP="00FB0FA3">
      <w:pPr>
        <w:autoSpaceDE w:val="0"/>
        <w:autoSpaceDN w:val="0"/>
        <w:adjustRightInd w:val="0"/>
        <w:spacing w:line="240" w:lineRule="auto"/>
        <w:ind w:right="-180"/>
        <w:jc w:val="both"/>
        <w:rPr>
          <w:rFonts w:ascii="Times New Roman" w:hAnsi="Times New Roman"/>
          <w:color w:val="000000"/>
          <w:sz w:val="24"/>
          <w:szCs w:val="24"/>
        </w:rPr>
      </w:pPr>
    </w:p>
    <w:p w14:paraId="3F48CFFB" w14:textId="77777777" w:rsidR="00957513" w:rsidRPr="006578E6" w:rsidRDefault="000202E6"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6578E6">
        <w:rPr>
          <w:rFonts w:ascii="Times New Roman" w:hAnsi="Times New Roman"/>
          <w:b/>
          <w:color w:val="000000"/>
          <w:sz w:val="24"/>
          <w:szCs w:val="24"/>
        </w:rPr>
        <w:t>Description of statistical methods</w:t>
      </w:r>
      <w:r w:rsidR="004D3D53" w:rsidRPr="006578E6">
        <w:rPr>
          <w:rFonts w:ascii="Times New Roman" w:hAnsi="Times New Roman"/>
          <w:b/>
          <w:color w:val="000000"/>
          <w:sz w:val="24"/>
          <w:szCs w:val="24"/>
        </w:rPr>
        <w:t>:</w:t>
      </w:r>
      <w:r w:rsidR="00957513" w:rsidRPr="006578E6">
        <w:rPr>
          <w:rFonts w:ascii="Times New Roman" w:hAnsi="Times New Roman"/>
          <w:b/>
          <w:color w:val="000000"/>
          <w:sz w:val="24"/>
          <w:szCs w:val="24"/>
        </w:rPr>
        <w:t xml:space="preserve"> </w:t>
      </w:r>
    </w:p>
    <w:p w14:paraId="3A25888F" w14:textId="7594C055" w:rsidR="00057842" w:rsidRPr="006578E6" w:rsidRDefault="00354A19" w:rsidP="00057842">
      <w:pPr>
        <w:spacing w:line="240" w:lineRule="auto"/>
        <w:ind w:left="360"/>
        <w:jc w:val="both"/>
        <w:rPr>
          <w:rFonts w:ascii="Times New Roman" w:eastAsiaTheme="minorHAnsi" w:hAnsi="Times New Roman"/>
          <w:color w:val="000000"/>
          <w:sz w:val="24"/>
          <w:szCs w:val="24"/>
        </w:rPr>
      </w:pPr>
      <w:r w:rsidRPr="006578E6">
        <w:rPr>
          <w:rFonts w:ascii="Times New Roman" w:eastAsiaTheme="minorHAnsi" w:hAnsi="Times New Roman"/>
          <w:color w:val="000000"/>
          <w:sz w:val="24"/>
          <w:szCs w:val="24"/>
        </w:rPr>
        <w:t xml:space="preserve">This research relies on qualitative methods to collect data. This research is not intended to yield results that are statistically projectable, nationally representative, or precise estimates of population parameters.  </w:t>
      </w:r>
      <w:r w:rsidR="00057842" w:rsidRPr="006578E6">
        <w:rPr>
          <w:rFonts w:ascii="Times New Roman" w:eastAsiaTheme="minorHAnsi" w:hAnsi="Times New Roman"/>
          <w:color w:val="000000"/>
          <w:sz w:val="24"/>
          <w:szCs w:val="24"/>
        </w:rPr>
        <w:t xml:space="preserve">The sample drawn here is designed primarily to provide information on youth perceptions of up to </w:t>
      </w:r>
      <w:r w:rsidR="004311BF">
        <w:rPr>
          <w:rFonts w:ascii="Times New Roman" w:eastAsiaTheme="minorHAnsi" w:hAnsi="Times New Roman"/>
          <w:color w:val="000000"/>
          <w:sz w:val="24"/>
          <w:szCs w:val="24"/>
        </w:rPr>
        <w:t>5</w:t>
      </w:r>
      <w:r w:rsidR="00057842" w:rsidRPr="006578E6">
        <w:rPr>
          <w:rFonts w:ascii="Times New Roman" w:eastAsiaTheme="minorHAnsi" w:hAnsi="Times New Roman"/>
          <w:color w:val="000000"/>
          <w:sz w:val="24"/>
          <w:szCs w:val="24"/>
        </w:rPr>
        <w:t xml:space="preserve"> creative concepts developed for the FDA’s </w:t>
      </w:r>
      <w:r w:rsidR="0034431D" w:rsidRPr="006578E6">
        <w:rPr>
          <w:rFonts w:ascii="Times New Roman" w:eastAsiaTheme="minorHAnsi" w:hAnsi="Times New Roman"/>
          <w:i/>
          <w:color w:val="000000"/>
          <w:sz w:val="24"/>
          <w:szCs w:val="24"/>
        </w:rPr>
        <w:t>The Real Cost (TRC)</w:t>
      </w:r>
      <w:r w:rsidR="000E4F02" w:rsidRPr="006578E6">
        <w:rPr>
          <w:rFonts w:ascii="Times New Roman" w:eastAsiaTheme="minorHAnsi" w:hAnsi="Times New Roman"/>
          <w:i/>
          <w:color w:val="000000"/>
          <w:sz w:val="24"/>
          <w:szCs w:val="24"/>
        </w:rPr>
        <w:t xml:space="preserve"> Smokeless </w:t>
      </w:r>
      <w:r w:rsidR="000E4F02" w:rsidRPr="006578E6">
        <w:rPr>
          <w:rFonts w:ascii="Times New Roman" w:eastAsiaTheme="minorHAnsi" w:hAnsi="Times New Roman"/>
          <w:color w:val="000000"/>
          <w:sz w:val="24"/>
          <w:szCs w:val="24"/>
        </w:rPr>
        <w:t>campaign</w:t>
      </w:r>
      <w:r w:rsidR="00057842" w:rsidRPr="006578E6">
        <w:rPr>
          <w:rFonts w:ascii="Times New Roman" w:eastAsiaTheme="minorHAnsi" w:hAnsi="Times New Roman"/>
          <w:color w:val="000000"/>
          <w:sz w:val="24"/>
          <w:szCs w:val="24"/>
        </w:rPr>
        <w:t>.</w:t>
      </w:r>
    </w:p>
    <w:p w14:paraId="31E67683" w14:textId="77777777" w:rsidR="00354A19" w:rsidRPr="006578E6" w:rsidRDefault="00354A19" w:rsidP="00FB0FA3">
      <w:pPr>
        <w:pStyle w:val="NoSpacing"/>
        <w:jc w:val="both"/>
        <w:rPr>
          <w:rFonts w:ascii="Times New Roman" w:hAnsi="Times New Roman" w:cs="Times New Roman"/>
          <w:color w:val="000000"/>
        </w:rPr>
      </w:pPr>
    </w:p>
    <w:p w14:paraId="3EBEA029" w14:textId="7968F6B6" w:rsidR="00057842" w:rsidRPr="006578E6" w:rsidRDefault="00057842" w:rsidP="00057842">
      <w:pPr>
        <w:spacing w:line="240" w:lineRule="auto"/>
        <w:ind w:left="360"/>
        <w:jc w:val="both"/>
        <w:rPr>
          <w:rFonts w:ascii="Times New Roman" w:eastAsiaTheme="minorHAnsi" w:hAnsi="Times New Roman"/>
          <w:color w:val="000000"/>
          <w:sz w:val="24"/>
          <w:szCs w:val="24"/>
        </w:rPr>
      </w:pPr>
      <w:r w:rsidRPr="006578E6">
        <w:rPr>
          <w:rFonts w:ascii="Times New Roman" w:eastAsiaTheme="minorHAnsi" w:hAnsi="Times New Roman"/>
          <w:color w:val="000000"/>
          <w:sz w:val="24"/>
          <w:szCs w:val="24"/>
        </w:rPr>
        <w:t xml:space="preserve">The campaign contractor </w:t>
      </w:r>
      <w:r w:rsidR="00AE76EB" w:rsidRPr="006578E6">
        <w:rPr>
          <w:rFonts w:ascii="Times New Roman" w:eastAsiaTheme="minorHAnsi" w:hAnsi="Times New Roman"/>
          <w:color w:val="000000"/>
          <w:sz w:val="24"/>
          <w:szCs w:val="24"/>
        </w:rPr>
        <w:t>Fors Marsh Group</w:t>
      </w:r>
      <w:r w:rsidRPr="006578E6">
        <w:rPr>
          <w:rFonts w:ascii="Times New Roman" w:eastAsiaTheme="minorHAnsi" w:hAnsi="Times New Roman"/>
          <w:color w:val="000000"/>
          <w:sz w:val="24"/>
          <w:szCs w:val="24"/>
        </w:rPr>
        <w:t xml:space="preserve"> has conducted rigorous internal review of the survey instruments. Tr</w:t>
      </w:r>
      <w:r w:rsidR="00A53F63">
        <w:rPr>
          <w:rFonts w:ascii="Times New Roman" w:eastAsiaTheme="minorHAnsi" w:hAnsi="Times New Roman"/>
          <w:color w:val="000000"/>
          <w:sz w:val="24"/>
          <w:szCs w:val="24"/>
        </w:rPr>
        <w:t>ained researchers reviewed the s</w:t>
      </w:r>
      <w:r w:rsidRPr="006578E6">
        <w:rPr>
          <w:rFonts w:ascii="Times New Roman" w:eastAsiaTheme="minorHAnsi" w:hAnsi="Times New Roman"/>
          <w:color w:val="000000"/>
          <w:sz w:val="24"/>
          <w:szCs w:val="24"/>
        </w:rPr>
        <w:t>creener,</w:t>
      </w:r>
      <w:r w:rsidR="00A53F63">
        <w:rPr>
          <w:rFonts w:ascii="Times New Roman" w:eastAsiaTheme="minorHAnsi" w:hAnsi="Times New Roman"/>
          <w:color w:val="000000"/>
          <w:sz w:val="24"/>
          <w:szCs w:val="24"/>
        </w:rPr>
        <w:t xml:space="preserve"> rating and ranking works</w:t>
      </w:r>
      <w:r w:rsidR="003D4523">
        <w:rPr>
          <w:rFonts w:ascii="Times New Roman" w:eastAsiaTheme="minorHAnsi" w:hAnsi="Times New Roman"/>
          <w:color w:val="000000"/>
          <w:sz w:val="24"/>
          <w:szCs w:val="24"/>
        </w:rPr>
        <w:t>heets</w:t>
      </w:r>
      <w:r w:rsidRPr="006578E6">
        <w:rPr>
          <w:rFonts w:ascii="Times New Roman" w:eastAsiaTheme="minorHAnsi" w:hAnsi="Times New Roman"/>
          <w:color w:val="000000"/>
          <w:sz w:val="24"/>
          <w:szCs w:val="24"/>
        </w:rPr>
        <w:t xml:space="preserve"> to verify that all questions are worded correctly. Researchers who will be involved in recruitment and data collection will be trained on administration of the instruments to ensure efficiencies in data collection. Moderators will be provided training on the content of the creative concepts and moderator guide to ensure they are equipped to facilitate constructive discussions that address the goals of the research. </w:t>
      </w:r>
    </w:p>
    <w:p w14:paraId="3D8DA395" w14:textId="2B677F1D" w:rsidR="00B66FB7" w:rsidRPr="006578E6" w:rsidRDefault="00B66FB7">
      <w:pPr>
        <w:spacing w:line="240" w:lineRule="auto"/>
        <w:rPr>
          <w:rFonts w:ascii="Times New Roman" w:hAnsi="Times New Roman"/>
          <w:b/>
          <w:color w:val="000000"/>
          <w:sz w:val="24"/>
          <w:szCs w:val="24"/>
        </w:rPr>
      </w:pPr>
    </w:p>
    <w:p w14:paraId="7F8DBDB1" w14:textId="374E25F8" w:rsidR="00C473B6" w:rsidRDefault="00DA3396" w:rsidP="005175E9">
      <w:pPr>
        <w:spacing w:line="240" w:lineRule="auto"/>
        <w:rPr>
          <w:rFonts w:ascii="Times New Roman" w:eastAsia="Times New Roman" w:hAnsi="Times New Roman"/>
          <w:b/>
          <w:sz w:val="24"/>
          <w:szCs w:val="24"/>
        </w:rPr>
      </w:pPr>
      <w:r>
        <w:rPr>
          <w:rFonts w:ascii="Times New Roman" w:hAnsi="Times New Roman"/>
          <w:b/>
          <w:color w:val="000000"/>
          <w:sz w:val="24"/>
          <w:szCs w:val="24"/>
        </w:rPr>
        <w:br w:type="page"/>
      </w:r>
      <w:r w:rsidR="00957513" w:rsidRPr="006578E6">
        <w:rPr>
          <w:rFonts w:ascii="Times New Roman" w:hAnsi="Times New Roman"/>
          <w:b/>
          <w:color w:val="000000"/>
          <w:sz w:val="24"/>
          <w:szCs w:val="24"/>
        </w:rPr>
        <w:t xml:space="preserve">BURDEN HOUR COMPUTATION </w:t>
      </w:r>
      <w:r w:rsidR="004B7454" w:rsidRPr="00C473B6">
        <w:rPr>
          <w:rFonts w:ascii="Times New Roman" w:hAnsi="Times New Roman"/>
          <w:i/>
          <w:color w:val="000000"/>
          <w:sz w:val="20"/>
          <w:szCs w:val="24"/>
        </w:rPr>
        <w:t>Number of respondents</w:t>
      </w:r>
      <w:r w:rsidR="00957513" w:rsidRPr="00C473B6">
        <w:rPr>
          <w:rFonts w:ascii="Times New Roman" w:hAnsi="Times New Roman"/>
          <w:i/>
          <w:color w:val="000000"/>
          <w:sz w:val="20"/>
          <w:szCs w:val="24"/>
        </w:rPr>
        <w:t xml:space="preserve"> (X) estimated response or participation time in min</w:t>
      </w:r>
      <w:r w:rsidR="002B6165" w:rsidRPr="00C473B6">
        <w:rPr>
          <w:rFonts w:ascii="Times New Roman" w:hAnsi="Times New Roman"/>
          <w:i/>
          <w:color w:val="000000"/>
          <w:sz w:val="20"/>
          <w:szCs w:val="24"/>
        </w:rPr>
        <w:t>utes (/60) = annual burden hours</w:t>
      </w:r>
      <w:r w:rsidR="00957513" w:rsidRPr="00C473B6">
        <w:rPr>
          <w:rFonts w:ascii="Times New Roman" w:hAnsi="Times New Roman"/>
          <w:i/>
          <w:color w:val="000000"/>
          <w:sz w:val="20"/>
          <w:szCs w:val="24"/>
        </w:rPr>
        <w:t>:</w:t>
      </w:r>
    </w:p>
    <w:p w14:paraId="67C55BBE" w14:textId="77777777" w:rsidR="005175E9" w:rsidRDefault="005175E9" w:rsidP="0007726C">
      <w:pPr>
        <w:spacing w:line="240" w:lineRule="auto"/>
        <w:rPr>
          <w:rFonts w:ascii="Times New Roman" w:eastAsia="Times New Roman" w:hAnsi="Times New Roman"/>
          <w:sz w:val="24"/>
          <w:szCs w:val="24"/>
        </w:rPr>
      </w:pPr>
    </w:p>
    <w:p w14:paraId="1E7C38F7" w14:textId="5B9722EA" w:rsidR="0007726C" w:rsidRDefault="0007726C" w:rsidP="0007726C">
      <w:pPr>
        <w:spacing w:line="240" w:lineRule="auto"/>
        <w:rPr>
          <w:rFonts w:ascii="Times New Roman" w:eastAsia="Times New Roman" w:hAnsi="Times New Roman"/>
          <w:sz w:val="24"/>
          <w:szCs w:val="24"/>
        </w:rPr>
      </w:pPr>
      <w:r w:rsidRPr="0007726C">
        <w:rPr>
          <w:rFonts w:ascii="Times New Roman" w:eastAsia="Times New Roman" w:hAnsi="Times New Roman"/>
          <w:sz w:val="24"/>
          <w:szCs w:val="24"/>
        </w:rPr>
        <w:t xml:space="preserve">An estimated one-time reporting burden for this collection will be approximately </w:t>
      </w:r>
      <w:r w:rsidR="00DC596D">
        <w:rPr>
          <w:rFonts w:ascii="Times New Roman" w:eastAsia="Times New Roman" w:hAnsi="Times New Roman"/>
          <w:sz w:val="24"/>
          <w:szCs w:val="24"/>
        </w:rPr>
        <w:t>276</w:t>
      </w:r>
      <w:r w:rsidRPr="0007726C">
        <w:rPr>
          <w:rFonts w:ascii="Times New Roman" w:eastAsia="Times New Roman" w:hAnsi="Times New Roman"/>
          <w:sz w:val="24"/>
          <w:szCs w:val="24"/>
        </w:rPr>
        <w:t xml:space="preserve"> hours (</w:t>
      </w:r>
      <w:r>
        <w:rPr>
          <w:rFonts w:ascii="Times New Roman" w:eastAsia="Times New Roman" w:hAnsi="Times New Roman"/>
          <w:sz w:val="24"/>
          <w:szCs w:val="24"/>
        </w:rPr>
        <w:t>referenced in below table</w:t>
      </w:r>
      <w:r w:rsidRPr="0007726C">
        <w:rPr>
          <w:rFonts w:ascii="Times New Roman" w:eastAsia="Times New Roman" w:hAnsi="Times New Roman"/>
          <w:sz w:val="24"/>
          <w:szCs w:val="24"/>
        </w:rPr>
        <w:t xml:space="preserve">). This includes the time burden associated with the screener, </w:t>
      </w:r>
      <w:r>
        <w:rPr>
          <w:rFonts w:ascii="Times New Roman" w:eastAsia="Times New Roman" w:hAnsi="Times New Roman"/>
          <w:sz w:val="24"/>
          <w:szCs w:val="24"/>
        </w:rPr>
        <w:t>assent/</w:t>
      </w:r>
      <w:r w:rsidR="0044566A">
        <w:rPr>
          <w:rFonts w:ascii="Times New Roman" w:eastAsia="Times New Roman" w:hAnsi="Times New Roman"/>
          <w:sz w:val="24"/>
          <w:szCs w:val="24"/>
        </w:rPr>
        <w:t>permission</w:t>
      </w:r>
      <w:r w:rsidRPr="0007726C">
        <w:rPr>
          <w:rFonts w:ascii="Times New Roman" w:eastAsia="Times New Roman" w:hAnsi="Times New Roman"/>
          <w:sz w:val="24"/>
          <w:szCs w:val="24"/>
        </w:rPr>
        <w:t xml:space="preserve"> form</w:t>
      </w:r>
      <w:r>
        <w:rPr>
          <w:rFonts w:ascii="Times New Roman" w:eastAsia="Times New Roman" w:hAnsi="Times New Roman"/>
          <w:sz w:val="24"/>
          <w:szCs w:val="24"/>
        </w:rPr>
        <w:t>s</w:t>
      </w:r>
      <w:r w:rsidR="00DC596D">
        <w:rPr>
          <w:rFonts w:ascii="Times New Roman" w:eastAsia="Times New Roman" w:hAnsi="Times New Roman"/>
          <w:sz w:val="24"/>
          <w:szCs w:val="24"/>
        </w:rPr>
        <w:t xml:space="preserve"> </w:t>
      </w:r>
      <w:r>
        <w:rPr>
          <w:rFonts w:ascii="Times New Roman" w:eastAsia="Times New Roman" w:hAnsi="Times New Roman"/>
          <w:sz w:val="24"/>
          <w:szCs w:val="24"/>
        </w:rPr>
        <w:t>and the focus group</w:t>
      </w:r>
      <w:r w:rsidRPr="0007726C">
        <w:rPr>
          <w:rFonts w:ascii="Times New Roman" w:eastAsia="Times New Roman" w:hAnsi="Times New Roman"/>
          <w:sz w:val="24"/>
          <w:szCs w:val="24"/>
        </w:rPr>
        <w:t>. Based on previous experience, it is estimated that the screener and</w:t>
      </w:r>
      <w:r w:rsidR="0044566A">
        <w:rPr>
          <w:rFonts w:ascii="Times New Roman" w:eastAsia="Times New Roman" w:hAnsi="Times New Roman"/>
          <w:sz w:val="24"/>
          <w:szCs w:val="24"/>
        </w:rPr>
        <w:t xml:space="preserve"> assent/permission</w:t>
      </w:r>
      <w:r w:rsidRPr="0007726C">
        <w:rPr>
          <w:rFonts w:ascii="Times New Roman" w:eastAsia="Times New Roman" w:hAnsi="Times New Roman"/>
          <w:sz w:val="24"/>
          <w:szCs w:val="24"/>
        </w:rPr>
        <w:t xml:space="preserve"> form completion will take approximately 5 minutes.</w:t>
      </w:r>
      <w:r>
        <w:rPr>
          <w:rFonts w:ascii="Times New Roman" w:eastAsia="Times New Roman" w:hAnsi="Times New Roman"/>
          <w:sz w:val="24"/>
          <w:szCs w:val="24"/>
        </w:rPr>
        <w:t xml:space="preserve"> Focus group</w:t>
      </w:r>
      <w:r w:rsidRPr="0007726C">
        <w:rPr>
          <w:rFonts w:ascii="Times New Roman" w:eastAsia="Times New Roman" w:hAnsi="Times New Roman"/>
          <w:sz w:val="24"/>
          <w:szCs w:val="24"/>
        </w:rPr>
        <w:t xml:space="preserve"> completion w</w:t>
      </w:r>
      <w:r>
        <w:rPr>
          <w:rFonts w:ascii="Times New Roman" w:eastAsia="Times New Roman" w:hAnsi="Times New Roman"/>
          <w:sz w:val="24"/>
          <w:szCs w:val="24"/>
        </w:rPr>
        <w:t>ill take up to 9</w:t>
      </w:r>
      <w:r w:rsidRPr="0007726C">
        <w:rPr>
          <w:rFonts w:ascii="Times New Roman" w:eastAsia="Times New Roman" w:hAnsi="Times New Roman"/>
          <w:sz w:val="24"/>
          <w:szCs w:val="24"/>
        </w:rPr>
        <w:t xml:space="preserve">0 minutes. </w:t>
      </w:r>
    </w:p>
    <w:p w14:paraId="1941DFA1" w14:textId="77777777" w:rsidR="0007726C" w:rsidRPr="0007726C" w:rsidRDefault="0007726C" w:rsidP="0007726C">
      <w:pPr>
        <w:spacing w:line="240" w:lineRule="auto"/>
        <w:rPr>
          <w:rFonts w:ascii="Times New Roman" w:eastAsia="Times New Roman" w:hAnsi="Times New Roman"/>
          <w:sz w:val="24"/>
          <w:szCs w:val="24"/>
        </w:rPr>
      </w:pPr>
    </w:p>
    <w:p w14:paraId="0B6F72B1" w14:textId="7FF707AC" w:rsidR="00DA3396" w:rsidRPr="0007726C" w:rsidRDefault="0007726C" w:rsidP="0007726C">
      <w:pPr>
        <w:spacing w:line="240" w:lineRule="auto"/>
        <w:rPr>
          <w:rFonts w:ascii="Times New Roman" w:eastAsia="Times New Roman" w:hAnsi="Times New Roman"/>
          <w:sz w:val="24"/>
          <w:szCs w:val="24"/>
        </w:rPr>
      </w:pPr>
      <w:r>
        <w:rPr>
          <w:rFonts w:ascii="Times New Roman" w:eastAsia="Times New Roman" w:hAnsi="Times New Roman"/>
          <w:sz w:val="24"/>
          <w:szCs w:val="24"/>
        </w:rPr>
        <w:t>To obtain a final sample of 1</w:t>
      </w:r>
      <w:r w:rsidRPr="0007726C">
        <w:rPr>
          <w:rFonts w:ascii="Times New Roman" w:eastAsia="Times New Roman" w:hAnsi="Times New Roman"/>
          <w:sz w:val="24"/>
          <w:szCs w:val="24"/>
        </w:rPr>
        <w:t>44 participants, it is es</w:t>
      </w:r>
      <w:r>
        <w:rPr>
          <w:rFonts w:ascii="Times New Roman" w:eastAsia="Times New Roman" w:hAnsi="Times New Roman"/>
          <w:sz w:val="24"/>
          <w:szCs w:val="24"/>
        </w:rPr>
        <w:t>timated that approximately 432</w:t>
      </w:r>
      <w:r w:rsidRPr="0007726C">
        <w:rPr>
          <w:rFonts w:ascii="Times New Roman" w:eastAsia="Times New Roman" w:hAnsi="Times New Roman"/>
          <w:sz w:val="24"/>
          <w:szCs w:val="24"/>
        </w:rPr>
        <w:t xml:space="preserve"> potential respondents (three times the number of participants enrolled) will need to be screened. This number is based on previous rounds of data collection and Survey Sampling International (SSI) estimates based on prior studies and experience.</w:t>
      </w:r>
    </w:p>
    <w:p w14:paraId="081B3AD6" w14:textId="77777777" w:rsidR="00DB5691" w:rsidRPr="006578E6" w:rsidRDefault="00DB5691" w:rsidP="00057842">
      <w:pPr>
        <w:spacing w:line="240" w:lineRule="auto"/>
        <w:rPr>
          <w:rFonts w:ascii="Times New Roman" w:eastAsia="Times New Roman" w:hAnsi="Times New Roman"/>
          <w:b/>
          <w:sz w:val="24"/>
          <w:szCs w:val="24"/>
        </w:rPr>
      </w:pPr>
    </w:p>
    <w:p w14:paraId="00C83B6A" w14:textId="78AB4505" w:rsidR="00057842" w:rsidRPr="006578E6" w:rsidRDefault="00057842" w:rsidP="00C473B6">
      <w:pPr>
        <w:spacing w:line="240" w:lineRule="auto"/>
        <w:rPr>
          <w:rFonts w:ascii="Times New Roman" w:eastAsia="Times New Roman" w:hAnsi="Times New Roman"/>
          <w:b/>
          <w:sz w:val="24"/>
          <w:szCs w:val="24"/>
        </w:rPr>
      </w:pPr>
      <w:r w:rsidRPr="006578E6">
        <w:rPr>
          <w:rFonts w:ascii="Times New Roman" w:eastAsia="Times New Roman" w:hAnsi="Times New Roman"/>
          <w:b/>
          <w:sz w:val="24"/>
          <w:szCs w:val="24"/>
        </w:rPr>
        <w:t>Estimated Annual Reporting Burden</w:t>
      </w:r>
      <w:r w:rsidR="00DA3396" w:rsidRPr="00DA3396">
        <w:rPr>
          <w:rFonts w:ascii="Times New Roman" w:eastAsia="Times New Roman" w:hAnsi="Times New Roman"/>
          <w:b/>
          <w:sz w:val="24"/>
          <w:szCs w:val="24"/>
          <w:vertAlign w:val="superscript"/>
        </w:rPr>
        <w:t>1</w:t>
      </w:r>
    </w:p>
    <w:p w14:paraId="1C9C0AD5" w14:textId="77777777" w:rsidR="00057842" w:rsidRPr="006578E6" w:rsidRDefault="00057842" w:rsidP="00057842">
      <w:pPr>
        <w:spacing w:line="240" w:lineRule="auto"/>
        <w:ind w:left="720"/>
        <w:rPr>
          <w:rFonts w:ascii="Times New Roman" w:eastAsia="Times New Roman" w:hAnsi="Times New Roman"/>
          <w:sz w:val="24"/>
          <w:szCs w:val="24"/>
        </w:rPr>
      </w:pPr>
    </w:p>
    <w:tbl>
      <w:tblPr>
        <w:tblStyle w:val="TableGrid1"/>
        <w:tblW w:w="0" w:type="auto"/>
        <w:tblLook w:val="00A0" w:firstRow="1" w:lastRow="0" w:firstColumn="1" w:lastColumn="0" w:noHBand="0" w:noVBand="0"/>
      </w:tblPr>
      <w:tblGrid>
        <w:gridCol w:w="1526"/>
        <w:gridCol w:w="1669"/>
        <w:gridCol w:w="1445"/>
        <w:gridCol w:w="1548"/>
        <w:gridCol w:w="1166"/>
        <w:gridCol w:w="1400"/>
        <w:gridCol w:w="822"/>
      </w:tblGrid>
      <w:tr w:rsidR="00392980" w:rsidRPr="006578E6" w14:paraId="0C8A2E89" w14:textId="77777777" w:rsidTr="00E5288E">
        <w:tc>
          <w:tcPr>
            <w:tcW w:w="0" w:type="auto"/>
            <w:shd w:val="clear" w:color="auto" w:fill="BFBFBF" w:themeFill="background1" w:themeFillShade="BF"/>
          </w:tcPr>
          <w:p w14:paraId="29583F22" w14:textId="27F686EC" w:rsidR="00057842" w:rsidRPr="00E5288E" w:rsidRDefault="00057842" w:rsidP="00057842">
            <w:pPr>
              <w:spacing w:line="240" w:lineRule="auto"/>
              <w:jc w:val="center"/>
              <w:rPr>
                <w:b/>
                <w:sz w:val="20"/>
                <w:szCs w:val="24"/>
              </w:rPr>
            </w:pPr>
            <w:r w:rsidRPr="00E5288E">
              <w:rPr>
                <w:b/>
                <w:sz w:val="20"/>
                <w:szCs w:val="24"/>
              </w:rPr>
              <w:t>Type of Respondent</w:t>
            </w:r>
          </w:p>
        </w:tc>
        <w:tc>
          <w:tcPr>
            <w:tcW w:w="0" w:type="auto"/>
            <w:shd w:val="clear" w:color="auto" w:fill="BFBFBF" w:themeFill="background1" w:themeFillShade="BF"/>
          </w:tcPr>
          <w:p w14:paraId="397AD1B5" w14:textId="5D768C70" w:rsidR="00057842" w:rsidRPr="00E5288E" w:rsidRDefault="00057842" w:rsidP="00057842">
            <w:pPr>
              <w:spacing w:line="240" w:lineRule="auto"/>
              <w:jc w:val="center"/>
              <w:rPr>
                <w:b/>
                <w:sz w:val="20"/>
                <w:szCs w:val="24"/>
              </w:rPr>
            </w:pPr>
            <w:r w:rsidRPr="00E5288E">
              <w:rPr>
                <w:b/>
                <w:sz w:val="20"/>
                <w:szCs w:val="24"/>
              </w:rPr>
              <w:t>Activity</w:t>
            </w:r>
          </w:p>
        </w:tc>
        <w:tc>
          <w:tcPr>
            <w:tcW w:w="0" w:type="auto"/>
            <w:shd w:val="clear" w:color="auto" w:fill="BFBFBF" w:themeFill="background1" w:themeFillShade="BF"/>
          </w:tcPr>
          <w:p w14:paraId="37CBE07D" w14:textId="3D03FFBB" w:rsidR="00057842" w:rsidRPr="00E5288E" w:rsidRDefault="00057842" w:rsidP="00057842">
            <w:pPr>
              <w:spacing w:line="240" w:lineRule="auto"/>
              <w:jc w:val="center"/>
              <w:rPr>
                <w:b/>
                <w:sz w:val="20"/>
                <w:szCs w:val="24"/>
              </w:rPr>
            </w:pPr>
            <w:r w:rsidRPr="00E5288E">
              <w:rPr>
                <w:b/>
                <w:sz w:val="20"/>
                <w:szCs w:val="24"/>
              </w:rPr>
              <w:t>Number of Respondents</w:t>
            </w:r>
          </w:p>
        </w:tc>
        <w:tc>
          <w:tcPr>
            <w:tcW w:w="0" w:type="auto"/>
            <w:shd w:val="clear" w:color="auto" w:fill="BFBFBF" w:themeFill="background1" w:themeFillShade="BF"/>
          </w:tcPr>
          <w:p w14:paraId="236FE178" w14:textId="479F1561" w:rsidR="00057842" w:rsidRPr="00E5288E" w:rsidRDefault="00057842" w:rsidP="00057842">
            <w:pPr>
              <w:spacing w:line="240" w:lineRule="auto"/>
              <w:jc w:val="center"/>
              <w:rPr>
                <w:b/>
                <w:sz w:val="20"/>
                <w:szCs w:val="24"/>
              </w:rPr>
            </w:pPr>
            <w:r w:rsidRPr="00E5288E">
              <w:rPr>
                <w:b/>
                <w:sz w:val="20"/>
                <w:szCs w:val="24"/>
              </w:rPr>
              <w:t>Number of Responses per Respondent</w:t>
            </w:r>
          </w:p>
        </w:tc>
        <w:tc>
          <w:tcPr>
            <w:tcW w:w="0" w:type="auto"/>
            <w:shd w:val="clear" w:color="auto" w:fill="BFBFBF" w:themeFill="background1" w:themeFillShade="BF"/>
          </w:tcPr>
          <w:p w14:paraId="16298C11" w14:textId="78FE1CAD" w:rsidR="00057842" w:rsidRPr="00E5288E" w:rsidRDefault="00057842" w:rsidP="00057842">
            <w:pPr>
              <w:spacing w:line="240" w:lineRule="auto"/>
              <w:jc w:val="center"/>
              <w:rPr>
                <w:b/>
                <w:sz w:val="20"/>
                <w:szCs w:val="24"/>
              </w:rPr>
            </w:pPr>
            <w:r w:rsidRPr="00E5288E">
              <w:rPr>
                <w:b/>
                <w:sz w:val="20"/>
                <w:szCs w:val="24"/>
              </w:rPr>
              <w:t>Total Responses</w:t>
            </w:r>
          </w:p>
        </w:tc>
        <w:tc>
          <w:tcPr>
            <w:tcW w:w="0" w:type="auto"/>
            <w:shd w:val="clear" w:color="auto" w:fill="BFBFBF" w:themeFill="background1" w:themeFillShade="BF"/>
          </w:tcPr>
          <w:p w14:paraId="52EF28FD" w14:textId="60640AC5" w:rsidR="00057842" w:rsidRPr="00E5288E" w:rsidRDefault="00057842" w:rsidP="00057842">
            <w:pPr>
              <w:spacing w:line="240" w:lineRule="auto"/>
              <w:jc w:val="center"/>
              <w:rPr>
                <w:b/>
                <w:sz w:val="20"/>
                <w:szCs w:val="24"/>
              </w:rPr>
            </w:pPr>
            <w:r w:rsidRPr="00E5288E">
              <w:rPr>
                <w:b/>
                <w:sz w:val="20"/>
                <w:szCs w:val="24"/>
              </w:rPr>
              <w:t>Average Burden per Response (in hours)</w:t>
            </w:r>
          </w:p>
        </w:tc>
        <w:tc>
          <w:tcPr>
            <w:tcW w:w="0" w:type="auto"/>
            <w:shd w:val="clear" w:color="auto" w:fill="BFBFBF" w:themeFill="background1" w:themeFillShade="BF"/>
          </w:tcPr>
          <w:p w14:paraId="3C045052" w14:textId="455B7353" w:rsidR="00057842" w:rsidRPr="00E5288E" w:rsidRDefault="00057842" w:rsidP="00057842">
            <w:pPr>
              <w:spacing w:line="240" w:lineRule="auto"/>
              <w:jc w:val="center"/>
              <w:rPr>
                <w:b/>
                <w:sz w:val="20"/>
                <w:szCs w:val="24"/>
              </w:rPr>
            </w:pPr>
            <w:r w:rsidRPr="00E5288E">
              <w:rPr>
                <w:b/>
                <w:sz w:val="20"/>
                <w:szCs w:val="24"/>
              </w:rPr>
              <w:t>Total Hours</w:t>
            </w:r>
          </w:p>
        </w:tc>
      </w:tr>
      <w:tr w:rsidR="00057842" w:rsidRPr="006578E6" w14:paraId="65D10A6D" w14:textId="77777777" w:rsidTr="00E5288E">
        <w:tc>
          <w:tcPr>
            <w:tcW w:w="0" w:type="auto"/>
            <w:vAlign w:val="center"/>
          </w:tcPr>
          <w:p w14:paraId="2C2801F5" w14:textId="77777777" w:rsidR="00057842" w:rsidRPr="006578E6" w:rsidRDefault="00057842" w:rsidP="00057842">
            <w:pPr>
              <w:spacing w:line="240" w:lineRule="auto"/>
              <w:rPr>
                <w:sz w:val="24"/>
                <w:szCs w:val="24"/>
              </w:rPr>
            </w:pPr>
            <w:r w:rsidRPr="006578E6">
              <w:rPr>
                <w:sz w:val="24"/>
                <w:szCs w:val="24"/>
              </w:rPr>
              <w:t>Screened Youth</w:t>
            </w:r>
          </w:p>
        </w:tc>
        <w:tc>
          <w:tcPr>
            <w:tcW w:w="0" w:type="auto"/>
            <w:vAlign w:val="center"/>
          </w:tcPr>
          <w:p w14:paraId="15DFD2B9" w14:textId="77777777" w:rsidR="00057842" w:rsidRPr="006578E6" w:rsidRDefault="00057842" w:rsidP="00057842">
            <w:pPr>
              <w:spacing w:line="240" w:lineRule="auto"/>
              <w:rPr>
                <w:sz w:val="24"/>
                <w:szCs w:val="24"/>
              </w:rPr>
            </w:pPr>
            <w:r w:rsidRPr="006578E6">
              <w:rPr>
                <w:sz w:val="24"/>
                <w:szCs w:val="24"/>
              </w:rPr>
              <w:t>Screener completion</w:t>
            </w:r>
          </w:p>
        </w:tc>
        <w:tc>
          <w:tcPr>
            <w:tcW w:w="0" w:type="auto"/>
            <w:vAlign w:val="center"/>
          </w:tcPr>
          <w:p w14:paraId="46A3B7F5" w14:textId="375E78BC" w:rsidR="00057842" w:rsidRPr="006578E6" w:rsidRDefault="00A53F63" w:rsidP="00057842">
            <w:pPr>
              <w:spacing w:line="240" w:lineRule="auto"/>
              <w:jc w:val="center"/>
              <w:rPr>
                <w:sz w:val="24"/>
                <w:szCs w:val="24"/>
              </w:rPr>
            </w:pPr>
            <w:r>
              <w:rPr>
                <w:sz w:val="24"/>
                <w:szCs w:val="24"/>
              </w:rPr>
              <w:t>432</w:t>
            </w:r>
          </w:p>
        </w:tc>
        <w:tc>
          <w:tcPr>
            <w:tcW w:w="0" w:type="auto"/>
            <w:vAlign w:val="center"/>
          </w:tcPr>
          <w:p w14:paraId="11D5070D" w14:textId="1DD5FF66" w:rsidR="00057842" w:rsidRPr="006578E6" w:rsidRDefault="005C616A" w:rsidP="00057842">
            <w:pPr>
              <w:spacing w:line="240" w:lineRule="auto"/>
              <w:jc w:val="center"/>
              <w:rPr>
                <w:sz w:val="24"/>
                <w:szCs w:val="24"/>
              </w:rPr>
            </w:pPr>
            <w:r w:rsidRPr="006578E6">
              <w:rPr>
                <w:sz w:val="24"/>
                <w:szCs w:val="24"/>
              </w:rPr>
              <w:t>1</w:t>
            </w:r>
          </w:p>
        </w:tc>
        <w:tc>
          <w:tcPr>
            <w:tcW w:w="0" w:type="auto"/>
            <w:vAlign w:val="center"/>
          </w:tcPr>
          <w:p w14:paraId="347C376B" w14:textId="568D3B50" w:rsidR="00057842" w:rsidRPr="006578E6" w:rsidRDefault="00DC596D" w:rsidP="00057842">
            <w:pPr>
              <w:spacing w:line="240" w:lineRule="auto"/>
              <w:jc w:val="center"/>
              <w:rPr>
                <w:sz w:val="24"/>
                <w:szCs w:val="24"/>
              </w:rPr>
            </w:pPr>
            <w:r>
              <w:rPr>
                <w:sz w:val="24"/>
                <w:szCs w:val="24"/>
              </w:rPr>
              <w:t>432</w:t>
            </w:r>
          </w:p>
        </w:tc>
        <w:tc>
          <w:tcPr>
            <w:tcW w:w="0" w:type="auto"/>
            <w:vAlign w:val="center"/>
          </w:tcPr>
          <w:p w14:paraId="1C66D878" w14:textId="4ACDA67E" w:rsidR="00057842" w:rsidRPr="006578E6" w:rsidRDefault="00F94559" w:rsidP="00057842">
            <w:pPr>
              <w:spacing w:line="240" w:lineRule="auto"/>
              <w:jc w:val="center"/>
              <w:rPr>
                <w:sz w:val="24"/>
                <w:szCs w:val="24"/>
              </w:rPr>
            </w:pPr>
            <w:r>
              <w:rPr>
                <w:sz w:val="24"/>
                <w:szCs w:val="24"/>
              </w:rPr>
              <w:t>0.08</w:t>
            </w:r>
            <w:r w:rsidR="00A53F63">
              <w:rPr>
                <w:sz w:val="24"/>
                <w:szCs w:val="24"/>
              </w:rPr>
              <w:t>3</w:t>
            </w:r>
          </w:p>
        </w:tc>
        <w:tc>
          <w:tcPr>
            <w:tcW w:w="0" w:type="auto"/>
            <w:vAlign w:val="center"/>
          </w:tcPr>
          <w:p w14:paraId="308B29D8" w14:textId="3E4A8CE7" w:rsidR="00057842" w:rsidRPr="006578E6" w:rsidRDefault="00A53F63" w:rsidP="008B5951">
            <w:pPr>
              <w:spacing w:line="240" w:lineRule="auto"/>
              <w:jc w:val="center"/>
              <w:rPr>
                <w:sz w:val="24"/>
                <w:szCs w:val="24"/>
              </w:rPr>
            </w:pPr>
            <w:r>
              <w:rPr>
                <w:sz w:val="24"/>
                <w:szCs w:val="24"/>
              </w:rPr>
              <w:t>36</w:t>
            </w:r>
          </w:p>
        </w:tc>
      </w:tr>
      <w:tr w:rsidR="00057842" w:rsidRPr="006578E6" w14:paraId="2D4DA60E" w14:textId="77777777" w:rsidTr="00E5288E">
        <w:trPr>
          <w:trHeight w:val="350"/>
        </w:trPr>
        <w:tc>
          <w:tcPr>
            <w:tcW w:w="0" w:type="auto"/>
            <w:vAlign w:val="center"/>
          </w:tcPr>
          <w:p w14:paraId="1F89D1F7" w14:textId="77777777" w:rsidR="00057842" w:rsidRPr="006578E6" w:rsidRDefault="00057842" w:rsidP="00057842">
            <w:pPr>
              <w:spacing w:line="240" w:lineRule="auto"/>
              <w:rPr>
                <w:sz w:val="24"/>
                <w:szCs w:val="24"/>
              </w:rPr>
            </w:pPr>
            <w:r w:rsidRPr="006578E6">
              <w:rPr>
                <w:sz w:val="24"/>
                <w:szCs w:val="24"/>
              </w:rPr>
              <w:t>Parents of Invited Youth</w:t>
            </w:r>
          </w:p>
        </w:tc>
        <w:tc>
          <w:tcPr>
            <w:tcW w:w="0" w:type="auto"/>
            <w:vAlign w:val="center"/>
          </w:tcPr>
          <w:p w14:paraId="0548A675" w14:textId="53C544B1" w:rsidR="00057842" w:rsidRPr="006578E6" w:rsidRDefault="00057842" w:rsidP="00057842">
            <w:pPr>
              <w:spacing w:line="240" w:lineRule="auto"/>
              <w:rPr>
                <w:sz w:val="24"/>
                <w:szCs w:val="24"/>
              </w:rPr>
            </w:pPr>
            <w:r w:rsidRPr="006578E6">
              <w:rPr>
                <w:sz w:val="24"/>
                <w:szCs w:val="24"/>
              </w:rPr>
              <w:t xml:space="preserve">Parental </w:t>
            </w:r>
            <w:r w:rsidR="0044566A">
              <w:rPr>
                <w:sz w:val="24"/>
                <w:szCs w:val="24"/>
              </w:rPr>
              <w:t>permission</w:t>
            </w:r>
            <w:r w:rsidRPr="006578E6">
              <w:rPr>
                <w:sz w:val="24"/>
                <w:szCs w:val="24"/>
              </w:rPr>
              <w:t xml:space="preserve"> or opt-out process</w:t>
            </w:r>
          </w:p>
        </w:tc>
        <w:tc>
          <w:tcPr>
            <w:tcW w:w="0" w:type="auto"/>
            <w:vAlign w:val="center"/>
          </w:tcPr>
          <w:p w14:paraId="4F26930C" w14:textId="6EDB9DE3" w:rsidR="00057842" w:rsidRPr="006578E6" w:rsidRDefault="007D52A7" w:rsidP="00057842">
            <w:pPr>
              <w:spacing w:line="240" w:lineRule="auto"/>
              <w:jc w:val="center"/>
              <w:rPr>
                <w:sz w:val="24"/>
                <w:szCs w:val="24"/>
              </w:rPr>
            </w:pPr>
            <w:r w:rsidRPr="006578E6">
              <w:rPr>
                <w:sz w:val="24"/>
                <w:szCs w:val="24"/>
              </w:rPr>
              <w:t>144</w:t>
            </w:r>
          </w:p>
        </w:tc>
        <w:tc>
          <w:tcPr>
            <w:tcW w:w="0" w:type="auto"/>
            <w:vAlign w:val="center"/>
          </w:tcPr>
          <w:p w14:paraId="15E40436" w14:textId="35B3BB7B" w:rsidR="00057842" w:rsidRPr="006578E6" w:rsidRDefault="005C616A" w:rsidP="00057842">
            <w:pPr>
              <w:spacing w:line="240" w:lineRule="auto"/>
              <w:jc w:val="center"/>
              <w:rPr>
                <w:sz w:val="24"/>
                <w:szCs w:val="24"/>
              </w:rPr>
            </w:pPr>
            <w:r w:rsidRPr="006578E6">
              <w:rPr>
                <w:sz w:val="24"/>
                <w:szCs w:val="24"/>
              </w:rPr>
              <w:t>1</w:t>
            </w:r>
          </w:p>
        </w:tc>
        <w:tc>
          <w:tcPr>
            <w:tcW w:w="0" w:type="auto"/>
            <w:vAlign w:val="center"/>
          </w:tcPr>
          <w:p w14:paraId="67823EB7" w14:textId="44D6FA21" w:rsidR="00057842" w:rsidRPr="006578E6" w:rsidRDefault="007D52A7" w:rsidP="00057842">
            <w:pPr>
              <w:spacing w:line="240" w:lineRule="auto"/>
              <w:jc w:val="center"/>
              <w:rPr>
                <w:sz w:val="24"/>
                <w:szCs w:val="24"/>
              </w:rPr>
            </w:pPr>
            <w:r w:rsidRPr="006578E6">
              <w:rPr>
                <w:sz w:val="24"/>
                <w:szCs w:val="24"/>
              </w:rPr>
              <w:t>144</w:t>
            </w:r>
          </w:p>
        </w:tc>
        <w:tc>
          <w:tcPr>
            <w:tcW w:w="0" w:type="auto"/>
            <w:vAlign w:val="center"/>
          </w:tcPr>
          <w:p w14:paraId="0AACEE0A" w14:textId="4E790BB6" w:rsidR="00057842" w:rsidRPr="006578E6" w:rsidRDefault="00F94559" w:rsidP="00057842">
            <w:pPr>
              <w:spacing w:line="240" w:lineRule="auto"/>
              <w:jc w:val="center"/>
              <w:rPr>
                <w:sz w:val="24"/>
                <w:szCs w:val="24"/>
              </w:rPr>
            </w:pPr>
            <w:r>
              <w:rPr>
                <w:sz w:val="24"/>
                <w:szCs w:val="24"/>
              </w:rPr>
              <w:t>0.08</w:t>
            </w:r>
            <w:r w:rsidR="00A53F63">
              <w:rPr>
                <w:sz w:val="24"/>
                <w:szCs w:val="24"/>
              </w:rPr>
              <w:t>3</w:t>
            </w:r>
          </w:p>
        </w:tc>
        <w:tc>
          <w:tcPr>
            <w:tcW w:w="0" w:type="auto"/>
            <w:vAlign w:val="center"/>
          </w:tcPr>
          <w:p w14:paraId="2734BD44" w14:textId="1404E286" w:rsidR="00057842" w:rsidRPr="006578E6" w:rsidRDefault="007D52A7" w:rsidP="00E51322">
            <w:pPr>
              <w:spacing w:line="240" w:lineRule="auto"/>
              <w:jc w:val="center"/>
              <w:rPr>
                <w:sz w:val="24"/>
                <w:szCs w:val="24"/>
              </w:rPr>
            </w:pPr>
            <w:r w:rsidRPr="006578E6">
              <w:rPr>
                <w:sz w:val="24"/>
                <w:szCs w:val="24"/>
              </w:rPr>
              <w:t>12</w:t>
            </w:r>
          </w:p>
        </w:tc>
      </w:tr>
      <w:tr w:rsidR="00DC596D" w:rsidRPr="006578E6" w14:paraId="4B0B927E" w14:textId="77777777" w:rsidTr="00DC596D">
        <w:trPr>
          <w:trHeight w:val="456"/>
        </w:trPr>
        <w:tc>
          <w:tcPr>
            <w:tcW w:w="0" w:type="auto"/>
            <w:vMerge w:val="restart"/>
            <w:vAlign w:val="center"/>
          </w:tcPr>
          <w:p w14:paraId="4E44F459" w14:textId="34C58F8D" w:rsidR="00DC596D" w:rsidRPr="006578E6" w:rsidRDefault="00DC596D" w:rsidP="00E5288E">
            <w:pPr>
              <w:spacing w:line="240" w:lineRule="auto"/>
              <w:rPr>
                <w:sz w:val="24"/>
                <w:szCs w:val="24"/>
              </w:rPr>
            </w:pPr>
            <w:r w:rsidRPr="006578E6">
              <w:rPr>
                <w:sz w:val="24"/>
                <w:szCs w:val="24"/>
              </w:rPr>
              <w:t>Participants</w:t>
            </w:r>
          </w:p>
        </w:tc>
        <w:tc>
          <w:tcPr>
            <w:tcW w:w="0" w:type="auto"/>
            <w:vAlign w:val="center"/>
          </w:tcPr>
          <w:p w14:paraId="465EC88F" w14:textId="3C5C1EFC" w:rsidR="00DC596D" w:rsidRPr="006578E6" w:rsidRDefault="00DC596D" w:rsidP="00057842">
            <w:pPr>
              <w:spacing w:line="240" w:lineRule="auto"/>
              <w:rPr>
                <w:sz w:val="24"/>
                <w:szCs w:val="24"/>
              </w:rPr>
            </w:pPr>
            <w:r w:rsidRPr="006578E6">
              <w:rPr>
                <w:sz w:val="24"/>
                <w:szCs w:val="24"/>
              </w:rPr>
              <w:t>Youth Assent</w:t>
            </w:r>
          </w:p>
        </w:tc>
        <w:tc>
          <w:tcPr>
            <w:tcW w:w="0" w:type="auto"/>
            <w:vAlign w:val="center"/>
          </w:tcPr>
          <w:p w14:paraId="3D40E1B4" w14:textId="7C23E84C" w:rsidR="00DC596D" w:rsidRPr="006578E6" w:rsidRDefault="00DC596D" w:rsidP="00DC596D">
            <w:pPr>
              <w:spacing w:line="240" w:lineRule="auto"/>
              <w:jc w:val="center"/>
              <w:rPr>
                <w:sz w:val="24"/>
                <w:szCs w:val="24"/>
              </w:rPr>
            </w:pPr>
            <w:r w:rsidRPr="006578E6">
              <w:rPr>
                <w:sz w:val="24"/>
                <w:szCs w:val="24"/>
              </w:rPr>
              <w:t>144</w:t>
            </w:r>
          </w:p>
        </w:tc>
        <w:tc>
          <w:tcPr>
            <w:tcW w:w="0" w:type="auto"/>
            <w:vAlign w:val="center"/>
          </w:tcPr>
          <w:p w14:paraId="7D1F825D" w14:textId="67BC41CC" w:rsidR="00DC596D" w:rsidRPr="006578E6" w:rsidRDefault="00DC596D" w:rsidP="00DC596D">
            <w:pPr>
              <w:spacing w:line="240" w:lineRule="auto"/>
              <w:jc w:val="center"/>
              <w:rPr>
                <w:sz w:val="24"/>
                <w:szCs w:val="24"/>
              </w:rPr>
            </w:pPr>
            <w:r w:rsidRPr="006578E6">
              <w:rPr>
                <w:sz w:val="24"/>
                <w:szCs w:val="24"/>
              </w:rPr>
              <w:t>1</w:t>
            </w:r>
          </w:p>
        </w:tc>
        <w:tc>
          <w:tcPr>
            <w:tcW w:w="0" w:type="auto"/>
            <w:vAlign w:val="center"/>
          </w:tcPr>
          <w:p w14:paraId="3CD93108" w14:textId="4B3F69F5" w:rsidR="00DC596D" w:rsidRPr="006578E6" w:rsidRDefault="00DC596D" w:rsidP="00DC596D">
            <w:pPr>
              <w:spacing w:line="240" w:lineRule="auto"/>
              <w:jc w:val="center"/>
              <w:rPr>
                <w:sz w:val="24"/>
                <w:szCs w:val="24"/>
              </w:rPr>
            </w:pPr>
            <w:r w:rsidRPr="006578E6">
              <w:rPr>
                <w:sz w:val="24"/>
                <w:szCs w:val="24"/>
              </w:rPr>
              <w:t>144</w:t>
            </w:r>
          </w:p>
        </w:tc>
        <w:tc>
          <w:tcPr>
            <w:tcW w:w="0" w:type="auto"/>
            <w:vAlign w:val="center"/>
          </w:tcPr>
          <w:p w14:paraId="733AD47F" w14:textId="218038BE" w:rsidR="00DC596D" w:rsidRDefault="00DC596D" w:rsidP="00DC596D">
            <w:pPr>
              <w:spacing w:line="240" w:lineRule="auto"/>
              <w:jc w:val="center"/>
              <w:rPr>
                <w:sz w:val="24"/>
                <w:szCs w:val="24"/>
              </w:rPr>
            </w:pPr>
            <w:r>
              <w:rPr>
                <w:sz w:val="24"/>
                <w:szCs w:val="24"/>
              </w:rPr>
              <w:t>0.083</w:t>
            </w:r>
          </w:p>
        </w:tc>
        <w:tc>
          <w:tcPr>
            <w:tcW w:w="0" w:type="auto"/>
            <w:vAlign w:val="center"/>
          </w:tcPr>
          <w:p w14:paraId="32F70F1D" w14:textId="46ABA70F" w:rsidR="00DC596D" w:rsidRPr="006578E6" w:rsidRDefault="00DC596D" w:rsidP="00DC596D">
            <w:pPr>
              <w:spacing w:line="240" w:lineRule="auto"/>
              <w:jc w:val="center"/>
              <w:rPr>
                <w:sz w:val="24"/>
                <w:szCs w:val="24"/>
              </w:rPr>
            </w:pPr>
            <w:r w:rsidRPr="006578E6">
              <w:rPr>
                <w:sz w:val="24"/>
                <w:szCs w:val="24"/>
              </w:rPr>
              <w:t>12</w:t>
            </w:r>
          </w:p>
        </w:tc>
      </w:tr>
      <w:tr w:rsidR="004311BF" w:rsidRPr="006578E6" w14:paraId="1E3D8A55" w14:textId="77777777" w:rsidTr="00DC596D">
        <w:trPr>
          <w:trHeight w:val="456"/>
        </w:trPr>
        <w:tc>
          <w:tcPr>
            <w:tcW w:w="0" w:type="auto"/>
            <w:vMerge/>
            <w:vAlign w:val="center"/>
          </w:tcPr>
          <w:p w14:paraId="5F2CE6BD" w14:textId="77777777" w:rsidR="004311BF" w:rsidRPr="006578E6" w:rsidRDefault="004311BF" w:rsidP="00057842">
            <w:pPr>
              <w:spacing w:after="120" w:line="480" w:lineRule="auto"/>
              <w:ind w:left="360"/>
              <w:rPr>
                <w:sz w:val="24"/>
                <w:szCs w:val="24"/>
              </w:rPr>
            </w:pPr>
          </w:p>
        </w:tc>
        <w:tc>
          <w:tcPr>
            <w:tcW w:w="0" w:type="auto"/>
          </w:tcPr>
          <w:p w14:paraId="589CC01E" w14:textId="6EA2F13A" w:rsidR="004311BF" w:rsidRPr="006578E6" w:rsidRDefault="004311BF" w:rsidP="00E5288E">
            <w:pPr>
              <w:spacing w:line="240" w:lineRule="auto"/>
              <w:rPr>
                <w:sz w:val="24"/>
                <w:szCs w:val="24"/>
              </w:rPr>
            </w:pPr>
            <w:r w:rsidRPr="006578E6">
              <w:rPr>
                <w:sz w:val="24"/>
                <w:szCs w:val="24"/>
              </w:rPr>
              <w:t xml:space="preserve">Focus Group </w:t>
            </w:r>
            <w:r w:rsidRPr="006578E6">
              <w:rPr>
                <w:rFonts w:eastAsiaTheme="minorHAnsi"/>
                <w:sz w:val="24"/>
                <w:szCs w:val="24"/>
              </w:rPr>
              <w:t xml:space="preserve"> </w:t>
            </w:r>
          </w:p>
        </w:tc>
        <w:tc>
          <w:tcPr>
            <w:tcW w:w="0" w:type="auto"/>
            <w:vAlign w:val="center"/>
          </w:tcPr>
          <w:p w14:paraId="1083287A" w14:textId="36E362C9" w:rsidR="004311BF" w:rsidRPr="006578E6" w:rsidRDefault="004311BF" w:rsidP="00DC596D">
            <w:pPr>
              <w:spacing w:line="240" w:lineRule="auto"/>
              <w:jc w:val="center"/>
              <w:rPr>
                <w:sz w:val="24"/>
                <w:szCs w:val="24"/>
              </w:rPr>
            </w:pPr>
            <w:r w:rsidRPr="006578E6">
              <w:rPr>
                <w:sz w:val="24"/>
                <w:szCs w:val="24"/>
              </w:rPr>
              <w:t>144</w:t>
            </w:r>
          </w:p>
        </w:tc>
        <w:tc>
          <w:tcPr>
            <w:tcW w:w="0" w:type="auto"/>
            <w:vAlign w:val="center"/>
          </w:tcPr>
          <w:p w14:paraId="12B4812D" w14:textId="629A74E3" w:rsidR="004311BF" w:rsidRPr="006578E6" w:rsidRDefault="004311BF" w:rsidP="00DC596D">
            <w:pPr>
              <w:spacing w:line="240" w:lineRule="auto"/>
              <w:jc w:val="center"/>
              <w:rPr>
                <w:sz w:val="24"/>
                <w:szCs w:val="24"/>
              </w:rPr>
            </w:pPr>
            <w:r w:rsidRPr="006578E6">
              <w:rPr>
                <w:sz w:val="24"/>
                <w:szCs w:val="24"/>
              </w:rPr>
              <w:t>1</w:t>
            </w:r>
          </w:p>
        </w:tc>
        <w:tc>
          <w:tcPr>
            <w:tcW w:w="0" w:type="auto"/>
            <w:vAlign w:val="center"/>
          </w:tcPr>
          <w:p w14:paraId="31CC5F4F" w14:textId="47A5244F" w:rsidR="004311BF" w:rsidRPr="006578E6" w:rsidRDefault="004311BF" w:rsidP="00DC596D">
            <w:pPr>
              <w:spacing w:line="240" w:lineRule="auto"/>
              <w:jc w:val="center"/>
              <w:rPr>
                <w:sz w:val="24"/>
                <w:szCs w:val="24"/>
              </w:rPr>
            </w:pPr>
            <w:r w:rsidRPr="006578E6">
              <w:rPr>
                <w:sz w:val="24"/>
                <w:szCs w:val="24"/>
              </w:rPr>
              <w:t>144</w:t>
            </w:r>
          </w:p>
        </w:tc>
        <w:tc>
          <w:tcPr>
            <w:tcW w:w="0" w:type="auto"/>
            <w:vAlign w:val="center"/>
          </w:tcPr>
          <w:p w14:paraId="087129E0" w14:textId="1299A91C" w:rsidR="004311BF" w:rsidRPr="006578E6" w:rsidRDefault="004311BF" w:rsidP="00DC596D">
            <w:pPr>
              <w:spacing w:line="240" w:lineRule="auto"/>
              <w:jc w:val="center"/>
              <w:rPr>
                <w:sz w:val="24"/>
                <w:szCs w:val="24"/>
              </w:rPr>
            </w:pPr>
            <w:r>
              <w:rPr>
                <w:sz w:val="24"/>
                <w:szCs w:val="24"/>
              </w:rPr>
              <w:t>1.5</w:t>
            </w:r>
          </w:p>
        </w:tc>
        <w:tc>
          <w:tcPr>
            <w:tcW w:w="0" w:type="auto"/>
            <w:vAlign w:val="center"/>
          </w:tcPr>
          <w:p w14:paraId="7860377C" w14:textId="256ED83F" w:rsidR="004311BF" w:rsidRPr="006578E6" w:rsidRDefault="004311BF" w:rsidP="00DC596D">
            <w:pPr>
              <w:spacing w:line="240" w:lineRule="auto"/>
              <w:jc w:val="center"/>
              <w:rPr>
                <w:sz w:val="24"/>
                <w:szCs w:val="24"/>
              </w:rPr>
            </w:pPr>
            <w:r w:rsidRPr="006578E6">
              <w:rPr>
                <w:sz w:val="24"/>
                <w:szCs w:val="24"/>
              </w:rPr>
              <w:t>216</w:t>
            </w:r>
          </w:p>
        </w:tc>
      </w:tr>
      <w:tr w:rsidR="00F94559" w:rsidRPr="006578E6" w14:paraId="04EF136F" w14:textId="77777777" w:rsidTr="00DC596D">
        <w:tc>
          <w:tcPr>
            <w:tcW w:w="0" w:type="auto"/>
            <w:gridSpan w:val="2"/>
            <w:vAlign w:val="center"/>
          </w:tcPr>
          <w:p w14:paraId="3C5905EC" w14:textId="7E9BA022" w:rsidR="00F94559" w:rsidRPr="006578E6" w:rsidRDefault="00F94559" w:rsidP="00F94559">
            <w:pPr>
              <w:spacing w:line="360" w:lineRule="auto"/>
              <w:ind w:left="360"/>
              <w:jc w:val="center"/>
              <w:rPr>
                <w:sz w:val="24"/>
                <w:szCs w:val="24"/>
              </w:rPr>
            </w:pPr>
            <w:r w:rsidRPr="006578E6">
              <w:rPr>
                <w:b/>
                <w:sz w:val="24"/>
                <w:szCs w:val="24"/>
              </w:rPr>
              <w:t>Total Annualized Hours</w:t>
            </w:r>
          </w:p>
        </w:tc>
        <w:tc>
          <w:tcPr>
            <w:tcW w:w="0" w:type="auto"/>
            <w:shd w:val="clear" w:color="auto" w:fill="A6A6A6" w:themeFill="background1" w:themeFillShade="A6"/>
            <w:vAlign w:val="center"/>
          </w:tcPr>
          <w:p w14:paraId="3E4502A8" w14:textId="77777777" w:rsidR="00F94559" w:rsidRPr="006578E6" w:rsidRDefault="00F94559" w:rsidP="00F94559">
            <w:pPr>
              <w:spacing w:before="240" w:line="360" w:lineRule="auto"/>
              <w:ind w:left="360"/>
              <w:jc w:val="center"/>
              <w:rPr>
                <w:b/>
                <w:sz w:val="24"/>
                <w:szCs w:val="24"/>
              </w:rPr>
            </w:pPr>
          </w:p>
        </w:tc>
        <w:tc>
          <w:tcPr>
            <w:tcW w:w="0" w:type="auto"/>
            <w:shd w:val="clear" w:color="auto" w:fill="A6A6A6" w:themeFill="background1" w:themeFillShade="A6"/>
            <w:vAlign w:val="center"/>
          </w:tcPr>
          <w:p w14:paraId="7883AB4A" w14:textId="77777777" w:rsidR="00F94559" w:rsidRPr="006578E6" w:rsidRDefault="00F94559" w:rsidP="00F94559">
            <w:pPr>
              <w:spacing w:before="240" w:line="360" w:lineRule="auto"/>
              <w:ind w:left="360"/>
              <w:jc w:val="center"/>
              <w:rPr>
                <w:b/>
                <w:sz w:val="24"/>
                <w:szCs w:val="24"/>
              </w:rPr>
            </w:pPr>
          </w:p>
        </w:tc>
        <w:tc>
          <w:tcPr>
            <w:tcW w:w="0" w:type="auto"/>
            <w:shd w:val="clear" w:color="auto" w:fill="A6A6A6" w:themeFill="background1" w:themeFillShade="A6"/>
            <w:vAlign w:val="center"/>
          </w:tcPr>
          <w:p w14:paraId="6E4F21ED" w14:textId="77777777" w:rsidR="00F94559" w:rsidRPr="006578E6" w:rsidRDefault="00F94559" w:rsidP="00F94559">
            <w:pPr>
              <w:spacing w:before="240" w:line="360" w:lineRule="auto"/>
              <w:ind w:left="360"/>
              <w:jc w:val="center"/>
              <w:rPr>
                <w:b/>
                <w:sz w:val="24"/>
                <w:szCs w:val="24"/>
              </w:rPr>
            </w:pPr>
          </w:p>
        </w:tc>
        <w:tc>
          <w:tcPr>
            <w:tcW w:w="0" w:type="auto"/>
            <w:shd w:val="clear" w:color="auto" w:fill="A6A6A6" w:themeFill="background1" w:themeFillShade="A6"/>
            <w:vAlign w:val="center"/>
          </w:tcPr>
          <w:p w14:paraId="6CD57E73" w14:textId="77777777" w:rsidR="00F94559" w:rsidRPr="006578E6" w:rsidRDefault="00F94559" w:rsidP="00F94559">
            <w:pPr>
              <w:spacing w:before="240" w:line="360" w:lineRule="auto"/>
              <w:jc w:val="center"/>
              <w:rPr>
                <w:b/>
                <w:sz w:val="24"/>
                <w:szCs w:val="24"/>
              </w:rPr>
            </w:pPr>
          </w:p>
        </w:tc>
        <w:tc>
          <w:tcPr>
            <w:tcW w:w="0" w:type="auto"/>
            <w:vAlign w:val="center"/>
          </w:tcPr>
          <w:p w14:paraId="5560FDA2" w14:textId="05D132F8" w:rsidR="00F94559" w:rsidRPr="006578E6" w:rsidRDefault="00DC596D" w:rsidP="00F94559">
            <w:pPr>
              <w:spacing w:line="360" w:lineRule="auto"/>
              <w:jc w:val="center"/>
              <w:rPr>
                <w:b/>
                <w:sz w:val="24"/>
                <w:szCs w:val="24"/>
              </w:rPr>
            </w:pPr>
            <w:r>
              <w:rPr>
                <w:b/>
                <w:sz w:val="24"/>
                <w:szCs w:val="24"/>
              </w:rPr>
              <w:t>276</w:t>
            </w:r>
          </w:p>
        </w:tc>
      </w:tr>
    </w:tbl>
    <w:p w14:paraId="62C94C29" w14:textId="42C56BA0" w:rsidR="00057842" w:rsidRPr="006578E6" w:rsidRDefault="00057842" w:rsidP="00057842">
      <w:pPr>
        <w:spacing w:line="240" w:lineRule="auto"/>
        <w:rPr>
          <w:rFonts w:ascii="Times New Roman" w:eastAsia="Times New Roman" w:hAnsi="Times New Roman"/>
          <w:sz w:val="24"/>
          <w:szCs w:val="24"/>
        </w:rPr>
      </w:pPr>
      <w:r w:rsidRPr="006578E6">
        <w:rPr>
          <w:rFonts w:ascii="Times New Roman" w:eastAsia="Times New Roman" w:hAnsi="Times New Roman"/>
          <w:sz w:val="24"/>
          <w:szCs w:val="24"/>
        </w:rPr>
        <w:t xml:space="preserve"> </w:t>
      </w:r>
      <w:r w:rsidRPr="006578E6">
        <w:rPr>
          <w:rFonts w:ascii="Times New Roman" w:eastAsia="Times New Roman" w:hAnsi="Times New Roman"/>
          <w:sz w:val="24"/>
          <w:szCs w:val="24"/>
        </w:rPr>
        <w:tab/>
      </w:r>
      <w:r w:rsidR="00DA3396" w:rsidRPr="00DA3396">
        <w:rPr>
          <w:rFonts w:ascii="Times New Roman" w:eastAsia="Times New Roman" w:hAnsi="Times New Roman"/>
          <w:sz w:val="20"/>
          <w:szCs w:val="24"/>
          <w:vertAlign w:val="superscript"/>
        </w:rPr>
        <w:t xml:space="preserve">1 </w:t>
      </w:r>
      <w:r w:rsidR="00DA3396" w:rsidRPr="00DA3396">
        <w:rPr>
          <w:rFonts w:ascii="Times New Roman" w:eastAsia="Times New Roman" w:hAnsi="Times New Roman"/>
          <w:sz w:val="20"/>
          <w:szCs w:val="24"/>
        </w:rPr>
        <w:t xml:space="preserve">The total number of respondents is </w:t>
      </w:r>
      <w:r w:rsidR="005D511D">
        <w:rPr>
          <w:rFonts w:ascii="Times New Roman" w:eastAsia="Times New Roman" w:hAnsi="Times New Roman"/>
          <w:sz w:val="20"/>
          <w:szCs w:val="24"/>
        </w:rPr>
        <w:t>432</w:t>
      </w:r>
      <w:r w:rsidR="00DA3396">
        <w:rPr>
          <w:rFonts w:ascii="Times New Roman" w:eastAsia="Times New Roman" w:hAnsi="Times New Roman"/>
          <w:sz w:val="20"/>
          <w:szCs w:val="24"/>
        </w:rPr>
        <w:t>; for this study 1</w:t>
      </w:r>
      <w:r w:rsidR="00DA3396" w:rsidRPr="00DA3396">
        <w:rPr>
          <w:rFonts w:ascii="Times New Roman" w:eastAsia="Times New Roman" w:hAnsi="Times New Roman"/>
          <w:sz w:val="20"/>
          <w:szCs w:val="24"/>
        </w:rPr>
        <w:t>44 represents the total number of participants</w:t>
      </w:r>
    </w:p>
    <w:p w14:paraId="5F7B9BA2" w14:textId="77777777" w:rsidR="00057842" w:rsidRPr="006578E6" w:rsidRDefault="00057842" w:rsidP="00057842">
      <w:pPr>
        <w:spacing w:line="240" w:lineRule="auto"/>
        <w:ind w:left="720"/>
        <w:rPr>
          <w:rFonts w:ascii="Times New Roman" w:eastAsia="Times New Roman" w:hAnsi="Times New Roman"/>
          <w:sz w:val="24"/>
          <w:szCs w:val="24"/>
          <w:u w:val="single"/>
        </w:rPr>
      </w:pPr>
    </w:p>
    <w:p w14:paraId="5AD29FDE" w14:textId="7E96D2F9" w:rsidR="000202E6" w:rsidRPr="006578E6" w:rsidRDefault="000202E6" w:rsidP="00FB0FA3">
      <w:pPr>
        <w:spacing w:line="240" w:lineRule="auto"/>
        <w:rPr>
          <w:rFonts w:ascii="Times New Roman" w:hAnsi="Times New Roman"/>
          <w:sz w:val="24"/>
          <w:szCs w:val="24"/>
        </w:rPr>
      </w:pPr>
      <w:r w:rsidRPr="006578E6">
        <w:rPr>
          <w:rFonts w:ascii="Times New Roman" w:hAnsi="Times New Roman"/>
          <w:b/>
          <w:sz w:val="24"/>
          <w:szCs w:val="24"/>
        </w:rPr>
        <w:t>REQUESTED APPROVAL DATE:</w:t>
      </w:r>
      <w:r w:rsidR="000E4F02" w:rsidRPr="006578E6">
        <w:rPr>
          <w:rFonts w:ascii="Times New Roman" w:hAnsi="Times New Roman"/>
          <w:b/>
          <w:sz w:val="24"/>
          <w:szCs w:val="24"/>
        </w:rPr>
        <w:t xml:space="preserve"> </w:t>
      </w:r>
      <w:r w:rsidR="00E5288E">
        <w:rPr>
          <w:rFonts w:ascii="Times New Roman" w:hAnsi="Times New Roman"/>
          <w:b/>
          <w:sz w:val="24"/>
          <w:szCs w:val="24"/>
        </w:rPr>
        <w:t xml:space="preserve"> </w:t>
      </w:r>
      <w:r w:rsidR="00307EE0">
        <w:rPr>
          <w:rFonts w:ascii="Times New Roman" w:hAnsi="Times New Roman"/>
          <w:b/>
          <w:sz w:val="24"/>
          <w:szCs w:val="24"/>
        </w:rPr>
        <w:t>January 12</w:t>
      </w:r>
      <w:r w:rsidR="00307EE0" w:rsidRPr="00307EE0">
        <w:rPr>
          <w:rFonts w:ascii="Times New Roman" w:hAnsi="Times New Roman"/>
          <w:b/>
          <w:sz w:val="24"/>
          <w:szCs w:val="24"/>
          <w:vertAlign w:val="superscript"/>
        </w:rPr>
        <w:t>th</w:t>
      </w:r>
      <w:r w:rsidR="00307EE0">
        <w:rPr>
          <w:rFonts w:ascii="Times New Roman" w:hAnsi="Times New Roman"/>
          <w:b/>
          <w:sz w:val="24"/>
          <w:szCs w:val="24"/>
        </w:rPr>
        <w:t>, 2018</w:t>
      </w:r>
    </w:p>
    <w:p w14:paraId="5D4BDD97" w14:textId="77777777" w:rsidR="000202E6" w:rsidRPr="006578E6" w:rsidRDefault="000202E6" w:rsidP="00FB0FA3">
      <w:pPr>
        <w:spacing w:line="240" w:lineRule="auto"/>
        <w:rPr>
          <w:rFonts w:ascii="Times New Roman" w:hAnsi="Times New Roman"/>
          <w:b/>
          <w:sz w:val="24"/>
          <w:szCs w:val="24"/>
        </w:rPr>
      </w:pPr>
    </w:p>
    <w:p w14:paraId="4280D0CF" w14:textId="77777777" w:rsidR="000202E6" w:rsidRPr="006578E6" w:rsidRDefault="000202E6" w:rsidP="00FB0FA3">
      <w:pPr>
        <w:spacing w:line="240" w:lineRule="auto"/>
        <w:rPr>
          <w:rFonts w:ascii="Times New Roman" w:hAnsi="Times New Roman"/>
          <w:b/>
          <w:sz w:val="24"/>
          <w:szCs w:val="24"/>
        </w:rPr>
      </w:pPr>
      <w:r w:rsidRPr="006578E6">
        <w:rPr>
          <w:rFonts w:ascii="Times New Roman" w:hAnsi="Times New Roman"/>
          <w:b/>
          <w:sz w:val="24"/>
          <w:szCs w:val="24"/>
        </w:rPr>
        <w:t xml:space="preserve">NAME OF PRA ANALYST &amp; PROGRAM CONTACT: </w:t>
      </w:r>
    </w:p>
    <w:p w14:paraId="62D75EB4" w14:textId="77777777" w:rsidR="000202E6" w:rsidRPr="006578E6" w:rsidRDefault="000202E6" w:rsidP="00FB0FA3">
      <w:pPr>
        <w:spacing w:line="240" w:lineRule="auto"/>
        <w:rPr>
          <w:rFonts w:ascii="Times New Roman" w:hAnsi="Times New Roman"/>
          <w:b/>
          <w:sz w:val="24"/>
          <w:szCs w:val="24"/>
        </w:rPr>
      </w:pPr>
    </w:p>
    <w:p w14:paraId="2074F190" w14:textId="4B299958" w:rsidR="008E24D5" w:rsidRPr="006578E6" w:rsidRDefault="00E87942" w:rsidP="00FB0FA3">
      <w:pPr>
        <w:spacing w:line="240" w:lineRule="auto"/>
        <w:jc w:val="both"/>
        <w:rPr>
          <w:rFonts w:ascii="Times New Roman" w:hAnsi="Times New Roman"/>
          <w:b/>
          <w:sz w:val="24"/>
          <w:szCs w:val="24"/>
        </w:rPr>
      </w:pPr>
      <w:r w:rsidRPr="006578E6">
        <w:rPr>
          <w:rFonts w:ascii="Times New Roman" w:hAnsi="Times New Roman"/>
          <w:b/>
          <w:sz w:val="24"/>
          <w:szCs w:val="24"/>
        </w:rPr>
        <w:t>PRA Analyst</w:t>
      </w:r>
      <w:r w:rsidRPr="006578E6">
        <w:rPr>
          <w:rFonts w:ascii="Times New Roman" w:hAnsi="Times New Roman"/>
          <w:b/>
          <w:sz w:val="24"/>
          <w:szCs w:val="24"/>
        </w:rPr>
        <w:tab/>
      </w:r>
      <w:r w:rsidR="007C5B3C" w:rsidRPr="006578E6">
        <w:rPr>
          <w:rFonts w:ascii="Times New Roman" w:hAnsi="Times New Roman"/>
          <w:b/>
          <w:sz w:val="24"/>
          <w:szCs w:val="24"/>
        </w:rPr>
        <w:tab/>
      </w:r>
      <w:r w:rsidR="008E24D5" w:rsidRPr="006578E6">
        <w:rPr>
          <w:rFonts w:ascii="Times New Roman" w:hAnsi="Times New Roman"/>
          <w:b/>
          <w:sz w:val="24"/>
          <w:szCs w:val="24"/>
        </w:rPr>
        <w:t>Amber Sanford</w:t>
      </w:r>
    </w:p>
    <w:p w14:paraId="4163EAAB" w14:textId="77777777" w:rsidR="008E24D5" w:rsidRPr="006578E6" w:rsidRDefault="008E24D5" w:rsidP="00FB0FA3">
      <w:pPr>
        <w:spacing w:line="240" w:lineRule="auto"/>
        <w:jc w:val="both"/>
        <w:rPr>
          <w:rFonts w:ascii="Times New Roman" w:hAnsi="Times New Roman"/>
          <w:b/>
          <w:sz w:val="24"/>
          <w:szCs w:val="24"/>
        </w:rPr>
      </w:pPr>
      <w:r w:rsidRPr="006578E6">
        <w:rPr>
          <w:rFonts w:ascii="Times New Roman" w:hAnsi="Times New Roman"/>
          <w:b/>
          <w:sz w:val="24"/>
          <w:szCs w:val="24"/>
        </w:rPr>
        <w:tab/>
      </w:r>
      <w:r w:rsidRPr="006578E6">
        <w:rPr>
          <w:rFonts w:ascii="Times New Roman" w:hAnsi="Times New Roman"/>
          <w:b/>
          <w:sz w:val="24"/>
          <w:szCs w:val="24"/>
        </w:rPr>
        <w:tab/>
      </w:r>
      <w:r w:rsidRPr="006578E6">
        <w:rPr>
          <w:rFonts w:ascii="Times New Roman" w:hAnsi="Times New Roman"/>
          <w:b/>
          <w:sz w:val="24"/>
          <w:szCs w:val="24"/>
        </w:rPr>
        <w:tab/>
        <w:t>301-796-8867</w:t>
      </w:r>
    </w:p>
    <w:p w14:paraId="312E754B" w14:textId="326BE79D" w:rsidR="008E24D5" w:rsidRPr="006578E6" w:rsidRDefault="008E24D5" w:rsidP="00FB0FA3">
      <w:pPr>
        <w:spacing w:line="240" w:lineRule="auto"/>
        <w:jc w:val="both"/>
        <w:rPr>
          <w:rFonts w:ascii="Times New Roman" w:hAnsi="Times New Roman"/>
          <w:b/>
          <w:sz w:val="24"/>
          <w:szCs w:val="24"/>
        </w:rPr>
      </w:pPr>
      <w:r w:rsidRPr="006578E6">
        <w:rPr>
          <w:rFonts w:ascii="Times New Roman" w:hAnsi="Times New Roman"/>
          <w:b/>
          <w:sz w:val="24"/>
          <w:szCs w:val="24"/>
        </w:rPr>
        <w:tab/>
      </w:r>
      <w:r w:rsidRPr="006578E6">
        <w:rPr>
          <w:rFonts w:ascii="Times New Roman" w:hAnsi="Times New Roman"/>
          <w:b/>
          <w:sz w:val="24"/>
          <w:szCs w:val="24"/>
        </w:rPr>
        <w:tab/>
      </w:r>
      <w:r w:rsidRPr="006578E6">
        <w:rPr>
          <w:rFonts w:ascii="Times New Roman" w:hAnsi="Times New Roman"/>
          <w:b/>
          <w:sz w:val="24"/>
          <w:szCs w:val="24"/>
        </w:rPr>
        <w:tab/>
      </w:r>
      <w:hyperlink r:id="rId10" w:history="1">
        <w:r w:rsidR="007C5B3C" w:rsidRPr="006578E6">
          <w:rPr>
            <w:rStyle w:val="Hyperlink"/>
            <w:rFonts w:ascii="Times New Roman" w:hAnsi="Times New Roman"/>
            <w:b/>
            <w:sz w:val="24"/>
            <w:szCs w:val="24"/>
          </w:rPr>
          <w:t>Amber.Sanford@fda.hhs.gov</w:t>
        </w:r>
      </w:hyperlink>
      <w:r w:rsidR="007C5B3C" w:rsidRPr="006578E6">
        <w:rPr>
          <w:rFonts w:ascii="Times New Roman" w:hAnsi="Times New Roman"/>
          <w:b/>
          <w:sz w:val="24"/>
          <w:szCs w:val="24"/>
        </w:rPr>
        <w:t xml:space="preserve"> </w:t>
      </w:r>
    </w:p>
    <w:p w14:paraId="36FC9CB2" w14:textId="77777777" w:rsidR="000202E6" w:rsidRPr="006578E6" w:rsidRDefault="000202E6" w:rsidP="00FB0FA3">
      <w:pPr>
        <w:spacing w:line="240" w:lineRule="auto"/>
        <w:rPr>
          <w:rFonts w:ascii="Times New Roman" w:hAnsi="Times New Roman"/>
          <w:b/>
          <w:sz w:val="24"/>
          <w:szCs w:val="24"/>
          <w:highlight w:val="yellow"/>
        </w:rPr>
      </w:pPr>
    </w:p>
    <w:p w14:paraId="14141D14" w14:textId="5F0F48B8" w:rsidR="000202E6" w:rsidRPr="006578E6" w:rsidRDefault="000202E6" w:rsidP="00FB0FA3">
      <w:pPr>
        <w:spacing w:line="240" w:lineRule="auto"/>
        <w:rPr>
          <w:rFonts w:ascii="Times New Roman" w:hAnsi="Times New Roman"/>
          <w:b/>
          <w:sz w:val="24"/>
          <w:szCs w:val="24"/>
        </w:rPr>
      </w:pPr>
      <w:r w:rsidRPr="006578E6">
        <w:rPr>
          <w:rFonts w:ascii="Times New Roman" w:hAnsi="Times New Roman"/>
          <w:b/>
          <w:sz w:val="24"/>
          <w:szCs w:val="24"/>
        </w:rPr>
        <w:t>Program Contact</w:t>
      </w:r>
      <w:r w:rsidRPr="006578E6">
        <w:rPr>
          <w:rFonts w:ascii="Times New Roman" w:hAnsi="Times New Roman"/>
          <w:b/>
          <w:sz w:val="24"/>
          <w:szCs w:val="24"/>
        </w:rPr>
        <w:tab/>
      </w:r>
      <w:r w:rsidR="003D1D72" w:rsidRPr="006578E6">
        <w:rPr>
          <w:rFonts w:ascii="Times New Roman" w:hAnsi="Times New Roman"/>
          <w:b/>
          <w:sz w:val="24"/>
          <w:szCs w:val="24"/>
        </w:rPr>
        <w:t>Janine Delahanty</w:t>
      </w:r>
    </w:p>
    <w:p w14:paraId="62AC3585" w14:textId="1ACB95C7" w:rsidR="000202E6" w:rsidRPr="006578E6" w:rsidRDefault="000202E6" w:rsidP="00FB0FA3">
      <w:pPr>
        <w:spacing w:line="240" w:lineRule="auto"/>
        <w:rPr>
          <w:rFonts w:ascii="Times New Roman" w:hAnsi="Times New Roman"/>
          <w:b/>
          <w:sz w:val="24"/>
          <w:szCs w:val="24"/>
        </w:rPr>
      </w:pPr>
      <w:r w:rsidRPr="006578E6">
        <w:rPr>
          <w:rFonts w:ascii="Times New Roman" w:hAnsi="Times New Roman"/>
          <w:b/>
          <w:sz w:val="24"/>
          <w:szCs w:val="24"/>
        </w:rPr>
        <w:tab/>
      </w:r>
      <w:r w:rsidRPr="006578E6">
        <w:rPr>
          <w:rFonts w:ascii="Times New Roman" w:hAnsi="Times New Roman"/>
          <w:b/>
          <w:sz w:val="24"/>
          <w:szCs w:val="24"/>
        </w:rPr>
        <w:tab/>
      </w:r>
      <w:r w:rsidRPr="006578E6">
        <w:rPr>
          <w:rFonts w:ascii="Times New Roman" w:hAnsi="Times New Roman"/>
          <w:b/>
          <w:sz w:val="24"/>
          <w:szCs w:val="24"/>
        </w:rPr>
        <w:tab/>
      </w:r>
      <w:r w:rsidR="003D1D72" w:rsidRPr="006578E6">
        <w:rPr>
          <w:rFonts w:ascii="Times New Roman" w:hAnsi="Times New Roman"/>
          <w:b/>
          <w:sz w:val="24"/>
          <w:szCs w:val="24"/>
        </w:rPr>
        <w:t>240-402-9705</w:t>
      </w:r>
    </w:p>
    <w:p w14:paraId="038E246F" w14:textId="292BDFD0" w:rsidR="000202E6" w:rsidRPr="006578E6" w:rsidRDefault="000202E6" w:rsidP="00FB0FA3">
      <w:pPr>
        <w:spacing w:line="240" w:lineRule="auto"/>
        <w:rPr>
          <w:rFonts w:ascii="Times New Roman" w:hAnsi="Times New Roman"/>
          <w:b/>
          <w:sz w:val="24"/>
          <w:szCs w:val="24"/>
        </w:rPr>
      </w:pPr>
      <w:r w:rsidRPr="006578E6">
        <w:rPr>
          <w:rFonts w:ascii="Times New Roman" w:hAnsi="Times New Roman"/>
          <w:b/>
          <w:sz w:val="24"/>
          <w:szCs w:val="24"/>
        </w:rPr>
        <w:tab/>
      </w:r>
      <w:r w:rsidRPr="006578E6">
        <w:rPr>
          <w:rFonts w:ascii="Times New Roman" w:hAnsi="Times New Roman"/>
          <w:b/>
          <w:sz w:val="24"/>
          <w:szCs w:val="24"/>
        </w:rPr>
        <w:tab/>
      </w:r>
      <w:r w:rsidRPr="006578E6">
        <w:rPr>
          <w:rFonts w:ascii="Times New Roman" w:hAnsi="Times New Roman"/>
          <w:b/>
          <w:sz w:val="24"/>
          <w:szCs w:val="24"/>
        </w:rPr>
        <w:tab/>
      </w:r>
      <w:hyperlink r:id="rId11" w:history="1">
        <w:r w:rsidR="003D1D72" w:rsidRPr="006578E6">
          <w:rPr>
            <w:rStyle w:val="Hyperlink"/>
            <w:rFonts w:ascii="Times New Roman" w:hAnsi="Times New Roman"/>
            <w:b/>
            <w:sz w:val="24"/>
            <w:szCs w:val="24"/>
          </w:rPr>
          <w:t>Janine Delahanty@fda.hhs.gov</w:t>
        </w:r>
      </w:hyperlink>
      <w:r w:rsidR="007C5B3C" w:rsidRPr="006578E6">
        <w:rPr>
          <w:rFonts w:ascii="Times New Roman" w:hAnsi="Times New Roman"/>
          <w:b/>
          <w:sz w:val="24"/>
          <w:szCs w:val="24"/>
        </w:rPr>
        <w:t xml:space="preserve"> </w:t>
      </w:r>
    </w:p>
    <w:p w14:paraId="7F186620" w14:textId="77777777" w:rsidR="000202E6" w:rsidRPr="006578E6" w:rsidRDefault="000202E6" w:rsidP="00FB0FA3">
      <w:pPr>
        <w:spacing w:line="240" w:lineRule="auto"/>
        <w:rPr>
          <w:rFonts w:ascii="Times New Roman" w:hAnsi="Times New Roman"/>
          <w:b/>
          <w:sz w:val="24"/>
          <w:szCs w:val="24"/>
        </w:rPr>
      </w:pPr>
    </w:p>
    <w:p w14:paraId="6612D57B" w14:textId="1559CCE6" w:rsidR="000202E6" w:rsidRPr="006578E6" w:rsidRDefault="000202E6" w:rsidP="00FB0FA3">
      <w:pPr>
        <w:spacing w:line="240" w:lineRule="auto"/>
        <w:rPr>
          <w:rFonts w:ascii="Times New Roman" w:hAnsi="Times New Roman"/>
          <w:b/>
          <w:sz w:val="24"/>
          <w:szCs w:val="24"/>
        </w:rPr>
      </w:pPr>
      <w:r w:rsidRPr="006578E6">
        <w:rPr>
          <w:rFonts w:ascii="Times New Roman" w:hAnsi="Times New Roman"/>
          <w:b/>
          <w:sz w:val="24"/>
          <w:szCs w:val="24"/>
        </w:rPr>
        <w:t xml:space="preserve">FDA CENTER: </w:t>
      </w:r>
      <w:r w:rsidR="007C5B3C" w:rsidRPr="006578E6">
        <w:rPr>
          <w:rFonts w:ascii="Times New Roman" w:hAnsi="Times New Roman"/>
          <w:b/>
          <w:sz w:val="24"/>
          <w:szCs w:val="24"/>
        </w:rPr>
        <w:tab/>
      </w:r>
      <w:r w:rsidRPr="006578E6">
        <w:rPr>
          <w:rFonts w:ascii="Times New Roman" w:hAnsi="Times New Roman"/>
          <w:b/>
          <w:sz w:val="24"/>
          <w:szCs w:val="24"/>
        </w:rPr>
        <w:t xml:space="preserve">Center for Tobacco Products (FDA/CTP) </w:t>
      </w:r>
    </w:p>
    <w:p w14:paraId="6E9E0FF9" w14:textId="77777777" w:rsidR="00E16171" w:rsidRDefault="00E16171" w:rsidP="003E7318">
      <w:pPr>
        <w:spacing w:line="240" w:lineRule="auto"/>
        <w:rPr>
          <w:rFonts w:ascii="Times New Roman" w:eastAsia="Times New Roman" w:hAnsi="Times New Roman"/>
          <w:b/>
          <w:sz w:val="24"/>
          <w:szCs w:val="24"/>
        </w:rPr>
      </w:pPr>
    </w:p>
    <w:p w14:paraId="5B6473F2" w14:textId="77777777" w:rsidR="00E16171" w:rsidRDefault="00E16171" w:rsidP="003E7318">
      <w:pPr>
        <w:spacing w:line="240" w:lineRule="auto"/>
        <w:rPr>
          <w:rFonts w:ascii="Times New Roman" w:eastAsia="Times New Roman" w:hAnsi="Times New Roman"/>
          <w:b/>
          <w:sz w:val="24"/>
          <w:szCs w:val="24"/>
        </w:rPr>
      </w:pPr>
    </w:p>
    <w:p w14:paraId="40845200" w14:textId="2B02A420" w:rsidR="00E16171" w:rsidRPr="00DE3567" w:rsidRDefault="003E7318" w:rsidP="00DE3567">
      <w:pPr>
        <w:spacing w:after="120" w:line="240" w:lineRule="auto"/>
        <w:rPr>
          <w:rFonts w:ascii="Times New Roman" w:eastAsia="Times New Roman" w:hAnsi="Times New Roman"/>
          <w:color w:val="222222"/>
          <w:sz w:val="24"/>
          <w:szCs w:val="24"/>
          <w:shd w:val="clear" w:color="auto" w:fill="FFFFFF"/>
        </w:rPr>
      </w:pPr>
      <w:r w:rsidRPr="006578E6">
        <w:rPr>
          <w:rFonts w:ascii="Times New Roman" w:eastAsia="Times New Roman" w:hAnsi="Times New Roman"/>
          <w:b/>
          <w:sz w:val="24"/>
          <w:szCs w:val="24"/>
        </w:rPr>
        <w:t>References</w:t>
      </w:r>
    </w:p>
    <w:p w14:paraId="6C6BCE32" w14:textId="77777777" w:rsidR="00D857B8" w:rsidRPr="00E16171" w:rsidRDefault="00D857B8" w:rsidP="00E16171">
      <w:pPr>
        <w:ind w:left="720" w:hanging="720"/>
        <w:rPr>
          <w:rFonts w:ascii="Times New Roman" w:eastAsia="Times New Roman" w:hAnsi="Times New Roman"/>
          <w:color w:val="222222"/>
          <w:sz w:val="24"/>
          <w:szCs w:val="24"/>
          <w:shd w:val="clear" w:color="auto" w:fill="FFFFFF"/>
        </w:rPr>
      </w:pPr>
    </w:p>
    <w:p w14:paraId="0FFE84D1" w14:textId="4EB40A40" w:rsidR="00D857B8" w:rsidRPr="00E16171" w:rsidRDefault="003E7318" w:rsidP="003E7318">
      <w:pPr>
        <w:spacing w:line="240" w:lineRule="auto"/>
        <w:rPr>
          <w:rFonts w:ascii="Times New Roman" w:eastAsia="Times New Roman" w:hAnsi="Times New Roman"/>
          <w:sz w:val="24"/>
          <w:szCs w:val="24"/>
          <w:lang w:bidi="en-US"/>
        </w:rPr>
      </w:pPr>
      <w:r w:rsidRPr="00E16171">
        <w:rPr>
          <w:rFonts w:ascii="Times New Roman" w:eastAsia="Times New Roman" w:hAnsi="Times New Roman"/>
          <w:sz w:val="24"/>
          <w:szCs w:val="24"/>
          <w:lang w:bidi="en-US"/>
        </w:rPr>
        <w:t xml:space="preserve">Centers for Disease Control (CDC). (2010). Tobacco Use Among Middle and High School Students-United States, 2000-2009. </w:t>
      </w:r>
      <w:r w:rsidRPr="00E16171">
        <w:rPr>
          <w:rFonts w:ascii="Times New Roman" w:eastAsia="Times New Roman" w:hAnsi="Times New Roman"/>
          <w:i/>
          <w:sz w:val="24"/>
          <w:szCs w:val="24"/>
          <w:lang w:bidi="en-US"/>
        </w:rPr>
        <w:t>Morbidity and Mortality Weekly Report, 59</w:t>
      </w:r>
      <w:r w:rsidRPr="00E16171">
        <w:rPr>
          <w:rFonts w:ascii="Times New Roman" w:eastAsia="Times New Roman" w:hAnsi="Times New Roman"/>
          <w:sz w:val="24"/>
          <w:szCs w:val="24"/>
          <w:lang w:bidi="en-US"/>
        </w:rPr>
        <w:t>(33), 1063-1068.</w:t>
      </w:r>
    </w:p>
    <w:p w14:paraId="41DC066F" w14:textId="700DFFB9" w:rsidR="00D857B8" w:rsidRPr="00E16171" w:rsidRDefault="00D857B8" w:rsidP="00D857B8">
      <w:pPr>
        <w:rPr>
          <w:rFonts w:ascii="Times New Roman" w:eastAsia="Arial Unicode MS" w:hAnsi="Times New Roman"/>
          <w:sz w:val="24"/>
          <w:szCs w:val="24"/>
        </w:rPr>
      </w:pPr>
    </w:p>
    <w:p w14:paraId="16852D09" w14:textId="5C6EB8C9" w:rsidR="00D857B8" w:rsidRPr="00E16171" w:rsidRDefault="00D857B8" w:rsidP="00E16171">
      <w:pPr>
        <w:pStyle w:val="NormalWeb"/>
        <w:shd w:val="clear" w:color="auto" w:fill="FFFFFF"/>
        <w:spacing w:before="0" w:beforeAutospacing="0" w:after="150" w:afterAutospacing="0" w:line="270" w:lineRule="atLeast"/>
      </w:pPr>
      <w:r w:rsidRPr="00E16171">
        <w:rPr>
          <w:color w:val="333333"/>
        </w:rPr>
        <w:t>National Institutes of Health (NIH), Food and Drug Administration (FDA). </w:t>
      </w:r>
      <w:r w:rsidRPr="00E16171">
        <w:rPr>
          <w:rStyle w:val="Emphasis"/>
          <w:color w:val="333333"/>
        </w:rPr>
        <w:t>Population Assessment of Tobacco and Health (PATH) Study 2013-2016</w:t>
      </w:r>
      <w:r w:rsidRPr="00E16171">
        <w:rPr>
          <w:color w:val="333333"/>
        </w:rPr>
        <w:t> </w:t>
      </w:r>
      <w:r w:rsidRPr="00E16171">
        <w:rPr>
          <w:rStyle w:val="Emphasis"/>
          <w:color w:val="333333"/>
        </w:rPr>
        <w:t>[United States] Restricted-Use Files. ICPSR36231-v3</w:t>
      </w:r>
      <w:r w:rsidRPr="00E16171">
        <w:rPr>
          <w:color w:val="333333"/>
        </w:rPr>
        <w:t xml:space="preserve">. Ann Arbor, MI: Inter-university Consortium for Political and Social Research. Updated April 18, 2016. </w:t>
      </w:r>
      <w:hyperlink r:id="rId12" w:history="1">
        <w:r w:rsidRPr="00E16171">
          <w:rPr>
            <w:rStyle w:val="Hyperlink"/>
          </w:rPr>
          <w:t>http://doi.org/10.3886/ICPSR36231.v3</w:t>
        </w:r>
      </w:hyperlink>
      <w:r w:rsidRPr="00E16171">
        <w:rPr>
          <w:color w:val="333333"/>
        </w:rPr>
        <w:t>. Accessed May 26, 2016.</w:t>
      </w:r>
    </w:p>
    <w:p w14:paraId="6C20314B" w14:textId="56B355D5" w:rsidR="003E7318" w:rsidRPr="00E16171" w:rsidRDefault="003E7318" w:rsidP="003E7318">
      <w:pPr>
        <w:spacing w:after="200" w:line="240" w:lineRule="auto"/>
        <w:rPr>
          <w:rFonts w:ascii="Times New Roman" w:eastAsia="Times New Roman" w:hAnsi="Times New Roman"/>
          <w:color w:val="222222"/>
          <w:sz w:val="24"/>
          <w:szCs w:val="24"/>
          <w:shd w:val="clear" w:color="auto" w:fill="FFFFFF"/>
        </w:rPr>
      </w:pPr>
      <w:r w:rsidRPr="00E16171">
        <w:rPr>
          <w:rFonts w:ascii="Times New Roman" w:eastAsia="Times New Roman" w:hAnsi="Times New Roman"/>
          <w:color w:val="222222"/>
          <w:sz w:val="24"/>
          <w:szCs w:val="24"/>
          <w:shd w:val="clear" w:color="auto" w:fill="FFFFFF"/>
        </w:rPr>
        <w:t xml:space="preserve">Singh, T., Arrazola, R.A., Corey, C.G., Husten, C.G., Neff, L.J., Homa, D.M., &amp; King, B.A. (2016). Tobacco Use Among Middle and High School Students – United States, 2011-2015. </w:t>
      </w:r>
      <w:r w:rsidRPr="00E16171">
        <w:rPr>
          <w:rFonts w:ascii="Times New Roman" w:eastAsia="Times New Roman" w:hAnsi="Times New Roman"/>
          <w:i/>
          <w:color w:val="222222"/>
          <w:sz w:val="24"/>
          <w:szCs w:val="24"/>
          <w:shd w:val="clear" w:color="auto" w:fill="FFFFFF"/>
        </w:rPr>
        <w:t>Morbidity and Mortality Weekly Report, 65</w:t>
      </w:r>
      <w:r w:rsidRPr="00E16171">
        <w:rPr>
          <w:rFonts w:ascii="Times New Roman" w:eastAsia="Times New Roman" w:hAnsi="Times New Roman"/>
          <w:color w:val="222222"/>
          <w:sz w:val="24"/>
          <w:szCs w:val="24"/>
          <w:shd w:val="clear" w:color="auto" w:fill="FFFFFF"/>
        </w:rPr>
        <w:t>(14), 361-367</w:t>
      </w:r>
      <w:r w:rsidR="00E16171">
        <w:rPr>
          <w:rFonts w:ascii="Times New Roman" w:eastAsia="Times New Roman" w:hAnsi="Times New Roman"/>
          <w:color w:val="222222"/>
          <w:sz w:val="24"/>
          <w:szCs w:val="24"/>
          <w:shd w:val="clear" w:color="auto" w:fill="FFFFFF"/>
        </w:rPr>
        <w:t>.</w:t>
      </w:r>
    </w:p>
    <w:p w14:paraId="402F17B3" w14:textId="4BBAB8E7" w:rsidR="003E7318" w:rsidRPr="006578E6" w:rsidRDefault="0034431D" w:rsidP="00E16171">
      <w:pPr>
        <w:pStyle w:val="NormalWeb"/>
        <w:shd w:val="clear" w:color="auto" w:fill="FFFFFF"/>
        <w:spacing w:before="0" w:beforeAutospacing="0" w:after="150" w:afterAutospacing="0" w:line="270" w:lineRule="atLeast"/>
      </w:pPr>
      <w:r w:rsidRPr="00E16171">
        <w:rPr>
          <w:color w:val="333333"/>
        </w:rPr>
        <w:t>U.S. Census Bureau. </w:t>
      </w:r>
      <w:r w:rsidRPr="00E16171">
        <w:rPr>
          <w:rStyle w:val="Emphasis"/>
          <w:color w:val="333333"/>
        </w:rPr>
        <w:t>Annual Estimates of the Resident Population by Single Year of Age and Sex for the United States: April 1, 2010 to July 1, 2014</w:t>
      </w:r>
      <w:r w:rsidRPr="00E16171">
        <w:rPr>
          <w:color w:val="333333"/>
        </w:rPr>
        <w:t>. Washington, D.C: U.S. Census Bureau, Population Division; 2015.</w:t>
      </w:r>
    </w:p>
    <w:sectPr w:rsidR="003E7318" w:rsidRPr="006578E6" w:rsidSect="00D857B8">
      <w:footerReference w:type="default" r:id="rId13"/>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0C710" w14:textId="77777777" w:rsidR="009F7930" w:rsidRDefault="009F7930" w:rsidP="007F414A">
      <w:pPr>
        <w:spacing w:line="240" w:lineRule="auto"/>
      </w:pPr>
      <w:r>
        <w:separator/>
      </w:r>
    </w:p>
  </w:endnote>
  <w:endnote w:type="continuationSeparator" w:id="0">
    <w:p w14:paraId="06F0103D" w14:textId="77777777" w:rsidR="009F7930" w:rsidRDefault="009F7930" w:rsidP="007F414A">
      <w:pPr>
        <w:spacing w:line="240" w:lineRule="auto"/>
      </w:pPr>
      <w:r>
        <w:continuationSeparator/>
      </w:r>
    </w:p>
  </w:endnote>
  <w:endnote w:type="continuationNotice" w:id="1">
    <w:p w14:paraId="50CBED0C" w14:textId="77777777" w:rsidR="009F7930" w:rsidRDefault="009F79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43C50DA0" w:rsidR="00EE2B10" w:rsidRPr="00BD2651" w:rsidRDefault="00EE2B10">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7C7766">
      <w:rPr>
        <w:rFonts w:ascii="Times New Roman" w:hAnsi="Times New Roman"/>
        <w:noProof/>
      </w:rPr>
      <w:t>1</w:t>
    </w:r>
    <w:r w:rsidRPr="00BD2651">
      <w:rPr>
        <w:rFonts w:ascii="Times New Roman" w:hAnsi="Times New Roman"/>
        <w:noProof/>
      </w:rPr>
      <w:fldChar w:fldCharType="end"/>
    </w:r>
  </w:p>
  <w:p w14:paraId="45B2B6DD" w14:textId="77777777" w:rsidR="00EE2B10" w:rsidRDefault="00EE2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462D4" w14:textId="77777777" w:rsidR="009F7930" w:rsidRDefault="009F7930" w:rsidP="007F414A">
      <w:pPr>
        <w:spacing w:line="240" w:lineRule="auto"/>
      </w:pPr>
      <w:r>
        <w:separator/>
      </w:r>
    </w:p>
  </w:footnote>
  <w:footnote w:type="continuationSeparator" w:id="0">
    <w:p w14:paraId="131F6001" w14:textId="77777777" w:rsidR="009F7930" w:rsidRDefault="009F7930" w:rsidP="007F414A">
      <w:pPr>
        <w:spacing w:line="240" w:lineRule="auto"/>
      </w:pPr>
      <w:r>
        <w:continuationSeparator/>
      </w:r>
    </w:p>
  </w:footnote>
  <w:footnote w:type="continuationNotice" w:id="1">
    <w:p w14:paraId="267608EC" w14:textId="77777777" w:rsidR="009F7930" w:rsidRDefault="009F7930">
      <w:pPr>
        <w:spacing w:line="240" w:lineRule="auto"/>
      </w:pPr>
    </w:p>
  </w:footnote>
  <w:footnote w:id="2">
    <w:p w14:paraId="02724278" w14:textId="3E66C8BB" w:rsidR="00620B17" w:rsidRDefault="00620B17">
      <w:pPr>
        <w:pStyle w:val="FootnoteText"/>
      </w:pPr>
      <w:r>
        <w:rPr>
          <w:rStyle w:val="FootnoteReference"/>
        </w:rPr>
        <w:footnoteRef/>
      </w:r>
      <w:r>
        <w:t xml:space="preserve"> </w:t>
      </w:r>
      <w:r>
        <w:rPr>
          <w:rFonts w:ascii="Segoe UI" w:hAnsi="Segoe UI" w:cs="Segoe UI"/>
          <w:color w:val="000000"/>
          <w:sz w:val="16"/>
          <w:szCs w:val="16"/>
        </w:rPr>
        <w:t>These include rural counties that are classified as non-metro based on the USDA Rural-Urban Continuum Codes (i.e., codes 5-9) (</w:t>
      </w:r>
      <w:hyperlink r:id="rId1" w:history="1">
        <w:r>
          <w:rPr>
            <w:rStyle w:val="Hyperlink"/>
            <w:rFonts w:ascii="Segoe UI" w:hAnsi="Segoe UI" w:cs="Segoe UI"/>
            <w:sz w:val="16"/>
            <w:szCs w:val="16"/>
          </w:rPr>
          <w:t>https://www.ers.usda.gov/data-products/rural-urban-continuum-codes/documentation</w:t>
        </w:r>
      </w:hyperlink>
      <w:r>
        <w:rPr>
          <w:rFonts w:ascii="Segoe UI" w:hAnsi="Segoe UI" w:cs="Segoe UI"/>
          <w:color w:val="000000"/>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963DD"/>
    <w:multiLevelType w:val="hybridMultilevel"/>
    <w:tmpl w:val="B84CC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624CBD"/>
    <w:multiLevelType w:val="hybridMultilevel"/>
    <w:tmpl w:val="847CF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0144A8"/>
    <w:multiLevelType w:val="hybridMultilevel"/>
    <w:tmpl w:val="30EE79B8"/>
    <w:lvl w:ilvl="0" w:tplc="04090019">
      <w:start w:val="1"/>
      <w:numFmt w:val="lowerLetter"/>
      <w:lvlText w:val="%1."/>
      <w:lvlJc w:val="left"/>
      <w:pPr>
        <w:ind w:left="72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67E2483"/>
    <w:multiLevelType w:val="hybridMultilevel"/>
    <w:tmpl w:val="BB5C5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0F4F03"/>
    <w:multiLevelType w:val="hybridMultilevel"/>
    <w:tmpl w:val="CF7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D09AB"/>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C0C23A4"/>
    <w:multiLevelType w:val="hybridMultilevel"/>
    <w:tmpl w:val="3768F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2"/>
  </w:num>
  <w:num w:numId="6">
    <w:abstractNumId w:val="6"/>
  </w:num>
  <w:num w:numId="7">
    <w:abstractNumId w:val="8"/>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12BF2"/>
    <w:rsid w:val="00016635"/>
    <w:rsid w:val="000202E6"/>
    <w:rsid w:val="000338B5"/>
    <w:rsid w:val="00042F0F"/>
    <w:rsid w:val="0004308A"/>
    <w:rsid w:val="0004356B"/>
    <w:rsid w:val="00050DD6"/>
    <w:rsid w:val="00051F0C"/>
    <w:rsid w:val="00057807"/>
    <w:rsid w:val="00057842"/>
    <w:rsid w:val="000606B8"/>
    <w:rsid w:val="00061C18"/>
    <w:rsid w:val="00065F37"/>
    <w:rsid w:val="00072073"/>
    <w:rsid w:val="00073668"/>
    <w:rsid w:val="00073B01"/>
    <w:rsid w:val="00074186"/>
    <w:rsid w:val="000756C7"/>
    <w:rsid w:val="0007726C"/>
    <w:rsid w:val="0008152F"/>
    <w:rsid w:val="000A1F54"/>
    <w:rsid w:val="000A476A"/>
    <w:rsid w:val="000A705F"/>
    <w:rsid w:val="000B0CA5"/>
    <w:rsid w:val="000B2ADF"/>
    <w:rsid w:val="000C22A9"/>
    <w:rsid w:val="000C3AA2"/>
    <w:rsid w:val="000C6870"/>
    <w:rsid w:val="000C7BBE"/>
    <w:rsid w:val="000D2613"/>
    <w:rsid w:val="000D2D25"/>
    <w:rsid w:val="000D4EA5"/>
    <w:rsid w:val="000D62C0"/>
    <w:rsid w:val="000D7B61"/>
    <w:rsid w:val="000E03AD"/>
    <w:rsid w:val="000E0537"/>
    <w:rsid w:val="000E4BD2"/>
    <w:rsid w:val="000E4F02"/>
    <w:rsid w:val="000F382C"/>
    <w:rsid w:val="000F5A13"/>
    <w:rsid w:val="001008C0"/>
    <w:rsid w:val="00107C31"/>
    <w:rsid w:val="00121CFF"/>
    <w:rsid w:val="00126E70"/>
    <w:rsid w:val="0014168F"/>
    <w:rsid w:val="00144DC4"/>
    <w:rsid w:val="0014768C"/>
    <w:rsid w:val="001539FC"/>
    <w:rsid w:val="00165BC1"/>
    <w:rsid w:val="0017329A"/>
    <w:rsid w:val="00173DE9"/>
    <w:rsid w:val="00175957"/>
    <w:rsid w:val="0017746A"/>
    <w:rsid w:val="00177BB9"/>
    <w:rsid w:val="00183D95"/>
    <w:rsid w:val="001840E8"/>
    <w:rsid w:val="00192721"/>
    <w:rsid w:val="00194707"/>
    <w:rsid w:val="001A35C4"/>
    <w:rsid w:val="001A36DC"/>
    <w:rsid w:val="001A5488"/>
    <w:rsid w:val="001A64CD"/>
    <w:rsid w:val="001B21B5"/>
    <w:rsid w:val="001B49C5"/>
    <w:rsid w:val="001C3408"/>
    <w:rsid w:val="001C4F15"/>
    <w:rsid w:val="001D047A"/>
    <w:rsid w:val="001D2399"/>
    <w:rsid w:val="001D3C7F"/>
    <w:rsid w:val="001E5EC0"/>
    <w:rsid w:val="001F1357"/>
    <w:rsid w:val="001F233D"/>
    <w:rsid w:val="001F73E2"/>
    <w:rsid w:val="00207C31"/>
    <w:rsid w:val="002108C1"/>
    <w:rsid w:val="00216F06"/>
    <w:rsid w:val="00236FA3"/>
    <w:rsid w:val="002413C2"/>
    <w:rsid w:val="002423B0"/>
    <w:rsid w:val="00244EE2"/>
    <w:rsid w:val="00252666"/>
    <w:rsid w:val="00261274"/>
    <w:rsid w:val="00281F4A"/>
    <w:rsid w:val="0028666D"/>
    <w:rsid w:val="00291253"/>
    <w:rsid w:val="002A09C5"/>
    <w:rsid w:val="002A35C7"/>
    <w:rsid w:val="002A5C18"/>
    <w:rsid w:val="002A7192"/>
    <w:rsid w:val="002B314C"/>
    <w:rsid w:val="002B5E62"/>
    <w:rsid w:val="002B6165"/>
    <w:rsid w:val="002C1221"/>
    <w:rsid w:val="002C1444"/>
    <w:rsid w:val="002C3053"/>
    <w:rsid w:val="002C4956"/>
    <w:rsid w:val="002D00B3"/>
    <w:rsid w:val="002E2C04"/>
    <w:rsid w:val="002E7E76"/>
    <w:rsid w:val="002F1F1C"/>
    <w:rsid w:val="002F6062"/>
    <w:rsid w:val="00301B4D"/>
    <w:rsid w:val="00307EE0"/>
    <w:rsid w:val="0031162A"/>
    <w:rsid w:val="00312FFE"/>
    <w:rsid w:val="00315801"/>
    <w:rsid w:val="00320DFA"/>
    <w:rsid w:val="00323CEA"/>
    <w:rsid w:val="003418FF"/>
    <w:rsid w:val="0034431D"/>
    <w:rsid w:val="00344576"/>
    <w:rsid w:val="003534E9"/>
    <w:rsid w:val="00354A19"/>
    <w:rsid w:val="00360A91"/>
    <w:rsid w:val="003613B3"/>
    <w:rsid w:val="003626D9"/>
    <w:rsid w:val="00374D82"/>
    <w:rsid w:val="003766CC"/>
    <w:rsid w:val="0038151C"/>
    <w:rsid w:val="00382D99"/>
    <w:rsid w:val="00385DE8"/>
    <w:rsid w:val="00392980"/>
    <w:rsid w:val="00392EA6"/>
    <w:rsid w:val="0039369A"/>
    <w:rsid w:val="00393E05"/>
    <w:rsid w:val="003A079B"/>
    <w:rsid w:val="003C3394"/>
    <w:rsid w:val="003C3E80"/>
    <w:rsid w:val="003C4548"/>
    <w:rsid w:val="003C5BA6"/>
    <w:rsid w:val="003D17BE"/>
    <w:rsid w:val="003D1D72"/>
    <w:rsid w:val="003D4523"/>
    <w:rsid w:val="003D4A79"/>
    <w:rsid w:val="003D7F39"/>
    <w:rsid w:val="003E7318"/>
    <w:rsid w:val="003F2554"/>
    <w:rsid w:val="00404051"/>
    <w:rsid w:val="00404B9D"/>
    <w:rsid w:val="004127F3"/>
    <w:rsid w:val="00412836"/>
    <w:rsid w:val="00412928"/>
    <w:rsid w:val="00413994"/>
    <w:rsid w:val="0042099B"/>
    <w:rsid w:val="0042517B"/>
    <w:rsid w:val="00425F49"/>
    <w:rsid w:val="00426566"/>
    <w:rsid w:val="00427AD1"/>
    <w:rsid w:val="004311BF"/>
    <w:rsid w:val="00433240"/>
    <w:rsid w:val="00433D48"/>
    <w:rsid w:val="00441CBD"/>
    <w:rsid w:val="0044566A"/>
    <w:rsid w:val="00447224"/>
    <w:rsid w:val="0044768D"/>
    <w:rsid w:val="00451DD6"/>
    <w:rsid w:val="00455F84"/>
    <w:rsid w:val="004566BC"/>
    <w:rsid w:val="0046045A"/>
    <w:rsid w:val="00463AEB"/>
    <w:rsid w:val="00472F40"/>
    <w:rsid w:val="00473190"/>
    <w:rsid w:val="004774C0"/>
    <w:rsid w:val="00482535"/>
    <w:rsid w:val="004844D9"/>
    <w:rsid w:val="0048710E"/>
    <w:rsid w:val="00487B2C"/>
    <w:rsid w:val="00492447"/>
    <w:rsid w:val="0049745D"/>
    <w:rsid w:val="004A2DC6"/>
    <w:rsid w:val="004B7454"/>
    <w:rsid w:val="004C137C"/>
    <w:rsid w:val="004C1FDD"/>
    <w:rsid w:val="004C253B"/>
    <w:rsid w:val="004C4106"/>
    <w:rsid w:val="004C6B4D"/>
    <w:rsid w:val="004D3D53"/>
    <w:rsid w:val="004F2D3E"/>
    <w:rsid w:val="004F7E8D"/>
    <w:rsid w:val="0050560D"/>
    <w:rsid w:val="0050701B"/>
    <w:rsid w:val="00510413"/>
    <w:rsid w:val="00510B8A"/>
    <w:rsid w:val="00511257"/>
    <w:rsid w:val="005175E9"/>
    <w:rsid w:val="00517F40"/>
    <w:rsid w:val="0052143D"/>
    <w:rsid w:val="005246A3"/>
    <w:rsid w:val="005259D4"/>
    <w:rsid w:val="00527423"/>
    <w:rsid w:val="00530034"/>
    <w:rsid w:val="00530480"/>
    <w:rsid w:val="00530A93"/>
    <w:rsid w:val="00534B84"/>
    <w:rsid w:val="005363BC"/>
    <w:rsid w:val="00536CA4"/>
    <w:rsid w:val="00537018"/>
    <w:rsid w:val="005377B5"/>
    <w:rsid w:val="00551AAE"/>
    <w:rsid w:val="00553CC1"/>
    <w:rsid w:val="00554991"/>
    <w:rsid w:val="00555E1B"/>
    <w:rsid w:val="005561D1"/>
    <w:rsid w:val="00556E7D"/>
    <w:rsid w:val="00557BCB"/>
    <w:rsid w:val="0056100B"/>
    <w:rsid w:val="00561E4A"/>
    <w:rsid w:val="005639AE"/>
    <w:rsid w:val="00571C09"/>
    <w:rsid w:val="00572BBE"/>
    <w:rsid w:val="00575153"/>
    <w:rsid w:val="00575973"/>
    <w:rsid w:val="00582B9B"/>
    <w:rsid w:val="0058310B"/>
    <w:rsid w:val="005835F3"/>
    <w:rsid w:val="005860FD"/>
    <w:rsid w:val="0059326E"/>
    <w:rsid w:val="00594EA4"/>
    <w:rsid w:val="005960F7"/>
    <w:rsid w:val="005A42DE"/>
    <w:rsid w:val="005A5576"/>
    <w:rsid w:val="005B32CF"/>
    <w:rsid w:val="005B40F9"/>
    <w:rsid w:val="005B5425"/>
    <w:rsid w:val="005C057F"/>
    <w:rsid w:val="005C2AB8"/>
    <w:rsid w:val="005C616A"/>
    <w:rsid w:val="005D2506"/>
    <w:rsid w:val="005D4101"/>
    <w:rsid w:val="005D511D"/>
    <w:rsid w:val="005E09F7"/>
    <w:rsid w:val="005E2F20"/>
    <w:rsid w:val="005F3292"/>
    <w:rsid w:val="005F546B"/>
    <w:rsid w:val="005F7819"/>
    <w:rsid w:val="00615155"/>
    <w:rsid w:val="00620B17"/>
    <w:rsid w:val="006223F5"/>
    <w:rsid w:val="00635AA5"/>
    <w:rsid w:val="00651F6B"/>
    <w:rsid w:val="006578E6"/>
    <w:rsid w:val="00663C64"/>
    <w:rsid w:val="00671775"/>
    <w:rsid w:val="00693736"/>
    <w:rsid w:val="00696D3E"/>
    <w:rsid w:val="006A64B5"/>
    <w:rsid w:val="006A736C"/>
    <w:rsid w:val="006B40B0"/>
    <w:rsid w:val="006C4460"/>
    <w:rsid w:val="006D1B24"/>
    <w:rsid w:val="006D6D27"/>
    <w:rsid w:val="006D75EC"/>
    <w:rsid w:val="006E6D86"/>
    <w:rsid w:val="006F2BEC"/>
    <w:rsid w:val="006F46F8"/>
    <w:rsid w:val="006F6F67"/>
    <w:rsid w:val="0070496B"/>
    <w:rsid w:val="007068C6"/>
    <w:rsid w:val="0070753A"/>
    <w:rsid w:val="00735052"/>
    <w:rsid w:val="00740DF6"/>
    <w:rsid w:val="00743394"/>
    <w:rsid w:val="00745B11"/>
    <w:rsid w:val="00747181"/>
    <w:rsid w:val="0074726D"/>
    <w:rsid w:val="00757A11"/>
    <w:rsid w:val="007615F9"/>
    <w:rsid w:val="00761AA0"/>
    <w:rsid w:val="00761BD1"/>
    <w:rsid w:val="0076344E"/>
    <w:rsid w:val="0077276D"/>
    <w:rsid w:val="00772BD8"/>
    <w:rsid w:val="00775E32"/>
    <w:rsid w:val="00776D06"/>
    <w:rsid w:val="00781BD1"/>
    <w:rsid w:val="007845FC"/>
    <w:rsid w:val="007849C9"/>
    <w:rsid w:val="00795EE2"/>
    <w:rsid w:val="007A07CC"/>
    <w:rsid w:val="007A66B5"/>
    <w:rsid w:val="007A765D"/>
    <w:rsid w:val="007C5B3C"/>
    <w:rsid w:val="007C5C96"/>
    <w:rsid w:val="007C663B"/>
    <w:rsid w:val="007C7766"/>
    <w:rsid w:val="007D52A7"/>
    <w:rsid w:val="007E36AF"/>
    <w:rsid w:val="007E3C32"/>
    <w:rsid w:val="007E69B3"/>
    <w:rsid w:val="007E7AD4"/>
    <w:rsid w:val="007F195B"/>
    <w:rsid w:val="007F414A"/>
    <w:rsid w:val="00803671"/>
    <w:rsid w:val="00803BF5"/>
    <w:rsid w:val="00803E37"/>
    <w:rsid w:val="0080458F"/>
    <w:rsid w:val="008079B8"/>
    <w:rsid w:val="008110A3"/>
    <w:rsid w:val="00816A65"/>
    <w:rsid w:val="00817D7A"/>
    <w:rsid w:val="00823843"/>
    <w:rsid w:val="008279EF"/>
    <w:rsid w:val="008353AB"/>
    <w:rsid w:val="008446A4"/>
    <w:rsid w:val="00853F07"/>
    <w:rsid w:val="00873211"/>
    <w:rsid w:val="00874D23"/>
    <w:rsid w:val="00880AC3"/>
    <w:rsid w:val="00882024"/>
    <w:rsid w:val="008824A0"/>
    <w:rsid w:val="0089024B"/>
    <w:rsid w:val="008909E8"/>
    <w:rsid w:val="00893B2E"/>
    <w:rsid w:val="00894A49"/>
    <w:rsid w:val="008A35B4"/>
    <w:rsid w:val="008A74DD"/>
    <w:rsid w:val="008B3FA9"/>
    <w:rsid w:val="008B5951"/>
    <w:rsid w:val="008B5B4A"/>
    <w:rsid w:val="008B7D80"/>
    <w:rsid w:val="008C4B1F"/>
    <w:rsid w:val="008D14A1"/>
    <w:rsid w:val="008D6F9B"/>
    <w:rsid w:val="008E2385"/>
    <w:rsid w:val="008E24D5"/>
    <w:rsid w:val="008E6DE3"/>
    <w:rsid w:val="008F7330"/>
    <w:rsid w:val="00902888"/>
    <w:rsid w:val="00902A5D"/>
    <w:rsid w:val="00902FEB"/>
    <w:rsid w:val="0091640E"/>
    <w:rsid w:val="009326F8"/>
    <w:rsid w:val="00937079"/>
    <w:rsid w:val="00943926"/>
    <w:rsid w:val="0094593F"/>
    <w:rsid w:val="0095056E"/>
    <w:rsid w:val="009521A9"/>
    <w:rsid w:val="009524A6"/>
    <w:rsid w:val="00953267"/>
    <w:rsid w:val="00957513"/>
    <w:rsid w:val="00961E57"/>
    <w:rsid w:val="00967D91"/>
    <w:rsid w:val="00974814"/>
    <w:rsid w:val="00976F17"/>
    <w:rsid w:val="009904B7"/>
    <w:rsid w:val="00991C55"/>
    <w:rsid w:val="009951F9"/>
    <w:rsid w:val="009B2D34"/>
    <w:rsid w:val="009D074E"/>
    <w:rsid w:val="009D2EF6"/>
    <w:rsid w:val="009D4554"/>
    <w:rsid w:val="009D52FB"/>
    <w:rsid w:val="009D6902"/>
    <w:rsid w:val="009E68B6"/>
    <w:rsid w:val="009F162C"/>
    <w:rsid w:val="009F2A56"/>
    <w:rsid w:val="009F2A76"/>
    <w:rsid w:val="009F7930"/>
    <w:rsid w:val="00A019F3"/>
    <w:rsid w:val="00A0731C"/>
    <w:rsid w:val="00A076FE"/>
    <w:rsid w:val="00A129A3"/>
    <w:rsid w:val="00A12CA3"/>
    <w:rsid w:val="00A15F4D"/>
    <w:rsid w:val="00A16302"/>
    <w:rsid w:val="00A169DD"/>
    <w:rsid w:val="00A35A30"/>
    <w:rsid w:val="00A404EE"/>
    <w:rsid w:val="00A46085"/>
    <w:rsid w:val="00A50B00"/>
    <w:rsid w:val="00A51189"/>
    <w:rsid w:val="00A53F63"/>
    <w:rsid w:val="00A544A7"/>
    <w:rsid w:val="00A54D0C"/>
    <w:rsid w:val="00A60CD0"/>
    <w:rsid w:val="00A70562"/>
    <w:rsid w:val="00A81F19"/>
    <w:rsid w:val="00A846A2"/>
    <w:rsid w:val="00A94B44"/>
    <w:rsid w:val="00A97CFD"/>
    <w:rsid w:val="00A97F1E"/>
    <w:rsid w:val="00AA2CBA"/>
    <w:rsid w:val="00AA51C7"/>
    <w:rsid w:val="00AA5E8A"/>
    <w:rsid w:val="00AC2607"/>
    <w:rsid w:val="00AC5425"/>
    <w:rsid w:val="00AE0ED3"/>
    <w:rsid w:val="00AE181C"/>
    <w:rsid w:val="00AE4D81"/>
    <w:rsid w:val="00AE76EB"/>
    <w:rsid w:val="00AE7C20"/>
    <w:rsid w:val="00AF3A2F"/>
    <w:rsid w:val="00AF6255"/>
    <w:rsid w:val="00B00DB9"/>
    <w:rsid w:val="00B01FF2"/>
    <w:rsid w:val="00B14F0C"/>
    <w:rsid w:val="00B25688"/>
    <w:rsid w:val="00B26D80"/>
    <w:rsid w:val="00B52EDA"/>
    <w:rsid w:val="00B536FE"/>
    <w:rsid w:val="00B66FB7"/>
    <w:rsid w:val="00B72DAC"/>
    <w:rsid w:val="00B73BF9"/>
    <w:rsid w:val="00B7581E"/>
    <w:rsid w:val="00B75DD0"/>
    <w:rsid w:val="00B817BA"/>
    <w:rsid w:val="00B81DBB"/>
    <w:rsid w:val="00B82363"/>
    <w:rsid w:val="00B83FF3"/>
    <w:rsid w:val="00B928B7"/>
    <w:rsid w:val="00B934AA"/>
    <w:rsid w:val="00B97C86"/>
    <w:rsid w:val="00BA0959"/>
    <w:rsid w:val="00BA2160"/>
    <w:rsid w:val="00BA32D9"/>
    <w:rsid w:val="00BA4178"/>
    <w:rsid w:val="00BB2014"/>
    <w:rsid w:val="00BB25CB"/>
    <w:rsid w:val="00BB2C41"/>
    <w:rsid w:val="00BB4671"/>
    <w:rsid w:val="00BB5470"/>
    <w:rsid w:val="00BB58BD"/>
    <w:rsid w:val="00BD0A5D"/>
    <w:rsid w:val="00BD2651"/>
    <w:rsid w:val="00BD5BA1"/>
    <w:rsid w:val="00BD66B4"/>
    <w:rsid w:val="00BF5F80"/>
    <w:rsid w:val="00C041EB"/>
    <w:rsid w:val="00C12983"/>
    <w:rsid w:val="00C139F1"/>
    <w:rsid w:val="00C247E9"/>
    <w:rsid w:val="00C25637"/>
    <w:rsid w:val="00C42EF7"/>
    <w:rsid w:val="00C44C41"/>
    <w:rsid w:val="00C473B6"/>
    <w:rsid w:val="00C50B4D"/>
    <w:rsid w:val="00C51876"/>
    <w:rsid w:val="00C548AF"/>
    <w:rsid w:val="00C56EAF"/>
    <w:rsid w:val="00C7271C"/>
    <w:rsid w:val="00C7391F"/>
    <w:rsid w:val="00C77374"/>
    <w:rsid w:val="00C77BD7"/>
    <w:rsid w:val="00C81A7A"/>
    <w:rsid w:val="00C84077"/>
    <w:rsid w:val="00C86468"/>
    <w:rsid w:val="00C90120"/>
    <w:rsid w:val="00C91690"/>
    <w:rsid w:val="00C96DD1"/>
    <w:rsid w:val="00CB0277"/>
    <w:rsid w:val="00CC3111"/>
    <w:rsid w:val="00CC412A"/>
    <w:rsid w:val="00CC6893"/>
    <w:rsid w:val="00CE3482"/>
    <w:rsid w:val="00CF5F99"/>
    <w:rsid w:val="00D0018B"/>
    <w:rsid w:val="00D02C35"/>
    <w:rsid w:val="00D03DFD"/>
    <w:rsid w:val="00D10A86"/>
    <w:rsid w:val="00D15022"/>
    <w:rsid w:val="00D3038C"/>
    <w:rsid w:val="00D316A9"/>
    <w:rsid w:val="00D3178D"/>
    <w:rsid w:val="00D37E2F"/>
    <w:rsid w:val="00D43A9C"/>
    <w:rsid w:val="00D63BCC"/>
    <w:rsid w:val="00D65C37"/>
    <w:rsid w:val="00D7021F"/>
    <w:rsid w:val="00D7548D"/>
    <w:rsid w:val="00D755C9"/>
    <w:rsid w:val="00D776F7"/>
    <w:rsid w:val="00D80104"/>
    <w:rsid w:val="00D81020"/>
    <w:rsid w:val="00D81587"/>
    <w:rsid w:val="00D836A1"/>
    <w:rsid w:val="00D857B8"/>
    <w:rsid w:val="00D90161"/>
    <w:rsid w:val="00DA3362"/>
    <w:rsid w:val="00DA3396"/>
    <w:rsid w:val="00DA5BC5"/>
    <w:rsid w:val="00DB0CB7"/>
    <w:rsid w:val="00DB4229"/>
    <w:rsid w:val="00DB4D54"/>
    <w:rsid w:val="00DB5691"/>
    <w:rsid w:val="00DC2993"/>
    <w:rsid w:val="00DC4A27"/>
    <w:rsid w:val="00DC596D"/>
    <w:rsid w:val="00DC6F48"/>
    <w:rsid w:val="00DC7391"/>
    <w:rsid w:val="00DD7804"/>
    <w:rsid w:val="00DE3365"/>
    <w:rsid w:val="00DE3567"/>
    <w:rsid w:val="00DF3296"/>
    <w:rsid w:val="00E01FB8"/>
    <w:rsid w:val="00E07E02"/>
    <w:rsid w:val="00E139AA"/>
    <w:rsid w:val="00E16171"/>
    <w:rsid w:val="00E22553"/>
    <w:rsid w:val="00E3120A"/>
    <w:rsid w:val="00E31F2D"/>
    <w:rsid w:val="00E33C38"/>
    <w:rsid w:val="00E35B47"/>
    <w:rsid w:val="00E36D33"/>
    <w:rsid w:val="00E449B4"/>
    <w:rsid w:val="00E468DB"/>
    <w:rsid w:val="00E50DD5"/>
    <w:rsid w:val="00E51322"/>
    <w:rsid w:val="00E5185C"/>
    <w:rsid w:val="00E51DE7"/>
    <w:rsid w:val="00E51F48"/>
    <w:rsid w:val="00E5288E"/>
    <w:rsid w:val="00E52AEE"/>
    <w:rsid w:val="00E562D0"/>
    <w:rsid w:val="00E61DB2"/>
    <w:rsid w:val="00E620C4"/>
    <w:rsid w:val="00E71B49"/>
    <w:rsid w:val="00E84529"/>
    <w:rsid w:val="00E87942"/>
    <w:rsid w:val="00E91ED4"/>
    <w:rsid w:val="00E94580"/>
    <w:rsid w:val="00E95237"/>
    <w:rsid w:val="00EA2E63"/>
    <w:rsid w:val="00EA71A3"/>
    <w:rsid w:val="00EB20D7"/>
    <w:rsid w:val="00EB5319"/>
    <w:rsid w:val="00EC1878"/>
    <w:rsid w:val="00ED36EA"/>
    <w:rsid w:val="00EE2B10"/>
    <w:rsid w:val="00EF385A"/>
    <w:rsid w:val="00EF5B31"/>
    <w:rsid w:val="00F02FD1"/>
    <w:rsid w:val="00F05B80"/>
    <w:rsid w:val="00F05DD5"/>
    <w:rsid w:val="00F13224"/>
    <w:rsid w:val="00F1399C"/>
    <w:rsid w:val="00F202A2"/>
    <w:rsid w:val="00F21081"/>
    <w:rsid w:val="00F237CA"/>
    <w:rsid w:val="00F23A0D"/>
    <w:rsid w:val="00F24041"/>
    <w:rsid w:val="00F24AEF"/>
    <w:rsid w:val="00F26180"/>
    <w:rsid w:val="00F31854"/>
    <w:rsid w:val="00F31D66"/>
    <w:rsid w:val="00F32EE2"/>
    <w:rsid w:val="00F3435C"/>
    <w:rsid w:val="00F37A21"/>
    <w:rsid w:val="00F52D8C"/>
    <w:rsid w:val="00F611C0"/>
    <w:rsid w:val="00F65817"/>
    <w:rsid w:val="00F8798D"/>
    <w:rsid w:val="00F90560"/>
    <w:rsid w:val="00F93905"/>
    <w:rsid w:val="00F94559"/>
    <w:rsid w:val="00FA1E07"/>
    <w:rsid w:val="00FA3DD0"/>
    <w:rsid w:val="00FA66FC"/>
    <w:rsid w:val="00FA7DDF"/>
    <w:rsid w:val="00FB0FA3"/>
    <w:rsid w:val="00FB27BC"/>
    <w:rsid w:val="00FB2F15"/>
    <w:rsid w:val="00FB41C0"/>
    <w:rsid w:val="00FB41DE"/>
    <w:rsid w:val="00FC20F7"/>
    <w:rsid w:val="00FC50E3"/>
    <w:rsid w:val="00FC5827"/>
    <w:rsid w:val="00FC6979"/>
    <w:rsid w:val="00FD150F"/>
    <w:rsid w:val="00FD73E7"/>
    <w:rsid w:val="00FD7E04"/>
    <w:rsid w:val="00FE09C0"/>
    <w:rsid w:val="00FE53F7"/>
    <w:rsid w:val="00FE7B75"/>
    <w:rsid w:val="00FF4199"/>
    <w:rsid w:val="00FF46B0"/>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 w:type="table" w:customStyle="1" w:styleId="TableGrid1">
    <w:name w:val="Table Grid1"/>
    <w:basedOn w:val="TableNormal"/>
    <w:next w:val="TableGrid"/>
    <w:rsid w:val="00057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431D"/>
    <w:rPr>
      <w:i/>
      <w:iCs/>
    </w:rPr>
  </w:style>
  <w:style w:type="character" w:customStyle="1" w:styleId="Hyperlink3">
    <w:name w:val="Hyperlink.3"/>
    <w:basedOn w:val="DefaultParagraphFont"/>
    <w:rsid w:val="00D857B8"/>
    <w:rPr>
      <w:strike w:val="0"/>
      <w:dstrike w:val="0"/>
      <w:color w:val="0000FF"/>
      <w:sz w:val="24"/>
      <w:szCs w:val="24"/>
      <w:u w:val="none" w:color="0000FF"/>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 w:type="table" w:customStyle="1" w:styleId="TableGrid1">
    <w:name w:val="Table Grid1"/>
    <w:basedOn w:val="TableNormal"/>
    <w:next w:val="TableGrid"/>
    <w:rsid w:val="00057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431D"/>
    <w:rPr>
      <w:i/>
      <w:iCs/>
    </w:rPr>
  </w:style>
  <w:style w:type="character" w:customStyle="1" w:styleId="Hyperlink3">
    <w:name w:val="Hyperlink.3"/>
    <w:basedOn w:val="DefaultParagraphFont"/>
    <w:rsid w:val="00D857B8"/>
    <w:rPr>
      <w:strike w:val="0"/>
      <w:dstrike w:val="0"/>
      <w:color w:val="0000FF"/>
      <w:sz w:val="24"/>
      <w:szCs w:val="24"/>
      <w:u w:val="none" w:color="0000FF"/>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53979">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636760963">
      <w:bodyDiv w:val="1"/>
      <w:marLeft w:val="0"/>
      <w:marRight w:val="0"/>
      <w:marTop w:val="0"/>
      <w:marBottom w:val="0"/>
      <w:divBdr>
        <w:top w:val="none" w:sz="0" w:space="0" w:color="auto"/>
        <w:left w:val="none" w:sz="0" w:space="0" w:color="auto"/>
        <w:bottom w:val="none" w:sz="0" w:space="0" w:color="auto"/>
        <w:right w:val="none" w:sz="0" w:space="0" w:color="auto"/>
      </w:divBdr>
    </w:div>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78349805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052537643">
      <w:bodyDiv w:val="1"/>
      <w:marLeft w:val="0"/>
      <w:marRight w:val="0"/>
      <w:marTop w:val="0"/>
      <w:marBottom w:val="0"/>
      <w:divBdr>
        <w:top w:val="none" w:sz="0" w:space="0" w:color="auto"/>
        <w:left w:val="none" w:sz="0" w:space="0" w:color="auto"/>
        <w:bottom w:val="none" w:sz="0" w:space="0" w:color="auto"/>
        <w:right w:val="none" w:sz="0" w:space="0" w:color="auto"/>
      </w:divBdr>
    </w:div>
    <w:div w:id="1144204390">
      <w:bodyDiv w:val="1"/>
      <w:marLeft w:val="0"/>
      <w:marRight w:val="0"/>
      <w:marTop w:val="0"/>
      <w:marBottom w:val="0"/>
      <w:divBdr>
        <w:top w:val="none" w:sz="0" w:space="0" w:color="auto"/>
        <w:left w:val="none" w:sz="0" w:space="0" w:color="auto"/>
        <w:bottom w:val="none" w:sz="0" w:space="0" w:color="auto"/>
        <w:right w:val="none" w:sz="0" w:space="0" w:color="auto"/>
      </w:divBdr>
    </w:div>
    <w:div w:id="1162551888">
      <w:bodyDiv w:val="1"/>
      <w:marLeft w:val="0"/>
      <w:marRight w:val="0"/>
      <w:marTop w:val="0"/>
      <w:marBottom w:val="0"/>
      <w:divBdr>
        <w:top w:val="none" w:sz="0" w:space="0" w:color="auto"/>
        <w:left w:val="none" w:sz="0" w:space="0" w:color="auto"/>
        <w:bottom w:val="none" w:sz="0" w:space="0" w:color="auto"/>
        <w:right w:val="none" w:sz="0" w:space="0" w:color="auto"/>
      </w:divBdr>
    </w:div>
    <w:div w:id="1278635782">
      <w:bodyDiv w:val="1"/>
      <w:marLeft w:val="0"/>
      <w:marRight w:val="0"/>
      <w:marTop w:val="0"/>
      <w:marBottom w:val="0"/>
      <w:divBdr>
        <w:top w:val="none" w:sz="0" w:space="0" w:color="auto"/>
        <w:left w:val="none" w:sz="0" w:space="0" w:color="auto"/>
        <w:bottom w:val="none" w:sz="0" w:space="0" w:color="auto"/>
        <w:right w:val="none" w:sz="0" w:space="0" w:color="auto"/>
      </w:divBdr>
      <w:divsChild>
        <w:div w:id="1589802968">
          <w:marLeft w:val="0"/>
          <w:marRight w:val="0"/>
          <w:marTop w:val="0"/>
          <w:marBottom w:val="0"/>
          <w:divBdr>
            <w:top w:val="none" w:sz="0" w:space="0" w:color="auto"/>
            <w:left w:val="none" w:sz="0" w:space="0" w:color="auto"/>
            <w:bottom w:val="none" w:sz="0" w:space="0" w:color="auto"/>
            <w:right w:val="none" w:sz="0" w:space="0" w:color="auto"/>
          </w:divBdr>
          <w:divsChild>
            <w:div w:id="1687751950">
              <w:marLeft w:val="0"/>
              <w:marRight w:val="0"/>
              <w:marTop w:val="0"/>
              <w:marBottom w:val="0"/>
              <w:divBdr>
                <w:top w:val="none" w:sz="0" w:space="0" w:color="auto"/>
                <w:left w:val="none" w:sz="0" w:space="0" w:color="auto"/>
                <w:bottom w:val="none" w:sz="0" w:space="0" w:color="auto"/>
                <w:right w:val="none" w:sz="0" w:space="0" w:color="auto"/>
              </w:divBdr>
              <w:divsChild>
                <w:div w:id="1321158717">
                  <w:marLeft w:val="0"/>
                  <w:marRight w:val="0"/>
                  <w:marTop w:val="0"/>
                  <w:marBottom w:val="0"/>
                  <w:divBdr>
                    <w:top w:val="single" w:sz="6" w:space="0" w:color="CCCCCC"/>
                    <w:left w:val="single" w:sz="6" w:space="0" w:color="CCCCCC"/>
                    <w:bottom w:val="single" w:sz="6" w:space="0" w:color="CCCCCC"/>
                    <w:right w:val="single" w:sz="6" w:space="0" w:color="CCCCCC"/>
                  </w:divBdr>
                  <w:divsChild>
                    <w:div w:id="1340934924">
                      <w:marLeft w:val="0"/>
                      <w:marRight w:val="0"/>
                      <w:marTop w:val="0"/>
                      <w:marBottom w:val="0"/>
                      <w:divBdr>
                        <w:top w:val="none" w:sz="0" w:space="0" w:color="auto"/>
                        <w:left w:val="none" w:sz="0" w:space="0" w:color="auto"/>
                        <w:bottom w:val="none" w:sz="0" w:space="0" w:color="auto"/>
                        <w:right w:val="none" w:sz="0" w:space="0" w:color="auto"/>
                      </w:divBdr>
                      <w:divsChild>
                        <w:div w:id="553657045">
                          <w:marLeft w:val="0"/>
                          <w:marRight w:val="0"/>
                          <w:marTop w:val="0"/>
                          <w:marBottom w:val="0"/>
                          <w:divBdr>
                            <w:top w:val="none" w:sz="0" w:space="0" w:color="auto"/>
                            <w:left w:val="none" w:sz="0" w:space="0" w:color="auto"/>
                            <w:bottom w:val="none" w:sz="0" w:space="0" w:color="auto"/>
                            <w:right w:val="none" w:sz="0" w:space="0" w:color="auto"/>
                          </w:divBdr>
                          <w:divsChild>
                            <w:div w:id="797189307">
                              <w:marLeft w:val="0"/>
                              <w:marRight w:val="0"/>
                              <w:marTop w:val="0"/>
                              <w:marBottom w:val="0"/>
                              <w:divBdr>
                                <w:top w:val="none" w:sz="0" w:space="0" w:color="auto"/>
                                <w:left w:val="none" w:sz="0" w:space="0" w:color="auto"/>
                                <w:bottom w:val="none" w:sz="0" w:space="0" w:color="auto"/>
                                <w:right w:val="none" w:sz="0" w:space="0" w:color="auto"/>
                              </w:divBdr>
                              <w:divsChild>
                                <w:div w:id="11366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126645">
      <w:bodyDiv w:val="1"/>
      <w:marLeft w:val="0"/>
      <w:marRight w:val="0"/>
      <w:marTop w:val="0"/>
      <w:marBottom w:val="0"/>
      <w:divBdr>
        <w:top w:val="none" w:sz="0" w:space="0" w:color="auto"/>
        <w:left w:val="none" w:sz="0" w:space="0" w:color="auto"/>
        <w:bottom w:val="none" w:sz="0" w:space="0" w:color="auto"/>
        <w:right w:val="none" w:sz="0" w:space="0" w:color="auto"/>
      </w:divBdr>
    </w:div>
    <w:div w:id="1601378667">
      <w:bodyDiv w:val="1"/>
      <w:marLeft w:val="0"/>
      <w:marRight w:val="0"/>
      <w:marTop w:val="0"/>
      <w:marBottom w:val="0"/>
      <w:divBdr>
        <w:top w:val="none" w:sz="0" w:space="0" w:color="auto"/>
        <w:left w:val="none" w:sz="0" w:space="0" w:color="auto"/>
        <w:bottom w:val="none" w:sz="0" w:space="0" w:color="auto"/>
        <w:right w:val="none" w:sz="0" w:space="0" w:color="auto"/>
      </w:divBdr>
    </w:div>
    <w:div w:id="1639726342">
      <w:bodyDiv w:val="1"/>
      <w:marLeft w:val="0"/>
      <w:marRight w:val="0"/>
      <w:marTop w:val="0"/>
      <w:marBottom w:val="0"/>
      <w:divBdr>
        <w:top w:val="none" w:sz="0" w:space="0" w:color="auto"/>
        <w:left w:val="none" w:sz="0" w:space="0" w:color="auto"/>
        <w:bottom w:val="none" w:sz="0" w:space="0" w:color="auto"/>
        <w:right w:val="none" w:sz="0" w:space="0" w:color="auto"/>
      </w:divBdr>
    </w:div>
    <w:div w:id="1654793167">
      <w:bodyDiv w:val="1"/>
      <w:marLeft w:val="0"/>
      <w:marRight w:val="0"/>
      <w:marTop w:val="0"/>
      <w:marBottom w:val="0"/>
      <w:divBdr>
        <w:top w:val="none" w:sz="0" w:space="0" w:color="auto"/>
        <w:left w:val="none" w:sz="0" w:space="0" w:color="auto"/>
        <w:bottom w:val="none" w:sz="0" w:space="0" w:color="auto"/>
        <w:right w:val="none" w:sz="0" w:space="0" w:color="auto"/>
      </w:divBdr>
    </w:div>
    <w:div w:id="1825195401">
      <w:bodyDiv w:val="1"/>
      <w:marLeft w:val="0"/>
      <w:marRight w:val="0"/>
      <w:marTop w:val="0"/>
      <w:marBottom w:val="0"/>
      <w:divBdr>
        <w:top w:val="none" w:sz="0" w:space="0" w:color="auto"/>
        <w:left w:val="none" w:sz="0" w:space="0" w:color="auto"/>
        <w:bottom w:val="none" w:sz="0" w:space="0" w:color="auto"/>
        <w:right w:val="none" w:sz="0" w:space="0" w:color="auto"/>
      </w:divBdr>
    </w:div>
    <w:div w:id="18682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oi.org/10.3886/ICPSR36231.v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20Delahanty@fda.hh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Amber.Sanford@fda.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s.usda.gov/data-products/rural-urban-continuum-codes/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59F6-4FBA-42D8-9EE8-2E9FA8B3B12E}">
  <ds:schemaRefs>
    <ds:schemaRef ds:uri="http://schemas.openxmlformats.org/officeDocument/2006/bibliography"/>
  </ds:schemaRefs>
</ds:datastoreItem>
</file>

<file path=customXml/itemProps2.xml><?xml version="1.0" encoding="utf-8"?>
<ds:datastoreItem xmlns:ds="http://schemas.openxmlformats.org/officeDocument/2006/customXml" ds:itemID="{ABC4E61D-80E1-410A-8362-466FC5F6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SYSTEM</cp:lastModifiedBy>
  <cp:revision>2</cp:revision>
  <cp:lastPrinted>2016-02-22T21:53:00Z</cp:lastPrinted>
  <dcterms:created xsi:type="dcterms:W3CDTF">2017-12-11T13:13:00Z</dcterms:created>
  <dcterms:modified xsi:type="dcterms:W3CDTF">2017-12-11T13:13:00Z</dcterms:modified>
</cp:coreProperties>
</file>