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163" w:rsidRDefault="008D4163" w:rsidP="008D4163">
      <w:pPr>
        <w:pStyle w:val="Heading2"/>
        <w:tabs>
          <w:tab w:val="left" w:pos="900"/>
        </w:tabs>
        <w:ind w:right="-180"/>
        <w:rPr>
          <w:sz w:val="28"/>
        </w:rPr>
      </w:pPr>
      <w:r>
        <w:rPr>
          <w:sz w:val="28"/>
        </w:rPr>
        <w:t>FDA DOCUMENTATION FOR THE GENERIC CLEARANCE</w:t>
      </w:r>
    </w:p>
    <w:p w:rsidR="008D4163" w:rsidRPr="00A63790" w:rsidRDefault="008D4163" w:rsidP="008D4163">
      <w:pPr>
        <w:jc w:val="center"/>
        <w:rPr>
          <w:b/>
          <w:sz w:val="28"/>
        </w:rPr>
      </w:pPr>
      <w:r>
        <w:rPr>
          <w:b/>
          <w:sz w:val="28"/>
        </w:rPr>
        <w:t>OF COLLECTION O</w:t>
      </w:r>
      <w:r w:rsidRPr="000A4A23">
        <w:rPr>
          <w:b/>
          <w:sz w:val="28"/>
        </w:rPr>
        <w:t xml:space="preserve">F QUALITATIVE DATA </w:t>
      </w:r>
      <w:r>
        <w:rPr>
          <w:b/>
          <w:sz w:val="28"/>
        </w:rPr>
        <w:t>ON TOBACCO PRODUCTS A</w:t>
      </w:r>
      <w:r w:rsidRPr="000A4A23">
        <w:rPr>
          <w:b/>
          <w:sz w:val="28"/>
        </w:rPr>
        <w:t>ND COMMUNICATIONS</w:t>
      </w:r>
      <w:r>
        <w:rPr>
          <w:b/>
          <w:sz w:val="28"/>
        </w:rPr>
        <w:t xml:space="preserve"> (0910-0796)</w:t>
      </w:r>
    </w:p>
    <w:p w:rsidR="003F1C7A" w:rsidRDefault="00D0445F">
      <w:r>
        <w:rPr>
          <w:noProof/>
          <w:sz w:val="18"/>
          <w:szCs w:val="18"/>
        </w:rPr>
        <mc:AlternateContent>
          <mc:Choice Requires="wps">
            <w:drawing>
              <wp:anchor distT="0" distB="0" distL="114300" distR="114300" simplePos="0" relativeHeight="251657728" behindDoc="0" locked="0" layoutInCell="1" allowOverlap="1" wp14:anchorId="0B59C598" wp14:editId="0DFDFDD6">
                <wp:simplePos x="0" y="0"/>
                <wp:positionH relativeFrom="column">
                  <wp:posOffset>-114300</wp:posOffset>
                </wp:positionH>
                <wp:positionV relativeFrom="paragraph">
                  <wp:posOffset>48260</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EJqeUARAgAA&#10;KQQAAA4AAAAAAAAAAAAAAAAALgIAAGRycy9lMm9Eb2MueG1sUEsBAi0AFAAGAAgAAAAhAA+YJOLZ&#10;AAAABwEAAA8AAAAAAAAAAAAAAAAAawQAAGRycy9kb3ducmV2LnhtbFBLBQYAAAAABAAEAPMAAABx&#10;BQAAAAA=&#10;" strokeweight="1.5pt"/>
            </w:pict>
          </mc:Fallback>
        </mc:AlternateContent>
      </w:r>
    </w:p>
    <w:p w:rsidR="003F1C7A" w:rsidRPr="00463B4D" w:rsidRDefault="009404FA">
      <w:pPr>
        <w:rPr>
          <w:sz w:val="20"/>
          <w:szCs w:val="20"/>
        </w:rPr>
      </w:pPr>
      <w:r w:rsidRPr="00463B4D">
        <w:rPr>
          <w:sz w:val="20"/>
          <w:szCs w:val="20"/>
        </w:rPr>
        <w:t>Focus groups do not yield meaningful quantitative findings</w:t>
      </w:r>
      <w:r w:rsidR="005247FE">
        <w:rPr>
          <w:sz w:val="20"/>
          <w:szCs w:val="20"/>
        </w:rPr>
        <w:t xml:space="preserve">. </w:t>
      </w:r>
      <w:r w:rsidRPr="00463B4D">
        <w:rPr>
          <w:sz w:val="20"/>
          <w:szCs w:val="20"/>
        </w:rPr>
        <w:t>They can provide public input, but they do not yield data about public opinion that can be generalized</w:t>
      </w:r>
      <w:r w:rsidR="005247FE">
        <w:rPr>
          <w:sz w:val="20"/>
          <w:szCs w:val="20"/>
        </w:rPr>
        <w:t>. Thus</w:t>
      </w:r>
      <w:r w:rsidRPr="00463B4D">
        <w:rPr>
          <w:sz w:val="20"/>
          <w:szCs w:val="20"/>
        </w:rPr>
        <w:t>, they cannot be used to drive the development of policies, programs, and services</w:t>
      </w:r>
      <w:r w:rsidR="005247FE">
        <w:rPr>
          <w:sz w:val="20"/>
          <w:szCs w:val="20"/>
        </w:rPr>
        <w:t xml:space="preserve">. </w:t>
      </w:r>
      <w:r w:rsidRPr="00463B4D">
        <w:rPr>
          <w:sz w:val="20"/>
          <w:szCs w:val="20"/>
        </w:rPr>
        <w:t>Policy makers an</w:t>
      </w:r>
      <w:r w:rsidR="001716B6">
        <w:rPr>
          <w:sz w:val="20"/>
          <w:szCs w:val="20"/>
        </w:rPr>
        <w:t>d educators can use focus group</w:t>
      </w:r>
      <w:r w:rsidRPr="00463B4D">
        <w:rPr>
          <w:sz w:val="20"/>
          <w:szCs w:val="20"/>
        </w:rPr>
        <w:t xml:space="preserve"> findings to test and refine their ideas, but </w:t>
      </w:r>
      <w:r w:rsidR="005247FE">
        <w:rPr>
          <w:sz w:val="20"/>
          <w:szCs w:val="20"/>
        </w:rPr>
        <w:t xml:space="preserve">they </w:t>
      </w:r>
      <w:r w:rsidRPr="00463B4D">
        <w:rPr>
          <w:sz w:val="20"/>
          <w:szCs w:val="20"/>
        </w:rPr>
        <w:t>should then conduct further research before making important decisions such as adopting new policies and allocating or redirecting significant resources to support these policies.</w:t>
      </w:r>
    </w:p>
    <w:p w:rsidR="003F1C7A" w:rsidRPr="005E4981" w:rsidRDefault="003F1C7A" w:rsidP="007F261C">
      <w:pPr>
        <w:spacing w:before="120"/>
      </w:pPr>
      <w:r>
        <w:rPr>
          <w:b/>
        </w:rPr>
        <w:t>TITLE OF INFORMATION COLLECTION</w:t>
      </w:r>
      <w:r w:rsidR="0015552B">
        <w:rPr>
          <w:b/>
        </w:rPr>
        <w:t xml:space="preserve">: </w:t>
      </w:r>
      <w:r w:rsidR="001A01DB" w:rsidRPr="001A01DB">
        <w:t xml:space="preserve">Focus Groups on </w:t>
      </w:r>
      <w:r w:rsidR="00285801">
        <w:t>ENDS</w:t>
      </w:r>
      <w:r w:rsidR="001A01DB" w:rsidRPr="001A01DB">
        <w:t>: Device Types, User Experiences, and Product Appeal</w:t>
      </w:r>
    </w:p>
    <w:p w:rsidR="003F1C7A" w:rsidRDefault="003F1C7A"/>
    <w:p w:rsidR="003F1C7A" w:rsidRDefault="003F1C7A">
      <w:pPr>
        <w:spacing w:after="120"/>
      </w:pPr>
      <w:r>
        <w:rPr>
          <w:b/>
        </w:rPr>
        <w:t>DESCRIPTION OF THIS SPECIFIC COLLECTION</w:t>
      </w:r>
      <w:r>
        <w:t xml:space="preserve"> </w:t>
      </w:r>
    </w:p>
    <w:p w:rsidR="003F1C7A" w:rsidRDefault="0049419A" w:rsidP="00F12AEE">
      <w:pPr>
        <w:numPr>
          <w:ilvl w:val="0"/>
          <w:numId w:val="15"/>
        </w:numPr>
        <w:tabs>
          <w:tab w:val="clear" w:pos="1296"/>
          <w:tab w:val="num" w:pos="720"/>
        </w:tabs>
        <w:ind w:left="360" w:firstLine="0"/>
      </w:pPr>
      <w:r>
        <w:rPr>
          <w:b/>
        </w:rPr>
        <w:t>Statement of n</w:t>
      </w:r>
      <w:r w:rsidR="00F12AEE">
        <w:rPr>
          <w:b/>
        </w:rPr>
        <w:t>eed</w:t>
      </w:r>
      <w:r w:rsidR="0015552B">
        <w:rPr>
          <w:b/>
        </w:rPr>
        <w:t xml:space="preserve">: </w:t>
      </w:r>
    </w:p>
    <w:p w:rsidR="006F605E" w:rsidRPr="008525D5" w:rsidRDefault="006F1A9E" w:rsidP="002D05D7">
      <w:pPr>
        <w:ind w:left="720"/>
      </w:pPr>
      <w:r w:rsidRPr="008525D5">
        <w:t xml:space="preserve">The Food and Drug Administration (FDA), Center for Tobacco Products (CTP), is seeking OMB approval under the generic clearance </w:t>
      </w:r>
      <w:r w:rsidR="003533FC">
        <w:t>09</w:t>
      </w:r>
      <w:r w:rsidR="002D05D7">
        <w:t>10</w:t>
      </w:r>
      <w:r w:rsidR="003533FC">
        <w:t>-0796</w:t>
      </w:r>
      <w:r w:rsidR="00C717A0">
        <w:t xml:space="preserve"> </w:t>
      </w:r>
      <w:r w:rsidRPr="008525D5">
        <w:t>to conduct focus groups</w:t>
      </w:r>
      <w:r w:rsidR="00285801">
        <w:t xml:space="preserve"> with users of electronic nicotine delivery systems (ENDS) with a study titled</w:t>
      </w:r>
      <w:r w:rsidRPr="008525D5">
        <w:t xml:space="preserve"> “</w:t>
      </w:r>
      <w:r w:rsidR="001A01DB" w:rsidRPr="008525D5">
        <w:t xml:space="preserve">Focus Groups </w:t>
      </w:r>
      <w:r w:rsidR="00285801">
        <w:t>on ENDS</w:t>
      </w:r>
      <w:r w:rsidR="001A01DB" w:rsidRPr="008525D5">
        <w:t>: Device Types, User Experiences, and Product Appeal</w:t>
      </w:r>
      <w:r w:rsidR="00874034" w:rsidRPr="008525D5">
        <w:t>,”</w:t>
      </w:r>
      <w:r w:rsidRPr="008525D5">
        <w:t xml:space="preserve"> to assess </w:t>
      </w:r>
      <w:proofErr w:type="gramStart"/>
      <w:r w:rsidRPr="008525D5">
        <w:t>consumer</w:t>
      </w:r>
      <w:proofErr w:type="gramEnd"/>
      <w:r w:rsidRPr="008525D5">
        <w:t xml:space="preserve"> </w:t>
      </w:r>
      <w:r w:rsidR="00FE6B04" w:rsidRPr="008525D5">
        <w:t>perceptions</w:t>
      </w:r>
      <w:r w:rsidR="00B53BC4" w:rsidRPr="008525D5">
        <w:t xml:space="preserve"> of</w:t>
      </w:r>
      <w:r w:rsidR="005C38C3" w:rsidRPr="008525D5">
        <w:t xml:space="preserve"> </w:t>
      </w:r>
      <w:r w:rsidR="001A01DB" w:rsidRPr="008525D5">
        <w:t>electronic nicotine products</w:t>
      </w:r>
      <w:r w:rsidR="0040167E" w:rsidRPr="008525D5">
        <w:t xml:space="preserve">. </w:t>
      </w:r>
      <w:r w:rsidR="0094642F" w:rsidRPr="008525D5">
        <w:t>This research</w:t>
      </w:r>
      <w:r w:rsidR="001249F2" w:rsidRPr="008525D5">
        <w:t xml:space="preserve"> will inform the Agency’s efforts to implement the </w:t>
      </w:r>
      <w:r w:rsidR="007F0F8D" w:rsidRPr="008525D5">
        <w:t>provisions</w:t>
      </w:r>
      <w:r w:rsidR="00486996" w:rsidRPr="008525D5">
        <w:t xml:space="preserve"> of</w:t>
      </w:r>
      <w:r w:rsidR="00891A92" w:rsidRPr="008525D5">
        <w:t xml:space="preserve"> the Family Smoking Prevention and Tobacco Control Act (the Tobacco Control Act)</w:t>
      </w:r>
      <w:r w:rsidR="007F0F8D" w:rsidRPr="008525D5">
        <w:t xml:space="preserve"> </w:t>
      </w:r>
      <w:r w:rsidR="00504376">
        <w:t>by informing future research</w:t>
      </w:r>
      <w:r w:rsidR="00073BD9">
        <w:t xml:space="preserve"> efforts</w:t>
      </w:r>
      <w:r w:rsidR="00504376">
        <w:t xml:space="preserve"> and development of plans for </w:t>
      </w:r>
      <w:r w:rsidR="00AF6F41" w:rsidRPr="008525D5">
        <w:t>educating the public about the harms of tobacco use</w:t>
      </w:r>
      <w:r w:rsidR="00891A92" w:rsidRPr="008525D5">
        <w:t>.</w:t>
      </w:r>
      <w:r w:rsidR="00443010" w:rsidRPr="008525D5">
        <w:t xml:space="preserve"> </w:t>
      </w:r>
    </w:p>
    <w:p w:rsidR="0040167E" w:rsidRPr="008525D5" w:rsidRDefault="0040167E" w:rsidP="0047163F">
      <w:pPr>
        <w:ind w:left="720"/>
      </w:pPr>
    </w:p>
    <w:p w:rsidR="00DD7062" w:rsidRPr="008525D5" w:rsidRDefault="00DD7062" w:rsidP="001A01DB">
      <w:pPr>
        <w:spacing w:after="120"/>
        <w:ind w:left="720"/>
        <w:rPr>
          <w:b/>
        </w:rPr>
      </w:pPr>
      <w:r w:rsidRPr="008525D5">
        <w:t xml:space="preserve">The aim of the proposed study is </w:t>
      </w:r>
      <w:r w:rsidR="001A01DB" w:rsidRPr="008525D5">
        <w:t>to understand how</w:t>
      </w:r>
      <w:r w:rsidR="007B5E1F" w:rsidRPr="007B5E1F">
        <w:t xml:space="preserve"> </w:t>
      </w:r>
      <w:r w:rsidR="007B5E1F" w:rsidRPr="008525D5">
        <w:t>device characteristics</w:t>
      </w:r>
      <w:r w:rsidR="007B5E1F">
        <w:t xml:space="preserve"> of</w:t>
      </w:r>
      <w:r w:rsidR="00285801">
        <w:t xml:space="preserve"> ENDS</w:t>
      </w:r>
      <w:r w:rsidR="00B72DFD">
        <w:t>,</w:t>
      </w:r>
      <w:r w:rsidR="001A01DB" w:rsidRPr="008525D5">
        <w:t xml:space="preserve"> </w:t>
      </w:r>
      <w:r w:rsidR="007A3752">
        <w:t xml:space="preserve">such </w:t>
      </w:r>
      <w:r w:rsidR="00B72DFD">
        <w:t xml:space="preserve">as e-cigarettes, </w:t>
      </w:r>
      <w:r w:rsidR="001A01DB" w:rsidRPr="008525D5">
        <w:t>influence users’ experience; and how these experiences shape use behavior, beliefs, and attitudes about</w:t>
      </w:r>
      <w:r w:rsidR="00196B94">
        <w:t xml:space="preserve"> ENDS</w:t>
      </w:r>
      <w:r w:rsidR="001A01DB" w:rsidRPr="008525D5">
        <w:t>.</w:t>
      </w:r>
      <w:r w:rsidR="001A01DB" w:rsidRPr="008525D5">
        <w:rPr>
          <w:b/>
        </w:rPr>
        <w:t xml:space="preserve"> </w:t>
      </w:r>
      <w:r w:rsidRPr="008525D5">
        <w:t>The study is designed to ascertain the di</w:t>
      </w:r>
      <w:r w:rsidR="00C717A0">
        <w:t>versity of knowledge and attitudes</w:t>
      </w:r>
      <w:r w:rsidRPr="008525D5">
        <w:t xml:space="preserve"> related to these </w:t>
      </w:r>
      <w:r w:rsidR="001A01DB" w:rsidRPr="008525D5">
        <w:t>electronic</w:t>
      </w:r>
      <w:r w:rsidR="00F244E4">
        <w:t xml:space="preserve"> nicotine </w:t>
      </w:r>
      <w:r w:rsidRPr="008525D5">
        <w:t xml:space="preserve">products held by a variety of people. </w:t>
      </w:r>
      <w:r w:rsidR="004D14D6">
        <w:t xml:space="preserve"> </w:t>
      </w:r>
      <w:r w:rsidRPr="008525D5">
        <w:t>Accordingly, the current study design employs a number of focus groups with diverse types of</w:t>
      </w:r>
      <w:r w:rsidR="001A01DB" w:rsidRPr="008525D5">
        <w:t xml:space="preserve"> users</w:t>
      </w:r>
      <w:r w:rsidR="00196B94">
        <w:t>, including</w:t>
      </w:r>
      <w:r w:rsidR="004F391C">
        <w:t>:</w:t>
      </w:r>
      <w:r w:rsidR="001A01DB" w:rsidRPr="008525D5">
        <w:t xml:space="preserve"> those who</w:t>
      </w:r>
      <w:r w:rsidR="004F391C">
        <w:t xml:space="preserve"> primarily </w:t>
      </w:r>
      <w:r w:rsidR="001A01DB" w:rsidRPr="008525D5">
        <w:t xml:space="preserve">use </w:t>
      </w:r>
      <w:r w:rsidR="002D3F8E">
        <w:t>“</w:t>
      </w:r>
      <w:proofErr w:type="spellStart"/>
      <w:r w:rsidR="001A01DB" w:rsidRPr="008525D5">
        <w:t>cigalikes</w:t>
      </w:r>
      <w:proofErr w:type="spellEnd"/>
      <w:r w:rsidR="002D3F8E">
        <w:t>” (non-customizable devices</w:t>
      </w:r>
      <w:r w:rsidR="00E40FF0">
        <w:t xml:space="preserve"> that have a similar appearance to cigarettes</w:t>
      </w:r>
      <w:r w:rsidR="002D3F8E">
        <w:t>)</w:t>
      </w:r>
      <w:r w:rsidR="004F391C">
        <w:t>,</w:t>
      </w:r>
      <w:r w:rsidR="001A01DB" w:rsidRPr="008525D5">
        <w:t xml:space="preserve"> and those who use </w:t>
      </w:r>
      <w:r w:rsidR="004F391C">
        <w:t>“</w:t>
      </w:r>
      <w:r w:rsidR="001A01DB" w:rsidRPr="008525D5">
        <w:t>tank systems</w:t>
      </w:r>
      <w:r w:rsidR="004F391C">
        <w:t>”</w:t>
      </w:r>
      <w:r w:rsidR="002D3F8E">
        <w:t xml:space="preserve"> (</w:t>
      </w:r>
      <w:r w:rsidR="004F391C">
        <w:t xml:space="preserve">or, advanced-generation, </w:t>
      </w:r>
      <w:r w:rsidR="002D3F8E">
        <w:t>customizable devices</w:t>
      </w:r>
      <w:r w:rsidR="001A01DB" w:rsidRPr="008525D5">
        <w:t>).</w:t>
      </w:r>
    </w:p>
    <w:p w:rsidR="00E76821" w:rsidRPr="008525D5" w:rsidRDefault="00E76821" w:rsidP="001A01DB"/>
    <w:p w:rsidR="003533FC" w:rsidRDefault="001A01DB" w:rsidP="007E0D49">
      <w:pPr>
        <w:ind w:left="720"/>
      </w:pPr>
      <w:r w:rsidRPr="008525D5">
        <w:t>This</w:t>
      </w:r>
      <w:r w:rsidR="0045373C" w:rsidRPr="008525D5">
        <w:t xml:space="preserve"> </w:t>
      </w:r>
      <w:r w:rsidR="00C717A0">
        <w:t>study is a follow-</w:t>
      </w:r>
      <w:r w:rsidRPr="008525D5">
        <w:t>up to one conducted in 2014 under generic clearance</w:t>
      </w:r>
      <w:r w:rsidR="003533FC">
        <w:t xml:space="preserve"> 0910-0497, titled</w:t>
      </w:r>
      <w:r w:rsidRPr="008525D5">
        <w:t xml:space="preserve"> “Other Tobacco Products (OTP): A Focus Group Study”</w:t>
      </w:r>
      <w:r w:rsidR="003533FC">
        <w:t xml:space="preserve">. </w:t>
      </w:r>
      <w:r w:rsidR="00C717A0">
        <w:t xml:space="preserve"> That study involved</w:t>
      </w:r>
      <w:r w:rsidRPr="008525D5">
        <w:t xml:space="preserve"> focus groups with</w:t>
      </w:r>
      <w:r w:rsidR="002D3F8E">
        <w:t xml:space="preserve"> current</w:t>
      </w:r>
      <w:r w:rsidRPr="008525D5">
        <w:t xml:space="preserve"> users of e-cigarettes, hookah, and cigars and explored </w:t>
      </w:r>
      <w:r w:rsidR="006928A5" w:rsidRPr="008525D5">
        <w:t>consumers’ attitudes and beliefs about these products including</w:t>
      </w:r>
      <w:r w:rsidR="00CC2D2F" w:rsidRPr="008525D5">
        <w:t>: their</w:t>
      </w:r>
      <w:r w:rsidR="006928A5" w:rsidRPr="008525D5">
        <w:t xml:space="preserve"> reasons for use, perceptions of how the products compare to other (conventional) tobacco products, knowledge and beliefs about h</w:t>
      </w:r>
      <w:r w:rsidR="00CC2D2F" w:rsidRPr="008525D5">
        <w:t xml:space="preserve">ealth effects and addictiveness. </w:t>
      </w:r>
      <w:r w:rsidR="003533FC">
        <w:t xml:space="preserve"> Findings from this study were informative and useful to CTP</w:t>
      </w:r>
      <w:r w:rsidR="004F391C">
        <w:t xml:space="preserve"> as well as FDA’s sister agencies: </w:t>
      </w:r>
      <w:r w:rsidR="00196B94">
        <w:t>Study</w:t>
      </w:r>
      <w:r w:rsidR="004F391C">
        <w:t xml:space="preserve"> investigators presented </w:t>
      </w:r>
      <w:r w:rsidR="00196B94">
        <w:t xml:space="preserve">the </w:t>
      </w:r>
      <w:r w:rsidR="004F391C">
        <w:t>findings to</w:t>
      </w:r>
      <w:r w:rsidR="003533FC">
        <w:t xml:space="preserve"> </w:t>
      </w:r>
      <w:r w:rsidR="004F391C">
        <w:t xml:space="preserve">audiences from </w:t>
      </w:r>
      <w:r w:rsidR="003533FC">
        <w:t>mul</w:t>
      </w:r>
      <w:r w:rsidR="004F391C">
        <w:t>tiple offices in CTP</w:t>
      </w:r>
      <w:r w:rsidR="00196B94">
        <w:t xml:space="preserve"> and FDA, as well as</w:t>
      </w:r>
      <w:r w:rsidR="003533FC">
        <w:t xml:space="preserve"> to</w:t>
      </w:r>
      <w:r w:rsidR="004F391C">
        <w:t xml:space="preserve"> </w:t>
      </w:r>
      <w:r w:rsidR="003533FC">
        <w:t xml:space="preserve">the </w:t>
      </w:r>
      <w:r w:rsidR="00C717A0">
        <w:t xml:space="preserve">interagency </w:t>
      </w:r>
      <w:r w:rsidR="003533FC">
        <w:t xml:space="preserve">HHS Tobacco Workgroup. </w:t>
      </w:r>
      <w:r w:rsidR="001B5079">
        <w:t>Additionally,</w:t>
      </w:r>
      <w:r w:rsidR="001B5079" w:rsidRPr="001B5079">
        <w:t xml:space="preserve"> </w:t>
      </w:r>
      <w:r w:rsidR="001B5079">
        <w:t>four manuscripts have been developed from these study findings for peer-reviewed publication; two of which are currently in press</w:t>
      </w:r>
      <w:r w:rsidR="001B5079">
        <w:rPr>
          <w:rStyle w:val="FootnoteReference"/>
        </w:rPr>
        <w:footnoteReference w:id="1"/>
      </w:r>
      <w:proofErr w:type="gramStart"/>
      <w:r w:rsidR="001B5079" w:rsidRPr="00276343">
        <w:rPr>
          <w:vertAlign w:val="superscript"/>
        </w:rPr>
        <w:t>,</w:t>
      </w:r>
      <w:r w:rsidR="001B5079">
        <w:rPr>
          <w:rStyle w:val="FootnoteReference"/>
        </w:rPr>
        <w:footnoteReference w:id="2"/>
      </w:r>
      <w:r w:rsidR="001B5079">
        <w:t>.</w:t>
      </w:r>
      <w:proofErr w:type="gramEnd"/>
      <w:r w:rsidR="001B5079">
        <w:t xml:space="preserve">  </w:t>
      </w:r>
      <w:r w:rsidR="007A3752">
        <w:t xml:space="preserve">For more information on this study, </w:t>
      </w:r>
      <w:r w:rsidR="009C15EB">
        <w:t xml:space="preserve">a copy of this presentation is included </w:t>
      </w:r>
      <w:r w:rsidR="00DF4ED8">
        <w:t>as an</w:t>
      </w:r>
      <w:r w:rsidR="009C15EB">
        <w:t xml:space="preserve"> Appendix</w:t>
      </w:r>
      <w:r w:rsidR="00DF4ED8">
        <w:t>.</w:t>
      </w:r>
    </w:p>
    <w:p w:rsidR="004F391C" w:rsidRDefault="004F391C" w:rsidP="007E0D49">
      <w:pPr>
        <w:ind w:left="720"/>
      </w:pPr>
    </w:p>
    <w:p w:rsidR="00DD7062" w:rsidRPr="008525D5" w:rsidRDefault="001A01DB" w:rsidP="007E0D49">
      <w:pPr>
        <w:ind w:left="720"/>
      </w:pPr>
      <w:r w:rsidRPr="008525D5">
        <w:t>The current study will build on the knowledge ga</w:t>
      </w:r>
      <w:r w:rsidR="00C717A0">
        <w:t>ined in the e-cigarette portion</w:t>
      </w:r>
      <w:r w:rsidRPr="008525D5">
        <w:t xml:space="preserve"> of the prior study by </w:t>
      </w:r>
      <w:r w:rsidR="0022552F" w:rsidRPr="008525D5">
        <w:t xml:space="preserve">exploring use of specific </w:t>
      </w:r>
      <w:r w:rsidR="00C717A0">
        <w:t xml:space="preserve">ENDS </w:t>
      </w:r>
      <w:r w:rsidR="002D3F8E">
        <w:t xml:space="preserve">device </w:t>
      </w:r>
      <w:r w:rsidR="0022552F" w:rsidRPr="008525D5">
        <w:t xml:space="preserve">types in order to understand how device characteristics influence users’ experience; and how these experiences shape use behavior, beliefs, and attitudes about </w:t>
      </w:r>
      <w:r w:rsidR="00504376">
        <w:t>ENDS</w:t>
      </w:r>
      <w:r w:rsidR="0022552F" w:rsidRPr="008525D5">
        <w:t>.</w:t>
      </w:r>
    </w:p>
    <w:p w:rsidR="007E0D49" w:rsidRDefault="007E0D49" w:rsidP="007E0D49">
      <w:pPr>
        <w:ind w:left="720"/>
      </w:pPr>
    </w:p>
    <w:p w:rsidR="00E76821" w:rsidRDefault="00E76821" w:rsidP="00F12AEE">
      <w:pPr>
        <w:ind w:left="1296"/>
      </w:pPr>
    </w:p>
    <w:p w:rsidR="003F1C7A" w:rsidRPr="00CB6204" w:rsidRDefault="0049419A" w:rsidP="00F12AEE">
      <w:pPr>
        <w:numPr>
          <w:ilvl w:val="0"/>
          <w:numId w:val="15"/>
        </w:numPr>
        <w:tabs>
          <w:tab w:val="clear" w:pos="1296"/>
          <w:tab w:val="num" w:pos="720"/>
        </w:tabs>
        <w:ind w:left="720"/>
      </w:pPr>
      <w:r>
        <w:rPr>
          <w:b/>
        </w:rPr>
        <w:t xml:space="preserve">Intended </w:t>
      </w:r>
      <w:r w:rsidRPr="00CB6204">
        <w:rPr>
          <w:b/>
        </w:rPr>
        <w:t>u</w:t>
      </w:r>
      <w:r w:rsidR="00F12AEE" w:rsidRPr="00CB6204">
        <w:rPr>
          <w:b/>
        </w:rPr>
        <w:t>se</w:t>
      </w:r>
      <w:r w:rsidRPr="00CB6204">
        <w:rPr>
          <w:b/>
        </w:rPr>
        <w:t xml:space="preserve"> of information</w:t>
      </w:r>
      <w:r w:rsidR="0015552B" w:rsidRPr="00CB6204">
        <w:rPr>
          <w:b/>
        </w:rPr>
        <w:t xml:space="preserve">: </w:t>
      </w:r>
    </w:p>
    <w:p w:rsidR="005F5802" w:rsidRDefault="00E74CD4" w:rsidP="00486996">
      <w:pPr>
        <w:spacing w:after="240"/>
        <w:ind w:left="720"/>
        <w:rPr>
          <w:rStyle w:val="Emphasis"/>
          <w:i w:val="0"/>
          <w:color w:val="000000"/>
        </w:rPr>
      </w:pPr>
      <w:r>
        <w:t xml:space="preserve">FDA has proposed to assert jurisdiction over all </w:t>
      </w:r>
      <w:r w:rsidR="000939BD">
        <w:t xml:space="preserve">products that meet the definition of </w:t>
      </w:r>
      <w:r>
        <w:t>tobacco products</w:t>
      </w:r>
      <w:r w:rsidR="000939BD">
        <w:t xml:space="preserve"> in Chapter IX of the Food, Drug and Cosmetic Act</w:t>
      </w:r>
      <w:r>
        <w:t xml:space="preserve">, including </w:t>
      </w:r>
      <w:r w:rsidR="00581584">
        <w:t>ENDS</w:t>
      </w:r>
      <w:r>
        <w:t xml:space="preserve">.  </w:t>
      </w:r>
      <w:r w:rsidR="004A6FBF" w:rsidRPr="00CB6204">
        <w:rPr>
          <w:rStyle w:val="Emphasis"/>
          <w:i w:val="0"/>
          <w:color w:val="000000"/>
        </w:rPr>
        <w:t xml:space="preserve">In order to maximize the efficacy of </w:t>
      </w:r>
      <w:r w:rsidR="00C717A0">
        <w:rPr>
          <w:rStyle w:val="Emphasis"/>
          <w:i w:val="0"/>
          <w:color w:val="000000"/>
        </w:rPr>
        <w:t xml:space="preserve">FDA’s </w:t>
      </w:r>
      <w:r w:rsidR="00073BD9">
        <w:rPr>
          <w:rStyle w:val="Emphasis"/>
          <w:i w:val="0"/>
          <w:color w:val="000000"/>
        </w:rPr>
        <w:t>surveillance</w:t>
      </w:r>
      <w:r w:rsidR="000C7755">
        <w:rPr>
          <w:rStyle w:val="Emphasis"/>
          <w:i w:val="0"/>
          <w:color w:val="000000"/>
        </w:rPr>
        <w:t xml:space="preserve"> activities</w:t>
      </w:r>
      <w:r w:rsidR="007A3752">
        <w:rPr>
          <w:rStyle w:val="Emphasis"/>
          <w:i w:val="0"/>
          <w:color w:val="000000"/>
        </w:rPr>
        <w:t xml:space="preserve"> and</w:t>
      </w:r>
      <w:r w:rsidR="00073BD9">
        <w:rPr>
          <w:rStyle w:val="Emphasis"/>
          <w:i w:val="0"/>
          <w:color w:val="000000"/>
        </w:rPr>
        <w:t xml:space="preserve"> </w:t>
      </w:r>
      <w:r w:rsidR="007A3752">
        <w:rPr>
          <w:rStyle w:val="Emphasis"/>
          <w:i w:val="0"/>
          <w:color w:val="000000"/>
        </w:rPr>
        <w:t>c</w:t>
      </w:r>
      <w:r w:rsidR="004A6FBF" w:rsidRPr="00CB6204">
        <w:rPr>
          <w:rStyle w:val="Emphasis"/>
          <w:i w:val="0"/>
          <w:color w:val="000000"/>
        </w:rPr>
        <w:t>ommunic</w:t>
      </w:r>
      <w:r w:rsidR="006B431A">
        <w:rPr>
          <w:rStyle w:val="Emphasis"/>
          <w:i w:val="0"/>
          <w:color w:val="000000"/>
        </w:rPr>
        <w:t>ation and education efforts, it i</w:t>
      </w:r>
      <w:r w:rsidR="004A6FBF" w:rsidRPr="00CB6204">
        <w:rPr>
          <w:rStyle w:val="Emphasis"/>
          <w:i w:val="0"/>
          <w:color w:val="000000"/>
        </w:rPr>
        <w:t>s imperative that FDA have a complete unders</w:t>
      </w:r>
      <w:r w:rsidR="00D1518F" w:rsidRPr="00CB6204">
        <w:rPr>
          <w:rStyle w:val="Emphasis"/>
          <w:i w:val="0"/>
          <w:color w:val="000000"/>
        </w:rPr>
        <w:t xml:space="preserve">tanding of </w:t>
      </w:r>
      <w:r w:rsidR="006B431A">
        <w:rPr>
          <w:rStyle w:val="Emphasis"/>
          <w:i w:val="0"/>
          <w:color w:val="000000"/>
        </w:rPr>
        <w:t xml:space="preserve">the full landscape of </w:t>
      </w:r>
      <w:r w:rsidR="007A3752">
        <w:rPr>
          <w:rStyle w:val="Emphasis"/>
          <w:i w:val="0"/>
          <w:color w:val="000000"/>
        </w:rPr>
        <w:t>ENDS products</w:t>
      </w:r>
      <w:r w:rsidR="00073BD9">
        <w:rPr>
          <w:rStyle w:val="Emphasis"/>
          <w:i w:val="0"/>
          <w:color w:val="000000"/>
        </w:rPr>
        <w:t xml:space="preserve"> for which FDA has proposed to extend its jurisdiction.  Once such products are deemed under the authority of FDA, CTP will require a deep understanding of </w:t>
      </w:r>
      <w:r w:rsidR="006B431A">
        <w:rPr>
          <w:rStyle w:val="Emphasis"/>
          <w:i w:val="0"/>
          <w:color w:val="000000"/>
        </w:rPr>
        <w:t xml:space="preserve">consumers’ </w:t>
      </w:r>
      <w:r w:rsidR="00890EB7" w:rsidRPr="00CB6204">
        <w:rPr>
          <w:rStyle w:val="Emphasis"/>
          <w:i w:val="0"/>
          <w:color w:val="000000"/>
        </w:rPr>
        <w:t>perceptions, attitudes, a</w:t>
      </w:r>
      <w:r w:rsidR="006B431A">
        <w:rPr>
          <w:rStyle w:val="Emphasis"/>
          <w:i w:val="0"/>
          <w:color w:val="000000"/>
        </w:rPr>
        <w:t>nd behaviors</w:t>
      </w:r>
      <w:r w:rsidR="00073BD9">
        <w:rPr>
          <w:rStyle w:val="Emphasis"/>
          <w:i w:val="0"/>
          <w:color w:val="000000"/>
        </w:rPr>
        <w:t xml:space="preserve"> related to ENDS</w:t>
      </w:r>
      <w:r w:rsidR="00D1518F" w:rsidRPr="00CB6204">
        <w:rPr>
          <w:rStyle w:val="Emphasis"/>
          <w:i w:val="0"/>
          <w:color w:val="000000"/>
        </w:rPr>
        <w:t>.</w:t>
      </w:r>
      <w:r w:rsidR="00730C5F" w:rsidRPr="00CB6204">
        <w:rPr>
          <w:rStyle w:val="Emphasis"/>
          <w:i w:val="0"/>
          <w:color w:val="000000"/>
        </w:rPr>
        <w:t xml:space="preserve"> </w:t>
      </w:r>
      <w:r w:rsidR="006B431A">
        <w:rPr>
          <w:rStyle w:val="Emphasis"/>
          <w:i w:val="0"/>
          <w:color w:val="000000"/>
        </w:rPr>
        <w:t xml:space="preserve"> </w:t>
      </w:r>
      <w:r w:rsidR="00C717A0">
        <w:rPr>
          <w:rStyle w:val="Emphasis"/>
          <w:i w:val="0"/>
          <w:color w:val="000000"/>
        </w:rPr>
        <w:t>O</w:t>
      </w:r>
      <w:r w:rsidR="00073BD9">
        <w:rPr>
          <w:rStyle w:val="Emphasis"/>
          <w:i w:val="0"/>
          <w:color w:val="000000"/>
        </w:rPr>
        <w:t>wing to the diversity of this product category, this understanding</w:t>
      </w:r>
      <w:r w:rsidR="00901767">
        <w:rPr>
          <w:rStyle w:val="Emphasis"/>
          <w:i w:val="0"/>
          <w:color w:val="000000"/>
        </w:rPr>
        <w:t xml:space="preserve"> requires speaking to a range of types of users in different parts of the country </w:t>
      </w:r>
      <w:r w:rsidR="00957AAD">
        <w:rPr>
          <w:rStyle w:val="Emphasis"/>
          <w:i w:val="0"/>
          <w:color w:val="000000"/>
        </w:rPr>
        <w:t xml:space="preserve">in order </w:t>
      </w:r>
      <w:r w:rsidR="00901767">
        <w:rPr>
          <w:rStyle w:val="Emphasis"/>
          <w:i w:val="0"/>
          <w:color w:val="000000"/>
        </w:rPr>
        <w:t>to sample the full diversity of public perceptions and attitudes.</w:t>
      </w:r>
    </w:p>
    <w:p w:rsidR="00196B94" w:rsidRDefault="00196B94" w:rsidP="00604FE0">
      <w:pPr>
        <w:ind w:left="720"/>
      </w:pPr>
      <w:r>
        <w:t>Findings from the</w:t>
      </w:r>
      <w:r w:rsidR="00073BD9">
        <w:t xml:space="preserve"> initial set of</w:t>
      </w:r>
      <w:r>
        <w:t xml:space="preserve"> e-cigarette groups </w:t>
      </w:r>
      <w:r w:rsidR="00073BD9">
        <w:t>r</w:t>
      </w:r>
      <w:r>
        <w:t>aised additional questions</w:t>
      </w:r>
      <w:r w:rsidR="007A3752">
        <w:t xml:space="preserve"> which this study aims to address</w:t>
      </w:r>
      <w:r>
        <w:t>. In particular, the OTP study findings revealed a great diversity among e-cigarette users in terms of their attitudes, knowledge, and beliefs. A salient dimension that seemed to distinguish</w:t>
      </w:r>
      <w:r w:rsidR="007A3752">
        <w:t xml:space="preserve"> between</w:t>
      </w:r>
      <w:r>
        <w:t xml:space="preserve"> users w</w:t>
      </w:r>
      <w:r w:rsidR="000C7755">
        <w:t>as</w:t>
      </w:r>
      <w:r>
        <w:t xml:space="preserve"> their familiarity and use of different types of e-cigarette devi</w:t>
      </w:r>
      <w:r w:rsidR="00073BD9">
        <w:t xml:space="preserve">ces.  For instance, users of </w:t>
      </w:r>
      <w:proofErr w:type="spellStart"/>
      <w:r>
        <w:t>cigalikes</w:t>
      </w:r>
      <w:proofErr w:type="spellEnd"/>
      <w:r>
        <w:t xml:space="preserve"> vs.</w:t>
      </w:r>
      <w:r w:rsidR="00073BD9">
        <w:t xml:space="preserve"> users of</w:t>
      </w:r>
      <w:r>
        <w:t xml:space="preserve"> more sophisticated ‘later-generation’ </w:t>
      </w:r>
      <w:r w:rsidR="00073BD9">
        <w:t>products</w:t>
      </w:r>
      <w:r>
        <w:t xml:space="preserve"> seemed to vary greatly in</w:t>
      </w:r>
      <w:r w:rsidR="00073BD9">
        <w:t xml:space="preserve"> their experiences and attitudes</w:t>
      </w:r>
      <w:r>
        <w:t xml:space="preserve">. </w:t>
      </w:r>
      <w:r w:rsidR="00073BD9">
        <w:t>Indeed, e</w:t>
      </w:r>
      <w:r>
        <w:t>vidence from the literature suggests these devices are associated with different experiences for the user</w:t>
      </w:r>
      <w:r w:rsidR="003F5F30">
        <w:rPr>
          <w:rStyle w:val="FootnoteReference"/>
        </w:rPr>
        <w:footnoteReference w:id="3"/>
      </w:r>
      <w:r w:rsidR="00C717A0">
        <w:t>, including</w:t>
      </w:r>
      <w:r w:rsidR="007A3752">
        <w:t xml:space="preserve"> in</w:t>
      </w:r>
      <w:r>
        <w:t xml:space="preserve"> nicotine delivery</w:t>
      </w:r>
      <w:r w:rsidR="003F5F30">
        <w:rPr>
          <w:rStyle w:val="FootnoteReference"/>
        </w:rPr>
        <w:footnoteReference w:id="4"/>
      </w:r>
      <w:r>
        <w:t xml:space="preserve">. Moreover, </w:t>
      </w:r>
      <w:r w:rsidR="00073BD9">
        <w:t>individuals</w:t>
      </w:r>
      <w:r>
        <w:t xml:space="preserve"> differ in their pr</w:t>
      </w:r>
      <w:r w:rsidR="00073BD9">
        <w:t>e</w:t>
      </w:r>
      <w:r>
        <w:t>ference for each type of product</w:t>
      </w:r>
      <w:r w:rsidR="003F5F30">
        <w:rPr>
          <w:rStyle w:val="FootnoteReference"/>
        </w:rPr>
        <w:footnoteReference w:id="5"/>
      </w:r>
      <w:r w:rsidR="004D14D6">
        <w:t xml:space="preserve"> </w:t>
      </w:r>
      <w:r>
        <w:t xml:space="preserve">and some evidence suggests that many users start with </w:t>
      </w:r>
      <w:proofErr w:type="spellStart"/>
      <w:r>
        <w:t>cigalikes</w:t>
      </w:r>
      <w:proofErr w:type="spellEnd"/>
      <w:r>
        <w:t xml:space="preserve"> and then many </w:t>
      </w:r>
      <w:r w:rsidR="000939BD">
        <w:t xml:space="preserve">of those users </w:t>
      </w:r>
      <w:r w:rsidR="008A40C2">
        <w:t>progress</w:t>
      </w:r>
      <w:r>
        <w:t xml:space="preserve"> to more advanced</w:t>
      </w:r>
      <w:r w:rsidR="000939BD">
        <w:t>, customizable,</w:t>
      </w:r>
      <w:r>
        <w:t xml:space="preserve"> devices</w:t>
      </w:r>
      <w:r w:rsidR="003F5F30">
        <w:rPr>
          <w:rStyle w:val="FootnoteReference"/>
        </w:rPr>
        <w:footnoteReference w:id="6"/>
      </w:r>
      <w:r>
        <w:t>.  Device preference, t</w:t>
      </w:r>
      <w:r w:rsidR="00073BD9">
        <w:t>hen, is a meaningful category that distinguishes between</w:t>
      </w:r>
      <w:r>
        <w:t xml:space="preserve"> user groups. Because the differences in the device technology can affect the user experience, we hypothesize that users’ knowledge, attitudes and beliefs, are likely to differ as well. </w:t>
      </w:r>
    </w:p>
    <w:p w:rsidR="00196B94" w:rsidRDefault="00196B94" w:rsidP="00604FE0">
      <w:pPr>
        <w:ind w:left="720"/>
      </w:pPr>
    </w:p>
    <w:p w:rsidR="008A6B7F" w:rsidRDefault="004F391C" w:rsidP="00604FE0">
      <w:pPr>
        <w:ind w:left="720"/>
      </w:pPr>
      <w:r>
        <w:t>Although the scientific literature</w:t>
      </w:r>
      <w:r w:rsidR="00073BD9">
        <w:t xml:space="preserve"> on ENDS</w:t>
      </w:r>
      <w:r>
        <w:t xml:space="preserve"> is growing at a rapid pace, there remain significant gaps in our knowledge related to consumers’ language, knowledge, attitudes and beliefs, and how </w:t>
      </w:r>
      <w:r w:rsidR="000939BD">
        <w:t xml:space="preserve">they relate to or may be affected by </w:t>
      </w:r>
      <w:r>
        <w:t xml:space="preserve">device type. National surveillance of </w:t>
      </w:r>
      <w:r w:rsidR="00073BD9">
        <w:t>ENDS use is critical for</w:t>
      </w:r>
      <w:r>
        <w:t xml:space="preserve"> monitor</w:t>
      </w:r>
      <w:r w:rsidR="00073BD9">
        <w:t xml:space="preserve">ing the </w:t>
      </w:r>
      <w:r w:rsidR="00C717A0">
        <w:t>emerging phenomenon</w:t>
      </w:r>
      <w:r w:rsidR="00073BD9">
        <w:t xml:space="preserve"> of this </w:t>
      </w:r>
      <w:r w:rsidR="00073BD9">
        <w:lastRenderedPageBreak/>
        <w:t>product category</w:t>
      </w:r>
      <w:r>
        <w:t>.</w:t>
      </w:r>
      <w:r w:rsidR="00073BD9">
        <w:t xml:space="preserve"> </w:t>
      </w:r>
      <w:r w:rsidR="00672DDD" w:rsidRPr="008525D5">
        <w:t>S</w:t>
      </w:r>
      <w:r w:rsidR="00356FF0" w:rsidRPr="008525D5">
        <w:t xml:space="preserve">urveillance </w:t>
      </w:r>
      <w:r w:rsidR="00C717A0">
        <w:t>is</w:t>
      </w:r>
      <w:r w:rsidR="00356FF0" w:rsidRPr="008525D5">
        <w:t xml:space="preserve"> </w:t>
      </w:r>
      <w:r w:rsidR="006D58D7" w:rsidRPr="008525D5">
        <w:t>challenged</w:t>
      </w:r>
      <w:r w:rsidR="00C717A0">
        <w:t>, however,</w:t>
      </w:r>
      <w:r w:rsidR="00356FF0" w:rsidRPr="008525D5">
        <w:t xml:space="preserve"> by </w:t>
      </w:r>
      <w:r w:rsidR="00C717A0">
        <w:t>gaps in</w:t>
      </w:r>
      <w:r w:rsidR="00356FF0" w:rsidRPr="008525D5">
        <w:t xml:space="preserve"> </w:t>
      </w:r>
      <w:r w:rsidR="00C717A0">
        <w:t>knowledge</w:t>
      </w:r>
      <w:r w:rsidR="00356FF0" w:rsidRPr="008525D5">
        <w:t xml:space="preserve"> about </w:t>
      </w:r>
      <w:r w:rsidR="006704E9">
        <w:t xml:space="preserve">which </w:t>
      </w:r>
      <w:r w:rsidR="00C717A0">
        <w:t xml:space="preserve">behaviors should be asked about, and </w:t>
      </w:r>
      <w:r w:rsidR="00356FF0" w:rsidRPr="008525D5">
        <w:t>how best to ask</w:t>
      </w:r>
      <w:r w:rsidR="00C717A0">
        <w:t xml:space="preserve"> those</w:t>
      </w:r>
      <w:r w:rsidR="00356FF0" w:rsidRPr="008525D5">
        <w:t xml:space="preserve"> questions.</w:t>
      </w:r>
      <w:r w:rsidR="00FE18DB" w:rsidRPr="00CB6204">
        <w:t xml:space="preserve"> </w:t>
      </w:r>
      <w:r w:rsidR="0040479E">
        <w:t xml:space="preserve">This study contributes to our ongoing research designed to uncover the salient and relevant topics to be addressed by national surveillance efforts.  </w:t>
      </w:r>
      <w:r w:rsidR="006704E9">
        <w:t>Moreover, a</w:t>
      </w:r>
      <w:r w:rsidR="0040479E">
        <w:t xml:space="preserve">n ongoing challenge for </w:t>
      </w:r>
      <w:r w:rsidR="00073BD9">
        <w:t>ENDS</w:t>
      </w:r>
      <w:r w:rsidR="0040479E">
        <w:t xml:space="preserve"> research is determining the </w:t>
      </w:r>
      <w:r w:rsidR="000939BD">
        <w:t xml:space="preserve">appropriate </w:t>
      </w:r>
      <w:r w:rsidR="0040479E">
        <w:t xml:space="preserve">terms, labels, and language to use. </w:t>
      </w:r>
      <w:r w:rsidR="008A6B7F">
        <w:t xml:space="preserve">Findings for this study will inform the development of survey items to most effectively capture the experience of ENDS users. </w:t>
      </w:r>
    </w:p>
    <w:p w:rsidR="00C00897" w:rsidRDefault="00C00897" w:rsidP="00C00897">
      <w:pPr>
        <w:ind w:left="720"/>
        <w:rPr>
          <w:rStyle w:val="Emphasis"/>
          <w:i w:val="0"/>
          <w:color w:val="000000"/>
        </w:rPr>
      </w:pPr>
    </w:p>
    <w:p w:rsidR="005F5802" w:rsidRDefault="00581584" w:rsidP="00C00897">
      <w:pPr>
        <w:ind w:left="720"/>
        <w:rPr>
          <w:rStyle w:val="Emphasis"/>
          <w:i w:val="0"/>
          <w:color w:val="000000"/>
        </w:rPr>
      </w:pPr>
      <w:r>
        <w:rPr>
          <w:rStyle w:val="Emphasis"/>
          <w:i w:val="0"/>
          <w:color w:val="000000"/>
        </w:rPr>
        <w:t xml:space="preserve">As stated above, </w:t>
      </w:r>
      <w:r w:rsidR="005F5802" w:rsidRPr="00CB6204">
        <w:rPr>
          <w:rStyle w:val="Emphasis"/>
          <w:i w:val="0"/>
          <w:color w:val="000000"/>
        </w:rPr>
        <w:t xml:space="preserve">FDA has indicated its intention to </w:t>
      </w:r>
      <w:r w:rsidR="00100441">
        <w:rPr>
          <w:rStyle w:val="Emphasis"/>
          <w:i w:val="0"/>
          <w:color w:val="000000"/>
        </w:rPr>
        <w:t>asse</w:t>
      </w:r>
      <w:r w:rsidR="005F5802" w:rsidRPr="00CB6204">
        <w:rPr>
          <w:rStyle w:val="Emphasis"/>
          <w:i w:val="0"/>
          <w:color w:val="000000"/>
        </w:rPr>
        <w:t xml:space="preserve">rt jurisdiction over </w:t>
      </w:r>
      <w:r w:rsidR="006704E9">
        <w:rPr>
          <w:rStyle w:val="Emphasis"/>
          <w:i w:val="0"/>
          <w:color w:val="000000"/>
        </w:rPr>
        <w:t>ENDS</w:t>
      </w:r>
      <w:r w:rsidR="002D3F8E" w:rsidRPr="00CB6204">
        <w:rPr>
          <w:rStyle w:val="Emphasis"/>
          <w:i w:val="0"/>
          <w:color w:val="000000"/>
        </w:rPr>
        <w:t xml:space="preserve"> </w:t>
      </w:r>
      <w:r w:rsidR="005F5802" w:rsidRPr="00CB6204">
        <w:rPr>
          <w:rStyle w:val="Emphasis"/>
          <w:i w:val="0"/>
          <w:color w:val="000000"/>
        </w:rPr>
        <w:t xml:space="preserve">products.  Thus, </w:t>
      </w:r>
      <w:r w:rsidR="00C00897">
        <w:rPr>
          <w:rStyle w:val="Emphasis"/>
          <w:i w:val="0"/>
          <w:color w:val="000000"/>
        </w:rPr>
        <w:t xml:space="preserve">in addition to informing </w:t>
      </w:r>
      <w:r w:rsidR="008A6B7F">
        <w:rPr>
          <w:rStyle w:val="Emphasis"/>
          <w:i w:val="0"/>
          <w:color w:val="000000"/>
        </w:rPr>
        <w:t>surveillance</w:t>
      </w:r>
      <w:r w:rsidR="00C00897">
        <w:rPr>
          <w:rStyle w:val="Emphasis"/>
          <w:i w:val="0"/>
          <w:color w:val="000000"/>
        </w:rPr>
        <w:t xml:space="preserve"> efforts, </w:t>
      </w:r>
      <w:r w:rsidR="000939BD">
        <w:rPr>
          <w:rStyle w:val="Emphasis"/>
          <w:i w:val="0"/>
          <w:color w:val="000000"/>
        </w:rPr>
        <w:t xml:space="preserve">this research will also enable </w:t>
      </w:r>
      <w:r w:rsidR="005F5802" w:rsidRPr="00CB6204">
        <w:rPr>
          <w:rStyle w:val="Emphasis"/>
          <w:i w:val="0"/>
          <w:color w:val="000000"/>
        </w:rPr>
        <w:t>FDA</w:t>
      </w:r>
      <w:r w:rsidR="000939BD">
        <w:rPr>
          <w:rStyle w:val="Emphasis"/>
          <w:i w:val="0"/>
          <w:color w:val="000000"/>
        </w:rPr>
        <w:t xml:space="preserve"> </w:t>
      </w:r>
      <w:r w:rsidR="005F5802" w:rsidRPr="00CB6204">
        <w:rPr>
          <w:rStyle w:val="Emphasis"/>
          <w:i w:val="0"/>
          <w:color w:val="000000"/>
        </w:rPr>
        <w:t xml:space="preserve">to build the knowledge base </w:t>
      </w:r>
      <w:r w:rsidR="000939BD">
        <w:rPr>
          <w:rStyle w:val="Emphasis"/>
          <w:i w:val="0"/>
          <w:color w:val="000000"/>
        </w:rPr>
        <w:t xml:space="preserve">about these products in order </w:t>
      </w:r>
      <w:r w:rsidR="008A6B7F">
        <w:rPr>
          <w:rStyle w:val="Emphasis"/>
          <w:i w:val="0"/>
          <w:color w:val="000000"/>
        </w:rPr>
        <w:t>to inform future communication and education efforts</w:t>
      </w:r>
      <w:r w:rsidR="000939BD">
        <w:rPr>
          <w:rStyle w:val="Emphasis"/>
          <w:i w:val="0"/>
          <w:color w:val="000000"/>
        </w:rPr>
        <w:t>.</w:t>
      </w:r>
    </w:p>
    <w:p w:rsidR="00042822" w:rsidRPr="00CB6204" w:rsidRDefault="00042822" w:rsidP="00C00897">
      <w:pPr>
        <w:ind w:left="720"/>
        <w:rPr>
          <w:rStyle w:val="Emphasis"/>
          <w:i w:val="0"/>
          <w:color w:val="000000"/>
        </w:rPr>
      </w:pPr>
    </w:p>
    <w:p w:rsidR="005247FE" w:rsidRDefault="005247FE" w:rsidP="00486996">
      <w:pPr>
        <w:pStyle w:val="Level1"/>
        <w:widowControl/>
        <w:numPr>
          <w:ilvl w:val="0"/>
          <w:numId w:val="0"/>
        </w:numPr>
        <w:tabs>
          <w:tab w:val="left" w:pos="-1440"/>
        </w:tabs>
        <w:ind w:left="720"/>
        <w:rPr>
          <w:sz w:val="24"/>
        </w:rPr>
      </w:pPr>
    </w:p>
    <w:p w:rsidR="00634D4A" w:rsidRPr="0022552F" w:rsidRDefault="00634D4A" w:rsidP="00634D4A">
      <w:pPr>
        <w:numPr>
          <w:ilvl w:val="0"/>
          <w:numId w:val="15"/>
        </w:numPr>
        <w:tabs>
          <w:tab w:val="clear" w:pos="1296"/>
          <w:tab w:val="num" w:pos="720"/>
        </w:tabs>
        <w:ind w:left="720"/>
      </w:pPr>
      <w:r>
        <w:rPr>
          <w:b/>
        </w:rPr>
        <w:t xml:space="preserve">Description of respondents: </w:t>
      </w:r>
    </w:p>
    <w:p w:rsidR="00634D4A" w:rsidRDefault="00634D4A" w:rsidP="00634D4A">
      <w:pPr>
        <w:ind w:left="720"/>
      </w:pPr>
    </w:p>
    <w:p w:rsidR="00634D4A" w:rsidRDefault="00634D4A" w:rsidP="00634D4A">
      <w:pPr>
        <w:pStyle w:val="ListParagraph"/>
      </w:pPr>
      <w:r>
        <w:t>A total of 24 focus groups will be conducted with users of e-cigarettes.  Groups will be conducted in four locations, which were selected based on prevalence rates of use of the products of interest, need for geographic diversity, as well as ability to reach both rural and urban participants: New York, NY; Chicago, IL; Memphis, TN; and Denver, CO.  Respondents will participate in one focus group.  So that the groups are homogeneous in terms of familiarity with the characteristics of interest, respondents will be segmented in terms of experience with one of two types of products (</w:t>
      </w:r>
      <w:proofErr w:type="spellStart"/>
      <w:r>
        <w:t>cigalikes</w:t>
      </w:r>
      <w:proofErr w:type="spellEnd"/>
      <w:r>
        <w:t xml:space="preserve"> vs. tank systems).  Groups will be conducted with young adults (18-29 years) and adults (30+) and with those who live in urban and rural zip codes.  Groups will include a mix of ages, sex, races/ethnicities, and education levels. The table below provides the segmentation for the 24 groups. </w:t>
      </w:r>
    </w:p>
    <w:p w:rsidR="00634D4A" w:rsidRDefault="00634D4A" w:rsidP="00634D4A">
      <w:pPr>
        <w:pStyle w:val="ListParagraph"/>
      </w:pPr>
    </w:p>
    <w:p w:rsidR="00634D4A" w:rsidRDefault="00634D4A" w:rsidP="00634D4A">
      <w:pPr>
        <w:rPr>
          <w:b/>
          <w:bCs/>
          <w:caps/>
        </w:rPr>
      </w:pPr>
    </w:p>
    <w:p w:rsidR="00634D4A" w:rsidRDefault="00634D4A" w:rsidP="00634D4A">
      <w:pPr>
        <w:rPr>
          <w:b/>
          <w:bCs/>
          <w:caps/>
        </w:rPr>
      </w:pPr>
      <w:r w:rsidRPr="004B2EB0">
        <w:rPr>
          <w:b/>
          <w:bCs/>
          <w:caps/>
        </w:rPr>
        <w:t xml:space="preserve">Focus Group Segmentation </w:t>
      </w:r>
    </w:p>
    <w:p w:rsidR="00634D4A" w:rsidRDefault="00634D4A" w:rsidP="00634D4A">
      <w:pPr>
        <w:rPr>
          <w:b/>
          <w:bCs/>
          <w:caps/>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178"/>
        <w:gridCol w:w="1430"/>
        <w:gridCol w:w="1267"/>
        <w:gridCol w:w="1279"/>
        <w:gridCol w:w="1094"/>
        <w:gridCol w:w="1178"/>
        <w:gridCol w:w="1010"/>
      </w:tblGrid>
      <w:tr w:rsidR="00634D4A" w:rsidRPr="00C031DA" w:rsidTr="00634D4A">
        <w:trPr>
          <w:trHeight w:val="695"/>
        </w:trPr>
        <w:tc>
          <w:tcPr>
            <w:tcW w:w="1515" w:type="dxa"/>
            <w:shd w:val="clear" w:color="auto" w:fill="BFBFBF"/>
          </w:tcPr>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Segment</w:t>
            </w:r>
          </w:p>
        </w:tc>
        <w:tc>
          <w:tcPr>
            <w:tcW w:w="1178" w:type="dxa"/>
            <w:shd w:val="clear" w:color="auto" w:fill="BFBFBF"/>
          </w:tcPr>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Northeast (NYC)</w:t>
            </w:r>
          </w:p>
        </w:tc>
        <w:tc>
          <w:tcPr>
            <w:tcW w:w="1430" w:type="dxa"/>
            <w:shd w:val="clear" w:color="auto" w:fill="BFBFBF"/>
          </w:tcPr>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Midwest</w:t>
            </w:r>
          </w:p>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(Chicago)</w:t>
            </w:r>
          </w:p>
        </w:tc>
        <w:tc>
          <w:tcPr>
            <w:tcW w:w="1267" w:type="dxa"/>
            <w:shd w:val="clear" w:color="auto" w:fill="BFBFBF"/>
          </w:tcPr>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South</w:t>
            </w:r>
          </w:p>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(Memphis)</w:t>
            </w:r>
          </w:p>
        </w:tc>
        <w:tc>
          <w:tcPr>
            <w:tcW w:w="1279" w:type="dxa"/>
            <w:shd w:val="clear" w:color="auto" w:fill="BFBFBF"/>
          </w:tcPr>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South</w:t>
            </w:r>
          </w:p>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Rural</w:t>
            </w:r>
          </w:p>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(Memphis)</w:t>
            </w:r>
          </w:p>
        </w:tc>
        <w:tc>
          <w:tcPr>
            <w:tcW w:w="1094" w:type="dxa"/>
            <w:shd w:val="clear" w:color="auto" w:fill="BFBFBF"/>
          </w:tcPr>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West</w:t>
            </w:r>
          </w:p>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(Denver)</w:t>
            </w:r>
          </w:p>
        </w:tc>
        <w:tc>
          <w:tcPr>
            <w:tcW w:w="1178" w:type="dxa"/>
            <w:shd w:val="clear" w:color="auto" w:fill="BFBFBF"/>
          </w:tcPr>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West Rural</w:t>
            </w:r>
          </w:p>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(Denver)</w:t>
            </w:r>
          </w:p>
        </w:tc>
        <w:tc>
          <w:tcPr>
            <w:tcW w:w="1010" w:type="dxa"/>
            <w:shd w:val="clear" w:color="auto" w:fill="BFBFBF"/>
          </w:tcPr>
          <w:p w:rsidR="00634D4A" w:rsidRPr="00C031DA" w:rsidRDefault="00634D4A" w:rsidP="00634D4A">
            <w:pPr>
              <w:spacing w:line="276" w:lineRule="auto"/>
              <w:jc w:val="center"/>
              <w:rPr>
                <w:rFonts w:ascii="Calibri" w:hAnsi="Calibri"/>
                <w:b/>
                <w:sz w:val="20"/>
                <w:szCs w:val="20"/>
              </w:rPr>
            </w:pPr>
            <w:r w:rsidRPr="00C031DA">
              <w:rPr>
                <w:rFonts w:ascii="Calibri" w:hAnsi="Calibri"/>
                <w:b/>
                <w:sz w:val="20"/>
                <w:szCs w:val="20"/>
              </w:rPr>
              <w:t>TOTAL</w:t>
            </w:r>
          </w:p>
        </w:tc>
      </w:tr>
      <w:tr w:rsidR="00634D4A" w:rsidRPr="00C031DA" w:rsidTr="00634D4A">
        <w:trPr>
          <w:trHeight w:val="326"/>
        </w:trPr>
        <w:tc>
          <w:tcPr>
            <w:tcW w:w="1515" w:type="dxa"/>
            <w:shd w:val="clear" w:color="auto" w:fill="auto"/>
          </w:tcPr>
          <w:p w:rsidR="00634D4A" w:rsidRPr="00C031DA" w:rsidRDefault="00634D4A" w:rsidP="00634D4A">
            <w:pPr>
              <w:spacing w:line="276" w:lineRule="auto"/>
              <w:rPr>
                <w:rFonts w:ascii="Calibri" w:hAnsi="Calibri"/>
                <w:sz w:val="20"/>
                <w:szCs w:val="20"/>
              </w:rPr>
            </w:pPr>
            <w:r>
              <w:rPr>
                <w:rFonts w:ascii="Calibri" w:hAnsi="Calibri"/>
                <w:sz w:val="20"/>
                <w:szCs w:val="20"/>
              </w:rPr>
              <w:t xml:space="preserve">Young Adult </w:t>
            </w:r>
            <w:r w:rsidRPr="00C031DA">
              <w:rPr>
                <w:rFonts w:ascii="Calibri" w:hAnsi="Calibri"/>
                <w:sz w:val="20"/>
                <w:szCs w:val="20"/>
              </w:rPr>
              <w:t xml:space="preserve"> </w:t>
            </w:r>
            <w:proofErr w:type="spellStart"/>
            <w:r w:rsidRPr="00C031DA">
              <w:rPr>
                <w:rFonts w:ascii="Calibri" w:hAnsi="Calibri"/>
                <w:sz w:val="20"/>
                <w:szCs w:val="20"/>
              </w:rPr>
              <w:t>Cigalike</w:t>
            </w:r>
            <w:proofErr w:type="spellEnd"/>
          </w:p>
        </w:tc>
        <w:tc>
          <w:tcPr>
            <w:tcW w:w="1178"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430" w:type="dxa"/>
            <w:shd w:val="clear" w:color="auto" w:fill="auto"/>
          </w:tcPr>
          <w:p w:rsidR="00634D4A" w:rsidRPr="00C031DA" w:rsidRDefault="00634D4A" w:rsidP="00634D4A">
            <w:pPr>
              <w:spacing w:line="276" w:lineRule="auto"/>
              <w:rPr>
                <w:rFonts w:ascii="Calibri" w:hAnsi="Calibri"/>
                <w:sz w:val="20"/>
                <w:szCs w:val="20"/>
              </w:rPr>
            </w:pPr>
          </w:p>
        </w:tc>
        <w:tc>
          <w:tcPr>
            <w:tcW w:w="1267" w:type="dxa"/>
            <w:shd w:val="clear" w:color="auto" w:fill="auto"/>
          </w:tcPr>
          <w:p w:rsidR="00634D4A" w:rsidRPr="00C031DA" w:rsidRDefault="00634D4A" w:rsidP="00634D4A">
            <w:pPr>
              <w:spacing w:line="276" w:lineRule="auto"/>
              <w:rPr>
                <w:rFonts w:ascii="Calibri" w:hAnsi="Calibri"/>
                <w:sz w:val="20"/>
                <w:szCs w:val="20"/>
              </w:rPr>
            </w:pPr>
          </w:p>
        </w:tc>
        <w:tc>
          <w:tcPr>
            <w:tcW w:w="1279"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094" w:type="dxa"/>
            <w:shd w:val="clear" w:color="auto" w:fill="auto"/>
          </w:tcPr>
          <w:p w:rsidR="00634D4A" w:rsidRPr="00C031DA" w:rsidRDefault="00634D4A" w:rsidP="00634D4A">
            <w:pPr>
              <w:spacing w:line="276" w:lineRule="auto"/>
              <w:rPr>
                <w:rFonts w:ascii="Calibri" w:hAnsi="Calibri"/>
                <w:sz w:val="20"/>
                <w:szCs w:val="20"/>
              </w:rPr>
            </w:pPr>
          </w:p>
        </w:tc>
        <w:tc>
          <w:tcPr>
            <w:tcW w:w="1178"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010" w:type="dxa"/>
            <w:shd w:val="clear" w:color="auto" w:fill="BFBFBF"/>
          </w:tcPr>
          <w:p w:rsidR="00634D4A" w:rsidRPr="00C031DA" w:rsidRDefault="00634D4A" w:rsidP="00634D4A">
            <w:pPr>
              <w:spacing w:line="276" w:lineRule="auto"/>
              <w:jc w:val="right"/>
              <w:rPr>
                <w:rFonts w:ascii="Calibri" w:hAnsi="Calibri"/>
                <w:b/>
                <w:sz w:val="20"/>
                <w:szCs w:val="20"/>
              </w:rPr>
            </w:pPr>
            <w:r w:rsidRPr="00C031DA">
              <w:rPr>
                <w:rFonts w:ascii="Calibri" w:hAnsi="Calibri"/>
                <w:b/>
                <w:sz w:val="20"/>
                <w:szCs w:val="20"/>
              </w:rPr>
              <w:t>6</w:t>
            </w:r>
          </w:p>
        </w:tc>
      </w:tr>
      <w:tr w:rsidR="00634D4A" w:rsidRPr="00C031DA" w:rsidTr="00634D4A">
        <w:trPr>
          <w:trHeight w:val="670"/>
        </w:trPr>
        <w:tc>
          <w:tcPr>
            <w:tcW w:w="1515" w:type="dxa"/>
            <w:shd w:val="clear" w:color="auto" w:fill="auto"/>
          </w:tcPr>
          <w:p w:rsidR="00634D4A" w:rsidRPr="00C031DA" w:rsidRDefault="00634D4A" w:rsidP="00634D4A">
            <w:pPr>
              <w:spacing w:line="276" w:lineRule="auto"/>
              <w:rPr>
                <w:rFonts w:ascii="Calibri" w:hAnsi="Calibri"/>
                <w:sz w:val="20"/>
                <w:szCs w:val="20"/>
              </w:rPr>
            </w:pPr>
            <w:r>
              <w:rPr>
                <w:rFonts w:ascii="Calibri" w:hAnsi="Calibri"/>
                <w:sz w:val="20"/>
                <w:szCs w:val="20"/>
              </w:rPr>
              <w:t>Adult</w:t>
            </w:r>
            <w:r w:rsidRPr="00C031DA">
              <w:rPr>
                <w:rFonts w:ascii="Calibri" w:hAnsi="Calibri"/>
                <w:sz w:val="20"/>
                <w:szCs w:val="20"/>
              </w:rPr>
              <w:t xml:space="preserve"> </w:t>
            </w:r>
            <w:proofErr w:type="spellStart"/>
            <w:r w:rsidRPr="00C031DA">
              <w:rPr>
                <w:rFonts w:ascii="Calibri" w:hAnsi="Calibri"/>
                <w:sz w:val="20"/>
                <w:szCs w:val="20"/>
              </w:rPr>
              <w:t>Cigalike</w:t>
            </w:r>
            <w:proofErr w:type="spellEnd"/>
          </w:p>
        </w:tc>
        <w:tc>
          <w:tcPr>
            <w:tcW w:w="1178" w:type="dxa"/>
            <w:shd w:val="clear" w:color="auto" w:fill="auto"/>
          </w:tcPr>
          <w:p w:rsidR="00634D4A" w:rsidRPr="00C031DA" w:rsidRDefault="00634D4A" w:rsidP="00634D4A">
            <w:pPr>
              <w:spacing w:line="276" w:lineRule="auto"/>
              <w:rPr>
                <w:rFonts w:ascii="Calibri" w:hAnsi="Calibri"/>
                <w:sz w:val="20"/>
                <w:szCs w:val="20"/>
              </w:rPr>
            </w:pPr>
          </w:p>
        </w:tc>
        <w:tc>
          <w:tcPr>
            <w:tcW w:w="1430"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267"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279"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 xml:space="preserve"> </w:t>
            </w:r>
          </w:p>
        </w:tc>
        <w:tc>
          <w:tcPr>
            <w:tcW w:w="1094"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178" w:type="dxa"/>
            <w:shd w:val="clear" w:color="auto" w:fill="auto"/>
          </w:tcPr>
          <w:p w:rsidR="00634D4A" w:rsidRPr="00C031DA" w:rsidRDefault="00634D4A" w:rsidP="00634D4A">
            <w:pPr>
              <w:spacing w:line="276" w:lineRule="auto"/>
              <w:rPr>
                <w:rFonts w:ascii="Calibri" w:hAnsi="Calibri"/>
                <w:sz w:val="20"/>
                <w:szCs w:val="20"/>
              </w:rPr>
            </w:pPr>
          </w:p>
        </w:tc>
        <w:tc>
          <w:tcPr>
            <w:tcW w:w="1010" w:type="dxa"/>
            <w:shd w:val="clear" w:color="auto" w:fill="BFBFBF"/>
          </w:tcPr>
          <w:p w:rsidR="00634D4A" w:rsidRPr="00C031DA" w:rsidRDefault="00634D4A" w:rsidP="00634D4A">
            <w:pPr>
              <w:spacing w:line="276" w:lineRule="auto"/>
              <w:jc w:val="right"/>
              <w:rPr>
                <w:rFonts w:ascii="Calibri" w:hAnsi="Calibri"/>
                <w:b/>
                <w:sz w:val="20"/>
                <w:szCs w:val="20"/>
              </w:rPr>
            </w:pPr>
            <w:r w:rsidRPr="00C031DA">
              <w:rPr>
                <w:rFonts w:ascii="Calibri" w:hAnsi="Calibri"/>
                <w:b/>
                <w:sz w:val="20"/>
                <w:szCs w:val="20"/>
              </w:rPr>
              <w:t>6</w:t>
            </w:r>
          </w:p>
        </w:tc>
      </w:tr>
      <w:tr w:rsidR="00634D4A" w:rsidRPr="00C031DA" w:rsidTr="00634D4A">
        <w:trPr>
          <w:trHeight w:val="326"/>
        </w:trPr>
        <w:tc>
          <w:tcPr>
            <w:tcW w:w="1515" w:type="dxa"/>
            <w:shd w:val="clear" w:color="auto" w:fill="auto"/>
          </w:tcPr>
          <w:p w:rsidR="00634D4A" w:rsidRPr="00C031DA" w:rsidRDefault="00634D4A" w:rsidP="00634D4A">
            <w:pPr>
              <w:spacing w:line="276" w:lineRule="auto"/>
              <w:rPr>
                <w:rFonts w:ascii="Calibri" w:hAnsi="Calibri"/>
                <w:sz w:val="20"/>
                <w:szCs w:val="20"/>
              </w:rPr>
            </w:pPr>
            <w:r>
              <w:rPr>
                <w:rFonts w:ascii="Calibri" w:hAnsi="Calibri"/>
                <w:sz w:val="20"/>
                <w:szCs w:val="20"/>
              </w:rPr>
              <w:t xml:space="preserve">Young Adult </w:t>
            </w:r>
            <w:r w:rsidRPr="00C031DA">
              <w:rPr>
                <w:rFonts w:ascii="Calibri" w:hAnsi="Calibri"/>
                <w:sz w:val="20"/>
                <w:szCs w:val="20"/>
              </w:rPr>
              <w:t>Tank</w:t>
            </w:r>
            <w:r>
              <w:rPr>
                <w:rFonts w:ascii="Calibri" w:hAnsi="Calibri"/>
                <w:sz w:val="20"/>
                <w:szCs w:val="20"/>
              </w:rPr>
              <w:t xml:space="preserve"> System</w:t>
            </w:r>
          </w:p>
        </w:tc>
        <w:tc>
          <w:tcPr>
            <w:tcW w:w="1178"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430" w:type="dxa"/>
            <w:shd w:val="clear" w:color="auto" w:fill="auto"/>
          </w:tcPr>
          <w:p w:rsidR="00634D4A" w:rsidRPr="00C031DA" w:rsidRDefault="00634D4A" w:rsidP="00634D4A">
            <w:pPr>
              <w:spacing w:line="276" w:lineRule="auto"/>
              <w:rPr>
                <w:rFonts w:ascii="Calibri" w:hAnsi="Calibri"/>
                <w:sz w:val="20"/>
                <w:szCs w:val="20"/>
              </w:rPr>
            </w:pPr>
          </w:p>
        </w:tc>
        <w:tc>
          <w:tcPr>
            <w:tcW w:w="1267"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279"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094" w:type="dxa"/>
            <w:shd w:val="clear" w:color="auto" w:fill="auto"/>
          </w:tcPr>
          <w:p w:rsidR="00634D4A" w:rsidRPr="00C031DA" w:rsidRDefault="00634D4A" w:rsidP="00634D4A">
            <w:pPr>
              <w:spacing w:line="276" w:lineRule="auto"/>
              <w:rPr>
                <w:rFonts w:ascii="Calibri" w:hAnsi="Calibri"/>
                <w:sz w:val="20"/>
                <w:szCs w:val="20"/>
              </w:rPr>
            </w:pPr>
          </w:p>
        </w:tc>
        <w:tc>
          <w:tcPr>
            <w:tcW w:w="1178" w:type="dxa"/>
            <w:shd w:val="clear" w:color="auto" w:fill="auto"/>
          </w:tcPr>
          <w:p w:rsidR="00634D4A" w:rsidRPr="00C031DA" w:rsidRDefault="00634D4A" w:rsidP="00634D4A">
            <w:pPr>
              <w:spacing w:line="276" w:lineRule="auto"/>
              <w:rPr>
                <w:rFonts w:ascii="Calibri" w:hAnsi="Calibri"/>
                <w:sz w:val="20"/>
                <w:szCs w:val="20"/>
              </w:rPr>
            </w:pPr>
          </w:p>
        </w:tc>
        <w:tc>
          <w:tcPr>
            <w:tcW w:w="1010" w:type="dxa"/>
            <w:shd w:val="clear" w:color="auto" w:fill="BFBFBF"/>
          </w:tcPr>
          <w:p w:rsidR="00634D4A" w:rsidRPr="00C031DA" w:rsidRDefault="00634D4A" w:rsidP="00634D4A">
            <w:pPr>
              <w:spacing w:line="276" w:lineRule="auto"/>
              <w:jc w:val="right"/>
              <w:rPr>
                <w:rFonts w:ascii="Calibri" w:hAnsi="Calibri"/>
                <w:b/>
                <w:sz w:val="20"/>
                <w:szCs w:val="20"/>
              </w:rPr>
            </w:pPr>
            <w:r w:rsidRPr="00C031DA">
              <w:rPr>
                <w:rFonts w:ascii="Calibri" w:hAnsi="Calibri"/>
                <w:b/>
                <w:sz w:val="20"/>
                <w:szCs w:val="20"/>
              </w:rPr>
              <w:t>6</w:t>
            </w:r>
          </w:p>
        </w:tc>
      </w:tr>
      <w:tr w:rsidR="00634D4A" w:rsidRPr="00C031DA" w:rsidTr="00634D4A">
        <w:trPr>
          <w:trHeight w:val="326"/>
        </w:trPr>
        <w:tc>
          <w:tcPr>
            <w:tcW w:w="1515" w:type="dxa"/>
            <w:shd w:val="clear" w:color="auto" w:fill="auto"/>
          </w:tcPr>
          <w:p w:rsidR="00634D4A" w:rsidRPr="00C031DA" w:rsidRDefault="00634D4A" w:rsidP="00634D4A">
            <w:pPr>
              <w:spacing w:line="276" w:lineRule="auto"/>
              <w:rPr>
                <w:rFonts w:ascii="Calibri" w:hAnsi="Calibri"/>
                <w:sz w:val="20"/>
                <w:szCs w:val="20"/>
              </w:rPr>
            </w:pPr>
            <w:r>
              <w:rPr>
                <w:rFonts w:ascii="Calibri" w:hAnsi="Calibri"/>
                <w:sz w:val="20"/>
                <w:szCs w:val="20"/>
              </w:rPr>
              <w:t xml:space="preserve">Adult </w:t>
            </w:r>
            <w:r w:rsidRPr="00C031DA">
              <w:rPr>
                <w:rFonts w:ascii="Calibri" w:hAnsi="Calibri"/>
                <w:sz w:val="20"/>
                <w:szCs w:val="20"/>
              </w:rPr>
              <w:t>Tank</w:t>
            </w:r>
            <w:r>
              <w:rPr>
                <w:rFonts w:ascii="Calibri" w:hAnsi="Calibri"/>
                <w:sz w:val="20"/>
                <w:szCs w:val="20"/>
              </w:rPr>
              <w:t xml:space="preserve"> System</w:t>
            </w:r>
          </w:p>
        </w:tc>
        <w:tc>
          <w:tcPr>
            <w:tcW w:w="1178" w:type="dxa"/>
            <w:shd w:val="clear" w:color="auto" w:fill="auto"/>
          </w:tcPr>
          <w:p w:rsidR="00634D4A" w:rsidRPr="00C031DA" w:rsidRDefault="00634D4A" w:rsidP="00634D4A">
            <w:pPr>
              <w:spacing w:line="276" w:lineRule="auto"/>
              <w:rPr>
                <w:rFonts w:ascii="Calibri" w:hAnsi="Calibri"/>
                <w:sz w:val="20"/>
                <w:szCs w:val="20"/>
              </w:rPr>
            </w:pPr>
          </w:p>
        </w:tc>
        <w:tc>
          <w:tcPr>
            <w:tcW w:w="1430"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267" w:type="dxa"/>
            <w:shd w:val="clear" w:color="auto" w:fill="auto"/>
          </w:tcPr>
          <w:p w:rsidR="00634D4A" w:rsidRPr="00C031DA" w:rsidRDefault="00634D4A" w:rsidP="00634D4A">
            <w:pPr>
              <w:spacing w:line="276" w:lineRule="auto"/>
              <w:rPr>
                <w:rFonts w:ascii="Calibri" w:hAnsi="Calibri"/>
                <w:sz w:val="20"/>
                <w:szCs w:val="20"/>
              </w:rPr>
            </w:pPr>
          </w:p>
        </w:tc>
        <w:tc>
          <w:tcPr>
            <w:tcW w:w="1279" w:type="dxa"/>
            <w:shd w:val="clear" w:color="auto" w:fill="auto"/>
          </w:tcPr>
          <w:p w:rsidR="00634D4A" w:rsidRPr="00C031DA" w:rsidRDefault="00634D4A" w:rsidP="00634D4A">
            <w:pPr>
              <w:spacing w:line="276" w:lineRule="auto"/>
              <w:rPr>
                <w:rFonts w:ascii="Calibri" w:hAnsi="Calibri"/>
                <w:sz w:val="20"/>
                <w:szCs w:val="20"/>
              </w:rPr>
            </w:pPr>
          </w:p>
        </w:tc>
        <w:tc>
          <w:tcPr>
            <w:tcW w:w="1094"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178" w:type="dxa"/>
            <w:shd w:val="clear" w:color="auto" w:fill="auto"/>
          </w:tcPr>
          <w:p w:rsidR="00634D4A" w:rsidRPr="00C031DA" w:rsidRDefault="00634D4A" w:rsidP="00634D4A">
            <w:pPr>
              <w:spacing w:line="276" w:lineRule="auto"/>
              <w:rPr>
                <w:rFonts w:ascii="Calibri" w:hAnsi="Calibri"/>
                <w:sz w:val="20"/>
                <w:szCs w:val="20"/>
              </w:rPr>
            </w:pPr>
            <w:r w:rsidRPr="00C031DA">
              <w:rPr>
                <w:rFonts w:ascii="Calibri" w:hAnsi="Calibri"/>
                <w:sz w:val="20"/>
                <w:szCs w:val="20"/>
              </w:rPr>
              <w:t>2</w:t>
            </w:r>
          </w:p>
        </w:tc>
        <w:tc>
          <w:tcPr>
            <w:tcW w:w="1010" w:type="dxa"/>
            <w:shd w:val="clear" w:color="auto" w:fill="BFBFBF"/>
          </w:tcPr>
          <w:p w:rsidR="00634D4A" w:rsidRPr="00C031DA" w:rsidRDefault="00634D4A" w:rsidP="00634D4A">
            <w:pPr>
              <w:spacing w:line="276" w:lineRule="auto"/>
              <w:jc w:val="right"/>
              <w:rPr>
                <w:rFonts w:ascii="Calibri" w:hAnsi="Calibri"/>
                <w:b/>
                <w:sz w:val="20"/>
                <w:szCs w:val="20"/>
              </w:rPr>
            </w:pPr>
            <w:r w:rsidRPr="00C031DA">
              <w:rPr>
                <w:rFonts w:ascii="Calibri" w:hAnsi="Calibri"/>
                <w:b/>
                <w:sz w:val="20"/>
                <w:szCs w:val="20"/>
              </w:rPr>
              <w:t>6</w:t>
            </w:r>
          </w:p>
        </w:tc>
      </w:tr>
      <w:tr w:rsidR="00634D4A" w:rsidRPr="00C031DA" w:rsidTr="00634D4A">
        <w:trPr>
          <w:trHeight w:val="326"/>
        </w:trPr>
        <w:tc>
          <w:tcPr>
            <w:tcW w:w="1515" w:type="dxa"/>
            <w:shd w:val="clear" w:color="auto" w:fill="BFBFBF"/>
          </w:tcPr>
          <w:p w:rsidR="00634D4A" w:rsidRPr="00C031DA" w:rsidRDefault="00634D4A" w:rsidP="00634D4A">
            <w:pPr>
              <w:spacing w:line="276" w:lineRule="auto"/>
              <w:rPr>
                <w:rFonts w:ascii="Calibri" w:hAnsi="Calibri"/>
                <w:b/>
                <w:sz w:val="20"/>
                <w:szCs w:val="20"/>
              </w:rPr>
            </w:pPr>
            <w:r w:rsidRPr="00C031DA">
              <w:rPr>
                <w:rFonts w:ascii="Calibri" w:hAnsi="Calibri"/>
                <w:b/>
                <w:sz w:val="20"/>
                <w:szCs w:val="20"/>
              </w:rPr>
              <w:t>TOTAL</w:t>
            </w:r>
          </w:p>
        </w:tc>
        <w:tc>
          <w:tcPr>
            <w:tcW w:w="1178" w:type="dxa"/>
            <w:shd w:val="clear" w:color="auto" w:fill="BFBFBF"/>
          </w:tcPr>
          <w:p w:rsidR="00634D4A" w:rsidRPr="00C031DA" w:rsidRDefault="00634D4A" w:rsidP="00634D4A">
            <w:pPr>
              <w:spacing w:line="276" w:lineRule="auto"/>
              <w:rPr>
                <w:rFonts w:ascii="Calibri" w:hAnsi="Calibri"/>
                <w:b/>
                <w:sz w:val="20"/>
                <w:szCs w:val="20"/>
              </w:rPr>
            </w:pPr>
            <w:r w:rsidRPr="00C031DA">
              <w:rPr>
                <w:rFonts w:ascii="Calibri" w:hAnsi="Calibri"/>
                <w:b/>
                <w:sz w:val="20"/>
                <w:szCs w:val="20"/>
              </w:rPr>
              <w:t>4</w:t>
            </w:r>
          </w:p>
        </w:tc>
        <w:tc>
          <w:tcPr>
            <w:tcW w:w="1430" w:type="dxa"/>
            <w:shd w:val="clear" w:color="auto" w:fill="BFBFBF"/>
          </w:tcPr>
          <w:p w:rsidR="00634D4A" w:rsidRPr="00C031DA" w:rsidRDefault="00634D4A" w:rsidP="00634D4A">
            <w:pPr>
              <w:spacing w:line="276" w:lineRule="auto"/>
              <w:rPr>
                <w:rFonts w:ascii="Calibri" w:hAnsi="Calibri"/>
                <w:b/>
                <w:sz w:val="20"/>
                <w:szCs w:val="20"/>
              </w:rPr>
            </w:pPr>
            <w:r w:rsidRPr="00C031DA">
              <w:rPr>
                <w:rFonts w:ascii="Calibri" w:hAnsi="Calibri"/>
                <w:b/>
                <w:sz w:val="20"/>
                <w:szCs w:val="20"/>
              </w:rPr>
              <w:t>4</w:t>
            </w:r>
          </w:p>
        </w:tc>
        <w:tc>
          <w:tcPr>
            <w:tcW w:w="1267" w:type="dxa"/>
            <w:shd w:val="clear" w:color="auto" w:fill="BFBFBF"/>
          </w:tcPr>
          <w:p w:rsidR="00634D4A" w:rsidRPr="00C031DA" w:rsidRDefault="00634D4A" w:rsidP="00634D4A">
            <w:pPr>
              <w:spacing w:line="276" w:lineRule="auto"/>
              <w:rPr>
                <w:rFonts w:ascii="Calibri" w:hAnsi="Calibri"/>
                <w:b/>
                <w:sz w:val="20"/>
                <w:szCs w:val="20"/>
              </w:rPr>
            </w:pPr>
            <w:r w:rsidRPr="00C031DA">
              <w:rPr>
                <w:rFonts w:ascii="Calibri" w:hAnsi="Calibri"/>
                <w:b/>
                <w:sz w:val="20"/>
                <w:szCs w:val="20"/>
              </w:rPr>
              <w:t>4</w:t>
            </w:r>
          </w:p>
        </w:tc>
        <w:tc>
          <w:tcPr>
            <w:tcW w:w="1279" w:type="dxa"/>
            <w:shd w:val="clear" w:color="auto" w:fill="BFBFBF"/>
          </w:tcPr>
          <w:p w:rsidR="00634D4A" w:rsidRPr="00C031DA" w:rsidRDefault="00634D4A" w:rsidP="00634D4A">
            <w:pPr>
              <w:spacing w:line="276" w:lineRule="auto"/>
              <w:rPr>
                <w:rFonts w:ascii="Calibri" w:hAnsi="Calibri"/>
                <w:b/>
                <w:sz w:val="20"/>
                <w:szCs w:val="20"/>
              </w:rPr>
            </w:pPr>
            <w:r w:rsidRPr="00C031DA">
              <w:rPr>
                <w:rFonts w:ascii="Calibri" w:hAnsi="Calibri"/>
                <w:b/>
                <w:sz w:val="20"/>
                <w:szCs w:val="20"/>
              </w:rPr>
              <w:t>4</w:t>
            </w:r>
          </w:p>
        </w:tc>
        <w:tc>
          <w:tcPr>
            <w:tcW w:w="1094" w:type="dxa"/>
            <w:shd w:val="clear" w:color="auto" w:fill="BFBFBF"/>
          </w:tcPr>
          <w:p w:rsidR="00634D4A" w:rsidRPr="00C031DA" w:rsidRDefault="00634D4A" w:rsidP="00634D4A">
            <w:pPr>
              <w:spacing w:line="276" w:lineRule="auto"/>
              <w:rPr>
                <w:rFonts w:ascii="Calibri" w:hAnsi="Calibri"/>
                <w:b/>
                <w:sz w:val="20"/>
                <w:szCs w:val="20"/>
              </w:rPr>
            </w:pPr>
            <w:r w:rsidRPr="00C031DA">
              <w:rPr>
                <w:rFonts w:ascii="Calibri" w:hAnsi="Calibri"/>
                <w:b/>
                <w:sz w:val="20"/>
                <w:szCs w:val="20"/>
              </w:rPr>
              <w:t>4</w:t>
            </w:r>
          </w:p>
        </w:tc>
        <w:tc>
          <w:tcPr>
            <w:tcW w:w="1178" w:type="dxa"/>
            <w:shd w:val="clear" w:color="auto" w:fill="BFBFBF"/>
          </w:tcPr>
          <w:p w:rsidR="00634D4A" w:rsidRPr="00C031DA" w:rsidRDefault="00634D4A" w:rsidP="00634D4A">
            <w:pPr>
              <w:spacing w:line="276" w:lineRule="auto"/>
              <w:rPr>
                <w:rFonts w:ascii="Calibri" w:hAnsi="Calibri"/>
                <w:b/>
                <w:sz w:val="20"/>
                <w:szCs w:val="20"/>
              </w:rPr>
            </w:pPr>
            <w:r w:rsidRPr="00C031DA">
              <w:rPr>
                <w:rFonts w:ascii="Calibri" w:hAnsi="Calibri"/>
                <w:b/>
                <w:sz w:val="20"/>
                <w:szCs w:val="20"/>
              </w:rPr>
              <w:t>4</w:t>
            </w:r>
          </w:p>
        </w:tc>
        <w:tc>
          <w:tcPr>
            <w:tcW w:w="1010" w:type="dxa"/>
            <w:shd w:val="clear" w:color="auto" w:fill="BFBFBF"/>
          </w:tcPr>
          <w:p w:rsidR="00634D4A" w:rsidRPr="00C031DA" w:rsidRDefault="00634D4A" w:rsidP="00634D4A">
            <w:pPr>
              <w:spacing w:line="276" w:lineRule="auto"/>
              <w:jc w:val="right"/>
              <w:rPr>
                <w:rFonts w:ascii="Calibri" w:hAnsi="Calibri"/>
                <w:b/>
                <w:sz w:val="20"/>
                <w:szCs w:val="20"/>
              </w:rPr>
            </w:pPr>
            <w:r w:rsidRPr="00C031DA">
              <w:rPr>
                <w:rFonts w:ascii="Calibri" w:hAnsi="Calibri"/>
                <w:b/>
                <w:sz w:val="20"/>
                <w:szCs w:val="20"/>
              </w:rPr>
              <w:t>24</w:t>
            </w:r>
          </w:p>
        </w:tc>
      </w:tr>
    </w:tbl>
    <w:p w:rsidR="00634D4A" w:rsidRDefault="00634D4A" w:rsidP="00634D4A"/>
    <w:p w:rsidR="00634D4A" w:rsidRDefault="00634D4A" w:rsidP="00634D4A">
      <w:pPr>
        <w:ind w:left="720"/>
      </w:pPr>
      <w:r>
        <w:t>The contractor will recruit 12 individuals for each focus group discussion, with the expectation of having 8 to 10 participants per group. To be eligible to p</w:t>
      </w:r>
      <w:r w:rsidRPr="00A95296">
        <w:t>articipat</w:t>
      </w:r>
      <w:r>
        <w:t>e, respondents</w:t>
      </w:r>
      <w:r w:rsidRPr="00A95296">
        <w:t xml:space="preserve"> must be able to read, understand, and speak English.</w:t>
      </w:r>
      <w:bookmarkStart w:id="0" w:name="OLE_LINK1"/>
      <w:r>
        <w:t xml:space="preserve"> Respondents </w:t>
      </w:r>
      <w:r w:rsidRPr="00A95296">
        <w:t xml:space="preserve">cannot have participated in a focus group or a similar study in the past 6 months. </w:t>
      </w:r>
      <w:bookmarkEnd w:id="0"/>
      <w:r>
        <w:t xml:space="preserve">Additionally, </w:t>
      </w:r>
      <w:r>
        <w:lastRenderedPageBreak/>
        <w:t>no i</w:t>
      </w:r>
      <w:r w:rsidRPr="00A95296">
        <w:t xml:space="preserve">ndividual will </w:t>
      </w:r>
      <w:r>
        <w:t>be included to participate if he/she</w:t>
      </w:r>
      <w:r w:rsidRPr="00A95296">
        <w:t xml:space="preserve"> or a household member ever lobbied on behalf of the tobacco industry or</w:t>
      </w:r>
      <w:r w:rsidRPr="00141AC0">
        <w:t xml:space="preserve"> </w:t>
      </w:r>
      <w:r w:rsidRPr="00A95296">
        <w:t>personally</w:t>
      </w:r>
      <w:r>
        <w:rPr>
          <w:b/>
          <w:bCs/>
        </w:rPr>
        <w:t xml:space="preserve"> </w:t>
      </w:r>
      <w:r w:rsidRPr="00A95296">
        <w:rPr>
          <w:bCs/>
        </w:rPr>
        <w:t>represented or worked on behalf of</w:t>
      </w:r>
      <w:r>
        <w:rPr>
          <w:bCs/>
        </w:rPr>
        <w:t xml:space="preserve"> </w:t>
      </w:r>
      <w:r w:rsidRPr="00A95296">
        <w:rPr>
          <w:bCs/>
        </w:rPr>
        <w:t>a tobacco company in connection with a tobacco</w:t>
      </w:r>
      <w:r>
        <w:rPr>
          <w:bCs/>
        </w:rPr>
        <w:t xml:space="preserve"> </w:t>
      </w:r>
      <w:r w:rsidRPr="00A95296">
        <w:rPr>
          <w:bCs/>
        </w:rPr>
        <w:t>lawsuit</w:t>
      </w:r>
      <w:r w:rsidRPr="00A95296">
        <w:t>.</w:t>
      </w:r>
      <w:r>
        <w:t xml:space="preserve"> No i</w:t>
      </w:r>
      <w:r w:rsidRPr="00A95296">
        <w:t xml:space="preserve">ndividual will </w:t>
      </w:r>
      <w:r>
        <w:t>be included to participate if he/she</w:t>
      </w:r>
      <w:r w:rsidRPr="00A95296">
        <w:t xml:space="preserve"> or a household member worked in the past 5 years for any of the following</w:t>
      </w:r>
      <w:r>
        <w:t xml:space="preserve"> entities</w:t>
      </w:r>
      <w:r w:rsidRPr="00A95296">
        <w:t>:</w:t>
      </w:r>
      <w:r>
        <w:t xml:space="preserve"> </w:t>
      </w:r>
    </w:p>
    <w:p w:rsidR="00634D4A" w:rsidRDefault="00634D4A" w:rsidP="00634D4A">
      <w:pPr>
        <w:pStyle w:val="ListParagraph"/>
        <w:numPr>
          <w:ilvl w:val="0"/>
          <w:numId w:val="23"/>
        </w:numPr>
      </w:pPr>
      <w:r w:rsidRPr="00A95296">
        <w:t>a tobacco or cigarette company</w:t>
      </w:r>
      <w:r>
        <w:t>;</w:t>
      </w:r>
      <w:r w:rsidRPr="00A95296">
        <w:t xml:space="preserve"> </w:t>
      </w:r>
    </w:p>
    <w:p w:rsidR="00634D4A" w:rsidRDefault="00634D4A" w:rsidP="00634D4A">
      <w:pPr>
        <w:pStyle w:val="ListParagraph"/>
        <w:numPr>
          <w:ilvl w:val="0"/>
          <w:numId w:val="23"/>
        </w:numPr>
      </w:pPr>
      <w:r w:rsidRPr="00A95296">
        <w:t>a public health or community</w:t>
      </w:r>
      <w:r w:rsidRPr="00A95296">
        <w:rPr>
          <w:color w:val="000080"/>
        </w:rPr>
        <w:t xml:space="preserve"> </w:t>
      </w:r>
      <w:r w:rsidRPr="00A95296">
        <w:t>organization involved in communicating the dangers of smoking or the benefits of quitting</w:t>
      </w:r>
      <w:r>
        <w:t>;</w:t>
      </w:r>
      <w:r w:rsidRPr="00A95296">
        <w:t xml:space="preserve"> </w:t>
      </w:r>
    </w:p>
    <w:p w:rsidR="00634D4A" w:rsidRDefault="00634D4A" w:rsidP="00634D4A">
      <w:pPr>
        <w:pStyle w:val="ListParagraph"/>
        <w:numPr>
          <w:ilvl w:val="0"/>
          <w:numId w:val="23"/>
        </w:numPr>
        <w:rPr>
          <w:b/>
          <w:i/>
        </w:rPr>
      </w:pPr>
      <w:r w:rsidRPr="00A95296">
        <w:t>a marketing, advertising</w:t>
      </w:r>
      <w:r>
        <w:t>,</w:t>
      </w:r>
      <w:r w:rsidRPr="00A95296">
        <w:t xml:space="preserve"> or public relations agency</w:t>
      </w:r>
      <w:r w:rsidRPr="00A95296">
        <w:rPr>
          <w:i/>
          <w:iCs/>
        </w:rPr>
        <w:t xml:space="preserve"> </w:t>
      </w:r>
      <w:r w:rsidRPr="00A95296">
        <w:t>or department</w:t>
      </w:r>
      <w:r>
        <w:t>;</w:t>
      </w:r>
      <w:r>
        <w:rPr>
          <w:b/>
          <w:i/>
        </w:rPr>
        <w:t xml:space="preserve"> </w:t>
      </w:r>
    </w:p>
    <w:p w:rsidR="00634D4A" w:rsidRDefault="00634D4A" w:rsidP="00634D4A">
      <w:pPr>
        <w:pStyle w:val="ListParagraph"/>
        <w:numPr>
          <w:ilvl w:val="0"/>
          <w:numId w:val="23"/>
        </w:numPr>
      </w:pPr>
      <w:r w:rsidRPr="00A95296">
        <w:t>U.S. Food and Drug Administration (FDA)</w:t>
      </w:r>
      <w:r>
        <w:t xml:space="preserve">; </w:t>
      </w:r>
    </w:p>
    <w:p w:rsidR="00634D4A" w:rsidRDefault="00634D4A" w:rsidP="00634D4A">
      <w:pPr>
        <w:pStyle w:val="ListParagraph"/>
        <w:numPr>
          <w:ilvl w:val="0"/>
          <w:numId w:val="23"/>
        </w:numPr>
      </w:pPr>
      <w:r w:rsidRPr="00A95296">
        <w:t>National Institutes of Health (NIH)</w:t>
      </w:r>
      <w:r>
        <w:t>;</w:t>
      </w:r>
      <w:r w:rsidRPr="00A83D63">
        <w:t xml:space="preserve"> </w:t>
      </w:r>
    </w:p>
    <w:p w:rsidR="00634D4A" w:rsidRPr="00C464EC" w:rsidRDefault="00634D4A" w:rsidP="00634D4A">
      <w:pPr>
        <w:pStyle w:val="ListParagraph"/>
        <w:numPr>
          <w:ilvl w:val="0"/>
          <w:numId w:val="23"/>
        </w:numPr>
        <w:rPr>
          <w:b/>
          <w:i/>
        </w:rPr>
      </w:pPr>
      <w:r w:rsidRPr="00F4036A">
        <w:rPr>
          <w:bCs/>
          <w:iCs/>
        </w:rPr>
        <w:t>Centers for Disease Control and Prevention (CDC)</w:t>
      </w:r>
      <w:r>
        <w:rPr>
          <w:bCs/>
          <w:iCs/>
        </w:rPr>
        <w:t>;</w:t>
      </w:r>
    </w:p>
    <w:p w:rsidR="00634D4A" w:rsidRPr="00C464EC" w:rsidRDefault="00634D4A" w:rsidP="00634D4A">
      <w:pPr>
        <w:pStyle w:val="Question"/>
        <w:numPr>
          <w:ilvl w:val="0"/>
          <w:numId w:val="23"/>
        </w:numPr>
        <w:tabs>
          <w:tab w:val="left" w:pos="540"/>
          <w:tab w:val="left" w:pos="1080"/>
        </w:tabs>
        <w:spacing w:before="0" w:after="0"/>
        <w:outlineLvl w:val="3"/>
        <w:rPr>
          <w:rFonts w:ascii="Times New Roman" w:hAnsi="Times New Roman"/>
          <w:color w:val="222222"/>
          <w:sz w:val="24"/>
          <w:szCs w:val="24"/>
        </w:rPr>
      </w:pPr>
      <w:r w:rsidRPr="00C464EC">
        <w:rPr>
          <w:rFonts w:ascii="Times New Roman" w:hAnsi="Times New Roman"/>
          <w:bCs/>
          <w:iCs/>
          <w:sz w:val="24"/>
          <w:szCs w:val="24"/>
        </w:rPr>
        <w:t>Substance Abuse and Mental Health Services Administration (SAMHSA)</w:t>
      </w:r>
      <w:r>
        <w:rPr>
          <w:rFonts w:ascii="Times New Roman" w:hAnsi="Times New Roman"/>
          <w:bCs/>
          <w:iCs/>
          <w:sz w:val="24"/>
          <w:szCs w:val="24"/>
        </w:rPr>
        <w:t>;</w:t>
      </w:r>
      <w:r w:rsidRPr="00C464EC">
        <w:t xml:space="preserve"> </w:t>
      </w:r>
      <w:r w:rsidRPr="00C464EC">
        <w:rPr>
          <w:rFonts w:ascii="Times New Roman" w:hAnsi="Times New Roman"/>
          <w:sz w:val="24"/>
          <w:szCs w:val="24"/>
        </w:rPr>
        <w:t>and/or</w:t>
      </w:r>
      <w:r>
        <w:t xml:space="preserve">  </w:t>
      </w:r>
    </w:p>
    <w:p w:rsidR="00634D4A" w:rsidRPr="00CF07B8" w:rsidRDefault="00634D4A" w:rsidP="00634D4A">
      <w:pPr>
        <w:pStyle w:val="Question"/>
        <w:numPr>
          <w:ilvl w:val="0"/>
          <w:numId w:val="23"/>
        </w:numPr>
        <w:tabs>
          <w:tab w:val="left" w:pos="540"/>
          <w:tab w:val="left" w:pos="1080"/>
        </w:tabs>
        <w:spacing w:before="0" w:after="0"/>
        <w:outlineLvl w:val="3"/>
        <w:rPr>
          <w:rFonts w:ascii="Times New Roman" w:hAnsi="Times New Roman"/>
          <w:sz w:val="24"/>
          <w:szCs w:val="24"/>
        </w:rPr>
      </w:pPr>
      <w:r w:rsidRPr="00CF07B8">
        <w:rPr>
          <w:rFonts w:ascii="Times New Roman" w:hAnsi="Times New Roman"/>
          <w:sz w:val="24"/>
          <w:szCs w:val="24"/>
        </w:rPr>
        <w:t>Centers for Medicare &amp; Medicaid Services (CMS).</w:t>
      </w:r>
    </w:p>
    <w:p w:rsidR="00634D4A" w:rsidRDefault="00634D4A" w:rsidP="00634D4A">
      <w:pPr>
        <w:ind w:left="720"/>
      </w:pPr>
    </w:p>
    <w:p w:rsidR="00634D4A" w:rsidRPr="007952A7" w:rsidRDefault="00634D4A" w:rsidP="00634D4A">
      <w:pPr>
        <w:numPr>
          <w:ilvl w:val="0"/>
          <w:numId w:val="15"/>
        </w:numPr>
        <w:tabs>
          <w:tab w:val="clear" w:pos="1296"/>
          <w:tab w:val="num" w:pos="720"/>
        </w:tabs>
        <w:ind w:left="720"/>
      </w:pPr>
      <w:r w:rsidRPr="00E26798">
        <w:rPr>
          <w:b/>
        </w:rPr>
        <w:t xml:space="preserve">Date(s) </w:t>
      </w:r>
      <w:r>
        <w:rPr>
          <w:b/>
        </w:rPr>
        <w:t xml:space="preserve">to be conducted </w:t>
      </w:r>
      <w:r w:rsidRPr="00E26798">
        <w:rPr>
          <w:b/>
        </w:rPr>
        <w:t>and location(s)</w:t>
      </w:r>
      <w:r>
        <w:rPr>
          <w:b/>
        </w:rPr>
        <w:t xml:space="preserve">: </w:t>
      </w:r>
    </w:p>
    <w:p w:rsidR="00634D4A" w:rsidRDefault="00634D4A" w:rsidP="00634D4A">
      <w:pPr>
        <w:ind w:left="720"/>
      </w:pPr>
      <w:r>
        <w:t xml:space="preserve">The focus groups will be conducted </w:t>
      </w:r>
      <w:r w:rsidRPr="00A63245">
        <w:t>in</w:t>
      </w:r>
      <w:r>
        <w:t xml:space="preserve"> winter</w:t>
      </w:r>
      <w:r w:rsidR="00F11CE1">
        <w:t>/ early spring</w:t>
      </w:r>
      <w:r>
        <w:t>, 2016. The focus groups will be conducted in New York, NY; Chicago, IL; Memphis, TN; and Denver, CO.</w:t>
      </w:r>
    </w:p>
    <w:p w:rsidR="00634D4A" w:rsidRDefault="00634D4A" w:rsidP="00634D4A">
      <w:pPr>
        <w:ind w:left="360"/>
        <w:jc w:val="both"/>
      </w:pPr>
    </w:p>
    <w:p w:rsidR="00634D4A" w:rsidRPr="007952A7" w:rsidRDefault="00634D4A" w:rsidP="00634D4A">
      <w:pPr>
        <w:numPr>
          <w:ilvl w:val="0"/>
          <w:numId w:val="15"/>
        </w:numPr>
        <w:tabs>
          <w:tab w:val="clear" w:pos="1296"/>
          <w:tab w:val="num" w:pos="720"/>
        </w:tabs>
        <w:ind w:left="720"/>
      </w:pPr>
      <w:r>
        <w:rPr>
          <w:b/>
        </w:rPr>
        <w:t>How the Information is being collected:</w:t>
      </w:r>
    </w:p>
    <w:p w:rsidR="00634D4A" w:rsidRDefault="00634D4A" w:rsidP="00634D4A">
      <w:pPr>
        <w:ind w:left="720"/>
      </w:pPr>
      <w:r>
        <w:t xml:space="preserve">Focus groups </w:t>
      </w:r>
      <w:r w:rsidRPr="00562AB0">
        <w:t>are used to obtain insights into target audience perceptions, beliefs, and attitudes in the early stages of the communication process (i.e., in concept, str</w:t>
      </w:r>
      <w:r>
        <w:t>ategy, and materials development</w:t>
      </w:r>
      <w:r w:rsidRPr="00562AB0">
        <w:t>)</w:t>
      </w:r>
      <w:r>
        <w:t xml:space="preserve"> and to inform the development of quantitative research. </w:t>
      </w:r>
      <w:r w:rsidRPr="00562AB0">
        <w:t xml:space="preserve">Focus groups are usually composed of 8 </w:t>
      </w:r>
      <w:r>
        <w:t>to</w:t>
      </w:r>
      <w:r w:rsidRPr="00562AB0">
        <w:t xml:space="preserve"> 10 people who have characteristics similar to the target audience or subgroups of the target audience</w:t>
      </w:r>
      <w:r>
        <w:t xml:space="preserve">. </w:t>
      </w:r>
      <w:r w:rsidRPr="00562AB0">
        <w:t>The groups are conducted by a professional moderator who keeps the session on track while allowing respondents to talk openly and spontaneously. The moderator uses a loosely structured discussion outline, which allows him/her to change direction as the discussion unfolds and new topics emerge. Focus groups are valuable in exploring consumer reactions to message concepts before additional resources are put into development.</w:t>
      </w:r>
      <w:r w:rsidR="00E11453">
        <w:t xml:space="preserve"> </w:t>
      </w:r>
    </w:p>
    <w:p w:rsidR="005304CE" w:rsidRDefault="005304CE" w:rsidP="005304CE">
      <w:pPr>
        <w:ind w:left="720"/>
      </w:pPr>
    </w:p>
    <w:p w:rsidR="005304CE" w:rsidRDefault="005304CE" w:rsidP="005304CE">
      <w:pPr>
        <w:ind w:left="720"/>
      </w:pPr>
      <w:r>
        <w:t xml:space="preserve">In reporting qualitative findings, it is customary to report the summary </w:t>
      </w:r>
      <w:proofErr w:type="spellStart"/>
      <w:r>
        <w:t>sociodemographic</w:t>
      </w:r>
      <w:proofErr w:type="spellEnd"/>
      <w:r>
        <w:t xml:space="preserve"> characteristics of the overall sample based on information collected at screening.  To keep the screening questions to a minimum, some background questions will be asked once participants arrive to participate, prior to the focus group discussion.  In particular, a brief Background Assessment will be administered prior to the focus group discussion to assess behavioral characteristics of the sample not ascertained in screening. </w:t>
      </w:r>
    </w:p>
    <w:p w:rsidR="00634D4A" w:rsidRDefault="00634D4A" w:rsidP="00634D4A">
      <w:pPr>
        <w:pStyle w:val="Level1"/>
        <w:widowControl/>
        <w:numPr>
          <w:ilvl w:val="0"/>
          <w:numId w:val="0"/>
        </w:numPr>
        <w:tabs>
          <w:tab w:val="left" w:pos="-1440"/>
        </w:tabs>
        <w:ind w:left="720"/>
        <w:rPr>
          <w:sz w:val="24"/>
        </w:rPr>
      </w:pPr>
    </w:p>
    <w:p w:rsidR="00634D4A" w:rsidRPr="00C9767F" w:rsidRDefault="00634D4A" w:rsidP="00634D4A">
      <w:pPr>
        <w:pStyle w:val="Level1"/>
        <w:widowControl/>
        <w:numPr>
          <w:ilvl w:val="0"/>
          <w:numId w:val="0"/>
        </w:numPr>
        <w:tabs>
          <w:tab w:val="left" w:pos="-1440"/>
        </w:tabs>
        <w:ind w:left="720"/>
        <w:rPr>
          <w:sz w:val="24"/>
        </w:rPr>
      </w:pPr>
      <w:r>
        <w:rPr>
          <w:sz w:val="24"/>
        </w:rPr>
        <w:t>For this study, e</w:t>
      </w:r>
      <w:r w:rsidRPr="00067F38">
        <w:rPr>
          <w:sz w:val="24"/>
        </w:rPr>
        <w:t xml:space="preserve">ach focus group will be conducted at a local marketing </w:t>
      </w:r>
      <w:r>
        <w:rPr>
          <w:sz w:val="24"/>
        </w:rPr>
        <w:t xml:space="preserve">research firm. </w:t>
      </w:r>
      <w:r w:rsidRPr="00067F38">
        <w:rPr>
          <w:sz w:val="24"/>
        </w:rPr>
        <w:t xml:space="preserve">With respondent consent, each group will be </w:t>
      </w:r>
      <w:r>
        <w:rPr>
          <w:sz w:val="24"/>
        </w:rPr>
        <w:t>audio-</w:t>
      </w:r>
      <w:r w:rsidRPr="00067F38">
        <w:rPr>
          <w:sz w:val="24"/>
        </w:rPr>
        <w:t>recorded and monitored by FDA</w:t>
      </w:r>
      <w:r>
        <w:rPr>
          <w:sz w:val="24"/>
        </w:rPr>
        <w:t xml:space="preserve"> representatives from</w:t>
      </w:r>
      <w:r w:rsidRPr="00067F38">
        <w:rPr>
          <w:sz w:val="24"/>
        </w:rPr>
        <w:t xml:space="preserve"> behind a two-way mirror. Using a structured moderator guide, a professional moderator will lead each group through a discussion</w:t>
      </w:r>
      <w:r>
        <w:rPr>
          <w:sz w:val="24"/>
        </w:rPr>
        <w:t xml:space="preserve"> focused on one of the e-cigarette product types of interest. </w:t>
      </w:r>
    </w:p>
    <w:p w:rsidR="00634D4A" w:rsidRPr="00562AB0" w:rsidRDefault="00634D4A" w:rsidP="00634D4A">
      <w:pPr>
        <w:ind w:left="720"/>
      </w:pPr>
    </w:p>
    <w:p w:rsidR="00634D4A" w:rsidRPr="00C66C31" w:rsidRDefault="00634D4A" w:rsidP="00634D4A">
      <w:pPr>
        <w:numPr>
          <w:ilvl w:val="0"/>
          <w:numId w:val="15"/>
        </w:numPr>
        <w:tabs>
          <w:tab w:val="clear" w:pos="1296"/>
          <w:tab w:val="num" w:pos="720"/>
        </w:tabs>
        <w:ind w:left="720"/>
      </w:pPr>
      <w:r w:rsidRPr="00E26798">
        <w:rPr>
          <w:b/>
        </w:rPr>
        <w:t>Number of focus groups</w:t>
      </w:r>
      <w:r>
        <w:rPr>
          <w:b/>
        </w:rPr>
        <w:t>:</w:t>
      </w:r>
    </w:p>
    <w:p w:rsidR="00634D4A" w:rsidRDefault="00634D4A" w:rsidP="00634D4A">
      <w:pPr>
        <w:ind w:left="720"/>
      </w:pPr>
      <w:r>
        <w:t>There will be 24 focus groups representing a diverse population and range of e-cigarette users.</w:t>
      </w:r>
    </w:p>
    <w:p w:rsidR="00634D4A" w:rsidRDefault="00634D4A" w:rsidP="00634D4A">
      <w:pPr>
        <w:ind w:left="720"/>
      </w:pPr>
    </w:p>
    <w:p w:rsidR="00634D4A" w:rsidRPr="00C66C31" w:rsidRDefault="00634D4A" w:rsidP="00634D4A">
      <w:pPr>
        <w:numPr>
          <w:ilvl w:val="0"/>
          <w:numId w:val="15"/>
        </w:numPr>
        <w:tabs>
          <w:tab w:val="clear" w:pos="1296"/>
          <w:tab w:val="num" w:pos="720"/>
        </w:tabs>
        <w:ind w:left="720"/>
        <w:rPr>
          <w:b/>
        </w:rPr>
      </w:pPr>
      <w:r>
        <w:rPr>
          <w:b/>
        </w:rPr>
        <w:t>Amount and justification for any proposed incentive:</w:t>
      </w:r>
      <w:r>
        <w:t xml:space="preserve"> </w:t>
      </w:r>
    </w:p>
    <w:p w:rsidR="00634D4A" w:rsidRDefault="00634D4A" w:rsidP="00634D4A">
      <w:pPr>
        <w:pStyle w:val="ListParagraph"/>
      </w:pPr>
      <w:r>
        <w:lastRenderedPageBreak/>
        <w:t xml:space="preserve">Potential participants have competing demands for their time, so incentives are used to encourage participation in focus groups. Incentives must be </w:t>
      </w:r>
      <w:r w:rsidR="00242085">
        <w:t>sufficient</w:t>
      </w:r>
      <w:r>
        <w:t xml:space="preserve"> to cover travel costs, time, and to provide enough incentive to attend the focus group rather than another activity. Focus group studies run by industry offer incentives at much higher levels than those typically </w:t>
      </w:r>
      <w:r w:rsidR="00242085">
        <w:t xml:space="preserve">offered in </w:t>
      </w:r>
      <w:r>
        <w:t xml:space="preserve">government studies (Fieldwork Denver, personal communication, March 22, 2012), establishing a </w:t>
      </w:r>
      <w:r w:rsidR="003F0940">
        <w:t xml:space="preserve">competitive </w:t>
      </w:r>
      <w:r>
        <w:t>market rate. Additionally, incentives typically are higher for harder-to-recruit populations.</w:t>
      </w:r>
      <w:r>
        <w:rPr>
          <w:rStyle w:val="FootnoteReference"/>
        </w:rPr>
        <w:footnoteReference w:id="7"/>
      </w:r>
      <w:r>
        <w:t xml:space="preserve">   </w:t>
      </w:r>
    </w:p>
    <w:p w:rsidR="00634D4A" w:rsidRDefault="00634D4A" w:rsidP="00634D4A">
      <w:pPr>
        <w:pStyle w:val="ListParagraph"/>
      </w:pPr>
    </w:p>
    <w:p w:rsidR="009C15EB" w:rsidRDefault="00634D4A" w:rsidP="00634D4A">
      <w:pPr>
        <w:pStyle w:val="ListParagraph"/>
      </w:pPr>
      <w:r w:rsidRPr="00D05490">
        <w:t>The amount of the proposed incentive is $75.</w:t>
      </w:r>
      <w:r>
        <w:t xml:space="preserve"> </w:t>
      </w:r>
    </w:p>
    <w:p w:rsidR="009C15EB" w:rsidRDefault="009C15EB" w:rsidP="00634D4A">
      <w:pPr>
        <w:pStyle w:val="ListParagraph"/>
      </w:pPr>
    </w:p>
    <w:p w:rsidR="00634D4A" w:rsidRDefault="003F0940" w:rsidP="00634D4A">
      <w:pPr>
        <w:pStyle w:val="ListParagraph"/>
      </w:pPr>
      <w:r>
        <w:t>T</w:t>
      </w:r>
      <w:r w:rsidR="00634D4A">
        <w:t xml:space="preserve">he current study’s need for participants who use </w:t>
      </w:r>
      <w:r w:rsidR="009C15EB">
        <w:t>e-cigarettes</w:t>
      </w:r>
      <w:r w:rsidR="00875B9B">
        <w:t xml:space="preserve"> </w:t>
      </w:r>
      <w:r w:rsidR="00242D3A">
        <w:t xml:space="preserve">regularly </w:t>
      </w:r>
      <w:r w:rsidR="00875B9B">
        <w:t xml:space="preserve">presents </w:t>
      </w:r>
      <w:r>
        <w:t>an additional challenge because</w:t>
      </w:r>
      <w:r w:rsidR="009C15EB">
        <w:t xml:space="preserve"> current</w:t>
      </w:r>
      <w:r w:rsidR="00875B9B">
        <w:t xml:space="preserve"> e-cigarette</w:t>
      </w:r>
      <w:r w:rsidR="009C15EB">
        <w:t xml:space="preserve"> use</w:t>
      </w:r>
      <w:r>
        <w:t>rs</w:t>
      </w:r>
      <w:r w:rsidR="009C15EB">
        <w:t xml:space="preserve"> represent a very small minority of the </w:t>
      </w:r>
      <w:r w:rsidR="00885E24">
        <w:t xml:space="preserve">overall </w:t>
      </w:r>
      <w:r w:rsidR="009C15EB">
        <w:t>population</w:t>
      </w:r>
      <w:r w:rsidR="00C50BB2">
        <w:t xml:space="preserve"> the US</w:t>
      </w:r>
      <w:r w:rsidR="00242D3A">
        <w:t>.</w:t>
      </w:r>
      <w:r w:rsidR="00E65A77">
        <w:t xml:space="preserve"> </w:t>
      </w:r>
      <w:r w:rsidR="00242D3A">
        <w:t>D</w:t>
      </w:r>
      <w:r w:rsidR="00C50BB2">
        <w:t>ata from the 2014 the National Health Interview Survey reported</w:t>
      </w:r>
      <w:r w:rsidR="00466F01">
        <w:t xml:space="preserve"> </w:t>
      </w:r>
      <w:r w:rsidR="00C50BB2">
        <w:t xml:space="preserve">prevalence of every day or </w:t>
      </w:r>
      <w:proofErr w:type="spellStart"/>
      <w:r w:rsidR="00C50BB2">
        <w:t>some day</w:t>
      </w:r>
      <w:proofErr w:type="spellEnd"/>
      <w:r w:rsidR="00410D7F">
        <w:t xml:space="preserve"> e-cigarette use among adults i</w:t>
      </w:r>
      <w:r w:rsidR="00C50BB2">
        <w:t>s</w:t>
      </w:r>
      <w:r w:rsidR="00466F01">
        <w:t xml:space="preserve"> </w:t>
      </w:r>
      <w:r w:rsidR="00875B9B">
        <w:t xml:space="preserve">only </w:t>
      </w:r>
      <w:r w:rsidR="00885E24">
        <w:t>3.7%</w:t>
      </w:r>
      <w:r w:rsidR="008701C0">
        <w:rPr>
          <w:rStyle w:val="FootnoteReference"/>
        </w:rPr>
        <w:footnoteReference w:id="8"/>
      </w:r>
      <w:proofErr w:type="gramStart"/>
      <w:r w:rsidR="00875B9B">
        <w:t>,</w:t>
      </w:r>
      <w:r w:rsidR="00466F01">
        <w:t>.</w:t>
      </w:r>
      <w:proofErr w:type="gramEnd"/>
      <w:r w:rsidR="00466F01">
        <w:t xml:space="preserve"> Additionally, this study seeks to recruit users of different e-cigarette device types, including the more common </w:t>
      </w:r>
      <w:proofErr w:type="spellStart"/>
      <w:r w:rsidR="00466F01">
        <w:t>cigalike</w:t>
      </w:r>
      <w:proofErr w:type="spellEnd"/>
      <w:r w:rsidR="00466F01">
        <w:t xml:space="preserve"> devices as well as </w:t>
      </w:r>
      <w:r w:rsidR="00B63CA8">
        <w:t>less common</w:t>
      </w:r>
      <w:r w:rsidR="00466F01">
        <w:t xml:space="preserve"> advanced, customizable devices. A 2014 report on electronic cigarettes</w:t>
      </w:r>
      <w:r w:rsidR="00D12BAB">
        <w:t xml:space="preserve"> sales</w:t>
      </w:r>
      <w:r w:rsidR="00466F01">
        <w:t xml:space="preserve"> found that m</w:t>
      </w:r>
      <w:r w:rsidR="00D12BAB">
        <w:t xml:space="preserve">arket share is 65% </w:t>
      </w:r>
      <w:proofErr w:type="spellStart"/>
      <w:r w:rsidR="00466F01">
        <w:t>cigalike</w:t>
      </w:r>
      <w:proofErr w:type="spellEnd"/>
      <w:r w:rsidR="003E0D74">
        <w:t xml:space="preserve"> devices</w:t>
      </w:r>
      <w:r w:rsidR="00466F01">
        <w:t xml:space="preserve"> and 35% adv</w:t>
      </w:r>
      <w:r w:rsidR="003E0D74">
        <w:t>anced, customizable devices</w:t>
      </w:r>
      <w:r w:rsidR="00466F01">
        <w:rPr>
          <w:rStyle w:val="FootnoteReference"/>
        </w:rPr>
        <w:footnoteReference w:id="9"/>
      </w:r>
      <w:r w:rsidR="00466F01">
        <w:t>, which may pose additional recruitment challenges for users of advanced e-cigarette products.</w:t>
      </w:r>
      <w:r w:rsidR="00C50BB2">
        <w:t xml:space="preserve"> </w:t>
      </w:r>
      <w:r w:rsidR="009C15EB">
        <w:t xml:space="preserve"> </w:t>
      </w:r>
    </w:p>
    <w:p w:rsidR="00634D4A" w:rsidRDefault="00634D4A" w:rsidP="00634D4A">
      <w:pPr>
        <w:pStyle w:val="ListParagraph"/>
      </w:pPr>
    </w:p>
    <w:p w:rsidR="00634D4A" w:rsidRDefault="00634D4A" w:rsidP="00634D4A">
      <w:pPr>
        <w:pStyle w:val="ListParagraph"/>
      </w:pPr>
      <w:r>
        <w:t>An insufficient incentive level increases recruitment difficulty (thereby reducing cost efficiency) and increases the likelihood that recruits who do agree to participate in groups, will end up not showing up for the discussion.  Low participation may result in inadequate data collection, or, in the worst cases, cancellation of groups and loss of costs associated with facility rentals, recruitment, travel costs, and moderator and observer time</w:t>
      </w:r>
      <w:r>
        <w:rPr>
          <w:rStyle w:val="FootnoteReference"/>
        </w:rPr>
        <w:footnoteReference w:id="10"/>
      </w:r>
      <w:r w:rsidR="00444902">
        <w:t>.</w:t>
      </w:r>
      <w:r>
        <w:t xml:space="preserve"> Given FDA’s need to understand consumer perceptions of tobacco</w:t>
      </w:r>
      <w:r w:rsidR="00410D7F">
        <w:t xml:space="preserve"> products</w:t>
      </w:r>
      <w:r>
        <w:t xml:space="preserve"> among varied and vulnerable populations, it is critical to this data collection that we provide adequate incentives to encourage participation among the limited number of eligible adult users. Thus, in order to obtain the sample of participants required by our study, while also minimizing biases in self-selection and balancing recruitment expenses, it is critical we offer a sufficient level of incentive.</w:t>
      </w:r>
    </w:p>
    <w:p w:rsidR="00634D4A" w:rsidRDefault="00634D4A" w:rsidP="00634D4A">
      <w:pPr>
        <w:pStyle w:val="ListParagraph"/>
      </w:pPr>
    </w:p>
    <w:p w:rsidR="00634D4A" w:rsidRDefault="00634D4A" w:rsidP="00634D4A">
      <w:pPr>
        <w:numPr>
          <w:ilvl w:val="0"/>
          <w:numId w:val="15"/>
        </w:numPr>
        <w:tabs>
          <w:tab w:val="clear" w:pos="1296"/>
          <w:tab w:val="num" w:pos="720"/>
          <w:tab w:val="num" w:pos="900"/>
        </w:tabs>
        <w:ind w:left="720"/>
        <w:rPr>
          <w:b/>
        </w:rPr>
      </w:pPr>
      <w:r>
        <w:rPr>
          <w:b/>
        </w:rPr>
        <w:t>Questions of a Sensitive Nature:</w:t>
      </w:r>
    </w:p>
    <w:p w:rsidR="00634D4A" w:rsidRDefault="00634D4A" w:rsidP="00634D4A">
      <w:pPr>
        <w:ind w:left="720"/>
      </w:pPr>
      <w:r>
        <w:t>Some studies require the inclusion of people who match selected characteristics of the target audience that FDA is trying to reach. This may require asking a question about race/ethnicity and education level on the initial screening questionnaire used for recruiting. Potential participants are informed that these questions are asked to ensure that FDA speaks with the kinds of people for whom its messages are intended. Again, respondents are assured that the information they provide is voluntary and will be treated as private and anonymous</w:t>
      </w:r>
      <w:r w:rsidR="00841FE8">
        <w:t xml:space="preserve"> to the extent allowable by law</w:t>
      </w:r>
      <w:r>
        <w:t>. All information on race/ethnicity will comply fully with the standards of OMB Statistical Policy Directive No. 15, October 1997 (http://www.whitehouse.gov/omb/fedreg/1997standards.html).</w:t>
      </w:r>
    </w:p>
    <w:p w:rsidR="00634D4A" w:rsidRDefault="00634D4A" w:rsidP="00634D4A">
      <w:pPr>
        <w:ind w:left="720"/>
      </w:pPr>
    </w:p>
    <w:p w:rsidR="00634D4A" w:rsidRDefault="00634D4A" w:rsidP="00634D4A">
      <w:pPr>
        <w:ind w:left="720"/>
      </w:pPr>
      <w:r>
        <w:t>Because FDA tobacco communications may be concerned with the prevention of premature mortality from heart disease and oral and respiratory cancers, some projects may involve asking questions about (or discussing) how one perceives his/her own personal risk for serious illness. This information is needed to gain a better understanding of the target audience, so that the messages, strategies, and materials designed will be appropriate and sensitive. Questions of this nature, which are not necessarily as personal as those about sexual behavior, household income, or religious beliefs, still require some sensitivity in how they are worded and approached. In face-to-face data collections, questions of this kind are generally asked later in the group discussion, when respondents are more comfortable with their environment. Participants are informed prior to actual participation about the nature of the activity. Additionally, the moderator makes it clear at the beginning of each group that respondents do not have to respond to any question that makes them uncomfortable.</w:t>
      </w:r>
    </w:p>
    <w:p w:rsidR="00634D4A" w:rsidRDefault="00634D4A" w:rsidP="00634D4A">
      <w:pPr>
        <w:ind w:left="720"/>
      </w:pPr>
    </w:p>
    <w:p w:rsidR="00634D4A" w:rsidRPr="00E31F4F" w:rsidRDefault="00634D4A" w:rsidP="00634D4A">
      <w:pPr>
        <w:ind w:left="720"/>
      </w:pPr>
      <w:r>
        <w:t>Raw data from data collections that include sensitive information (for example, screening questionnaires and audio recordings) are not retained once the data have been extracted and aggregated. The information never becomes part of a system of records containing permanent identifiers that can be used for retrieval.</w:t>
      </w:r>
    </w:p>
    <w:p w:rsidR="00634D4A" w:rsidRDefault="00634D4A" w:rsidP="00634D4A">
      <w:pPr>
        <w:pStyle w:val="ListParagraph"/>
      </w:pPr>
    </w:p>
    <w:p w:rsidR="00634D4A" w:rsidRDefault="00634D4A" w:rsidP="00634D4A">
      <w:pPr>
        <w:numPr>
          <w:ilvl w:val="0"/>
          <w:numId w:val="15"/>
        </w:numPr>
        <w:tabs>
          <w:tab w:val="clear" w:pos="1296"/>
          <w:tab w:val="num" w:pos="720"/>
          <w:tab w:val="num" w:pos="900"/>
        </w:tabs>
        <w:ind w:left="720"/>
        <w:rPr>
          <w:b/>
        </w:rPr>
      </w:pPr>
      <w:r>
        <w:rPr>
          <w:b/>
        </w:rPr>
        <w:t>Description of Statistical Methods (i.e., Sample Size &amp; Method of Selection):</w:t>
      </w:r>
    </w:p>
    <w:p w:rsidR="00634D4A" w:rsidRDefault="00634D4A" w:rsidP="00634D4A">
      <w:pPr>
        <w:pStyle w:val="ListParagraph"/>
      </w:pPr>
      <w:r>
        <w:t xml:space="preserve">In general, focus group research relies on qualitative methods and is not intended to yield results that are statistically projectable. Quota sampling will be used to select a convenience sample of individuals who meet certain qualifications that reflect characteristics typical of the target audience. Response rate is not applicable to quota sampling because this type of sampling results in a nonprobability sample that is not representative of the population. For this focus group study, all respondents will be initially contacted by telephone, and some </w:t>
      </w:r>
      <w:proofErr w:type="spellStart"/>
      <w:r>
        <w:t>overrecruiting</w:t>
      </w:r>
      <w:proofErr w:type="spellEnd"/>
      <w:r>
        <w:t xml:space="preserve"> may be done to compensate for </w:t>
      </w:r>
      <w:proofErr w:type="spellStart"/>
      <w:r>
        <w:t>nonrespondents</w:t>
      </w:r>
      <w:proofErr w:type="spellEnd"/>
      <w:r>
        <w:t xml:space="preserve"> (i.e., no shows).</w:t>
      </w:r>
    </w:p>
    <w:p w:rsidR="00634D4A" w:rsidRDefault="00634D4A" w:rsidP="00634D4A">
      <w:pPr>
        <w:pStyle w:val="ListParagraph"/>
      </w:pPr>
    </w:p>
    <w:p w:rsidR="00634D4A" w:rsidRDefault="00634D4A" w:rsidP="00634D4A">
      <w:pPr>
        <w:pStyle w:val="ListParagraph"/>
      </w:pPr>
    </w:p>
    <w:p w:rsidR="00634D4A" w:rsidRDefault="00634D4A" w:rsidP="00634D4A">
      <w:pPr>
        <w:rPr>
          <w:i/>
        </w:rPr>
      </w:pPr>
      <w:r>
        <w:rPr>
          <w:b/>
        </w:rPr>
        <w:t>BURDEN HOUR COMPUTATION</w:t>
      </w:r>
      <w:r>
        <w:t xml:space="preserve"> </w:t>
      </w:r>
      <w:r>
        <w:rPr>
          <w:i/>
        </w:rPr>
        <w:t>(Number of respondents X estimated response or participation time in minutes/60 = annual burden hours):</w:t>
      </w:r>
    </w:p>
    <w:p w:rsidR="00634D4A" w:rsidRDefault="00634D4A" w:rsidP="00634D4A">
      <w:pPr>
        <w:keepNext/>
        <w:keepLines/>
        <w:rPr>
          <w:b/>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1529"/>
        <w:gridCol w:w="1832"/>
        <w:gridCol w:w="1777"/>
      </w:tblGrid>
      <w:tr w:rsidR="00634D4A"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shd w:val="clear" w:color="auto" w:fill="E0E0E0"/>
            <w:vAlign w:val="bottom"/>
            <w:hideMark/>
          </w:tcPr>
          <w:p w:rsidR="00634D4A" w:rsidRDefault="00634D4A" w:rsidP="00634D4A">
            <w:pPr>
              <w:jc w:val="center"/>
              <w:rPr>
                <w:b/>
              </w:rPr>
            </w:pPr>
            <w:r>
              <w:rPr>
                <w:b/>
              </w:rPr>
              <w:t>Type/Category of Respondent</w:t>
            </w:r>
          </w:p>
        </w:tc>
        <w:tc>
          <w:tcPr>
            <w:tcW w:w="1529" w:type="dxa"/>
            <w:tcBorders>
              <w:top w:val="single" w:sz="4" w:space="0" w:color="auto"/>
              <w:left w:val="single" w:sz="4" w:space="0" w:color="auto"/>
              <w:bottom w:val="single" w:sz="4" w:space="0" w:color="auto"/>
              <w:right w:val="single" w:sz="4" w:space="0" w:color="auto"/>
            </w:tcBorders>
            <w:shd w:val="clear" w:color="auto" w:fill="E0E0E0"/>
            <w:hideMark/>
          </w:tcPr>
          <w:p w:rsidR="00634D4A" w:rsidRDefault="00634D4A" w:rsidP="00634D4A">
            <w:pPr>
              <w:jc w:val="center"/>
              <w:rPr>
                <w:b/>
              </w:rPr>
            </w:pPr>
            <w:r>
              <w:rPr>
                <w:b/>
              </w:rPr>
              <w:t>No. of Respondents</w:t>
            </w:r>
          </w:p>
        </w:tc>
        <w:tc>
          <w:tcPr>
            <w:tcW w:w="1832" w:type="dxa"/>
            <w:tcBorders>
              <w:top w:val="single" w:sz="4" w:space="0" w:color="auto"/>
              <w:left w:val="single" w:sz="4" w:space="0" w:color="auto"/>
              <w:bottom w:val="single" w:sz="4" w:space="0" w:color="auto"/>
              <w:right w:val="single" w:sz="4" w:space="0" w:color="auto"/>
            </w:tcBorders>
            <w:shd w:val="clear" w:color="auto" w:fill="E0E0E0"/>
            <w:hideMark/>
          </w:tcPr>
          <w:p w:rsidR="00634D4A" w:rsidRDefault="00634D4A" w:rsidP="00634D4A">
            <w:pPr>
              <w:jc w:val="center"/>
              <w:rPr>
                <w:b/>
              </w:rPr>
            </w:pPr>
            <w:r>
              <w:rPr>
                <w:b/>
              </w:rPr>
              <w:t>Participation Time (minutes)</w:t>
            </w:r>
          </w:p>
        </w:tc>
        <w:tc>
          <w:tcPr>
            <w:tcW w:w="1777" w:type="dxa"/>
            <w:tcBorders>
              <w:top w:val="single" w:sz="4" w:space="0" w:color="auto"/>
              <w:left w:val="single" w:sz="4" w:space="0" w:color="auto"/>
              <w:bottom w:val="single" w:sz="4" w:space="0" w:color="auto"/>
              <w:right w:val="single" w:sz="4" w:space="0" w:color="auto"/>
            </w:tcBorders>
            <w:shd w:val="clear" w:color="auto" w:fill="E0E0E0"/>
            <w:vAlign w:val="bottom"/>
            <w:hideMark/>
          </w:tcPr>
          <w:p w:rsidR="00634D4A" w:rsidRDefault="00634D4A" w:rsidP="00634D4A">
            <w:pPr>
              <w:jc w:val="center"/>
              <w:rPr>
                <w:b/>
              </w:rPr>
            </w:pPr>
            <w:r>
              <w:rPr>
                <w:b/>
              </w:rPr>
              <w:t>Burden</w:t>
            </w:r>
          </w:p>
          <w:p w:rsidR="00634D4A" w:rsidRDefault="00634D4A" w:rsidP="007F261C">
            <w:pPr>
              <w:jc w:val="center"/>
              <w:rPr>
                <w:b/>
              </w:rPr>
            </w:pPr>
            <w:r>
              <w:rPr>
                <w:b/>
              </w:rPr>
              <w:t>(</w:t>
            </w:r>
            <w:r w:rsidR="007F261C">
              <w:rPr>
                <w:b/>
              </w:rPr>
              <w:t>hours</w:t>
            </w:r>
            <w:r>
              <w:rPr>
                <w:b/>
              </w:rPr>
              <w:t>)</w:t>
            </w:r>
          </w:p>
        </w:tc>
      </w:tr>
      <w:tr w:rsidR="00634D4A"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shd w:val="clear" w:color="auto" w:fill="auto"/>
            <w:vAlign w:val="bottom"/>
          </w:tcPr>
          <w:p w:rsidR="00634D4A" w:rsidRDefault="00634D4A" w:rsidP="00634D4A">
            <w:pPr>
              <w:jc w:val="center"/>
              <w:rPr>
                <w:b/>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634D4A" w:rsidRDefault="00634D4A" w:rsidP="00634D4A">
            <w:pPr>
              <w:jc w:val="center"/>
              <w:rPr>
                <w:b/>
              </w:rPr>
            </w:pP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634D4A" w:rsidRDefault="00634D4A" w:rsidP="00634D4A">
            <w:pPr>
              <w:jc w:val="center"/>
              <w:rPr>
                <w:b/>
              </w:rPr>
            </w:pP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634D4A" w:rsidRDefault="00634D4A" w:rsidP="00634D4A">
            <w:pPr>
              <w:jc w:val="center"/>
              <w:rPr>
                <w:b/>
              </w:rPr>
            </w:pPr>
          </w:p>
        </w:tc>
      </w:tr>
      <w:tr w:rsidR="00634D4A"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shd w:val="clear" w:color="auto" w:fill="E7E6E6"/>
            <w:vAlign w:val="bottom"/>
          </w:tcPr>
          <w:p w:rsidR="00634D4A" w:rsidRDefault="00634D4A" w:rsidP="00634D4A">
            <w:pPr>
              <w:rPr>
                <w:b/>
              </w:rPr>
            </w:pPr>
            <w:r>
              <w:rPr>
                <w:b/>
              </w:rPr>
              <w:t>Young adult e-cigarette users (18-29 years old): 12 groups with 12 participants per group</w:t>
            </w:r>
          </w:p>
        </w:tc>
        <w:tc>
          <w:tcPr>
            <w:tcW w:w="1529" w:type="dxa"/>
            <w:tcBorders>
              <w:top w:val="single" w:sz="4" w:space="0" w:color="auto"/>
              <w:left w:val="single" w:sz="4" w:space="0" w:color="auto"/>
              <w:bottom w:val="single" w:sz="4" w:space="0" w:color="auto"/>
              <w:right w:val="single" w:sz="4" w:space="0" w:color="auto"/>
            </w:tcBorders>
            <w:shd w:val="clear" w:color="auto" w:fill="E7E6E6"/>
          </w:tcPr>
          <w:p w:rsidR="00634D4A" w:rsidRDefault="00634D4A" w:rsidP="00634D4A">
            <w:pPr>
              <w:jc w:val="center"/>
              <w:rPr>
                <w:b/>
              </w:rPr>
            </w:pPr>
          </w:p>
        </w:tc>
        <w:tc>
          <w:tcPr>
            <w:tcW w:w="1832" w:type="dxa"/>
            <w:tcBorders>
              <w:top w:val="single" w:sz="4" w:space="0" w:color="auto"/>
              <w:left w:val="single" w:sz="4" w:space="0" w:color="auto"/>
              <w:bottom w:val="single" w:sz="4" w:space="0" w:color="auto"/>
              <w:right w:val="single" w:sz="4" w:space="0" w:color="auto"/>
            </w:tcBorders>
            <w:shd w:val="clear" w:color="auto" w:fill="E7E6E6"/>
          </w:tcPr>
          <w:p w:rsidR="00634D4A" w:rsidRDefault="00634D4A" w:rsidP="00634D4A">
            <w:pPr>
              <w:jc w:val="center"/>
              <w:rPr>
                <w:b/>
              </w:rPr>
            </w:pPr>
          </w:p>
        </w:tc>
        <w:tc>
          <w:tcPr>
            <w:tcW w:w="1777" w:type="dxa"/>
            <w:tcBorders>
              <w:top w:val="single" w:sz="4" w:space="0" w:color="auto"/>
              <w:left w:val="single" w:sz="4" w:space="0" w:color="auto"/>
              <w:bottom w:val="single" w:sz="4" w:space="0" w:color="auto"/>
              <w:right w:val="single" w:sz="4" w:space="0" w:color="auto"/>
            </w:tcBorders>
            <w:shd w:val="clear" w:color="auto" w:fill="E7E6E6"/>
            <w:vAlign w:val="bottom"/>
          </w:tcPr>
          <w:p w:rsidR="00634D4A" w:rsidRDefault="00634D4A" w:rsidP="00634D4A">
            <w:pPr>
              <w:jc w:val="center"/>
              <w:rPr>
                <w:b/>
              </w:rPr>
            </w:pPr>
          </w:p>
        </w:tc>
      </w:tr>
      <w:tr w:rsidR="00634D4A" w:rsidRPr="00E749FC"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shd w:val="clear" w:color="auto" w:fill="auto"/>
            <w:vAlign w:val="bottom"/>
          </w:tcPr>
          <w:p w:rsidR="00634D4A" w:rsidRPr="00E749FC" w:rsidRDefault="00634D4A" w:rsidP="00634D4A">
            <w:pPr>
              <w:ind w:left="720"/>
            </w:pPr>
            <w:r w:rsidRPr="00E749FC">
              <w:t>Initial Screener</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634D4A" w:rsidRPr="00E749FC" w:rsidRDefault="00634D4A" w:rsidP="00634D4A">
            <w:pPr>
              <w:jc w:val="center"/>
            </w:pPr>
            <w:r>
              <w:t>2</w:t>
            </w:r>
            <w:r w:rsidR="00BD3166">
              <w:t>,</w:t>
            </w:r>
            <w:r>
              <w:t>160</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634D4A" w:rsidRPr="00E749FC" w:rsidRDefault="00634D4A" w:rsidP="00634D4A">
            <w:pPr>
              <w:jc w:val="center"/>
            </w:pPr>
            <w:r w:rsidRPr="00E749FC">
              <w:t>6</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634D4A" w:rsidRPr="00E749FC" w:rsidRDefault="00D037D0" w:rsidP="00634D4A">
            <w:pPr>
              <w:jc w:val="center"/>
            </w:pPr>
            <w:r>
              <w:t>216</w:t>
            </w:r>
          </w:p>
        </w:tc>
      </w:tr>
      <w:tr w:rsidR="00634D4A" w:rsidRPr="00E749FC"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shd w:val="clear" w:color="auto" w:fill="auto"/>
            <w:vAlign w:val="bottom"/>
          </w:tcPr>
          <w:p w:rsidR="00634D4A" w:rsidRPr="00E749FC" w:rsidRDefault="00634D4A" w:rsidP="00634D4A">
            <w:pPr>
              <w:ind w:left="720"/>
            </w:pPr>
            <w:r w:rsidRPr="00E749FC">
              <w:t>Consent</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634D4A" w:rsidRPr="009C15EB" w:rsidRDefault="00634D4A" w:rsidP="00634D4A">
            <w:pPr>
              <w:jc w:val="center"/>
              <w:rPr>
                <w:bCs/>
              </w:rPr>
            </w:pPr>
            <w:r w:rsidRPr="009C15EB">
              <w:rPr>
                <w:bCs/>
              </w:rPr>
              <w:t>144</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634D4A" w:rsidRPr="00E749FC" w:rsidRDefault="00634D4A" w:rsidP="00634D4A">
            <w:pPr>
              <w:jc w:val="center"/>
            </w:pPr>
            <w:r w:rsidRPr="00E749FC">
              <w:t>5</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634D4A" w:rsidRPr="00E749FC" w:rsidRDefault="007F261C" w:rsidP="00634D4A">
            <w:pPr>
              <w:jc w:val="center"/>
            </w:pPr>
            <w:r>
              <w:t>12</w:t>
            </w:r>
          </w:p>
        </w:tc>
      </w:tr>
      <w:tr w:rsidR="004B156C" w:rsidRPr="00E749FC"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shd w:val="clear" w:color="auto" w:fill="auto"/>
            <w:vAlign w:val="bottom"/>
          </w:tcPr>
          <w:p w:rsidR="004B156C" w:rsidRPr="00E749FC" w:rsidRDefault="004B156C" w:rsidP="00634D4A">
            <w:pPr>
              <w:ind w:left="720"/>
            </w:pPr>
            <w:r w:rsidRPr="00010B0A">
              <w:t>Background Assessment</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4B156C" w:rsidRPr="009C15EB" w:rsidRDefault="00010B0A" w:rsidP="00634D4A">
            <w:pPr>
              <w:jc w:val="center"/>
              <w:rPr>
                <w:bCs/>
              </w:rPr>
            </w:pPr>
            <w:r>
              <w:rPr>
                <w:bCs/>
              </w:rPr>
              <w:t>144</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4B156C" w:rsidRPr="00E749FC" w:rsidRDefault="00010B0A" w:rsidP="00634D4A">
            <w:pPr>
              <w:jc w:val="center"/>
            </w:pPr>
            <w:r>
              <w:t>5</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4B156C" w:rsidRDefault="00010B0A" w:rsidP="00634D4A">
            <w:pPr>
              <w:jc w:val="center"/>
            </w:pPr>
            <w:r>
              <w:t>12</w:t>
            </w:r>
          </w:p>
        </w:tc>
      </w:tr>
      <w:tr w:rsidR="00634D4A" w:rsidRPr="00E749FC"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shd w:val="clear" w:color="auto" w:fill="auto"/>
            <w:vAlign w:val="bottom"/>
          </w:tcPr>
          <w:p w:rsidR="00634D4A" w:rsidRPr="00E749FC" w:rsidRDefault="00634D4A" w:rsidP="00634D4A">
            <w:pPr>
              <w:ind w:left="720"/>
            </w:pPr>
            <w:r w:rsidRPr="00E749FC">
              <w:t>Focus group discussion</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634D4A" w:rsidRPr="00E749FC" w:rsidRDefault="00634D4A" w:rsidP="00634D4A">
            <w:pPr>
              <w:jc w:val="center"/>
            </w:pPr>
            <w:r>
              <w:t>144</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634D4A" w:rsidRPr="00E749FC" w:rsidRDefault="00634D4A" w:rsidP="00634D4A">
            <w:pPr>
              <w:jc w:val="center"/>
            </w:pPr>
            <w:r w:rsidRPr="00E749FC">
              <w:t>90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rsidR="00634D4A" w:rsidRPr="00E749FC" w:rsidRDefault="007F261C" w:rsidP="00634D4A">
            <w:pPr>
              <w:jc w:val="center"/>
            </w:pPr>
            <w:r>
              <w:t>216</w:t>
            </w:r>
          </w:p>
        </w:tc>
      </w:tr>
      <w:tr w:rsidR="00D037D0"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shd w:val="clear" w:color="auto" w:fill="F2F2F2"/>
          </w:tcPr>
          <w:p w:rsidR="00D037D0" w:rsidRPr="009C15EB" w:rsidRDefault="00D037D0" w:rsidP="009C15EB">
            <w:pPr>
              <w:jc w:val="right"/>
              <w:rPr>
                <w:b/>
                <w:color w:val="BFBFBF" w:themeColor="background1" w:themeShade="BF"/>
              </w:rPr>
            </w:pPr>
            <w:r w:rsidRPr="009C15EB">
              <w:rPr>
                <w:b/>
                <w:color w:val="BFBFBF" w:themeColor="background1" w:themeShade="BF"/>
              </w:rPr>
              <w:t>Subtotal</w:t>
            </w:r>
          </w:p>
        </w:tc>
        <w:tc>
          <w:tcPr>
            <w:tcW w:w="1529" w:type="dxa"/>
            <w:tcBorders>
              <w:top w:val="single" w:sz="4" w:space="0" w:color="auto"/>
              <w:left w:val="single" w:sz="4" w:space="0" w:color="auto"/>
              <w:bottom w:val="single" w:sz="4" w:space="0" w:color="auto"/>
              <w:right w:val="single" w:sz="4" w:space="0" w:color="auto"/>
            </w:tcBorders>
            <w:shd w:val="clear" w:color="auto" w:fill="F2F2F2"/>
          </w:tcPr>
          <w:p w:rsidR="00D037D0" w:rsidRPr="009C15EB" w:rsidRDefault="00D037D0" w:rsidP="00634D4A">
            <w:pPr>
              <w:jc w:val="center"/>
              <w:rPr>
                <w:b/>
                <w:color w:val="BFBFBF" w:themeColor="background1" w:themeShade="BF"/>
              </w:rPr>
            </w:pPr>
          </w:p>
        </w:tc>
        <w:tc>
          <w:tcPr>
            <w:tcW w:w="1832" w:type="dxa"/>
            <w:tcBorders>
              <w:top w:val="single" w:sz="4" w:space="0" w:color="auto"/>
              <w:left w:val="single" w:sz="4" w:space="0" w:color="auto"/>
              <w:bottom w:val="single" w:sz="4" w:space="0" w:color="auto"/>
              <w:right w:val="single" w:sz="4" w:space="0" w:color="auto"/>
            </w:tcBorders>
            <w:shd w:val="clear" w:color="auto" w:fill="F2F2F2"/>
          </w:tcPr>
          <w:p w:rsidR="00D037D0" w:rsidRPr="009C15EB" w:rsidRDefault="00D037D0" w:rsidP="00634D4A">
            <w:pPr>
              <w:jc w:val="center"/>
              <w:rPr>
                <w:b/>
                <w:color w:val="BFBFBF" w:themeColor="background1" w:themeShade="BF"/>
              </w:rPr>
            </w:pPr>
          </w:p>
        </w:tc>
        <w:tc>
          <w:tcPr>
            <w:tcW w:w="1777" w:type="dxa"/>
            <w:tcBorders>
              <w:top w:val="single" w:sz="4" w:space="0" w:color="auto"/>
              <w:left w:val="single" w:sz="4" w:space="0" w:color="auto"/>
              <w:bottom w:val="single" w:sz="4" w:space="0" w:color="auto"/>
              <w:right w:val="single" w:sz="4" w:space="0" w:color="auto"/>
            </w:tcBorders>
            <w:shd w:val="clear" w:color="auto" w:fill="F2F2F2"/>
          </w:tcPr>
          <w:p w:rsidR="00D037D0" w:rsidRPr="009C15EB" w:rsidRDefault="00010B0A" w:rsidP="00634D4A">
            <w:pPr>
              <w:jc w:val="center"/>
              <w:rPr>
                <w:b/>
                <w:color w:val="BFBFBF" w:themeColor="background1" w:themeShade="BF"/>
              </w:rPr>
            </w:pPr>
            <w:r>
              <w:rPr>
                <w:b/>
                <w:color w:val="BFBFBF" w:themeColor="background1" w:themeShade="BF"/>
              </w:rPr>
              <w:t>456</w:t>
            </w:r>
          </w:p>
        </w:tc>
      </w:tr>
      <w:tr w:rsidR="00634D4A"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shd w:val="clear" w:color="auto" w:fill="F2F2F2"/>
            <w:hideMark/>
          </w:tcPr>
          <w:p w:rsidR="00634D4A" w:rsidRDefault="00634D4A" w:rsidP="00634D4A">
            <w:pPr>
              <w:rPr>
                <w:b/>
              </w:rPr>
            </w:pPr>
            <w:r>
              <w:rPr>
                <w:b/>
              </w:rPr>
              <w:t>Adult e-cigarette users (30+ years old): 12 groups with 12 participants per group</w:t>
            </w:r>
          </w:p>
        </w:tc>
        <w:tc>
          <w:tcPr>
            <w:tcW w:w="1529" w:type="dxa"/>
            <w:tcBorders>
              <w:top w:val="single" w:sz="4" w:space="0" w:color="auto"/>
              <w:left w:val="single" w:sz="4" w:space="0" w:color="auto"/>
              <w:bottom w:val="single" w:sz="4" w:space="0" w:color="auto"/>
              <w:right w:val="single" w:sz="4" w:space="0" w:color="auto"/>
            </w:tcBorders>
            <w:shd w:val="clear" w:color="auto" w:fill="F2F2F2"/>
          </w:tcPr>
          <w:p w:rsidR="00634D4A" w:rsidRDefault="00634D4A" w:rsidP="00634D4A">
            <w:pPr>
              <w:jc w:val="center"/>
              <w:rPr>
                <w:b/>
              </w:rPr>
            </w:pPr>
          </w:p>
        </w:tc>
        <w:tc>
          <w:tcPr>
            <w:tcW w:w="1832" w:type="dxa"/>
            <w:tcBorders>
              <w:top w:val="single" w:sz="4" w:space="0" w:color="auto"/>
              <w:left w:val="single" w:sz="4" w:space="0" w:color="auto"/>
              <w:bottom w:val="single" w:sz="4" w:space="0" w:color="auto"/>
              <w:right w:val="single" w:sz="4" w:space="0" w:color="auto"/>
            </w:tcBorders>
            <w:shd w:val="clear" w:color="auto" w:fill="F2F2F2"/>
          </w:tcPr>
          <w:p w:rsidR="00634D4A" w:rsidRDefault="00634D4A" w:rsidP="00634D4A">
            <w:pPr>
              <w:jc w:val="center"/>
              <w:rPr>
                <w:b/>
              </w:rPr>
            </w:pPr>
          </w:p>
        </w:tc>
        <w:tc>
          <w:tcPr>
            <w:tcW w:w="1777" w:type="dxa"/>
            <w:tcBorders>
              <w:top w:val="single" w:sz="4" w:space="0" w:color="auto"/>
              <w:left w:val="single" w:sz="4" w:space="0" w:color="auto"/>
              <w:bottom w:val="single" w:sz="4" w:space="0" w:color="auto"/>
              <w:right w:val="single" w:sz="4" w:space="0" w:color="auto"/>
            </w:tcBorders>
            <w:shd w:val="clear" w:color="auto" w:fill="F2F2F2"/>
          </w:tcPr>
          <w:p w:rsidR="00634D4A" w:rsidRDefault="00634D4A" w:rsidP="00634D4A">
            <w:pPr>
              <w:jc w:val="center"/>
              <w:rPr>
                <w:b/>
              </w:rPr>
            </w:pPr>
          </w:p>
        </w:tc>
      </w:tr>
      <w:tr w:rsidR="00634D4A"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hideMark/>
          </w:tcPr>
          <w:p w:rsidR="00634D4A" w:rsidRDefault="00634D4A" w:rsidP="00634D4A">
            <w:pPr>
              <w:ind w:left="720"/>
            </w:pPr>
            <w:r>
              <w:t>Initial Screener</w:t>
            </w:r>
          </w:p>
        </w:tc>
        <w:tc>
          <w:tcPr>
            <w:tcW w:w="1529" w:type="dxa"/>
            <w:tcBorders>
              <w:top w:val="single" w:sz="4" w:space="0" w:color="auto"/>
              <w:left w:val="single" w:sz="4" w:space="0" w:color="auto"/>
              <w:bottom w:val="single" w:sz="4" w:space="0" w:color="auto"/>
              <w:right w:val="single" w:sz="4" w:space="0" w:color="auto"/>
            </w:tcBorders>
            <w:hideMark/>
          </w:tcPr>
          <w:p w:rsidR="00634D4A" w:rsidRDefault="00634D4A" w:rsidP="00634D4A">
            <w:pPr>
              <w:jc w:val="center"/>
            </w:pPr>
            <w:r>
              <w:t>2</w:t>
            </w:r>
            <w:r w:rsidR="00BD3166">
              <w:t>,</w:t>
            </w:r>
            <w:r>
              <w:t>160</w:t>
            </w:r>
          </w:p>
        </w:tc>
        <w:tc>
          <w:tcPr>
            <w:tcW w:w="1832" w:type="dxa"/>
            <w:tcBorders>
              <w:top w:val="single" w:sz="4" w:space="0" w:color="auto"/>
              <w:left w:val="single" w:sz="4" w:space="0" w:color="auto"/>
              <w:bottom w:val="single" w:sz="4" w:space="0" w:color="auto"/>
              <w:right w:val="single" w:sz="4" w:space="0" w:color="auto"/>
            </w:tcBorders>
            <w:hideMark/>
          </w:tcPr>
          <w:p w:rsidR="00634D4A" w:rsidRDefault="00634D4A" w:rsidP="00634D4A">
            <w:pPr>
              <w:jc w:val="center"/>
            </w:pPr>
            <w:r>
              <w:t>6</w:t>
            </w:r>
          </w:p>
        </w:tc>
        <w:tc>
          <w:tcPr>
            <w:tcW w:w="1777" w:type="dxa"/>
            <w:tcBorders>
              <w:top w:val="single" w:sz="4" w:space="0" w:color="auto"/>
              <w:left w:val="single" w:sz="4" w:space="0" w:color="auto"/>
              <w:bottom w:val="single" w:sz="4" w:space="0" w:color="auto"/>
              <w:right w:val="single" w:sz="4" w:space="0" w:color="auto"/>
            </w:tcBorders>
          </w:tcPr>
          <w:p w:rsidR="00634D4A" w:rsidRDefault="00D037D0" w:rsidP="00634D4A">
            <w:pPr>
              <w:jc w:val="center"/>
            </w:pPr>
            <w:r>
              <w:t>216</w:t>
            </w:r>
          </w:p>
        </w:tc>
      </w:tr>
      <w:tr w:rsidR="00634D4A"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hideMark/>
          </w:tcPr>
          <w:p w:rsidR="00634D4A" w:rsidRDefault="00634D4A" w:rsidP="00634D4A">
            <w:pPr>
              <w:ind w:left="720"/>
            </w:pPr>
            <w:r>
              <w:t xml:space="preserve">Consent </w:t>
            </w:r>
          </w:p>
        </w:tc>
        <w:tc>
          <w:tcPr>
            <w:tcW w:w="1529" w:type="dxa"/>
            <w:tcBorders>
              <w:top w:val="single" w:sz="4" w:space="0" w:color="auto"/>
              <w:left w:val="single" w:sz="4" w:space="0" w:color="auto"/>
              <w:bottom w:val="single" w:sz="4" w:space="0" w:color="auto"/>
              <w:right w:val="single" w:sz="4" w:space="0" w:color="auto"/>
            </w:tcBorders>
            <w:hideMark/>
          </w:tcPr>
          <w:p w:rsidR="00634D4A" w:rsidRPr="009C15EB" w:rsidRDefault="00634D4A" w:rsidP="00634D4A">
            <w:pPr>
              <w:jc w:val="center"/>
              <w:rPr>
                <w:bCs/>
              </w:rPr>
            </w:pPr>
            <w:r w:rsidRPr="009C15EB">
              <w:rPr>
                <w:bCs/>
              </w:rPr>
              <w:t>144</w:t>
            </w:r>
          </w:p>
        </w:tc>
        <w:tc>
          <w:tcPr>
            <w:tcW w:w="1832" w:type="dxa"/>
            <w:tcBorders>
              <w:top w:val="single" w:sz="4" w:space="0" w:color="auto"/>
              <w:left w:val="single" w:sz="4" w:space="0" w:color="auto"/>
              <w:bottom w:val="single" w:sz="4" w:space="0" w:color="auto"/>
              <w:right w:val="single" w:sz="4" w:space="0" w:color="auto"/>
            </w:tcBorders>
            <w:hideMark/>
          </w:tcPr>
          <w:p w:rsidR="00634D4A" w:rsidRDefault="00634D4A" w:rsidP="00634D4A">
            <w:pPr>
              <w:jc w:val="center"/>
            </w:pPr>
            <w:r>
              <w:t>5</w:t>
            </w:r>
          </w:p>
        </w:tc>
        <w:tc>
          <w:tcPr>
            <w:tcW w:w="1777" w:type="dxa"/>
            <w:tcBorders>
              <w:top w:val="single" w:sz="4" w:space="0" w:color="auto"/>
              <w:left w:val="single" w:sz="4" w:space="0" w:color="auto"/>
              <w:bottom w:val="single" w:sz="4" w:space="0" w:color="auto"/>
              <w:right w:val="single" w:sz="4" w:space="0" w:color="auto"/>
            </w:tcBorders>
          </w:tcPr>
          <w:p w:rsidR="00634D4A" w:rsidRDefault="007F261C" w:rsidP="00634D4A">
            <w:pPr>
              <w:jc w:val="center"/>
            </w:pPr>
            <w:r>
              <w:t>12</w:t>
            </w:r>
          </w:p>
        </w:tc>
      </w:tr>
      <w:tr w:rsidR="004B156C" w:rsidTr="00010B0A">
        <w:trPr>
          <w:trHeight w:val="274"/>
          <w:jc w:val="center"/>
        </w:trPr>
        <w:tc>
          <w:tcPr>
            <w:tcW w:w="4437" w:type="dxa"/>
            <w:tcBorders>
              <w:top w:val="single" w:sz="4" w:space="0" w:color="auto"/>
              <w:left w:val="single" w:sz="4" w:space="0" w:color="auto"/>
              <w:bottom w:val="single" w:sz="4" w:space="0" w:color="auto"/>
              <w:right w:val="single" w:sz="4" w:space="0" w:color="auto"/>
            </w:tcBorders>
            <w:shd w:val="clear" w:color="auto" w:fill="auto"/>
          </w:tcPr>
          <w:p w:rsidR="004B156C" w:rsidRDefault="004B156C" w:rsidP="00634D4A">
            <w:pPr>
              <w:ind w:left="720"/>
            </w:pPr>
            <w:r w:rsidRPr="00010B0A">
              <w:lastRenderedPageBreak/>
              <w:t>Background Assessment</w:t>
            </w:r>
          </w:p>
        </w:tc>
        <w:tc>
          <w:tcPr>
            <w:tcW w:w="1529" w:type="dxa"/>
            <w:tcBorders>
              <w:top w:val="single" w:sz="4" w:space="0" w:color="auto"/>
              <w:left w:val="single" w:sz="4" w:space="0" w:color="auto"/>
              <w:bottom w:val="single" w:sz="4" w:space="0" w:color="auto"/>
              <w:right w:val="single" w:sz="4" w:space="0" w:color="auto"/>
            </w:tcBorders>
          </w:tcPr>
          <w:p w:rsidR="004B156C" w:rsidRPr="009C15EB" w:rsidRDefault="00010B0A" w:rsidP="00634D4A">
            <w:pPr>
              <w:jc w:val="center"/>
              <w:rPr>
                <w:bCs/>
              </w:rPr>
            </w:pPr>
            <w:r>
              <w:rPr>
                <w:bCs/>
              </w:rPr>
              <w:t>144</w:t>
            </w:r>
          </w:p>
        </w:tc>
        <w:tc>
          <w:tcPr>
            <w:tcW w:w="1832" w:type="dxa"/>
            <w:tcBorders>
              <w:top w:val="single" w:sz="4" w:space="0" w:color="auto"/>
              <w:left w:val="single" w:sz="4" w:space="0" w:color="auto"/>
              <w:bottom w:val="single" w:sz="4" w:space="0" w:color="auto"/>
              <w:right w:val="single" w:sz="4" w:space="0" w:color="auto"/>
            </w:tcBorders>
          </w:tcPr>
          <w:p w:rsidR="004B156C" w:rsidRDefault="00010B0A" w:rsidP="00634D4A">
            <w:pPr>
              <w:jc w:val="center"/>
            </w:pPr>
            <w:r>
              <w:t>5</w:t>
            </w:r>
          </w:p>
        </w:tc>
        <w:tc>
          <w:tcPr>
            <w:tcW w:w="1777" w:type="dxa"/>
            <w:tcBorders>
              <w:top w:val="single" w:sz="4" w:space="0" w:color="auto"/>
              <w:left w:val="single" w:sz="4" w:space="0" w:color="auto"/>
              <w:bottom w:val="single" w:sz="4" w:space="0" w:color="auto"/>
              <w:right w:val="single" w:sz="4" w:space="0" w:color="auto"/>
            </w:tcBorders>
          </w:tcPr>
          <w:p w:rsidR="004B156C" w:rsidRDefault="00010B0A" w:rsidP="00634D4A">
            <w:pPr>
              <w:jc w:val="center"/>
            </w:pPr>
            <w:r>
              <w:t>12</w:t>
            </w:r>
          </w:p>
        </w:tc>
      </w:tr>
      <w:tr w:rsidR="00634D4A"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hideMark/>
          </w:tcPr>
          <w:p w:rsidR="00634D4A" w:rsidRDefault="00634D4A" w:rsidP="00634D4A">
            <w:pPr>
              <w:ind w:left="720"/>
            </w:pPr>
            <w:r>
              <w:t xml:space="preserve">Focus group discussion </w:t>
            </w:r>
          </w:p>
          <w:p w:rsidR="00634D4A" w:rsidRDefault="00634D4A" w:rsidP="00634D4A">
            <w:pPr>
              <w:ind w:left="720"/>
            </w:pPr>
          </w:p>
        </w:tc>
        <w:tc>
          <w:tcPr>
            <w:tcW w:w="1529" w:type="dxa"/>
            <w:tcBorders>
              <w:top w:val="single" w:sz="4" w:space="0" w:color="auto"/>
              <w:left w:val="single" w:sz="4" w:space="0" w:color="auto"/>
              <w:bottom w:val="single" w:sz="4" w:space="0" w:color="auto"/>
              <w:right w:val="single" w:sz="4" w:space="0" w:color="auto"/>
            </w:tcBorders>
            <w:hideMark/>
          </w:tcPr>
          <w:p w:rsidR="00634D4A" w:rsidRDefault="00634D4A" w:rsidP="00634D4A">
            <w:pPr>
              <w:jc w:val="center"/>
            </w:pPr>
            <w:r>
              <w:t>144</w:t>
            </w:r>
          </w:p>
        </w:tc>
        <w:tc>
          <w:tcPr>
            <w:tcW w:w="1832" w:type="dxa"/>
            <w:tcBorders>
              <w:top w:val="single" w:sz="4" w:space="0" w:color="auto"/>
              <w:left w:val="single" w:sz="4" w:space="0" w:color="auto"/>
              <w:bottom w:val="single" w:sz="4" w:space="0" w:color="auto"/>
              <w:right w:val="single" w:sz="4" w:space="0" w:color="auto"/>
            </w:tcBorders>
            <w:hideMark/>
          </w:tcPr>
          <w:p w:rsidR="00634D4A" w:rsidRDefault="00634D4A" w:rsidP="00634D4A">
            <w:pPr>
              <w:jc w:val="center"/>
            </w:pPr>
            <w:r>
              <w:t>90</w:t>
            </w:r>
          </w:p>
        </w:tc>
        <w:tc>
          <w:tcPr>
            <w:tcW w:w="1777" w:type="dxa"/>
            <w:tcBorders>
              <w:top w:val="single" w:sz="4" w:space="0" w:color="auto"/>
              <w:left w:val="single" w:sz="4" w:space="0" w:color="auto"/>
              <w:bottom w:val="single" w:sz="4" w:space="0" w:color="auto"/>
              <w:right w:val="single" w:sz="4" w:space="0" w:color="auto"/>
            </w:tcBorders>
          </w:tcPr>
          <w:p w:rsidR="00634D4A" w:rsidRDefault="007F261C" w:rsidP="00634D4A">
            <w:pPr>
              <w:jc w:val="center"/>
            </w:pPr>
            <w:r>
              <w:t>216</w:t>
            </w:r>
          </w:p>
        </w:tc>
      </w:tr>
      <w:tr w:rsidR="00BD3166"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tcPr>
          <w:p w:rsidR="00BD3166" w:rsidRDefault="00BD3166" w:rsidP="005C4CC5">
            <w:pPr>
              <w:jc w:val="center"/>
            </w:pPr>
            <w:r>
              <w:t>Total Screened</w:t>
            </w:r>
          </w:p>
        </w:tc>
        <w:tc>
          <w:tcPr>
            <w:tcW w:w="1529" w:type="dxa"/>
            <w:tcBorders>
              <w:top w:val="single" w:sz="4" w:space="0" w:color="auto"/>
              <w:left w:val="single" w:sz="4" w:space="0" w:color="auto"/>
              <w:bottom w:val="single" w:sz="4" w:space="0" w:color="auto"/>
              <w:right w:val="single" w:sz="4" w:space="0" w:color="auto"/>
            </w:tcBorders>
          </w:tcPr>
          <w:p w:rsidR="00BD3166" w:rsidRDefault="00BD3166" w:rsidP="00D037D0">
            <w:pPr>
              <w:jc w:val="center"/>
              <w:rPr>
                <w:b/>
              </w:rPr>
            </w:pPr>
            <w:r>
              <w:rPr>
                <w:b/>
              </w:rPr>
              <w:t>4,320</w:t>
            </w:r>
          </w:p>
        </w:tc>
        <w:tc>
          <w:tcPr>
            <w:tcW w:w="1832" w:type="dxa"/>
            <w:tcBorders>
              <w:top w:val="single" w:sz="4" w:space="0" w:color="auto"/>
              <w:left w:val="single" w:sz="4" w:space="0" w:color="auto"/>
              <w:bottom w:val="single" w:sz="4" w:space="0" w:color="auto"/>
              <w:right w:val="single" w:sz="4" w:space="0" w:color="auto"/>
            </w:tcBorders>
          </w:tcPr>
          <w:p w:rsidR="00BD3166" w:rsidRDefault="00BD3166" w:rsidP="00634D4A">
            <w:pPr>
              <w:jc w:val="center"/>
            </w:pPr>
          </w:p>
        </w:tc>
        <w:tc>
          <w:tcPr>
            <w:tcW w:w="1777" w:type="dxa"/>
            <w:tcBorders>
              <w:top w:val="single" w:sz="4" w:space="0" w:color="auto"/>
              <w:left w:val="single" w:sz="4" w:space="0" w:color="auto"/>
              <w:bottom w:val="single" w:sz="4" w:space="0" w:color="auto"/>
              <w:right w:val="single" w:sz="4" w:space="0" w:color="auto"/>
            </w:tcBorders>
          </w:tcPr>
          <w:p w:rsidR="00BD3166" w:rsidDel="00D037D0" w:rsidRDefault="00010B0A" w:rsidP="00634D4A">
            <w:pPr>
              <w:jc w:val="center"/>
            </w:pPr>
            <w:r>
              <w:t>456</w:t>
            </w:r>
          </w:p>
        </w:tc>
      </w:tr>
      <w:tr w:rsidR="00634D4A"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hideMark/>
          </w:tcPr>
          <w:p w:rsidR="00634D4A" w:rsidRDefault="00634D4A" w:rsidP="005C4CC5">
            <w:pPr>
              <w:jc w:val="center"/>
            </w:pPr>
            <w:r>
              <w:t xml:space="preserve">Total </w:t>
            </w:r>
            <w:r w:rsidR="005C4CC5">
              <w:t>Participants</w:t>
            </w:r>
          </w:p>
        </w:tc>
        <w:tc>
          <w:tcPr>
            <w:tcW w:w="1529" w:type="dxa"/>
            <w:tcBorders>
              <w:top w:val="single" w:sz="4" w:space="0" w:color="auto"/>
              <w:left w:val="single" w:sz="4" w:space="0" w:color="auto"/>
              <w:bottom w:val="single" w:sz="4" w:space="0" w:color="auto"/>
              <w:right w:val="single" w:sz="4" w:space="0" w:color="auto"/>
            </w:tcBorders>
            <w:hideMark/>
          </w:tcPr>
          <w:p w:rsidR="00634D4A" w:rsidRDefault="00634D4A" w:rsidP="00D037D0">
            <w:pPr>
              <w:jc w:val="center"/>
              <w:rPr>
                <w:b/>
              </w:rPr>
            </w:pPr>
            <w:r>
              <w:rPr>
                <w:b/>
              </w:rPr>
              <w:t>288</w:t>
            </w:r>
          </w:p>
        </w:tc>
        <w:tc>
          <w:tcPr>
            <w:tcW w:w="1832" w:type="dxa"/>
            <w:tcBorders>
              <w:top w:val="single" w:sz="4" w:space="0" w:color="auto"/>
              <w:left w:val="single" w:sz="4" w:space="0" w:color="auto"/>
              <w:bottom w:val="single" w:sz="4" w:space="0" w:color="auto"/>
              <w:right w:val="single" w:sz="4" w:space="0" w:color="auto"/>
            </w:tcBorders>
          </w:tcPr>
          <w:p w:rsidR="00634D4A" w:rsidRDefault="00634D4A" w:rsidP="00634D4A">
            <w:pPr>
              <w:jc w:val="center"/>
            </w:pPr>
          </w:p>
        </w:tc>
        <w:tc>
          <w:tcPr>
            <w:tcW w:w="1777" w:type="dxa"/>
            <w:tcBorders>
              <w:top w:val="single" w:sz="4" w:space="0" w:color="auto"/>
              <w:left w:val="single" w:sz="4" w:space="0" w:color="auto"/>
              <w:bottom w:val="single" w:sz="4" w:space="0" w:color="auto"/>
              <w:right w:val="single" w:sz="4" w:space="0" w:color="auto"/>
            </w:tcBorders>
          </w:tcPr>
          <w:p w:rsidR="00634D4A" w:rsidRDefault="00010B0A" w:rsidP="00634D4A">
            <w:pPr>
              <w:jc w:val="center"/>
            </w:pPr>
            <w:r>
              <w:rPr>
                <w:b/>
                <w:bCs/>
              </w:rPr>
              <w:t>912</w:t>
            </w:r>
          </w:p>
        </w:tc>
      </w:tr>
      <w:tr w:rsidR="00D037D0"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tcPr>
          <w:p w:rsidR="00D037D0" w:rsidRDefault="00D037D0" w:rsidP="00634D4A">
            <w:pPr>
              <w:jc w:val="center"/>
            </w:pPr>
          </w:p>
        </w:tc>
        <w:tc>
          <w:tcPr>
            <w:tcW w:w="1529" w:type="dxa"/>
            <w:tcBorders>
              <w:top w:val="single" w:sz="4" w:space="0" w:color="auto"/>
              <w:left w:val="single" w:sz="4" w:space="0" w:color="auto"/>
              <w:bottom w:val="single" w:sz="4" w:space="0" w:color="auto"/>
              <w:right w:val="single" w:sz="4" w:space="0" w:color="auto"/>
            </w:tcBorders>
          </w:tcPr>
          <w:p w:rsidR="00D037D0" w:rsidDel="00D037D0" w:rsidRDefault="00D037D0" w:rsidP="00D037D0">
            <w:pPr>
              <w:jc w:val="center"/>
              <w:rPr>
                <w:b/>
              </w:rPr>
            </w:pPr>
          </w:p>
        </w:tc>
        <w:tc>
          <w:tcPr>
            <w:tcW w:w="1832" w:type="dxa"/>
            <w:tcBorders>
              <w:top w:val="single" w:sz="4" w:space="0" w:color="auto"/>
              <w:left w:val="single" w:sz="4" w:space="0" w:color="auto"/>
              <w:bottom w:val="single" w:sz="4" w:space="0" w:color="auto"/>
              <w:right w:val="single" w:sz="4" w:space="0" w:color="auto"/>
            </w:tcBorders>
          </w:tcPr>
          <w:p w:rsidR="00D037D0" w:rsidRDefault="00D037D0" w:rsidP="00634D4A">
            <w:pPr>
              <w:jc w:val="center"/>
            </w:pPr>
          </w:p>
        </w:tc>
        <w:tc>
          <w:tcPr>
            <w:tcW w:w="1777" w:type="dxa"/>
            <w:tcBorders>
              <w:top w:val="single" w:sz="4" w:space="0" w:color="auto"/>
              <w:left w:val="single" w:sz="4" w:space="0" w:color="auto"/>
              <w:bottom w:val="single" w:sz="4" w:space="0" w:color="auto"/>
              <w:right w:val="single" w:sz="4" w:space="0" w:color="auto"/>
            </w:tcBorders>
          </w:tcPr>
          <w:p w:rsidR="00D037D0" w:rsidDel="00D037D0" w:rsidRDefault="00D037D0" w:rsidP="00634D4A">
            <w:pPr>
              <w:jc w:val="center"/>
            </w:pPr>
          </w:p>
        </w:tc>
      </w:tr>
      <w:tr w:rsidR="005C4CC5" w:rsidDel="007F261C" w:rsidTr="00634D4A">
        <w:trPr>
          <w:trHeight w:val="274"/>
          <w:jc w:val="center"/>
        </w:trPr>
        <w:tc>
          <w:tcPr>
            <w:tcW w:w="4437" w:type="dxa"/>
            <w:tcBorders>
              <w:top w:val="single" w:sz="4" w:space="0" w:color="auto"/>
              <w:left w:val="single" w:sz="4" w:space="0" w:color="auto"/>
              <w:bottom w:val="single" w:sz="4" w:space="0" w:color="auto"/>
              <w:right w:val="single" w:sz="4" w:space="0" w:color="auto"/>
            </w:tcBorders>
          </w:tcPr>
          <w:p w:rsidR="005C4CC5" w:rsidDel="007F261C" w:rsidRDefault="005C4CC5" w:rsidP="00634D4A">
            <w:pPr>
              <w:jc w:val="center"/>
            </w:pPr>
          </w:p>
        </w:tc>
        <w:tc>
          <w:tcPr>
            <w:tcW w:w="5138" w:type="dxa"/>
            <w:gridSpan w:val="3"/>
            <w:tcBorders>
              <w:top w:val="single" w:sz="4" w:space="0" w:color="auto"/>
              <w:left w:val="single" w:sz="4" w:space="0" w:color="auto"/>
              <w:bottom w:val="single" w:sz="4" w:space="0" w:color="auto"/>
              <w:right w:val="single" w:sz="4" w:space="0" w:color="auto"/>
            </w:tcBorders>
          </w:tcPr>
          <w:p w:rsidR="005C4CC5" w:rsidDel="007F261C" w:rsidRDefault="005C4CC5" w:rsidP="00634D4A">
            <w:pPr>
              <w:jc w:val="center"/>
            </w:pPr>
          </w:p>
        </w:tc>
      </w:tr>
    </w:tbl>
    <w:p w:rsidR="005C4CC5" w:rsidRDefault="005C4CC5" w:rsidP="005C4CC5">
      <w:pPr>
        <w:rPr>
          <w:b/>
          <w:sz w:val="18"/>
          <w:szCs w:val="18"/>
        </w:rPr>
      </w:pPr>
      <w:r w:rsidRPr="005C4CC5">
        <w:rPr>
          <w:b/>
          <w:sz w:val="18"/>
          <w:szCs w:val="18"/>
          <w:vertAlign w:val="superscript"/>
        </w:rPr>
        <w:t xml:space="preserve">1 </w:t>
      </w:r>
      <w:r w:rsidRPr="005C4CC5">
        <w:rPr>
          <w:b/>
          <w:sz w:val="18"/>
          <w:szCs w:val="18"/>
        </w:rPr>
        <w:t xml:space="preserve">The total universe (number of respondents) for this individual generic </w:t>
      </w:r>
      <w:r w:rsidR="00BD3166">
        <w:rPr>
          <w:b/>
          <w:sz w:val="18"/>
          <w:szCs w:val="18"/>
        </w:rPr>
        <w:t xml:space="preserve">collection of information is 4,320. The </w:t>
      </w:r>
      <w:r>
        <w:rPr>
          <w:b/>
          <w:sz w:val="18"/>
          <w:szCs w:val="18"/>
        </w:rPr>
        <w:t>288</w:t>
      </w:r>
      <w:r w:rsidRPr="005C4CC5">
        <w:rPr>
          <w:b/>
          <w:sz w:val="18"/>
          <w:szCs w:val="18"/>
        </w:rPr>
        <w:t xml:space="preserve"> </w:t>
      </w:r>
      <w:r w:rsidR="00BD3166" w:rsidRPr="005C4CC5">
        <w:rPr>
          <w:b/>
          <w:sz w:val="18"/>
          <w:szCs w:val="18"/>
        </w:rPr>
        <w:t>represent</w:t>
      </w:r>
      <w:r w:rsidR="00BD3166">
        <w:rPr>
          <w:b/>
          <w:sz w:val="18"/>
          <w:szCs w:val="18"/>
        </w:rPr>
        <w:t>s</w:t>
      </w:r>
      <w:r w:rsidRPr="005C4CC5">
        <w:rPr>
          <w:b/>
          <w:sz w:val="18"/>
          <w:szCs w:val="18"/>
        </w:rPr>
        <w:t xml:space="preserve"> the total number of participants in this study.  The t</w:t>
      </w:r>
      <w:r>
        <w:rPr>
          <w:b/>
          <w:sz w:val="18"/>
          <w:szCs w:val="18"/>
        </w:rPr>
        <w:t>otal number of participants (</w:t>
      </w:r>
      <w:r w:rsidR="00BD3166">
        <w:rPr>
          <w:b/>
          <w:sz w:val="18"/>
          <w:szCs w:val="18"/>
        </w:rPr>
        <w:t>4,320</w:t>
      </w:r>
      <w:r w:rsidRPr="005C4CC5">
        <w:rPr>
          <w:b/>
          <w:sz w:val="18"/>
          <w:szCs w:val="18"/>
        </w:rPr>
        <w:t>) will be pre-screened for particip</w:t>
      </w:r>
      <w:r>
        <w:rPr>
          <w:b/>
          <w:sz w:val="18"/>
          <w:szCs w:val="18"/>
        </w:rPr>
        <w:t>ation in the study, and only 288</w:t>
      </w:r>
      <w:r w:rsidRPr="005C4CC5">
        <w:rPr>
          <w:b/>
          <w:sz w:val="18"/>
          <w:szCs w:val="18"/>
        </w:rPr>
        <w:t xml:space="preserve"> will actually partake in the study after screening.</w:t>
      </w:r>
    </w:p>
    <w:p w:rsidR="005C4CC5" w:rsidRDefault="005C4CC5" w:rsidP="005C4CC5"/>
    <w:p w:rsidR="00634D4A" w:rsidRDefault="00634D4A" w:rsidP="00634D4A">
      <w:r>
        <w:rPr>
          <w:b/>
        </w:rPr>
        <w:t xml:space="preserve">REQUESTED APPROVAL DATE: </w:t>
      </w:r>
      <w:r>
        <w:t>March 1, 2016</w:t>
      </w:r>
    </w:p>
    <w:p w:rsidR="00634D4A" w:rsidRDefault="00634D4A" w:rsidP="00634D4A">
      <w:pPr>
        <w:rPr>
          <w:b/>
        </w:rPr>
      </w:pPr>
    </w:p>
    <w:p w:rsidR="00634D4A" w:rsidRDefault="00634D4A" w:rsidP="00634D4A">
      <w:pPr>
        <w:rPr>
          <w:b/>
        </w:rPr>
      </w:pPr>
      <w:r>
        <w:rPr>
          <w:b/>
        </w:rPr>
        <w:t xml:space="preserve">NAME OF PRA ANALYST &amp; PROGRAM CONTACT:  </w:t>
      </w:r>
    </w:p>
    <w:p w:rsidR="00634D4A" w:rsidRPr="00634D4A" w:rsidRDefault="00634D4A" w:rsidP="000D1927">
      <w:pPr>
        <w:ind w:left="720" w:firstLine="720"/>
      </w:pPr>
      <w:r w:rsidRPr="00634D4A">
        <w:t>PRA Analyst</w:t>
      </w:r>
      <w:r w:rsidRPr="00634D4A">
        <w:tab/>
      </w:r>
      <w:r w:rsidRPr="00634D4A">
        <w:tab/>
      </w:r>
      <w:r w:rsidRPr="00634D4A">
        <w:tab/>
      </w:r>
      <w:r w:rsidR="000D1927">
        <w:t>Amber Sanford</w:t>
      </w:r>
    </w:p>
    <w:p w:rsidR="00634D4A" w:rsidRPr="00634D4A" w:rsidRDefault="00634D4A" w:rsidP="00634D4A">
      <w:pPr>
        <w:ind w:left="3600" w:firstLine="720"/>
      </w:pPr>
      <w:r w:rsidRPr="00634D4A">
        <w:t>301-796-</w:t>
      </w:r>
      <w:r w:rsidR="000D1927">
        <w:t>8867</w:t>
      </w:r>
    </w:p>
    <w:p w:rsidR="00634D4A" w:rsidRPr="00634D4A" w:rsidRDefault="00DA1106" w:rsidP="00634D4A">
      <w:pPr>
        <w:ind w:left="3600" w:firstLine="720"/>
      </w:pPr>
      <w:hyperlink r:id="rId9" w:history="1">
        <w:r w:rsidR="004C6623" w:rsidRPr="004C6623">
          <w:rPr>
            <w:rStyle w:val="Hyperlink"/>
          </w:rPr>
          <w:t>Amber</w:t>
        </w:r>
        <w:r w:rsidR="004C6623" w:rsidRPr="00154E5E">
          <w:rPr>
            <w:rStyle w:val="Hyperlink"/>
          </w:rPr>
          <w:t>.Sanford@fda.hhs.gov</w:t>
        </w:r>
      </w:hyperlink>
    </w:p>
    <w:p w:rsidR="00634D4A" w:rsidRPr="00634D4A" w:rsidRDefault="00634D4A" w:rsidP="00634D4A">
      <w:pPr>
        <w:ind w:left="3600" w:firstLine="720"/>
      </w:pPr>
    </w:p>
    <w:p w:rsidR="00634D4A" w:rsidRPr="00634D4A" w:rsidRDefault="00634D4A" w:rsidP="00634D4A">
      <w:r w:rsidRPr="00634D4A">
        <w:tab/>
      </w:r>
      <w:r w:rsidRPr="00634D4A">
        <w:tab/>
        <w:t>Program Contact</w:t>
      </w:r>
      <w:r w:rsidRPr="00634D4A">
        <w:tab/>
      </w:r>
      <w:r w:rsidRPr="00634D4A">
        <w:tab/>
        <w:t>Conrad Choiniere</w:t>
      </w:r>
    </w:p>
    <w:p w:rsidR="00634D4A" w:rsidRPr="00634D4A" w:rsidRDefault="00634D4A" w:rsidP="00634D4A">
      <w:r w:rsidRPr="00634D4A">
        <w:tab/>
      </w:r>
      <w:r w:rsidRPr="00634D4A">
        <w:tab/>
      </w:r>
      <w:r w:rsidRPr="00634D4A">
        <w:tab/>
      </w:r>
      <w:r w:rsidRPr="00634D4A">
        <w:tab/>
      </w:r>
      <w:r w:rsidRPr="00634D4A">
        <w:tab/>
      </w:r>
      <w:r w:rsidRPr="00634D4A">
        <w:tab/>
        <w:t>301-796-9228</w:t>
      </w:r>
    </w:p>
    <w:p w:rsidR="00634D4A" w:rsidRDefault="00634D4A" w:rsidP="00634D4A">
      <w:r w:rsidRPr="00634D4A">
        <w:tab/>
      </w:r>
      <w:r w:rsidRPr="00634D4A">
        <w:tab/>
      </w:r>
      <w:r w:rsidRPr="00634D4A">
        <w:tab/>
      </w:r>
      <w:r w:rsidRPr="00634D4A">
        <w:tab/>
      </w:r>
      <w:r w:rsidRPr="00634D4A">
        <w:tab/>
      </w:r>
      <w:r w:rsidRPr="00634D4A">
        <w:tab/>
      </w:r>
      <w:hyperlink r:id="rId10" w:history="1">
        <w:r w:rsidRPr="00634D4A">
          <w:rPr>
            <w:rStyle w:val="Hyperlink"/>
          </w:rPr>
          <w:t>Conrad.Choiniere@fda.hhs.gov</w:t>
        </w:r>
      </w:hyperlink>
    </w:p>
    <w:p w:rsidR="00634D4A" w:rsidRDefault="00634D4A" w:rsidP="00634D4A"/>
    <w:p w:rsidR="00D85438" w:rsidRPr="00634D4A" w:rsidRDefault="00634D4A" w:rsidP="00634D4A">
      <w:pPr>
        <w:tabs>
          <w:tab w:val="left" w:pos="5670"/>
        </w:tabs>
        <w:suppressAutoHyphens/>
      </w:pPr>
      <w:r>
        <w:rPr>
          <w:b/>
        </w:rPr>
        <w:t xml:space="preserve">FDA CENTER: </w:t>
      </w:r>
      <w:r>
        <w:t>Center for Tobacco Products (FDA/CTP)</w:t>
      </w:r>
    </w:p>
    <w:sectPr w:rsidR="00D85438" w:rsidRPr="00634D4A">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FF1" w:rsidRDefault="00704FF1">
      <w:r>
        <w:separator/>
      </w:r>
    </w:p>
    <w:p w:rsidR="00704FF1" w:rsidRDefault="00704FF1"/>
  </w:endnote>
  <w:endnote w:type="continuationSeparator" w:id="0">
    <w:p w:rsidR="00704FF1" w:rsidRDefault="00704FF1">
      <w:r>
        <w:continuationSeparator/>
      </w:r>
    </w:p>
    <w:p w:rsidR="00704FF1" w:rsidRDefault="00704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4A" w:rsidRDefault="00634D4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1106">
      <w:rPr>
        <w:rStyle w:val="PageNumber"/>
        <w:noProof/>
        <w:sz w:val="20"/>
        <w:szCs w:val="20"/>
      </w:rPr>
      <w:t>6</w:t>
    </w:r>
    <w:r>
      <w:rPr>
        <w:rStyle w:val="PageNumber"/>
        <w:sz w:val="20"/>
        <w:szCs w:val="20"/>
      </w:rPr>
      <w:fldChar w:fldCharType="end"/>
    </w:r>
  </w:p>
  <w:p w:rsidR="00634D4A" w:rsidRDefault="00634D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FF1" w:rsidRDefault="00704FF1">
      <w:r>
        <w:separator/>
      </w:r>
    </w:p>
    <w:p w:rsidR="00704FF1" w:rsidRDefault="00704FF1"/>
  </w:footnote>
  <w:footnote w:type="continuationSeparator" w:id="0">
    <w:p w:rsidR="00704FF1" w:rsidRDefault="00704FF1">
      <w:r>
        <w:continuationSeparator/>
      </w:r>
    </w:p>
    <w:p w:rsidR="00704FF1" w:rsidRDefault="00704FF1"/>
  </w:footnote>
  <w:footnote w:id="1">
    <w:p w:rsidR="001B5079" w:rsidRDefault="001B5079" w:rsidP="001B5079">
      <w:pPr>
        <w:pStyle w:val="FootnoteText"/>
      </w:pPr>
      <w:r>
        <w:rPr>
          <w:rStyle w:val="FootnoteReference"/>
        </w:rPr>
        <w:footnoteRef/>
      </w:r>
      <w:r>
        <w:t xml:space="preserve"> </w:t>
      </w:r>
      <w:r w:rsidRPr="00CD3B78">
        <w:rPr>
          <w:sz w:val="18"/>
          <w:szCs w:val="18"/>
        </w:rPr>
        <w:t xml:space="preserve">Coleman, B.N. et al., “It’s not smoke. It’s not tar. It’s not 4,000 chemicals. Case closed”: Exploring attitudes, beliefs, and perceived social norms of e-cigarette use among adult users. </w:t>
      </w:r>
      <w:proofErr w:type="gramStart"/>
      <w:r w:rsidRPr="00CD3B78">
        <w:rPr>
          <w:i/>
          <w:sz w:val="18"/>
          <w:szCs w:val="18"/>
        </w:rPr>
        <w:t xml:space="preserve">Drug and Alcohol </w:t>
      </w:r>
      <w:r w:rsidR="00CD3B78" w:rsidRPr="00CD3B78">
        <w:rPr>
          <w:i/>
          <w:sz w:val="18"/>
          <w:szCs w:val="18"/>
        </w:rPr>
        <w:t>Dependence</w:t>
      </w:r>
      <w:r w:rsidRPr="00CD3B78">
        <w:rPr>
          <w:i/>
          <w:sz w:val="18"/>
          <w:szCs w:val="18"/>
        </w:rPr>
        <w:t>.</w:t>
      </w:r>
      <w:proofErr w:type="gramEnd"/>
      <w:r w:rsidRPr="00CD3B78">
        <w:rPr>
          <w:i/>
          <w:sz w:val="18"/>
          <w:szCs w:val="18"/>
        </w:rPr>
        <w:t xml:space="preserve"> </w:t>
      </w:r>
      <w:r w:rsidRPr="00CD3B78">
        <w:rPr>
          <w:sz w:val="18"/>
          <w:szCs w:val="18"/>
        </w:rPr>
        <w:t>doi:10.1016/j.drugalcdep.2015.11.028</w:t>
      </w:r>
      <w:r>
        <w:t xml:space="preserve"> </w:t>
      </w:r>
    </w:p>
  </w:footnote>
  <w:footnote w:id="2">
    <w:p w:rsidR="001B5079" w:rsidRPr="00F35A9C" w:rsidRDefault="001B5079" w:rsidP="001B5079">
      <w:pPr>
        <w:pStyle w:val="FootnoteText"/>
      </w:pPr>
      <w:r>
        <w:rPr>
          <w:rStyle w:val="FootnoteReference"/>
        </w:rPr>
        <w:footnoteRef/>
      </w:r>
      <w:r>
        <w:t xml:space="preserve"> </w:t>
      </w:r>
      <w:r w:rsidRPr="00CD3B78">
        <w:rPr>
          <w:sz w:val="18"/>
          <w:szCs w:val="18"/>
        </w:rPr>
        <w:t xml:space="preserve">Dickinson, D. et al. (in press). The language of cigar use: Focus group findings on cigar product terminology. </w:t>
      </w:r>
      <w:proofErr w:type="gramStart"/>
      <w:r w:rsidRPr="00CD3B78">
        <w:rPr>
          <w:i/>
          <w:sz w:val="18"/>
          <w:szCs w:val="18"/>
        </w:rPr>
        <w:t>Nicotine &amp; Tobacco Research</w:t>
      </w:r>
      <w:r w:rsidRPr="00CD3B78">
        <w:rPr>
          <w:sz w:val="18"/>
          <w:szCs w:val="18"/>
        </w:rPr>
        <w:t>.</w:t>
      </w:r>
      <w:proofErr w:type="gramEnd"/>
    </w:p>
  </w:footnote>
  <w:footnote w:id="3">
    <w:p w:rsidR="003F5F30" w:rsidRPr="0081034D" w:rsidRDefault="003F5F30">
      <w:pPr>
        <w:pStyle w:val="FootnoteText"/>
        <w:rPr>
          <w:sz w:val="18"/>
          <w:szCs w:val="18"/>
        </w:rPr>
      </w:pPr>
      <w:r w:rsidRPr="0081034D">
        <w:rPr>
          <w:rStyle w:val="FootnoteReference"/>
          <w:sz w:val="18"/>
          <w:szCs w:val="18"/>
        </w:rPr>
        <w:footnoteRef/>
      </w:r>
      <w:r w:rsidRPr="0081034D">
        <w:rPr>
          <w:sz w:val="18"/>
          <w:szCs w:val="18"/>
        </w:rPr>
        <w:t xml:space="preserve"> </w:t>
      </w:r>
      <w:proofErr w:type="spellStart"/>
      <w:r w:rsidRPr="0081034D">
        <w:rPr>
          <w:sz w:val="18"/>
          <w:szCs w:val="18"/>
        </w:rPr>
        <w:t>Hitchman</w:t>
      </w:r>
      <w:proofErr w:type="spellEnd"/>
      <w:r w:rsidRPr="0081034D">
        <w:rPr>
          <w:sz w:val="18"/>
          <w:szCs w:val="18"/>
        </w:rPr>
        <w:t>, S.C. et al. (2015)</w:t>
      </w:r>
      <w:r w:rsidR="00D12B5D" w:rsidRPr="0081034D">
        <w:rPr>
          <w:sz w:val="18"/>
          <w:szCs w:val="18"/>
        </w:rPr>
        <w:t>.</w:t>
      </w:r>
      <w:r w:rsidRPr="0081034D">
        <w:rPr>
          <w:sz w:val="18"/>
          <w:szCs w:val="18"/>
        </w:rPr>
        <w:t xml:space="preserve"> Associations between e-cigarette type, frequency of use, and quitting smoking: Findings from a longitudinal online panel survey in Great Britain. </w:t>
      </w:r>
      <w:r w:rsidRPr="0081034D">
        <w:rPr>
          <w:i/>
          <w:sz w:val="18"/>
          <w:szCs w:val="18"/>
        </w:rPr>
        <w:t>Nicotine &amp; Tobacco Research, 1-8</w:t>
      </w:r>
      <w:r w:rsidR="0081034D">
        <w:rPr>
          <w:sz w:val="18"/>
          <w:szCs w:val="18"/>
        </w:rPr>
        <w:t>.</w:t>
      </w:r>
    </w:p>
    <w:p w:rsidR="003F5F30" w:rsidRPr="0081034D" w:rsidRDefault="003F5F30">
      <w:pPr>
        <w:pStyle w:val="FootnoteText"/>
        <w:rPr>
          <w:i/>
          <w:sz w:val="18"/>
          <w:szCs w:val="18"/>
        </w:rPr>
      </w:pPr>
      <w:r w:rsidRPr="0081034D">
        <w:rPr>
          <w:sz w:val="18"/>
          <w:szCs w:val="18"/>
        </w:rPr>
        <w:t xml:space="preserve">  </w:t>
      </w:r>
      <w:proofErr w:type="spellStart"/>
      <w:r w:rsidRPr="0081034D">
        <w:rPr>
          <w:sz w:val="18"/>
          <w:szCs w:val="18"/>
        </w:rPr>
        <w:t>Lechner</w:t>
      </w:r>
      <w:proofErr w:type="spellEnd"/>
      <w:r w:rsidRPr="0081034D">
        <w:rPr>
          <w:sz w:val="18"/>
          <w:szCs w:val="18"/>
        </w:rPr>
        <w:t>, W.V. et al. (2015)</w:t>
      </w:r>
      <w:r w:rsidR="00D12B5D" w:rsidRPr="0081034D">
        <w:rPr>
          <w:sz w:val="18"/>
          <w:szCs w:val="18"/>
        </w:rPr>
        <w:t>.</w:t>
      </w:r>
      <w:r w:rsidRPr="0081034D">
        <w:rPr>
          <w:sz w:val="18"/>
          <w:szCs w:val="18"/>
        </w:rPr>
        <w:t xml:space="preserve"> </w:t>
      </w:r>
      <w:proofErr w:type="gramStart"/>
      <w:r w:rsidRPr="0081034D">
        <w:rPr>
          <w:sz w:val="18"/>
          <w:szCs w:val="18"/>
        </w:rPr>
        <w:t>The comparative efficacy of 1</w:t>
      </w:r>
      <w:r w:rsidRPr="0081034D">
        <w:rPr>
          <w:sz w:val="18"/>
          <w:szCs w:val="18"/>
          <w:vertAlign w:val="superscript"/>
        </w:rPr>
        <w:t>st</w:t>
      </w:r>
      <w:r w:rsidRPr="0081034D">
        <w:rPr>
          <w:sz w:val="18"/>
          <w:szCs w:val="18"/>
        </w:rPr>
        <w:t xml:space="preserve"> vs. 2</w:t>
      </w:r>
      <w:r w:rsidRPr="0081034D">
        <w:rPr>
          <w:sz w:val="18"/>
          <w:szCs w:val="18"/>
          <w:vertAlign w:val="superscript"/>
        </w:rPr>
        <w:t>nd</w:t>
      </w:r>
      <w:r w:rsidRPr="0081034D">
        <w:rPr>
          <w:sz w:val="18"/>
          <w:szCs w:val="18"/>
        </w:rPr>
        <w:t xml:space="preserve"> generation electronic cigarettes in reducing symptoms of nicotine withdrawal.</w:t>
      </w:r>
      <w:proofErr w:type="gramEnd"/>
      <w:r w:rsidRPr="0081034D">
        <w:rPr>
          <w:sz w:val="18"/>
          <w:szCs w:val="18"/>
        </w:rPr>
        <w:t xml:space="preserve"> </w:t>
      </w:r>
      <w:proofErr w:type="gramStart"/>
      <w:r w:rsidRPr="0081034D">
        <w:rPr>
          <w:i/>
          <w:sz w:val="18"/>
          <w:szCs w:val="18"/>
        </w:rPr>
        <w:t xml:space="preserve">Addiction, 110, </w:t>
      </w:r>
      <w:r w:rsidRPr="0081034D">
        <w:rPr>
          <w:sz w:val="18"/>
          <w:szCs w:val="18"/>
        </w:rPr>
        <w:t>862-7.</w:t>
      </w:r>
      <w:proofErr w:type="gramEnd"/>
    </w:p>
  </w:footnote>
  <w:footnote w:id="4">
    <w:p w:rsidR="003F5F30" w:rsidRPr="0081034D" w:rsidRDefault="003F5F30">
      <w:pPr>
        <w:pStyle w:val="FootnoteText"/>
        <w:rPr>
          <w:i/>
          <w:sz w:val="18"/>
          <w:szCs w:val="18"/>
        </w:rPr>
      </w:pPr>
      <w:r w:rsidRPr="0081034D">
        <w:rPr>
          <w:rStyle w:val="FootnoteReference"/>
          <w:sz w:val="18"/>
          <w:szCs w:val="18"/>
        </w:rPr>
        <w:footnoteRef/>
      </w:r>
      <w:r w:rsidRPr="0081034D">
        <w:rPr>
          <w:sz w:val="18"/>
          <w:szCs w:val="18"/>
        </w:rPr>
        <w:t xml:space="preserve"> </w:t>
      </w:r>
      <w:proofErr w:type="spellStart"/>
      <w:proofErr w:type="gramStart"/>
      <w:r w:rsidRPr="0081034D">
        <w:rPr>
          <w:sz w:val="18"/>
          <w:szCs w:val="18"/>
        </w:rPr>
        <w:t>Shihadeh</w:t>
      </w:r>
      <w:proofErr w:type="spellEnd"/>
      <w:r w:rsidRPr="0081034D">
        <w:rPr>
          <w:sz w:val="18"/>
          <w:szCs w:val="18"/>
        </w:rPr>
        <w:t xml:space="preserve">, A. &amp; </w:t>
      </w:r>
      <w:proofErr w:type="spellStart"/>
      <w:r w:rsidRPr="0081034D">
        <w:rPr>
          <w:sz w:val="18"/>
          <w:szCs w:val="18"/>
        </w:rPr>
        <w:t>Eissenberg</w:t>
      </w:r>
      <w:proofErr w:type="spellEnd"/>
      <w:r w:rsidRPr="0081034D">
        <w:rPr>
          <w:sz w:val="18"/>
          <w:szCs w:val="18"/>
        </w:rPr>
        <w:t>, T. (2015)</w:t>
      </w:r>
      <w:r w:rsidR="00D12B5D" w:rsidRPr="0081034D">
        <w:rPr>
          <w:sz w:val="18"/>
          <w:szCs w:val="18"/>
        </w:rPr>
        <w:t>.</w:t>
      </w:r>
      <w:proofErr w:type="gramEnd"/>
      <w:r w:rsidRPr="0081034D">
        <w:rPr>
          <w:sz w:val="18"/>
          <w:szCs w:val="18"/>
        </w:rPr>
        <w:t xml:space="preserve"> Electronic cigarette effectiveness and abuse liability: Predicting and </w:t>
      </w:r>
      <w:r w:rsidRPr="0081034D">
        <w:rPr>
          <w:sz w:val="18"/>
          <w:szCs w:val="18"/>
        </w:rPr>
        <w:tab/>
        <w:t xml:space="preserve">regulating nicotine flux. </w:t>
      </w:r>
      <w:r w:rsidRPr="0081034D">
        <w:rPr>
          <w:i/>
          <w:sz w:val="18"/>
          <w:szCs w:val="18"/>
        </w:rPr>
        <w:t>Nicotine &amp; Tobacco Research, 158-162.</w:t>
      </w:r>
    </w:p>
  </w:footnote>
  <w:footnote w:id="5">
    <w:p w:rsidR="003F5F30" w:rsidRPr="0081034D" w:rsidRDefault="003F5F30">
      <w:pPr>
        <w:pStyle w:val="FootnoteText"/>
        <w:rPr>
          <w:sz w:val="18"/>
          <w:szCs w:val="18"/>
        </w:rPr>
      </w:pPr>
      <w:r w:rsidRPr="0081034D">
        <w:rPr>
          <w:rStyle w:val="FootnoteReference"/>
          <w:sz w:val="18"/>
          <w:szCs w:val="18"/>
        </w:rPr>
        <w:footnoteRef/>
      </w:r>
      <w:r w:rsidRPr="0081034D">
        <w:rPr>
          <w:sz w:val="18"/>
          <w:szCs w:val="18"/>
        </w:rPr>
        <w:t xml:space="preserve"> Dawkins, L. et al. (2014). First- versus second-generation electronic cigarettes: Predictors of choice and effects on</w:t>
      </w:r>
      <w:r w:rsidR="0081034D">
        <w:rPr>
          <w:sz w:val="18"/>
          <w:szCs w:val="18"/>
        </w:rPr>
        <w:t xml:space="preserve"> urge </w:t>
      </w:r>
      <w:r w:rsidRPr="0081034D">
        <w:rPr>
          <w:sz w:val="18"/>
          <w:szCs w:val="18"/>
        </w:rPr>
        <w:t>to</w:t>
      </w:r>
      <w:r w:rsidR="0081034D">
        <w:rPr>
          <w:sz w:val="18"/>
          <w:szCs w:val="18"/>
        </w:rPr>
        <w:t xml:space="preserve"> </w:t>
      </w:r>
      <w:r w:rsidRPr="0081034D">
        <w:rPr>
          <w:sz w:val="18"/>
          <w:szCs w:val="18"/>
        </w:rPr>
        <w:t xml:space="preserve">smoke and withdrawal symptoms. </w:t>
      </w:r>
      <w:r w:rsidRPr="0081034D">
        <w:rPr>
          <w:i/>
          <w:sz w:val="18"/>
          <w:szCs w:val="18"/>
        </w:rPr>
        <w:t>Addiction, 110,</w:t>
      </w:r>
      <w:r w:rsidRPr="0081034D">
        <w:rPr>
          <w:sz w:val="18"/>
          <w:szCs w:val="18"/>
        </w:rPr>
        <w:t xml:space="preserve"> 669-677. </w:t>
      </w:r>
    </w:p>
  </w:footnote>
  <w:footnote w:id="6">
    <w:p w:rsidR="003F5F30" w:rsidRPr="003F5F30" w:rsidRDefault="003F5F30">
      <w:pPr>
        <w:pStyle w:val="FootnoteText"/>
      </w:pPr>
      <w:r w:rsidRPr="0081034D">
        <w:rPr>
          <w:rStyle w:val="FootnoteReference"/>
          <w:sz w:val="18"/>
          <w:szCs w:val="18"/>
        </w:rPr>
        <w:footnoteRef/>
      </w:r>
      <w:r w:rsidRPr="0081034D">
        <w:rPr>
          <w:sz w:val="18"/>
          <w:szCs w:val="18"/>
        </w:rPr>
        <w:t xml:space="preserve"> </w:t>
      </w:r>
      <w:proofErr w:type="spellStart"/>
      <w:r w:rsidRPr="0081034D">
        <w:rPr>
          <w:sz w:val="18"/>
          <w:szCs w:val="18"/>
        </w:rPr>
        <w:t>Yingst</w:t>
      </w:r>
      <w:proofErr w:type="spellEnd"/>
      <w:r w:rsidRPr="0081034D">
        <w:rPr>
          <w:sz w:val="18"/>
          <w:szCs w:val="18"/>
        </w:rPr>
        <w:t xml:space="preserve">, J., et al. (2015). Factors associated with electronic cigarette users’ device preferences and transitions from first generation to advanced generation devices. </w:t>
      </w:r>
      <w:r w:rsidRPr="0081034D">
        <w:rPr>
          <w:i/>
          <w:sz w:val="18"/>
          <w:szCs w:val="18"/>
        </w:rPr>
        <w:t xml:space="preserve">Nicotine &amp; Tobacco Research, 17, </w:t>
      </w:r>
      <w:r w:rsidR="00D12B5D" w:rsidRPr="0081034D">
        <w:rPr>
          <w:sz w:val="18"/>
          <w:szCs w:val="18"/>
        </w:rPr>
        <w:t>1242-1246.</w:t>
      </w:r>
    </w:p>
  </w:footnote>
  <w:footnote w:id="7">
    <w:p w:rsidR="00634D4A" w:rsidRDefault="00634D4A" w:rsidP="003868E2">
      <w:pPr>
        <w:rPr>
          <w:sz w:val="18"/>
          <w:szCs w:val="18"/>
        </w:rPr>
      </w:pPr>
      <w:r w:rsidRPr="0081034D">
        <w:rPr>
          <w:rStyle w:val="FootnoteReference"/>
          <w:sz w:val="18"/>
          <w:szCs w:val="18"/>
        </w:rPr>
        <w:footnoteRef/>
      </w:r>
      <w:r w:rsidRPr="0081034D">
        <w:rPr>
          <w:sz w:val="18"/>
          <w:szCs w:val="18"/>
        </w:rPr>
        <w:t xml:space="preserve"> </w:t>
      </w:r>
      <w:r w:rsidRPr="00CD3B78">
        <w:rPr>
          <w:sz w:val="18"/>
          <w:szCs w:val="18"/>
        </w:rPr>
        <w:t xml:space="preserve">Stewart, D.W., </w:t>
      </w:r>
      <w:proofErr w:type="spellStart"/>
      <w:r w:rsidRPr="00CD3B78">
        <w:rPr>
          <w:sz w:val="18"/>
          <w:szCs w:val="18"/>
        </w:rPr>
        <w:t>Shamdasani</w:t>
      </w:r>
      <w:proofErr w:type="spellEnd"/>
      <w:r w:rsidRPr="00CD3B78">
        <w:rPr>
          <w:sz w:val="18"/>
          <w:szCs w:val="18"/>
        </w:rPr>
        <w:t xml:space="preserve">, P.N., Rook, D.W. (2007). </w:t>
      </w:r>
      <w:r w:rsidRPr="00CD3B78">
        <w:rPr>
          <w:i/>
          <w:sz w:val="18"/>
          <w:szCs w:val="18"/>
        </w:rPr>
        <w:t>Focus Groups: Theory and Practice</w:t>
      </w:r>
      <w:r w:rsidRPr="00CD3B78">
        <w:rPr>
          <w:sz w:val="18"/>
          <w:szCs w:val="18"/>
        </w:rPr>
        <w:t>. Thousand Oaks, CA: Sage Publications.</w:t>
      </w:r>
    </w:p>
    <w:p w:rsidR="002B2642" w:rsidRPr="003868E2" w:rsidRDefault="002B2642" w:rsidP="003868E2">
      <w:pPr>
        <w:rPr>
          <w:sz w:val="18"/>
          <w:szCs w:val="18"/>
        </w:rPr>
      </w:pPr>
      <w:r>
        <w:rPr>
          <w:rStyle w:val="FootnoteReference"/>
        </w:rPr>
        <w:t>8</w:t>
      </w:r>
      <w:r>
        <w:t xml:space="preserve"> </w:t>
      </w:r>
      <w:proofErr w:type="spellStart"/>
      <w:r w:rsidRPr="00CD3B78">
        <w:rPr>
          <w:sz w:val="18"/>
          <w:szCs w:val="18"/>
        </w:rPr>
        <w:t>Agaku</w:t>
      </w:r>
      <w:proofErr w:type="spellEnd"/>
      <w:r w:rsidRPr="00CD3B78">
        <w:rPr>
          <w:sz w:val="18"/>
          <w:szCs w:val="18"/>
        </w:rPr>
        <w:t xml:space="preserve">, I.T. et al. (2014). Tobacco Product Use </w:t>
      </w:r>
      <w:proofErr w:type="gramStart"/>
      <w:r w:rsidRPr="00CD3B78">
        <w:rPr>
          <w:sz w:val="18"/>
          <w:szCs w:val="18"/>
        </w:rPr>
        <w:t>Among</w:t>
      </w:r>
      <w:proofErr w:type="gramEnd"/>
      <w:r w:rsidRPr="00CD3B78">
        <w:rPr>
          <w:sz w:val="18"/>
          <w:szCs w:val="18"/>
        </w:rPr>
        <w:t xml:space="preserve"> Adults—United States, 2012-2013. </w:t>
      </w:r>
      <w:r w:rsidRPr="00CD3B78">
        <w:rPr>
          <w:i/>
          <w:sz w:val="18"/>
          <w:szCs w:val="18"/>
        </w:rPr>
        <w:t>Morbidity and Mortality Weekly Report (MMWR), 63</w:t>
      </w:r>
      <w:r w:rsidRPr="00CD3B78">
        <w:rPr>
          <w:sz w:val="18"/>
          <w:szCs w:val="18"/>
        </w:rPr>
        <w:t>(25), 542-547.</w:t>
      </w:r>
    </w:p>
  </w:footnote>
  <w:footnote w:id="8">
    <w:p w:rsidR="008701C0" w:rsidRDefault="002B2642">
      <w:pPr>
        <w:pStyle w:val="FootnoteText"/>
      </w:pPr>
      <w:r>
        <w:rPr>
          <w:rStyle w:val="FootnoteReference"/>
        </w:rPr>
        <w:t>9</w:t>
      </w:r>
      <w:r w:rsidR="008701C0">
        <w:t xml:space="preserve"> </w:t>
      </w:r>
      <w:proofErr w:type="spellStart"/>
      <w:r w:rsidR="008701C0" w:rsidRPr="00CD3B78">
        <w:rPr>
          <w:sz w:val="18"/>
          <w:szCs w:val="18"/>
        </w:rPr>
        <w:t>Schoenborn</w:t>
      </w:r>
      <w:proofErr w:type="spellEnd"/>
      <w:r w:rsidR="008701C0" w:rsidRPr="00CD3B78">
        <w:rPr>
          <w:sz w:val="18"/>
          <w:szCs w:val="18"/>
        </w:rPr>
        <w:t xml:space="preserve">, C &amp; </w:t>
      </w:r>
      <w:proofErr w:type="spellStart"/>
      <w:r w:rsidR="008701C0" w:rsidRPr="00CD3B78">
        <w:rPr>
          <w:sz w:val="18"/>
          <w:szCs w:val="18"/>
        </w:rPr>
        <w:t>Gindi</w:t>
      </w:r>
      <w:proofErr w:type="spellEnd"/>
      <w:r w:rsidR="008701C0" w:rsidRPr="00CD3B78">
        <w:rPr>
          <w:sz w:val="18"/>
          <w:szCs w:val="18"/>
        </w:rPr>
        <w:t xml:space="preserve">, R.M. Electronic Cigarette Use </w:t>
      </w:r>
      <w:proofErr w:type="gramStart"/>
      <w:r w:rsidR="008701C0" w:rsidRPr="00CD3B78">
        <w:rPr>
          <w:sz w:val="18"/>
          <w:szCs w:val="18"/>
        </w:rPr>
        <w:t>Among</w:t>
      </w:r>
      <w:proofErr w:type="gramEnd"/>
      <w:r w:rsidR="008701C0" w:rsidRPr="00CD3B78">
        <w:rPr>
          <w:sz w:val="18"/>
          <w:szCs w:val="18"/>
        </w:rPr>
        <w:t xml:space="preserve"> Adults: United States, 2014. </w:t>
      </w:r>
      <w:proofErr w:type="gramStart"/>
      <w:r w:rsidR="008701C0" w:rsidRPr="00CD3B78">
        <w:rPr>
          <w:sz w:val="18"/>
          <w:szCs w:val="18"/>
        </w:rPr>
        <w:t>NCHS Data Brief, no. 217.</w:t>
      </w:r>
      <w:proofErr w:type="gramEnd"/>
      <w:r w:rsidR="008701C0" w:rsidRPr="00CD3B78">
        <w:rPr>
          <w:sz w:val="18"/>
          <w:szCs w:val="18"/>
        </w:rPr>
        <w:t xml:space="preserve"> Hyattsville, MD: National Center for Health Statistics, 2015.</w:t>
      </w:r>
      <w:r w:rsidR="008701C0">
        <w:t xml:space="preserve"> </w:t>
      </w:r>
    </w:p>
  </w:footnote>
  <w:footnote w:id="9">
    <w:p w:rsidR="00466F01" w:rsidRPr="00466F01" w:rsidRDefault="002B2642">
      <w:pPr>
        <w:pStyle w:val="FootnoteText"/>
      </w:pPr>
      <w:r>
        <w:rPr>
          <w:rStyle w:val="FootnoteReference"/>
        </w:rPr>
        <w:t>1</w:t>
      </w:r>
      <w:r>
        <w:rPr>
          <w:vertAlign w:val="superscript"/>
        </w:rPr>
        <w:t>0</w:t>
      </w:r>
      <w:r w:rsidR="00466F01">
        <w:t xml:space="preserve"> </w:t>
      </w:r>
      <w:r w:rsidR="00466F01" w:rsidRPr="00CD3B78">
        <w:rPr>
          <w:sz w:val="18"/>
          <w:szCs w:val="18"/>
        </w:rPr>
        <w:t xml:space="preserve">Herzog, B. </w:t>
      </w:r>
      <w:proofErr w:type="spellStart"/>
      <w:r w:rsidR="00466F01" w:rsidRPr="00CD3B78">
        <w:rPr>
          <w:sz w:val="18"/>
          <w:szCs w:val="18"/>
        </w:rPr>
        <w:t>Gerberi</w:t>
      </w:r>
      <w:proofErr w:type="spellEnd"/>
      <w:r w:rsidR="00466F01" w:rsidRPr="00CD3B78">
        <w:rPr>
          <w:sz w:val="18"/>
          <w:szCs w:val="18"/>
        </w:rPr>
        <w:t xml:space="preserve">, J. &amp; Scott, A. </w:t>
      </w:r>
      <w:r w:rsidR="00466F01" w:rsidRPr="00CD3B78">
        <w:rPr>
          <w:i/>
          <w:sz w:val="18"/>
          <w:szCs w:val="18"/>
        </w:rPr>
        <w:t xml:space="preserve">Equity Research—Tobacco: Vapor Work Expo—Key Takeaways. </w:t>
      </w:r>
      <w:r w:rsidR="00466F01" w:rsidRPr="00CD3B78">
        <w:rPr>
          <w:sz w:val="18"/>
          <w:szCs w:val="18"/>
        </w:rPr>
        <w:t>Wells Fargo Securities, May 12, 2014.</w:t>
      </w:r>
    </w:p>
  </w:footnote>
  <w:footnote w:id="10">
    <w:p w:rsidR="00634D4A" w:rsidRPr="003868E2" w:rsidRDefault="002B2642" w:rsidP="0081034D">
      <w:pPr>
        <w:rPr>
          <w:sz w:val="20"/>
          <w:szCs w:val="20"/>
        </w:rPr>
      </w:pPr>
      <w:proofErr w:type="gramStart"/>
      <w:r>
        <w:rPr>
          <w:sz w:val="20"/>
          <w:szCs w:val="20"/>
          <w:vertAlign w:val="superscript"/>
        </w:rPr>
        <w:t>11</w:t>
      </w:r>
      <w:r w:rsidR="00634D4A" w:rsidRPr="003868E2">
        <w:rPr>
          <w:sz w:val="20"/>
          <w:szCs w:val="20"/>
        </w:rPr>
        <w:t xml:space="preserve"> </w:t>
      </w:r>
      <w:bookmarkStart w:id="1" w:name="_GoBack"/>
      <w:bookmarkEnd w:id="1"/>
      <w:r w:rsidR="00634D4A" w:rsidRPr="00CD3B78">
        <w:rPr>
          <w:sz w:val="18"/>
          <w:szCs w:val="18"/>
        </w:rPr>
        <w:t xml:space="preserve">Morgan, D.L. &amp; </w:t>
      </w:r>
      <w:proofErr w:type="spellStart"/>
      <w:r w:rsidR="00634D4A" w:rsidRPr="00CD3B78">
        <w:rPr>
          <w:sz w:val="18"/>
          <w:szCs w:val="18"/>
        </w:rPr>
        <w:t>Scanell</w:t>
      </w:r>
      <w:proofErr w:type="spellEnd"/>
      <w:r w:rsidR="00634D4A" w:rsidRPr="00CD3B78">
        <w:rPr>
          <w:sz w:val="18"/>
          <w:szCs w:val="18"/>
        </w:rPr>
        <w:t xml:space="preserve">, A.U. (1998) </w:t>
      </w:r>
      <w:r w:rsidR="00634D4A" w:rsidRPr="00CD3B78">
        <w:rPr>
          <w:i/>
          <w:sz w:val="18"/>
          <w:szCs w:val="18"/>
        </w:rPr>
        <w:t>Planning Focus Groups.</w:t>
      </w:r>
      <w:proofErr w:type="gramEnd"/>
      <w:r w:rsidR="00634D4A" w:rsidRPr="00CD3B78">
        <w:rPr>
          <w:i/>
          <w:sz w:val="18"/>
          <w:szCs w:val="18"/>
        </w:rPr>
        <w:t xml:space="preserve"> </w:t>
      </w:r>
      <w:r w:rsidR="00634D4A" w:rsidRPr="00CD3B78">
        <w:rPr>
          <w:sz w:val="18"/>
          <w:szCs w:val="18"/>
        </w:rPr>
        <w:t>Thousa</w:t>
      </w:r>
      <w:r w:rsidR="0081034D" w:rsidRPr="00CD3B78">
        <w:rPr>
          <w:sz w:val="18"/>
          <w:szCs w:val="18"/>
        </w:rPr>
        <w:t>nd Oaks, CA: Sage Publications.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866829"/>
    <w:multiLevelType w:val="hybridMultilevel"/>
    <w:tmpl w:val="8F5AD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80A0657"/>
    <w:multiLevelType w:val="hybridMultilevel"/>
    <w:tmpl w:val="494433CE"/>
    <w:lvl w:ilvl="0" w:tplc="8C749F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E34981"/>
    <w:multiLevelType w:val="hybridMultilevel"/>
    <w:tmpl w:val="44609452"/>
    <w:lvl w:ilvl="0" w:tplc="91ACDE52">
      <w:start w:val="1"/>
      <w:numFmt w:val="upperRoman"/>
      <w:lvlText w:val="%1."/>
      <w:lvlJc w:val="left"/>
      <w:pPr>
        <w:ind w:left="1080" w:hanging="720"/>
      </w:pPr>
      <w:rPr>
        <w:rFonts w:hint="default"/>
      </w:rPr>
    </w:lvl>
    <w:lvl w:ilvl="1" w:tplc="426EDE7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A26EC8"/>
    <w:multiLevelType w:val="hybridMultilevel"/>
    <w:tmpl w:val="7F926D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F4220B"/>
    <w:multiLevelType w:val="hybridMultilevel"/>
    <w:tmpl w:val="5CA24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nsid w:val="70611400"/>
    <w:multiLevelType w:val="hybridMultilevel"/>
    <w:tmpl w:val="98520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6"/>
  </w:num>
  <w:num w:numId="6">
    <w:abstractNumId w:val="3"/>
  </w:num>
  <w:num w:numId="7">
    <w:abstractNumId w:val="13"/>
  </w:num>
  <w:num w:numId="8">
    <w:abstractNumId w:val="20"/>
  </w:num>
  <w:num w:numId="9">
    <w:abstractNumId w:val="14"/>
  </w:num>
  <w:num w:numId="10">
    <w:abstractNumId w:val="4"/>
  </w:num>
  <w:num w:numId="11">
    <w:abstractNumId w:val="7"/>
  </w:num>
  <w:num w:numId="12">
    <w:abstractNumId w:val="9"/>
  </w:num>
  <w:num w:numId="13">
    <w:abstractNumId w:val="2"/>
  </w:num>
  <w:num w:numId="14">
    <w:abstractNumId w:val="11"/>
  </w:num>
  <w:num w:numId="15">
    <w:abstractNumId w:val="21"/>
  </w:num>
  <w:num w:numId="16">
    <w:abstractNumId w:val="19"/>
  </w:num>
  <w:num w:numId="17">
    <w:abstractNumId w:val="1"/>
  </w:num>
  <w:num w:numId="18">
    <w:abstractNumId w:val="10"/>
  </w:num>
  <w:num w:numId="19">
    <w:abstractNumId w:val="8"/>
  </w:num>
  <w:num w:numId="20">
    <w:abstractNumId w:val="22"/>
  </w:num>
  <w:num w:numId="21">
    <w:abstractNumId w:val="5"/>
  </w:num>
  <w:num w:numId="2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8"/>
  </w:num>
  <w:num w:numId="24">
    <w:abstractNumId w:val="1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10B0A"/>
    <w:rsid w:val="000139F0"/>
    <w:rsid w:val="00013F7A"/>
    <w:rsid w:val="0001657F"/>
    <w:rsid w:val="0003241E"/>
    <w:rsid w:val="00035B5C"/>
    <w:rsid w:val="00042822"/>
    <w:rsid w:val="00061515"/>
    <w:rsid w:val="00063318"/>
    <w:rsid w:val="00067F38"/>
    <w:rsid w:val="00073BD9"/>
    <w:rsid w:val="00075F13"/>
    <w:rsid w:val="00082E17"/>
    <w:rsid w:val="000939BD"/>
    <w:rsid w:val="00096360"/>
    <w:rsid w:val="000A2B68"/>
    <w:rsid w:val="000A2FFA"/>
    <w:rsid w:val="000A525C"/>
    <w:rsid w:val="000C0712"/>
    <w:rsid w:val="000C386B"/>
    <w:rsid w:val="000C7755"/>
    <w:rsid w:val="000D1927"/>
    <w:rsid w:val="000D2784"/>
    <w:rsid w:val="000E7DB9"/>
    <w:rsid w:val="000F06C8"/>
    <w:rsid w:val="000F0E6E"/>
    <w:rsid w:val="000F1CDA"/>
    <w:rsid w:val="00100441"/>
    <w:rsid w:val="001013FD"/>
    <w:rsid w:val="001015E5"/>
    <w:rsid w:val="00102BE1"/>
    <w:rsid w:val="00112B5F"/>
    <w:rsid w:val="00113864"/>
    <w:rsid w:val="001249F2"/>
    <w:rsid w:val="00126D06"/>
    <w:rsid w:val="00126D8F"/>
    <w:rsid w:val="00132EF8"/>
    <w:rsid w:val="001332A4"/>
    <w:rsid w:val="00140343"/>
    <w:rsid w:val="00140A0D"/>
    <w:rsid w:val="00141AC0"/>
    <w:rsid w:val="00145BBA"/>
    <w:rsid w:val="001544FF"/>
    <w:rsid w:val="0015552B"/>
    <w:rsid w:val="001627E8"/>
    <w:rsid w:val="001716B6"/>
    <w:rsid w:val="00172A6E"/>
    <w:rsid w:val="00183D3B"/>
    <w:rsid w:val="00190AA2"/>
    <w:rsid w:val="0019144A"/>
    <w:rsid w:val="00196B94"/>
    <w:rsid w:val="001A01DB"/>
    <w:rsid w:val="001A68F4"/>
    <w:rsid w:val="001B5079"/>
    <w:rsid w:val="001B7ADE"/>
    <w:rsid w:val="001C0117"/>
    <w:rsid w:val="001D19B4"/>
    <w:rsid w:val="001D3E20"/>
    <w:rsid w:val="001E1A53"/>
    <w:rsid w:val="001E460A"/>
    <w:rsid w:val="001F0788"/>
    <w:rsid w:val="001F09C0"/>
    <w:rsid w:val="001F4032"/>
    <w:rsid w:val="001F4EDD"/>
    <w:rsid w:val="0020737E"/>
    <w:rsid w:val="00207E71"/>
    <w:rsid w:val="00212C75"/>
    <w:rsid w:val="002165E5"/>
    <w:rsid w:val="002203F0"/>
    <w:rsid w:val="00222463"/>
    <w:rsid w:val="00224A23"/>
    <w:rsid w:val="0022552F"/>
    <w:rsid w:val="00225BC2"/>
    <w:rsid w:val="00226DF3"/>
    <w:rsid w:val="00242085"/>
    <w:rsid w:val="00242D3A"/>
    <w:rsid w:val="00243BAE"/>
    <w:rsid w:val="00255B16"/>
    <w:rsid w:val="00256767"/>
    <w:rsid w:val="00271764"/>
    <w:rsid w:val="00276343"/>
    <w:rsid w:val="00285801"/>
    <w:rsid w:val="002B2642"/>
    <w:rsid w:val="002D05D7"/>
    <w:rsid w:val="002D1992"/>
    <w:rsid w:val="002D3F8E"/>
    <w:rsid w:val="002D49A6"/>
    <w:rsid w:val="002E5034"/>
    <w:rsid w:val="002F7859"/>
    <w:rsid w:val="00301BB5"/>
    <w:rsid w:val="00335DEB"/>
    <w:rsid w:val="0034378D"/>
    <w:rsid w:val="00344175"/>
    <w:rsid w:val="00350C25"/>
    <w:rsid w:val="003533FC"/>
    <w:rsid w:val="00356FF0"/>
    <w:rsid w:val="00363168"/>
    <w:rsid w:val="00363538"/>
    <w:rsid w:val="00364051"/>
    <w:rsid w:val="00366A40"/>
    <w:rsid w:val="003868E2"/>
    <w:rsid w:val="003875A6"/>
    <w:rsid w:val="003879DD"/>
    <w:rsid w:val="00396ECD"/>
    <w:rsid w:val="0039712D"/>
    <w:rsid w:val="003B3B36"/>
    <w:rsid w:val="003E0D74"/>
    <w:rsid w:val="003E3F21"/>
    <w:rsid w:val="003F0940"/>
    <w:rsid w:val="003F1C7A"/>
    <w:rsid w:val="003F3B99"/>
    <w:rsid w:val="003F4584"/>
    <w:rsid w:val="003F5989"/>
    <w:rsid w:val="003F5F30"/>
    <w:rsid w:val="003F6B8F"/>
    <w:rsid w:val="00400A58"/>
    <w:rsid w:val="0040167E"/>
    <w:rsid w:val="0040479E"/>
    <w:rsid w:val="0040582E"/>
    <w:rsid w:val="00410D7F"/>
    <w:rsid w:val="00411149"/>
    <w:rsid w:val="00425423"/>
    <w:rsid w:val="00434582"/>
    <w:rsid w:val="00443010"/>
    <w:rsid w:val="00443A20"/>
    <w:rsid w:val="00444902"/>
    <w:rsid w:val="0045373C"/>
    <w:rsid w:val="00454E8F"/>
    <w:rsid w:val="00463B4D"/>
    <w:rsid w:val="00466F01"/>
    <w:rsid w:val="00467E1B"/>
    <w:rsid w:val="0047163F"/>
    <w:rsid w:val="00475004"/>
    <w:rsid w:val="0048136F"/>
    <w:rsid w:val="00486996"/>
    <w:rsid w:val="00486BED"/>
    <w:rsid w:val="0049419A"/>
    <w:rsid w:val="004A31FF"/>
    <w:rsid w:val="004A6FBF"/>
    <w:rsid w:val="004B156C"/>
    <w:rsid w:val="004B2A4A"/>
    <w:rsid w:val="004B2EB0"/>
    <w:rsid w:val="004B694D"/>
    <w:rsid w:val="004C6623"/>
    <w:rsid w:val="004D1401"/>
    <w:rsid w:val="004D14D6"/>
    <w:rsid w:val="004D223D"/>
    <w:rsid w:val="004F1F39"/>
    <w:rsid w:val="004F391C"/>
    <w:rsid w:val="00504376"/>
    <w:rsid w:val="005247FE"/>
    <w:rsid w:val="005304CE"/>
    <w:rsid w:val="00545931"/>
    <w:rsid w:val="00552E1A"/>
    <w:rsid w:val="005547B4"/>
    <w:rsid w:val="00562AB0"/>
    <w:rsid w:val="00570D2C"/>
    <w:rsid w:val="005715A3"/>
    <w:rsid w:val="00581584"/>
    <w:rsid w:val="00586806"/>
    <w:rsid w:val="005A18A4"/>
    <w:rsid w:val="005A3CE6"/>
    <w:rsid w:val="005A3EF5"/>
    <w:rsid w:val="005C38C3"/>
    <w:rsid w:val="005C4CC5"/>
    <w:rsid w:val="005D7756"/>
    <w:rsid w:val="005E23BA"/>
    <w:rsid w:val="005E4981"/>
    <w:rsid w:val="005F5802"/>
    <w:rsid w:val="005F6949"/>
    <w:rsid w:val="0060417C"/>
    <w:rsid w:val="00604FE0"/>
    <w:rsid w:val="00606E31"/>
    <w:rsid w:val="00607C4E"/>
    <w:rsid w:val="006326FC"/>
    <w:rsid w:val="00634D4A"/>
    <w:rsid w:val="006454FA"/>
    <w:rsid w:val="006556D7"/>
    <w:rsid w:val="00655E3D"/>
    <w:rsid w:val="00662609"/>
    <w:rsid w:val="006650B2"/>
    <w:rsid w:val="00665B03"/>
    <w:rsid w:val="006704E9"/>
    <w:rsid w:val="00672DDD"/>
    <w:rsid w:val="00677131"/>
    <w:rsid w:val="00681169"/>
    <w:rsid w:val="00681DB9"/>
    <w:rsid w:val="00684BB1"/>
    <w:rsid w:val="00685922"/>
    <w:rsid w:val="006928A5"/>
    <w:rsid w:val="00695850"/>
    <w:rsid w:val="00696B03"/>
    <w:rsid w:val="006970B6"/>
    <w:rsid w:val="006B431A"/>
    <w:rsid w:val="006C51DB"/>
    <w:rsid w:val="006D1C84"/>
    <w:rsid w:val="006D3B31"/>
    <w:rsid w:val="006D3CCF"/>
    <w:rsid w:val="006D58D7"/>
    <w:rsid w:val="006E17C7"/>
    <w:rsid w:val="006E6F15"/>
    <w:rsid w:val="006F1A9E"/>
    <w:rsid w:val="006F20CA"/>
    <w:rsid w:val="006F605E"/>
    <w:rsid w:val="00704FF1"/>
    <w:rsid w:val="00706AB5"/>
    <w:rsid w:val="00712C19"/>
    <w:rsid w:val="007145C1"/>
    <w:rsid w:val="00715162"/>
    <w:rsid w:val="00727F54"/>
    <w:rsid w:val="00730C5F"/>
    <w:rsid w:val="00742536"/>
    <w:rsid w:val="0074463A"/>
    <w:rsid w:val="00744F5B"/>
    <w:rsid w:val="007614FD"/>
    <w:rsid w:val="007701D9"/>
    <w:rsid w:val="00775FE8"/>
    <w:rsid w:val="00783448"/>
    <w:rsid w:val="007952A7"/>
    <w:rsid w:val="007954F4"/>
    <w:rsid w:val="007965C8"/>
    <w:rsid w:val="007A3752"/>
    <w:rsid w:val="007A4331"/>
    <w:rsid w:val="007B045B"/>
    <w:rsid w:val="007B2A47"/>
    <w:rsid w:val="007B5E1F"/>
    <w:rsid w:val="007C7281"/>
    <w:rsid w:val="007E0D49"/>
    <w:rsid w:val="007E474E"/>
    <w:rsid w:val="007E5878"/>
    <w:rsid w:val="007F0F8D"/>
    <w:rsid w:val="007F261C"/>
    <w:rsid w:val="007F2C66"/>
    <w:rsid w:val="007F3712"/>
    <w:rsid w:val="0081034D"/>
    <w:rsid w:val="0083389E"/>
    <w:rsid w:val="00834CE2"/>
    <w:rsid w:val="00840561"/>
    <w:rsid w:val="00841FE8"/>
    <w:rsid w:val="008432DF"/>
    <w:rsid w:val="00851B9E"/>
    <w:rsid w:val="00851E64"/>
    <w:rsid w:val="008525D5"/>
    <w:rsid w:val="00857725"/>
    <w:rsid w:val="00865994"/>
    <w:rsid w:val="008701C0"/>
    <w:rsid w:val="00874034"/>
    <w:rsid w:val="00875B9B"/>
    <w:rsid w:val="00882AE4"/>
    <w:rsid w:val="00883400"/>
    <w:rsid w:val="00885E24"/>
    <w:rsid w:val="008863D0"/>
    <w:rsid w:val="00890EB7"/>
    <w:rsid w:val="00891A92"/>
    <w:rsid w:val="00894BC8"/>
    <w:rsid w:val="00894F96"/>
    <w:rsid w:val="008A40C2"/>
    <w:rsid w:val="008A6B7F"/>
    <w:rsid w:val="008B20C3"/>
    <w:rsid w:val="008C1E0D"/>
    <w:rsid w:val="008C3544"/>
    <w:rsid w:val="008C7C1C"/>
    <w:rsid w:val="008D4163"/>
    <w:rsid w:val="008D7FCA"/>
    <w:rsid w:val="008E6145"/>
    <w:rsid w:val="008F2AD1"/>
    <w:rsid w:val="008F4722"/>
    <w:rsid w:val="008F6E91"/>
    <w:rsid w:val="00901050"/>
    <w:rsid w:val="00901767"/>
    <w:rsid w:val="009056D4"/>
    <w:rsid w:val="0090768C"/>
    <w:rsid w:val="00912453"/>
    <w:rsid w:val="009404FA"/>
    <w:rsid w:val="00942E89"/>
    <w:rsid w:val="0094642F"/>
    <w:rsid w:val="0095231B"/>
    <w:rsid w:val="00956F8F"/>
    <w:rsid w:val="00957AAD"/>
    <w:rsid w:val="00975DC6"/>
    <w:rsid w:val="00992F4E"/>
    <w:rsid w:val="009B7F90"/>
    <w:rsid w:val="009C15EB"/>
    <w:rsid w:val="009C6F30"/>
    <w:rsid w:val="009D57CC"/>
    <w:rsid w:val="009E0848"/>
    <w:rsid w:val="009E3317"/>
    <w:rsid w:val="00A037AF"/>
    <w:rsid w:val="00A232CD"/>
    <w:rsid w:val="00A24BA7"/>
    <w:rsid w:val="00A26BA5"/>
    <w:rsid w:val="00A4200A"/>
    <w:rsid w:val="00A42561"/>
    <w:rsid w:val="00A44BF9"/>
    <w:rsid w:val="00A504FD"/>
    <w:rsid w:val="00A6202B"/>
    <w:rsid w:val="00A63245"/>
    <w:rsid w:val="00A71DEA"/>
    <w:rsid w:val="00A75B17"/>
    <w:rsid w:val="00A82DCC"/>
    <w:rsid w:val="00A83D63"/>
    <w:rsid w:val="00A87BA9"/>
    <w:rsid w:val="00A95296"/>
    <w:rsid w:val="00A963A1"/>
    <w:rsid w:val="00AB3CF6"/>
    <w:rsid w:val="00AC0BF3"/>
    <w:rsid w:val="00AC3D0C"/>
    <w:rsid w:val="00AF6F41"/>
    <w:rsid w:val="00B0492F"/>
    <w:rsid w:val="00B26954"/>
    <w:rsid w:val="00B33210"/>
    <w:rsid w:val="00B354FF"/>
    <w:rsid w:val="00B37E34"/>
    <w:rsid w:val="00B4636C"/>
    <w:rsid w:val="00B53BC4"/>
    <w:rsid w:val="00B6100A"/>
    <w:rsid w:val="00B63CA8"/>
    <w:rsid w:val="00B708E3"/>
    <w:rsid w:val="00B72DFD"/>
    <w:rsid w:val="00B73EE1"/>
    <w:rsid w:val="00B772BE"/>
    <w:rsid w:val="00B80B60"/>
    <w:rsid w:val="00B859B1"/>
    <w:rsid w:val="00B97AA4"/>
    <w:rsid w:val="00BA08EC"/>
    <w:rsid w:val="00BA3EEB"/>
    <w:rsid w:val="00BA5580"/>
    <w:rsid w:val="00BD3166"/>
    <w:rsid w:val="00BD39ED"/>
    <w:rsid w:val="00BD7B63"/>
    <w:rsid w:val="00C00897"/>
    <w:rsid w:val="00C015E3"/>
    <w:rsid w:val="00C021CF"/>
    <w:rsid w:val="00C031DA"/>
    <w:rsid w:val="00C205D6"/>
    <w:rsid w:val="00C26A7D"/>
    <w:rsid w:val="00C32672"/>
    <w:rsid w:val="00C3505E"/>
    <w:rsid w:val="00C464EC"/>
    <w:rsid w:val="00C50BB2"/>
    <w:rsid w:val="00C53025"/>
    <w:rsid w:val="00C6268D"/>
    <w:rsid w:val="00C6376E"/>
    <w:rsid w:val="00C66854"/>
    <w:rsid w:val="00C66C31"/>
    <w:rsid w:val="00C717A0"/>
    <w:rsid w:val="00C76226"/>
    <w:rsid w:val="00C77F42"/>
    <w:rsid w:val="00C80654"/>
    <w:rsid w:val="00C810A8"/>
    <w:rsid w:val="00C9767F"/>
    <w:rsid w:val="00CA101B"/>
    <w:rsid w:val="00CB6204"/>
    <w:rsid w:val="00CC2B2F"/>
    <w:rsid w:val="00CC2D2F"/>
    <w:rsid w:val="00CD3B78"/>
    <w:rsid w:val="00CE57C2"/>
    <w:rsid w:val="00CF0774"/>
    <w:rsid w:val="00CF07B8"/>
    <w:rsid w:val="00CF10F4"/>
    <w:rsid w:val="00D037D0"/>
    <w:rsid w:val="00D0445F"/>
    <w:rsid w:val="00D05490"/>
    <w:rsid w:val="00D112FE"/>
    <w:rsid w:val="00D11BA2"/>
    <w:rsid w:val="00D11F43"/>
    <w:rsid w:val="00D12B5D"/>
    <w:rsid w:val="00D12BAB"/>
    <w:rsid w:val="00D1518F"/>
    <w:rsid w:val="00D340AB"/>
    <w:rsid w:val="00D37EB4"/>
    <w:rsid w:val="00D42049"/>
    <w:rsid w:val="00D44395"/>
    <w:rsid w:val="00D509ED"/>
    <w:rsid w:val="00D542D4"/>
    <w:rsid w:val="00D57298"/>
    <w:rsid w:val="00D73C8B"/>
    <w:rsid w:val="00D8173D"/>
    <w:rsid w:val="00D84ED5"/>
    <w:rsid w:val="00D84F07"/>
    <w:rsid w:val="00D85438"/>
    <w:rsid w:val="00D96CD1"/>
    <w:rsid w:val="00D977FE"/>
    <w:rsid w:val="00DA1106"/>
    <w:rsid w:val="00DB0ABC"/>
    <w:rsid w:val="00DB125D"/>
    <w:rsid w:val="00DC6FC1"/>
    <w:rsid w:val="00DC76EE"/>
    <w:rsid w:val="00DD6106"/>
    <w:rsid w:val="00DD7062"/>
    <w:rsid w:val="00DF4ED8"/>
    <w:rsid w:val="00DF5C29"/>
    <w:rsid w:val="00E023C8"/>
    <w:rsid w:val="00E056C0"/>
    <w:rsid w:val="00E07299"/>
    <w:rsid w:val="00E11453"/>
    <w:rsid w:val="00E215FA"/>
    <w:rsid w:val="00E26798"/>
    <w:rsid w:val="00E31F4F"/>
    <w:rsid w:val="00E33B8B"/>
    <w:rsid w:val="00E40FF0"/>
    <w:rsid w:val="00E45183"/>
    <w:rsid w:val="00E45BA0"/>
    <w:rsid w:val="00E619A7"/>
    <w:rsid w:val="00E61F2A"/>
    <w:rsid w:val="00E629FF"/>
    <w:rsid w:val="00E65A77"/>
    <w:rsid w:val="00E67FA5"/>
    <w:rsid w:val="00E74CD4"/>
    <w:rsid w:val="00E76821"/>
    <w:rsid w:val="00E971FC"/>
    <w:rsid w:val="00EA0586"/>
    <w:rsid w:val="00EA1762"/>
    <w:rsid w:val="00EC0D3C"/>
    <w:rsid w:val="00ED041E"/>
    <w:rsid w:val="00ED22F7"/>
    <w:rsid w:val="00EE7334"/>
    <w:rsid w:val="00EF2A38"/>
    <w:rsid w:val="00EF2DC9"/>
    <w:rsid w:val="00F055D7"/>
    <w:rsid w:val="00F11CE1"/>
    <w:rsid w:val="00F12AEE"/>
    <w:rsid w:val="00F1723B"/>
    <w:rsid w:val="00F17CE7"/>
    <w:rsid w:val="00F244E4"/>
    <w:rsid w:val="00F336F7"/>
    <w:rsid w:val="00F35A9C"/>
    <w:rsid w:val="00F3704A"/>
    <w:rsid w:val="00F4188B"/>
    <w:rsid w:val="00F56105"/>
    <w:rsid w:val="00F757B1"/>
    <w:rsid w:val="00F81D93"/>
    <w:rsid w:val="00F97D85"/>
    <w:rsid w:val="00FA0DBE"/>
    <w:rsid w:val="00FD634A"/>
    <w:rsid w:val="00FE18DB"/>
    <w:rsid w:val="00FE5F11"/>
    <w:rsid w:val="00FE6B04"/>
    <w:rsid w:val="00FF6A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Emphasis">
    <w:name w:val="Emphasis"/>
    <w:qFormat/>
    <w:rsid w:val="006D3CCF"/>
    <w:rPr>
      <w:i/>
      <w:iCs/>
    </w:rPr>
  </w:style>
  <w:style w:type="paragraph" w:customStyle="1" w:styleId="Question">
    <w:name w:val="Question"/>
    <w:basedOn w:val="Normal"/>
    <w:rsid w:val="00A95296"/>
    <w:pPr>
      <w:keepNext/>
      <w:keepLines/>
      <w:spacing w:before="240" w:after="120"/>
      <w:ind w:left="547" w:hanging="547"/>
    </w:pPr>
    <w:rPr>
      <w:rFonts w:ascii="Verdana" w:hAnsi="Verdana"/>
      <w:sz w:val="22"/>
      <w:szCs w:val="22"/>
    </w:rPr>
  </w:style>
  <w:style w:type="paragraph" w:customStyle="1" w:styleId="Level1">
    <w:name w:val="Level 1"/>
    <w:basedOn w:val="Normal"/>
    <w:rsid w:val="00067F38"/>
    <w:pPr>
      <w:widowControl w:val="0"/>
      <w:numPr>
        <w:numId w:val="22"/>
      </w:numPr>
      <w:autoSpaceDE w:val="0"/>
      <w:autoSpaceDN w:val="0"/>
      <w:adjustRightInd w:val="0"/>
      <w:ind w:left="720" w:hanging="720"/>
      <w:outlineLvl w:val="0"/>
    </w:pPr>
    <w:rPr>
      <w:sz w:val="20"/>
    </w:rPr>
  </w:style>
  <w:style w:type="character" w:styleId="CommentReference">
    <w:name w:val="annotation reference"/>
    <w:uiPriority w:val="99"/>
    <w:semiHidden/>
    <w:unhideWhenUsed/>
    <w:rsid w:val="005247FE"/>
    <w:rPr>
      <w:sz w:val="16"/>
      <w:szCs w:val="16"/>
    </w:rPr>
  </w:style>
  <w:style w:type="paragraph" w:styleId="CommentText">
    <w:name w:val="annotation text"/>
    <w:basedOn w:val="Normal"/>
    <w:link w:val="CommentTextChar"/>
    <w:uiPriority w:val="99"/>
    <w:semiHidden/>
    <w:unhideWhenUsed/>
    <w:rsid w:val="005247FE"/>
    <w:rPr>
      <w:sz w:val="20"/>
      <w:szCs w:val="20"/>
    </w:rPr>
  </w:style>
  <w:style w:type="character" w:customStyle="1" w:styleId="CommentTextChar">
    <w:name w:val="Comment Text Char"/>
    <w:basedOn w:val="DefaultParagraphFont"/>
    <w:link w:val="CommentText"/>
    <w:uiPriority w:val="99"/>
    <w:semiHidden/>
    <w:rsid w:val="005247FE"/>
  </w:style>
  <w:style w:type="paragraph" w:styleId="CommentSubject">
    <w:name w:val="annotation subject"/>
    <w:basedOn w:val="CommentText"/>
    <w:next w:val="CommentText"/>
    <w:link w:val="CommentSubjectChar"/>
    <w:uiPriority w:val="99"/>
    <w:semiHidden/>
    <w:unhideWhenUsed/>
    <w:rsid w:val="005247FE"/>
    <w:rPr>
      <w:b/>
      <w:bCs/>
    </w:rPr>
  </w:style>
  <w:style w:type="character" w:customStyle="1" w:styleId="CommentSubjectChar">
    <w:name w:val="Comment Subject Char"/>
    <w:link w:val="CommentSubject"/>
    <w:uiPriority w:val="99"/>
    <w:semiHidden/>
    <w:rsid w:val="005247FE"/>
    <w:rPr>
      <w:b/>
      <w:bCs/>
    </w:rPr>
  </w:style>
  <w:style w:type="table" w:styleId="TableGrid">
    <w:name w:val="Table Grid"/>
    <w:basedOn w:val="TableNormal"/>
    <w:uiPriority w:val="59"/>
    <w:rsid w:val="0068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010"/>
    <w:rPr>
      <w:sz w:val="20"/>
      <w:szCs w:val="20"/>
    </w:rPr>
  </w:style>
  <w:style w:type="character" w:customStyle="1" w:styleId="FootnoteTextChar">
    <w:name w:val="Footnote Text Char"/>
    <w:basedOn w:val="DefaultParagraphFont"/>
    <w:link w:val="FootnoteText"/>
    <w:uiPriority w:val="99"/>
    <w:semiHidden/>
    <w:rsid w:val="00443010"/>
  </w:style>
  <w:style w:type="character" w:styleId="FootnoteReference">
    <w:name w:val="footnote reference"/>
    <w:uiPriority w:val="99"/>
    <w:semiHidden/>
    <w:unhideWhenUsed/>
    <w:rsid w:val="00443010"/>
    <w:rPr>
      <w:vertAlign w:val="superscript"/>
    </w:rPr>
  </w:style>
  <w:style w:type="paragraph" w:styleId="EndnoteText">
    <w:name w:val="endnote text"/>
    <w:basedOn w:val="Normal"/>
    <w:link w:val="EndnoteTextChar"/>
    <w:uiPriority w:val="99"/>
    <w:semiHidden/>
    <w:unhideWhenUsed/>
    <w:rsid w:val="00113864"/>
    <w:rPr>
      <w:sz w:val="20"/>
      <w:szCs w:val="20"/>
    </w:rPr>
  </w:style>
  <w:style w:type="character" w:customStyle="1" w:styleId="EndnoteTextChar">
    <w:name w:val="Endnote Text Char"/>
    <w:basedOn w:val="DefaultParagraphFont"/>
    <w:link w:val="EndnoteText"/>
    <w:uiPriority w:val="99"/>
    <w:semiHidden/>
    <w:rsid w:val="00113864"/>
  </w:style>
  <w:style w:type="character" w:styleId="EndnoteReference">
    <w:name w:val="endnote reference"/>
    <w:uiPriority w:val="99"/>
    <w:semiHidden/>
    <w:unhideWhenUsed/>
    <w:rsid w:val="001138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Emphasis">
    <w:name w:val="Emphasis"/>
    <w:qFormat/>
    <w:rsid w:val="006D3CCF"/>
    <w:rPr>
      <w:i/>
      <w:iCs/>
    </w:rPr>
  </w:style>
  <w:style w:type="paragraph" w:customStyle="1" w:styleId="Question">
    <w:name w:val="Question"/>
    <w:basedOn w:val="Normal"/>
    <w:rsid w:val="00A95296"/>
    <w:pPr>
      <w:keepNext/>
      <w:keepLines/>
      <w:spacing w:before="240" w:after="120"/>
      <w:ind w:left="547" w:hanging="547"/>
    </w:pPr>
    <w:rPr>
      <w:rFonts w:ascii="Verdana" w:hAnsi="Verdana"/>
      <w:sz w:val="22"/>
      <w:szCs w:val="22"/>
    </w:rPr>
  </w:style>
  <w:style w:type="paragraph" w:customStyle="1" w:styleId="Level1">
    <w:name w:val="Level 1"/>
    <w:basedOn w:val="Normal"/>
    <w:rsid w:val="00067F38"/>
    <w:pPr>
      <w:widowControl w:val="0"/>
      <w:numPr>
        <w:numId w:val="22"/>
      </w:numPr>
      <w:autoSpaceDE w:val="0"/>
      <w:autoSpaceDN w:val="0"/>
      <w:adjustRightInd w:val="0"/>
      <w:ind w:left="720" w:hanging="720"/>
      <w:outlineLvl w:val="0"/>
    </w:pPr>
    <w:rPr>
      <w:sz w:val="20"/>
    </w:rPr>
  </w:style>
  <w:style w:type="character" w:styleId="CommentReference">
    <w:name w:val="annotation reference"/>
    <w:uiPriority w:val="99"/>
    <w:semiHidden/>
    <w:unhideWhenUsed/>
    <w:rsid w:val="005247FE"/>
    <w:rPr>
      <w:sz w:val="16"/>
      <w:szCs w:val="16"/>
    </w:rPr>
  </w:style>
  <w:style w:type="paragraph" w:styleId="CommentText">
    <w:name w:val="annotation text"/>
    <w:basedOn w:val="Normal"/>
    <w:link w:val="CommentTextChar"/>
    <w:uiPriority w:val="99"/>
    <w:semiHidden/>
    <w:unhideWhenUsed/>
    <w:rsid w:val="005247FE"/>
    <w:rPr>
      <w:sz w:val="20"/>
      <w:szCs w:val="20"/>
    </w:rPr>
  </w:style>
  <w:style w:type="character" w:customStyle="1" w:styleId="CommentTextChar">
    <w:name w:val="Comment Text Char"/>
    <w:basedOn w:val="DefaultParagraphFont"/>
    <w:link w:val="CommentText"/>
    <w:uiPriority w:val="99"/>
    <w:semiHidden/>
    <w:rsid w:val="005247FE"/>
  </w:style>
  <w:style w:type="paragraph" w:styleId="CommentSubject">
    <w:name w:val="annotation subject"/>
    <w:basedOn w:val="CommentText"/>
    <w:next w:val="CommentText"/>
    <w:link w:val="CommentSubjectChar"/>
    <w:uiPriority w:val="99"/>
    <w:semiHidden/>
    <w:unhideWhenUsed/>
    <w:rsid w:val="005247FE"/>
    <w:rPr>
      <w:b/>
      <w:bCs/>
    </w:rPr>
  </w:style>
  <w:style w:type="character" w:customStyle="1" w:styleId="CommentSubjectChar">
    <w:name w:val="Comment Subject Char"/>
    <w:link w:val="CommentSubject"/>
    <w:uiPriority w:val="99"/>
    <w:semiHidden/>
    <w:rsid w:val="005247FE"/>
    <w:rPr>
      <w:b/>
      <w:bCs/>
    </w:rPr>
  </w:style>
  <w:style w:type="table" w:styleId="TableGrid">
    <w:name w:val="Table Grid"/>
    <w:basedOn w:val="TableNormal"/>
    <w:uiPriority w:val="59"/>
    <w:rsid w:val="0068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010"/>
    <w:rPr>
      <w:sz w:val="20"/>
      <w:szCs w:val="20"/>
    </w:rPr>
  </w:style>
  <w:style w:type="character" w:customStyle="1" w:styleId="FootnoteTextChar">
    <w:name w:val="Footnote Text Char"/>
    <w:basedOn w:val="DefaultParagraphFont"/>
    <w:link w:val="FootnoteText"/>
    <w:uiPriority w:val="99"/>
    <w:semiHidden/>
    <w:rsid w:val="00443010"/>
  </w:style>
  <w:style w:type="character" w:styleId="FootnoteReference">
    <w:name w:val="footnote reference"/>
    <w:uiPriority w:val="99"/>
    <w:semiHidden/>
    <w:unhideWhenUsed/>
    <w:rsid w:val="00443010"/>
    <w:rPr>
      <w:vertAlign w:val="superscript"/>
    </w:rPr>
  </w:style>
  <w:style w:type="paragraph" w:styleId="EndnoteText">
    <w:name w:val="endnote text"/>
    <w:basedOn w:val="Normal"/>
    <w:link w:val="EndnoteTextChar"/>
    <w:uiPriority w:val="99"/>
    <w:semiHidden/>
    <w:unhideWhenUsed/>
    <w:rsid w:val="00113864"/>
    <w:rPr>
      <w:sz w:val="20"/>
      <w:szCs w:val="20"/>
    </w:rPr>
  </w:style>
  <w:style w:type="character" w:customStyle="1" w:styleId="EndnoteTextChar">
    <w:name w:val="Endnote Text Char"/>
    <w:basedOn w:val="DefaultParagraphFont"/>
    <w:link w:val="EndnoteText"/>
    <w:uiPriority w:val="99"/>
    <w:semiHidden/>
    <w:rsid w:val="00113864"/>
  </w:style>
  <w:style w:type="character" w:styleId="EndnoteReference">
    <w:name w:val="endnote reference"/>
    <w:uiPriority w:val="99"/>
    <w:semiHidden/>
    <w:unhideWhenUsed/>
    <w:rsid w:val="001138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498685825">
      <w:bodyDiv w:val="1"/>
      <w:marLeft w:val="0"/>
      <w:marRight w:val="0"/>
      <w:marTop w:val="0"/>
      <w:marBottom w:val="0"/>
      <w:divBdr>
        <w:top w:val="none" w:sz="0" w:space="0" w:color="auto"/>
        <w:left w:val="none" w:sz="0" w:space="0" w:color="auto"/>
        <w:bottom w:val="none" w:sz="0" w:space="0" w:color="auto"/>
        <w:right w:val="none" w:sz="0" w:space="0" w:color="auto"/>
      </w:divBdr>
    </w:div>
    <w:div w:id="20324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nrad.Choiniere@fda.hhs.gov" TargetMode="External"/><Relationship Id="rId4" Type="http://schemas.microsoft.com/office/2007/relationships/stylesWithEffects" Target="stylesWithEffects.xml"/><Relationship Id="rId9" Type="http://schemas.openxmlformats.org/officeDocument/2006/relationships/hyperlink" Target="mailto:Amber.Sanford@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CE980-7203-419D-8A0B-BE97BB53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2668</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Sanford, Amber</cp:lastModifiedBy>
  <cp:revision>2</cp:revision>
  <cp:lastPrinted>2016-02-02T18:33:00Z</cp:lastPrinted>
  <dcterms:created xsi:type="dcterms:W3CDTF">2016-02-02T18:39:00Z</dcterms:created>
  <dcterms:modified xsi:type="dcterms:W3CDTF">2016-02-02T18:39:00Z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