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D7C2B" w14:textId="77777777" w:rsidR="006D399D" w:rsidRPr="00E04D6A" w:rsidRDefault="006D399D" w:rsidP="006D399D">
      <w:pPr>
        <w:jc w:val="center"/>
        <w:rPr>
          <w:rFonts w:ascii="Cambria" w:hAnsi="Cambria"/>
          <w:b/>
          <w:bCs/>
          <w:sz w:val="32"/>
          <w:szCs w:val="32"/>
        </w:rPr>
      </w:pPr>
      <w:r w:rsidRPr="00E04D6A">
        <w:rPr>
          <w:rFonts w:ascii="Cambria" w:hAnsi="Cambria"/>
          <w:b/>
          <w:bCs/>
          <w:sz w:val="32"/>
          <w:szCs w:val="32"/>
        </w:rPr>
        <w:t xml:space="preserve">Attachment </w:t>
      </w:r>
      <w:r>
        <w:rPr>
          <w:rFonts w:ascii="Cambria" w:hAnsi="Cambria"/>
          <w:b/>
          <w:bCs/>
          <w:sz w:val="32"/>
          <w:szCs w:val="32"/>
        </w:rPr>
        <w:t>H</w:t>
      </w:r>
    </w:p>
    <w:p w14:paraId="653172A8" w14:textId="77777777" w:rsidR="006D399D" w:rsidRDefault="006D399D" w:rsidP="006D399D">
      <w:pPr>
        <w:jc w:val="center"/>
      </w:pPr>
      <w:r>
        <w:rPr>
          <w:rFonts w:ascii="Cambria" w:hAnsi="Cambria"/>
          <w:b/>
          <w:bCs/>
          <w:i/>
          <w:sz w:val="28"/>
          <w:szCs w:val="28"/>
        </w:rPr>
        <w:t>Pretest Report</w:t>
      </w:r>
    </w:p>
    <w:p w14:paraId="35088CBF" w14:textId="77777777" w:rsidR="006D399D" w:rsidRDefault="006D399D">
      <w:r>
        <w:br w:type="page"/>
      </w:r>
    </w:p>
    <w:p w14:paraId="240C3C94" w14:textId="77777777" w:rsidR="006D399D" w:rsidRDefault="006D399D" w:rsidP="006D399D">
      <w:pPr>
        <w:pStyle w:val="Heading1"/>
      </w:pPr>
      <w:r>
        <w:lastRenderedPageBreak/>
        <w:t>Summary</w:t>
      </w:r>
    </w:p>
    <w:p w14:paraId="047CAE4B" w14:textId="77777777" w:rsidR="00C665FA" w:rsidRDefault="006D399D" w:rsidP="00B46839">
      <w:r>
        <w:t xml:space="preserve">A pre-test was conducted on 30 June 2014 to test the auction software, its interface, and the timing of the experiment.  </w:t>
      </w:r>
      <w:r w:rsidR="00C665FA">
        <w:t>Specifically, the pre-test was meant to</w:t>
      </w:r>
      <w:bookmarkStart w:id="0" w:name="_GoBack"/>
      <w:bookmarkEnd w:id="0"/>
      <w:r w:rsidR="00C665FA">
        <w:t>:</w:t>
      </w:r>
    </w:p>
    <w:p w14:paraId="3E373363" w14:textId="77777777" w:rsidR="00C665FA" w:rsidRDefault="00C665FA" w:rsidP="00C665FA">
      <w:pPr>
        <w:pStyle w:val="ListParagraph"/>
        <w:numPr>
          <w:ilvl w:val="0"/>
          <w:numId w:val="5"/>
        </w:numPr>
      </w:pPr>
      <w:r>
        <w:t xml:space="preserve">Discover any bugs that might occur in the experimental software when multiple bidders were interfacing with it </w:t>
      </w:r>
      <w:r w:rsidR="004267AC">
        <w:t>simultaneously</w:t>
      </w:r>
      <w:r>
        <w:t xml:space="preserve">.  </w:t>
      </w:r>
      <w:r w:rsidRPr="00C665FA">
        <w:rPr>
          <w:b/>
        </w:rPr>
        <w:t>Result: minor software bugs found and fixed.</w:t>
      </w:r>
    </w:p>
    <w:p w14:paraId="66BB2305" w14:textId="77777777" w:rsidR="00C665FA" w:rsidRDefault="002A3DFD" w:rsidP="00C665FA">
      <w:pPr>
        <w:pStyle w:val="ListParagraph"/>
        <w:numPr>
          <w:ilvl w:val="0"/>
          <w:numId w:val="5"/>
        </w:numPr>
      </w:pPr>
      <w:r>
        <w:t xml:space="preserve">Test how long it took to read experimental instructions and conduct multiple consecutive rounds of each of the five auction treatments.  Each of the five auction treatments were run during this pre-test </w:t>
      </w:r>
      <w:r w:rsidR="004267AC">
        <w:t>session in order to determine how long it took to conduct a first round of each treatment (the first round of a treatment always takes longer than subsequent rounds, as subjects need time to digest instructions for a new set of auction rules) and to conduct subsequent rounds (the second, third, …, nth round of a treatment take much less time).</w:t>
      </w:r>
      <w:r w:rsidR="005E27BE">
        <w:t xml:space="preserve">  </w:t>
      </w:r>
      <w:r w:rsidR="005E27BE" w:rsidRPr="005E27BE">
        <w:rPr>
          <w:b/>
        </w:rPr>
        <w:t>Result: See below for detailed timing results.  We use these timing results to develop our estimate of how many rounds it is possible to complete during a 90 minute experiment.</w:t>
      </w:r>
    </w:p>
    <w:p w14:paraId="343B70A7" w14:textId="77777777" w:rsidR="004267AC" w:rsidRPr="0030753C" w:rsidRDefault="004267AC" w:rsidP="00C665FA">
      <w:pPr>
        <w:pStyle w:val="ListParagraph"/>
        <w:numPr>
          <w:ilvl w:val="0"/>
          <w:numId w:val="5"/>
        </w:numPr>
      </w:pPr>
      <w:r>
        <w:t>Test how long it took to complete the experiment – including all rounds – and close the experiment by distributing payment and excusing participants from the lab.</w:t>
      </w:r>
      <w:r w:rsidR="001E1F5E">
        <w:t xml:space="preserve">  </w:t>
      </w:r>
      <w:r w:rsidR="001E1F5E" w:rsidRPr="001E1F5E">
        <w:rPr>
          <w:b/>
        </w:rPr>
        <w:t>Result: see below for timing results.</w:t>
      </w:r>
    </w:p>
    <w:p w14:paraId="4473B468" w14:textId="3E60F2ED" w:rsidR="0030753C" w:rsidRPr="0030753C" w:rsidRDefault="0030753C" w:rsidP="0030753C">
      <w:pPr>
        <w:pStyle w:val="ListParagraph"/>
        <w:numPr>
          <w:ilvl w:val="0"/>
          <w:numId w:val="5"/>
        </w:numPr>
        <w:rPr>
          <w:b/>
        </w:rPr>
      </w:pPr>
      <w:r>
        <w:t xml:space="preserve">Average earnings were 45.81 Experimental Currency Units (ECU), with a minimum payment of 9 and a maximum payment of 106.  In order to ensure that the average payment is $25, this implies a conversion factor of approximately 0.5.  That is, one ECU will be worth $0.50.  The high payment in this case would have been $53 and the low payment $4.50.  </w:t>
      </w:r>
      <w:r w:rsidRPr="0030753C">
        <w:rPr>
          <w:b/>
        </w:rPr>
        <w:t xml:space="preserve">Result: We have a sense of how to convert the ECU into USD.  </w:t>
      </w:r>
    </w:p>
    <w:p w14:paraId="675D777B" w14:textId="77777777" w:rsidR="006D399D" w:rsidRDefault="006D399D" w:rsidP="00B46839">
      <w:r>
        <w:t>The total time for the pre-test was 2 hours and 10 minutes (start time 3p).</w:t>
      </w:r>
    </w:p>
    <w:p w14:paraId="07BD8819" w14:textId="77777777" w:rsidR="006D399D" w:rsidRDefault="006D399D" w:rsidP="00B46839"/>
    <w:p w14:paraId="0D1AD577" w14:textId="77777777" w:rsidR="006D399D" w:rsidRDefault="006D399D" w:rsidP="006D399D">
      <w:pPr>
        <w:pStyle w:val="Heading2"/>
      </w:pPr>
      <w:r>
        <w:t>Detailed timing</w:t>
      </w:r>
    </w:p>
    <w:p w14:paraId="597BFA6A" w14:textId="77777777" w:rsidR="001E1F5E" w:rsidRDefault="00333228" w:rsidP="00B46839">
      <w:r>
        <w:t xml:space="preserve">It took a total of 10 minutes after the scheduled start time to get all subjects seated and ready to begin the experiment.  </w:t>
      </w:r>
      <w:r w:rsidR="001E1F5E">
        <w:t xml:space="preserve">After subjects arrived and were seated, the “welcome” script and instructions for </w:t>
      </w:r>
      <w:r w:rsidR="00B46839">
        <w:t>Auction</w:t>
      </w:r>
      <w:r w:rsidR="00C17130">
        <w:t xml:space="preserve"> treatment</w:t>
      </w:r>
      <w:r w:rsidR="00B46839">
        <w:t xml:space="preserve"> 1 </w:t>
      </w:r>
      <w:r w:rsidR="001E1F5E">
        <w:t>(</w:t>
      </w:r>
      <w:r w:rsidR="001E1F5E" w:rsidRPr="001E1F5E">
        <w:rPr>
          <w:i/>
        </w:rPr>
        <w:t>baseline treatment</w:t>
      </w:r>
      <w:r w:rsidR="001E1F5E">
        <w:t xml:space="preserve"> – see Attachment D – instructions for details) were read.  This took a total of </w:t>
      </w:r>
      <w:r>
        <w:t>8 minutes.</w:t>
      </w:r>
    </w:p>
    <w:p w14:paraId="04429997" w14:textId="77777777" w:rsidR="00B46839" w:rsidRDefault="001E1F5E" w:rsidP="00B46839">
      <w:r>
        <w:t>A total of 15 rounds of Auction treatment 1 were completed in a total of 23 minutes</w:t>
      </w:r>
      <w:r w:rsidR="002C0463">
        <w:t xml:space="preserve"> (average time per round of 1.53 minutes)</w:t>
      </w:r>
      <w:r>
        <w:t>.</w:t>
      </w:r>
    </w:p>
    <w:p w14:paraId="0A0AEA9C" w14:textId="77777777" w:rsidR="00B46839" w:rsidRDefault="001E1F5E" w:rsidP="00B46839">
      <w:r>
        <w:t xml:space="preserve">After the conclusion of Auction treatment 1, </w:t>
      </w:r>
      <w:r w:rsidR="00B46839">
        <w:t xml:space="preserve">Auction </w:t>
      </w:r>
      <w:r w:rsidR="00C17130">
        <w:t xml:space="preserve">treatment </w:t>
      </w:r>
      <w:r w:rsidR="00B46839">
        <w:t xml:space="preserve">2 </w:t>
      </w:r>
      <w:r w:rsidR="00A42BA1">
        <w:t xml:space="preserve">(see Attachment D for details) </w:t>
      </w:r>
      <w:r w:rsidR="00D23396">
        <w:t xml:space="preserve">began and </w:t>
      </w:r>
      <w:r>
        <w:t xml:space="preserve">subjects completed 10 </w:t>
      </w:r>
      <w:r w:rsidR="00333228">
        <w:t>rounds of Auction treatment 2 in a total of</w:t>
      </w:r>
      <w:r w:rsidR="00A42BA1">
        <w:t xml:space="preserve"> 14 minutes</w:t>
      </w:r>
      <w:r w:rsidR="002C0463">
        <w:t xml:space="preserve"> (average time per round of 1.4 minutes)</w:t>
      </w:r>
      <w:r w:rsidR="00A42BA1">
        <w:t>.</w:t>
      </w:r>
      <w:r w:rsidR="006D399D">
        <w:t xml:space="preserve"> </w:t>
      </w:r>
      <w:r w:rsidR="00A42BA1">
        <w:t xml:space="preserve">The </w:t>
      </w:r>
      <w:r w:rsidR="006D399D">
        <w:t xml:space="preserve">Lab manager </w:t>
      </w:r>
      <w:r w:rsidR="00B46839">
        <w:t xml:space="preserve">made the decision to do only 10 periods </w:t>
      </w:r>
      <w:r w:rsidR="006D399D">
        <w:t>as a precaution so that time would not run out before we could test all auction mechanisms.</w:t>
      </w:r>
      <w:r w:rsidR="00D23396">
        <w:t xml:space="preserve">  Please note that since Auction treatment 2 is essentially identical to Auction treatment 1 (but with relaxed maximum price rules), the reading of detailed instructions was not necessary.</w:t>
      </w:r>
    </w:p>
    <w:p w14:paraId="5FD7115A" w14:textId="77777777" w:rsidR="00B46839" w:rsidRDefault="00A42BA1" w:rsidP="00B46839">
      <w:r>
        <w:lastRenderedPageBreak/>
        <w:t xml:space="preserve">After the conclusion of Auction treatment 2, </w:t>
      </w:r>
      <w:r w:rsidR="00B46839">
        <w:t xml:space="preserve">Auction </w:t>
      </w:r>
      <w:r w:rsidR="00C17130">
        <w:t xml:space="preserve">treatment </w:t>
      </w:r>
      <w:r w:rsidR="00B46839">
        <w:t xml:space="preserve">3 instructions </w:t>
      </w:r>
      <w:r w:rsidR="00D23396">
        <w:t xml:space="preserve">were read in 8 minutes </w:t>
      </w:r>
      <w:r>
        <w:t>(see Attachment D for details) and subjects completed 1</w:t>
      </w:r>
      <w:r w:rsidR="001A490D">
        <w:t>5</w:t>
      </w:r>
      <w:r>
        <w:t xml:space="preserve"> rounds of Auction treatment 3 in a total of 21 minutes</w:t>
      </w:r>
      <w:r w:rsidR="005C2918">
        <w:t xml:space="preserve"> (</w:t>
      </w:r>
      <w:r w:rsidR="00BE025D">
        <w:t>average time per round of 1.4 minutes)</w:t>
      </w:r>
      <w:r>
        <w:t>.</w:t>
      </w:r>
    </w:p>
    <w:p w14:paraId="58C189C1" w14:textId="77777777" w:rsidR="00A42BA1" w:rsidRDefault="00A42BA1" w:rsidP="00B46839">
      <w:r>
        <w:t xml:space="preserve">After the conclusion of Auction treatment </w:t>
      </w:r>
      <w:r w:rsidR="00481A5E">
        <w:t xml:space="preserve">3, Auction treatment 4 instructions </w:t>
      </w:r>
      <w:r w:rsidR="00922A08">
        <w:t xml:space="preserve">were read in 6 minutes </w:t>
      </w:r>
      <w:r w:rsidR="00481A5E">
        <w:t xml:space="preserve">(see Attachment D for details) and subjects completed </w:t>
      </w:r>
      <w:r w:rsidR="009B5F50">
        <w:t>12 rounds of Auction treatment 4 in a total of 12 minutes (</w:t>
      </w:r>
      <w:r w:rsidR="0029391E">
        <w:t>average time per round of 1 minute</w:t>
      </w:r>
      <w:r w:rsidR="009B5F50">
        <w:t>).</w:t>
      </w:r>
    </w:p>
    <w:p w14:paraId="13CE85B6" w14:textId="77777777" w:rsidR="0029391E" w:rsidRDefault="0029391E" w:rsidP="00B46839">
      <w:r>
        <w:t>After the conclusion of Auction treatment 4, Auction treatment 5 instructions</w:t>
      </w:r>
      <w:r w:rsidR="009755F7">
        <w:t xml:space="preserve"> were read in </w:t>
      </w:r>
      <w:r w:rsidR="00922A08">
        <w:t>2</w:t>
      </w:r>
      <w:r w:rsidR="009755F7">
        <w:t xml:space="preserve"> minutes</w:t>
      </w:r>
      <w:r>
        <w:t xml:space="preserve"> (see Attachment D for details) and subjects completed </w:t>
      </w:r>
      <w:r w:rsidR="00A72E48">
        <w:t>12 rounds of Auction treatment 5 in a total of 9 minutes (average time per round of 0.75 minutes).</w:t>
      </w:r>
    </w:p>
    <w:p w14:paraId="74EC4D5D" w14:textId="77777777" w:rsidR="00B46839" w:rsidRDefault="00C17130" w:rsidP="00B46839">
      <w:r>
        <w:t xml:space="preserve">Payment </w:t>
      </w:r>
      <w:r w:rsidR="009843AA">
        <w:t xml:space="preserve">and subject checkout </w:t>
      </w:r>
      <w:r>
        <w:t xml:space="preserve">took </w:t>
      </w:r>
      <w:r w:rsidR="009843AA">
        <w:t>a total of 6 minutes</w:t>
      </w:r>
      <w:r w:rsidR="006D399D">
        <w:t>.</w:t>
      </w:r>
    </w:p>
    <w:p w14:paraId="2860D61B" w14:textId="77777777" w:rsidR="00AD5A49" w:rsidRDefault="00AD5A49" w:rsidP="00B46839">
      <w:r>
        <w:t>The table below summarizes the timing of the pretest and our estimate of total time necessary to read instructions and the number of minutes needed to complete an auction round.</w:t>
      </w:r>
    </w:p>
    <w:tbl>
      <w:tblPr>
        <w:tblStyle w:val="TableGrid"/>
        <w:tblW w:w="0" w:type="auto"/>
        <w:tblLook w:val="04A0" w:firstRow="1" w:lastRow="0" w:firstColumn="1" w:lastColumn="0" w:noHBand="0" w:noVBand="1"/>
      </w:tblPr>
      <w:tblGrid>
        <w:gridCol w:w="1915"/>
        <w:gridCol w:w="1915"/>
        <w:gridCol w:w="1915"/>
        <w:gridCol w:w="1915"/>
        <w:gridCol w:w="1916"/>
      </w:tblGrid>
      <w:tr w:rsidR="003837A1" w14:paraId="220174F0" w14:textId="77777777" w:rsidTr="003837A1">
        <w:tc>
          <w:tcPr>
            <w:tcW w:w="1915" w:type="dxa"/>
          </w:tcPr>
          <w:p w14:paraId="2602A440" w14:textId="77777777" w:rsidR="003837A1" w:rsidRDefault="003837A1" w:rsidP="00B46839">
            <w:r>
              <w:t>Auction treatment</w:t>
            </w:r>
          </w:p>
        </w:tc>
        <w:tc>
          <w:tcPr>
            <w:tcW w:w="1915" w:type="dxa"/>
          </w:tcPr>
          <w:p w14:paraId="4E63E7F1" w14:textId="77777777" w:rsidR="003837A1" w:rsidRDefault="003837A1" w:rsidP="00B46839">
            <w:r>
              <w:t>Time for Instructions</w:t>
            </w:r>
            <w:r w:rsidR="00EB0804">
              <w:t xml:space="preserve"> (in minutes)</w:t>
            </w:r>
          </w:p>
        </w:tc>
        <w:tc>
          <w:tcPr>
            <w:tcW w:w="1915" w:type="dxa"/>
          </w:tcPr>
          <w:p w14:paraId="69C5E755" w14:textId="77777777" w:rsidR="003837A1" w:rsidRDefault="003837A1" w:rsidP="00B46839">
            <w:r>
              <w:t>Rounds completed</w:t>
            </w:r>
          </w:p>
        </w:tc>
        <w:tc>
          <w:tcPr>
            <w:tcW w:w="1915" w:type="dxa"/>
          </w:tcPr>
          <w:p w14:paraId="68489F76" w14:textId="77777777" w:rsidR="003837A1" w:rsidRDefault="003837A1" w:rsidP="00B46839">
            <w:r>
              <w:t>Time to complete auction rounds</w:t>
            </w:r>
            <w:r w:rsidR="00EB0804">
              <w:t xml:space="preserve"> (in minutes)</w:t>
            </w:r>
          </w:p>
        </w:tc>
        <w:tc>
          <w:tcPr>
            <w:tcW w:w="1916" w:type="dxa"/>
          </w:tcPr>
          <w:p w14:paraId="451A6E2C" w14:textId="77777777" w:rsidR="003837A1" w:rsidRDefault="003837A1" w:rsidP="00B46839">
            <w:r>
              <w:t>Average time per round</w:t>
            </w:r>
            <w:r w:rsidR="00EB0804">
              <w:t xml:space="preserve"> (in minutes)</w:t>
            </w:r>
          </w:p>
        </w:tc>
      </w:tr>
      <w:tr w:rsidR="003837A1" w14:paraId="5A1FF6E1" w14:textId="77777777" w:rsidTr="005C6E9F">
        <w:tc>
          <w:tcPr>
            <w:tcW w:w="1915" w:type="dxa"/>
          </w:tcPr>
          <w:p w14:paraId="2CEFE4B2" w14:textId="77777777" w:rsidR="003837A1" w:rsidRDefault="003837A1" w:rsidP="00B46839">
            <w:r>
              <w:t>1</w:t>
            </w:r>
          </w:p>
        </w:tc>
        <w:tc>
          <w:tcPr>
            <w:tcW w:w="1915" w:type="dxa"/>
            <w:vAlign w:val="center"/>
          </w:tcPr>
          <w:p w14:paraId="0A253B69" w14:textId="77777777" w:rsidR="003837A1" w:rsidRDefault="003837A1" w:rsidP="005C6E9F">
            <w:pPr>
              <w:jc w:val="center"/>
            </w:pPr>
            <w:r>
              <w:t>8</w:t>
            </w:r>
          </w:p>
        </w:tc>
        <w:tc>
          <w:tcPr>
            <w:tcW w:w="1915" w:type="dxa"/>
            <w:vAlign w:val="center"/>
          </w:tcPr>
          <w:p w14:paraId="5164EE34" w14:textId="77777777" w:rsidR="003837A1" w:rsidRDefault="003837A1" w:rsidP="005C6E9F">
            <w:pPr>
              <w:jc w:val="center"/>
            </w:pPr>
            <w:r>
              <w:t>15</w:t>
            </w:r>
          </w:p>
        </w:tc>
        <w:tc>
          <w:tcPr>
            <w:tcW w:w="1915" w:type="dxa"/>
            <w:vAlign w:val="center"/>
          </w:tcPr>
          <w:p w14:paraId="28133089" w14:textId="77777777" w:rsidR="003837A1" w:rsidRDefault="003837A1" w:rsidP="005C6E9F">
            <w:pPr>
              <w:jc w:val="center"/>
            </w:pPr>
            <w:r>
              <w:t>23</w:t>
            </w:r>
          </w:p>
        </w:tc>
        <w:tc>
          <w:tcPr>
            <w:tcW w:w="1916" w:type="dxa"/>
            <w:vAlign w:val="center"/>
          </w:tcPr>
          <w:p w14:paraId="0339C3FA" w14:textId="77777777" w:rsidR="003837A1" w:rsidRDefault="000C2139" w:rsidP="005C6E9F">
            <w:pPr>
              <w:jc w:val="center"/>
            </w:pPr>
            <w:r>
              <w:t>1.5</w:t>
            </w:r>
          </w:p>
        </w:tc>
      </w:tr>
      <w:tr w:rsidR="003837A1" w14:paraId="551DB959" w14:textId="77777777" w:rsidTr="005C6E9F">
        <w:tc>
          <w:tcPr>
            <w:tcW w:w="1915" w:type="dxa"/>
          </w:tcPr>
          <w:p w14:paraId="174F0443" w14:textId="77777777" w:rsidR="003837A1" w:rsidRDefault="003837A1" w:rsidP="00B46839">
            <w:r>
              <w:t>2</w:t>
            </w:r>
          </w:p>
        </w:tc>
        <w:tc>
          <w:tcPr>
            <w:tcW w:w="1915" w:type="dxa"/>
            <w:vAlign w:val="center"/>
          </w:tcPr>
          <w:p w14:paraId="4D6345BF" w14:textId="77777777" w:rsidR="003837A1" w:rsidRDefault="005C6E9F" w:rsidP="005C6E9F">
            <w:pPr>
              <w:jc w:val="center"/>
            </w:pPr>
            <w:r>
              <w:t>0</w:t>
            </w:r>
          </w:p>
        </w:tc>
        <w:tc>
          <w:tcPr>
            <w:tcW w:w="1915" w:type="dxa"/>
            <w:vAlign w:val="center"/>
          </w:tcPr>
          <w:p w14:paraId="74778E32" w14:textId="77777777" w:rsidR="003837A1" w:rsidRDefault="005C6E9F" w:rsidP="005C6E9F">
            <w:pPr>
              <w:jc w:val="center"/>
            </w:pPr>
            <w:r>
              <w:t>10</w:t>
            </w:r>
          </w:p>
        </w:tc>
        <w:tc>
          <w:tcPr>
            <w:tcW w:w="1915" w:type="dxa"/>
            <w:vAlign w:val="center"/>
          </w:tcPr>
          <w:p w14:paraId="2996FDE4" w14:textId="77777777" w:rsidR="003837A1" w:rsidRDefault="005C6E9F" w:rsidP="005C6E9F">
            <w:pPr>
              <w:jc w:val="center"/>
            </w:pPr>
            <w:r>
              <w:t>14</w:t>
            </w:r>
          </w:p>
        </w:tc>
        <w:tc>
          <w:tcPr>
            <w:tcW w:w="1916" w:type="dxa"/>
            <w:vAlign w:val="center"/>
          </w:tcPr>
          <w:p w14:paraId="2096D2B2" w14:textId="77777777" w:rsidR="003837A1" w:rsidRDefault="005C6E9F" w:rsidP="005C6E9F">
            <w:pPr>
              <w:jc w:val="center"/>
            </w:pPr>
            <w:r>
              <w:t>1.4</w:t>
            </w:r>
          </w:p>
        </w:tc>
      </w:tr>
      <w:tr w:rsidR="003837A1" w14:paraId="441E451E" w14:textId="77777777" w:rsidTr="005C6E9F">
        <w:tc>
          <w:tcPr>
            <w:tcW w:w="1915" w:type="dxa"/>
          </w:tcPr>
          <w:p w14:paraId="705C7E7F" w14:textId="77777777" w:rsidR="003837A1" w:rsidRDefault="003837A1" w:rsidP="00B46839">
            <w:r>
              <w:t>3</w:t>
            </w:r>
          </w:p>
        </w:tc>
        <w:tc>
          <w:tcPr>
            <w:tcW w:w="1915" w:type="dxa"/>
            <w:vAlign w:val="center"/>
          </w:tcPr>
          <w:p w14:paraId="276DAEF2" w14:textId="77777777" w:rsidR="003837A1" w:rsidRDefault="005C6E9F" w:rsidP="005C6E9F">
            <w:pPr>
              <w:jc w:val="center"/>
            </w:pPr>
            <w:r>
              <w:t>8</w:t>
            </w:r>
          </w:p>
        </w:tc>
        <w:tc>
          <w:tcPr>
            <w:tcW w:w="1915" w:type="dxa"/>
            <w:vAlign w:val="center"/>
          </w:tcPr>
          <w:p w14:paraId="35DD4777" w14:textId="77777777" w:rsidR="003837A1" w:rsidRDefault="00DB4AE4" w:rsidP="005C6E9F">
            <w:pPr>
              <w:jc w:val="center"/>
            </w:pPr>
            <w:r>
              <w:t>15</w:t>
            </w:r>
          </w:p>
        </w:tc>
        <w:tc>
          <w:tcPr>
            <w:tcW w:w="1915" w:type="dxa"/>
            <w:vAlign w:val="center"/>
          </w:tcPr>
          <w:p w14:paraId="050B7A00" w14:textId="77777777" w:rsidR="003837A1" w:rsidRDefault="00DB4AE4" w:rsidP="005C6E9F">
            <w:pPr>
              <w:jc w:val="center"/>
            </w:pPr>
            <w:r>
              <w:t>21</w:t>
            </w:r>
          </w:p>
        </w:tc>
        <w:tc>
          <w:tcPr>
            <w:tcW w:w="1916" w:type="dxa"/>
            <w:vAlign w:val="center"/>
          </w:tcPr>
          <w:p w14:paraId="2453F658" w14:textId="77777777" w:rsidR="003837A1" w:rsidRDefault="00DB4AE4" w:rsidP="005C6E9F">
            <w:pPr>
              <w:jc w:val="center"/>
            </w:pPr>
            <w:r>
              <w:t>1.4</w:t>
            </w:r>
          </w:p>
        </w:tc>
      </w:tr>
      <w:tr w:rsidR="003837A1" w14:paraId="4F26D3F2" w14:textId="77777777" w:rsidTr="005C6E9F">
        <w:tc>
          <w:tcPr>
            <w:tcW w:w="1915" w:type="dxa"/>
          </w:tcPr>
          <w:p w14:paraId="584E5DBF" w14:textId="77777777" w:rsidR="003837A1" w:rsidRDefault="003837A1" w:rsidP="00B46839">
            <w:r>
              <w:t>4</w:t>
            </w:r>
          </w:p>
        </w:tc>
        <w:tc>
          <w:tcPr>
            <w:tcW w:w="1915" w:type="dxa"/>
            <w:vAlign w:val="center"/>
          </w:tcPr>
          <w:p w14:paraId="516F5E06" w14:textId="77777777" w:rsidR="003837A1" w:rsidRDefault="00DB4AE4" w:rsidP="005C6E9F">
            <w:pPr>
              <w:jc w:val="center"/>
            </w:pPr>
            <w:r>
              <w:t>6</w:t>
            </w:r>
          </w:p>
        </w:tc>
        <w:tc>
          <w:tcPr>
            <w:tcW w:w="1915" w:type="dxa"/>
            <w:vAlign w:val="center"/>
          </w:tcPr>
          <w:p w14:paraId="3876ECC3" w14:textId="77777777" w:rsidR="003837A1" w:rsidRDefault="00DB4AE4" w:rsidP="005C6E9F">
            <w:pPr>
              <w:jc w:val="center"/>
            </w:pPr>
            <w:r>
              <w:t>12</w:t>
            </w:r>
          </w:p>
        </w:tc>
        <w:tc>
          <w:tcPr>
            <w:tcW w:w="1915" w:type="dxa"/>
            <w:vAlign w:val="center"/>
          </w:tcPr>
          <w:p w14:paraId="4565D3D9" w14:textId="77777777" w:rsidR="003837A1" w:rsidRDefault="00DB4AE4" w:rsidP="005C6E9F">
            <w:pPr>
              <w:jc w:val="center"/>
            </w:pPr>
            <w:r>
              <w:t>12</w:t>
            </w:r>
          </w:p>
        </w:tc>
        <w:tc>
          <w:tcPr>
            <w:tcW w:w="1916" w:type="dxa"/>
            <w:vAlign w:val="center"/>
          </w:tcPr>
          <w:p w14:paraId="6E7D11F5" w14:textId="77777777" w:rsidR="003837A1" w:rsidRDefault="00DB4AE4" w:rsidP="005C6E9F">
            <w:pPr>
              <w:jc w:val="center"/>
            </w:pPr>
            <w:r>
              <w:t>1</w:t>
            </w:r>
          </w:p>
        </w:tc>
      </w:tr>
      <w:tr w:rsidR="003837A1" w14:paraId="07C905B9" w14:textId="77777777" w:rsidTr="005C6E9F">
        <w:tc>
          <w:tcPr>
            <w:tcW w:w="1915" w:type="dxa"/>
          </w:tcPr>
          <w:p w14:paraId="1F9DD324" w14:textId="77777777" w:rsidR="003837A1" w:rsidRDefault="003837A1" w:rsidP="00B46839">
            <w:r>
              <w:t>5</w:t>
            </w:r>
          </w:p>
        </w:tc>
        <w:tc>
          <w:tcPr>
            <w:tcW w:w="1915" w:type="dxa"/>
            <w:vAlign w:val="center"/>
          </w:tcPr>
          <w:p w14:paraId="04B9D8F5" w14:textId="77777777" w:rsidR="003837A1" w:rsidRDefault="00DB4AE4" w:rsidP="005C6E9F">
            <w:pPr>
              <w:jc w:val="center"/>
            </w:pPr>
            <w:r>
              <w:t>2</w:t>
            </w:r>
          </w:p>
        </w:tc>
        <w:tc>
          <w:tcPr>
            <w:tcW w:w="1915" w:type="dxa"/>
            <w:vAlign w:val="center"/>
          </w:tcPr>
          <w:p w14:paraId="68C4F06A" w14:textId="77777777" w:rsidR="003837A1" w:rsidRDefault="00DB4AE4" w:rsidP="005C6E9F">
            <w:pPr>
              <w:jc w:val="center"/>
            </w:pPr>
            <w:r>
              <w:t>12</w:t>
            </w:r>
          </w:p>
        </w:tc>
        <w:tc>
          <w:tcPr>
            <w:tcW w:w="1915" w:type="dxa"/>
            <w:vAlign w:val="center"/>
          </w:tcPr>
          <w:p w14:paraId="6648024C" w14:textId="77777777" w:rsidR="003837A1" w:rsidRDefault="00DB4AE4" w:rsidP="005C6E9F">
            <w:pPr>
              <w:jc w:val="center"/>
            </w:pPr>
            <w:r>
              <w:t>9</w:t>
            </w:r>
          </w:p>
        </w:tc>
        <w:tc>
          <w:tcPr>
            <w:tcW w:w="1916" w:type="dxa"/>
            <w:vAlign w:val="center"/>
          </w:tcPr>
          <w:p w14:paraId="738D1E1C" w14:textId="77777777" w:rsidR="003837A1" w:rsidRDefault="00DB4AE4" w:rsidP="005C6E9F">
            <w:pPr>
              <w:jc w:val="center"/>
            </w:pPr>
            <w:r>
              <w:t>0.75</w:t>
            </w:r>
          </w:p>
        </w:tc>
      </w:tr>
      <w:tr w:rsidR="005C6E9F" w14:paraId="55C208F9" w14:textId="77777777" w:rsidTr="005C6E9F">
        <w:tc>
          <w:tcPr>
            <w:tcW w:w="1915" w:type="dxa"/>
            <w:vAlign w:val="center"/>
          </w:tcPr>
          <w:p w14:paraId="45ED2CE6" w14:textId="77777777" w:rsidR="005C6E9F" w:rsidRDefault="005C6E9F" w:rsidP="005C6E9F">
            <w:pPr>
              <w:jc w:val="right"/>
            </w:pPr>
            <w:r>
              <w:t>Average</w:t>
            </w:r>
          </w:p>
        </w:tc>
        <w:tc>
          <w:tcPr>
            <w:tcW w:w="1915" w:type="dxa"/>
            <w:vAlign w:val="center"/>
          </w:tcPr>
          <w:p w14:paraId="36E05137" w14:textId="77777777" w:rsidR="005C6E9F" w:rsidRDefault="00EB0804" w:rsidP="005C6E9F">
            <w:pPr>
              <w:jc w:val="center"/>
            </w:pPr>
            <w:r>
              <w:t>4.8</w:t>
            </w:r>
          </w:p>
        </w:tc>
        <w:tc>
          <w:tcPr>
            <w:tcW w:w="1915" w:type="dxa"/>
            <w:vAlign w:val="center"/>
          </w:tcPr>
          <w:p w14:paraId="569886C4" w14:textId="77777777" w:rsidR="005C6E9F" w:rsidRDefault="005C6E9F" w:rsidP="005C6E9F">
            <w:pPr>
              <w:jc w:val="center"/>
            </w:pPr>
          </w:p>
        </w:tc>
        <w:tc>
          <w:tcPr>
            <w:tcW w:w="1915" w:type="dxa"/>
            <w:vAlign w:val="center"/>
          </w:tcPr>
          <w:p w14:paraId="3476FA99" w14:textId="77777777" w:rsidR="005C6E9F" w:rsidRDefault="005C6E9F" w:rsidP="005C6E9F">
            <w:pPr>
              <w:jc w:val="center"/>
            </w:pPr>
          </w:p>
        </w:tc>
        <w:tc>
          <w:tcPr>
            <w:tcW w:w="1916" w:type="dxa"/>
            <w:vAlign w:val="center"/>
          </w:tcPr>
          <w:p w14:paraId="5378A0EA" w14:textId="77777777" w:rsidR="005C6E9F" w:rsidRDefault="000C2139" w:rsidP="005C6E9F">
            <w:pPr>
              <w:jc w:val="center"/>
            </w:pPr>
            <w:r>
              <w:t>1.2</w:t>
            </w:r>
          </w:p>
        </w:tc>
      </w:tr>
    </w:tbl>
    <w:p w14:paraId="0FDF1BBE" w14:textId="77777777" w:rsidR="003837A1" w:rsidRDefault="003837A1" w:rsidP="00B46839"/>
    <w:p w14:paraId="7D37EEFC" w14:textId="77777777" w:rsidR="007209A4" w:rsidRDefault="007209A4" w:rsidP="00B46839">
      <w:r>
        <w:t>Based on the pretest, we estimate that it takes approximately 10 minutes to seat subjects and prepare them for the experiment and 6 minutes to pay and process subjects at the end of the experiment.  We assume that this timing will remain constant throughout the planned experiment, leaving us with 90 – 16 = 74 minutes</w:t>
      </w:r>
      <w:r w:rsidR="008C6FA4">
        <w:t xml:space="preserve"> to read instructions and complete auction rounds.</w:t>
      </w:r>
    </w:p>
    <w:p w14:paraId="65D824C4" w14:textId="77777777" w:rsidR="008C6FA4" w:rsidRDefault="008C6FA4" w:rsidP="00B46839">
      <w:r>
        <w:t>Our intent is not to implement all five treatments in each session.  Rather, sessions will consist of three treatments.  We completed five treatments in the pretest session in order to test each treatment using the software specially designed for this project and to discover if any of the five treatments took substantially longer than others.  We d</w:t>
      </w:r>
      <w:r w:rsidR="008E75FC">
        <w:t>id</w:t>
      </w:r>
      <w:r>
        <w:t xml:space="preserve"> not </w:t>
      </w:r>
      <w:r w:rsidR="008E75FC">
        <w:t>find</w:t>
      </w:r>
      <w:r>
        <w:t xml:space="preserve"> that any of the auction treatments takes substantially longer to understand or to complete than others</w:t>
      </w:r>
      <w:r w:rsidR="008E75FC">
        <w:t>;</w:t>
      </w:r>
      <w:r>
        <w:t xml:space="preserve"> the pattern of quicker completion of auction rounds under each subsequent treatment (1 – 5) reflects a normal </w:t>
      </w:r>
      <w:r w:rsidR="00666524">
        <w:t>pattern of learning.</w:t>
      </w:r>
    </w:p>
    <w:p w14:paraId="300770B6" w14:textId="77777777" w:rsidR="00666524" w:rsidRDefault="00666524" w:rsidP="00B46839">
      <w:r>
        <w:t>Based on the pretest, it will take approximately 5 minutes to read instructions for each of the three treatments that subjects will face in a session.  Three treatments X 5 minutes per treatment for reading instructions leaves us with 74 – 15 = 59 minutes to complete auction rounds.</w:t>
      </w:r>
    </w:p>
    <w:p w14:paraId="287BB31C" w14:textId="77777777" w:rsidR="00666524" w:rsidRDefault="00666524" w:rsidP="00B46839">
      <w:r>
        <w:t xml:space="preserve">Based on the results of the pretest we can conservatively estimate that it takes 1.5 minutes </w:t>
      </w:r>
      <w:r w:rsidR="000E6DEB">
        <w:t xml:space="preserve">to complete a single auction round.  With 59 minutes to complete auctions, this enables us to run 39 auction rounds </w:t>
      </w:r>
      <w:r w:rsidR="000E6DEB">
        <w:lastRenderedPageBreak/>
        <w:t>in a session.  If we equally distribute this time over three treatments, we can run 13 auction rounds per treatment and still remain within the 90 minute time limit that the experiment advertises.</w:t>
      </w:r>
    </w:p>
    <w:p w14:paraId="2C930D78" w14:textId="77777777" w:rsidR="00C1191A" w:rsidRDefault="00C1191A" w:rsidP="00C1191A">
      <w:pPr>
        <w:pStyle w:val="Heading1"/>
      </w:pPr>
      <w:r>
        <w:t>Payment</w:t>
      </w:r>
    </w:p>
    <w:p w14:paraId="20787556" w14:textId="77777777" w:rsidR="00C1191A" w:rsidRDefault="00C1191A" w:rsidP="00B46839">
      <w:r>
        <w:t>Average earnings were 45.81 Experimental Currency Units (ECU), with a minimum payment of 9 and a maximum payment of 106.  In order to ensure that the average payment is $25, this implies a conversion factor of approximately 0.5.  That is, one ECU will be worth $0.50.  The high payment in this case would have been $53 and the low payment $4.50.  This range might not be representative of the actual experiment when performed with the expected number of participants, however.  With more competition (more bidders), the results should become less extreme.  It is</w:t>
      </w:r>
      <w:r w:rsidR="00DE06B9">
        <w:t xml:space="preserve"> also</w:t>
      </w:r>
      <w:r>
        <w:t xml:space="preserve"> possible to </w:t>
      </w:r>
      <w:r w:rsidR="00DE06B9">
        <w:t>change the distribution of opportunity costs or the conversion factor once the experiments begin.  That is, after holding one complete session, we could change the parameters of the experiment in order to deal with unexpectedly high (or low) payments.</w:t>
      </w:r>
    </w:p>
    <w:p w14:paraId="483A1552" w14:textId="77777777" w:rsidR="00CB480D" w:rsidRDefault="00CB480D" w:rsidP="00CB480D">
      <w:pPr>
        <w:pStyle w:val="Heading1"/>
      </w:pPr>
      <w:r>
        <w:t>Feedback</w:t>
      </w:r>
    </w:p>
    <w:p w14:paraId="7750C3A7" w14:textId="77777777" w:rsidR="00643AD7" w:rsidRDefault="00643AD7" w:rsidP="00CB480D">
      <w:pPr>
        <w:pStyle w:val="Heading2"/>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The lab manager collected feedback from participants.</w:t>
      </w:r>
    </w:p>
    <w:p w14:paraId="706EC7D7" w14:textId="77777777" w:rsidR="00CB480D" w:rsidRDefault="00643AD7" w:rsidP="00CB480D">
      <w:pPr>
        <w:pStyle w:val="Heading2"/>
        <w:rPr>
          <w:rFonts w:asciiTheme="minorHAnsi" w:eastAsiaTheme="minorHAnsi" w:hAnsiTheme="minorHAnsi" w:cstheme="minorBidi"/>
          <w:b w:val="0"/>
          <w:bCs w:val="0"/>
          <w:color w:val="auto"/>
          <w:sz w:val="22"/>
          <w:szCs w:val="22"/>
        </w:rPr>
      </w:pPr>
      <w:r>
        <w:rPr>
          <w:rFonts w:asciiTheme="minorHAnsi" w:eastAsiaTheme="minorHAnsi" w:hAnsiTheme="minorHAnsi" w:cstheme="minorBidi"/>
          <w:b w:val="0"/>
          <w:bCs w:val="0"/>
          <w:color w:val="auto"/>
          <w:sz w:val="22"/>
          <w:szCs w:val="22"/>
        </w:rPr>
        <w:t>One participant asked whether it would be possible to allow for non-integer bids (e.g. allow for bids of $1.53 instead of $1).  This change has been implemented in the software.</w:t>
      </w:r>
    </w:p>
    <w:p w14:paraId="64F56BC7" w14:textId="77777777" w:rsidR="00CB480D" w:rsidRPr="00CB480D" w:rsidRDefault="00CB480D" w:rsidP="00CB480D"/>
    <w:sectPr w:rsidR="00CB480D" w:rsidRPr="00CB480D" w:rsidSect="00C665FA">
      <w:headerReference w:type="default" r:id="rId9"/>
      <w:pgSz w:w="12240" w:h="15840"/>
      <w:pgMar w:top="1440" w:right="1440" w:bottom="1440" w:left="1440" w:header="720" w:footer="720" w:gutter="0"/>
      <w:lnNumType w:countBy="1" w:restart="continuou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401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7F467" w14:textId="77777777" w:rsidR="00647E66" w:rsidRDefault="00647E66" w:rsidP="006D399D">
      <w:pPr>
        <w:spacing w:after="0" w:line="240" w:lineRule="auto"/>
      </w:pPr>
      <w:r>
        <w:separator/>
      </w:r>
    </w:p>
  </w:endnote>
  <w:endnote w:type="continuationSeparator" w:id="0">
    <w:p w14:paraId="48B55245" w14:textId="77777777" w:rsidR="00647E66" w:rsidRDefault="00647E66" w:rsidP="006D3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C2FD9" w14:textId="77777777" w:rsidR="00647E66" w:rsidRDefault="00647E66" w:rsidP="006D399D">
      <w:pPr>
        <w:spacing w:after="0" w:line="240" w:lineRule="auto"/>
      </w:pPr>
      <w:r>
        <w:separator/>
      </w:r>
    </w:p>
  </w:footnote>
  <w:footnote w:type="continuationSeparator" w:id="0">
    <w:p w14:paraId="19459077" w14:textId="77777777" w:rsidR="00647E66" w:rsidRDefault="00647E66" w:rsidP="006D39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469731"/>
      <w:docPartObj>
        <w:docPartGallery w:val="Page Numbers (Top of Page)"/>
        <w:docPartUnique/>
      </w:docPartObj>
    </w:sdtPr>
    <w:sdtEndPr>
      <w:rPr>
        <w:noProof/>
      </w:rPr>
    </w:sdtEndPr>
    <w:sdtContent>
      <w:p w14:paraId="7F5EA315" w14:textId="5010C170" w:rsidR="00D26C99" w:rsidRDefault="00D26C99">
        <w:pPr>
          <w:pStyle w:val="Header"/>
          <w:jc w:val="right"/>
        </w:pPr>
        <w:r>
          <w:fldChar w:fldCharType="begin"/>
        </w:r>
        <w:r>
          <w:instrText xml:space="preserve"> PAGE   \* MERGEFORMAT </w:instrText>
        </w:r>
        <w:r>
          <w:fldChar w:fldCharType="separate"/>
        </w:r>
        <w:r w:rsidR="00516047">
          <w:rPr>
            <w:noProof/>
          </w:rPr>
          <w:t>2</w:t>
        </w:r>
        <w:r>
          <w:rPr>
            <w:noProof/>
          </w:rPr>
          <w:fldChar w:fldCharType="end"/>
        </w:r>
      </w:p>
    </w:sdtContent>
  </w:sdt>
  <w:p w14:paraId="1945D7BC" w14:textId="77777777" w:rsidR="006D399D" w:rsidRDefault="006D3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5B65"/>
    <w:multiLevelType w:val="multilevel"/>
    <w:tmpl w:val="EB548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3E3494"/>
    <w:multiLevelType w:val="multilevel"/>
    <w:tmpl w:val="9C8C4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8A1B23"/>
    <w:multiLevelType w:val="hybridMultilevel"/>
    <w:tmpl w:val="8B362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691C9A"/>
    <w:multiLevelType w:val="hybridMultilevel"/>
    <w:tmpl w:val="C1347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115036"/>
    <w:multiLevelType w:val="hybridMultilevel"/>
    <w:tmpl w:val="CD54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839"/>
    <w:rsid w:val="00001E20"/>
    <w:rsid w:val="0000632A"/>
    <w:rsid w:val="000243EB"/>
    <w:rsid w:val="00025B75"/>
    <w:rsid w:val="00033B2F"/>
    <w:rsid w:val="00034EFA"/>
    <w:rsid w:val="000403F5"/>
    <w:rsid w:val="0004235D"/>
    <w:rsid w:val="000846EC"/>
    <w:rsid w:val="00094150"/>
    <w:rsid w:val="000C0D3C"/>
    <w:rsid w:val="000C2139"/>
    <w:rsid w:val="000C5D1C"/>
    <w:rsid w:val="000D0ED4"/>
    <w:rsid w:val="000D6740"/>
    <w:rsid w:val="000E6DEB"/>
    <w:rsid w:val="00112C7B"/>
    <w:rsid w:val="00126C0A"/>
    <w:rsid w:val="00130648"/>
    <w:rsid w:val="0013548E"/>
    <w:rsid w:val="0017640C"/>
    <w:rsid w:val="00177A12"/>
    <w:rsid w:val="001815BD"/>
    <w:rsid w:val="001A490D"/>
    <w:rsid w:val="001B4B7B"/>
    <w:rsid w:val="001C2E26"/>
    <w:rsid w:val="001D5314"/>
    <w:rsid w:val="001E1F5E"/>
    <w:rsid w:val="001F7057"/>
    <w:rsid w:val="00221681"/>
    <w:rsid w:val="00230B66"/>
    <w:rsid w:val="00245387"/>
    <w:rsid w:val="00255DE5"/>
    <w:rsid w:val="00260E37"/>
    <w:rsid w:val="002673C0"/>
    <w:rsid w:val="0029391E"/>
    <w:rsid w:val="002A3DFD"/>
    <w:rsid w:val="002A4678"/>
    <w:rsid w:val="002B0F79"/>
    <w:rsid w:val="002C0463"/>
    <w:rsid w:val="002D525F"/>
    <w:rsid w:val="0030753C"/>
    <w:rsid w:val="00333228"/>
    <w:rsid w:val="003401C9"/>
    <w:rsid w:val="00380D4B"/>
    <w:rsid w:val="003837A1"/>
    <w:rsid w:val="003B5167"/>
    <w:rsid w:val="003D1665"/>
    <w:rsid w:val="003E176A"/>
    <w:rsid w:val="004267AC"/>
    <w:rsid w:val="00472CFE"/>
    <w:rsid w:val="0047688B"/>
    <w:rsid w:val="00481A5E"/>
    <w:rsid w:val="004B583B"/>
    <w:rsid w:val="004F1833"/>
    <w:rsid w:val="00516047"/>
    <w:rsid w:val="00520531"/>
    <w:rsid w:val="00523F0D"/>
    <w:rsid w:val="00527207"/>
    <w:rsid w:val="00597ECE"/>
    <w:rsid w:val="005C2918"/>
    <w:rsid w:val="005C6E9F"/>
    <w:rsid w:val="005D5032"/>
    <w:rsid w:val="005E127A"/>
    <w:rsid w:val="005E27BE"/>
    <w:rsid w:val="005F525E"/>
    <w:rsid w:val="00623D17"/>
    <w:rsid w:val="006306E3"/>
    <w:rsid w:val="006347DD"/>
    <w:rsid w:val="00643AD7"/>
    <w:rsid w:val="00647E66"/>
    <w:rsid w:val="00666524"/>
    <w:rsid w:val="006D28E6"/>
    <w:rsid w:val="006D399D"/>
    <w:rsid w:val="006D4072"/>
    <w:rsid w:val="006F7D3C"/>
    <w:rsid w:val="007209A4"/>
    <w:rsid w:val="00737B81"/>
    <w:rsid w:val="0076244A"/>
    <w:rsid w:val="0076572A"/>
    <w:rsid w:val="007B19E6"/>
    <w:rsid w:val="007C7A52"/>
    <w:rsid w:val="007E1827"/>
    <w:rsid w:val="00837332"/>
    <w:rsid w:val="0089421C"/>
    <w:rsid w:val="008C58D2"/>
    <w:rsid w:val="008C6FA4"/>
    <w:rsid w:val="008E75FC"/>
    <w:rsid w:val="00922A08"/>
    <w:rsid w:val="009605AE"/>
    <w:rsid w:val="009755F7"/>
    <w:rsid w:val="00981ABF"/>
    <w:rsid w:val="009843AA"/>
    <w:rsid w:val="009A7368"/>
    <w:rsid w:val="009B5F50"/>
    <w:rsid w:val="009C3819"/>
    <w:rsid w:val="009C6578"/>
    <w:rsid w:val="00A308D6"/>
    <w:rsid w:val="00A42BA1"/>
    <w:rsid w:val="00A42DDE"/>
    <w:rsid w:val="00A649E5"/>
    <w:rsid w:val="00A72E48"/>
    <w:rsid w:val="00A8449C"/>
    <w:rsid w:val="00AD5A49"/>
    <w:rsid w:val="00AE6240"/>
    <w:rsid w:val="00AE7E91"/>
    <w:rsid w:val="00AF64AA"/>
    <w:rsid w:val="00B0195B"/>
    <w:rsid w:val="00B03CD6"/>
    <w:rsid w:val="00B14088"/>
    <w:rsid w:val="00B465E3"/>
    <w:rsid w:val="00B46839"/>
    <w:rsid w:val="00B60732"/>
    <w:rsid w:val="00B67EE9"/>
    <w:rsid w:val="00BC11AA"/>
    <w:rsid w:val="00BD02DE"/>
    <w:rsid w:val="00BD0D6D"/>
    <w:rsid w:val="00BE025D"/>
    <w:rsid w:val="00C1191A"/>
    <w:rsid w:val="00C17130"/>
    <w:rsid w:val="00C215D4"/>
    <w:rsid w:val="00C22B7E"/>
    <w:rsid w:val="00C24793"/>
    <w:rsid w:val="00C34C81"/>
    <w:rsid w:val="00C665FA"/>
    <w:rsid w:val="00CB480D"/>
    <w:rsid w:val="00CC46ED"/>
    <w:rsid w:val="00D023AE"/>
    <w:rsid w:val="00D22428"/>
    <w:rsid w:val="00D23396"/>
    <w:rsid w:val="00D251EC"/>
    <w:rsid w:val="00D26C99"/>
    <w:rsid w:val="00D40E82"/>
    <w:rsid w:val="00D43327"/>
    <w:rsid w:val="00D60C06"/>
    <w:rsid w:val="00D7071B"/>
    <w:rsid w:val="00DB4AE4"/>
    <w:rsid w:val="00DC295C"/>
    <w:rsid w:val="00DE06B9"/>
    <w:rsid w:val="00DF23D7"/>
    <w:rsid w:val="00E72E5E"/>
    <w:rsid w:val="00EB0804"/>
    <w:rsid w:val="00F42FA5"/>
    <w:rsid w:val="00F9164C"/>
    <w:rsid w:val="00FE5E49"/>
    <w:rsid w:val="00FF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AB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3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39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99D"/>
  </w:style>
  <w:style w:type="paragraph" w:styleId="Footer">
    <w:name w:val="footer"/>
    <w:basedOn w:val="Normal"/>
    <w:link w:val="FooterChar"/>
    <w:uiPriority w:val="99"/>
    <w:unhideWhenUsed/>
    <w:rsid w:val="006D3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99D"/>
  </w:style>
  <w:style w:type="paragraph" w:styleId="BalloonText">
    <w:name w:val="Balloon Text"/>
    <w:basedOn w:val="Normal"/>
    <w:link w:val="BalloonTextChar"/>
    <w:uiPriority w:val="99"/>
    <w:semiHidden/>
    <w:unhideWhenUsed/>
    <w:rsid w:val="006D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99D"/>
    <w:rPr>
      <w:rFonts w:ascii="Tahoma" w:hAnsi="Tahoma" w:cs="Tahoma"/>
      <w:sz w:val="16"/>
      <w:szCs w:val="16"/>
    </w:rPr>
  </w:style>
  <w:style w:type="character" w:customStyle="1" w:styleId="Heading1Char">
    <w:name w:val="Heading 1 Char"/>
    <w:basedOn w:val="DefaultParagraphFont"/>
    <w:link w:val="Heading1"/>
    <w:uiPriority w:val="9"/>
    <w:rsid w:val="006D39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399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7688B"/>
    <w:pPr>
      <w:ind w:left="720"/>
      <w:contextualSpacing/>
    </w:pPr>
  </w:style>
  <w:style w:type="paragraph" w:styleId="NormalWeb">
    <w:name w:val="Normal (Web)"/>
    <w:basedOn w:val="Normal"/>
    <w:uiPriority w:val="99"/>
    <w:unhideWhenUsed/>
    <w:rsid w:val="00CB48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73C0"/>
    <w:rPr>
      <w:sz w:val="16"/>
      <w:szCs w:val="16"/>
    </w:rPr>
  </w:style>
  <w:style w:type="paragraph" w:styleId="CommentText">
    <w:name w:val="annotation text"/>
    <w:basedOn w:val="Normal"/>
    <w:link w:val="CommentTextChar"/>
    <w:uiPriority w:val="99"/>
    <w:semiHidden/>
    <w:unhideWhenUsed/>
    <w:rsid w:val="002673C0"/>
    <w:pPr>
      <w:spacing w:line="240" w:lineRule="auto"/>
    </w:pPr>
    <w:rPr>
      <w:sz w:val="20"/>
      <w:szCs w:val="20"/>
    </w:rPr>
  </w:style>
  <w:style w:type="character" w:customStyle="1" w:styleId="CommentTextChar">
    <w:name w:val="Comment Text Char"/>
    <w:basedOn w:val="DefaultParagraphFont"/>
    <w:link w:val="CommentText"/>
    <w:uiPriority w:val="99"/>
    <w:semiHidden/>
    <w:rsid w:val="002673C0"/>
    <w:rPr>
      <w:sz w:val="20"/>
      <w:szCs w:val="20"/>
    </w:rPr>
  </w:style>
  <w:style w:type="paragraph" w:styleId="CommentSubject">
    <w:name w:val="annotation subject"/>
    <w:basedOn w:val="CommentText"/>
    <w:next w:val="CommentText"/>
    <w:link w:val="CommentSubjectChar"/>
    <w:uiPriority w:val="99"/>
    <w:semiHidden/>
    <w:unhideWhenUsed/>
    <w:rsid w:val="002673C0"/>
    <w:rPr>
      <w:b/>
      <w:bCs/>
    </w:rPr>
  </w:style>
  <w:style w:type="character" w:customStyle="1" w:styleId="CommentSubjectChar">
    <w:name w:val="Comment Subject Char"/>
    <w:basedOn w:val="CommentTextChar"/>
    <w:link w:val="CommentSubject"/>
    <w:uiPriority w:val="99"/>
    <w:semiHidden/>
    <w:rsid w:val="002673C0"/>
    <w:rPr>
      <w:b/>
      <w:bCs/>
      <w:sz w:val="20"/>
      <w:szCs w:val="20"/>
    </w:rPr>
  </w:style>
  <w:style w:type="character" w:styleId="LineNumber">
    <w:name w:val="line number"/>
    <w:basedOn w:val="DefaultParagraphFont"/>
    <w:uiPriority w:val="99"/>
    <w:semiHidden/>
    <w:unhideWhenUsed/>
    <w:rsid w:val="00C665FA"/>
  </w:style>
  <w:style w:type="table" w:styleId="TableGrid">
    <w:name w:val="Table Grid"/>
    <w:basedOn w:val="TableNormal"/>
    <w:uiPriority w:val="59"/>
    <w:rsid w:val="0038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D39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399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99D"/>
  </w:style>
  <w:style w:type="paragraph" w:styleId="Footer">
    <w:name w:val="footer"/>
    <w:basedOn w:val="Normal"/>
    <w:link w:val="FooterChar"/>
    <w:uiPriority w:val="99"/>
    <w:unhideWhenUsed/>
    <w:rsid w:val="006D3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99D"/>
  </w:style>
  <w:style w:type="paragraph" w:styleId="BalloonText">
    <w:name w:val="Balloon Text"/>
    <w:basedOn w:val="Normal"/>
    <w:link w:val="BalloonTextChar"/>
    <w:uiPriority w:val="99"/>
    <w:semiHidden/>
    <w:unhideWhenUsed/>
    <w:rsid w:val="006D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99D"/>
    <w:rPr>
      <w:rFonts w:ascii="Tahoma" w:hAnsi="Tahoma" w:cs="Tahoma"/>
      <w:sz w:val="16"/>
      <w:szCs w:val="16"/>
    </w:rPr>
  </w:style>
  <w:style w:type="character" w:customStyle="1" w:styleId="Heading1Char">
    <w:name w:val="Heading 1 Char"/>
    <w:basedOn w:val="DefaultParagraphFont"/>
    <w:link w:val="Heading1"/>
    <w:uiPriority w:val="9"/>
    <w:rsid w:val="006D39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399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7688B"/>
    <w:pPr>
      <w:ind w:left="720"/>
      <w:contextualSpacing/>
    </w:pPr>
  </w:style>
  <w:style w:type="paragraph" w:styleId="NormalWeb">
    <w:name w:val="Normal (Web)"/>
    <w:basedOn w:val="Normal"/>
    <w:uiPriority w:val="99"/>
    <w:unhideWhenUsed/>
    <w:rsid w:val="00CB480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673C0"/>
    <w:rPr>
      <w:sz w:val="16"/>
      <w:szCs w:val="16"/>
    </w:rPr>
  </w:style>
  <w:style w:type="paragraph" w:styleId="CommentText">
    <w:name w:val="annotation text"/>
    <w:basedOn w:val="Normal"/>
    <w:link w:val="CommentTextChar"/>
    <w:uiPriority w:val="99"/>
    <w:semiHidden/>
    <w:unhideWhenUsed/>
    <w:rsid w:val="002673C0"/>
    <w:pPr>
      <w:spacing w:line="240" w:lineRule="auto"/>
    </w:pPr>
    <w:rPr>
      <w:sz w:val="20"/>
      <w:szCs w:val="20"/>
    </w:rPr>
  </w:style>
  <w:style w:type="character" w:customStyle="1" w:styleId="CommentTextChar">
    <w:name w:val="Comment Text Char"/>
    <w:basedOn w:val="DefaultParagraphFont"/>
    <w:link w:val="CommentText"/>
    <w:uiPriority w:val="99"/>
    <w:semiHidden/>
    <w:rsid w:val="002673C0"/>
    <w:rPr>
      <w:sz w:val="20"/>
      <w:szCs w:val="20"/>
    </w:rPr>
  </w:style>
  <w:style w:type="paragraph" w:styleId="CommentSubject">
    <w:name w:val="annotation subject"/>
    <w:basedOn w:val="CommentText"/>
    <w:next w:val="CommentText"/>
    <w:link w:val="CommentSubjectChar"/>
    <w:uiPriority w:val="99"/>
    <w:semiHidden/>
    <w:unhideWhenUsed/>
    <w:rsid w:val="002673C0"/>
    <w:rPr>
      <w:b/>
      <w:bCs/>
    </w:rPr>
  </w:style>
  <w:style w:type="character" w:customStyle="1" w:styleId="CommentSubjectChar">
    <w:name w:val="Comment Subject Char"/>
    <w:basedOn w:val="CommentTextChar"/>
    <w:link w:val="CommentSubject"/>
    <w:uiPriority w:val="99"/>
    <w:semiHidden/>
    <w:rsid w:val="002673C0"/>
    <w:rPr>
      <w:b/>
      <w:bCs/>
      <w:sz w:val="20"/>
      <w:szCs w:val="20"/>
    </w:rPr>
  </w:style>
  <w:style w:type="character" w:styleId="LineNumber">
    <w:name w:val="line number"/>
    <w:basedOn w:val="DefaultParagraphFont"/>
    <w:uiPriority w:val="99"/>
    <w:semiHidden/>
    <w:unhideWhenUsed/>
    <w:rsid w:val="00C665FA"/>
  </w:style>
  <w:style w:type="table" w:styleId="TableGrid">
    <w:name w:val="Table Grid"/>
    <w:basedOn w:val="TableNormal"/>
    <w:uiPriority w:val="59"/>
    <w:rsid w:val="00383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0C3BB-D768-46E1-81EC-B0C8E9AA7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WIN31TONT40</dc:creator>
  <cp:lastModifiedBy>PW</cp:lastModifiedBy>
  <cp:revision>2</cp:revision>
  <dcterms:created xsi:type="dcterms:W3CDTF">2015-04-29T16:48:00Z</dcterms:created>
  <dcterms:modified xsi:type="dcterms:W3CDTF">2015-04-29T16:48:00Z</dcterms:modified>
</cp:coreProperties>
</file>