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2B3FEF" w14:textId="77777777" w:rsidR="008632A2" w:rsidRPr="00E04D6A" w:rsidRDefault="008632A2" w:rsidP="008632A2">
      <w:pPr>
        <w:jc w:val="center"/>
        <w:rPr>
          <w:rFonts w:ascii="Cambria" w:hAnsi="Cambria"/>
          <w:b/>
          <w:bCs/>
          <w:sz w:val="32"/>
          <w:szCs w:val="32"/>
        </w:rPr>
      </w:pPr>
      <w:r w:rsidRPr="00E04D6A">
        <w:rPr>
          <w:rFonts w:ascii="Cambria" w:hAnsi="Cambria"/>
          <w:b/>
          <w:bCs/>
          <w:sz w:val="32"/>
          <w:szCs w:val="32"/>
        </w:rPr>
        <w:t xml:space="preserve">Attachment </w:t>
      </w:r>
      <w:r>
        <w:rPr>
          <w:rFonts w:ascii="Cambria" w:hAnsi="Cambria"/>
          <w:b/>
          <w:bCs/>
          <w:sz w:val="32"/>
          <w:szCs w:val="32"/>
        </w:rPr>
        <w:t>B</w:t>
      </w:r>
    </w:p>
    <w:p w14:paraId="34407443" w14:textId="77777777" w:rsidR="008632A2" w:rsidRDefault="008632A2" w:rsidP="008632A2">
      <w:pPr>
        <w:jc w:val="center"/>
        <w:rPr>
          <w:rFonts w:asciiTheme="majorHAnsi" w:eastAsia="Times New Roman" w:hAnsiTheme="majorHAnsi" w:cstheme="majorBidi"/>
          <w:b/>
          <w:bCs/>
          <w:color w:val="365F91" w:themeColor="accent1" w:themeShade="BF"/>
          <w:sz w:val="28"/>
          <w:szCs w:val="28"/>
          <w:lang w:eastAsia="en-US"/>
        </w:rPr>
      </w:pPr>
      <w:r>
        <w:rPr>
          <w:rFonts w:ascii="Cambria" w:hAnsi="Cambria"/>
          <w:b/>
          <w:bCs/>
          <w:i/>
          <w:sz w:val="28"/>
          <w:szCs w:val="28"/>
        </w:rPr>
        <w:t>Experimental Design Protocol</w:t>
      </w:r>
      <w:r>
        <w:rPr>
          <w:rFonts w:eastAsia="Times New Roman"/>
          <w:lang w:eastAsia="en-US"/>
        </w:rPr>
        <w:t xml:space="preserve"> </w:t>
      </w:r>
      <w:r>
        <w:rPr>
          <w:rFonts w:eastAsia="Times New Roman"/>
          <w:lang w:eastAsia="en-US"/>
        </w:rPr>
        <w:br w:type="page"/>
      </w:r>
    </w:p>
    <w:p w14:paraId="27B91046" w14:textId="77777777" w:rsidR="00C46C53" w:rsidRDefault="00C46C53" w:rsidP="00A67E22">
      <w:pPr>
        <w:pStyle w:val="Heading2"/>
        <w:rPr>
          <w:lang w:eastAsia="en-US"/>
        </w:rPr>
      </w:pPr>
      <w:r>
        <w:rPr>
          <w:lang w:eastAsia="en-US"/>
        </w:rPr>
        <w:lastRenderedPageBreak/>
        <w:t>Overview</w:t>
      </w:r>
    </w:p>
    <w:p w14:paraId="01B2106B" w14:textId="77777777" w:rsidR="00C46C53" w:rsidRPr="00C46C53" w:rsidRDefault="00C46C53" w:rsidP="00F906BF">
      <w:pPr>
        <w:rPr>
          <w:lang w:eastAsia="en-US"/>
        </w:rPr>
      </w:pPr>
      <w:r>
        <w:rPr>
          <w:lang w:eastAsia="en-US"/>
        </w:rPr>
        <w:t xml:space="preserve">This document provides an overview of a lab experiment that examines the cost-effectiveness of alternative auction design mechanisms for an auction environment resembling USDA’s Conservation Reserve Program’s (CRP’s) General Signup.  The CRP General Signup is a multi-unit, pay-as-bid, reverse auction.  </w:t>
      </w:r>
      <w:r w:rsidR="00217DF7">
        <w:rPr>
          <w:lang w:eastAsia="en-US"/>
        </w:rPr>
        <w:t>A consequence of the multi-unit, pay-as-bid approach is that the CRP runs a risk of paying substantial information rents.  Currently the CPR uses a bid-cap approach based on estimates of reserve values to limit information rents.  The goal of this research is to investigate the performance of alternative auction mechanisms designed to limit information rents.  Conceptually, most of these mechanisms operate by accepting some higher cost bids to maintain competitive pressure on the lower cost bidders who have the most potential to extract information rents.</w:t>
      </w:r>
    </w:p>
    <w:p w14:paraId="272C9B2F" w14:textId="77777777" w:rsidR="00C46C53" w:rsidRPr="00C46C53" w:rsidRDefault="00C46C53" w:rsidP="00F906BF">
      <w:pPr>
        <w:rPr>
          <w:lang w:eastAsia="en-US"/>
        </w:rPr>
      </w:pPr>
    </w:p>
    <w:p w14:paraId="754A2A66" w14:textId="77777777" w:rsidR="00A67E22" w:rsidRPr="00A67E22" w:rsidRDefault="00BB6E88" w:rsidP="00A67E22">
      <w:pPr>
        <w:pStyle w:val="Heading2"/>
        <w:rPr>
          <w:lang w:eastAsia="en-US"/>
        </w:rPr>
      </w:pPr>
      <w:r>
        <w:rPr>
          <w:lang w:eastAsia="en-US"/>
        </w:rPr>
        <w:t>Key Design Terminology</w:t>
      </w:r>
    </w:p>
    <w:p w14:paraId="3949711C" w14:textId="77777777" w:rsidR="002E3197" w:rsidRDefault="002E3197" w:rsidP="003B5E83">
      <w:pPr>
        <w:rPr>
          <w:rFonts w:asciiTheme="minorHAnsi" w:eastAsia="Times New Roman" w:hAnsiTheme="minorHAnsi"/>
          <w:lang w:eastAsia="en-US"/>
        </w:rPr>
      </w:pPr>
      <w:r w:rsidRPr="002E3197">
        <w:rPr>
          <w:rFonts w:asciiTheme="minorHAnsi" w:eastAsia="Times New Roman" w:hAnsiTheme="minorHAnsi"/>
          <w:b/>
          <w:i/>
          <w:lang w:eastAsia="en-US"/>
        </w:rPr>
        <w:t>Experiment</w:t>
      </w:r>
      <w:r>
        <w:rPr>
          <w:rFonts w:asciiTheme="minorHAnsi" w:eastAsia="Times New Roman" w:hAnsiTheme="minorHAnsi"/>
          <w:lang w:eastAsia="en-US"/>
        </w:rPr>
        <w:t xml:space="preserve"> – </w:t>
      </w:r>
      <w:r w:rsidRPr="003B5E83">
        <w:rPr>
          <w:rFonts w:asciiTheme="minorHAnsi" w:eastAsia="Times New Roman" w:hAnsiTheme="minorHAnsi"/>
          <w:lang w:eastAsia="en-US"/>
        </w:rPr>
        <w:t xml:space="preserve">The </w:t>
      </w:r>
      <w:r w:rsidRPr="003B5E83">
        <w:rPr>
          <w:rFonts w:asciiTheme="minorHAnsi" w:eastAsia="Times New Roman" w:hAnsiTheme="minorHAnsi"/>
          <w:i/>
          <w:iCs/>
          <w:lang w:eastAsia="en-US"/>
        </w:rPr>
        <w:t>experiment</w:t>
      </w:r>
      <w:r w:rsidRPr="003B5E83">
        <w:rPr>
          <w:rFonts w:asciiTheme="minorHAnsi" w:eastAsia="Times New Roman" w:hAnsiTheme="minorHAnsi"/>
          <w:lang w:eastAsia="en-US"/>
        </w:rPr>
        <w:t xml:space="preserve"> i</w:t>
      </w:r>
      <w:r>
        <w:rPr>
          <w:rFonts w:asciiTheme="minorHAnsi" w:eastAsia="Times New Roman" w:hAnsiTheme="minorHAnsi"/>
          <w:lang w:eastAsia="en-US"/>
        </w:rPr>
        <w:t xml:space="preserve">s </w:t>
      </w:r>
      <w:r w:rsidR="006D530D">
        <w:rPr>
          <w:rFonts w:asciiTheme="minorHAnsi" w:eastAsia="Times New Roman" w:hAnsiTheme="minorHAnsi"/>
          <w:lang w:eastAsia="en-US"/>
        </w:rPr>
        <w:t xml:space="preserve">composed of </w:t>
      </w:r>
      <w:r w:rsidR="00BB6E88">
        <w:rPr>
          <w:rFonts w:asciiTheme="minorHAnsi" w:eastAsia="Times New Roman" w:hAnsiTheme="minorHAnsi"/>
          <w:lang w:eastAsia="en-US"/>
        </w:rPr>
        <w:t>multiple 90-minute</w:t>
      </w:r>
      <w:r w:rsidR="006D530D">
        <w:rPr>
          <w:rFonts w:asciiTheme="minorHAnsi" w:eastAsia="Times New Roman" w:hAnsiTheme="minorHAnsi"/>
          <w:lang w:eastAsia="en-US"/>
        </w:rPr>
        <w:t xml:space="preserve"> sessions</w:t>
      </w:r>
      <w:r w:rsidRPr="003B5E83">
        <w:rPr>
          <w:rFonts w:asciiTheme="minorHAnsi" w:eastAsia="Times New Roman" w:hAnsiTheme="minorHAnsi"/>
          <w:lang w:eastAsia="en-US"/>
        </w:rPr>
        <w:t>.</w:t>
      </w:r>
      <w:r w:rsidR="00BB6E88">
        <w:rPr>
          <w:rFonts w:asciiTheme="minorHAnsi" w:eastAsia="Times New Roman" w:hAnsiTheme="minorHAnsi"/>
          <w:lang w:eastAsia="en-US"/>
        </w:rPr>
        <w:t xml:space="preserve">  The number of sessions </w:t>
      </w:r>
      <w:r w:rsidR="00C4139D">
        <w:rPr>
          <w:rFonts w:asciiTheme="minorHAnsi" w:eastAsia="Times New Roman" w:hAnsiTheme="minorHAnsi"/>
          <w:lang w:eastAsia="en-US"/>
        </w:rPr>
        <w:t>in an experiment is</w:t>
      </w:r>
      <w:r w:rsidR="00BB6E88">
        <w:rPr>
          <w:rFonts w:asciiTheme="minorHAnsi" w:eastAsia="Times New Roman" w:hAnsiTheme="minorHAnsi"/>
          <w:lang w:eastAsia="en-US"/>
        </w:rPr>
        <w:t xml:space="preserve"> determined by the budget for the project and the statistical power required to test the primary research hypotheses.</w:t>
      </w:r>
    </w:p>
    <w:p w14:paraId="518501EF" w14:textId="77777777" w:rsidR="002E3197" w:rsidRDefault="002E3197" w:rsidP="003B5E83">
      <w:pPr>
        <w:rPr>
          <w:rFonts w:asciiTheme="minorHAnsi" w:eastAsia="Times New Roman" w:hAnsiTheme="minorHAnsi"/>
          <w:lang w:eastAsia="en-US"/>
        </w:rPr>
      </w:pPr>
    </w:p>
    <w:p w14:paraId="76A80197" w14:textId="77777777" w:rsidR="003B5E83" w:rsidRPr="003B5E83" w:rsidRDefault="006A3C28" w:rsidP="003B5E83">
      <w:pPr>
        <w:rPr>
          <w:rFonts w:asciiTheme="minorHAnsi" w:eastAsia="Times New Roman" w:hAnsiTheme="minorHAnsi"/>
          <w:lang w:eastAsia="en-US"/>
        </w:rPr>
      </w:pPr>
      <w:r w:rsidRPr="006A3C28">
        <w:rPr>
          <w:rFonts w:asciiTheme="minorHAnsi" w:eastAsia="Times New Roman" w:hAnsiTheme="minorHAnsi"/>
          <w:b/>
          <w:i/>
          <w:lang w:eastAsia="en-US"/>
        </w:rPr>
        <w:t>Session</w:t>
      </w:r>
      <w:r>
        <w:rPr>
          <w:rFonts w:asciiTheme="minorHAnsi" w:eastAsia="Times New Roman" w:hAnsiTheme="minorHAnsi"/>
          <w:lang w:eastAsia="en-US"/>
        </w:rPr>
        <w:t xml:space="preserve"> – </w:t>
      </w:r>
      <w:r w:rsidR="003B5E83" w:rsidRPr="003B5E83">
        <w:rPr>
          <w:rFonts w:asciiTheme="minorHAnsi" w:eastAsia="Times New Roman" w:hAnsiTheme="minorHAnsi"/>
          <w:lang w:eastAsia="en-US"/>
        </w:rPr>
        <w:t xml:space="preserve">A </w:t>
      </w:r>
      <w:r w:rsidR="003B5E83" w:rsidRPr="003B5E83">
        <w:rPr>
          <w:rFonts w:asciiTheme="minorHAnsi" w:eastAsia="Times New Roman" w:hAnsiTheme="minorHAnsi"/>
          <w:i/>
          <w:iCs/>
          <w:lang w:eastAsia="en-US"/>
        </w:rPr>
        <w:t>session</w:t>
      </w:r>
      <w:r w:rsidR="003B5E83" w:rsidRPr="003B5E83">
        <w:rPr>
          <w:rFonts w:asciiTheme="minorHAnsi" w:eastAsia="Times New Roman" w:hAnsiTheme="minorHAnsi"/>
          <w:lang w:eastAsia="en-US"/>
        </w:rPr>
        <w:t xml:space="preserve"> </w:t>
      </w:r>
      <w:r w:rsidR="00BB6E88">
        <w:rPr>
          <w:rFonts w:asciiTheme="minorHAnsi" w:eastAsia="Times New Roman" w:hAnsiTheme="minorHAnsi"/>
          <w:lang w:eastAsia="en-US"/>
        </w:rPr>
        <w:t>involves on</w:t>
      </w:r>
      <w:r w:rsidR="00FF43DA">
        <w:rPr>
          <w:rFonts w:asciiTheme="minorHAnsi" w:eastAsia="Times New Roman" w:hAnsiTheme="minorHAnsi"/>
          <w:lang w:eastAsia="en-US"/>
        </w:rPr>
        <w:t>e</w:t>
      </w:r>
      <w:r w:rsidR="00BB6E88">
        <w:rPr>
          <w:rFonts w:asciiTheme="minorHAnsi" w:eastAsia="Times New Roman" w:hAnsiTheme="minorHAnsi"/>
          <w:lang w:eastAsia="en-US"/>
        </w:rPr>
        <w:t xml:space="preserve"> group of participants, </w:t>
      </w:r>
      <w:r w:rsidR="003B5E83" w:rsidRPr="003B5E83">
        <w:rPr>
          <w:rFonts w:asciiTheme="minorHAnsi" w:eastAsia="Times New Roman" w:hAnsiTheme="minorHAnsi"/>
          <w:lang w:eastAsia="en-US"/>
        </w:rPr>
        <w:t>starts when we open the doors of t</w:t>
      </w:r>
      <w:r w:rsidR="00D62F91">
        <w:rPr>
          <w:rFonts w:asciiTheme="minorHAnsi" w:eastAsia="Times New Roman" w:hAnsiTheme="minorHAnsi"/>
          <w:lang w:eastAsia="en-US"/>
        </w:rPr>
        <w:t>he lab and ends 90 minutes</w:t>
      </w:r>
      <w:r w:rsidR="003B5E83" w:rsidRPr="003B5E83">
        <w:rPr>
          <w:rFonts w:asciiTheme="minorHAnsi" w:eastAsia="Times New Roman" w:hAnsiTheme="minorHAnsi"/>
          <w:lang w:eastAsia="en-US"/>
        </w:rPr>
        <w:t xml:space="preserve"> later.</w:t>
      </w:r>
      <w:r w:rsidR="00BB6E88">
        <w:rPr>
          <w:rFonts w:asciiTheme="minorHAnsi" w:eastAsia="Times New Roman" w:hAnsiTheme="minorHAnsi"/>
          <w:lang w:eastAsia="en-US"/>
        </w:rPr>
        <w:t xml:space="preserve">  </w:t>
      </w:r>
    </w:p>
    <w:p w14:paraId="265200E8" w14:textId="77777777" w:rsidR="002E3197" w:rsidRDefault="002E3197" w:rsidP="003B5E83">
      <w:pPr>
        <w:rPr>
          <w:rFonts w:asciiTheme="minorHAnsi" w:eastAsia="Times New Roman" w:hAnsiTheme="minorHAnsi"/>
          <w:lang w:eastAsia="en-US"/>
        </w:rPr>
      </w:pPr>
    </w:p>
    <w:p w14:paraId="32F99248" w14:textId="77777777" w:rsidR="003B5E83" w:rsidRPr="003B5E83" w:rsidRDefault="00834ACB" w:rsidP="003B5E83">
      <w:pPr>
        <w:rPr>
          <w:rFonts w:asciiTheme="minorHAnsi" w:eastAsia="Times New Roman" w:hAnsiTheme="minorHAnsi"/>
          <w:lang w:eastAsia="en-US"/>
        </w:rPr>
      </w:pPr>
      <w:r w:rsidRPr="00834ACB">
        <w:rPr>
          <w:rFonts w:asciiTheme="minorHAnsi" w:eastAsia="Times New Roman" w:hAnsiTheme="minorHAnsi"/>
          <w:b/>
          <w:i/>
          <w:lang w:eastAsia="en-US"/>
        </w:rPr>
        <w:t>Treatment</w:t>
      </w:r>
      <w:r>
        <w:rPr>
          <w:rFonts w:asciiTheme="minorHAnsi" w:eastAsia="Times New Roman" w:hAnsiTheme="minorHAnsi"/>
          <w:lang w:eastAsia="en-US"/>
        </w:rPr>
        <w:t xml:space="preserve"> – </w:t>
      </w:r>
      <w:r w:rsidR="00BB6E88">
        <w:rPr>
          <w:rFonts w:asciiTheme="minorHAnsi" w:eastAsia="Times New Roman" w:hAnsiTheme="minorHAnsi"/>
          <w:lang w:eastAsia="en-US"/>
        </w:rPr>
        <w:t>A</w:t>
      </w:r>
      <w:r w:rsidR="003B5E83" w:rsidRPr="003B5E83">
        <w:rPr>
          <w:rFonts w:asciiTheme="minorHAnsi" w:eastAsia="Times New Roman" w:hAnsiTheme="minorHAnsi"/>
          <w:lang w:eastAsia="en-US"/>
        </w:rPr>
        <w:t xml:space="preserve"> </w:t>
      </w:r>
      <w:r w:rsidR="003B5E83" w:rsidRPr="003B5E83">
        <w:rPr>
          <w:rFonts w:asciiTheme="minorHAnsi" w:eastAsia="Times New Roman" w:hAnsiTheme="minorHAnsi"/>
          <w:i/>
          <w:iCs/>
          <w:lang w:eastAsia="en-US"/>
        </w:rPr>
        <w:t>treatment</w:t>
      </w:r>
      <w:r w:rsidR="00C4139D">
        <w:rPr>
          <w:rFonts w:asciiTheme="minorHAnsi" w:eastAsia="Times New Roman" w:hAnsiTheme="minorHAnsi"/>
          <w:iCs/>
          <w:lang w:eastAsia="en-US"/>
        </w:rPr>
        <w:t>, for the purposes of this experiment,</w:t>
      </w:r>
      <w:r w:rsidR="003B5E83" w:rsidRPr="003B5E83">
        <w:rPr>
          <w:rFonts w:asciiTheme="minorHAnsi" w:eastAsia="Times New Roman" w:hAnsiTheme="minorHAnsi"/>
          <w:lang w:eastAsia="en-US"/>
        </w:rPr>
        <w:t xml:space="preserve"> </w:t>
      </w:r>
      <w:r w:rsidR="00BB6E88">
        <w:rPr>
          <w:rFonts w:asciiTheme="minorHAnsi" w:eastAsia="Times New Roman" w:hAnsiTheme="minorHAnsi"/>
          <w:lang w:eastAsia="en-US"/>
        </w:rPr>
        <w:t xml:space="preserve">is a particular auction structure (design).  During each session the participants will participate in at least three different treatments, or types of auctions.  Each treatment </w:t>
      </w:r>
      <w:r w:rsidR="003B5E83" w:rsidRPr="003B5E83">
        <w:rPr>
          <w:rFonts w:asciiTheme="minorHAnsi" w:eastAsia="Times New Roman" w:hAnsiTheme="minorHAnsi"/>
          <w:lang w:eastAsia="en-US"/>
        </w:rPr>
        <w:t xml:space="preserve">will consist of several rounds of </w:t>
      </w:r>
      <w:r w:rsidR="00BB6E88">
        <w:rPr>
          <w:rFonts w:asciiTheme="minorHAnsi" w:eastAsia="Times New Roman" w:hAnsiTheme="minorHAnsi"/>
          <w:lang w:eastAsia="en-US"/>
        </w:rPr>
        <w:t>that</w:t>
      </w:r>
      <w:r w:rsidR="003B5E83" w:rsidRPr="003B5E83">
        <w:rPr>
          <w:rFonts w:asciiTheme="minorHAnsi" w:eastAsia="Times New Roman" w:hAnsiTheme="minorHAnsi"/>
          <w:lang w:eastAsia="en-US"/>
        </w:rPr>
        <w:t xml:space="preserve"> type of auction.</w:t>
      </w:r>
      <w:r w:rsidR="00BB6E88">
        <w:rPr>
          <w:rFonts w:asciiTheme="minorHAnsi" w:eastAsia="Times New Roman" w:hAnsiTheme="minorHAnsi"/>
          <w:lang w:eastAsia="en-US"/>
        </w:rPr>
        <w:t xml:space="preserve">  For example, if there are three treatments and each treatment has five rounds, then a given session would consist of 15 </w:t>
      </w:r>
      <w:r w:rsidR="000151A6">
        <w:rPr>
          <w:rFonts w:asciiTheme="minorHAnsi" w:eastAsia="Times New Roman" w:hAnsiTheme="minorHAnsi"/>
          <w:lang w:eastAsia="en-US"/>
        </w:rPr>
        <w:t xml:space="preserve">total rounds, implying that each round would take about </w:t>
      </w:r>
      <w:r w:rsidR="0093206F">
        <w:rPr>
          <w:rFonts w:asciiTheme="minorHAnsi" w:eastAsia="Times New Roman" w:hAnsiTheme="minorHAnsi"/>
          <w:lang w:eastAsia="en-US"/>
        </w:rPr>
        <w:t>five minutes, leaving 15 minutes to provide participants with information about how the different auctions and the payoff structure operate.</w:t>
      </w:r>
    </w:p>
    <w:p w14:paraId="2B6DB15E" w14:textId="77777777" w:rsidR="003B5E83" w:rsidRDefault="003B5E83" w:rsidP="003B5E83">
      <w:pPr>
        <w:rPr>
          <w:rFonts w:asciiTheme="minorHAnsi" w:eastAsia="Times New Roman" w:hAnsiTheme="minorHAnsi"/>
          <w:lang w:eastAsia="en-US"/>
        </w:rPr>
      </w:pPr>
    </w:p>
    <w:p w14:paraId="2A3A3B7E" w14:textId="77777777" w:rsidR="00BB6E88" w:rsidRDefault="00BB6E88" w:rsidP="00BB6E88">
      <w:pPr>
        <w:rPr>
          <w:rFonts w:asciiTheme="minorHAnsi" w:eastAsia="Times New Roman" w:hAnsiTheme="minorHAnsi"/>
          <w:lang w:eastAsia="en-US"/>
        </w:rPr>
      </w:pPr>
      <w:r w:rsidRPr="007D147F">
        <w:rPr>
          <w:rFonts w:asciiTheme="minorHAnsi" w:eastAsia="Times New Roman" w:hAnsiTheme="minorHAnsi"/>
          <w:b/>
          <w:i/>
          <w:lang w:eastAsia="en-US"/>
        </w:rPr>
        <w:t>Round</w:t>
      </w:r>
      <w:r>
        <w:rPr>
          <w:rFonts w:asciiTheme="minorHAnsi" w:eastAsia="Times New Roman" w:hAnsiTheme="minorHAnsi"/>
          <w:lang w:eastAsia="en-US"/>
        </w:rPr>
        <w:t xml:space="preserve"> – </w:t>
      </w:r>
      <w:r w:rsidRPr="003B5E83">
        <w:rPr>
          <w:rFonts w:asciiTheme="minorHAnsi" w:eastAsia="Times New Roman" w:hAnsiTheme="minorHAnsi"/>
          <w:lang w:eastAsia="en-US"/>
        </w:rPr>
        <w:t xml:space="preserve">There will be multiple auctions, or </w:t>
      </w:r>
      <w:r w:rsidRPr="003B5E83">
        <w:rPr>
          <w:rFonts w:asciiTheme="minorHAnsi" w:eastAsia="Times New Roman" w:hAnsiTheme="minorHAnsi"/>
          <w:i/>
          <w:iCs/>
          <w:lang w:eastAsia="en-US"/>
        </w:rPr>
        <w:t>rounds</w:t>
      </w:r>
      <w:r w:rsidRPr="003B5E83">
        <w:rPr>
          <w:rFonts w:asciiTheme="minorHAnsi" w:eastAsia="Times New Roman" w:hAnsiTheme="minorHAnsi"/>
          <w:lang w:eastAsia="en-US"/>
        </w:rPr>
        <w:t xml:space="preserve"> in each session.</w:t>
      </w:r>
      <w:r w:rsidR="0093206F">
        <w:rPr>
          <w:rFonts w:asciiTheme="minorHAnsi" w:eastAsia="Times New Roman" w:hAnsiTheme="minorHAnsi"/>
          <w:lang w:eastAsia="en-US"/>
        </w:rPr>
        <w:t xml:space="preserve">  More rounds per treatment will allow for individual</w:t>
      </w:r>
      <w:r w:rsidR="00217DF7">
        <w:rPr>
          <w:rFonts w:asciiTheme="minorHAnsi" w:eastAsia="Times New Roman" w:hAnsiTheme="minorHAnsi"/>
          <w:lang w:eastAsia="en-US"/>
        </w:rPr>
        <w:t>s</w:t>
      </w:r>
      <w:r w:rsidR="0093206F">
        <w:rPr>
          <w:rFonts w:asciiTheme="minorHAnsi" w:eastAsia="Times New Roman" w:hAnsiTheme="minorHAnsi"/>
          <w:lang w:eastAsia="en-US"/>
        </w:rPr>
        <w:t xml:space="preserve"> to learn about both the incentive structure in each treatment as well as to update their beliefs about the distribution of valuation among the other participants in each auction.  However, more r</w:t>
      </w:r>
      <w:r w:rsidR="009A7FCF">
        <w:rPr>
          <w:rFonts w:asciiTheme="minorHAnsi" w:eastAsia="Times New Roman" w:hAnsiTheme="minorHAnsi"/>
          <w:lang w:eastAsia="en-US"/>
        </w:rPr>
        <w:t xml:space="preserve">ounds per treatment also limit </w:t>
      </w:r>
      <w:r w:rsidR="0093206F">
        <w:rPr>
          <w:rFonts w:asciiTheme="minorHAnsi" w:eastAsia="Times New Roman" w:hAnsiTheme="minorHAnsi"/>
          <w:lang w:eastAsia="en-US"/>
        </w:rPr>
        <w:t>the number of treatments that can be included per session.</w:t>
      </w:r>
    </w:p>
    <w:p w14:paraId="17090A2C" w14:textId="77777777" w:rsidR="007B651C" w:rsidRDefault="007B651C" w:rsidP="00BB6E88">
      <w:pPr>
        <w:rPr>
          <w:rFonts w:asciiTheme="minorHAnsi" w:eastAsia="Times New Roman" w:hAnsiTheme="minorHAnsi"/>
          <w:lang w:eastAsia="en-US"/>
        </w:rPr>
      </w:pPr>
    </w:p>
    <w:p w14:paraId="50D7F2B4" w14:textId="77777777" w:rsidR="007B651C" w:rsidRPr="007B651C" w:rsidRDefault="007B651C" w:rsidP="00BB6E88">
      <w:pPr>
        <w:rPr>
          <w:rFonts w:asciiTheme="minorHAnsi" w:eastAsia="Times New Roman" w:hAnsiTheme="minorHAnsi"/>
          <w:b/>
          <w:i/>
          <w:lang w:eastAsia="en-US"/>
        </w:rPr>
      </w:pPr>
      <w:r>
        <w:rPr>
          <w:b/>
          <w:i/>
          <w:lang w:eastAsia="en-US"/>
        </w:rPr>
        <w:t>I</w:t>
      </w:r>
      <w:r w:rsidRPr="007B651C">
        <w:rPr>
          <w:b/>
          <w:i/>
          <w:lang w:eastAsia="en-US"/>
        </w:rPr>
        <w:t>nformation rents</w:t>
      </w:r>
      <w:r>
        <w:rPr>
          <w:b/>
          <w:i/>
          <w:lang w:eastAsia="en-US"/>
        </w:rPr>
        <w:t xml:space="preserve">: </w:t>
      </w:r>
      <w:r w:rsidRPr="007B651C">
        <w:rPr>
          <w:rFonts w:asciiTheme="minorHAnsi" w:hAnsiTheme="minorHAnsi" w:cs="Helvetica"/>
          <w:color w:val="1C1C1C"/>
          <w:lang w:eastAsia="en-US"/>
        </w:rPr>
        <w:t xml:space="preserve">Participants within the experiment may learn how to use the information they acquire strategically to receive a rental payment in excess of their costs. – </w:t>
      </w:r>
      <w:r>
        <w:rPr>
          <w:rFonts w:asciiTheme="minorHAnsi" w:hAnsiTheme="minorHAnsi" w:cs="Helvetica"/>
          <w:color w:val="1C1C1C"/>
          <w:lang w:eastAsia="en-US"/>
        </w:rPr>
        <w:t xml:space="preserve">in excess over a </w:t>
      </w:r>
      <w:r w:rsidRPr="007B651C">
        <w:rPr>
          <w:rFonts w:asciiTheme="minorHAnsi" w:hAnsiTheme="minorHAnsi" w:cs="Helvetica"/>
          <w:color w:val="1C1C1C"/>
          <w:lang w:eastAsia="en-US"/>
        </w:rPr>
        <w:t>normal market</w:t>
      </w:r>
      <w:r>
        <w:rPr>
          <w:rFonts w:asciiTheme="minorHAnsi" w:hAnsiTheme="minorHAnsi" w:cs="Helvetica"/>
          <w:color w:val="1C1C1C"/>
          <w:lang w:eastAsia="en-US"/>
        </w:rPr>
        <w:t xml:space="preserve"> rent</w:t>
      </w:r>
      <w:r w:rsidRPr="007B651C">
        <w:rPr>
          <w:rFonts w:asciiTheme="minorHAnsi" w:hAnsiTheme="minorHAnsi" w:cs="Helvetica"/>
          <w:color w:val="1C1C1C"/>
          <w:lang w:eastAsia="en-US"/>
        </w:rPr>
        <w:t>.  This information rent will increase the cost to the buyer in the auction.</w:t>
      </w:r>
      <w:r>
        <w:rPr>
          <w:rFonts w:ascii="Helvetica" w:hAnsi="Helvetica" w:cs="Helvetica"/>
          <w:color w:val="1C1C1C"/>
          <w:sz w:val="28"/>
          <w:szCs w:val="28"/>
          <w:lang w:eastAsia="en-US"/>
        </w:rPr>
        <w:t xml:space="preserve"> </w:t>
      </w:r>
    </w:p>
    <w:p w14:paraId="0786D07D" w14:textId="77777777" w:rsidR="00BB6E88" w:rsidRDefault="00BB6E88" w:rsidP="00BB6E88">
      <w:pPr>
        <w:rPr>
          <w:rFonts w:asciiTheme="minorHAnsi" w:eastAsia="Times New Roman" w:hAnsiTheme="minorHAnsi"/>
          <w:lang w:eastAsia="en-US"/>
        </w:rPr>
      </w:pPr>
    </w:p>
    <w:p w14:paraId="59F910DE" w14:textId="77777777" w:rsidR="007D3E37" w:rsidRPr="003B5E83" w:rsidRDefault="00323862" w:rsidP="007D3E37">
      <w:pPr>
        <w:pStyle w:val="Heading2"/>
        <w:rPr>
          <w:rFonts w:eastAsia="Times New Roman"/>
          <w:lang w:eastAsia="en-US"/>
        </w:rPr>
      </w:pPr>
      <w:r>
        <w:rPr>
          <w:rFonts w:eastAsia="Times New Roman"/>
          <w:lang w:eastAsia="en-US"/>
        </w:rPr>
        <w:t>Experiment s</w:t>
      </w:r>
      <w:r w:rsidR="007D3E37">
        <w:rPr>
          <w:rFonts w:eastAsia="Times New Roman"/>
          <w:lang w:eastAsia="en-US"/>
        </w:rPr>
        <w:t>tructure</w:t>
      </w:r>
    </w:p>
    <w:p w14:paraId="4308FD19" w14:textId="77777777" w:rsidR="00323862" w:rsidRDefault="00323862" w:rsidP="003B5E83">
      <w:pPr>
        <w:pStyle w:val="ListParagraph"/>
        <w:numPr>
          <w:ilvl w:val="0"/>
          <w:numId w:val="1"/>
        </w:numPr>
        <w:spacing w:after="240"/>
        <w:rPr>
          <w:rFonts w:asciiTheme="minorHAnsi" w:eastAsia="Times New Roman" w:hAnsiTheme="minorHAnsi"/>
          <w:lang w:eastAsia="en-US"/>
        </w:rPr>
      </w:pPr>
      <w:r>
        <w:rPr>
          <w:rFonts w:asciiTheme="minorHAnsi" w:eastAsia="Times New Roman" w:hAnsiTheme="minorHAnsi"/>
          <w:lang w:eastAsia="en-US"/>
        </w:rPr>
        <w:t>Z-tree interface with internet administration</w:t>
      </w:r>
    </w:p>
    <w:p w14:paraId="4AE289DD" w14:textId="77777777" w:rsidR="002E5963" w:rsidRDefault="00BF3769" w:rsidP="003B5E83">
      <w:pPr>
        <w:pStyle w:val="ListParagraph"/>
        <w:numPr>
          <w:ilvl w:val="0"/>
          <w:numId w:val="1"/>
        </w:numPr>
        <w:spacing w:after="240"/>
        <w:rPr>
          <w:rFonts w:asciiTheme="minorHAnsi" w:eastAsia="Times New Roman" w:hAnsiTheme="minorHAnsi"/>
          <w:lang w:eastAsia="en-US"/>
        </w:rPr>
      </w:pPr>
      <w:r>
        <w:rPr>
          <w:rFonts w:asciiTheme="minorHAnsi" w:eastAsia="Times New Roman" w:hAnsiTheme="minorHAnsi"/>
          <w:lang w:eastAsia="en-US"/>
        </w:rPr>
        <w:lastRenderedPageBreak/>
        <w:t xml:space="preserve">12 experimental sessions, </w:t>
      </w:r>
      <w:r w:rsidR="007D3E37" w:rsidRPr="007D3E37">
        <w:rPr>
          <w:rFonts w:asciiTheme="minorHAnsi" w:eastAsia="Times New Roman" w:hAnsiTheme="minorHAnsi"/>
          <w:lang w:eastAsia="en-US"/>
        </w:rPr>
        <w:t>16 participants per session</w:t>
      </w:r>
    </w:p>
    <w:p w14:paraId="6FCFBEB2" w14:textId="07144EE7" w:rsidR="007D3E37" w:rsidRPr="009A7FCF" w:rsidRDefault="00C4139D" w:rsidP="003B5E83">
      <w:pPr>
        <w:pStyle w:val="ListParagraph"/>
        <w:numPr>
          <w:ilvl w:val="0"/>
          <w:numId w:val="1"/>
        </w:numPr>
        <w:spacing w:after="240"/>
        <w:rPr>
          <w:rFonts w:asciiTheme="minorHAnsi" w:eastAsia="Times New Roman" w:hAnsiTheme="minorHAnsi"/>
          <w:lang w:eastAsia="en-US"/>
        </w:rPr>
      </w:pPr>
      <w:r>
        <w:rPr>
          <w:rFonts w:asciiTheme="minorHAnsi" w:eastAsia="Times New Roman" w:hAnsiTheme="minorHAnsi"/>
          <w:lang w:eastAsia="en-US"/>
        </w:rPr>
        <w:t xml:space="preserve">3 </w:t>
      </w:r>
      <w:r w:rsidR="002E5963">
        <w:rPr>
          <w:rFonts w:asciiTheme="minorHAnsi" w:eastAsia="Times New Roman" w:hAnsiTheme="minorHAnsi"/>
          <w:lang w:eastAsia="en-US"/>
        </w:rPr>
        <w:t>treatments per session up to 15 rounds</w:t>
      </w:r>
      <w:r>
        <w:rPr>
          <w:rFonts w:asciiTheme="minorHAnsi" w:eastAsia="Times New Roman" w:hAnsiTheme="minorHAnsi"/>
          <w:lang w:eastAsia="en-US"/>
        </w:rPr>
        <w:t xml:space="preserve"> (based on pretesting, we predict an average of 12 rounds of each treatment, but subjects </w:t>
      </w:r>
      <w:r w:rsidR="00C62890">
        <w:rPr>
          <w:rFonts w:asciiTheme="minorHAnsi" w:eastAsia="Times New Roman" w:hAnsiTheme="minorHAnsi"/>
          <w:lang w:eastAsia="en-US"/>
        </w:rPr>
        <w:t xml:space="preserve">in different </w:t>
      </w:r>
      <w:r>
        <w:rPr>
          <w:rFonts w:asciiTheme="minorHAnsi" w:eastAsia="Times New Roman" w:hAnsiTheme="minorHAnsi"/>
          <w:lang w:eastAsia="en-US"/>
        </w:rPr>
        <w:t>sessions often proceed at different speeds, making 15 rounds possible in some circumstances; in all cases we will maintain a 90 minute maximum experiment time</w:t>
      </w:r>
      <w:r w:rsidR="00C62890">
        <w:rPr>
          <w:rFonts w:asciiTheme="minorHAnsi" w:eastAsia="Times New Roman" w:hAnsiTheme="minorHAnsi"/>
          <w:lang w:eastAsia="en-US"/>
        </w:rPr>
        <w:t>.</w:t>
      </w:r>
    </w:p>
    <w:p w14:paraId="0FD3A396" w14:textId="77777777" w:rsidR="00EC1A78" w:rsidRPr="007D3E37" w:rsidRDefault="00EC1A78" w:rsidP="00EC1A78">
      <w:pPr>
        <w:pStyle w:val="ListParagraph"/>
        <w:numPr>
          <w:ilvl w:val="0"/>
          <w:numId w:val="1"/>
        </w:numPr>
        <w:spacing w:after="240"/>
        <w:rPr>
          <w:rFonts w:asciiTheme="minorHAnsi" w:eastAsia="Times New Roman" w:hAnsiTheme="minorHAnsi"/>
          <w:lang w:eastAsia="en-US"/>
        </w:rPr>
      </w:pPr>
      <w:r>
        <w:rPr>
          <w:rFonts w:asciiTheme="minorHAnsi" w:eastAsia="Times New Roman" w:hAnsiTheme="minorHAnsi"/>
          <w:lang w:eastAsia="en-US"/>
        </w:rPr>
        <w:t>Random order of treatment</w:t>
      </w:r>
      <w:r w:rsidR="00EF6FD9">
        <w:rPr>
          <w:rFonts w:asciiTheme="minorHAnsi" w:eastAsia="Times New Roman" w:hAnsiTheme="minorHAnsi"/>
          <w:lang w:eastAsia="en-US"/>
        </w:rPr>
        <w:t xml:space="preserve"> within session</w:t>
      </w:r>
    </w:p>
    <w:p w14:paraId="45375AC7" w14:textId="77777777" w:rsidR="00323862" w:rsidRDefault="00323862" w:rsidP="003B5E83">
      <w:pPr>
        <w:pStyle w:val="ListParagraph"/>
        <w:numPr>
          <w:ilvl w:val="0"/>
          <w:numId w:val="1"/>
        </w:numPr>
        <w:spacing w:after="240"/>
        <w:rPr>
          <w:rFonts w:asciiTheme="minorHAnsi" w:eastAsia="Times New Roman" w:hAnsiTheme="minorHAnsi"/>
          <w:lang w:eastAsia="en-US"/>
        </w:rPr>
      </w:pPr>
      <w:r>
        <w:rPr>
          <w:rFonts w:asciiTheme="minorHAnsi" w:eastAsia="Times New Roman" w:hAnsiTheme="minorHAnsi"/>
          <w:lang w:eastAsia="en-US"/>
        </w:rPr>
        <w:t>Total of 5 treatments to be tested</w:t>
      </w:r>
    </w:p>
    <w:p w14:paraId="77A2615A" w14:textId="77777777" w:rsidR="00323862" w:rsidRDefault="00323862" w:rsidP="00322AA5">
      <w:pPr>
        <w:pStyle w:val="ListParagraph"/>
        <w:numPr>
          <w:ilvl w:val="1"/>
          <w:numId w:val="2"/>
        </w:numPr>
        <w:spacing w:after="240"/>
        <w:rPr>
          <w:rFonts w:asciiTheme="minorHAnsi" w:eastAsia="Times New Roman" w:hAnsiTheme="minorHAnsi"/>
          <w:lang w:eastAsia="en-US"/>
        </w:rPr>
      </w:pPr>
      <w:r>
        <w:rPr>
          <w:rFonts w:asciiTheme="minorHAnsi" w:eastAsia="Times New Roman" w:hAnsiTheme="minorHAnsi"/>
          <w:lang w:eastAsia="en-US"/>
        </w:rPr>
        <w:t>Baseline (tight bid cap)</w:t>
      </w:r>
    </w:p>
    <w:p w14:paraId="2B7DAA77" w14:textId="77777777" w:rsidR="00323862" w:rsidRDefault="00323862" w:rsidP="00322AA5">
      <w:pPr>
        <w:pStyle w:val="ListParagraph"/>
        <w:numPr>
          <w:ilvl w:val="1"/>
          <w:numId w:val="2"/>
        </w:numPr>
        <w:spacing w:after="240"/>
        <w:rPr>
          <w:rFonts w:asciiTheme="minorHAnsi" w:eastAsia="Times New Roman" w:hAnsiTheme="minorHAnsi"/>
          <w:lang w:eastAsia="en-US"/>
        </w:rPr>
      </w:pPr>
      <w:r>
        <w:rPr>
          <w:rFonts w:asciiTheme="minorHAnsi" w:eastAsia="Times New Roman" w:hAnsiTheme="minorHAnsi"/>
          <w:lang w:eastAsia="en-US"/>
        </w:rPr>
        <w:t>Loose cap</w:t>
      </w:r>
    </w:p>
    <w:p w14:paraId="0F0158F2" w14:textId="77777777" w:rsidR="00323862" w:rsidRDefault="00323862" w:rsidP="00322AA5">
      <w:pPr>
        <w:pStyle w:val="ListParagraph"/>
        <w:numPr>
          <w:ilvl w:val="1"/>
          <w:numId w:val="2"/>
        </w:numPr>
        <w:spacing w:after="240"/>
        <w:rPr>
          <w:rFonts w:asciiTheme="minorHAnsi" w:eastAsia="Times New Roman" w:hAnsiTheme="minorHAnsi"/>
          <w:lang w:eastAsia="en-US"/>
        </w:rPr>
      </w:pPr>
      <w:r>
        <w:rPr>
          <w:rFonts w:asciiTheme="minorHAnsi" w:eastAsia="Times New Roman" w:hAnsiTheme="minorHAnsi"/>
          <w:lang w:eastAsia="en-US"/>
        </w:rPr>
        <w:t>Reference price</w:t>
      </w:r>
    </w:p>
    <w:p w14:paraId="41BDFADB" w14:textId="77777777" w:rsidR="00323862" w:rsidRDefault="00323862" w:rsidP="00322AA5">
      <w:pPr>
        <w:pStyle w:val="ListParagraph"/>
        <w:numPr>
          <w:ilvl w:val="1"/>
          <w:numId w:val="2"/>
        </w:numPr>
        <w:spacing w:after="240"/>
        <w:rPr>
          <w:rFonts w:asciiTheme="minorHAnsi" w:eastAsia="Times New Roman" w:hAnsiTheme="minorHAnsi"/>
          <w:lang w:eastAsia="en-US"/>
        </w:rPr>
      </w:pPr>
      <w:r>
        <w:rPr>
          <w:rFonts w:asciiTheme="minorHAnsi" w:eastAsia="Times New Roman" w:hAnsiTheme="minorHAnsi"/>
          <w:lang w:eastAsia="en-US"/>
        </w:rPr>
        <w:t>Endogenous reference price</w:t>
      </w:r>
    </w:p>
    <w:p w14:paraId="304D6D37" w14:textId="77777777" w:rsidR="00323862" w:rsidRDefault="00322AA5" w:rsidP="00322AA5">
      <w:pPr>
        <w:pStyle w:val="ListParagraph"/>
        <w:numPr>
          <w:ilvl w:val="1"/>
          <w:numId w:val="2"/>
        </w:numPr>
        <w:spacing w:after="240"/>
        <w:rPr>
          <w:rFonts w:asciiTheme="minorHAnsi" w:eastAsia="Times New Roman" w:hAnsiTheme="minorHAnsi"/>
          <w:lang w:eastAsia="en-US"/>
        </w:rPr>
      </w:pPr>
      <w:r>
        <w:rPr>
          <w:rFonts w:asciiTheme="minorHAnsi" w:eastAsia="Times New Roman" w:hAnsiTheme="minorHAnsi"/>
          <w:lang w:eastAsia="en-US"/>
        </w:rPr>
        <w:t>Grouping</w:t>
      </w:r>
    </w:p>
    <w:p w14:paraId="25639FAA" w14:textId="77777777" w:rsidR="00E877D5" w:rsidRDefault="00E877D5" w:rsidP="00E877D5">
      <w:pPr>
        <w:pStyle w:val="ListParagraph"/>
        <w:numPr>
          <w:ilvl w:val="0"/>
          <w:numId w:val="2"/>
        </w:numPr>
      </w:pPr>
    </w:p>
    <w:tbl>
      <w:tblPr>
        <w:tblW w:w="8179" w:type="dxa"/>
        <w:tblInd w:w="659" w:type="dxa"/>
        <w:tblLook w:val="04A0" w:firstRow="1" w:lastRow="0" w:firstColumn="1" w:lastColumn="0" w:noHBand="0" w:noVBand="1"/>
      </w:tblPr>
      <w:tblGrid>
        <w:gridCol w:w="881"/>
        <w:gridCol w:w="1263"/>
        <w:gridCol w:w="1788"/>
        <w:gridCol w:w="1474"/>
        <w:gridCol w:w="1342"/>
        <w:gridCol w:w="1431"/>
      </w:tblGrid>
      <w:tr w:rsidR="00E877D5" w:rsidRPr="00DD4A7E" w14:paraId="2C56B2CC" w14:textId="77777777" w:rsidTr="003E150F">
        <w:trPr>
          <w:trHeight w:val="300"/>
        </w:trPr>
        <w:tc>
          <w:tcPr>
            <w:tcW w:w="8179"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9F0F793" w14:textId="77777777" w:rsidR="00E877D5" w:rsidRPr="00DD4A7E" w:rsidRDefault="00E877D5" w:rsidP="003E150F">
            <w:pPr>
              <w:jc w:val="center"/>
              <w:rPr>
                <w:b/>
                <w:bCs/>
                <w:color w:val="000000"/>
              </w:rPr>
            </w:pPr>
            <w:r w:rsidRPr="00DD4A7E">
              <w:rPr>
                <w:b/>
                <w:bCs/>
                <w:color w:val="000000"/>
              </w:rPr>
              <w:t>Table 1. Experimental Design</w:t>
            </w:r>
          </w:p>
        </w:tc>
      </w:tr>
      <w:tr w:rsidR="00E877D5" w:rsidRPr="00DD4A7E" w14:paraId="05B35238" w14:textId="77777777" w:rsidTr="003E150F">
        <w:trPr>
          <w:trHeight w:val="585"/>
        </w:trPr>
        <w:tc>
          <w:tcPr>
            <w:tcW w:w="881" w:type="dxa"/>
            <w:tcBorders>
              <w:top w:val="nil"/>
              <w:left w:val="single" w:sz="4" w:space="0" w:color="auto"/>
              <w:bottom w:val="single" w:sz="4" w:space="0" w:color="auto"/>
              <w:right w:val="nil"/>
            </w:tcBorders>
            <w:shd w:val="clear" w:color="auto" w:fill="auto"/>
            <w:noWrap/>
            <w:vAlign w:val="bottom"/>
            <w:hideMark/>
          </w:tcPr>
          <w:p w14:paraId="15160145" w14:textId="77777777" w:rsidR="00E877D5" w:rsidRPr="00DD4A7E" w:rsidRDefault="00E877D5" w:rsidP="003E150F">
            <w:pPr>
              <w:rPr>
                <w:color w:val="000000"/>
                <w:sz w:val="22"/>
                <w:szCs w:val="22"/>
              </w:rPr>
            </w:pPr>
            <w:r w:rsidRPr="00DD4A7E">
              <w:rPr>
                <w:color w:val="000000"/>
                <w:sz w:val="22"/>
                <w:szCs w:val="22"/>
              </w:rPr>
              <w:t>Session</w:t>
            </w:r>
          </w:p>
        </w:tc>
        <w:tc>
          <w:tcPr>
            <w:tcW w:w="1263" w:type="dxa"/>
            <w:tcBorders>
              <w:top w:val="nil"/>
              <w:left w:val="single" w:sz="4" w:space="0" w:color="auto"/>
              <w:bottom w:val="single" w:sz="4" w:space="0" w:color="auto"/>
              <w:right w:val="single" w:sz="4" w:space="0" w:color="auto"/>
            </w:tcBorders>
            <w:shd w:val="clear" w:color="auto" w:fill="auto"/>
            <w:noWrap/>
            <w:vAlign w:val="bottom"/>
            <w:hideMark/>
          </w:tcPr>
          <w:p w14:paraId="083B80A6" w14:textId="77777777" w:rsidR="00E877D5" w:rsidRPr="00DD4A7E" w:rsidRDefault="00E877D5" w:rsidP="003E150F">
            <w:pPr>
              <w:rPr>
                <w:color w:val="000000"/>
                <w:sz w:val="22"/>
                <w:szCs w:val="22"/>
              </w:rPr>
            </w:pPr>
            <w:r w:rsidRPr="00DD4A7E">
              <w:rPr>
                <w:color w:val="000000"/>
                <w:sz w:val="22"/>
                <w:szCs w:val="22"/>
              </w:rPr>
              <w:t>Treatment</w:t>
            </w:r>
            <w:r w:rsidRPr="00DD4A7E">
              <w:rPr>
                <w:color w:val="000000"/>
                <w:sz w:val="22"/>
                <w:szCs w:val="22"/>
                <w:vertAlign w:val="superscript"/>
              </w:rPr>
              <w:t>*</w:t>
            </w:r>
          </w:p>
        </w:tc>
        <w:tc>
          <w:tcPr>
            <w:tcW w:w="1788" w:type="dxa"/>
            <w:tcBorders>
              <w:top w:val="nil"/>
              <w:left w:val="nil"/>
              <w:bottom w:val="single" w:sz="4" w:space="0" w:color="auto"/>
              <w:right w:val="nil"/>
            </w:tcBorders>
            <w:shd w:val="clear" w:color="auto" w:fill="auto"/>
            <w:vAlign w:val="bottom"/>
            <w:hideMark/>
          </w:tcPr>
          <w:p w14:paraId="6DC305D7" w14:textId="77777777" w:rsidR="00E877D5" w:rsidRPr="00DD4A7E" w:rsidRDefault="00E877D5" w:rsidP="003E150F">
            <w:pPr>
              <w:rPr>
                <w:color w:val="000000"/>
              </w:rPr>
            </w:pPr>
            <w:r w:rsidRPr="00DD4A7E">
              <w:rPr>
                <w:color w:val="000000"/>
              </w:rPr>
              <w:t>Average # of rounds per treatment</w:t>
            </w:r>
          </w:p>
        </w:tc>
        <w:tc>
          <w:tcPr>
            <w:tcW w:w="1474" w:type="dxa"/>
            <w:tcBorders>
              <w:top w:val="nil"/>
              <w:left w:val="single" w:sz="4" w:space="0" w:color="auto"/>
              <w:bottom w:val="single" w:sz="4" w:space="0" w:color="auto"/>
              <w:right w:val="single" w:sz="4" w:space="0" w:color="auto"/>
            </w:tcBorders>
            <w:shd w:val="clear" w:color="auto" w:fill="auto"/>
            <w:vAlign w:val="bottom"/>
            <w:hideMark/>
          </w:tcPr>
          <w:p w14:paraId="6DC40961" w14:textId="77777777" w:rsidR="00E877D5" w:rsidRPr="00DD4A7E" w:rsidRDefault="00E877D5" w:rsidP="003E150F">
            <w:pPr>
              <w:rPr>
                <w:color w:val="000000"/>
                <w:sz w:val="22"/>
                <w:szCs w:val="22"/>
              </w:rPr>
            </w:pPr>
            <w:r w:rsidRPr="00DD4A7E">
              <w:rPr>
                <w:color w:val="000000"/>
                <w:sz w:val="22"/>
                <w:szCs w:val="22"/>
              </w:rPr>
              <w:t>Max # of rounds per treatment</w:t>
            </w:r>
          </w:p>
        </w:tc>
        <w:tc>
          <w:tcPr>
            <w:tcW w:w="1342" w:type="dxa"/>
            <w:tcBorders>
              <w:top w:val="nil"/>
              <w:left w:val="nil"/>
              <w:bottom w:val="single" w:sz="4" w:space="0" w:color="auto"/>
              <w:right w:val="single" w:sz="4" w:space="0" w:color="auto"/>
            </w:tcBorders>
            <w:shd w:val="clear" w:color="auto" w:fill="auto"/>
            <w:vAlign w:val="bottom"/>
            <w:hideMark/>
          </w:tcPr>
          <w:p w14:paraId="14A8CD3F" w14:textId="11DAB819" w:rsidR="00E877D5" w:rsidRPr="00DD4A7E" w:rsidRDefault="00E877D5" w:rsidP="003E150F">
            <w:pPr>
              <w:rPr>
                <w:color w:val="000000"/>
                <w:sz w:val="22"/>
                <w:szCs w:val="22"/>
              </w:rPr>
            </w:pPr>
            <w:r w:rsidRPr="00DD4A7E">
              <w:rPr>
                <w:color w:val="000000"/>
                <w:sz w:val="22"/>
                <w:szCs w:val="22"/>
              </w:rPr>
              <w:t xml:space="preserve">Time (in </w:t>
            </w:r>
            <w:r w:rsidR="00E606DF" w:rsidRPr="00DD4A7E">
              <w:rPr>
                <w:color w:val="000000"/>
                <w:sz w:val="22"/>
                <w:szCs w:val="22"/>
              </w:rPr>
              <w:t>minutes</w:t>
            </w:r>
            <w:r w:rsidRPr="00DD4A7E">
              <w:rPr>
                <w:color w:val="000000"/>
                <w:sz w:val="22"/>
                <w:szCs w:val="22"/>
              </w:rPr>
              <w:t>)</w:t>
            </w:r>
          </w:p>
        </w:tc>
        <w:tc>
          <w:tcPr>
            <w:tcW w:w="1431" w:type="dxa"/>
            <w:tcBorders>
              <w:top w:val="nil"/>
              <w:left w:val="nil"/>
              <w:bottom w:val="single" w:sz="4" w:space="0" w:color="auto"/>
              <w:right w:val="single" w:sz="4" w:space="0" w:color="auto"/>
            </w:tcBorders>
            <w:shd w:val="clear" w:color="auto" w:fill="auto"/>
            <w:vAlign w:val="bottom"/>
            <w:hideMark/>
          </w:tcPr>
          <w:p w14:paraId="2AD698DE" w14:textId="77777777" w:rsidR="00E877D5" w:rsidRPr="00DD4A7E" w:rsidRDefault="00E877D5" w:rsidP="003E150F">
            <w:pPr>
              <w:rPr>
                <w:color w:val="000000"/>
                <w:sz w:val="22"/>
                <w:szCs w:val="22"/>
              </w:rPr>
            </w:pPr>
            <w:r w:rsidRPr="00DD4A7E">
              <w:rPr>
                <w:color w:val="000000"/>
                <w:sz w:val="22"/>
                <w:szCs w:val="22"/>
              </w:rPr>
              <w:t># of participants</w:t>
            </w:r>
          </w:p>
        </w:tc>
      </w:tr>
      <w:tr w:rsidR="00E877D5" w:rsidRPr="00DD4A7E" w14:paraId="12E62BD4" w14:textId="77777777" w:rsidTr="003E150F">
        <w:trPr>
          <w:trHeight w:val="300"/>
        </w:trPr>
        <w:tc>
          <w:tcPr>
            <w:tcW w:w="881" w:type="dxa"/>
            <w:tcBorders>
              <w:top w:val="nil"/>
              <w:left w:val="single" w:sz="4" w:space="0" w:color="auto"/>
              <w:bottom w:val="nil"/>
              <w:right w:val="nil"/>
            </w:tcBorders>
            <w:shd w:val="clear" w:color="auto" w:fill="auto"/>
            <w:noWrap/>
            <w:vAlign w:val="bottom"/>
            <w:hideMark/>
          </w:tcPr>
          <w:p w14:paraId="4B65F274" w14:textId="77777777" w:rsidR="00E877D5" w:rsidRPr="00DD4A7E" w:rsidRDefault="00E877D5" w:rsidP="003E150F">
            <w:pPr>
              <w:jc w:val="center"/>
              <w:rPr>
                <w:color w:val="000000"/>
                <w:sz w:val="22"/>
                <w:szCs w:val="22"/>
              </w:rPr>
            </w:pPr>
            <w:r w:rsidRPr="00DD4A7E">
              <w:rPr>
                <w:color w:val="000000"/>
                <w:sz w:val="22"/>
                <w:szCs w:val="22"/>
              </w:rPr>
              <w:t>1</w:t>
            </w:r>
          </w:p>
        </w:tc>
        <w:tc>
          <w:tcPr>
            <w:tcW w:w="1263" w:type="dxa"/>
            <w:tcBorders>
              <w:top w:val="nil"/>
              <w:left w:val="single" w:sz="4" w:space="0" w:color="auto"/>
              <w:bottom w:val="nil"/>
              <w:right w:val="single" w:sz="4" w:space="0" w:color="auto"/>
            </w:tcBorders>
            <w:shd w:val="clear" w:color="auto" w:fill="auto"/>
            <w:noWrap/>
            <w:vAlign w:val="bottom"/>
            <w:hideMark/>
          </w:tcPr>
          <w:p w14:paraId="21132A41" w14:textId="77777777" w:rsidR="00E877D5" w:rsidRPr="00DD4A7E" w:rsidRDefault="00E877D5" w:rsidP="003E150F">
            <w:pPr>
              <w:jc w:val="center"/>
              <w:rPr>
                <w:color w:val="000000"/>
                <w:sz w:val="22"/>
                <w:szCs w:val="22"/>
              </w:rPr>
            </w:pPr>
            <w:r w:rsidRPr="00DD4A7E">
              <w:rPr>
                <w:color w:val="000000"/>
                <w:sz w:val="22"/>
                <w:szCs w:val="22"/>
              </w:rPr>
              <w:t>1,2,3</w:t>
            </w:r>
          </w:p>
        </w:tc>
        <w:tc>
          <w:tcPr>
            <w:tcW w:w="1788" w:type="dxa"/>
            <w:tcBorders>
              <w:top w:val="nil"/>
              <w:left w:val="nil"/>
              <w:bottom w:val="nil"/>
              <w:right w:val="nil"/>
            </w:tcBorders>
            <w:shd w:val="clear" w:color="auto" w:fill="auto"/>
            <w:noWrap/>
            <w:vAlign w:val="bottom"/>
            <w:hideMark/>
          </w:tcPr>
          <w:p w14:paraId="7748B87B" w14:textId="77777777" w:rsidR="00E877D5" w:rsidRPr="00DD4A7E" w:rsidRDefault="00E877D5" w:rsidP="003E150F">
            <w:pPr>
              <w:jc w:val="center"/>
              <w:rPr>
                <w:color w:val="000000"/>
              </w:rPr>
            </w:pPr>
            <w:r w:rsidRPr="00DD4A7E">
              <w:rPr>
                <w:color w:val="000000"/>
              </w:rPr>
              <w:t>12</w:t>
            </w:r>
          </w:p>
        </w:tc>
        <w:tc>
          <w:tcPr>
            <w:tcW w:w="1474" w:type="dxa"/>
            <w:tcBorders>
              <w:top w:val="nil"/>
              <w:left w:val="single" w:sz="4" w:space="0" w:color="auto"/>
              <w:bottom w:val="nil"/>
              <w:right w:val="single" w:sz="4" w:space="0" w:color="auto"/>
            </w:tcBorders>
            <w:shd w:val="clear" w:color="auto" w:fill="auto"/>
            <w:noWrap/>
            <w:vAlign w:val="bottom"/>
            <w:hideMark/>
          </w:tcPr>
          <w:p w14:paraId="3BDA41B7" w14:textId="77777777" w:rsidR="00E877D5" w:rsidRPr="00DD4A7E" w:rsidRDefault="00E877D5" w:rsidP="003E150F">
            <w:pPr>
              <w:jc w:val="center"/>
              <w:rPr>
                <w:color w:val="000000"/>
                <w:sz w:val="22"/>
                <w:szCs w:val="22"/>
              </w:rPr>
            </w:pPr>
            <w:r w:rsidRPr="00DD4A7E">
              <w:rPr>
                <w:color w:val="000000"/>
                <w:sz w:val="22"/>
                <w:szCs w:val="22"/>
              </w:rPr>
              <w:t>15</w:t>
            </w:r>
          </w:p>
        </w:tc>
        <w:tc>
          <w:tcPr>
            <w:tcW w:w="1342" w:type="dxa"/>
            <w:tcBorders>
              <w:top w:val="nil"/>
              <w:left w:val="nil"/>
              <w:bottom w:val="nil"/>
              <w:right w:val="single" w:sz="4" w:space="0" w:color="auto"/>
            </w:tcBorders>
            <w:shd w:val="clear" w:color="auto" w:fill="auto"/>
            <w:noWrap/>
            <w:vAlign w:val="bottom"/>
            <w:hideMark/>
          </w:tcPr>
          <w:p w14:paraId="3F17ED36" w14:textId="77777777" w:rsidR="00E877D5" w:rsidRPr="00DD4A7E" w:rsidRDefault="00E877D5" w:rsidP="003E150F">
            <w:pPr>
              <w:jc w:val="center"/>
              <w:rPr>
                <w:color w:val="000000"/>
                <w:sz w:val="22"/>
                <w:szCs w:val="22"/>
              </w:rPr>
            </w:pPr>
            <w:r w:rsidRPr="00DD4A7E">
              <w:rPr>
                <w:color w:val="000000"/>
                <w:sz w:val="22"/>
                <w:szCs w:val="22"/>
              </w:rPr>
              <w:t>90</w:t>
            </w:r>
          </w:p>
        </w:tc>
        <w:tc>
          <w:tcPr>
            <w:tcW w:w="1431" w:type="dxa"/>
            <w:tcBorders>
              <w:top w:val="nil"/>
              <w:left w:val="nil"/>
              <w:bottom w:val="nil"/>
              <w:right w:val="single" w:sz="4" w:space="0" w:color="auto"/>
            </w:tcBorders>
            <w:shd w:val="clear" w:color="auto" w:fill="auto"/>
            <w:noWrap/>
            <w:vAlign w:val="bottom"/>
            <w:hideMark/>
          </w:tcPr>
          <w:p w14:paraId="13F40165" w14:textId="77777777" w:rsidR="00E877D5" w:rsidRPr="00DD4A7E" w:rsidRDefault="00E877D5" w:rsidP="003E150F">
            <w:pPr>
              <w:jc w:val="center"/>
              <w:rPr>
                <w:color w:val="000000"/>
                <w:sz w:val="22"/>
                <w:szCs w:val="22"/>
              </w:rPr>
            </w:pPr>
            <w:r w:rsidRPr="00DD4A7E">
              <w:rPr>
                <w:color w:val="000000"/>
                <w:sz w:val="22"/>
                <w:szCs w:val="22"/>
              </w:rPr>
              <w:t>16</w:t>
            </w:r>
          </w:p>
        </w:tc>
      </w:tr>
      <w:tr w:rsidR="00E877D5" w:rsidRPr="00DD4A7E" w14:paraId="21FB7CC4" w14:textId="77777777" w:rsidTr="003E150F">
        <w:trPr>
          <w:trHeight w:val="300"/>
        </w:trPr>
        <w:tc>
          <w:tcPr>
            <w:tcW w:w="881" w:type="dxa"/>
            <w:tcBorders>
              <w:top w:val="nil"/>
              <w:left w:val="single" w:sz="4" w:space="0" w:color="auto"/>
              <w:bottom w:val="nil"/>
              <w:right w:val="nil"/>
            </w:tcBorders>
            <w:shd w:val="clear" w:color="auto" w:fill="auto"/>
            <w:noWrap/>
            <w:vAlign w:val="bottom"/>
            <w:hideMark/>
          </w:tcPr>
          <w:p w14:paraId="232C16F8" w14:textId="77777777" w:rsidR="00E877D5" w:rsidRPr="00DD4A7E" w:rsidRDefault="00E877D5" w:rsidP="003E150F">
            <w:pPr>
              <w:jc w:val="center"/>
              <w:rPr>
                <w:color w:val="000000"/>
                <w:sz w:val="22"/>
                <w:szCs w:val="22"/>
              </w:rPr>
            </w:pPr>
            <w:r w:rsidRPr="00DD4A7E">
              <w:rPr>
                <w:color w:val="000000"/>
                <w:sz w:val="22"/>
                <w:szCs w:val="22"/>
              </w:rPr>
              <w:t>2</w:t>
            </w:r>
          </w:p>
        </w:tc>
        <w:tc>
          <w:tcPr>
            <w:tcW w:w="1263" w:type="dxa"/>
            <w:tcBorders>
              <w:top w:val="nil"/>
              <w:left w:val="single" w:sz="4" w:space="0" w:color="auto"/>
              <w:bottom w:val="nil"/>
              <w:right w:val="single" w:sz="4" w:space="0" w:color="auto"/>
            </w:tcBorders>
            <w:shd w:val="clear" w:color="auto" w:fill="auto"/>
            <w:noWrap/>
            <w:vAlign w:val="bottom"/>
            <w:hideMark/>
          </w:tcPr>
          <w:p w14:paraId="6D79EF59" w14:textId="77777777" w:rsidR="00E877D5" w:rsidRPr="00DD4A7E" w:rsidRDefault="00E877D5" w:rsidP="003E150F">
            <w:pPr>
              <w:jc w:val="center"/>
              <w:rPr>
                <w:color w:val="000000"/>
                <w:sz w:val="22"/>
                <w:szCs w:val="22"/>
              </w:rPr>
            </w:pPr>
            <w:r w:rsidRPr="00DD4A7E">
              <w:rPr>
                <w:color w:val="000000"/>
                <w:sz w:val="22"/>
                <w:szCs w:val="22"/>
              </w:rPr>
              <w:t>1,2,4</w:t>
            </w:r>
          </w:p>
        </w:tc>
        <w:tc>
          <w:tcPr>
            <w:tcW w:w="1788" w:type="dxa"/>
            <w:tcBorders>
              <w:top w:val="nil"/>
              <w:left w:val="nil"/>
              <w:bottom w:val="nil"/>
              <w:right w:val="nil"/>
            </w:tcBorders>
            <w:shd w:val="clear" w:color="auto" w:fill="auto"/>
            <w:noWrap/>
            <w:vAlign w:val="bottom"/>
            <w:hideMark/>
          </w:tcPr>
          <w:p w14:paraId="79E01F91" w14:textId="77777777" w:rsidR="00E877D5" w:rsidRPr="00DD4A7E" w:rsidRDefault="00E877D5" w:rsidP="003E150F">
            <w:pPr>
              <w:jc w:val="center"/>
              <w:rPr>
                <w:color w:val="000000"/>
              </w:rPr>
            </w:pPr>
            <w:r w:rsidRPr="00DD4A7E">
              <w:rPr>
                <w:color w:val="000000"/>
              </w:rPr>
              <w:t>12</w:t>
            </w:r>
          </w:p>
        </w:tc>
        <w:tc>
          <w:tcPr>
            <w:tcW w:w="1474" w:type="dxa"/>
            <w:tcBorders>
              <w:top w:val="nil"/>
              <w:left w:val="single" w:sz="4" w:space="0" w:color="auto"/>
              <w:bottom w:val="nil"/>
              <w:right w:val="single" w:sz="4" w:space="0" w:color="auto"/>
            </w:tcBorders>
            <w:shd w:val="clear" w:color="auto" w:fill="auto"/>
            <w:noWrap/>
            <w:vAlign w:val="bottom"/>
            <w:hideMark/>
          </w:tcPr>
          <w:p w14:paraId="2627EFCB" w14:textId="77777777" w:rsidR="00E877D5" w:rsidRPr="00DD4A7E" w:rsidRDefault="00E877D5" w:rsidP="003E150F">
            <w:pPr>
              <w:jc w:val="center"/>
              <w:rPr>
                <w:color w:val="000000"/>
                <w:sz w:val="22"/>
                <w:szCs w:val="22"/>
              </w:rPr>
            </w:pPr>
            <w:r w:rsidRPr="00DD4A7E">
              <w:rPr>
                <w:color w:val="000000"/>
                <w:sz w:val="22"/>
                <w:szCs w:val="22"/>
              </w:rPr>
              <w:t>15</w:t>
            </w:r>
          </w:p>
        </w:tc>
        <w:tc>
          <w:tcPr>
            <w:tcW w:w="1342" w:type="dxa"/>
            <w:tcBorders>
              <w:top w:val="nil"/>
              <w:left w:val="nil"/>
              <w:bottom w:val="nil"/>
              <w:right w:val="single" w:sz="4" w:space="0" w:color="auto"/>
            </w:tcBorders>
            <w:shd w:val="clear" w:color="auto" w:fill="auto"/>
            <w:noWrap/>
            <w:vAlign w:val="bottom"/>
            <w:hideMark/>
          </w:tcPr>
          <w:p w14:paraId="65270ACC" w14:textId="77777777" w:rsidR="00E877D5" w:rsidRPr="00DD4A7E" w:rsidRDefault="00E877D5" w:rsidP="003E150F">
            <w:pPr>
              <w:jc w:val="center"/>
              <w:rPr>
                <w:color w:val="000000"/>
                <w:sz w:val="22"/>
                <w:szCs w:val="22"/>
              </w:rPr>
            </w:pPr>
            <w:r w:rsidRPr="00DD4A7E">
              <w:rPr>
                <w:color w:val="000000"/>
                <w:sz w:val="22"/>
                <w:szCs w:val="22"/>
              </w:rPr>
              <w:t>90</w:t>
            </w:r>
          </w:p>
        </w:tc>
        <w:tc>
          <w:tcPr>
            <w:tcW w:w="1431" w:type="dxa"/>
            <w:tcBorders>
              <w:top w:val="nil"/>
              <w:left w:val="nil"/>
              <w:bottom w:val="nil"/>
              <w:right w:val="single" w:sz="4" w:space="0" w:color="auto"/>
            </w:tcBorders>
            <w:shd w:val="clear" w:color="auto" w:fill="auto"/>
            <w:noWrap/>
            <w:vAlign w:val="bottom"/>
            <w:hideMark/>
          </w:tcPr>
          <w:p w14:paraId="25D61BF6" w14:textId="77777777" w:rsidR="00E877D5" w:rsidRPr="00DD4A7E" w:rsidRDefault="00E877D5" w:rsidP="003E150F">
            <w:pPr>
              <w:jc w:val="center"/>
              <w:rPr>
                <w:color w:val="000000"/>
                <w:sz w:val="22"/>
                <w:szCs w:val="22"/>
              </w:rPr>
            </w:pPr>
            <w:r w:rsidRPr="00DD4A7E">
              <w:rPr>
                <w:color w:val="000000"/>
                <w:sz w:val="22"/>
                <w:szCs w:val="22"/>
              </w:rPr>
              <w:t>16</w:t>
            </w:r>
          </w:p>
        </w:tc>
      </w:tr>
      <w:tr w:rsidR="00E877D5" w:rsidRPr="00DD4A7E" w14:paraId="560BD855" w14:textId="77777777" w:rsidTr="003E150F">
        <w:trPr>
          <w:trHeight w:val="300"/>
        </w:trPr>
        <w:tc>
          <w:tcPr>
            <w:tcW w:w="881" w:type="dxa"/>
            <w:tcBorders>
              <w:top w:val="nil"/>
              <w:left w:val="single" w:sz="4" w:space="0" w:color="auto"/>
              <w:bottom w:val="nil"/>
              <w:right w:val="nil"/>
            </w:tcBorders>
            <w:shd w:val="clear" w:color="auto" w:fill="auto"/>
            <w:noWrap/>
            <w:vAlign w:val="bottom"/>
            <w:hideMark/>
          </w:tcPr>
          <w:p w14:paraId="47EE4138" w14:textId="77777777" w:rsidR="00E877D5" w:rsidRPr="00DD4A7E" w:rsidRDefault="00E877D5" w:rsidP="003E150F">
            <w:pPr>
              <w:jc w:val="center"/>
              <w:rPr>
                <w:color w:val="000000"/>
                <w:sz w:val="22"/>
                <w:szCs w:val="22"/>
              </w:rPr>
            </w:pPr>
            <w:r w:rsidRPr="00DD4A7E">
              <w:rPr>
                <w:color w:val="000000"/>
                <w:sz w:val="22"/>
                <w:szCs w:val="22"/>
              </w:rPr>
              <w:t>3</w:t>
            </w:r>
          </w:p>
        </w:tc>
        <w:tc>
          <w:tcPr>
            <w:tcW w:w="1263" w:type="dxa"/>
            <w:tcBorders>
              <w:top w:val="nil"/>
              <w:left w:val="single" w:sz="4" w:space="0" w:color="auto"/>
              <w:bottom w:val="nil"/>
              <w:right w:val="single" w:sz="4" w:space="0" w:color="auto"/>
            </w:tcBorders>
            <w:shd w:val="clear" w:color="auto" w:fill="auto"/>
            <w:noWrap/>
            <w:vAlign w:val="bottom"/>
            <w:hideMark/>
          </w:tcPr>
          <w:p w14:paraId="1A48EF44" w14:textId="77777777" w:rsidR="00E877D5" w:rsidRPr="00DD4A7E" w:rsidRDefault="00E877D5" w:rsidP="003E150F">
            <w:pPr>
              <w:jc w:val="center"/>
              <w:rPr>
                <w:color w:val="000000"/>
                <w:sz w:val="22"/>
                <w:szCs w:val="22"/>
              </w:rPr>
            </w:pPr>
            <w:r w:rsidRPr="00DD4A7E">
              <w:rPr>
                <w:color w:val="000000"/>
                <w:sz w:val="22"/>
                <w:szCs w:val="22"/>
              </w:rPr>
              <w:t>1,2,5</w:t>
            </w:r>
          </w:p>
        </w:tc>
        <w:tc>
          <w:tcPr>
            <w:tcW w:w="1788" w:type="dxa"/>
            <w:tcBorders>
              <w:top w:val="nil"/>
              <w:left w:val="nil"/>
              <w:bottom w:val="nil"/>
              <w:right w:val="nil"/>
            </w:tcBorders>
            <w:shd w:val="clear" w:color="auto" w:fill="auto"/>
            <w:noWrap/>
            <w:vAlign w:val="bottom"/>
            <w:hideMark/>
          </w:tcPr>
          <w:p w14:paraId="7B0FC915" w14:textId="77777777" w:rsidR="00E877D5" w:rsidRPr="00DD4A7E" w:rsidRDefault="00E877D5" w:rsidP="003E150F">
            <w:pPr>
              <w:jc w:val="center"/>
              <w:rPr>
                <w:color w:val="000000"/>
              </w:rPr>
            </w:pPr>
            <w:r w:rsidRPr="00DD4A7E">
              <w:rPr>
                <w:color w:val="000000"/>
              </w:rPr>
              <w:t>12</w:t>
            </w:r>
          </w:p>
        </w:tc>
        <w:tc>
          <w:tcPr>
            <w:tcW w:w="1474" w:type="dxa"/>
            <w:tcBorders>
              <w:top w:val="nil"/>
              <w:left w:val="single" w:sz="4" w:space="0" w:color="auto"/>
              <w:bottom w:val="nil"/>
              <w:right w:val="single" w:sz="4" w:space="0" w:color="auto"/>
            </w:tcBorders>
            <w:shd w:val="clear" w:color="auto" w:fill="auto"/>
            <w:noWrap/>
            <w:vAlign w:val="bottom"/>
            <w:hideMark/>
          </w:tcPr>
          <w:p w14:paraId="27A2327A" w14:textId="77777777" w:rsidR="00E877D5" w:rsidRPr="00DD4A7E" w:rsidRDefault="00E877D5" w:rsidP="003E150F">
            <w:pPr>
              <w:jc w:val="center"/>
              <w:rPr>
                <w:color w:val="000000"/>
                <w:sz w:val="22"/>
                <w:szCs w:val="22"/>
              </w:rPr>
            </w:pPr>
            <w:r w:rsidRPr="00DD4A7E">
              <w:rPr>
                <w:color w:val="000000"/>
                <w:sz w:val="22"/>
                <w:szCs w:val="22"/>
              </w:rPr>
              <w:t>15</w:t>
            </w:r>
          </w:p>
        </w:tc>
        <w:tc>
          <w:tcPr>
            <w:tcW w:w="1342" w:type="dxa"/>
            <w:tcBorders>
              <w:top w:val="nil"/>
              <w:left w:val="nil"/>
              <w:bottom w:val="nil"/>
              <w:right w:val="single" w:sz="4" w:space="0" w:color="auto"/>
            </w:tcBorders>
            <w:shd w:val="clear" w:color="auto" w:fill="auto"/>
            <w:noWrap/>
            <w:vAlign w:val="bottom"/>
            <w:hideMark/>
          </w:tcPr>
          <w:p w14:paraId="147731F0" w14:textId="77777777" w:rsidR="00E877D5" w:rsidRPr="00DD4A7E" w:rsidRDefault="00E877D5" w:rsidP="003E150F">
            <w:pPr>
              <w:jc w:val="center"/>
              <w:rPr>
                <w:color w:val="000000"/>
                <w:sz w:val="22"/>
                <w:szCs w:val="22"/>
              </w:rPr>
            </w:pPr>
            <w:r w:rsidRPr="00DD4A7E">
              <w:rPr>
                <w:color w:val="000000"/>
                <w:sz w:val="22"/>
                <w:szCs w:val="22"/>
              </w:rPr>
              <w:t>90</w:t>
            </w:r>
          </w:p>
        </w:tc>
        <w:tc>
          <w:tcPr>
            <w:tcW w:w="1431" w:type="dxa"/>
            <w:tcBorders>
              <w:top w:val="nil"/>
              <w:left w:val="nil"/>
              <w:bottom w:val="nil"/>
              <w:right w:val="single" w:sz="4" w:space="0" w:color="auto"/>
            </w:tcBorders>
            <w:shd w:val="clear" w:color="auto" w:fill="auto"/>
            <w:noWrap/>
            <w:vAlign w:val="bottom"/>
            <w:hideMark/>
          </w:tcPr>
          <w:p w14:paraId="3BC37FD5" w14:textId="77777777" w:rsidR="00E877D5" w:rsidRPr="00DD4A7E" w:rsidRDefault="00E877D5" w:rsidP="003E150F">
            <w:pPr>
              <w:jc w:val="center"/>
              <w:rPr>
                <w:color w:val="000000"/>
                <w:sz w:val="22"/>
                <w:szCs w:val="22"/>
              </w:rPr>
            </w:pPr>
            <w:r w:rsidRPr="00DD4A7E">
              <w:rPr>
                <w:color w:val="000000"/>
                <w:sz w:val="22"/>
                <w:szCs w:val="22"/>
              </w:rPr>
              <w:t>16</w:t>
            </w:r>
          </w:p>
        </w:tc>
      </w:tr>
      <w:tr w:rsidR="00E877D5" w:rsidRPr="00DD4A7E" w14:paraId="00984E4E" w14:textId="77777777" w:rsidTr="003E150F">
        <w:trPr>
          <w:trHeight w:val="300"/>
        </w:trPr>
        <w:tc>
          <w:tcPr>
            <w:tcW w:w="881" w:type="dxa"/>
            <w:tcBorders>
              <w:top w:val="nil"/>
              <w:left w:val="single" w:sz="4" w:space="0" w:color="auto"/>
              <w:bottom w:val="nil"/>
              <w:right w:val="nil"/>
            </w:tcBorders>
            <w:shd w:val="clear" w:color="auto" w:fill="auto"/>
            <w:noWrap/>
            <w:vAlign w:val="bottom"/>
          </w:tcPr>
          <w:p w14:paraId="1F77196F" w14:textId="77777777" w:rsidR="00E877D5" w:rsidRPr="00DD4A7E" w:rsidRDefault="00E877D5" w:rsidP="003E150F">
            <w:pPr>
              <w:jc w:val="center"/>
              <w:rPr>
                <w:color w:val="000000"/>
                <w:sz w:val="22"/>
                <w:szCs w:val="22"/>
              </w:rPr>
            </w:pPr>
            <w:r w:rsidRPr="00DD4A7E">
              <w:rPr>
                <w:color w:val="000000"/>
                <w:sz w:val="22"/>
                <w:szCs w:val="22"/>
              </w:rPr>
              <w:t>4</w:t>
            </w:r>
          </w:p>
        </w:tc>
        <w:tc>
          <w:tcPr>
            <w:tcW w:w="1263" w:type="dxa"/>
            <w:tcBorders>
              <w:top w:val="nil"/>
              <w:left w:val="single" w:sz="4" w:space="0" w:color="auto"/>
              <w:bottom w:val="nil"/>
              <w:right w:val="single" w:sz="4" w:space="0" w:color="auto"/>
            </w:tcBorders>
            <w:shd w:val="clear" w:color="auto" w:fill="auto"/>
            <w:noWrap/>
            <w:vAlign w:val="bottom"/>
          </w:tcPr>
          <w:p w14:paraId="37178806" w14:textId="77777777" w:rsidR="00E877D5" w:rsidRPr="00DD4A7E" w:rsidRDefault="00E877D5" w:rsidP="003E150F">
            <w:pPr>
              <w:jc w:val="center"/>
              <w:rPr>
                <w:color w:val="000000"/>
                <w:sz w:val="22"/>
                <w:szCs w:val="22"/>
              </w:rPr>
            </w:pPr>
            <w:r w:rsidRPr="00DD4A7E">
              <w:rPr>
                <w:color w:val="000000"/>
                <w:sz w:val="22"/>
                <w:szCs w:val="22"/>
              </w:rPr>
              <w:t>1,3,4</w:t>
            </w:r>
          </w:p>
        </w:tc>
        <w:tc>
          <w:tcPr>
            <w:tcW w:w="1788" w:type="dxa"/>
            <w:tcBorders>
              <w:top w:val="nil"/>
              <w:left w:val="nil"/>
              <w:bottom w:val="nil"/>
              <w:right w:val="nil"/>
            </w:tcBorders>
            <w:shd w:val="clear" w:color="auto" w:fill="auto"/>
            <w:noWrap/>
            <w:vAlign w:val="bottom"/>
          </w:tcPr>
          <w:p w14:paraId="1CCA19B6" w14:textId="77777777" w:rsidR="00E877D5" w:rsidRPr="00DD4A7E" w:rsidRDefault="00E877D5" w:rsidP="003E150F">
            <w:pPr>
              <w:jc w:val="center"/>
              <w:rPr>
                <w:color w:val="000000"/>
              </w:rPr>
            </w:pPr>
            <w:r w:rsidRPr="00DD4A7E">
              <w:rPr>
                <w:color w:val="000000"/>
              </w:rPr>
              <w:t>12</w:t>
            </w:r>
          </w:p>
        </w:tc>
        <w:tc>
          <w:tcPr>
            <w:tcW w:w="1474" w:type="dxa"/>
            <w:tcBorders>
              <w:top w:val="nil"/>
              <w:left w:val="single" w:sz="4" w:space="0" w:color="auto"/>
              <w:bottom w:val="nil"/>
              <w:right w:val="single" w:sz="4" w:space="0" w:color="auto"/>
            </w:tcBorders>
            <w:shd w:val="clear" w:color="auto" w:fill="auto"/>
            <w:noWrap/>
            <w:vAlign w:val="bottom"/>
          </w:tcPr>
          <w:p w14:paraId="10491231" w14:textId="77777777" w:rsidR="00E877D5" w:rsidRPr="00DD4A7E" w:rsidRDefault="00E877D5" w:rsidP="003E150F">
            <w:pPr>
              <w:jc w:val="center"/>
              <w:rPr>
                <w:color w:val="000000"/>
                <w:sz w:val="22"/>
                <w:szCs w:val="22"/>
              </w:rPr>
            </w:pPr>
            <w:r w:rsidRPr="00DD4A7E">
              <w:rPr>
                <w:color w:val="000000"/>
                <w:sz w:val="22"/>
                <w:szCs w:val="22"/>
              </w:rPr>
              <w:t>15</w:t>
            </w:r>
          </w:p>
        </w:tc>
        <w:tc>
          <w:tcPr>
            <w:tcW w:w="1342" w:type="dxa"/>
            <w:tcBorders>
              <w:top w:val="nil"/>
              <w:left w:val="nil"/>
              <w:bottom w:val="nil"/>
              <w:right w:val="single" w:sz="4" w:space="0" w:color="auto"/>
            </w:tcBorders>
            <w:shd w:val="clear" w:color="auto" w:fill="auto"/>
            <w:noWrap/>
            <w:vAlign w:val="bottom"/>
          </w:tcPr>
          <w:p w14:paraId="5E4BA8AE" w14:textId="77777777" w:rsidR="00E877D5" w:rsidRPr="00DD4A7E" w:rsidRDefault="00E877D5" w:rsidP="003E150F">
            <w:pPr>
              <w:jc w:val="center"/>
              <w:rPr>
                <w:color w:val="000000"/>
                <w:sz w:val="22"/>
                <w:szCs w:val="22"/>
              </w:rPr>
            </w:pPr>
            <w:r w:rsidRPr="00DD4A7E">
              <w:rPr>
                <w:color w:val="000000"/>
                <w:sz w:val="22"/>
                <w:szCs w:val="22"/>
              </w:rPr>
              <w:t>90</w:t>
            </w:r>
          </w:p>
        </w:tc>
        <w:tc>
          <w:tcPr>
            <w:tcW w:w="1431" w:type="dxa"/>
            <w:tcBorders>
              <w:top w:val="nil"/>
              <w:left w:val="nil"/>
              <w:bottom w:val="nil"/>
              <w:right w:val="single" w:sz="4" w:space="0" w:color="auto"/>
            </w:tcBorders>
            <w:shd w:val="clear" w:color="auto" w:fill="auto"/>
            <w:noWrap/>
            <w:vAlign w:val="bottom"/>
          </w:tcPr>
          <w:p w14:paraId="179314F9" w14:textId="77777777" w:rsidR="00E877D5" w:rsidRPr="00DD4A7E" w:rsidRDefault="00E877D5" w:rsidP="003E150F">
            <w:pPr>
              <w:jc w:val="center"/>
              <w:rPr>
                <w:color w:val="000000"/>
                <w:sz w:val="22"/>
                <w:szCs w:val="22"/>
              </w:rPr>
            </w:pPr>
            <w:r w:rsidRPr="00DD4A7E">
              <w:rPr>
                <w:color w:val="000000"/>
                <w:sz w:val="22"/>
                <w:szCs w:val="22"/>
              </w:rPr>
              <w:t>16</w:t>
            </w:r>
          </w:p>
        </w:tc>
      </w:tr>
      <w:tr w:rsidR="00E877D5" w:rsidRPr="00DD4A7E" w14:paraId="0C19AE2D" w14:textId="77777777" w:rsidTr="003E150F">
        <w:trPr>
          <w:trHeight w:val="300"/>
        </w:trPr>
        <w:tc>
          <w:tcPr>
            <w:tcW w:w="881" w:type="dxa"/>
            <w:tcBorders>
              <w:top w:val="nil"/>
              <w:left w:val="single" w:sz="4" w:space="0" w:color="auto"/>
              <w:bottom w:val="nil"/>
              <w:right w:val="nil"/>
            </w:tcBorders>
            <w:shd w:val="clear" w:color="auto" w:fill="auto"/>
            <w:noWrap/>
            <w:vAlign w:val="bottom"/>
          </w:tcPr>
          <w:p w14:paraId="6E00C280" w14:textId="77777777" w:rsidR="00E877D5" w:rsidRPr="00DD4A7E" w:rsidRDefault="00E877D5" w:rsidP="003E150F">
            <w:pPr>
              <w:jc w:val="center"/>
              <w:rPr>
                <w:color w:val="000000"/>
                <w:sz w:val="22"/>
                <w:szCs w:val="22"/>
              </w:rPr>
            </w:pPr>
            <w:r w:rsidRPr="00DD4A7E">
              <w:rPr>
                <w:color w:val="000000"/>
                <w:sz w:val="22"/>
                <w:szCs w:val="22"/>
              </w:rPr>
              <w:t>5</w:t>
            </w:r>
          </w:p>
        </w:tc>
        <w:tc>
          <w:tcPr>
            <w:tcW w:w="1263" w:type="dxa"/>
            <w:tcBorders>
              <w:top w:val="nil"/>
              <w:left w:val="single" w:sz="4" w:space="0" w:color="auto"/>
              <w:bottom w:val="nil"/>
              <w:right w:val="single" w:sz="4" w:space="0" w:color="auto"/>
            </w:tcBorders>
            <w:shd w:val="clear" w:color="auto" w:fill="auto"/>
            <w:noWrap/>
            <w:vAlign w:val="bottom"/>
          </w:tcPr>
          <w:p w14:paraId="2E32A33C" w14:textId="77777777" w:rsidR="00E877D5" w:rsidRPr="00DD4A7E" w:rsidRDefault="00E877D5" w:rsidP="003E150F">
            <w:pPr>
              <w:jc w:val="center"/>
              <w:rPr>
                <w:color w:val="000000"/>
                <w:sz w:val="22"/>
                <w:szCs w:val="22"/>
              </w:rPr>
            </w:pPr>
            <w:r w:rsidRPr="00DD4A7E">
              <w:rPr>
                <w:color w:val="000000"/>
                <w:sz w:val="22"/>
                <w:szCs w:val="22"/>
              </w:rPr>
              <w:t>1,3,5</w:t>
            </w:r>
          </w:p>
        </w:tc>
        <w:tc>
          <w:tcPr>
            <w:tcW w:w="1788" w:type="dxa"/>
            <w:tcBorders>
              <w:top w:val="nil"/>
              <w:left w:val="nil"/>
              <w:bottom w:val="nil"/>
              <w:right w:val="nil"/>
            </w:tcBorders>
            <w:shd w:val="clear" w:color="auto" w:fill="auto"/>
            <w:noWrap/>
            <w:vAlign w:val="bottom"/>
          </w:tcPr>
          <w:p w14:paraId="67AD080A" w14:textId="77777777" w:rsidR="00E877D5" w:rsidRPr="00DD4A7E" w:rsidRDefault="00E877D5" w:rsidP="003E150F">
            <w:pPr>
              <w:jc w:val="center"/>
              <w:rPr>
                <w:color w:val="000000"/>
              </w:rPr>
            </w:pPr>
            <w:r w:rsidRPr="00DD4A7E">
              <w:rPr>
                <w:color w:val="000000"/>
              </w:rPr>
              <w:t>12</w:t>
            </w:r>
          </w:p>
        </w:tc>
        <w:tc>
          <w:tcPr>
            <w:tcW w:w="1474" w:type="dxa"/>
            <w:tcBorders>
              <w:top w:val="nil"/>
              <w:left w:val="single" w:sz="4" w:space="0" w:color="auto"/>
              <w:bottom w:val="nil"/>
              <w:right w:val="single" w:sz="4" w:space="0" w:color="auto"/>
            </w:tcBorders>
            <w:shd w:val="clear" w:color="auto" w:fill="auto"/>
            <w:noWrap/>
            <w:vAlign w:val="bottom"/>
          </w:tcPr>
          <w:p w14:paraId="741A6044" w14:textId="77777777" w:rsidR="00E877D5" w:rsidRPr="00DD4A7E" w:rsidRDefault="00E877D5" w:rsidP="003E150F">
            <w:pPr>
              <w:jc w:val="center"/>
              <w:rPr>
                <w:color w:val="000000"/>
                <w:sz w:val="22"/>
                <w:szCs w:val="22"/>
              </w:rPr>
            </w:pPr>
            <w:r w:rsidRPr="00DD4A7E">
              <w:rPr>
                <w:color w:val="000000"/>
                <w:sz w:val="22"/>
                <w:szCs w:val="22"/>
              </w:rPr>
              <w:t>15</w:t>
            </w:r>
          </w:p>
        </w:tc>
        <w:tc>
          <w:tcPr>
            <w:tcW w:w="1342" w:type="dxa"/>
            <w:tcBorders>
              <w:top w:val="nil"/>
              <w:left w:val="nil"/>
              <w:bottom w:val="nil"/>
              <w:right w:val="single" w:sz="4" w:space="0" w:color="auto"/>
            </w:tcBorders>
            <w:shd w:val="clear" w:color="auto" w:fill="auto"/>
            <w:noWrap/>
            <w:vAlign w:val="bottom"/>
          </w:tcPr>
          <w:p w14:paraId="32EBFB7A" w14:textId="77777777" w:rsidR="00E877D5" w:rsidRPr="00DD4A7E" w:rsidRDefault="00E877D5" w:rsidP="003E150F">
            <w:pPr>
              <w:jc w:val="center"/>
              <w:rPr>
                <w:color w:val="000000"/>
                <w:sz w:val="22"/>
                <w:szCs w:val="22"/>
              </w:rPr>
            </w:pPr>
            <w:r w:rsidRPr="00DD4A7E">
              <w:rPr>
                <w:color w:val="000000"/>
                <w:sz w:val="22"/>
                <w:szCs w:val="22"/>
              </w:rPr>
              <w:t>90</w:t>
            </w:r>
          </w:p>
        </w:tc>
        <w:tc>
          <w:tcPr>
            <w:tcW w:w="1431" w:type="dxa"/>
            <w:tcBorders>
              <w:top w:val="nil"/>
              <w:left w:val="nil"/>
              <w:bottom w:val="nil"/>
              <w:right w:val="single" w:sz="4" w:space="0" w:color="auto"/>
            </w:tcBorders>
            <w:shd w:val="clear" w:color="auto" w:fill="auto"/>
            <w:noWrap/>
            <w:vAlign w:val="bottom"/>
          </w:tcPr>
          <w:p w14:paraId="221B4B04" w14:textId="77777777" w:rsidR="00E877D5" w:rsidRPr="00DD4A7E" w:rsidRDefault="00E877D5" w:rsidP="003E150F">
            <w:pPr>
              <w:jc w:val="center"/>
              <w:rPr>
                <w:color w:val="000000"/>
                <w:sz w:val="22"/>
                <w:szCs w:val="22"/>
              </w:rPr>
            </w:pPr>
            <w:r w:rsidRPr="00DD4A7E">
              <w:rPr>
                <w:color w:val="000000"/>
                <w:sz w:val="22"/>
                <w:szCs w:val="22"/>
              </w:rPr>
              <w:t>16</w:t>
            </w:r>
          </w:p>
        </w:tc>
      </w:tr>
      <w:tr w:rsidR="00E877D5" w:rsidRPr="00DD4A7E" w14:paraId="4E32CBC9" w14:textId="77777777" w:rsidTr="003E150F">
        <w:trPr>
          <w:trHeight w:val="300"/>
        </w:trPr>
        <w:tc>
          <w:tcPr>
            <w:tcW w:w="881" w:type="dxa"/>
            <w:tcBorders>
              <w:top w:val="nil"/>
              <w:left w:val="single" w:sz="4" w:space="0" w:color="auto"/>
              <w:bottom w:val="nil"/>
              <w:right w:val="nil"/>
            </w:tcBorders>
            <w:shd w:val="clear" w:color="auto" w:fill="auto"/>
            <w:noWrap/>
            <w:vAlign w:val="bottom"/>
          </w:tcPr>
          <w:p w14:paraId="503BA008" w14:textId="77777777" w:rsidR="00E877D5" w:rsidRPr="00DD4A7E" w:rsidRDefault="00E877D5" w:rsidP="003E150F">
            <w:pPr>
              <w:jc w:val="center"/>
              <w:rPr>
                <w:color w:val="000000"/>
                <w:sz w:val="22"/>
                <w:szCs w:val="22"/>
              </w:rPr>
            </w:pPr>
            <w:r w:rsidRPr="00DD4A7E">
              <w:rPr>
                <w:color w:val="000000"/>
                <w:sz w:val="22"/>
                <w:szCs w:val="22"/>
              </w:rPr>
              <w:t>6</w:t>
            </w:r>
          </w:p>
        </w:tc>
        <w:tc>
          <w:tcPr>
            <w:tcW w:w="1263" w:type="dxa"/>
            <w:tcBorders>
              <w:top w:val="nil"/>
              <w:left w:val="single" w:sz="4" w:space="0" w:color="auto"/>
              <w:bottom w:val="nil"/>
              <w:right w:val="single" w:sz="4" w:space="0" w:color="auto"/>
            </w:tcBorders>
            <w:shd w:val="clear" w:color="auto" w:fill="auto"/>
            <w:noWrap/>
            <w:vAlign w:val="bottom"/>
          </w:tcPr>
          <w:p w14:paraId="1A7728C7" w14:textId="77777777" w:rsidR="00E877D5" w:rsidRPr="00DD4A7E" w:rsidRDefault="00E877D5" w:rsidP="003E150F">
            <w:pPr>
              <w:jc w:val="center"/>
              <w:rPr>
                <w:color w:val="000000"/>
                <w:sz w:val="22"/>
                <w:szCs w:val="22"/>
              </w:rPr>
            </w:pPr>
            <w:r w:rsidRPr="00DD4A7E">
              <w:rPr>
                <w:color w:val="000000"/>
                <w:sz w:val="22"/>
                <w:szCs w:val="22"/>
              </w:rPr>
              <w:t>1,4,5</w:t>
            </w:r>
          </w:p>
        </w:tc>
        <w:tc>
          <w:tcPr>
            <w:tcW w:w="1788" w:type="dxa"/>
            <w:tcBorders>
              <w:top w:val="nil"/>
              <w:left w:val="nil"/>
              <w:bottom w:val="nil"/>
              <w:right w:val="nil"/>
            </w:tcBorders>
            <w:shd w:val="clear" w:color="auto" w:fill="auto"/>
            <w:noWrap/>
            <w:vAlign w:val="bottom"/>
          </w:tcPr>
          <w:p w14:paraId="686413E9" w14:textId="77777777" w:rsidR="00E877D5" w:rsidRPr="00DD4A7E" w:rsidRDefault="00E877D5" w:rsidP="003E150F">
            <w:pPr>
              <w:jc w:val="center"/>
              <w:rPr>
                <w:color w:val="000000"/>
              </w:rPr>
            </w:pPr>
            <w:r w:rsidRPr="00DD4A7E">
              <w:rPr>
                <w:color w:val="000000"/>
              </w:rPr>
              <w:t>12</w:t>
            </w:r>
          </w:p>
        </w:tc>
        <w:tc>
          <w:tcPr>
            <w:tcW w:w="1474" w:type="dxa"/>
            <w:tcBorders>
              <w:top w:val="nil"/>
              <w:left w:val="single" w:sz="4" w:space="0" w:color="auto"/>
              <w:bottom w:val="nil"/>
              <w:right w:val="single" w:sz="4" w:space="0" w:color="auto"/>
            </w:tcBorders>
            <w:shd w:val="clear" w:color="auto" w:fill="auto"/>
            <w:noWrap/>
            <w:vAlign w:val="bottom"/>
          </w:tcPr>
          <w:p w14:paraId="625CC5A2" w14:textId="77777777" w:rsidR="00E877D5" w:rsidRPr="00DD4A7E" w:rsidRDefault="00E877D5" w:rsidP="003E150F">
            <w:pPr>
              <w:jc w:val="center"/>
              <w:rPr>
                <w:color w:val="000000"/>
                <w:sz w:val="22"/>
                <w:szCs w:val="22"/>
              </w:rPr>
            </w:pPr>
            <w:r w:rsidRPr="00DD4A7E">
              <w:rPr>
                <w:color w:val="000000"/>
                <w:sz w:val="22"/>
                <w:szCs w:val="22"/>
              </w:rPr>
              <w:t>15</w:t>
            </w:r>
          </w:p>
        </w:tc>
        <w:tc>
          <w:tcPr>
            <w:tcW w:w="1342" w:type="dxa"/>
            <w:tcBorders>
              <w:top w:val="nil"/>
              <w:left w:val="nil"/>
              <w:bottom w:val="nil"/>
              <w:right w:val="single" w:sz="4" w:space="0" w:color="auto"/>
            </w:tcBorders>
            <w:shd w:val="clear" w:color="auto" w:fill="auto"/>
            <w:noWrap/>
            <w:vAlign w:val="bottom"/>
          </w:tcPr>
          <w:p w14:paraId="1C16B896" w14:textId="77777777" w:rsidR="00E877D5" w:rsidRPr="00DD4A7E" w:rsidRDefault="00E877D5" w:rsidP="003E150F">
            <w:pPr>
              <w:jc w:val="center"/>
              <w:rPr>
                <w:color w:val="000000"/>
                <w:sz w:val="22"/>
                <w:szCs w:val="22"/>
              </w:rPr>
            </w:pPr>
            <w:r w:rsidRPr="00DD4A7E">
              <w:rPr>
                <w:color w:val="000000"/>
                <w:sz w:val="22"/>
                <w:szCs w:val="22"/>
              </w:rPr>
              <w:t>90</w:t>
            </w:r>
          </w:p>
        </w:tc>
        <w:tc>
          <w:tcPr>
            <w:tcW w:w="1431" w:type="dxa"/>
            <w:tcBorders>
              <w:top w:val="nil"/>
              <w:left w:val="nil"/>
              <w:bottom w:val="nil"/>
              <w:right w:val="single" w:sz="4" w:space="0" w:color="auto"/>
            </w:tcBorders>
            <w:shd w:val="clear" w:color="auto" w:fill="auto"/>
            <w:noWrap/>
            <w:vAlign w:val="bottom"/>
          </w:tcPr>
          <w:p w14:paraId="2EB41913" w14:textId="77777777" w:rsidR="00E877D5" w:rsidRPr="00DD4A7E" w:rsidRDefault="00E877D5" w:rsidP="003E150F">
            <w:pPr>
              <w:jc w:val="center"/>
              <w:rPr>
                <w:color w:val="000000"/>
                <w:sz w:val="22"/>
                <w:szCs w:val="22"/>
              </w:rPr>
            </w:pPr>
            <w:r w:rsidRPr="00DD4A7E">
              <w:rPr>
                <w:color w:val="000000"/>
                <w:sz w:val="22"/>
                <w:szCs w:val="22"/>
              </w:rPr>
              <w:t>16</w:t>
            </w:r>
          </w:p>
        </w:tc>
      </w:tr>
      <w:tr w:rsidR="00E877D5" w:rsidRPr="00DD4A7E" w14:paraId="120CABD8" w14:textId="77777777" w:rsidTr="003E150F">
        <w:trPr>
          <w:trHeight w:val="300"/>
        </w:trPr>
        <w:tc>
          <w:tcPr>
            <w:tcW w:w="881" w:type="dxa"/>
            <w:tcBorders>
              <w:top w:val="nil"/>
              <w:left w:val="single" w:sz="4" w:space="0" w:color="auto"/>
              <w:bottom w:val="nil"/>
              <w:right w:val="nil"/>
            </w:tcBorders>
            <w:shd w:val="clear" w:color="auto" w:fill="auto"/>
            <w:noWrap/>
            <w:vAlign w:val="center"/>
          </w:tcPr>
          <w:p w14:paraId="0DC0CEB7" w14:textId="77777777" w:rsidR="00E877D5" w:rsidRPr="00DD4A7E" w:rsidRDefault="00E877D5" w:rsidP="003E150F">
            <w:pPr>
              <w:jc w:val="center"/>
              <w:rPr>
                <w:color w:val="000000"/>
                <w:sz w:val="22"/>
                <w:szCs w:val="22"/>
              </w:rPr>
            </w:pPr>
            <w:r w:rsidRPr="00DD4A7E">
              <w:rPr>
                <w:color w:val="000000"/>
                <w:sz w:val="22"/>
                <w:szCs w:val="22"/>
              </w:rPr>
              <w:t>7</w:t>
            </w:r>
          </w:p>
        </w:tc>
        <w:tc>
          <w:tcPr>
            <w:tcW w:w="1263" w:type="dxa"/>
            <w:tcBorders>
              <w:top w:val="nil"/>
              <w:left w:val="single" w:sz="4" w:space="0" w:color="auto"/>
              <w:bottom w:val="nil"/>
              <w:right w:val="single" w:sz="4" w:space="0" w:color="auto"/>
            </w:tcBorders>
            <w:shd w:val="clear" w:color="auto" w:fill="auto"/>
            <w:noWrap/>
            <w:vAlign w:val="bottom"/>
          </w:tcPr>
          <w:p w14:paraId="38C6FD26" w14:textId="77777777" w:rsidR="00E877D5" w:rsidRPr="00DD4A7E" w:rsidRDefault="00E877D5" w:rsidP="003E150F">
            <w:pPr>
              <w:jc w:val="center"/>
              <w:rPr>
                <w:color w:val="000000"/>
                <w:sz w:val="22"/>
                <w:szCs w:val="22"/>
              </w:rPr>
            </w:pPr>
            <w:r w:rsidRPr="00DD4A7E">
              <w:rPr>
                <w:color w:val="000000"/>
                <w:sz w:val="22"/>
                <w:szCs w:val="22"/>
              </w:rPr>
              <w:t>1,2,3</w:t>
            </w:r>
          </w:p>
        </w:tc>
        <w:tc>
          <w:tcPr>
            <w:tcW w:w="1788" w:type="dxa"/>
            <w:tcBorders>
              <w:top w:val="nil"/>
              <w:left w:val="nil"/>
              <w:bottom w:val="nil"/>
              <w:right w:val="nil"/>
            </w:tcBorders>
            <w:shd w:val="clear" w:color="auto" w:fill="auto"/>
            <w:noWrap/>
            <w:vAlign w:val="center"/>
          </w:tcPr>
          <w:p w14:paraId="44EA7D43" w14:textId="77777777" w:rsidR="00E877D5" w:rsidRPr="00DD4A7E" w:rsidRDefault="00E877D5" w:rsidP="003E150F">
            <w:pPr>
              <w:jc w:val="center"/>
              <w:rPr>
                <w:color w:val="000000"/>
              </w:rPr>
            </w:pPr>
            <w:r w:rsidRPr="00DD4A7E">
              <w:rPr>
                <w:color w:val="000000"/>
              </w:rPr>
              <w:t>12</w:t>
            </w:r>
          </w:p>
        </w:tc>
        <w:tc>
          <w:tcPr>
            <w:tcW w:w="1474" w:type="dxa"/>
            <w:tcBorders>
              <w:top w:val="nil"/>
              <w:left w:val="single" w:sz="4" w:space="0" w:color="auto"/>
              <w:bottom w:val="nil"/>
              <w:right w:val="single" w:sz="4" w:space="0" w:color="auto"/>
            </w:tcBorders>
            <w:shd w:val="clear" w:color="auto" w:fill="auto"/>
            <w:noWrap/>
            <w:vAlign w:val="bottom"/>
          </w:tcPr>
          <w:p w14:paraId="72D440BD" w14:textId="77777777" w:rsidR="00E877D5" w:rsidRPr="00DD4A7E" w:rsidRDefault="00E877D5" w:rsidP="003E150F">
            <w:pPr>
              <w:jc w:val="center"/>
              <w:rPr>
                <w:color w:val="000000"/>
                <w:sz w:val="22"/>
                <w:szCs w:val="22"/>
              </w:rPr>
            </w:pPr>
            <w:r w:rsidRPr="00DD4A7E">
              <w:rPr>
                <w:color w:val="000000"/>
                <w:sz w:val="22"/>
                <w:szCs w:val="22"/>
              </w:rPr>
              <w:t>15</w:t>
            </w:r>
          </w:p>
        </w:tc>
        <w:tc>
          <w:tcPr>
            <w:tcW w:w="1342" w:type="dxa"/>
            <w:tcBorders>
              <w:top w:val="nil"/>
              <w:left w:val="nil"/>
              <w:bottom w:val="nil"/>
              <w:right w:val="single" w:sz="4" w:space="0" w:color="auto"/>
            </w:tcBorders>
            <w:shd w:val="clear" w:color="auto" w:fill="auto"/>
            <w:noWrap/>
            <w:vAlign w:val="bottom"/>
          </w:tcPr>
          <w:p w14:paraId="53C484DA" w14:textId="77777777" w:rsidR="00E877D5" w:rsidRPr="00DD4A7E" w:rsidRDefault="00E877D5" w:rsidP="003E150F">
            <w:pPr>
              <w:jc w:val="center"/>
              <w:rPr>
                <w:color w:val="000000"/>
                <w:sz w:val="22"/>
                <w:szCs w:val="22"/>
              </w:rPr>
            </w:pPr>
            <w:r w:rsidRPr="00DD4A7E">
              <w:rPr>
                <w:color w:val="000000"/>
                <w:sz w:val="22"/>
                <w:szCs w:val="22"/>
              </w:rPr>
              <w:t>90</w:t>
            </w:r>
          </w:p>
        </w:tc>
        <w:tc>
          <w:tcPr>
            <w:tcW w:w="1431" w:type="dxa"/>
            <w:tcBorders>
              <w:top w:val="nil"/>
              <w:left w:val="nil"/>
              <w:bottom w:val="nil"/>
              <w:right w:val="single" w:sz="4" w:space="0" w:color="auto"/>
            </w:tcBorders>
            <w:shd w:val="clear" w:color="auto" w:fill="auto"/>
            <w:noWrap/>
            <w:vAlign w:val="bottom"/>
          </w:tcPr>
          <w:p w14:paraId="35297224" w14:textId="77777777" w:rsidR="00E877D5" w:rsidRPr="00DD4A7E" w:rsidRDefault="00E877D5" w:rsidP="003E150F">
            <w:pPr>
              <w:jc w:val="center"/>
              <w:rPr>
                <w:color w:val="000000"/>
                <w:sz w:val="22"/>
                <w:szCs w:val="22"/>
              </w:rPr>
            </w:pPr>
            <w:r w:rsidRPr="00DD4A7E">
              <w:rPr>
                <w:color w:val="000000"/>
                <w:sz w:val="22"/>
                <w:szCs w:val="22"/>
              </w:rPr>
              <w:t>16</w:t>
            </w:r>
          </w:p>
        </w:tc>
      </w:tr>
      <w:tr w:rsidR="00E877D5" w:rsidRPr="00DD4A7E" w14:paraId="44FDE5AF" w14:textId="77777777" w:rsidTr="003E150F">
        <w:trPr>
          <w:trHeight w:val="300"/>
        </w:trPr>
        <w:tc>
          <w:tcPr>
            <w:tcW w:w="881" w:type="dxa"/>
            <w:tcBorders>
              <w:top w:val="nil"/>
              <w:left w:val="single" w:sz="4" w:space="0" w:color="auto"/>
              <w:bottom w:val="nil"/>
              <w:right w:val="nil"/>
            </w:tcBorders>
            <w:shd w:val="clear" w:color="auto" w:fill="auto"/>
            <w:noWrap/>
            <w:vAlign w:val="center"/>
          </w:tcPr>
          <w:p w14:paraId="0B292C01" w14:textId="77777777" w:rsidR="00E877D5" w:rsidRPr="00DD4A7E" w:rsidRDefault="00E877D5" w:rsidP="003E150F">
            <w:pPr>
              <w:jc w:val="center"/>
              <w:rPr>
                <w:color w:val="000000"/>
                <w:sz w:val="22"/>
                <w:szCs w:val="22"/>
              </w:rPr>
            </w:pPr>
            <w:r w:rsidRPr="00DD4A7E">
              <w:rPr>
                <w:color w:val="000000"/>
                <w:sz w:val="22"/>
                <w:szCs w:val="22"/>
              </w:rPr>
              <w:t>8</w:t>
            </w:r>
          </w:p>
        </w:tc>
        <w:tc>
          <w:tcPr>
            <w:tcW w:w="1263" w:type="dxa"/>
            <w:tcBorders>
              <w:top w:val="nil"/>
              <w:left w:val="single" w:sz="4" w:space="0" w:color="auto"/>
              <w:bottom w:val="nil"/>
              <w:right w:val="single" w:sz="4" w:space="0" w:color="auto"/>
            </w:tcBorders>
            <w:shd w:val="clear" w:color="auto" w:fill="auto"/>
            <w:noWrap/>
            <w:vAlign w:val="bottom"/>
          </w:tcPr>
          <w:p w14:paraId="4589CE1F" w14:textId="77777777" w:rsidR="00E877D5" w:rsidRPr="00DD4A7E" w:rsidRDefault="00E877D5" w:rsidP="003E150F">
            <w:pPr>
              <w:jc w:val="center"/>
              <w:rPr>
                <w:color w:val="000000"/>
                <w:sz w:val="22"/>
                <w:szCs w:val="22"/>
              </w:rPr>
            </w:pPr>
            <w:r w:rsidRPr="00DD4A7E">
              <w:rPr>
                <w:color w:val="000000"/>
                <w:sz w:val="22"/>
                <w:szCs w:val="22"/>
              </w:rPr>
              <w:t>1,2,4</w:t>
            </w:r>
          </w:p>
        </w:tc>
        <w:tc>
          <w:tcPr>
            <w:tcW w:w="1788" w:type="dxa"/>
            <w:tcBorders>
              <w:top w:val="nil"/>
              <w:left w:val="nil"/>
              <w:bottom w:val="nil"/>
              <w:right w:val="nil"/>
            </w:tcBorders>
            <w:shd w:val="clear" w:color="auto" w:fill="auto"/>
            <w:noWrap/>
            <w:vAlign w:val="center"/>
          </w:tcPr>
          <w:p w14:paraId="52B55819" w14:textId="77777777" w:rsidR="00E877D5" w:rsidRPr="00DD4A7E" w:rsidRDefault="00E877D5" w:rsidP="003E150F">
            <w:pPr>
              <w:jc w:val="center"/>
              <w:rPr>
                <w:color w:val="000000"/>
              </w:rPr>
            </w:pPr>
            <w:r w:rsidRPr="00DD4A7E">
              <w:rPr>
                <w:color w:val="000000"/>
              </w:rPr>
              <w:t>12</w:t>
            </w:r>
          </w:p>
        </w:tc>
        <w:tc>
          <w:tcPr>
            <w:tcW w:w="1474" w:type="dxa"/>
            <w:tcBorders>
              <w:top w:val="nil"/>
              <w:left w:val="single" w:sz="4" w:space="0" w:color="auto"/>
              <w:bottom w:val="nil"/>
              <w:right w:val="single" w:sz="4" w:space="0" w:color="auto"/>
            </w:tcBorders>
            <w:shd w:val="clear" w:color="auto" w:fill="auto"/>
            <w:noWrap/>
            <w:vAlign w:val="bottom"/>
          </w:tcPr>
          <w:p w14:paraId="120192F2" w14:textId="77777777" w:rsidR="00E877D5" w:rsidRPr="00DD4A7E" w:rsidRDefault="00E877D5" w:rsidP="003E150F">
            <w:pPr>
              <w:jc w:val="center"/>
              <w:rPr>
                <w:color w:val="000000"/>
                <w:sz w:val="22"/>
                <w:szCs w:val="22"/>
              </w:rPr>
            </w:pPr>
            <w:r w:rsidRPr="00DD4A7E">
              <w:rPr>
                <w:color w:val="000000"/>
                <w:sz w:val="22"/>
                <w:szCs w:val="22"/>
              </w:rPr>
              <w:t>15</w:t>
            </w:r>
          </w:p>
        </w:tc>
        <w:tc>
          <w:tcPr>
            <w:tcW w:w="1342" w:type="dxa"/>
            <w:tcBorders>
              <w:top w:val="nil"/>
              <w:left w:val="nil"/>
              <w:bottom w:val="nil"/>
              <w:right w:val="single" w:sz="4" w:space="0" w:color="auto"/>
            </w:tcBorders>
            <w:shd w:val="clear" w:color="auto" w:fill="auto"/>
            <w:noWrap/>
            <w:vAlign w:val="bottom"/>
          </w:tcPr>
          <w:p w14:paraId="616F1BEA" w14:textId="77777777" w:rsidR="00E877D5" w:rsidRPr="00DD4A7E" w:rsidRDefault="00E877D5" w:rsidP="003E150F">
            <w:pPr>
              <w:jc w:val="center"/>
              <w:rPr>
                <w:color w:val="000000"/>
                <w:sz w:val="22"/>
                <w:szCs w:val="22"/>
              </w:rPr>
            </w:pPr>
            <w:r w:rsidRPr="00DD4A7E">
              <w:rPr>
                <w:color w:val="000000"/>
                <w:sz w:val="22"/>
                <w:szCs w:val="22"/>
              </w:rPr>
              <w:t>90</w:t>
            </w:r>
          </w:p>
        </w:tc>
        <w:tc>
          <w:tcPr>
            <w:tcW w:w="1431" w:type="dxa"/>
            <w:tcBorders>
              <w:top w:val="nil"/>
              <w:left w:val="nil"/>
              <w:bottom w:val="nil"/>
              <w:right w:val="single" w:sz="4" w:space="0" w:color="auto"/>
            </w:tcBorders>
            <w:shd w:val="clear" w:color="auto" w:fill="auto"/>
            <w:noWrap/>
            <w:vAlign w:val="bottom"/>
          </w:tcPr>
          <w:p w14:paraId="7E8EBD37" w14:textId="77777777" w:rsidR="00E877D5" w:rsidRPr="00DD4A7E" w:rsidRDefault="00E877D5" w:rsidP="003E150F">
            <w:pPr>
              <w:jc w:val="center"/>
              <w:rPr>
                <w:color w:val="000000"/>
                <w:sz w:val="22"/>
                <w:szCs w:val="22"/>
              </w:rPr>
            </w:pPr>
            <w:r w:rsidRPr="00DD4A7E">
              <w:rPr>
                <w:color w:val="000000"/>
                <w:sz w:val="22"/>
                <w:szCs w:val="22"/>
              </w:rPr>
              <w:t>16</w:t>
            </w:r>
          </w:p>
        </w:tc>
      </w:tr>
      <w:tr w:rsidR="00E877D5" w:rsidRPr="00DD4A7E" w14:paraId="1979C2D4" w14:textId="77777777" w:rsidTr="003E150F">
        <w:trPr>
          <w:trHeight w:val="300"/>
        </w:trPr>
        <w:tc>
          <w:tcPr>
            <w:tcW w:w="881" w:type="dxa"/>
            <w:tcBorders>
              <w:top w:val="nil"/>
              <w:left w:val="single" w:sz="4" w:space="0" w:color="auto"/>
              <w:bottom w:val="nil"/>
              <w:right w:val="nil"/>
            </w:tcBorders>
            <w:shd w:val="clear" w:color="auto" w:fill="auto"/>
            <w:noWrap/>
            <w:vAlign w:val="center"/>
          </w:tcPr>
          <w:p w14:paraId="5B614A68" w14:textId="77777777" w:rsidR="00E877D5" w:rsidRPr="00DD4A7E" w:rsidRDefault="00E877D5" w:rsidP="003E150F">
            <w:pPr>
              <w:jc w:val="center"/>
              <w:rPr>
                <w:color w:val="000000"/>
                <w:sz w:val="22"/>
                <w:szCs w:val="22"/>
              </w:rPr>
            </w:pPr>
            <w:r w:rsidRPr="00DD4A7E">
              <w:rPr>
                <w:color w:val="000000"/>
                <w:sz w:val="22"/>
                <w:szCs w:val="22"/>
              </w:rPr>
              <w:t>9</w:t>
            </w:r>
          </w:p>
        </w:tc>
        <w:tc>
          <w:tcPr>
            <w:tcW w:w="1263" w:type="dxa"/>
            <w:tcBorders>
              <w:top w:val="nil"/>
              <w:left w:val="single" w:sz="4" w:space="0" w:color="auto"/>
              <w:bottom w:val="nil"/>
              <w:right w:val="single" w:sz="4" w:space="0" w:color="auto"/>
            </w:tcBorders>
            <w:shd w:val="clear" w:color="auto" w:fill="auto"/>
            <w:noWrap/>
            <w:vAlign w:val="bottom"/>
          </w:tcPr>
          <w:p w14:paraId="3E705DD6" w14:textId="77777777" w:rsidR="00E877D5" w:rsidRPr="00DD4A7E" w:rsidRDefault="00E877D5" w:rsidP="003E150F">
            <w:pPr>
              <w:jc w:val="center"/>
              <w:rPr>
                <w:color w:val="000000"/>
                <w:sz w:val="22"/>
                <w:szCs w:val="22"/>
              </w:rPr>
            </w:pPr>
            <w:r w:rsidRPr="00DD4A7E">
              <w:rPr>
                <w:color w:val="000000"/>
                <w:sz w:val="22"/>
                <w:szCs w:val="22"/>
              </w:rPr>
              <w:t>1,2,5</w:t>
            </w:r>
          </w:p>
        </w:tc>
        <w:tc>
          <w:tcPr>
            <w:tcW w:w="1788" w:type="dxa"/>
            <w:tcBorders>
              <w:top w:val="nil"/>
              <w:left w:val="nil"/>
              <w:bottom w:val="nil"/>
              <w:right w:val="nil"/>
            </w:tcBorders>
            <w:shd w:val="clear" w:color="auto" w:fill="auto"/>
            <w:noWrap/>
            <w:vAlign w:val="center"/>
          </w:tcPr>
          <w:p w14:paraId="77CC9D5A" w14:textId="77777777" w:rsidR="00E877D5" w:rsidRPr="00DD4A7E" w:rsidRDefault="00E877D5" w:rsidP="003E150F">
            <w:pPr>
              <w:jc w:val="center"/>
              <w:rPr>
                <w:color w:val="000000"/>
              </w:rPr>
            </w:pPr>
            <w:r w:rsidRPr="00DD4A7E">
              <w:rPr>
                <w:color w:val="000000"/>
              </w:rPr>
              <w:t>12</w:t>
            </w:r>
          </w:p>
        </w:tc>
        <w:tc>
          <w:tcPr>
            <w:tcW w:w="1474" w:type="dxa"/>
            <w:tcBorders>
              <w:top w:val="nil"/>
              <w:left w:val="single" w:sz="4" w:space="0" w:color="auto"/>
              <w:bottom w:val="nil"/>
              <w:right w:val="single" w:sz="4" w:space="0" w:color="auto"/>
            </w:tcBorders>
            <w:shd w:val="clear" w:color="auto" w:fill="auto"/>
            <w:noWrap/>
            <w:vAlign w:val="bottom"/>
          </w:tcPr>
          <w:p w14:paraId="7FBD71E3" w14:textId="77777777" w:rsidR="00E877D5" w:rsidRPr="00DD4A7E" w:rsidRDefault="00E877D5" w:rsidP="003E150F">
            <w:pPr>
              <w:jc w:val="center"/>
              <w:rPr>
                <w:color w:val="000000"/>
                <w:sz w:val="22"/>
                <w:szCs w:val="22"/>
              </w:rPr>
            </w:pPr>
            <w:r w:rsidRPr="00DD4A7E">
              <w:rPr>
                <w:color w:val="000000"/>
                <w:sz w:val="22"/>
                <w:szCs w:val="22"/>
              </w:rPr>
              <w:t>15</w:t>
            </w:r>
          </w:p>
        </w:tc>
        <w:tc>
          <w:tcPr>
            <w:tcW w:w="1342" w:type="dxa"/>
            <w:tcBorders>
              <w:top w:val="nil"/>
              <w:left w:val="nil"/>
              <w:bottom w:val="nil"/>
              <w:right w:val="single" w:sz="4" w:space="0" w:color="auto"/>
            </w:tcBorders>
            <w:shd w:val="clear" w:color="auto" w:fill="auto"/>
            <w:noWrap/>
            <w:vAlign w:val="bottom"/>
          </w:tcPr>
          <w:p w14:paraId="21C71CC2" w14:textId="77777777" w:rsidR="00E877D5" w:rsidRPr="00DD4A7E" w:rsidRDefault="00E877D5" w:rsidP="003E150F">
            <w:pPr>
              <w:jc w:val="center"/>
              <w:rPr>
                <w:color w:val="000000"/>
                <w:sz w:val="22"/>
                <w:szCs w:val="22"/>
              </w:rPr>
            </w:pPr>
            <w:r w:rsidRPr="00DD4A7E">
              <w:rPr>
                <w:color w:val="000000"/>
                <w:sz w:val="22"/>
                <w:szCs w:val="22"/>
              </w:rPr>
              <w:t>90</w:t>
            </w:r>
          </w:p>
        </w:tc>
        <w:tc>
          <w:tcPr>
            <w:tcW w:w="1431" w:type="dxa"/>
            <w:tcBorders>
              <w:top w:val="nil"/>
              <w:left w:val="nil"/>
              <w:bottom w:val="nil"/>
              <w:right w:val="single" w:sz="4" w:space="0" w:color="auto"/>
            </w:tcBorders>
            <w:shd w:val="clear" w:color="auto" w:fill="auto"/>
            <w:noWrap/>
            <w:vAlign w:val="bottom"/>
          </w:tcPr>
          <w:p w14:paraId="6EA70BBA" w14:textId="77777777" w:rsidR="00E877D5" w:rsidRPr="00DD4A7E" w:rsidRDefault="00E877D5" w:rsidP="003E150F">
            <w:pPr>
              <w:jc w:val="center"/>
              <w:rPr>
                <w:color w:val="000000"/>
                <w:sz w:val="22"/>
                <w:szCs w:val="22"/>
              </w:rPr>
            </w:pPr>
            <w:r w:rsidRPr="00DD4A7E">
              <w:rPr>
                <w:color w:val="000000"/>
                <w:sz w:val="22"/>
                <w:szCs w:val="22"/>
              </w:rPr>
              <w:t>16</w:t>
            </w:r>
          </w:p>
        </w:tc>
      </w:tr>
      <w:tr w:rsidR="00E877D5" w:rsidRPr="00DD4A7E" w14:paraId="27CF9C29" w14:textId="77777777" w:rsidTr="003E150F">
        <w:trPr>
          <w:trHeight w:val="300"/>
        </w:trPr>
        <w:tc>
          <w:tcPr>
            <w:tcW w:w="881" w:type="dxa"/>
            <w:tcBorders>
              <w:top w:val="nil"/>
              <w:left w:val="single" w:sz="4" w:space="0" w:color="auto"/>
              <w:bottom w:val="nil"/>
              <w:right w:val="nil"/>
            </w:tcBorders>
            <w:shd w:val="clear" w:color="auto" w:fill="auto"/>
            <w:noWrap/>
            <w:vAlign w:val="center"/>
          </w:tcPr>
          <w:p w14:paraId="6F33F3FD" w14:textId="77777777" w:rsidR="00E877D5" w:rsidRPr="00DD4A7E" w:rsidRDefault="00E877D5" w:rsidP="003E150F">
            <w:pPr>
              <w:jc w:val="center"/>
              <w:rPr>
                <w:color w:val="000000"/>
                <w:sz w:val="22"/>
                <w:szCs w:val="22"/>
              </w:rPr>
            </w:pPr>
            <w:r w:rsidRPr="00DD4A7E">
              <w:rPr>
                <w:color w:val="000000"/>
                <w:sz w:val="22"/>
                <w:szCs w:val="22"/>
              </w:rPr>
              <w:t>10</w:t>
            </w:r>
          </w:p>
        </w:tc>
        <w:tc>
          <w:tcPr>
            <w:tcW w:w="1263" w:type="dxa"/>
            <w:tcBorders>
              <w:top w:val="nil"/>
              <w:left w:val="single" w:sz="4" w:space="0" w:color="auto"/>
              <w:bottom w:val="nil"/>
              <w:right w:val="single" w:sz="4" w:space="0" w:color="auto"/>
            </w:tcBorders>
            <w:shd w:val="clear" w:color="auto" w:fill="auto"/>
            <w:noWrap/>
            <w:vAlign w:val="bottom"/>
          </w:tcPr>
          <w:p w14:paraId="37241ADC" w14:textId="77777777" w:rsidR="00E877D5" w:rsidRPr="00DD4A7E" w:rsidRDefault="00E877D5" w:rsidP="003E150F">
            <w:pPr>
              <w:jc w:val="center"/>
              <w:rPr>
                <w:color w:val="000000"/>
                <w:sz w:val="22"/>
                <w:szCs w:val="22"/>
              </w:rPr>
            </w:pPr>
            <w:r w:rsidRPr="00DD4A7E">
              <w:rPr>
                <w:color w:val="000000"/>
                <w:sz w:val="22"/>
                <w:szCs w:val="22"/>
              </w:rPr>
              <w:t>1,3,4</w:t>
            </w:r>
          </w:p>
        </w:tc>
        <w:tc>
          <w:tcPr>
            <w:tcW w:w="1788" w:type="dxa"/>
            <w:tcBorders>
              <w:top w:val="nil"/>
              <w:left w:val="nil"/>
              <w:bottom w:val="nil"/>
              <w:right w:val="nil"/>
            </w:tcBorders>
            <w:shd w:val="clear" w:color="auto" w:fill="auto"/>
            <w:noWrap/>
            <w:vAlign w:val="center"/>
          </w:tcPr>
          <w:p w14:paraId="7F273DC3" w14:textId="77777777" w:rsidR="00E877D5" w:rsidRPr="00DD4A7E" w:rsidRDefault="00E877D5" w:rsidP="003E150F">
            <w:pPr>
              <w:jc w:val="center"/>
              <w:rPr>
                <w:color w:val="000000"/>
              </w:rPr>
            </w:pPr>
            <w:r w:rsidRPr="00DD4A7E">
              <w:rPr>
                <w:color w:val="000000"/>
              </w:rPr>
              <w:t>12</w:t>
            </w:r>
          </w:p>
        </w:tc>
        <w:tc>
          <w:tcPr>
            <w:tcW w:w="1474" w:type="dxa"/>
            <w:tcBorders>
              <w:top w:val="nil"/>
              <w:left w:val="single" w:sz="4" w:space="0" w:color="auto"/>
              <w:bottom w:val="nil"/>
              <w:right w:val="single" w:sz="4" w:space="0" w:color="auto"/>
            </w:tcBorders>
            <w:shd w:val="clear" w:color="auto" w:fill="auto"/>
            <w:noWrap/>
            <w:vAlign w:val="bottom"/>
          </w:tcPr>
          <w:p w14:paraId="1F796BDC" w14:textId="77777777" w:rsidR="00E877D5" w:rsidRPr="00DD4A7E" w:rsidRDefault="00E877D5" w:rsidP="003E150F">
            <w:pPr>
              <w:jc w:val="center"/>
              <w:rPr>
                <w:color w:val="000000"/>
                <w:sz w:val="22"/>
                <w:szCs w:val="22"/>
              </w:rPr>
            </w:pPr>
            <w:r w:rsidRPr="00DD4A7E">
              <w:rPr>
                <w:color w:val="000000"/>
                <w:sz w:val="22"/>
                <w:szCs w:val="22"/>
              </w:rPr>
              <w:t>15</w:t>
            </w:r>
          </w:p>
        </w:tc>
        <w:tc>
          <w:tcPr>
            <w:tcW w:w="1342" w:type="dxa"/>
            <w:tcBorders>
              <w:top w:val="nil"/>
              <w:left w:val="nil"/>
              <w:bottom w:val="nil"/>
              <w:right w:val="single" w:sz="4" w:space="0" w:color="auto"/>
            </w:tcBorders>
            <w:shd w:val="clear" w:color="auto" w:fill="auto"/>
            <w:noWrap/>
            <w:vAlign w:val="bottom"/>
          </w:tcPr>
          <w:p w14:paraId="102BA0E1" w14:textId="77777777" w:rsidR="00E877D5" w:rsidRPr="00DD4A7E" w:rsidRDefault="00E877D5" w:rsidP="003E150F">
            <w:pPr>
              <w:jc w:val="center"/>
              <w:rPr>
                <w:color w:val="000000"/>
                <w:sz w:val="22"/>
                <w:szCs w:val="22"/>
              </w:rPr>
            </w:pPr>
            <w:r w:rsidRPr="00DD4A7E">
              <w:rPr>
                <w:color w:val="000000"/>
                <w:sz w:val="22"/>
                <w:szCs w:val="22"/>
              </w:rPr>
              <w:t>90</w:t>
            </w:r>
          </w:p>
        </w:tc>
        <w:tc>
          <w:tcPr>
            <w:tcW w:w="1431" w:type="dxa"/>
            <w:tcBorders>
              <w:top w:val="nil"/>
              <w:left w:val="nil"/>
              <w:bottom w:val="nil"/>
              <w:right w:val="single" w:sz="4" w:space="0" w:color="auto"/>
            </w:tcBorders>
            <w:shd w:val="clear" w:color="auto" w:fill="auto"/>
            <w:noWrap/>
            <w:vAlign w:val="bottom"/>
          </w:tcPr>
          <w:p w14:paraId="74C795ED" w14:textId="77777777" w:rsidR="00E877D5" w:rsidRPr="00DD4A7E" w:rsidRDefault="00E877D5" w:rsidP="003E150F">
            <w:pPr>
              <w:jc w:val="center"/>
              <w:rPr>
                <w:color w:val="000000"/>
                <w:sz w:val="22"/>
                <w:szCs w:val="22"/>
              </w:rPr>
            </w:pPr>
            <w:r w:rsidRPr="00DD4A7E">
              <w:rPr>
                <w:color w:val="000000"/>
                <w:sz w:val="22"/>
                <w:szCs w:val="22"/>
              </w:rPr>
              <w:t>16</w:t>
            </w:r>
          </w:p>
        </w:tc>
      </w:tr>
      <w:tr w:rsidR="00E877D5" w:rsidRPr="00DD4A7E" w14:paraId="6317D742" w14:textId="77777777" w:rsidTr="003E150F">
        <w:trPr>
          <w:trHeight w:val="300"/>
        </w:trPr>
        <w:tc>
          <w:tcPr>
            <w:tcW w:w="881" w:type="dxa"/>
            <w:tcBorders>
              <w:top w:val="nil"/>
              <w:left w:val="single" w:sz="4" w:space="0" w:color="auto"/>
              <w:bottom w:val="nil"/>
              <w:right w:val="nil"/>
            </w:tcBorders>
            <w:shd w:val="clear" w:color="auto" w:fill="auto"/>
            <w:noWrap/>
            <w:vAlign w:val="center"/>
          </w:tcPr>
          <w:p w14:paraId="62A69C7F" w14:textId="77777777" w:rsidR="00E877D5" w:rsidRPr="00DD4A7E" w:rsidRDefault="00E877D5" w:rsidP="003E150F">
            <w:pPr>
              <w:jc w:val="center"/>
              <w:rPr>
                <w:color w:val="000000"/>
                <w:sz w:val="22"/>
                <w:szCs w:val="22"/>
              </w:rPr>
            </w:pPr>
            <w:r w:rsidRPr="00DD4A7E">
              <w:rPr>
                <w:color w:val="000000"/>
                <w:sz w:val="22"/>
                <w:szCs w:val="22"/>
              </w:rPr>
              <w:t>11</w:t>
            </w:r>
          </w:p>
        </w:tc>
        <w:tc>
          <w:tcPr>
            <w:tcW w:w="1263" w:type="dxa"/>
            <w:tcBorders>
              <w:top w:val="nil"/>
              <w:left w:val="single" w:sz="4" w:space="0" w:color="auto"/>
              <w:bottom w:val="nil"/>
              <w:right w:val="single" w:sz="4" w:space="0" w:color="auto"/>
            </w:tcBorders>
            <w:shd w:val="clear" w:color="auto" w:fill="auto"/>
            <w:noWrap/>
            <w:vAlign w:val="bottom"/>
          </w:tcPr>
          <w:p w14:paraId="2CCE988B" w14:textId="77777777" w:rsidR="00E877D5" w:rsidRPr="00DD4A7E" w:rsidRDefault="00E877D5" w:rsidP="003E150F">
            <w:pPr>
              <w:jc w:val="center"/>
              <w:rPr>
                <w:color w:val="000000"/>
                <w:sz w:val="22"/>
                <w:szCs w:val="22"/>
              </w:rPr>
            </w:pPr>
            <w:r w:rsidRPr="00DD4A7E">
              <w:rPr>
                <w:color w:val="000000"/>
                <w:sz w:val="22"/>
                <w:szCs w:val="22"/>
              </w:rPr>
              <w:t>1,3,5</w:t>
            </w:r>
          </w:p>
        </w:tc>
        <w:tc>
          <w:tcPr>
            <w:tcW w:w="1788" w:type="dxa"/>
            <w:tcBorders>
              <w:top w:val="nil"/>
              <w:left w:val="nil"/>
              <w:bottom w:val="nil"/>
              <w:right w:val="nil"/>
            </w:tcBorders>
            <w:shd w:val="clear" w:color="auto" w:fill="auto"/>
            <w:noWrap/>
            <w:vAlign w:val="center"/>
          </w:tcPr>
          <w:p w14:paraId="0CBECF43" w14:textId="77777777" w:rsidR="00E877D5" w:rsidRPr="00DD4A7E" w:rsidRDefault="00E877D5" w:rsidP="003E150F">
            <w:pPr>
              <w:jc w:val="center"/>
              <w:rPr>
                <w:color w:val="000000"/>
              </w:rPr>
            </w:pPr>
            <w:r w:rsidRPr="00DD4A7E">
              <w:rPr>
                <w:color w:val="000000"/>
              </w:rPr>
              <w:t>12</w:t>
            </w:r>
          </w:p>
        </w:tc>
        <w:tc>
          <w:tcPr>
            <w:tcW w:w="1474" w:type="dxa"/>
            <w:tcBorders>
              <w:top w:val="nil"/>
              <w:left w:val="single" w:sz="4" w:space="0" w:color="auto"/>
              <w:bottom w:val="nil"/>
              <w:right w:val="single" w:sz="4" w:space="0" w:color="auto"/>
            </w:tcBorders>
            <w:shd w:val="clear" w:color="auto" w:fill="auto"/>
            <w:noWrap/>
            <w:vAlign w:val="bottom"/>
          </w:tcPr>
          <w:p w14:paraId="0F21EAC0" w14:textId="77777777" w:rsidR="00E877D5" w:rsidRPr="00DD4A7E" w:rsidRDefault="00E877D5" w:rsidP="003E150F">
            <w:pPr>
              <w:jc w:val="center"/>
              <w:rPr>
                <w:color w:val="000000"/>
                <w:sz w:val="22"/>
                <w:szCs w:val="22"/>
              </w:rPr>
            </w:pPr>
            <w:r w:rsidRPr="00DD4A7E">
              <w:rPr>
                <w:color w:val="000000"/>
                <w:sz w:val="22"/>
                <w:szCs w:val="22"/>
              </w:rPr>
              <w:t>15</w:t>
            </w:r>
          </w:p>
        </w:tc>
        <w:tc>
          <w:tcPr>
            <w:tcW w:w="1342" w:type="dxa"/>
            <w:tcBorders>
              <w:top w:val="nil"/>
              <w:left w:val="nil"/>
              <w:bottom w:val="nil"/>
              <w:right w:val="single" w:sz="4" w:space="0" w:color="auto"/>
            </w:tcBorders>
            <w:shd w:val="clear" w:color="auto" w:fill="auto"/>
            <w:noWrap/>
            <w:vAlign w:val="bottom"/>
          </w:tcPr>
          <w:p w14:paraId="23377E13" w14:textId="77777777" w:rsidR="00E877D5" w:rsidRPr="00DD4A7E" w:rsidRDefault="00E877D5" w:rsidP="003E150F">
            <w:pPr>
              <w:jc w:val="center"/>
              <w:rPr>
                <w:color w:val="000000"/>
                <w:sz w:val="22"/>
                <w:szCs w:val="22"/>
              </w:rPr>
            </w:pPr>
            <w:r w:rsidRPr="00DD4A7E">
              <w:rPr>
                <w:color w:val="000000"/>
                <w:sz w:val="22"/>
                <w:szCs w:val="22"/>
              </w:rPr>
              <w:t>90</w:t>
            </w:r>
          </w:p>
        </w:tc>
        <w:tc>
          <w:tcPr>
            <w:tcW w:w="1431" w:type="dxa"/>
            <w:tcBorders>
              <w:top w:val="nil"/>
              <w:left w:val="nil"/>
              <w:bottom w:val="nil"/>
              <w:right w:val="single" w:sz="4" w:space="0" w:color="auto"/>
            </w:tcBorders>
            <w:shd w:val="clear" w:color="auto" w:fill="auto"/>
            <w:noWrap/>
            <w:vAlign w:val="bottom"/>
          </w:tcPr>
          <w:p w14:paraId="22EC6CD4" w14:textId="77777777" w:rsidR="00E877D5" w:rsidRPr="00DD4A7E" w:rsidRDefault="00E877D5" w:rsidP="003E150F">
            <w:pPr>
              <w:jc w:val="center"/>
              <w:rPr>
                <w:color w:val="000000"/>
                <w:sz w:val="22"/>
                <w:szCs w:val="22"/>
              </w:rPr>
            </w:pPr>
            <w:r w:rsidRPr="00DD4A7E">
              <w:rPr>
                <w:color w:val="000000"/>
                <w:sz w:val="22"/>
                <w:szCs w:val="22"/>
              </w:rPr>
              <w:t>16</w:t>
            </w:r>
          </w:p>
        </w:tc>
      </w:tr>
      <w:tr w:rsidR="00E877D5" w:rsidRPr="00DD4A7E" w14:paraId="3344B3F4" w14:textId="77777777" w:rsidTr="003E150F">
        <w:trPr>
          <w:trHeight w:val="300"/>
        </w:trPr>
        <w:tc>
          <w:tcPr>
            <w:tcW w:w="881" w:type="dxa"/>
            <w:tcBorders>
              <w:top w:val="nil"/>
              <w:left w:val="single" w:sz="4" w:space="0" w:color="auto"/>
              <w:bottom w:val="single" w:sz="4" w:space="0" w:color="auto"/>
              <w:right w:val="nil"/>
            </w:tcBorders>
            <w:shd w:val="clear" w:color="auto" w:fill="auto"/>
            <w:noWrap/>
            <w:vAlign w:val="bottom"/>
            <w:hideMark/>
          </w:tcPr>
          <w:p w14:paraId="24A9DB71" w14:textId="77777777" w:rsidR="00E877D5" w:rsidRPr="00DD4A7E" w:rsidRDefault="00E877D5" w:rsidP="003E150F">
            <w:pPr>
              <w:jc w:val="center"/>
              <w:rPr>
                <w:color w:val="000000"/>
                <w:sz w:val="22"/>
                <w:szCs w:val="22"/>
              </w:rPr>
            </w:pPr>
            <w:r w:rsidRPr="00DD4A7E">
              <w:rPr>
                <w:color w:val="000000"/>
                <w:sz w:val="22"/>
                <w:szCs w:val="22"/>
              </w:rPr>
              <w:t>12</w:t>
            </w:r>
          </w:p>
        </w:tc>
        <w:tc>
          <w:tcPr>
            <w:tcW w:w="1263" w:type="dxa"/>
            <w:tcBorders>
              <w:top w:val="nil"/>
              <w:left w:val="single" w:sz="4" w:space="0" w:color="auto"/>
              <w:bottom w:val="single" w:sz="4" w:space="0" w:color="auto"/>
              <w:right w:val="single" w:sz="4" w:space="0" w:color="auto"/>
            </w:tcBorders>
            <w:shd w:val="clear" w:color="auto" w:fill="auto"/>
            <w:noWrap/>
            <w:vAlign w:val="bottom"/>
            <w:hideMark/>
          </w:tcPr>
          <w:p w14:paraId="23543713" w14:textId="77777777" w:rsidR="00E877D5" w:rsidRPr="00DD4A7E" w:rsidRDefault="00E877D5" w:rsidP="003E150F">
            <w:pPr>
              <w:jc w:val="center"/>
              <w:rPr>
                <w:color w:val="000000"/>
                <w:sz w:val="22"/>
                <w:szCs w:val="22"/>
              </w:rPr>
            </w:pPr>
            <w:r w:rsidRPr="00DD4A7E">
              <w:rPr>
                <w:color w:val="000000"/>
                <w:sz w:val="22"/>
                <w:szCs w:val="22"/>
              </w:rPr>
              <w:t>1,4,5</w:t>
            </w:r>
          </w:p>
        </w:tc>
        <w:tc>
          <w:tcPr>
            <w:tcW w:w="1788" w:type="dxa"/>
            <w:tcBorders>
              <w:top w:val="nil"/>
              <w:left w:val="nil"/>
              <w:bottom w:val="single" w:sz="4" w:space="0" w:color="auto"/>
              <w:right w:val="nil"/>
            </w:tcBorders>
            <w:shd w:val="clear" w:color="auto" w:fill="auto"/>
            <w:noWrap/>
            <w:vAlign w:val="bottom"/>
            <w:hideMark/>
          </w:tcPr>
          <w:p w14:paraId="70D19024" w14:textId="77777777" w:rsidR="00E877D5" w:rsidRPr="00DD4A7E" w:rsidRDefault="00E877D5" w:rsidP="003E150F">
            <w:pPr>
              <w:jc w:val="center"/>
              <w:rPr>
                <w:color w:val="000000"/>
              </w:rPr>
            </w:pPr>
            <w:r w:rsidRPr="00DD4A7E">
              <w:rPr>
                <w:color w:val="000000"/>
              </w:rPr>
              <w:t>12</w:t>
            </w:r>
          </w:p>
        </w:tc>
        <w:tc>
          <w:tcPr>
            <w:tcW w:w="1474" w:type="dxa"/>
            <w:tcBorders>
              <w:top w:val="nil"/>
              <w:left w:val="single" w:sz="4" w:space="0" w:color="auto"/>
              <w:bottom w:val="single" w:sz="4" w:space="0" w:color="auto"/>
              <w:right w:val="single" w:sz="4" w:space="0" w:color="auto"/>
            </w:tcBorders>
            <w:shd w:val="clear" w:color="auto" w:fill="auto"/>
            <w:noWrap/>
            <w:vAlign w:val="bottom"/>
            <w:hideMark/>
          </w:tcPr>
          <w:p w14:paraId="3293B6C8" w14:textId="77777777" w:rsidR="00E877D5" w:rsidRPr="00DD4A7E" w:rsidRDefault="00E877D5" w:rsidP="003E150F">
            <w:pPr>
              <w:jc w:val="center"/>
              <w:rPr>
                <w:color w:val="000000"/>
                <w:sz w:val="22"/>
                <w:szCs w:val="22"/>
              </w:rPr>
            </w:pPr>
            <w:r w:rsidRPr="00DD4A7E">
              <w:rPr>
                <w:color w:val="000000"/>
                <w:sz w:val="22"/>
                <w:szCs w:val="22"/>
              </w:rPr>
              <w:t>15</w:t>
            </w:r>
          </w:p>
        </w:tc>
        <w:tc>
          <w:tcPr>
            <w:tcW w:w="1342" w:type="dxa"/>
            <w:tcBorders>
              <w:top w:val="nil"/>
              <w:left w:val="nil"/>
              <w:bottom w:val="single" w:sz="4" w:space="0" w:color="auto"/>
              <w:right w:val="single" w:sz="4" w:space="0" w:color="auto"/>
            </w:tcBorders>
            <w:shd w:val="clear" w:color="auto" w:fill="auto"/>
            <w:noWrap/>
            <w:vAlign w:val="bottom"/>
            <w:hideMark/>
          </w:tcPr>
          <w:p w14:paraId="67D7DA50" w14:textId="77777777" w:rsidR="00E877D5" w:rsidRPr="00DD4A7E" w:rsidRDefault="00E877D5" w:rsidP="003E150F">
            <w:pPr>
              <w:jc w:val="center"/>
              <w:rPr>
                <w:color w:val="000000"/>
                <w:sz w:val="22"/>
                <w:szCs w:val="22"/>
              </w:rPr>
            </w:pPr>
            <w:r w:rsidRPr="00DD4A7E">
              <w:rPr>
                <w:color w:val="000000"/>
                <w:sz w:val="22"/>
                <w:szCs w:val="22"/>
              </w:rPr>
              <w:t>90</w:t>
            </w:r>
          </w:p>
        </w:tc>
        <w:tc>
          <w:tcPr>
            <w:tcW w:w="1431" w:type="dxa"/>
            <w:tcBorders>
              <w:top w:val="nil"/>
              <w:left w:val="nil"/>
              <w:bottom w:val="single" w:sz="4" w:space="0" w:color="auto"/>
              <w:right w:val="single" w:sz="4" w:space="0" w:color="auto"/>
            </w:tcBorders>
            <w:shd w:val="clear" w:color="auto" w:fill="auto"/>
            <w:noWrap/>
            <w:vAlign w:val="bottom"/>
            <w:hideMark/>
          </w:tcPr>
          <w:p w14:paraId="5EDF3016" w14:textId="77777777" w:rsidR="00E877D5" w:rsidRPr="00DD4A7E" w:rsidRDefault="00E877D5" w:rsidP="003E150F">
            <w:pPr>
              <w:jc w:val="center"/>
              <w:rPr>
                <w:color w:val="000000"/>
                <w:sz w:val="22"/>
                <w:szCs w:val="22"/>
              </w:rPr>
            </w:pPr>
            <w:r w:rsidRPr="00DD4A7E">
              <w:rPr>
                <w:color w:val="000000"/>
                <w:sz w:val="22"/>
                <w:szCs w:val="22"/>
              </w:rPr>
              <w:t>16</w:t>
            </w:r>
          </w:p>
        </w:tc>
      </w:tr>
      <w:tr w:rsidR="00E877D5" w14:paraId="195066CD" w14:textId="77777777" w:rsidTr="003E150F">
        <w:trPr>
          <w:trHeight w:val="300"/>
        </w:trPr>
        <w:tc>
          <w:tcPr>
            <w:tcW w:w="5406" w:type="dxa"/>
            <w:gridSpan w:val="4"/>
            <w:tcBorders>
              <w:top w:val="nil"/>
              <w:left w:val="nil"/>
              <w:bottom w:val="nil"/>
              <w:right w:val="nil"/>
            </w:tcBorders>
            <w:shd w:val="clear" w:color="auto" w:fill="auto"/>
            <w:noWrap/>
            <w:vAlign w:val="bottom"/>
            <w:hideMark/>
          </w:tcPr>
          <w:p w14:paraId="6DB86A0F" w14:textId="77777777" w:rsidR="00E877D5" w:rsidRPr="00DD4A7E" w:rsidRDefault="00E877D5" w:rsidP="003E150F">
            <w:pPr>
              <w:rPr>
                <w:color w:val="000000"/>
              </w:rPr>
            </w:pPr>
            <w:r w:rsidRPr="00DD4A7E">
              <w:rPr>
                <w:color w:val="000000"/>
              </w:rPr>
              <w:t>* Random order of treatment within session.</w:t>
            </w:r>
          </w:p>
        </w:tc>
        <w:tc>
          <w:tcPr>
            <w:tcW w:w="1342" w:type="dxa"/>
            <w:tcBorders>
              <w:top w:val="nil"/>
              <w:left w:val="nil"/>
              <w:bottom w:val="nil"/>
              <w:right w:val="nil"/>
            </w:tcBorders>
            <w:shd w:val="clear" w:color="auto" w:fill="auto"/>
            <w:noWrap/>
            <w:vAlign w:val="bottom"/>
            <w:hideMark/>
          </w:tcPr>
          <w:p w14:paraId="56C9BA28" w14:textId="77777777" w:rsidR="00E877D5" w:rsidRPr="00DD4A7E" w:rsidRDefault="00E877D5" w:rsidP="003E150F">
            <w:pPr>
              <w:rPr>
                <w:color w:val="000000"/>
                <w:sz w:val="22"/>
                <w:szCs w:val="22"/>
              </w:rPr>
            </w:pPr>
          </w:p>
        </w:tc>
        <w:tc>
          <w:tcPr>
            <w:tcW w:w="1431" w:type="dxa"/>
            <w:tcBorders>
              <w:top w:val="nil"/>
              <w:left w:val="nil"/>
              <w:bottom w:val="nil"/>
              <w:right w:val="nil"/>
            </w:tcBorders>
            <w:shd w:val="clear" w:color="auto" w:fill="auto"/>
            <w:noWrap/>
            <w:vAlign w:val="bottom"/>
            <w:hideMark/>
          </w:tcPr>
          <w:p w14:paraId="13F7825A" w14:textId="77777777" w:rsidR="00E877D5" w:rsidRPr="00DD4A7E" w:rsidRDefault="00E877D5" w:rsidP="003E150F">
            <w:pPr>
              <w:rPr>
                <w:color w:val="000000"/>
                <w:sz w:val="22"/>
                <w:szCs w:val="22"/>
              </w:rPr>
            </w:pPr>
          </w:p>
        </w:tc>
      </w:tr>
    </w:tbl>
    <w:p w14:paraId="3C84917A" w14:textId="77777777" w:rsidR="00E877D5" w:rsidRPr="00E877D5" w:rsidRDefault="00E877D5" w:rsidP="00E877D5">
      <w:pPr>
        <w:spacing w:after="240"/>
        <w:rPr>
          <w:rFonts w:asciiTheme="minorHAnsi" w:eastAsia="Times New Roman" w:hAnsiTheme="minorHAnsi"/>
          <w:lang w:eastAsia="en-US"/>
        </w:rPr>
      </w:pPr>
    </w:p>
    <w:p w14:paraId="44CDC857" w14:textId="77777777" w:rsidR="007D3E37" w:rsidRDefault="007D3E37" w:rsidP="007D3E37">
      <w:pPr>
        <w:pStyle w:val="Heading3"/>
        <w:rPr>
          <w:rFonts w:eastAsia="Times New Roman"/>
          <w:lang w:eastAsia="en-US"/>
        </w:rPr>
      </w:pPr>
      <w:r>
        <w:rPr>
          <w:rFonts w:eastAsia="Times New Roman"/>
          <w:lang w:eastAsia="en-US"/>
        </w:rPr>
        <w:t>Payment</w:t>
      </w:r>
    </w:p>
    <w:p w14:paraId="3151404F" w14:textId="67DD0544" w:rsidR="00577388" w:rsidRDefault="007D3E37" w:rsidP="003B5E83">
      <w:pPr>
        <w:rPr>
          <w:rFonts w:asciiTheme="minorHAnsi" w:eastAsia="Times New Roman" w:hAnsiTheme="minorHAnsi"/>
          <w:lang w:eastAsia="en-US"/>
        </w:rPr>
      </w:pPr>
      <w:r>
        <w:rPr>
          <w:rFonts w:asciiTheme="minorHAnsi" w:eastAsia="Times New Roman" w:hAnsiTheme="minorHAnsi"/>
          <w:lang w:eastAsia="en-US"/>
        </w:rPr>
        <w:t>W</w:t>
      </w:r>
      <w:r w:rsidR="003B5E83" w:rsidRPr="003B5E83">
        <w:rPr>
          <w:rFonts w:asciiTheme="minorHAnsi" w:eastAsia="Times New Roman" w:hAnsiTheme="minorHAnsi"/>
          <w:lang w:eastAsia="en-US"/>
        </w:rPr>
        <w:t>e will normalize payment so</w:t>
      </w:r>
      <w:r>
        <w:rPr>
          <w:rFonts w:asciiTheme="minorHAnsi" w:eastAsia="Times New Roman" w:hAnsiTheme="minorHAnsi"/>
          <w:lang w:eastAsia="en-US"/>
        </w:rPr>
        <w:t xml:space="preserve"> that the average payment is $25</w:t>
      </w:r>
      <w:r w:rsidR="007B651C">
        <w:rPr>
          <w:rFonts w:asciiTheme="minorHAnsi" w:eastAsia="Times New Roman" w:hAnsiTheme="minorHAnsi"/>
          <w:lang w:eastAsia="en-US"/>
        </w:rPr>
        <w:t xml:space="preserve"> per 1.5 hour session</w:t>
      </w:r>
      <w:r>
        <w:rPr>
          <w:rFonts w:asciiTheme="minorHAnsi" w:eastAsia="Times New Roman" w:hAnsiTheme="minorHAnsi"/>
          <w:lang w:eastAsia="en-US"/>
        </w:rPr>
        <w:t>.</w:t>
      </w:r>
    </w:p>
    <w:p w14:paraId="151CDA70" w14:textId="77777777" w:rsidR="007D3E37" w:rsidRDefault="007D3E37" w:rsidP="003B5E83">
      <w:pPr>
        <w:rPr>
          <w:rFonts w:asciiTheme="minorHAnsi" w:eastAsia="Times New Roman" w:hAnsiTheme="minorHAnsi"/>
          <w:lang w:eastAsia="en-US"/>
        </w:rPr>
      </w:pPr>
    </w:p>
    <w:p w14:paraId="08495E5B" w14:textId="77777777" w:rsidR="000A513C" w:rsidRPr="002F6444" w:rsidRDefault="002E5963" w:rsidP="003B5E83">
      <w:r w:rsidRPr="002F6444">
        <w:t xml:space="preserve">In the pretest, the average earnings were 45.81 Experimental Currency Units (ECU), with a minimum payment of 9 and a maximum payment of 106.  In order to ensure that the average payment is $25, this implies a conversion factor of approximately 0.5.  That is, one ECU will be worth $0.50.  The high payment in this case would have been $53 and the low payment $4.50.  </w:t>
      </w:r>
    </w:p>
    <w:p w14:paraId="7379FD4F" w14:textId="77777777" w:rsidR="000A513C" w:rsidRPr="002F6444" w:rsidRDefault="000A513C" w:rsidP="003B5E83"/>
    <w:p w14:paraId="511B4146" w14:textId="016916D9" w:rsidR="000A513C" w:rsidRPr="002F6444" w:rsidRDefault="000A513C" w:rsidP="000A513C">
      <w:pPr>
        <w:pStyle w:val="Num-DocParagraph"/>
        <w:ind w:left="720"/>
        <w:rPr>
          <w:sz w:val="24"/>
          <w:szCs w:val="24"/>
        </w:rPr>
      </w:pPr>
      <w:r w:rsidRPr="002F6444">
        <w:rPr>
          <w:rFonts w:asciiTheme="minorHAnsi" w:eastAsia="Times New Roman" w:hAnsiTheme="minorHAnsi"/>
          <w:sz w:val="24"/>
          <w:szCs w:val="24"/>
        </w:rPr>
        <w:t>If subjects bid less than their value and their bid is accepted, they earn $(value - bid).  If their bid is not accepted in a given round, they earn $0.</w:t>
      </w:r>
      <w:r w:rsidRPr="002F6444">
        <w:rPr>
          <w:rFonts w:asciiTheme="minorHAnsi" w:eastAsia="Times New Roman" w:hAnsiTheme="minorHAnsi"/>
          <w:sz w:val="24"/>
          <w:szCs w:val="24"/>
        </w:rPr>
        <w:br/>
      </w:r>
      <w:r w:rsidRPr="002F6444">
        <w:rPr>
          <w:sz w:val="24"/>
          <w:szCs w:val="24"/>
        </w:rPr>
        <w:lastRenderedPageBreak/>
        <w:t>They will receive a cash payment based on the experimental market outcome which results from each student’s behavior.</w:t>
      </w:r>
      <w:r w:rsidRPr="002F6444">
        <w:rPr>
          <w:rStyle w:val="FootnoteReference"/>
          <w:sz w:val="24"/>
          <w:szCs w:val="24"/>
        </w:rPr>
        <w:footnoteReference w:id="1"/>
      </w:r>
      <w:r w:rsidRPr="002F6444">
        <w:rPr>
          <w:sz w:val="24"/>
          <w:szCs w:val="24"/>
        </w:rPr>
        <w:t xml:space="preserve">  The cash payment will be of uncertain value before the experiments take place, but we do not expect any payments in excess of $50</w:t>
      </w:r>
      <w:r w:rsidRPr="002F6444">
        <w:rPr>
          <w:rStyle w:val="FootnoteReference"/>
          <w:sz w:val="24"/>
          <w:szCs w:val="24"/>
        </w:rPr>
        <w:footnoteReference w:id="2"/>
      </w:r>
      <w:r w:rsidRPr="002F6444">
        <w:rPr>
          <w:rStyle w:val="FootnoteReference"/>
          <w:sz w:val="24"/>
          <w:szCs w:val="24"/>
        </w:rPr>
        <w:footnoteReference w:id="3"/>
      </w:r>
      <w:r w:rsidRPr="002F6444">
        <w:rPr>
          <w:sz w:val="24"/>
          <w:szCs w:val="24"/>
        </w:rPr>
        <w:t xml:space="preserve">  The average payments will be approximately $25.  While a maximum cap would be desirable, given that the market </w:t>
      </w:r>
      <w:proofErr w:type="spellStart"/>
      <w:r w:rsidRPr="002F6444">
        <w:rPr>
          <w:sz w:val="24"/>
          <w:szCs w:val="24"/>
        </w:rPr>
        <w:t>equilibriates</w:t>
      </w:r>
      <w:proofErr w:type="spellEnd"/>
      <w:r w:rsidRPr="002F6444">
        <w:rPr>
          <w:sz w:val="24"/>
          <w:szCs w:val="24"/>
        </w:rPr>
        <w:t xml:space="preserve"> within the experiment and we are specifically testing a treatment without price caps, we cannot guarantee that someone will not earn more than the $50 if we calibrate the ECUs for a $25 USD average payment.  The payments listed here are for the entire 90 minute session, i.e. all auctions participated in by a given individual.  Although individuals participate in many rounds within a session, individuals are paid at the end of the 90 minute session based on 2 randomly-drawn rounds for each auction type (for example, in a session for one </w:t>
      </w:r>
      <w:proofErr w:type="spellStart"/>
      <w:r w:rsidRPr="002F6444">
        <w:rPr>
          <w:sz w:val="24"/>
          <w:szCs w:val="24"/>
        </w:rPr>
        <w:t>treatement</w:t>
      </w:r>
      <w:proofErr w:type="spellEnd"/>
      <w:r w:rsidRPr="002F6444">
        <w:rPr>
          <w:sz w:val="24"/>
          <w:szCs w:val="24"/>
        </w:rPr>
        <w:t xml:space="preserve"> that includes 12 rounds, experimentalists will draw two rounds at random to be the auctions on which payment is based).  This practice prevents any </w:t>
      </w:r>
      <w:r w:rsidRPr="002F6444">
        <w:rPr>
          <w:i/>
          <w:sz w:val="24"/>
          <w:szCs w:val="24"/>
        </w:rPr>
        <w:t>wealth effects</w:t>
      </w:r>
      <w:r w:rsidRPr="002F6444">
        <w:rPr>
          <w:sz w:val="24"/>
          <w:szCs w:val="24"/>
        </w:rPr>
        <w:t xml:space="preserve"> from distorting the findings of the experiment.</w:t>
      </w:r>
      <w:r w:rsidRPr="002F6444">
        <w:rPr>
          <w:rStyle w:val="FootnoteReference"/>
          <w:sz w:val="24"/>
          <w:szCs w:val="24"/>
        </w:rPr>
        <w:footnoteReference w:id="4"/>
      </w:r>
      <w:r w:rsidRPr="002F6444">
        <w:rPr>
          <w:sz w:val="24"/>
          <w:szCs w:val="24"/>
        </w:rPr>
        <w:t xml:space="preserve">  This practice is standard in the literature.</w:t>
      </w:r>
      <w:r w:rsidRPr="002F6444">
        <w:rPr>
          <w:rStyle w:val="FootnoteReference"/>
          <w:sz w:val="24"/>
          <w:szCs w:val="24"/>
        </w:rPr>
        <w:footnoteReference w:id="5"/>
      </w:r>
      <w:r w:rsidRPr="002F6444">
        <w:rPr>
          <w:sz w:val="24"/>
          <w:szCs w:val="24"/>
        </w:rPr>
        <w:t xml:space="preserve"> Therefore, their payments will be based on the sum </w:t>
      </w:r>
      <w:bookmarkStart w:id="0" w:name="_GoBack"/>
      <w:r w:rsidRPr="002F6444">
        <w:rPr>
          <w:sz w:val="24"/>
          <w:szCs w:val="24"/>
        </w:rPr>
        <w:t xml:space="preserve">of 6 randomly drawn rounds: 2 per each auction type. </w:t>
      </w:r>
      <w:r w:rsidR="002F6444">
        <w:rPr>
          <w:sz w:val="24"/>
          <w:szCs w:val="24"/>
        </w:rPr>
        <w:t xml:space="preserve"> Minimum payment will be 7 USD</w:t>
      </w:r>
      <w:r w:rsidR="00385055">
        <w:rPr>
          <w:sz w:val="24"/>
          <w:szCs w:val="24"/>
        </w:rPr>
        <w:t>.</w:t>
      </w:r>
      <w:bookmarkEnd w:id="0"/>
    </w:p>
    <w:p w14:paraId="6F5291EA" w14:textId="77777777" w:rsidR="000A513C" w:rsidRPr="002F6444" w:rsidRDefault="000A513C" w:rsidP="000A513C">
      <w:pPr>
        <w:rPr>
          <w:rFonts w:asciiTheme="minorHAnsi" w:eastAsia="Times New Roman" w:hAnsiTheme="minorHAnsi"/>
          <w:lang w:eastAsia="en-US"/>
        </w:rPr>
      </w:pPr>
      <w:r w:rsidRPr="002F6444">
        <w:rPr>
          <w:rFonts w:asciiTheme="minorHAnsi" w:eastAsia="Times New Roman" w:hAnsiTheme="minorHAnsi"/>
          <w:lang w:eastAsia="en-US"/>
        </w:rPr>
        <w:t xml:space="preserve">If more than 16 participants show up for the experiment, the last person(s) to have registered will receive 7 USD.  </w:t>
      </w:r>
    </w:p>
    <w:p w14:paraId="24A40783" w14:textId="77777777" w:rsidR="002E5963" w:rsidRDefault="002E5963" w:rsidP="003B5E83"/>
    <w:p w14:paraId="43C0E35D" w14:textId="0A9CFFD8" w:rsidR="00D15ED5" w:rsidRDefault="002E5963" w:rsidP="003B5E83">
      <w:pPr>
        <w:rPr>
          <w:rFonts w:asciiTheme="minorHAnsi" w:eastAsia="Times New Roman" w:hAnsiTheme="minorHAnsi"/>
          <w:lang w:eastAsia="en-US"/>
        </w:rPr>
      </w:pPr>
      <w:r>
        <w:t>The payments need to be set such that students are compensated for their participation of 1.5 hours.</w:t>
      </w:r>
      <w:r w:rsidR="00DD517F">
        <w:t xml:space="preserve">  Please see Mini Supporting Statement Part A (section A.9) for </w:t>
      </w:r>
      <w:r w:rsidR="00120589">
        <w:t xml:space="preserve">further </w:t>
      </w:r>
      <w:r w:rsidR="00DD517F">
        <w:t>detail</w:t>
      </w:r>
      <w:r w:rsidR="00120589">
        <w:t xml:space="preserve">s and </w:t>
      </w:r>
      <w:r w:rsidR="00DD517F">
        <w:t>discussion of the payment plan and its justification.</w:t>
      </w:r>
      <w:r w:rsidR="003B5E83" w:rsidRPr="003B5E83">
        <w:rPr>
          <w:rFonts w:asciiTheme="minorHAnsi" w:eastAsia="Times New Roman" w:hAnsiTheme="minorHAnsi"/>
          <w:lang w:eastAsia="en-US"/>
        </w:rPr>
        <w:br/>
      </w:r>
      <w:r w:rsidR="003B5E83" w:rsidRPr="003B5E83">
        <w:rPr>
          <w:rFonts w:asciiTheme="minorHAnsi" w:eastAsia="Times New Roman" w:hAnsiTheme="minorHAnsi"/>
          <w:lang w:eastAsia="en-US"/>
        </w:rPr>
        <w:lastRenderedPageBreak/>
        <w:br/>
      </w:r>
      <w:r w:rsidR="00E227E8" w:rsidRPr="00E227E8">
        <w:rPr>
          <w:rStyle w:val="Heading3Char"/>
        </w:rPr>
        <w:t>Auction clearing</w:t>
      </w:r>
      <w:r w:rsidR="003B5E83" w:rsidRPr="003B5E83">
        <w:rPr>
          <w:rFonts w:asciiTheme="minorHAnsi" w:eastAsia="Times New Roman" w:hAnsiTheme="minorHAnsi"/>
          <w:lang w:eastAsia="en-US"/>
        </w:rPr>
        <w:t xml:space="preserve"> </w:t>
      </w:r>
    </w:p>
    <w:p w14:paraId="59DF3828" w14:textId="77777777" w:rsidR="003B5E83" w:rsidRDefault="003B5E83" w:rsidP="003B5E83">
      <w:pPr>
        <w:rPr>
          <w:rFonts w:asciiTheme="minorHAnsi" w:eastAsia="Times New Roman" w:hAnsiTheme="minorHAnsi"/>
          <w:lang w:eastAsia="en-US"/>
        </w:rPr>
      </w:pPr>
      <w:r w:rsidRPr="003B5E83">
        <w:rPr>
          <w:rFonts w:asciiTheme="minorHAnsi" w:eastAsia="Times New Roman" w:hAnsiTheme="minorHAnsi"/>
          <w:lang w:eastAsia="en-US"/>
        </w:rPr>
        <w:t xml:space="preserve">The auction will clear based on a fixed </w:t>
      </w:r>
      <w:r w:rsidR="00D15ED5">
        <w:rPr>
          <w:rFonts w:asciiTheme="minorHAnsi" w:eastAsia="Times New Roman" w:hAnsiTheme="minorHAnsi"/>
          <w:lang w:eastAsia="en-US"/>
        </w:rPr>
        <w:t xml:space="preserve">unit </w:t>
      </w:r>
      <w:r w:rsidRPr="003B5E83">
        <w:rPr>
          <w:rFonts w:asciiTheme="minorHAnsi" w:eastAsia="Times New Roman" w:hAnsiTheme="minorHAnsi"/>
          <w:lang w:eastAsia="en-US"/>
        </w:rPr>
        <w:t>demand (as opposed to a budget-constrained auction).</w:t>
      </w:r>
      <w:r w:rsidR="00D15ED5">
        <w:rPr>
          <w:rFonts w:asciiTheme="minorHAnsi" w:eastAsia="Times New Roman" w:hAnsiTheme="minorHAnsi"/>
          <w:lang w:eastAsia="en-US"/>
        </w:rPr>
        <w:t xml:space="preserve">  Assuming 16 participants (sellers) per experiment and a single unit available for each participant to sell, the buyer will accept 8 units.  If all participants choose to make a bid, then this will result in a 50 percent bid-acceptance rate.</w:t>
      </w:r>
    </w:p>
    <w:p w14:paraId="637A3A69" w14:textId="77777777" w:rsidR="002610C2" w:rsidRDefault="002610C2" w:rsidP="00427951">
      <w:pPr>
        <w:pStyle w:val="Heading3"/>
        <w:rPr>
          <w:rFonts w:eastAsia="Times New Roman"/>
          <w:lang w:eastAsia="en-US"/>
        </w:rPr>
      </w:pPr>
      <w:r>
        <w:rPr>
          <w:rFonts w:eastAsia="Times New Roman"/>
          <w:lang w:eastAsia="en-US"/>
        </w:rPr>
        <w:t>Key Auction Terminology</w:t>
      </w:r>
    </w:p>
    <w:p w14:paraId="631FACDA" w14:textId="77777777" w:rsidR="005A23D1" w:rsidRDefault="00E227E8" w:rsidP="002A7F15">
      <w:pPr>
        <w:rPr>
          <w:lang w:eastAsia="en-US"/>
        </w:rPr>
      </w:pPr>
      <w:r w:rsidRPr="002A7F15">
        <w:rPr>
          <w:b/>
          <w:i/>
          <w:lang w:eastAsia="en-US"/>
        </w:rPr>
        <w:t>Unit</w:t>
      </w:r>
      <w:r w:rsidR="002610C2">
        <w:rPr>
          <w:b/>
          <w:lang w:eastAsia="en-US"/>
        </w:rPr>
        <w:t>:</w:t>
      </w:r>
      <w:r w:rsidR="002610C2">
        <w:rPr>
          <w:lang w:eastAsia="en-US"/>
        </w:rPr>
        <w:t xml:space="preserve"> A unit is the item that participants are selling at auction.  At the beginning of each round, each participant has one unit to sell.</w:t>
      </w:r>
    </w:p>
    <w:p w14:paraId="513717D0" w14:textId="77777777" w:rsidR="005A23D1" w:rsidRDefault="005A23D1" w:rsidP="002A7F15">
      <w:pPr>
        <w:rPr>
          <w:lang w:eastAsia="en-US"/>
        </w:rPr>
      </w:pPr>
    </w:p>
    <w:p w14:paraId="499960A0" w14:textId="77777777" w:rsidR="005A23D1" w:rsidRDefault="002610C2" w:rsidP="002A7F15">
      <w:pPr>
        <w:rPr>
          <w:rFonts w:eastAsiaTheme="minorEastAsia"/>
          <w:lang w:eastAsia="en-US"/>
        </w:rPr>
      </w:pPr>
      <w:r>
        <w:rPr>
          <w:b/>
          <w:i/>
          <w:lang w:eastAsia="en-US"/>
        </w:rPr>
        <w:t>Valuation:</w:t>
      </w:r>
      <w:r>
        <w:rPr>
          <w:lang w:eastAsia="en-US"/>
        </w:rPr>
        <w:t xml:space="preserve"> The valuation of each unit (</w:t>
      </w:r>
      <m:oMath>
        <m:sSub>
          <m:sSubPr>
            <m:ctrlPr>
              <w:rPr>
                <w:rFonts w:ascii="Cambria Math" w:hAnsi="Cambria Math"/>
                <w:i/>
                <w:lang w:eastAsia="en-US"/>
              </w:rPr>
            </m:ctrlPr>
          </m:sSubPr>
          <m:e>
            <m:r>
              <w:rPr>
                <w:rFonts w:ascii="Cambria Math" w:hAnsi="Cambria Math"/>
                <w:lang w:eastAsia="en-US"/>
              </w:rPr>
              <m:t>v</m:t>
            </m:r>
          </m:e>
          <m:sub>
            <m:r>
              <w:rPr>
                <w:rFonts w:ascii="Cambria Math" w:hAnsi="Cambria Math"/>
                <w:lang w:eastAsia="en-US"/>
              </w:rPr>
              <m:t>i</m:t>
            </m:r>
          </m:sub>
        </m:sSub>
      </m:oMath>
      <w:r>
        <w:rPr>
          <w:rFonts w:eastAsiaTheme="minorEastAsia"/>
          <w:lang w:eastAsia="en-US"/>
        </w:rPr>
        <w:t xml:space="preserve">) is private information about the cost (i.e.: “reserve value” or “opportunity cost”) of each unit.  Each </w:t>
      </w:r>
      <w:r w:rsidR="00466DD3">
        <w:rPr>
          <w:rFonts w:eastAsiaTheme="minorEastAsia"/>
          <w:lang w:eastAsia="en-US"/>
        </w:rPr>
        <w:t>participant</w:t>
      </w:r>
      <w:r>
        <w:rPr>
          <w:rFonts w:eastAsiaTheme="minorEastAsia"/>
          <w:lang w:eastAsia="en-US"/>
        </w:rPr>
        <w:t xml:space="preserve"> knows their own valuation, which is given to them at the beginning of a round.  </w:t>
      </w:r>
      <w:r w:rsidR="00466DD3">
        <w:rPr>
          <w:rFonts w:eastAsiaTheme="minorEastAsia"/>
          <w:lang w:eastAsia="en-US"/>
        </w:rPr>
        <w:t>Participants</w:t>
      </w:r>
      <w:r>
        <w:rPr>
          <w:rFonts w:eastAsiaTheme="minorEastAsia"/>
          <w:lang w:eastAsia="en-US"/>
        </w:rPr>
        <w:t xml:space="preserve"> do not know each other’s valuations.  The buyer does not know any of the </w:t>
      </w:r>
      <w:r w:rsidR="00466DD3">
        <w:rPr>
          <w:rFonts w:eastAsiaTheme="minorEastAsia"/>
          <w:lang w:eastAsia="en-US"/>
        </w:rPr>
        <w:t>participants’</w:t>
      </w:r>
      <w:r>
        <w:rPr>
          <w:rFonts w:eastAsiaTheme="minorEastAsia"/>
          <w:lang w:eastAsia="en-US"/>
        </w:rPr>
        <w:t xml:space="preserve"> valuations.</w:t>
      </w:r>
    </w:p>
    <w:p w14:paraId="1C1CC0B4" w14:textId="77777777" w:rsidR="005A23D1" w:rsidRDefault="005A23D1" w:rsidP="002A7F15">
      <w:pPr>
        <w:rPr>
          <w:rFonts w:eastAsiaTheme="minorEastAsia"/>
          <w:lang w:eastAsia="en-US"/>
        </w:rPr>
      </w:pPr>
    </w:p>
    <w:p w14:paraId="1619866B" w14:textId="77777777" w:rsidR="005A23D1" w:rsidRPr="002A7F15" w:rsidRDefault="00C85C80" w:rsidP="002A7F15">
      <w:pPr>
        <w:rPr>
          <w:lang w:eastAsia="en-US"/>
        </w:rPr>
      </w:pPr>
      <w:r>
        <w:rPr>
          <w:rFonts w:eastAsiaTheme="minorEastAsia"/>
          <w:b/>
          <w:i/>
          <w:lang w:eastAsia="en-US"/>
        </w:rPr>
        <w:t>Reference price</w:t>
      </w:r>
      <w:r w:rsidR="00466DD3">
        <w:rPr>
          <w:rFonts w:eastAsiaTheme="minorEastAsia"/>
          <w:i/>
          <w:lang w:eastAsia="en-US"/>
        </w:rPr>
        <w:t>:</w:t>
      </w:r>
      <w:r w:rsidR="00466DD3">
        <w:rPr>
          <w:rFonts w:eastAsiaTheme="minorEastAsia"/>
          <w:lang w:eastAsia="en-US"/>
        </w:rPr>
        <w:t xml:space="preserve"> The buyer’s beliefs about the cost of each unit (</w:t>
      </w:r>
      <m:oMath>
        <m:acc>
          <m:accPr>
            <m:ctrlPr>
              <w:rPr>
                <w:rFonts w:ascii="Cambria Math" w:eastAsiaTheme="minorEastAsia" w:hAnsi="Cambria Math"/>
                <w:i/>
                <w:lang w:eastAsia="en-US"/>
              </w:rPr>
            </m:ctrlPr>
          </m:accPr>
          <m:e>
            <m:sSub>
              <m:sSubPr>
                <m:ctrlPr>
                  <w:rPr>
                    <w:rFonts w:ascii="Cambria Math" w:eastAsiaTheme="minorEastAsia" w:hAnsi="Cambria Math"/>
                    <w:i/>
                    <w:lang w:eastAsia="en-US"/>
                  </w:rPr>
                </m:ctrlPr>
              </m:sSubPr>
              <m:e>
                <m:r>
                  <w:rPr>
                    <w:rFonts w:ascii="Cambria Math" w:eastAsiaTheme="minorEastAsia" w:hAnsi="Cambria Math"/>
                    <w:lang w:eastAsia="en-US"/>
                  </w:rPr>
                  <m:t>v</m:t>
                </m:r>
              </m:e>
              <m:sub>
                <m:r>
                  <w:rPr>
                    <w:rFonts w:ascii="Cambria Math" w:eastAsiaTheme="minorEastAsia" w:hAnsi="Cambria Math"/>
                    <w:lang w:eastAsia="en-US"/>
                  </w:rPr>
                  <m:t>i</m:t>
                </m:r>
              </m:sub>
            </m:sSub>
          </m:e>
        </m:acc>
      </m:oMath>
      <w:r w:rsidR="00466DD3">
        <w:rPr>
          <w:rFonts w:eastAsiaTheme="minorEastAsia"/>
          <w:lang w:eastAsia="en-US"/>
        </w:rPr>
        <w:t xml:space="preserve">) is semi-private information about the buyer’s beliefs.  </w:t>
      </w:r>
      <w:r w:rsidR="002A7F15">
        <w:rPr>
          <w:rFonts w:eastAsiaTheme="minorEastAsia"/>
          <w:lang w:eastAsia="en-US"/>
        </w:rPr>
        <w:t>In some treatments, participants learn the buyer’s estimate</w:t>
      </w:r>
      <w:r w:rsidR="00466DD3">
        <w:rPr>
          <w:rFonts w:eastAsiaTheme="minorEastAsia"/>
          <w:lang w:eastAsia="en-US"/>
        </w:rPr>
        <w:t xml:space="preserve"> </w:t>
      </w:r>
      <w:r w:rsidR="002A7F15">
        <w:rPr>
          <w:rFonts w:eastAsiaTheme="minorEastAsia"/>
          <w:lang w:eastAsia="en-US"/>
        </w:rPr>
        <w:t xml:space="preserve">of </w:t>
      </w:r>
      <w:r w:rsidR="00466DD3">
        <w:rPr>
          <w:rFonts w:eastAsiaTheme="minorEastAsia"/>
          <w:lang w:eastAsia="en-US"/>
        </w:rPr>
        <w:t xml:space="preserve">their own </w:t>
      </w:r>
      <w:r w:rsidR="004F529C">
        <w:rPr>
          <w:rFonts w:eastAsiaTheme="minorEastAsia"/>
          <w:lang w:eastAsia="en-US"/>
        </w:rPr>
        <w:t xml:space="preserve">unit’s </w:t>
      </w:r>
      <w:r w:rsidR="00466DD3">
        <w:rPr>
          <w:rFonts w:eastAsiaTheme="minorEastAsia"/>
          <w:lang w:eastAsia="en-US"/>
        </w:rPr>
        <w:t>value.</w:t>
      </w:r>
      <w:r w:rsidR="004F529C">
        <w:rPr>
          <w:rFonts w:eastAsiaTheme="minorEastAsia"/>
          <w:lang w:eastAsia="en-US"/>
        </w:rPr>
        <w:t xml:space="preserve">  </w:t>
      </w:r>
      <w:r w:rsidR="002A7F15">
        <w:rPr>
          <w:rFonts w:eastAsiaTheme="minorEastAsia"/>
          <w:lang w:eastAsia="en-US"/>
        </w:rPr>
        <w:t>P</w:t>
      </w:r>
      <w:r w:rsidR="004F529C">
        <w:rPr>
          <w:rFonts w:eastAsiaTheme="minorEastAsia"/>
          <w:lang w:eastAsia="en-US"/>
        </w:rPr>
        <w:t xml:space="preserve">articipants are </w:t>
      </w:r>
      <w:r w:rsidR="002A7F15" w:rsidRPr="002A7F15">
        <w:rPr>
          <w:rFonts w:eastAsiaTheme="minorEastAsia"/>
          <w:i/>
          <w:lang w:eastAsia="en-US"/>
        </w:rPr>
        <w:t>never</w:t>
      </w:r>
      <w:r w:rsidR="004F529C">
        <w:rPr>
          <w:rFonts w:eastAsiaTheme="minorEastAsia"/>
          <w:lang w:eastAsia="en-US"/>
        </w:rPr>
        <w:t xml:space="preserve"> told what the buyer believes about the values of other participants’ units.  The reason that the buyer’s beliefs are disclosed is that these beliefs are explicit determinants of key parameters in the auction design.  For example, in the simplest auction design, the buyer’s estimate serves as an upper limit on each individual’s bid. </w:t>
      </w:r>
      <w:r w:rsidR="002610C2">
        <w:rPr>
          <w:b/>
          <w:lang w:eastAsia="en-US"/>
        </w:rPr>
        <w:t xml:space="preserve"> </w:t>
      </w:r>
    </w:p>
    <w:p w14:paraId="6C468638" w14:textId="77777777" w:rsidR="00427951" w:rsidRDefault="00427951" w:rsidP="00427951">
      <w:pPr>
        <w:pStyle w:val="Heading3"/>
        <w:rPr>
          <w:rFonts w:eastAsia="Times New Roman"/>
          <w:lang w:eastAsia="en-US"/>
        </w:rPr>
      </w:pPr>
      <w:r>
        <w:rPr>
          <w:rFonts w:eastAsia="Times New Roman"/>
          <w:lang w:eastAsia="en-US"/>
        </w:rPr>
        <w:t>D</w:t>
      </w:r>
      <w:r w:rsidR="002A7F15">
        <w:rPr>
          <w:rFonts w:eastAsia="Times New Roman"/>
          <w:lang w:eastAsia="en-US"/>
        </w:rPr>
        <w:t>etermination of</w:t>
      </w:r>
      <w:r>
        <w:rPr>
          <w:rFonts w:eastAsia="Times New Roman"/>
          <w:lang w:eastAsia="en-US"/>
        </w:rPr>
        <w:t xml:space="preserve"> value</w:t>
      </w:r>
    </w:p>
    <w:p w14:paraId="6897F9E4" w14:textId="77777777" w:rsidR="003F638D" w:rsidRDefault="008F3837" w:rsidP="00427951">
      <w:pPr>
        <w:rPr>
          <w:lang w:eastAsia="en-US"/>
        </w:rPr>
      </w:pPr>
      <w:r>
        <w:rPr>
          <w:lang w:eastAsia="en-US"/>
        </w:rPr>
        <w:t>The first steps in running each round involve determining each participant’s valuation</w:t>
      </w:r>
      <w:r w:rsidR="00FC260F">
        <w:rPr>
          <w:lang w:eastAsia="en-US"/>
        </w:rPr>
        <w:t xml:space="preserve"> for the unit that they can offer in that round</w:t>
      </w:r>
      <w:r>
        <w:rPr>
          <w:lang w:eastAsia="en-US"/>
        </w:rPr>
        <w:t>.  The parameterization of the valuation process is an important part of the design of this experiment</w:t>
      </w:r>
      <w:r w:rsidR="000D1EFA">
        <w:rPr>
          <w:lang w:eastAsia="en-US"/>
        </w:rPr>
        <w:t>.</w:t>
      </w:r>
    </w:p>
    <w:p w14:paraId="295AA13B" w14:textId="77777777" w:rsidR="005C7129" w:rsidRDefault="005C7129" w:rsidP="00427951">
      <w:pPr>
        <w:rPr>
          <w:lang w:eastAsia="en-US"/>
        </w:rPr>
      </w:pPr>
    </w:p>
    <w:p w14:paraId="14E82283" w14:textId="77777777" w:rsidR="005C7129" w:rsidRDefault="005C7129" w:rsidP="00427951">
      <w:pPr>
        <w:rPr>
          <w:lang w:eastAsia="en-US"/>
        </w:rPr>
      </w:pPr>
      <w:r>
        <w:rPr>
          <w:lang w:eastAsia="en-US"/>
        </w:rPr>
        <w:t>Each unit’s value is determined by the following process:</w:t>
      </w:r>
      <w:r w:rsidR="00264B3F">
        <w:rPr>
          <w:lang w:eastAsia="en-US"/>
        </w:rPr>
        <w:t xml:space="preserve"> </w:t>
      </w:r>
      <m:oMath>
        <m:sSub>
          <m:sSubPr>
            <m:ctrlPr>
              <w:rPr>
                <w:rFonts w:ascii="Cambria Math" w:hAnsi="Cambria Math"/>
                <w:i/>
                <w:lang w:eastAsia="en-US"/>
              </w:rPr>
            </m:ctrlPr>
          </m:sSubPr>
          <m:e>
            <m:r>
              <w:rPr>
                <w:rFonts w:ascii="Cambria Math" w:hAnsi="Cambria Math"/>
                <w:lang w:eastAsia="en-US"/>
              </w:rPr>
              <m:t>v</m:t>
            </m:r>
          </m:e>
          <m:sub>
            <m:r>
              <w:rPr>
                <w:rFonts w:ascii="Cambria Math" w:hAnsi="Cambria Math"/>
                <w:lang w:eastAsia="en-US"/>
              </w:rPr>
              <m:t>i</m:t>
            </m:r>
          </m:sub>
        </m:sSub>
      </m:oMath>
      <w:r w:rsidR="00264B3F">
        <w:rPr>
          <w:rFonts w:eastAsiaTheme="minorEastAsia"/>
          <w:lang w:eastAsia="en-US"/>
        </w:rPr>
        <w:t xml:space="preserve"> is drawn from a uniform distribution U[10, 110].</w:t>
      </w:r>
    </w:p>
    <w:p w14:paraId="2880B968" w14:textId="77777777" w:rsidR="000D1EFA" w:rsidRDefault="000D1EFA" w:rsidP="00427951">
      <w:pPr>
        <w:rPr>
          <w:lang w:eastAsia="en-US"/>
        </w:rPr>
      </w:pPr>
    </w:p>
    <w:p w14:paraId="6D559F00" w14:textId="77777777" w:rsidR="005A23D1" w:rsidRDefault="00E227E8" w:rsidP="00351B9D">
      <w:pPr>
        <w:rPr>
          <w:rFonts w:asciiTheme="minorHAnsi" w:hAnsiTheme="minorHAnsi"/>
        </w:rPr>
      </w:pPr>
      <w:r w:rsidRPr="000D1EFA">
        <w:rPr>
          <w:rFonts w:asciiTheme="minorHAnsi" w:hAnsiTheme="minorHAnsi"/>
        </w:rPr>
        <w:t xml:space="preserve">The buyer can estimate the valuation </w:t>
      </w:r>
      <m:oMath>
        <m:sSub>
          <m:sSubPr>
            <m:ctrlPr>
              <w:rPr>
                <w:rFonts w:ascii="Cambria Math" w:hAnsi="Cambria Math"/>
                <w:i/>
              </w:rPr>
            </m:ctrlPr>
          </m:sSubPr>
          <m:e>
            <m:r>
              <w:rPr>
                <w:rFonts w:ascii="Cambria Math" w:hAnsi="Cambria Math"/>
              </w:rPr>
              <m:t>v</m:t>
            </m:r>
          </m:e>
          <m:sub>
            <m:r>
              <w:rPr>
                <w:rFonts w:ascii="Cambria Math" w:hAnsi="Cambria Math"/>
              </w:rPr>
              <m:t>i</m:t>
            </m:r>
          </m:sub>
        </m:sSub>
      </m:oMath>
      <w:r w:rsidRPr="000D1EFA">
        <w:rPr>
          <w:rFonts w:asciiTheme="minorHAnsi" w:hAnsiTheme="minorHAnsi"/>
        </w:rPr>
        <w:t xml:space="preserve"> of each of the participants in the auction, and will try to use this information to reduce the total cost of procuring </w:t>
      </w:r>
      <w:r w:rsidR="000D1EFA">
        <w:rPr>
          <w:rFonts w:asciiTheme="minorHAnsi" w:hAnsiTheme="minorHAnsi"/>
        </w:rPr>
        <w:t>units</w:t>
      </w:r>
      <w:r w:rsidRPr="000D1EFA">
        <w:rPr>
          <w:rFonts w:asciiTheme="minorHAnsi" w:hAnsiTheme="minorHAnsi"/>
        </w:rPr>
        <w:t xml:space="preserve"> in the auction.  </w:t>
      </w:r>
      <w:r w:rsidR="00351B9D">
        <w:rPr>
          <w:rFonts w:asciiTheme="minorHAnsi" w:hAnsiTheme="minorHAnsi"/>
        </w:rPr>
        <w:t>The buyer does not observe any</w:t>
      </w:r>
      <w:r w:rsidRPr="000D1EFA">
        <w:rPr>
          <w:rFonts w:asciiTheme="minorHAnsi" w:hAnsiTheme="minorHAnsi"/>
        </w:rPr>
        <w:t xml:space="preserve"> valuation with perfect precision, however.  What the buyer actually observes</w:t>
      </w:r>
      <w:r w:rsidR="005C7129">
        <w:rPr>
          <w:rFonts w:asciiTheme="minorHAnsi" w:hAnsiTheme="minorHAnsi"/>
        </w:rPr>
        <w:t xml:space="preserve"> is</w:t>
      </w:r>
      <w:r w:rsidR="00264B3F">
        <w:rPr>
          <w:rFonts w:asciiTheme="minorHAnsi" w:hAnsiTheme="minorHAnsi"/>
        </w:rPr>
        <w:t xml:space="preserve"> </w:t>
      </w:r>
      <m:oMath>
        <m:sSub>
          <m:sSubPr>
            <m:ctrlPr>
              <w:rPr>
                <w:rFonts w:ascii="Cambria Math" w:hAnsi="Cambria Math"/>
                <w:i/>
              </w:rPr>
            </m:ctrlPr>
          </m:sSubPr>
          <m:e>
            <m:r>
              <w:rPr>
                <w:rFonts w:ascii="Cambria Math" w:hAnsi="Cambria Math"/>
              </w:rPr>
              <m:t>v</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i</m:t>
            </m:r>
          </m:sub>
        </m:sSub>
      </m:oMath>
      <w:r w:rsidR="00264B3F">
        <w:rPr>
          <w:rFonts w:asciiTheme="minorHAnsi" w:eastAsiaTheme="minorEastAsia" w:hAnsiTheme="minorHAnsi"/>
        </w:rPr>
        <w:t xml:space="preserve">, where </w:t>
      </w:r>
      <m:oMath>
        <m:sSub>
          <m:sSubPr>
            <m:ctrlPr>
              <w:rPr>
                <w:rFonts w:ascii="Cambria Math" w:eastAsiaTheme="minorEastAsia" w:hAnsi="Cambria Math"/>
                <w:i/>
              </w:rPr>
            </m:ctrlPr>
          </m:sSubPr>
          <m:e>
            <m:r>
              <w:rPr>
                <w:rFonts w:ascii="Cambria Math" w:eastAsiaTheme="minorEastAsia" w:hAnsi="Cambria Math"/>
              </w:rPr>
              <m:t>e</m:t>
            </m:r>
          </m:e>
          <m:sub>
            <m:r>
              <w:rPr>
                <w:rFonts w:ascii="Cambria Math" w:eastAsiaTheme="minorEastAsia" w:hAnsi="Cambria Math"/>
              </w:rPr>
              <m:t>i</m:t>
            </m:r>
          </m:sub>
        </m:sSub>
      </m:oMath>
      <w:r w:rsidR="00264B3F">
        <w:rPr>
          <w:rFonts w:asciiTheme="minorHAnsi" w:eastAsiaTheme="minorEastAsia" w:hAnsiTheme="minorHAnsi"/>
        </w:rPr>
        <w:t xml:space="preserve"> is a</w:t>
      </w:r>
      <w:r w:rsidR="00262A1A">
        <w:rPr>
          <w:rFonts w:asciiTheme="minorHAnsi" w:eastAsiaTheme="minorEastAsia" w:hAnsiTheme="minorHAnsi"/>
        </w:rPr>
        <w:t xml:space="preserve">n error term and </w:t>
      </w:r>
      <m:oMath>
        <m:sSub>
          <m:sSubPr>
            <m:ctrlPr>
              <w:rPr>
                <w:rFonts w:ascii="Cambria Math" w:eastAsiaTheme="minorEastAsia" w:hAnsi="Cambria Math"/>
                <w:i/>
              </w:rPr>
            </m:ctrlPr>
          </m:sSubPr>
          <m:e>
            <m:r>
              <w:rPr>
                <w:rFonts w:ascii="Cambria Math" w:eastAsiaTheme="minorEastAsia" w:hAnsi="Cambria Math"/>
              </w:rPr>
              <m:t>e</m:t>
            </m:r>
          </m:e>
          <m:sub>
            <m:r>
              <w:rPr>
                <w:rFonts w:ascii="Cambria Math" w:eastAsiaTheme="minorEastAsia" w:hAnsi="Cambria Math"/>
              </w:rPr>
              <m:t>i</m:t>
            </m:r>
          </m:sub>
        </m:sSub>
        <m:r>
          <w:rPr>
            <w:rFonts w:ascii="Cambria Math" w:eastAsiaTheme="minorEastAsia" w:hAnsi="Cambria Math"/>
          </w:rPr>
          <m:t>~</m:t>
        </m:r>
        <m:d>
          <m:dPr>
            <m:begChr m:val="["/>
            <m:endChr m:val="]"/>
            <m:ctrlPr>
              <w:rPr>
                <w:rFonts w:ascii="Cambria Math" w:eastAsiaTheme="minorEastAsia" w:hAnsi="Cambria Math"/>
                <w:i/>
              </w:rPr>
            </m:ctrlPr>
          </m:dPr>
          <m:e>
            <m:r>
              <w:rPr>
                <w:rFonts w:ascii="Cambria Math" w:eastAsiaTheme="minorEastAsia" w:hAnsi="Cambria Math"/>
              </w:rPr>
              <m:t>10, 110</m:t>
            </m:r>
          </m:e>
        </m:d>
        <m:r>
          <w:rPr>
            <w:rFonts w:ascii="Cambria Math" w:eastAsiaTheme="minorEastAsia" w:hAnsi="Cambria Math"/>
          </w:rPr>
          <m:t>.</m:t>
        </m:r>
      </m:oMath>
    </w:p>
    <w:p w14:paraId="08C1A323" w14:textId="77777777" w:rsidR="00427951" w:rsidRDefault="00152297" w:rsidP="00152297">
      <w:pPr>
        <w:pStyle w:val="Heading3"/>
        <w:rPr>
          <w:lang w:eastAsia="en-US"/>
        </w:rPr>
      </w:pPr>
      <w:r>
        <w:rPr>
          <w:lang w:eastAsia="en-US"/>
        </w:rPr>
        <w:t>Treatments</w:t>
      </w:r>
    </w:p>
    <w:p w14:paraId="079C2AFE" w14:textId="77777777" w:rsidR="00B1168E" w:rsidRDefault="00633839" w:rsidP="00067325">
      <w:pPr>
        <w:pStyle w:val="ListParagraph"/>
        <w:numPr>
          <w:ilvl w:val="0"/>
          <w:numId w:val="3"/>
        </w:numPr>
        <w:spacing w:after="240"/>
        <w:rPr>
          <w:rFonts w:asciiTheme="minorHAnsi" w:eastAsia="Times New Roman" w:hAnsiTheme="minorHAnsi"/>
          <w:lang w:eastAsia="en-US"/>
        </w:rPr>
      </w:pPr>
      <w:r>
        <w:rPr>
          <w:rFonts w:asciiTheme="minorHAnsi" w:eastAsia="Times New Roman" w:hAnsiTheme="minorHAnsi"/>
          <w:lang w:eastAsia="en-US"/>
        </w:rPr>
        <w:t>Baseline (tight bid cap)</w:t>
      </w:r>
    </w:p>
    <w:p w14:paraId="0D2A0B5F" w14:textId="77777777" w:rsidR="00067325" w:rsidRDefault="00067325" w:rsidP="00067325">
      <w:pPr>
        <w:pStyle w:val="ListParagraph"/>
        <w:spacing w:after="240"/>
        <w:ind w:left="360"/>
        <w:rPr>
          <w:rFonts w:asciiTheme="minorHAnsi" w:eastAsia="Times New Roman" w:hAnsiTheme="minorHAnsi"/>
          <w:lang w:eastAsia="en-US"/>
        </w:rPr>
      </w:pPr>
    </w:p>
    <w:p w14:paraId="2102FEBA" w14:textId="77777777" w:rsidR="00067325" w:rsidRPr="00067325" w:rsidRDefault="00067325" w:rsidP="00067325">
      <w:pPr>
        <w:pStyle w:val="ListParagraph"/>
        <w:spacing w:after="240"/>
        <w:ind w:left="360"/>
        <w:jc w:val="center"/>
        <w:rPr>
          <w:rFonts w:asciiTheme="minorHAnsi" w:eastAsia="Times New Roman" w:hAnsiTheme="minorHAnsi"/>
          <w:lang w:eastAsia="en-US"/>
        </w:rPr>
      </w:pPr>
      <w:r>
        <w:rPr>
          <w:rFonts w:asciiTheme="minorHAnsi" w:eastAsia="Times New Roman" w:hAnsiTheme="minorHAnsi"/>
          <w:lang w:eastAsia="en-US"/>
        </w:rPr>
        <w:t>Bid cap =  </w:t>
      </w:r>
      <m:oMath>
        <m:acc>
          <m:accPr>
            <m:ctrlPr>
              <w:rPr>
                <w:rFonts w:ascii="Cambria Math" w:eastAsia="Times New Roman" w:hAnsi="Cambria Math"/>
                <w:i/>
                <w:lang w:eastAsia="en-US"/>
              </w:rPr>
            </m:ctrlPr>
          </m:accPr>
          <m:e>
            <m:sSub>
              <m:sSubPr>
                <m:ctrlPr>
                  <w:rPr>
                    <w:rFonts w:ascii="Cambria Math" w:eastAsia="Times New Roman" w:hAnsi="Cambria Math"/>
                    <w:i/>
                    <w:lang w:eastAsia="en-US"/>
                  </w:rPr>
                </m:ctrlPr>
              </m:sSubPr>
              <m:e>
                <m:r>
                  <w:rPr>
                    <w:rFonts w:ascii="Cambria Math" w:eastAsia="Times New Roman" w:hAnsi="Cambria Math"/>
                    <w:lang w:eastAsia="en-US"/>
                  </w:rPr>
                  <m:t>v</m:t>
                </m:r>
              </m:e>
              <m:sub>
                <m:r>
                  <w:rPr>
                    <w:rFonts w:ascii="Cambria Math" w:eastAsia="Times New Roman" w:hAnsi="Cambria Math"/>
                    <w:lang w:eastAsia="en-US"/>
                  </w:rPr>
                  <m:t>i</m:t>
                </m:r>
              </m:sub>
            </m:sSub>
          </m:e>
        </m:acc>
      </m:oMath>
    </w:p>
    <w:p w14:paraId="0AF2D66D" w14:textId="77777777" w:rsidR="00633839" w:rsidRDefault="00633839" w:rsidP="00633839">
      <w:pPr>
        <w:pStyle w:val="ListParagraph"/>
        <w:numPr>
          <w:ilvl w:val="0"/>
          <w:numId w:val="3"/>
        </w:numPr>
        <w:spacing w:after="240"/>
        <w:rPr>
          <w:rFonts w:asciiTheme="minorHAnsi" w:eastAsia="Times New Roman" w:hAnsiTheme="minorHAnsi"/>
          <w:lang w:eastAsia="en-US"/>
        </w:rPr>
      </w:pPr>
      <w:r>
        <w:rPr>
          <w:rFonts w:asciiTheme="minorHAnsi" w:eastAsia="Times New Roman" w:hAnsiTheme="minorHAnsi"/>
          <w:lang w:eastAsia="en-US"/>
        </w:rPr>
        <w:t>Loose cap</w:t>
      </w:r>
    </w:p>
    <w:p w14:paraId="2118D78F" w14:textId="77777777" w:rsidR="00BA0399" w:rsidRDefault="00BA0399" w:rsidP="00BA0399">
      <w:pPr>
        <w:pStyle w:val="ListParagraph"/>
        <w:spacing w:after="240"/>
        <w:ind w:left="360"/>
        <w:rPr>
          <w:rFonts w:asciiTheme="minorHAnsi" w:eastAsia="Times New Roman" w:hAnsiTheme="minorHAnsi"/>
          <w:lang w:eastAsia="en-US"/>
        </w:rPr>
      </w:pPr>
    </w:p>
    <w:p w14:paraId="5112591F" w14:textId="77777777" w:rsidR="00BA0399" w:rsidRDefault="00BA0399" w:rsidP="00BA0399">
      <w:pPr>
        <w:pStyle w:val="ListParagraph"/>
        <w:spacing w:after="240"/>
        <w:ind w:left="360"/>
        <w:rPr>
          <w:rFonts w:asciiTheme="minorHAnsi" w:eastAsia="Times New Roman" w:hAnsiTheme="minorHAnsi"/>
          <w:lang w:eastAsia="en-US"/>
        </w:rPr>
      </w:pPr>
      <w:r>
        <w:rPr>
          <w:rFonts w:asciiTheme="minorHAnsi" w:eastAsia="Times New Roman" w:hAnsiTheme="minorHAnsi"/>
          <w:lang w:eastAsia="en-US"/>
        </w:rPr>
        <w:t xml:space="preserve">Identical to the baseline treatment, but the maximum bid is equal to </w:t>
      </w:r>
    </w:p>
    <w:p w14:paraId="47F1E1BD" w14:textId="77777777" w:rsidR="00BA0399" w:rsidRPr="00BA0399" w:rsidRDefault="009F317F" w:rsidP="00BA0399">
      <w:pPr>
        <w:pStyle w:val="ListParagraph"/>
        <w:spacing w:after="240"/>
        <w:ind w:left="360"/>
        <w:rPr>
          <w:rFonts w:asciiTheme="minorHAnsi" w:eastAsia="Times New Roman" w:hAnsiTheme="minorHAnsi"/>
          <w:lang w:eastAsia="en-US"/>
        </w:rPr>
      </w:pPr>
      <m:oMathPara>
        <m:oMath>
          <m:acc>
            <m:accPr>
              <m:ctrlPr>
                <w:rPr>
                  <w:rFonts w:ascii="Cambria Math" w:eastAsia="Times New Roman" w:hAnsi="Cambria Math"/>
                  <w:i/>
                  <w:lang w:eastAsia="en-US"/>
                </w:rPr>
              </m:ctrlPr>
            </m:accPr>
            <m:e>
              <m:sSub>
                <m:sSubPr>
                  <m:ctrlPr>
                    <w:rPr>
                      <w:rFonts w:ascii="Cambria Math" w:eastAsia="Times New Roman" w:hAnsi="Cambria Math"/>
                      <w:i/>
                      <w:lang w:eastAsia="en-US"/>
                    </w:rPr>
                  </m:ctrlPr>
                </m:sSubPr>
                <m:e>
                  <m:r>
                    <w:rPr>
                      <w:rFonts w:ascii="Cambria Math" w:eastAsia="Times New Roman" w:hAnsi="Cambria Math"/>
                      <w:lang w:eastAsia="en-US"/>
                    </w:rPr>
                    <m:t>v</m:t>
                  </m:r>
                </m:e>
                <m:sub>
                  <m:r>
                    <w:rPr>
                      <w:rFonts w:ascii="Cambria Math" w:eastAsia="Times New Roman" w:hAnsi="Cambria Math"/>
                      <w:lang w:eastAsia="en-US"/>
                    </w:rPr>
                    <m:t>i</m:t>
                  </m:r>
                </m:sub>
              </m:sSub>
            </m:e>
          </m:acc>
          <m:r>
            <w:rPr>
              <w:rFonts w:ascii="Cambria Math" w:eastAsia="Times New Roman" w:hAnsi="Cambria Math"/>
              <w:lang w:eastAsia="en-US"/>
            </w:rPr>
            <m:t>+10</m:t>
          </m:r>
        </m:oMath>
      </m:oMathPara>
    </w:p>
    <w:p w14:paraId="256DE395" w14:textId="77777777" w:rsidR="00BA0399" w:rsidRPr="00BA0399" w:rsidRDefault="00BA0399" w:rsidP="00BA0399">
      <w:pPr>
        <w:pStyle w:val="ListParagraph"/>
        <w:spacing w:after="240"/>
        <w:ind w:left="360"/>
        <w:rPr>
          <w:rFonts w:asciiTheme="minorHAnsi" w:eastAsia="Times New Roman" w:hAnsiTheme="minorHAnsi"/>
          <w:lang w:eastAsia="en-US"/>
        </w:rPr>
      </w:pPr>
    </w:p>
    <w:p w14:paraId="03C08F65" w14:textId="77777777" w:rsidR="00BA0399" w:rsidRDefault="00BA0399" w:rsidP="00BA0399">
      <w:pPr>
        <w:pStyle w:val="ListParagraph"/>
        <w:spacing w:after="240"/>
        <w:ind w:left="360"/>
        <w:rPr>
          <w:rFonts w:asciiTheme="minorHAnsi" w:eastAsia="Times New Roman" w:hAnsiTheme="minorHAnsi"/>
          <w:lang w:eastAsia="en-US"/>
        </w:rPr>
      </w:pPr>
    </w:p>
    <w:p w14:paraId="0D49B504" w14:textId="77777777" w:rsidR="00633839" w:rsidRDefault="00633839" w:rsidP="00633839">
      <w:pPr>
        <w:pStyle w:val="ListParagraph"/>
        <w:numPr>
          <w:ilvl w:val="0"/>
          <w:numId w:val="3"/>
        </w:numPr>
        <w:spacing w:after="240"/>
        <w:rPr>
          <w:rFonts w:asciiTheme="minorHAnsi" w:eastAsia="Times New Roman" w:hAnsiTheme="minorHAnsi"/>
          <w:lang w:eastAsia="en-US"/>
        </w:rPr>
      </w:pPr>
      <w:r>
        <w:rPr>
          <w:rFonts w:asciiTheme="minorHAnsi" w:eastAsia="Times New Roman" w:hAnsiTheme="minorHAnsi"/>
          <w:lang w:eastAsia="en-US"/>
        </w:rPr>
        <w:t>Reference price</w:t>
      </w:r>
      <w:r w:rsidR="004F529C">
        <w:rPr>
          <w:rFonts w:asciiTheme="minorHAnsi" w:eastAsia="Times New Roman" w:hAnsiTheme="minorHAnsi"/>
          <w:lang w:eastAsia="en-US"/>
        </w:rPr>
        <w:t xml:space="preserve"> ranking</w:t>
      </w:r>
    </w:p>
    <w:p w14:paraId="5FB20B14" w14:textId="77777777" w:rsidR="00687143" w:rsidRDefault="00687143" w:rsidP="00687143">
      <w:pPr>
        <w:pStyle w:val="ListParagraph"/>
        <w:spacing w:after="240"/>
        <w:ind w:left="360"/>
        <w:rPr>
          <w:rFonts w:asciiTheme="minorHAnsi" w:eastAsia="Times New Roman" w:hAnsiTheme="minorHAnsi"/>
          <w:lang w:eastAsia="en-US"/>
        </w:rPr>
      </w:pPr>
    </w:p>
    <w:p w14:paraId="4C5FFA0C" w14:textId="77777777" w:rsidR="00687143" w:rsidRDefault="00343DAC" w:rsidP="00687143">
      <w:pPr>
        <w:pStyle w:val="ListParagraph"/>
        <w:spacing w:after="240"/>
        <w:ind w:left="360"/>
        <w:rPr>
          <w:rFonts w:asciiTheme="minorHAnsi" w:eastAsia="Times New Roman" w:hAnsiTheme="minorHAnsi"/>
          <w:lang w:eastAsia="en-US"/>
        </w:rPr>
      </w:pPr>
      <w:r>
        <w:rPr>
          <w:rFonts w:asciiTheme="minorHAnsi" w:hAnsiTheme="minorHAnsi"/>
        </w:rPr>
        <w:t xml:space="preserve">The buyer will use their estimate of value to create a </w:t>
      </w:r>
      <w:r w:rsidRPr="00D93F0A">
        <w:rPr>
          <w:rFonts w:asciiTheme="minorHAnsi" w:hAnsiTheme="minorHAnsi"/>
          <w:i/>
        </w:rPr>
        <w:t>reference price</w:t>
      </w:r>
      <w:r>
        <w:rPr>
          <w:rFonts w:asciiTheme="minorHAnsi" w:hAnsiTheme="minorHAnsi"/>
        </w:rPr>
        <w:t xml:space="preserve"> for each </w:t>
      </w:r>
      <w:r w:rsidR="00F077D9">
        <w:rPr>
          <w:rFonts w:asciiTheme="minorHAnsi" w:hAnsiTheme="minorHAnsi"/>
        </w:rPr>
        <w:t>unit</w:t>
      </w:r>
      <w:r>
        <w:rPr>
          <w:rFonts w:asciiTheme="minorHAnsi" w:hAnsiTheme="minorHAnsi"/>
        </w:rPr>
        <w:t xml:space="preserve">.  The reference price for each </w:t>
      </w:r>
      <w:r w:rsidR="00F077D9">
        <w:rPr>
          <w:rFonts w:asciiTheme="minorHAnsi" w:hAnsiTheme="minorHAnsi"/>
        </w:rPr>
        <w:t>unit</w:t>
      </w:r>
      <w:r>
        <w:rPr>
          <w:rFonts w:asciiTheme="minorHAnsi" w:hAnsiTheme="minorHAnsi"/>
        </w:rPr>
        <w:t xml:space="preserve"> is equal to</w:t>
      </w:r>
      <w:r w:rsidR="00067325">
        <w:rPr>
          <w:rFonts w:asciiTheme="minorHAnsi" w:hAnsiTheme="minorHAnsi"/>
        </w:rPr>
        <w:t> </w:t>
      </w:r>
      <m:oMath>
        <m:acc>
          <m:accPr>
            <m:ctrlPr>
              <w:rPr>
                <w:rFonts w:ascii="Cambria Math" w:hAnsi="Cambria Math"/>
                <w:i/>
              </w:rPr>
            </m:ctrlPr>
          </m:accPr>
          <m:e>
            <m:sSub>
              <m:sSubPr>
                <m:ctrlPr>
                  <w:rPr>
                    <w:rFonts w:ascii="Cambria Math" w:hAnsi="Cambria Math"/>
                    <w:i/>
                  </w:rPr>
                </m:ctrlPr>
              </m:sSubPr>
              <m:e>
                <m:r>
                  <w:rPr>
                    <w:rFonts w:ascii="Cambria Math" w:hAnsi="Cambria Math"/>
                  </w:rPr>
                  <m:t>v</m:t>
                </m:r>
              </m:e>
              <m:sub>
                <m:r>
                  <w:rPr>
                    <w:rFonts w:ascii="Cambria Math" w:hAnsi="Cambria Math"/>
                  </w:rPr>
                  <m:t>i</m:t>
                </m:r>
              </m:sub>
            </m:sSub>
          </m:e>
        </m:acc>
      </m:oMath>
      <w:r w:rsidR="00067325">
        <w:rPr>
          <w:rFonts w:asciiTheme="minorHAnsi" w:eastAsiaTheme="minorEastAsia" w:hAnsiTheme="minorHAnsi"/>
        </w:rPr>
        <w:t>.</w:t>
      </w:r>
      <w:r>
        <w:rPr>
          <w:rFonts w:asciiTheme="minorHAnsi" w:hAnsiTheme="minorHAnsi"/>
        </w:rPr>
        <w:t xml:space="preserve">  The score of each bid is equal to the bid divided by the reference price.  The buyer will accept the </w:t>
      </w:r>
      <w:r w:rsidR="00067325">
        <w:rPr>
          <w:rFonts w:asciiTheme="minorHAnsi" w:hAnsiTheme="minorHAnsi"/>
        </w:rPr>
        <w:t>8</w:t>
      </w:r>
      <w:r>
        <w:rPr>
          <w:rFonts w:asciiTheme="minorHAnsi" w:hAnsiTheme="minorHAnsi"/>
        </w:rPr>
        <w:t xml:space="preserve"> bids with the lowest scores to purchase, and will reject the remaining bids.</w:t>
      </w:r>
    </w:p>
    <w:p w14:paraId="19087AE6" w14:textId="77777777" w:rsidR="00687143" w:rsidRDefault="00687143" w:rsidP="00687143">
      <w:pPr>
        <w:pStyle w:val="ListParagraph"/>
        <w:spacing w:after="240"/>
        <w:ind w:left="360"/>
        <w:rPr>
          <w:rFonts w:asciiTheme="minorHAnsi" w:eastAsia="Times New Roman" w:hAnsiTheme="minorHAnsi"/>
          <w:lang w:eastAsia="en-US"/>
        </w:rPr>
      </w:pPr>
    </w:p>
    <w:p w14:paraId="755F898A" w14:textId="77777777" w:rsidR="00633839" w:rsidRDefault="00633839" w:rsidP="00633839">
      <w:pPr>
        <w:pStyle w:val="ListParagraph"/>
        <w:numPr>
          <w:ilvl w:val="0"/>
          <w:numId w:val="3"/>
        </w:numPr>
        <w:spacing w:after="240"/>
        <w:rPr>
          <w:rFonts w:asciiTheme="minorHAnsi" w:eastAsia="Times New Roman" w:hAnsiTheme="minorHAnsi"/>
          <w:lang w:eastAsia="en-US"/>
        </w:rPr>
      </w:pPr>
      <w:r>
        <w:rPr>
          <w:rFonts w:asciiTheme="minorHAnsi" w:eastAsia="Times New Roman" w:hAnsiTheme="minorHAnsi"/>
          <w:lang w:eastAsia="en-US"/>
        </w:rPr>
        <w:t>Endogenous reference price</w:t>
      </w:r>
    </w:p>
    <w:p w14:paraId="6D2C77FA" w14:textId="77777777" w:rsidR="00343DAC" w:rsidRDefault="00343DAC" w:rsidP="00343DAC">
      <w:pPr>
        <w:pStyle w:val="ListParagraph"/>
        <w:spacing w:after="240"/>
        <w:ind w:left="360"/>
        <w:rPr>
          <w:rFonts w:asciiTheme="minorHAnsi" w:eastAsia="Times New Roman" w:hAnsiTheme="minorHAnsi"/>
          <w:lang w:eastAsia="en-US"/>
        </w:rPr>
      </w:pPr>
    </w:p>
    <w:p w14:paraId="5E03B3F8" w14:textId="77777777" w:rsidR="00343DAC" w:rsidRDefault="007D2B72" w:rsidP="00343DAC">
      <w:pPr>
        <w:pStyle w:val="ListParagraph"/>
        <w:spacing w:after="240"/>
        <w:ind w:left="360"/>
        <w:rPr>
          <w:rFonts w:asciiTheme="minorHAnsi" w:hAnsiTheme="minorHAnsi"/>
        </w:rPr>
      </w:pPr>
      <w:r>
        <w:rPr>
          <w:rFonts w:asciiTheme="minorHAnsi" w:hAnsiTheme="minorHAnsi"/>
        </w:rPr>
        <w:t xml:space="preserve">The reference price for each </w:t>
      </w:r>
      <w:r w:rsidR="00F077D9">
        <w:rPr>
          <w:rFonts w:asciiTheme="minorHAnsi" w:hAnsiTheme="minorHAnsi"/>
        </w:rPr>
        <w:t>unit</w:t>
      </w:r>
      <w:r>
        <w:rPr>
          <w:rFonts w:asciiTheme="minorHAnsi" w:hAnsiTheme="minorHAnsi"/>
        </w:rPr>
        <w:t xml:space="preserve"> is equal to the average of the bids of bidders in the respective </w:t>
      </w:r>
      <w:r w:rsidRPr="007D2B72">
        <w:rPr>
          <w:rFonts w:asciiTheme="minorHAnsi" w:hAnsiTheme="minorHAnsi"/>
        </w:rPr>
        <w:t>group</w:t>
      </w:r>
      <w:r>
        <w:rPr>
          <w:rFonts w:asciiTheme="minorHAnsi" w:hAnsiTheme="minorHAnsi"/>
        </w:rPr>
        <w:t>.</w:t>
      </w:r>
      <w:r w:rsidR="00067325">
        <w:rPr>
          <w:rFonts w:asciiTheme="minorHAnsi" w:hAnsiTheme="minorHAnsi"/>
        </w:rPr>
        <w:t xml:space="preserve">  The score of each bid is equal to the bid divided by the reference price.  The group of the </w:t>
      </w:r>
      <w:proofErr w:type="spellStart"/>
      <w:r w:rsidR="00067325">
        <w:rPr>
          <w:rFonts w:asciiTheme="minorHAnsi" w:hAnsiTheme="minorHAnsi"/>
          <w:i/>
        </w:rPr>
        <w:t>i</w:t>
      </w:r>
      <w:r w:rsidR="00067325" w:rsidRPr="00067325">
        <w:rPr>
          <w:rFonts w:asciiTheme="minorHAnsi" w:hAnsiTheme="minorHAnsi"/>
          <w:vertAlign w:val="superscript"/>
        </w:rPr>
        <w:t>th</w:t>
      </w:r>
      <w:proofErr w:type="spellEnd"/>
      <w:r w:rsidR="00067325">
        <w:rPr>
          <w:rFonts w:asciiTheme="minorHAnsi" w:hAnsiTheme="minorHAnsi"/>
        </w:rPr>
        <w:t xml:space="preserve"> bidder is defined as the four nearest-neighbors in</w:t>
      </w:r>
      <w:r w:rsidR="00FC28A3">
        <w:rPr>
          <w:rFonts w:asciiTheme="minorHAnsi" w:hAnsiTheme="minorHAnsi"/>
        </w:rPr>
        <w:t xml:space="preserve"> terms of </w:t>
      </w:r>
      <w:r w:rsidR="00CF574E">
        <w:rPr>
          <w:rFonts w:asciiTheme="minorHAnsi" w:hAnsiTheme="minorHAnsi"/>
        </w:rPr>
        <w:t xml:space="preserve">the </w:t>
      </w:r>
      <w:r w:rsidR="00FC28A3">
        <w:rPr>
          <w:rFonts w:asciiTheme="minorHAnsi" w:hAnsiTheme="minorHAnsi"/>
        </w:rPr>
        <w:t>value estimate ( </w:t>
      </w:r>
      <m:oMath>
        <m:acc>
          <m:accPr>
            <m:ctrlPr>
              <w:rPr>
                <w:rFonts w:ascii="Cambria Math" w:hAnsi="Cambria Math"/>
                <w:i/>
              </w:rPr>
            </m:ctrlPr>
          </m:accPr>
          <m:e>
            <m:sSub>
              <m:sSubPr>
                <m:ctrlPr>
                  <w:rPr>
                    <w:rFonts w:ascii="Cambria Math" w:hAnsi="Cambria Math"/>
                    <w:i/>
                  </w:rPr>
                </m:ctrlPr>
              </m:sSubPr>
              <m:e>
                <m:r>
                  <w:rPr>
                    <w:rFonts w:ascii="Cambria Math" w:hAnsi="Cambria Math"/>
                  </w:rPr>
                  <m:t>v</m:t>
                </m:r>
              </m:e>
              <m:sub>
                <m:r>
                  <w:rPr>
                    <w:rFonts w:ascii="Cambria Math" w:hAnsi="Cambria Math"/>
                  </w:rPr>
                  <m:t>i</m:t>
                </m:r>
              </m:sub>
            </m:sSub>
          </m:e>
        </m:acc>
      </m:oMath>
      <w:r w:rsidR="00FC28A3">
        <w:rPr>
          <w:rFonts w:asciiTheme="minorHAnsi" w:hAnsiTheme="minorHAnsi"/>
        </w:rPr>
        <w:t>)</w:t>
      </w:r>
      <w:r w:rsidR="00067325">
        <w:rPr>
          <w:rFonts w:asciiTheme="minorHAnsi" w:hAnsiTheme="minorHAnsi"/>
        </w:rPr>
        <w:t xml:space="preserve">.  </w:t>
      </w:r>
      <w:r w:rsidR="00067325" w:rsidRPr="00067325">
        <w:rPr>
          <w:rFonts w:asciiTheme="minorHAnsi" w:hAnsiTheme="minorHAnsi"/>
        </w:rPr>
        <w:t>The</w:t>
      </w:r>
      <w:r w:rsidR="00067325">
        <w:rPr>
          <w:rFonts w:asciiTheme="minorHAnsi" w:hAnsiTheme="minorHAnsi"/>
        </w:rPr>
        <w:t xml:space="preserve"> buyer will accept the 8</w:t>
      </w:r>
      <w:r w:rsidR="00957D53">
        <w:rPr>
          <w:rFonts w:asciiTheme="minorHAnsi" w:hAnsiTheme="minorHAnsi"/>
        </w:rPr>
        <w:t xml:space="preserve"> bids with the lowest scores to purchase, and will reject the remaining bids.</w:t>
      </w:r>
    </w:p>
    <w:p w14:paraId="4F1C1E90" w14:textId="77777777" w:rsidR="00957D53" w:rsidRDefault="00957D53" w:rsidP="00343DAC">
      <w:pPr>
        <w:pStyle w:val="ListParagraph"/>
        <w:spacing w:after="240"/>
        <w:ind w:left="360"/>
        <w:rPr>
          <w:rFonts w:asciiTheme="minorHAnsi" w:eastAsia="Times New Roman" w:hAnsiTheme="minorHAnsi"/>
          <w:lang w:eastAsia="en-US"/>
        </w:rPr>
      </w:pPr>
    </w:p>
    <w:p w14:paraId="04CD629E" w14:textId="77777777" w:rsidR="00633839" w:rsidRDefault="00633839" w:rsidP="00633839">
      <w:pPr>
        <w:pStyle w:val="ListParagraph"/>
        <w:numPr>
          <w:ilvl w:val="0"/>
          <w:numId w:val="3"/>
        </w:numPr>
        <w:spacing w:after="240"/>
        <w:rPr>
          <w:rFonts w:asciiTheme="minorHAnsi" w:eastAsia="Times New Roman" w:hAnsiTheme="minorHAnsi"/>
          <w:lang w:eastAsia="en-US"/>
        </w:rPr>
      </w:pPr>
      <w:r>
        <w:rPr>
          <w:rFonts w:asciiTheme="minorHAnsi" w:eastAsia="Times New Roman" w:hAnsiTheme="minorHAnsi"/>
          <w:lang w:eastAsia="en-US"/>
        </w:rPr>
        <w:t>Grouping</w:t>
      </w:r>
    </w:p>
    <w:p w14:paraId="564CF4E1" w14:textId="77777777" w:rsidR="00364422" w:rsidRDefault="00364422" w:rsidP="00364422">
      <w:pPr>
        <w:pStyle w:val="ListParagraph"/>
        <w:spacing w:after="240"/>
        <w:ind w:left="360"/>
        <w:rPr>
          <w:rFonts w:asciiTheme="minorHAnsi" w:eastAsia="Times New Roman" w:hAnsiTheme="minorHAnsi"/>
          <w:lang w:eastAsia="en-US"/>
        </w:rPr>
      </w:pPr>
    </w:p>
    <w:p w14:paraId="615B3F64" w14:textId="77777777" w:rsidR="00364422" w:rsidRDefault="00364422" w:rsidP="00364422">
      <w:pPr>
        <w:pStyle w:val="ListParagraph"/>
        <w:spacing w:after="240"/>
        <w:ind w:left="360"/>
        <w:rPr>
          <w:rFonts w:asciiTheme="minorHAnsi" w:eastAsia="Times New Roman" w:hAnsiTheme="minorHAnsi"/>
          <w:lang w:eastAsia="en-US"/>
        </w:rPr>
      </w:pPr>
      <w:r>
        <w:rPr>
          <w:rFonts w:asciiTheme="minorHAnsi" w:eastAsia="Times New Roman" w:hAnsiTheme="minorHAnsi"/>
          <w:lang w:eastAsia="en-US"/>
        </w:rPr>
        <w:t>There are a</w:t>
      </w:r>
      <w:r w:rsidRPr="00364422">
        <w:rPr>
          <w:rFonts w:asciiTheme="minorHAnsi" w:eastAsia="Times New Roman" w:hAnsiTheme="minorHAnsi"/>
          <w:lang w:eastAsia="en-US"/>
        </w:rPr>
        <w:t xml:space="preserve"> maximum number of bids from </w:t>
      </w:r>
      <w:r>
        <w:rPr>
          <w:rFonts w:asciiTheme="minorHAnsi" w:eastAsia="Times New Roman" w:hAnsiTheme="minorHAnsi"/>
          <w:lang w:eastAsia="en-US"/>
        </w:rPr>
        <w:t>each group (A and B)</w:t>
      </w:r>
      <w:r w:rsidRPr="00364422">
        <w:rPr>
          <w:rFonts w:asciiTheme="minorHAnsi" w:eastAsia="Times New Roman" w:hAnsiTheme="minorHAnsi"/>
          <w:lang w:eastAsia="en-US"/>
        </w:rPr>
        <w:t xml:space="preserve"> that will be accepted by the </w:t>
      </w:r>
      <w:r>
        <w:rPr>
          <w:rFonts w:asciiTheme="minorHAnsi" w:eastAsia="Times New Roman" w:hAnsiTheme="minorHAnsi"/>
          <w:lang w:eastAsia="en-US"/>
        </w:rPr>
        <w:t>buyer</w:t>
      </w:r>
      <w:r w:rsidRPr="00364422">
        <w:rPr>
          <w:rFonts w:asciiTheme="minorHAnsi" w:eastAsia="Times New Roman" w:hAnsiTheme="minorHAnsi"/>
          <w:lang w:eastAsia="en-US"/>
        </w:rPr>
        <w:t xml:space="preserve">.  </w:t>
      </w:r>
      <w:r>
        <w:rPr>
          <w:rFonts w:asciiTheme="minorHAnsi" w:eastAsia="Times New Roman" w:hAnsiTheme="minorHAnsi"/>
          <w:lang w:eastAsia="en-US"/>
        </w:rPr>
        <w:t xml:space="preserve">These are parameters controlled by the experimenter.  </w:t>
      </w:r>
      <w:r w:rsidR="00D0541A">
        <w:rPr>
          <w:rFonts w:asciiTheme="minorHAnsi" w:eastAsia="Times New Roman" w:hAnsiTheme="minorHAnsi"/>
          <w:lang w:eastAsia="en-US"/>
        </w:rPr>
        <w:t>There are 8 bidders in group A and 8 bidders in group B.  The 8 bidders with the lowest values of </w:t>
      </w:r>
      <m:oMath>
        <m:acc>
          <m:accPr>
            <m:ctrlPr>
              <w:rPr>
                <w:rFonts w:ascii="Cambria Math" w:eastAsia="Times New Roman" w:hAnsi="Cambria Math"/>
                <w:i/>
                <w:lang w:eastAsia="en-US"/>
              </w:rPr>
            </m:ctrlPr>
          </m:accPr>
          <m:e>
            <m:sSub>
              <m:sSubPr>
                <m:ctrlPr>
                  <w:rPr>
                    <w:rFonts w:ascii="Cambria Math" w:eastAsia="Times New Roman" w:hAnsi="Cambria Math"/>
                    <w:i/>
                    <w:lang w:eastAsia="en-US"/>
                  </w:rPr>
                </m:ctrlPr>
              </m:sSubPr>
              <m:e>
                <m:r>
                  <w:rPr>
                    <w:rFonts w:ascii="Cambria Math" w:eastAsia="Times New Roman" w:hAnsi="Cambria Math"/>
                    <w:lang w:eastAsia="en-US"/>
                  </w:rPr>
                  <m:t>v</m:t>
                </m:r>
              </m:e>
              <m:sub>
                <m:r>
                  <w:rPr>
                    <w:rFonts w:ascii="Cambria Math" w:eastAsia="Times New Roman" w:hAnsi="Cambria Math"/>
                    <w:lang w:eastAsia="en-US"/>
                  </w:rPr>
                  <m:t>i</m:t>
                </m:r>
              </m:sub>
            </m:sSub>
          </m:e>
        </m:acc>
      </m:oMath>
      <w:r w:rsidR="00D0541A">
        <w:rPr>
          <w:rFonts w:asciiTheme="minorHAnsi" w:eastAsia="Times New Roman" w:hAnsiTheme="minorHAnsi"/>
          <w:lang w:eastAsia="en-US"/>
        </w:rPr>
        <w:t xml:space="preserve"> are in group A; the remainder are in group B.  </w:t>
      </w:r>
      <w:r w:rsidRPr="00364422">
        <w:rPr>
          <w:rFonts w:asciiTheme="minorHAnsi" w:eastAsia="Times New Roman" w:hAnsiTheme="minorHAnsi"/>
          <w:lang w:eastAsia="en-US"/>
        </w:rPr>
        <w:t xml:space="preserve">The </w:t>
      </w:r>
      <w:r>
        <w:rPr>
          <w:rFonts w:asciiTheme="minorHAnsi" w:eastAsia="Times New Roman" w:hAnsiTheme="minorHAnsi"/>
          <w:lang w:eastAsia="en-US"/>
        </w:rPr>
        <w:t>buyer</w:t>
      </w:r>
      <w:r w:rsidRPr="00364422">
        <w:rPr>
          <w:rFonts w:asciiTheme="minorHAnsi" w:eastAsia="Times New Roman" w:hAnsiTheme="minorHAnsi"/>
          <w:lang w:eastAsia="en-US"/>
        </w:rPr>
        <w:t xml:space="preserve"> will accept the </w:t>
      </w:r>
      <w:r w:rsidR="00067325">
        <w:rPr>
          <w:rFonts w:asciiTheme="minorHAnsi" w:eastAsia="Times New Roman" w:hAnsiTheme="minorHAnsi"/>
          <w:lang w:eastAsia="en-US"/>
        </w:rPr>
        <w:t>8</w:t>
      </w:r>
      <w:r w:rsidRPr="00364422">
        <w:rPr>
          <w:rFonts w:asciiTheme="minorHAnsi" w:eastAsia="Times New Roman" w:hAnsiTheme="minorHAnsi"/>
          <w:lang w:eastAsia="en-US"/>
        </w:rPr>
        <w:t xml:space="preserve"> lowest bids to purchase, unless doing so causes the </w:t>
      </w:r>
      <w:r>
        <w:rPr>
          <w:rFonts w:asciiTheme="minorHAnsi" w:eastAsia="Times New Roman" w:hAnsiTheme="minorHAnsi"/>
          <w:lang w:eastAsia="en-US"/>
        </w:rPr>
        <w:t>buyer</w:t>
      </w:r>
      <w:r w:rsidRPr="00364422">
        <w:rPr>
          <w:rFonts w:asciiTheme="minorHAnsi" w:eastAsia="Times New Roman" w:hAnsiTheme="minorHAnsi"/>
          <w:lang w:eastAsia="en-US"/>
        </w:rPr>
        <w:t xml:space="preserve"> to accept more than the maximum number of bids from a given pool.  If the </w:t>
      </w:r>
      <w:r>
        <w:rPr>
          <w:rFonts w:asciiTheme="minorHAnsi" w:eastAsia="Times New Roman" w:hAnsiTheme="minorHAnsi"/>
          <w:lang w:eastAsia="en-US"/>
        </w:rPr>
        <w:t>buyer</w:t>
      </w:r>
      <w:r w:rsidRPr="00364422">
        <w:rPr>
          <w:rFonts w:asciiTheme="minorHAnsi" w:eastAsia="Times New Roman" w:hAnsiTheme="minorHAnsi"/>
          <w:lang w:eastAsia="en-US"/>
        </w:rPr>
        <w:t xml:space="preserve"> is prevented from purchasing a </w:t>
      </w:r>
      <w:r w:rsidR="00F077D9">
        <w:rPr>
          <w:rFonts w:asciiTheme="minorHAnsi" w:eastAsia="Times New Roman" w:hAnsiTheme="minorHAnsi"/>
          <w:lang w:eastAsia="en-US"/>
        </w:rPr>
        <w:t>unit</w:t>
      </w:r>
      <w:r w:rsidRPr="00364422">
        <w:rPr>
          <w:rFonts w:asciiTheme="minorHAnsi" w:eastAsia="Times New Roman" w:hAnsiTheme="minorHAnsi"/>
          <w:lang w:eastAsia="en-US"/>
        </w:rPr>
        <w:t xml:space="preserve"> because of the pool limit, the </w:t>
      </w:r>
      <w:r>
        <w:rPr>
          <w:rFonts w:asciiTheme="minorHAnsi" w:eastAsia="Times New Roman" w:hAnsiTheme="minorHAnsi"/>
          <w:lang w:eastAsia="en-US"/>
        </w:rPr>
        <w:t>buyer</w:t>
      </w:r>
      <w:r w:rsidRPr="00364422">
        <w:rPr>
          <w:rFonts w:asciiTheme="minorHAnsi" w:eastAsia="Times New Roman" w:hAnsiTheme="minorHAnsi"/>
          <w:lang w:eastAsia="en-US"/>
        </w:rPr>
        <w:t xml:space="preserve"> will select for purchase the eligible </w:t>
      </w:r>
      <w:r w:rsidR="00F077D9">
        <w:rPr>
          <w:rFonts w:asciiTheme="minorHAnsi" w:eastAsia="Times New Roman" w:hAnsiTheme="minorHAnsi"/>
          <w:lang w:eastAsia="en-US"/>
        </w:rPr>
        <w:t>unit</w:t>
      </w:r>
      <w:r w:rsidRPr="00364422">
        <w:rPr>
          <w:rFonts w:asciiTheme="minorHAnsi" w:eastAsia="Times New Roman" w:hAnsiTheme="minorHAnsi"/>
          <w:lang w:eastAsia="en-US"/>
        </w:rPr>
        <w:t xml:space="preserve"> with the next-lowest bid.</w:t>
      </w:r>
    </w:p>
    <w:p w14:paraId="049BCF80" w14:textId="77777777" w:rsidR="003B5E83" w:rsidRDefault="00EB4055" w:rsidP="00EB4055">
      <w:pPr>
        <w:pStyle w:val="Heading2"/>
        <w:rPr>
          <w:rFonts w:eastAsia="Times New Roman"/>
          <w:lang w:eastAsia="en-US"/>
        </w:rPr>
      </w:pPr>
      <w:r>
        <w:rPr>
          <w:rFonts w:eastAsia="Times New Roman"/>
          <w:lang w:eastAsia="en-US"/>
        </w:rPr>
        <w:br/>
        <w:t>Outcomes of interest</w:t>
      </w:r>
      <w:r w:rsidR="001C4640">
        <w:rPr>
          <w:rFonts w:eastAsia="Times New Roman"/>
          <w:lang w:eastAsia="en-US"/>
        </w:rPr>
        <w:t xml:space="preserve"> and power analysis</w:t>
      </w:r>
    </w:p>
    <w:p w14:paraId="687411C0" w14:textId="77777777" w:rsidR="001C4640" w:rsidRPr="001C4640" w:rsidRDefault="007C3315" w:rsidP="007C3315">
      <w:pPr>
        <w:pStyle w:val="Heading3"/>
        <w:rPr>
          <w:lang w:eastAsia="en-US"/>
        </w:rPr>
      </w:pPr>
      <w:r>
        <w:rPr>
          <w:lang w:eastAsia="en-US"/>
        </w:rPr>
        <w:t>Outcomes</w:t>
      </w:r>
    </w:p>
    <w:p w14:paraId="47D9F20E" w14:textId="77777777" w:rsidR="00FC28A3" w:rsidRDefault="00FC28A3" w:rsidP="003B5E83">
      <w:pPr>
        <w:rPr>
          <w:rFonts w:asciiTheme="minorHAnsi" w:eastAsia="Times New Roman" w:hAnsiTheme="minorHAnsi"/>
          <w:lang w:eastAsia="en-US"/>
        </w:rPr>
      </w:pPr>
      <w:r w:rsidRPr="003B5E83">
        <w:rPr>
          <w:rFonts w:asciiTheme="minorHAnsi" w:eastAsia="Times New Roman" w:hAnsiTheme="minorHAnsi"/>
          <w:lang w:eastAsia="en-US"/>
        </w:rPr>
        <w:t>(</w:t>
      </w:r>
      <w:r>
        <w:rPr>
          <w:rFonts w:asciiTheme="minorHAnsi" w:eastAsia="Times New Roman" w:hAnsiTheme="minorHAnsi"/>
          <w:lang w:eastAsia="en-US"/>
        </w:rPr>
        <w:t>1</w:t>
      </w:r>
      <w:r w:rsidRPr="003B5E83">
        <w:rPr>
          <w:rFonts w:asciiTheme="minorHAnsi" w:eastAsia="Times New Roman" w:hAnsiTheme="minorHAnsi"/>
          <w:lang w:eastAsia="en-US"/>
        </w:rPr>
        <w:t>) Total procurement cost</w:t>
      </w:r>
      <w:r>
        <w:rPr>
          <w:rFonts w:asciiTheme="minorHAnsi" w:eastAsia="Times New Roman" w:hAnsiTheme="minorHAnsi"/>
          <w:lang w:eastAsia="en-US"/>
        </w:rPr>
        <w:t xml:space="preserve"> is the primary outcome of interest</w:t>
      </w:r>
      <w:r w:rsidRPr="003B5E83">
        <w:rPr>
          <w:rFonts w:asciiTheme="minorHAnsi" w:eastAsia="Times New Roman" w:hAnsiTheme="minorHAnsi"/>
          <w:lang w:eastAsia="en-US"/>
        </w:rPr>
        <w:t>.</w:t>
      </w:r>
      <w:r w:rsidR="001C4640">
        <w:rPr>
          <w:rFonts w:asciiTheme="minorHAnsi" w:eastAsia="Times New Roman" w:hAnsiTheme="minorHAnsi"/>
          <w:lang w:eastAsia="en-US"/>
        </w:rPr>
        <w:t xml:space="preserve">  Our power analysis is based on this primary outcome (see table and discussion below).</w:t>
      </w:r>
    </w:p>
    <w:p w14:paraId="0F27CDDE" w14:textId="77777777" w:rsidR="003B5E83" w:rsidRPr="003B5E83" w:rsidRDefault="003B5E83" w:rsidP="003B5E83">
      <w:pPr>
        <w:rPr>
          <w:rFonts w:asciiTheme="minorHAnsi" w:eastAsia="Times New Roman" w:hAnsiTheme="minorHAnsi"/>
          <w:lang w:eastAsia="en-US"/>
        </w:rPr>
      </w:pPr>
      <w:r w:rsidRPr="003B5E83">
        <w:rPr>
          <w:rFonts w:asciiTheme="minorHAnsi" w:eastAsia="Times New Roman" w:hAnsiTheme="minorHAnsi"/>
          <w:lang w:eastAsia="en-US"/>
        </w:rPr>
        <w:t>(</w:t>
      </w:r>
      <w:r w:rsidR="00FC28A3">
        <w:rPr>
          <w:rFonts w:asciiTheme="minorHAnsi" w:eastAsia="Times New Roman" w:hAnsiTheme="minorHAnsi"/>
          <w:lang w:eastAsia="en-US"/>
        </w:rPr>
        <w:t>2</w:t>
      </w:r>
      <w:r w:rsidRPr="003B5E83">
        <w:rPr>
          <w:rFonts w:asciiTheme="minorHAnsi" w:eastAsia="Times New Roman" w:hAnsiTheme="minorHAnsi"/>
          <w:lang w:eastAsia="en-US"/>
        </w:rPr>
        <w:t xml:space="preserve">) </w:t>
      </w:r>
      <w:r w:rsidR="00FC28A3">
        <w:rPr>
          <w:rFonts w:asciiTheme="minorHAnsi" w:eastAsia="Times New Roman" w:hAnsiTheme="minorHAnsi"/>
          <w:lang w:eastAsia="en-US"/>
        </w:rPr>
        <w:t>A p</w:t>
      </w:r>
      <w:r w:rsidRPr="003B5E83">
        <w:rPr>
          <w:rFonts w:asciiTheme="minorHAnsi" w:eastAsia="Times New Roman" w:hAnsiTheme="minorHAnsi"/>
          <w:lang w:eastAsia="en-US"/>
        </w:rPr>
        <w:t>arameterized bidding function</w:t>
      </w:r>
      <w:r w:rsidR="00FC28A3">
        <w:rPr>
          <w:rFonts w:asciiTheme="minorHAnsi" w:eastAsia="Times New Roman" w:hAnsiTheme="minorHAnsi"/>
          <w:lang w:eastAsia="en-US"/>
        </w:rPr>
        <w:t xml:space="preserve"> is a secondary outcome of interest</w:t>
      </w:r>
      <w:r w:rsidRPr="003B5E83">
        <w:rPr>
          <w:rFonts w:asciiTheme="minorHAnsi" w:eastAsia="Times New Roman" w:hAnsiTheme="minorHAnsi"/>
          <w:lang w:eastAsia="en-US"/>
        </w:rPr>
        <w:t>.  We will use a polynomial function of the value draws to estimate a bidding function bid = b(value).  We will control for fixed factors with session and individual fixed-effects.</w:t>
      </w:r>
    </w:p>
    <w:p w14:paraId="05117BC5" w14:textId="77777777" w:rsidR="005010B9" w:rsidRDefault="005010B9"/>
    <w:p w14:paraId="0AC5D7F0" w14:textId="77777777" w:rsidR="007C3315" w:rsidRDefault="007C3315" w:rsidP="007C3315">
      <w:pPr>
        <w:pStyle w:val="Heading3"/>
      </w:pPr>
      <w:r>
        <w:t>Power analysis</w:t>
      </w:r>
    </w:p>
    <w:p w14:paraId="62F9BB79" w14:textId="77777777" w:rsidR="006E13D2" w:rsidRDefault="007C3315" w:rsidP="00787AE2">
      <w:r>
        <w:t>Each experiment will yield an average of 12 rounds of data per treatment ( thr</w:t>
      </w:r>
      <w:r w:rsidR="00B9737C">
        <w:t>ee treatments</w:t>
      </w:r>
      <w:r w:rsidR="007C2364">
        <w:t>—36 rounds of data</w:t>
      </w:r>
      <w:r w:rsidR="00B9737C">
        <w:t xml:space="preserve">).  Because the 12 rounds are not independent (the same subjects participate in each of the rounds), we cluster at the </w:t>
      </w:r>
      <w:r w:rsidR="007F245E">
        <w:t xml:space="preserve">session level.  That is, the 36 observations generated in each session are not treated as independent.  We are interested in the total procurement cost for each auction treatment; we obtain one </w:t>
      </w:r>
      <w:r w:rsidR="007F245E">
        <w:lastRenderedPageBreak/>
        <w:t>(non-independent) observation of a given auction outcome each round.</w:t>
      </w:r>
      <w:r w:rsidR="000571B3">
        <w:t xml:space="preserve">  The requested number of burden hours allow us to conduct a total of </w:t>
      </w:r>
      <w:r w:rsidR="00CB0761">
        <w:t>12</w:t>
      </w:r>
      <w:r w:rsidR="000571B3">
        <w:t xml:space="preserve"> sessions.</w:t>
      </w:r>
      <w:r w:rsidR="001274FF">
        <w:t xml:space="preserve">  This means that we are conducting </w:t>
      </w:r>
      <w:r w:rsidR="001274FF" w:rsidRPr="00600867">
        <w:t>a test of means</w:t>
      </w:r>
      <w:r w:rsidR="001274FF">
        <w:t xml:space="preserve"> (mean procurement cost) clustered at the session level (12 clusters).</w:t>
      </w:r>
    </w:p>
    <w:p w14:paraId="2199EE05" w14:textId="77777777" w:rsidR="00FC76AF" w:rsidRDefault="00FC76AF"/>
    <w:p w14:paraId="294D0039" w14:textId="77777777" w:rsidR="00FC76AF" w:rsidRDefault="00FC76AF">
      <w:r>
        <w:t>We have 12 sessions</w:t>
      </w:r>
      <w:r w:rsidR="00C41A0A">
        <w:t>, each session yielding 36</w:t>
      </w:r>
      <w:r>
        <w:t xml:space="preserve"> observations.  This gives us a total of 12*</w:t>
      </w:r>
      <w:r w:rsidR="00416C6D">
        <w:t>36</w:t>
      </w:r>
      <w:r>
        <w:t xml:space="preserve"> = </w:t>
      </w:r>
      <w:r w:rsidR="00416C6D">
        <w:t>432</w:t>
      </w:r>
      <w:r>
        <w:t xml:space="preserve"> observations, or an average of </w:t>
      </w:r>
      <w:r w:rsidR="00416C6D">
        <w:t>86 (rounded down)</w:t>
      </w:r>
      <w:r>
        <w:t xml:space="preserve"> observations per auction treatment.</w:t>
      </w:r>
    </w:p>
    <w:p w14:paraId="0A0E4C59" w14:textId="77777777" w:rsidR="00E24FB0" w:rsidRDefault="00E24FB0"/>
    <w:p w14:paraId="6193AA4D" w14:textId="77777777" w:rsidR="00E24FB0" w:rsidRDefault="00E24FB0">
      <w:r>
        <w:t>Based on an</w:t>
      </w:r>
      <w:r w:rsidR="00755C4F">
        <w:t xml:space="preserve"> estimate</w:t>
      </w:r>
      <w:r w:rsidR="002C3D57">
        <w:t>d average</w:t>
      </w:r>
      <w:r w:rsidR="00755C4F">
        <w:t xml:space="preserve"> of 241.1</w:t>
      </w:r>
      <w:r>
        <w:t xml:space="preserve"> ECUs (Experimental Currency Units) </w:t>
      </w:r>
      <w:r w:rsidR="002C3D57">
        <w:t xml:space="preserve">and a standard deviation of 65 </w:t>
      </w:r>
      <w:r>
        <w:t>for the baseline treatment, the estimated minimum detectable effect (MDE)</w:t>
      </w:r>
      <w:r w:rsidR="00755C4F">
        <w:t xml:space="preserve"> is 40.20</w:t>
      </w:r>
      <w:r>
        <w:t>.</w:t>
      </w:r>
    </w:p>
    <w:p w14:paraId="78F9401C" w14:textId="77777777" w:rsidR="00C46AD8" w:rsidRDefault="00C46AD8"/>
    <w:p w14:paraId="0D1D60D8" w14:textId="77777777" w:rsidR="00C46AD8" w:rsidRDefault="00C46AD8">
      <w:r>
        <w:t>The simulations used to determine the average procurement cost of 241.1 and the standard deviation of 65 are copied below in the Appendix.</w:t>
      </w:r>
    </w:p>
    <w:p w14:paraId="3B18FCE2" w14:textId="77777777" w:rsidR="00C46AD8" w:rsidRDefault="00C46AD8"/>
    <w:p w14:paraId="48AA4FB4" w14:textId="77777777" w:rsidR="00C46AD8" w:rsidRDefault="00C46AD8" w:rsidP="00C46AD8">
      <w:pPr>
        <w:pStyle w:val="Heading1"/>
      </w:pPr>
      <w:r>
        <w:t>Appendix</w:t>
      </w:r>
    </w:p>
    <w:p w14:paraId="6CFC81D9" w14:textId="77777777" w:rsidR="00C62890" w:rsidRDefault="00C46AD8" w:rsidP="00C46AD8">
      <w:r>
        <w:t xml:space="preserve">Simulations to determine expected cost of procurement for the baseline auction were run in the computer programming language R.  </w:t>
      </w:r>
    </w:p>
    <w:p w14:paraId="48C091EB" w14:textId="2E0E445D" w:rsidR="00C46AD8" w:rsidRDefault="00C46AD8" w:rsidP="00C46AD8">
      <w:r>
        <w:t xml:space="preserve">R is freely available at </w:t>
      </w:r>
      <w:r w:rsidRPr="00C46AD8">
        <w:t>www.r-project.org/</w:t>
      </w:r>
      <w:r>
        <w:t>.</w:t>
      </w:r>
    </w:p>
    <w:p w14:paraId="1EAAC2EF" w14:textId="77777777" w:rsidR="00C46AD8" w:rsidRDefault="00C46AD8" w:rsidP="00C46AD8"/>
    <w:p w14:paraId="18050725" w14:textId="77777777" w:rsidR="00C46AD8" w:rsidRDefault="00C46AD8" w:rsidP="00C46AD8">
      <w:r>
        <w:t># What is the procurement cost of a baseline auction?</w:t>
      </w:r>
      <w:r w:rsidR="009002B4">
        <w:t xml:space="preserve"> These costs will be the basis of comparison to the three treatments</w:t>
      </w:r>
    </w:p>
    <w:p w14:paraId="13EFD263" w14:textId="77777777" w:rsidR="00C46AD8" w:rsidRDefault="00C46AD8" w:rsidP="00C46AD8">
      <w:r>
        <w:t>#  Calculate based on simulations, with bidding behavior given by game theoretic analysis.</w:t>
      </w:r>
    </w:p>
    <w:p w14:paraId="7266DF6D" w14:textId="77777777" w:rsidR="00C46AD8" w:rsidRDefault="00C46AD8" w:rsidP="00C46AD8">
      <w:r>
        <w:t>#  The bidding behavior is given by:</w:t>
      </w:r>
    </w:p>
    <w:p w14:paraId="6F965307" w14:textId="77777777" w:rsidR="00C46AD8" w:rsidRDefault="00C46AD8" w:rsidP="00C46AD8">
      <w:r>
        <w:t>#    b*_</w:t>
      </w:r>
      <w:proofErr w:type="spellStart"/>
      <w:r>
        <w:t>i</w:t>
      </w:r>
      <w:proofErr w:type="spellEnd"/>
      <w:r>
        <w:t xml:space="preserve"> = </w:t>
      </w:r>
      <w:proofErr w:type="spellStart"/>
      <w:r>
        <w:t>cap_i</w:t>
      </w:r>
      <w:proofErr w:type="spellEnd"/>
      <w:r>
        <w:t xml:space="preserve"> if </w:t>
      </w:r>
      <w:proofErr w:type="spellStart"/>
      <w:r w:rsidR="00D2256A">
        <w:t>v</w:t>
      </w:r>
      <w:r>
        <w:t>_i</w:t>
      </w:r>
      <w:proofErr w:type="spellEnd"/>
      <w:r>
        <w:t xml:space="preserve"> &lt; </w:t>
      </w:r>
      <w:proofErr w:type="spellStart"/>
      <w:r>
        <w:t>cap_i</w:t>
      </w:r>
      <w:proofErr w:type="spellEnd"/>
      <w:r w:rsidR="009002B4">
        <w:t xml:space="preserve"> (the bidder will bid the cap if their underlying value is less than the cap</w:t>
      </w:r>
      <w:r w:rsidR="004A23BC">
        <w:t>, unless…</w:t>
      </w:r>
    </w:p>
    <w:p w14:paraId="74FC2C40" w14:textId="77777777" w:rsidR="00C46AD8" w:rsidRDefault="00C46AD8" w:rsidP="00C46AD8">
      <w:r>
        <w:t>#    b*_</w:t>
      </w:r>
      <w:proofErr w:type="spellStart"/>
      <w:r>
        <w:t>i</w:t>
      </w:r>
      <w:proofErr w:type="spellEnd"/>
      <w:r>
        <w:t xml:space="preserve"> = 0.3974+0.4210</w:t>
      </w:r>
      <w:r w:rsidR="00D2256A">
        <w:t>*</w:t>
      </w:r>
      <w:proofErr w:type="spellStart"/>
      <w:r w:rsidR="00D2256A">
        <w:t>v</w:t>
      </w:r>
      <w:r>
        <w:t>_i</w:t>
      </w:r>
      <w:proofErr w:type="spellEnd"/>
      <w:r>
        <w:t xml:space="preserve"> if </w:t>
      </w:r>
      <w:proofErr w:type="spellStart"/>
      <w:r w:rsidR="00D2256A">
        <w:t>v</w:t>
      </w:r>
      <w:r>
        <w:t>_i</w:t>
      </w:r>
      <w:proofErr w:type="spellEnd"/>
      <w:r>
        <w:t xml:space="preserve"> &lt; 0.3974+0.4210</w:t>
      </w:r>
      <w:r w:rsidR="00D2256A">
        <w:t>*</w:t>
      </w:r>
      <w:proofErr w:type="spellStart"/>
      <w:r w:rsidR="00D2256A">
        <w:t>v</w:t>
      </w:r>
      <w:r>
        <w:t>_i</w:t>
      </w:r>
      <w:proofErr w:type="spellEnd"/>
      <w:r>
        <w:t xml:space="preserve"> &lt; </w:t>
      </w:r>
      <w:proofErr w:type="spellStart"/>
      <w:r>
        <w:t>cap_i</w:t>
      </w:r>
      <w:proofErr w:type="spellEnd"/>
      <w:r w:rsidR="009002B4">
        <w:t xml:space="preserve"> (the bidder trades off the probability of being accepted with receiving a higher payment</w:t>
      </w:r>
      <w:r w:rsidR="004A23BC">
        <w:t xml:space="preserve"> if their optimal bid is less than the cap</w:t>
      </w:r>
      <w:r w:rsidR="009002B4">
        <w:t>)</w:t>
      </w:r>
    </w:p>
    <w:p w14:paraId="093A8512" w14:textId="77777777" w:rsidR="00C46AD8" w:rsidRDefault="00C46AD8" w:rsidP="00C46AD8">
      <w:r>
        <w:t>#    b*_</w:t>
      </w:r>
      <w:proofErr w:type="spellStart"/>
      <w:r>
        <w:t>i</w:t>
      </w:r>
      <w:proofErr w:type="spellEnd"/>
      <w:r>
        <w:t xml:space="preserve"> = </w:t>
      </w:r>
      <w:proofErr w:type="spellStart"/>
      <w:r w:rsidR="00D2256A">
        <w:t>v</w:t>
      </w:r>
      <w:r>
        <w:t>_i</w:t>
      </w:r>
      <w:proofErr w:type="spellEnd"/>
      <w:r>
        <w:t xml:space="preserve"> if 0.3974+0.4210</w:t>
      </w:r>
      <w:r w:rsidR="00D2256A">
        <w:t>*</w:t>
      </w:r>
      <w:proofErr w:type="spellStart"/>
      <w:r w:rsidR="00D2256A">
        <w:t>v</w:t>
      </w:r>
      <w:r>
        <w:t>_i</w:t>
      </w:r>
      <w:proofErr w:type="spellEnd"/>
      <w:r>
        <w:t xml:space="preserve"> &lt; </w:t>
      </w:r>
      <w:proofErr w:type="spellStart"/>
      <w:r w:rsidR="00D2256A">
        <w:t>v</w:t>
      </w:r>
      <w:r>
        <w:t>_i</w:t>
      </w:r>
      <w:proofErr w:type="spellEnd"/>
      <w:r>
        <w:t xml:space="preserve"> &lt; </w:t>
      </w:r>
      <w:proofErr w:type="spellStart"/>
      <w:r>
        <w:t>cap_i</w:t>
      </w:r>
      <w:proofErr w:type="spellEnd"/>
      <w:r w:rsidR="009002B4">
        <w:t xml:space="preserve">  </w:t>
      </w:r>
      <w:r w:rsidR="00CF574E">
        <w:t>(bidder will bid exact costs</w:t>
      </w:r>
      <w:r w:rsidR="009002B4">
        <w:t>)</w:t>
      </w:r>
    </w:p>
    <w:p w14:paraId="250FB3B8" w14:textId="77777777" w:rsidR="00C46AD8" w:rsidRDefault="00C46AD8" w:rsidP="00C46AD8"/>
    <w:p w14:paraId="666E6BD0" w14:textId="77777777" w:rsidR="00C46AD8" w:rsidRDefault="00C46AD8" w:rsidP="00C46AD8">
      <w:r>
        <w:t># Monte Carlo size</w:t>
      </w:r>
    </w:p>
    <w:p w14:paraId="352AFFD4" w14:textId="77777777" w:rsidR="00C46AD8" w:rsidRDefault="00C46AD8" w:rsidP="00C46AD8">
      <w:r>
        <w:t>mc &lt;- 10000</w:t>
      </w:r>
    </w:p>
    <w:p w14:paraId="4DA525C2" w14:textId="77777777" w:rsidR="00C46AD8" w:rsidRDefault="00C46AD8" w:rsidP="00C46AD8"/>
    <w:p w14:paraId="53A650BA" w14:textId="77777777" w:rsidR="00C46AD8" w:rsidRDefault="00C46AD8" w:rsidP="00C46AD8">
      <w:r>
        <w:t># Create a container variable for the cost of each iteration</w:t>
      </w:r>
    </w:p>
    <w:p w14:paraId="2E73D3D3" w14:textId="77777777" w:rsidR="00C46AD8" w:rsidRDefault="00C46AD8" w:rsidP="00C46AD8">
      <w:r>
        <w:t>cost &lt;- rep(0,mc)</w:t>
      </w:r>
    </w:p>
    <w:p w14:paraId="2C9220D7" w14:textId="77777777" w:rsidR="00C46AD8" w:rsidRDefault="00C46AD8" w:rsidP="00C46AD8"/>
    <w:p w14:paraId="7D02B41D" w14:textId="77777777" w:rsidR="00C46AD8" w:rsidRDefault="00C46AD8" w:rsidP="00C46AD8">
      <w:r>
        <w:t xml:space="preserve"># Set seed </w:t>
      </w:r>
    </w:p>
    <w:p w14:paraId="6BC4BED5" w14:textId="77777777" w:rsidR="00C46AD8" w:rsidRDefault="00C46AD8" w:rsidP="00C46AD8">
      <w:proofErr w:type="spellStart"/>
      <w:r>
        <w:t>set.seed</w:t>
      </w:r>
      <w:proofErr w:type="spellEnd"/>
      <w:r>
        <w:t>(12)</w:t>
      </w:r>
    </w:p>
    <w:p w14:paraId="75D9ECC8" w14:textId="77777777" w:rsidR="00C46AD8" w:rsidRDefault="00C46AD8" w:rsidP="00C46AD8"/>
    <w:p w14:paraId="445DBB27" w14:textId="77777777" w:rsidR="00C46AD8" w:rsidRDefault="00C46AD8" w:rsidP="00C46AD8">
      <w:r>
        <w:lastRenderedPageBreak/>
        <w:t># Execute simulation</w:t>
      </w:r>
    </w:p>
    <w:p w14:paraId="5AE1A2CE" w14:textId="77777777" w:rsidR="00C46AD8" w:rsidRDefault="00C46AD8" w:rsidP="00C46AD8">
      <w:r>
        <w:t>for (</w:t>
      </w:r>
      <w:proofErr w:type="spellStart"/>
      <w:r>
        <w:t>i</w:t>
      </w:r>
      <w:proofErr w:type="spellEnd"/>
      <w:r>
        <w:t xml:space="preserve"> in 1:mc) {</w:t>
      </w:r>
    </w:p>
    <w:p w14:paraId="1D2F984C" w14:textId="77777777" w:rsidR="00C46AD8" w:rsidRDefault="00C46AD8" w:rsidP="00C46AD8">
      <w:r>
        <w:t xml:space="preserve">    # Draw a random sample from [0,1]</w:t>
      </w:r>
    </w:p>
    <w:p w14:paraId="45F25ED2" w14:textId="77777777" w:rsidR="00C46AD8" w:rsidRDefault="00C46AD8" w:rsidP="00C46AD8">
      <w:r>
        <w:t xml:space="preserve">    v &lt;- </w:t>
      </w:r>
      <w:proofErr w:type="spellStart"/>
      <w:r>
        <w:t>runif</w:t>
      </w:r>
      <w:proofErr w:type="spellEnd"/>
      <w:r>
        <w:t>(16, min = 0, max = 1)</w:t>
      </w:r>
    </w:p>
    <w:p w14:paraId="7E2C7581" w14:textId="77777777" w:rsidR="00C46AD8" w:rsidRDefault="00C46AD8" w:rsidP="00C46AD8">
      <w:r>
        <w:t xml:space="preserve">    </w:t>
      </w:r>
    </w:p>
    <w:p w14:paraId="0AA4C031" w14:textId="77777777" w:rsidR="00C46AD8" w:rsidRDefault="00C46AD8" w:rsidP="00C46AD8">
      <w:r>
        <w:t xml:space="preserve">    # Draw a buyer's estimate of value (equal to the price cap)</w:t>
      </w:r>
    </w:p>
    <w:p w14:paraId="6D6DC1AF" w14:textId="77777777" w:rsidR="00C46AD8" w:rsidRDefault="00C46AD8" w:rsidP="00C46AD8">
      <w:r>
        <w:t xml:space="preserve">    </w:t>
      </w:r>
      <w:proofErr w:type="spellStart"/>
      <w:r>
        <w:t>vHat</w:t>
      </w:r>
      <w:proofErr w:type="spellEnd"/>
      <w:r>
        <w:t xml:space="preserve"> &lt;- v + </w:t>
      </w:r>
      <w:proofErr w:type="spellStart"/>
      <w:r>
        <w:t>runif</w:t>
      </w:r>
      <w:proofErr w:type="spellEnd"/>
      <w:r>
        <w:t>(16, min = 0, max = 1)/20</w:t>
      </w:r>
    </w:p>
    <w:p w14:paraId="26AC4505" w14:textId="77777777" w:rsidR="00C46AD8" w:rsidRDefault="00C46AD8" w:rsidP="00C46AD8">
      <w:r>
        <w:t xml:space="preserve">    </w:t>
      </w:r>
    </w:p>
    <w:p w14:paraId="39E0A0C4" w14:textId="77777777" w:rsidR="00C46AD8" w:rsidRDefault="00C46AD8" w:rsidP="00C46AD8">
      <w:r>
        <w:t xml:space="preserve">    # Bidding function</w:t>
      </w:r>
    </w:p>
    <w:p w14:paraId="798451C5" w14:textId="77777777" w:rsidR="00C46AD8" w:rsidRDefault="00C46AD8" w:rsidP="00C46AD8">
      <w:r>
        <w:t xml:space="preserve">    </w:t>
      </w:r>
      <w:proofErr w:type="spellStart"/>
      <w:r>
        <w:t>bTilda</w:t>
      </w:r>
      <w:proofErr w:type="spellEnd"/>
      <w:r>
        <w:t xml:space="preserve"> &lt;- 0.3974+0.4210*v</w:t>
      </w:r>
    </w:p>
    <w:p w14:paraId="6441F936" w14:textId="77777777" w:rsidR="00C46AD8" w:rsidRDefault="00C46AD8" w:rsidP="00C46AD8">
      <w:r>
        <w:t xml:space="preserve">    b &lt;- rep(0,16)</w:t>
      </w:r>
    </w:p>
    <w:p w14:paraId="52027631" w14:textId="77777777" w:rsidR="00C46AD8" w:rsidRDefault="00C46AD8" w:rsidP="00C46AD8">
      <w:r>
        <w:t xml:space="preserve">    for (j in 1:16) {</w:t>
      </w:r>
    </w:p>
    <w:p w14:paraId="437D0D04" w14:textId="77777777" w:rsidR="00C46AD8" w:rsidRDefault="00C46AD8" w:rsidP="00C46AD8">
      <w:r>
        <w:t xml:space="preserve">        if (v[j] &lt; </w:t>
      </w:r>
      <w:proofErr w:type="spellStart"/>
      <w:r>
        <w:t>vHat</w:t>
      </w:r>
      <w:proofErr w:type="spellEnd"/>
      <w:r>
        <w:t>[j]) {</w:t>
      </w:r>
    </w:p>
    <w:p w14:paraId="2F693CC7" w14:textId="77777777" w:rsidR="00C46AD8" w:rsidRDefault="00C46AD8" w:rsidP="00C46AD8">
      <w:r>
        <w:t xml:space="preserve">            b[j] &lt;- </w:t>
      </w:r>
      <w:proofErr w:type="spellStart"/>
      <w:r>
        <w:t>vHat</w:t>
      </w:r>
      <w:proofErr w:type="spellEnd"/>
      <w:r>
        <w:t>[j]</w:t>
      </w:r>
    </w:p>
    <w:p w14:paraId="734D6E77" w14:textId="77777777" w:rsidR="00C46AD8" w:rsidRDefault="00C46AD8" w:rsidP="00C46AD8">
      <w:r>
        <w:t xml:space="preserve">        }</w:t>
      </w:r>
    </w:p>
    <w:p w14:paraId="7C93B2B4" w14:textId="77777777" w:rsidR="00C46AD8" w:rsidRDefault="00C46AD8" w:rsidP="00C46AD8">
      <w:r>
        <w:t xml:space="preserve">        if ((v[j] &lt; </w:t>
      </w:r>
      <w:proofErr w:type="spellStart"/>
      <w:r>
        <w:t>bTilda</w:t>
      </w:r>
      <w:proofErr w:type="spellEnd"/>
      <w:r>
        <w:t>[j]) &amp; (</w:t>
      </w:r>
      <w:proofErr w:type="spellStart"/>
      <w:r>
        <w:t>bTilda</w:t>
      </w:r>
      <w:proofErr w:type="spellEnd"/>
      <w:r>
        <w:t xml:space="preserve">[j] &lt; </w:t>
      </w:r>
      <w:proofErr w:type="spellStart"/>
      <w:r>
        <w:t>vHat</w:t>
      </w:r>
      <w:proofErr w:type="spellEnd"/>
      <w:r>
        <w:t>[j])) {</w:t>
      </w:r>
    </w:p>
    <w:p w14:paraId="493B9DC0" w14:textId="77777777" w:rsidR="00C46AD8" w:rsidRDefault="00C46AD8" w:rsidP="00C46AD8">
      <w:r>
        <w:t xml:space="preserve">            b[j] &lt;- </w:t>
      </w:r>
      <w:proofErr w:type="spellStart"/>
      <w:r>
        <w:t>bTilda</w:t>
      </w:r>
      <w:proofErr w:type="spellEnd"/>
      <w:r>
        <w:t>[j]</w:t>
      </w:r>
    </w:p>
    <w:p w14:paraId="0F1F9A0E" w14:textId="77777777" w:rsidR="00C46AD8" w:rsidRDefault="00C46AD8" w:rsidP="00C46AD8">
      <w:r>
        <w:t xml:space="preserve">        }</w:t>
      </w:r>
    </w:p>
    <w:p w14:paraId="4A65D39E" w14:textId="77777777" w:rsidR="00C46AD8" w:rsidRDefault="00C46AD8" w:rsidP="00C46AD8">
      <w:r>
        <w:t xml:space="preserve">        if ((</w:t>
      </w:r>
      <w:proofErr w:type="spellStart"/>
      <w:r>
        <w:t>bTilda</w:t>
      </w:r>
      <w:proofErr w:type="spellEnd"/>
      <w:r>
        <w:t xml:space="preserve">[j] &lt; v[j]) &amp; (v[j] &lt; </w:t>
      </w:r>
      <w:proofErr w:type="spellStart"/>
      <w:r>
        <w:t>vHat</w:t>
      </w:r>
      <w:proofErr w:type="spellEnd"/>
      <w:r>
        <w:t>[j])) {</w:t>
      </w:r>
    </w:p>
    <w:p w14:paraId="3F7427A5" w14:textId="77777777" w:rsidR="00C46AD8" w:rsidRDefault="00C46AD8" w:rsidP="00C46AD8">
      <w:r>
        <w:t xml:space="preserve">            b[j] &lt;- v[j]</w:t>
      </w:r>
    </w:p>
    <w:p w14:paraId="6621B736" w14:textId="77777777" w:rsidR="00C46AD8" w:rsidRDefault="00C46AD8" w:rsidP="00C46AD8">
      <w:r>
        <w:t xml:space="preserve">        }</w:t>
      </w:r>
    </w:p>
    <w:p w14:paraId="367E7D64" w14:textId="77777777" w:rsidR="00C46AD8" w:rsidRDefault="00C46AD8" w:rsidP="00C46AD8">
      <w:r>
        <w:t xml:space="preserve">    }</w:t>
      </w:r>
    </w:p>
    <w:p w14:paraId="2D9D38F3" w14:textId="77777777" w:rsidR="00C46AD8" w:rsidRDefault="00C46AD8" w:rsidP="00C46AD8">
      <w:r>
        <w:t xml:space="preserve">    </w:t>
      </w:r>
    </w:p>
    <w:p w14:paraId="039E9108" w14:textId="77777777" w:rsidR="00C46AD8" w:rsidRDefault="00C46AD8" w:rsidP="00C46AD8">
      <w:r>
        <w:t xml:space="preserve">    # Sort bids</w:t>
      </w:r>
      <w:r w:rsidR="00CF574E">
        <w:t xml:space="preserve"> from lowest to highest</w:t>
      </w:r>
    </w:p>
    <w:p w14:paraId="752E8FB5" w14:textId="77777777" w:rsidR="00C46AD8" w:rsidRDefault="00C46AD8" w:rsidP="00C46AD8">
      <w:r>
        <w:t xml:space="preserve">    </w:t>
      </w:r>
      <w:proofErr w:type="spellStart"/>
      <w:r>
        <w:t>sb</w:t>
      </w:r>
      <w:proofErr w:type="spellEnd"/>
      <w:r>
        <w:t xml:space="preserve"> &lt;- b[order(b)]</w:t>
      </w:r>
    </w:p>
    <w:p w14:paraId="164C0E9D" w14:textId="77777777" w:rsidR="00C46AD8" w:rsidRDefault="00C46AD8" w:rsidP="00C46AD8">
      <w:r>
        <w:t xml:space="preserve">    </w:t>
      </w:r>
    </w:p>
    <w:p w14:paraId="7ED95A40" w14:textId="77777777" w:rsidR="00C46AD8" w:rsidRDefault="00C46AD8" w:rsidP="00C46AD8">
      <w:r>
        <w:t xml:space="preserve">    # Select the 8 lowest and sum the</w:t>
      </w:r>
      <w:r w:rsidR="00CF574E">
        <w:t xml:space="preserve"> cost of enrolling them </w:t>
      </w:r>
    </w:p>
    <w:p w14:paraId="73683272" w14:textId="77777777" w:rsidR="00C46AD8" w:rsidRDefault="00C46AD8" w:rsidP="00C46AD8">
      <w:r>
        <w:t xml:space="preserve">    cost[</w:t>
      </w:r>
      <w:proofErr w:type="spellStart"/>
      <w:r>
        <w:t>i</w:t>
      </w:r>
      <w:proofErr w:type="spellEnd"/>
      <w:r>
        <w:t>] &lt;- sum(</w:t>
      </w:r>
      <w:proofErr w:type="spellStart"/>
      <w:r>
        <w:t>sb</w:t>
      </w:r>
      <w:proofErr w:type="spellEnd"/>
      <w:r>
        <w:t>[1:8])</w:t>
      </w:r>
    </w:p>
    <w:p w14:paraId="7F644083" w14:textId="77777777" w:rsidR="00C46AD8" w:rsidRDefault="00C46AD8" w:rsidP="00C46AD8">
      <w:r>
        <w:t>}</w:t>
      </w:r>
    </w:p>
    <w:p w14:paraId="440BE098" w14:textId="77777777" w:rsidR="00C46AD8" w:rsidRDefault="00C46AD8" w:rsidP="00C46AD8"/>
    <w:p w14:paraId="16B3FC91" w14:textId="77777777" w:rsidR="00C46AD8" w:rsidRDefault="00C46AD8" w:rsidP="00C46AD8"/>
    <w:p w14:paraId="11ECF5E2" w14:textId="77777777" w:rsidR="00C46AD8" w:rsidRDefault="00C46AD8" w:rsidP="00C46AD8">
      <w:r>
        <w:t># Multiply cost by 100 and add 10 to project onto proper scale</w:t>
      </w:r>
    </w:p>
    <w:p w14:paraId="4AA1A336" w14:textId="77777777" w:rsidR="00C46AD8" w:rsidRDefault="00C46AD8" w:rsidP="00C46AD8">
      <w:r>
        <w:t>cost &lt;- cost*100 + 10</w:t>
      </w:r>
    </w:p>
    <w:p w14:paraId="35FF2CBA" w14:textId="77777777" w:rsidR="00C46AD8" w:rsidRDefault="00C46AD8" w:rsidP="00C46AD8"/>
    <w:p w14:paraId="1963BACF" w14:textId="77777777" w:rsidR="00C46AD8" w:rsidRDefault="00C46AD8" w:rsidP="00C46AD8">
      <w:r>
        <w:t># The average cost of an auction is:</w:t>
      </w:r>
    </w:p>
    <w:p w14:paraId="22024582" w14:textId="77777777" w:rsidR="00C46AD8" w:rsidRDefault="00C46AD8" w:rsidP="00C46AD8">
      <w:r>
        <w:t>summary(cost) # 241.10</w:t>
      </w:r>
    </w:p>
    <w:p w14:paraId="4C314971" w14:textId="77777777" w:rsidR="00C46AD8" w:rsidRDefault="00C46AD8" w:rsidP="00C46AD8"/>
    <w:p w14:paraId="19DB5D41" w14:textId="77777777" w:rsidR="00C46AD8" w:rsidRDefault="00C46AD8" w:rsidP="00C46AD8">
      <w:r>
        <w:t xml:space="preserve"># The </w:t>
      </w:r>
      <w:proofErr w:type="spellStart"/>
      <w:r>
        <w:t>sd</w:t>
      </w:r>
      <w:proofErr w:type="spellEnd"/>
      <w:r>
        <w:t xml:space="preserve"> of cost is:</w:t>
      </w:r>
    </w:p>
    <w:p w14:paraId="0F953AFE" w14:textId="77777777" w:rsidR="00C46AD8" w:rsidRPr="00C46AD8" w:rsidRDefault="00C46AD8" w:rsidP="00C46AD8">
      <w:proofErr w:type="spellStart"/>
      <w:r>
        <w:t>sd</w:t>
      </w:r>
      <w:proofErr w:type="spellEnd"/>
      <w:r>
        <w:t>(cost) # 64.96152</w:t>
      </w:r>
    </w:p>
    <w:sectPr w:rsidR="00C46AD8" w:rsidRPr="00C46AD8" w:rsidSect="00C4139D">
      <w:headerReference w:type="default" r:id="rId9"/>
      <w:footerReference w:type="default" r:id="rId10"/>
      <w:pgSz w:w="12240" w:h="15840"/>
      <w:pgMar w:top="1440" w:right="1800" w:bottom="1440" w:left="1800" w:header="720" w:footer="720" w:gutter="0"/>
      <w:lnNumType w:countBy="1" w:restart="continuou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158D0E" w14:textId="77777777" w:rsidR="009F317F" w:rsidRDefault="009F317F" w:rsidP="008632A2">
      <w:r>
        <w:separator/>
      </w:r>
    </w:p>
  </w:endnote>
  <w:endnote w:type="continuationSeparator" w:id="0">
    <w:p w14:paraId="3D8F774D" w14:textId="77777777" w:rsidR="009F317F" w:rsidRDefault="009F317F" w:rsidP="008632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1687899"/>
      <w:docPartObj>
        <w:docPartGallery w:val="Page Numbers (Bottom of Page)"/>
        <w:docPartUnique/>
      </w:docPartObj>
    </w:sdtPr>
    <w:sdtEndPr>
      <w:rPr>
        <w:noProof/>
      </w:rPr>
    </w:sdtEndPr>
    <w:sdtContent>
      <w:p w14:paraId="16DA6A5B" w14:textId="2569639B" w:rsidR="005A49E8" w:rsidRDefault="005A49E8">
        <w:pPr>
          <w:pStyle w:val="Footer"/>
          <w:jc w:val="right"/>
        </w:pPr>
        <w:r>
          <w:fldChar w:fldCharType="begin"/>
        </w:r>
        <w:r>
          <w:instrText xml:space="preserve"> PAGE   \* MERGEFORMAT </w:instrText>
        </w:r>
        <w:r>
          <w:fldChar w:fldCharType="separate"/>
        </w:r>
        <w:r w:rsidR="00385055">
          <w:rPr>
            <w:noProof/>
          </w:rPr>
          <w:t>4</w:t>
        </w:r>
        <w:r>
          <w:rPr>
            <w:noProof/>
          </w:rPr>
          <w:fldChar w:fldCharType="end"/>
        </w:r>
      </w:p>
    </w:sdtContent>
  </w:sdt>
  <w:p w14:paraId="137CBF35" w14:textId="77777777" w:rsidR="008632A2" w:rsidRDefault="008632A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9F326B" w14:textId="77777777" w:rsidR="009F317F" w:rsidRDefault="009F317F" w:rsidP="008632A2">
      <w:r>
        <w:separator/>
      </w:r>
    </w:p>
  </w:footnote>
  <w:footnote w:type="continuationSeparator" w:id="0">
    <w:p w14:paraId="2C019A04" w14:textId="77777777" w:rsidR="009F317F" w:rsidRDefault="009F317F" w:rsidP="008632A2">
      <w:r>
        <w:continuationSeparator/>
      </w:r>
    </w:p>
  </w:footnote>
  <w:footnote w:id="1">
    <w:p w14:paraId="7672F782" w14:textId="77777777" w:rsidR="000A513C" w:rsidRDefault="000A513C" w:rsidP="000A513C">
      <w:pPr>
        <w:pStyle w:val="FootnoteText"/>
      </w:pPr>
      <w:r>
        <w:rPr>
          <w:rStyle w:val="FootnoteReference"/>
        </w:rPr>
        <w:footnoteRef/>
      </w:r>
      <w:r>
        <w:t xml:space="preserve"> The number of auctions participated in by each individual within a session will be identical, but may vary across sessions.  For more details, please see </w:t>
      </w:r>
      <w:r w:rsidRPr="00A92EF3">
        <w:t>Attachment B -</w:t>
      </w:r>
      <w:r>
        <w:t xml:space="preserve"> </w:t>
      </w:r>
      <w:r w:rsidRPr="00A92EF3">
        <w:t>Experimental Design Protocol</w:t>
      </w:r>
      <w:r>
        <w:t>.</w:t>
      </w:r>
    </w:p>
  </w:footnote>
  <w:footnote w:id="2">
    <w:p w14:paraId="338E244C" w14:textId="77777777" w:rsidR="000A513C" w:rsidRDefault="000A513C" w:rsidP="000A513C">
      <w:pPr>
        <w:pStyle w:val="FootnoteText"/>
      </w:pPr>
      <w:r>
        <w:rPr>
          <w:rStyle w:val="FootnoteReference"/>
        </w:rPr>
        <w:footnoteRef/>
      </w:r>
      <w:r>
        <w:t xml:space="preserve"> We are using $50 because the maximum payment in the pre-test which was less competitive (fewer people) than the proposed experiment was $53 when the ECU were converted into dollars. </w:t>
      </w:r>
    </w:p>
  </w:footnote>
  <w:footnote w:id="3">
    <w:p w14:paraId="6F134B01" w14:textId="77777777" w:rsidR="000A513C" w:rsidRDefault="000A513C" w:rsidP="000A513C">
      <w:pPr>
        <w:pStyle w:val="FootnoteText"/>
      </w:pPr>
      <w:r>
        <w:rPr>
          <w:rStyle w:val="FootnoteReference"/>
        </w:rPr>
        <w:footnoteRef/>
      </w:r>
      <w:r>
        <w:t xml:space="preserve"> Because auctions are competitive, it is not possible to directly limit the earnings that can be generated by participation without an explicit limit – a price cap.  Because this experiment includes auctions </w:t>
      </w:r>
      <w:r>
        <w:rPr>
          <w:i/>
        </w:rPr>
        <w:t>without</w:t>
      </w:r>
      <w:r>
        <w:t xml:space="preserve"> price caps as a very explicit treatment, it is not possible to </w:t>
      </w:r>
      <w:r>
        <w:rPr>
          <w:i/>
        </w:rPr>
        <w:t>guarantee</w:t>
      </w:r>
      <w:r>
        <w:t xml:space="preserve"> that payments greater than $50 will not be made.  Competition, however, is an excellent check on high payments.  All auctions will be competitive and payments above $50 will be exceedingly rare.  Furthermore, the payment design can be changed after the completion of a session, further reducing payment risk.  That is, if in live testing – which by definition cannot be conducted at scale with 16 bidders until PRA clearance is received – individuals earn amounts in excess of the planned maximum, the rate of exchange between “experimental dollars” (the currency used in the experiment and displayed onscreen to the experiment participants) and $U.S. can be modified to ensure that payment stay within the proposed range in future sessions.</w:t>
      </w:r>
    </w:p>
  </w:footnote>
  <w:footnote w:id="4">
    <w:p w14:paraId="52314592" w14:textId="77777777" w:rsidR="000A513C" w:rsidRDefault="000A513C" w:rsidP="000A513C">
      <w:pPr>
        <w:pStyle w:val="FootnoteText"/>
      </w:pPr>
      <w:r>
        <w:rPr>
          <w:rStyle w:val="FootnoteReference"/>
        </w:rPr>
        <w:footnoteRef/>
      </w:r>
      <w:r>
        <w:t xml:space="preserve"> </w:t>
      </w:r>
      <w:r w:rsidRPr="0062404A">
        <w:rPr>
          <w:i/>
        </w:rPr>
        <w:t>Wealth effects</w:t>
      </w:r>
      <w:r>
        <w:t xml:space="preserve"> are the theoretical changes in behavior that occur after a given individuals’ wealth increases.  Since the CRP is a “one-shot” auction – there is only one CRP auction conducted at a moment in time, not a series of CRP auctions – it is necessary to eliminate wealth effects.</w:t>
      </w:r>
    </w:p>
  </w:footnote>
  <w:footnote w:id="5">
    <w:p w14:paraId="4746D492" w14:textId="77777777" w:rsidR="000A513C" w:rsidRDefault="000A513C" w:rsidP="000A513C">
      <w:pPr>
        <w:pStyle w:val="FootnoteText"/>
      </w:pPr>
      <w:r>
        <w:rPr>
          <w:rStyle w:val="FootnoteReference"/>
        </w:rPr>
        <w:footnoteRef/>
      </w:r>
      <w:r>
        <w:t xml:space="preserve"> See “Incentives in Experiments: A Theoretical Analysis” by </w:t>
      </w:r>
      <w:proofErr w:type="spellStart"/>
      <w:r>
        <w:t>Azrieli</w:t>
      </w:r>
      <w:proofErr w:type="spellEnd"/>
      <w:r>
        <w:t xml:space="preserve">, Chambers, and Healy.  </w:t>
      </w:r>
      <w:r w:rsidRPr="00950C89">
        <w:t>http://www.econ.ucsb.edu/about_us/events/seminar_papers/Healy.pdf</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5C9CEC" w14:textId="77777777" w:rsidR="008632A2" w:rsidRDefault="008632A2">
    <w:pPr>
      <w:pStyle w:val="Header"/>
    </w:pPr>
    <w:r w:rsidRPr="00D944BE">
      <w:t xml:space="preserve">OMB Control Number 0536-0070, expires </w:t>
    </w:r>
    <w:r w:rsidR="008E1DDA">
      <w:t>06</w:t>
    </w:r>
    <w:r w:rsidRPr="00D944BE">
      <w:t>/30/201</w:t>
    </w:r>
    <w:r w:rsidR="008E1DDA">
      <w:t>6</w:t>
    </w:r>
  </w:p>
  <w:p w14:paraId="6DFCCF91" w14:textId="77777777" w:rsidR="008632A2" w:rsidRDefault="008632A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F007A7"/>
    <w:multiLevelType w:val="hybridMultilevel"/>
    <w:tmpl w:val="80C8094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2FCA1DB7"/>
    <w:multiLevelType w:val="hybridMultilevel"/>
    <w:tmpl w:val="3B52266C"/>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2845201"/>
    <w:multiLevelType w:val="hybridMultilevel"/>
    <w:tmpl w:val="35288A0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28E69C0"/>
    <w:multiLevelType w:val="hybridMultilevel"/>
    <w:tmpl w:val="9BC683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3725722"/>
    <w:multiLevelType w:val="hybridMultilevel"/>
    <w:tmpl w:val="F1DE73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F577EFA"/>
    <w:multiLevelType w:val="hybridMultilevel"/>
    <w:tmpl w:val="093EE6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0"/>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5E83"/>
    <w:rsid w:val="00005F3A"/>
    <w:rsid w:val="000151A6"/>
    <w:rsid w:val="000168E7"/>
    <w:rsid w:val="00021F3B"/>
    <w:rsid w:val="00024C69"/>
    <w:rsid w:val="00024DE8"/>
    <w:rsid w:val="00026DDB"/>
    <w:rsid w:val="00055AFB"/>
    <w:rsid w:val="000571B3"/>
    <w:rsid w:val="00067325"/>
    <w:rsid w:val="00073506"/>
    <w:rsid w:val="000847AB"/>
    <w:rsid w:val="0008709E"/>
    <w:rsid w:val="00087102"/>
    <w:rsid w:val="00093A52"/>
    <w:rsid w:val="000A513C"/>
    <w:rsid w:val="000D03BC"/>
    <w:rsid w:val="000D1EFA"/>
    <w:rsid w:val="000D22F9"/>
    <w:rsid w:val="000E2579"/>
    <w:rsid w:val="0010228A"/>
    <w:rsid w:val="00112291"/>
    <w:rsid w:val="00120589"/>
    <w:rsid w:val="001274FF"/>
    <w:rsid w:val="00131B7F"/>
    <w:rsid w:val="0014703E"/>
    <w:rsid w:val="00152297"/>
    <w:rsid w:val="00163824"/>
    <w:rsid w:val="001751E1"/>
    <w:rsid w:val="00175416"/>
    <w:rsid w:val="00181AA8"/>
    <w:rsid w:val="00182DEE"/>
    <w:rsid w:val="00191027"/>
    <w:rsid w:val="00193B10"/>
    <w:rsid w:val="00194349"/>
    <w:rsid w:val="001B63E5"/>
    <w:rsid w:val="001C42AC"/>
    <w:rsid w:val="001C4640"/>
    <w:rsid w:val="001E5AE9"/>
    <w:rsid w:val="00217DF7"/>
    <w:rsid w:val="00224142"/>
    <w:rsid w:val="00252DCA"/>
    <w:rsid w:val="002610C2"/>
    <w:rsid w:val="00262A1A"/>
    <w:rsid w:val="00263DD9"/>
    <w:rsid w:val="00264B3F"/>
    <w:rsid w:val="00265CEA"/>
    <w:rsid w:val="002A0594"/>
    <w:rsid w:val="002A7F15"/>
    <w:rsid w:val="002B06EB"/>
    <w:rsid w:val="002B3EF5"/>
    <w:rsid w:val="002C3D57"/>
    <w:rsid w:val="002D4FFB"/>
    <w:rsid w:val="002E29E7"/>
    <w:rsid w:val="002E3197"/>
    <w:rsid w:val="002E58DA"/>
    <w:rsid w:val="002E5963"/>
    <w:rsid w:val="002F2630"/>
    <w:rsid w:val="002F6444"/>
    <w:rsid w:val="003019C4"/>
    <w:rsid w:val="00310B92"/>
    <w:rsid w:val="00310FF1"/>
    <w:rsid w:val="00317C60"/>
    <w:rsid w:val="00322AA5"/>
    <w:rsid w:val="00322C15"/>
    <w:rsid w:val="00323862"/>
    <w:rsid w:val="00325793"/>
    <w:rsid w:val="0033210F"/>
    <w:rsid w:val="0033649B"/>
    <w:rsid w:val="00343DAC"/>
    <w:rsid w:val="00345BEE"/>
    <w:rsid w:val="00351B9D"/>
    <w:rsid w:val="003530DB"/>
    <w:rsid w:val="00364422"/>
    <w:rsid w:val="00364755"/>
    <w:rsid w:val="00370E8D"/>
    <w:rsid w:val="003733FC"/>
    <w:rsid w:val="00385055"/>
    <w:rsid w:val="00396C3A"/>
    <w:rsid w:val="003A22CE"/>
    <w:rsid w:val="003A3671"/>
    <w:rsid w:val="003A5557"/>
    <w:rsid w:val="003B02E0"/>
    <w:rsid w:val="003B3BAD"/>
    <w:rsid w:val="003B4257"/>
    <w:rsid w:val="003B5E83"/>
    <w:rsid w:val="003C1813"/>
    <w:rsid w:val="003C5618"/>
    <w:rsid w:val="003C60DF"/>
    <w:rsid w:val="003D247C"/>
    <w:rsid w:val="003D6DD9"/>
    <w:rsid w:val="003F638D"/>
    <w:rsid w:val="00401982"/>
    <w:rsid w:val="004060D2"/>
    <w:rsid w:val="00416C6D"/>
    <w:rsid w:val="00424168"/>
    <w:rsid w:val="00427951"/>
    <w:rsid w:val="00432937"/>
    <w:rsid w:val="00435750"/>
    <w:rsid w:val="004372EB"/>
    <w:rsid w:val="004402C0"/>
    <w:rsid w:val="00465D07"/>
    <w:rsid w:val="00466DD3"/>
    <w:rsid w:val="00472A9E"/>
    <w:rsid w:val="0048200C"/>
    <w:rsid w:val="004A23BC"/>
    <w:rsid w:val="004B303B"/>
    <w:rsid w:val="004B68BD"/>
    <w:rsid w:val="004F529C"/>
    <w:rsid w:val="005010B9"/>
    <w:rsid w:val="0050228B"/>
    <w:rsid w:val="00502699"/>
    <w:rsid w:val="005106FE"/>
    <w:rsid w:val="005229B4"/>
    <w:rsid w:val="005301B6"/>
    <w:rsid w:val="005372D8"/>
    <w:rsid w:val="005414B9"/>
    <w:rsid w:val="00547722"/>
    <w:rsid w:val="00553B50"/>
    <w:rsid w:val="005605C0"/>
    <w:rsid w:val="005664A3"/>
    <w:rsid w:val="00577388"/>
    <w:rsid w:val="005A23D1"/>
    <w:rsid w:val="005A49E8"/>
    <w:rsid w:val="005B55CF"/>
    <w:rsid w:val="005B5ABF"/>
    <w:rsid w:val="005C7129"/>
    <w:rsid w:val="005D36A6"/>
    <w:rsid w:val="00600867"/>
    <w:rsid w:val="0061349A"/>
    <w:rsid w:val="00614A76"/>
    <w:rsid w:val="00624F19"/>
    <w:rsid w:val="00633839"/>
    <w:rsid w:val="00643A74"/>
    <w:rsid w:val="00670041"/>
    <w:rsid w:val="00671EA7"/>
    <w:rsid w:val="00684BEC"/>
    <w:rsid w:val="00687143"/>
    <w:rsid w:val="00692D24"/>
    <w:rsid w:val="00695B9E"/>
    <w:rsid w:val="006A3C28"/>
    <w:rsid w:val="006C5D6E"/>
    <w:rsid w:val="006D530D"/>
    <w:rsid w:val="006E13D2"/>
    <w:rsid w:val="007119AC"/>
    <w:rsid w:val="00712797"/>
    <w:rsid w:val="007252CC"/>
    <w:rsid w:val="0074443B"/>
    <w:rsid w:val="0075133B"/>
    <w:rsid w:val="00755C4F"/>
    <w:rsid w:val="00787AE2"/>
    <w:rsid w:val="007B651C"/>
    <w:rsid w:val="007C2364"/>
    <w:rsid w:val="007C3315"/>
    <w:rsid w:val="007C5347"/>
    <w:rsid w:val="007C6051"/>
    <w:rsid w:val="007C74E0"/>
    <w:rsid w:val="007D147F"/>
    <w:rsid w:val="007D2B72"/>
    <w:rsid w:val="007D3E37"/>
    <w:rsid w:val="007D657D"/>
    <w:rsid w:val="007F245E"/>
    <w:rsid w:val="00834ACB"/>
    <w:rsid w:val="008366E7"/>
    <w:rsid w:val="008379DD"/>
    <w:rsid w:val="00841950"/>
    <w:rsid w:val="0084207D"/>
    <w:rsid w:val="008612B5"/>
    <w:rsid w:val="008632A2"/>
    <w:rsid w:val="008A3521"/>
    <w:rsid w:val="008C65B5"/>
    <w:rsid w:val="008E1DDA"/>
    <w:rsid w:val="008E4EBA"/>
    <w:rsid w:val="008F1BFC"/>
    <w:rsid w:val="008F3837"/>
    <w:rsid w:val="008F727B"/>
    <w:rsid w:val="009002B4"/>
    <w:rsid w:val="00914521"/>
    <w:rsid w:val="009158AD"/>
    <w:rsid w:val="00927741"/>
    <w:rsid w:val="0093206F"/>
    <w:rsid w:val="0093415F"/>
    <w:rsid w:val="00940A56"/>
    <w:rsid w:val="0094142A"/>
    <w:rsid w:val="00957D53"/>
    <w:rsid w:val="00973A09"/>
    <w:rsid w:val="00976081"/>
    <w:rsid w:val="00976E1E"/>
    <w:rsid w:val="009816A6"/>
    <w:rsid w:val="00981A9C"/>
    <w:rsid w:val="0098243B"/>
    <w:rsid w:val="00993EB9"/>
    <w:rsid w:val="009A3311"/>
    <w:rsid w:val="009A7FCF"/>
    <w:rsid w:val="009B414B"/>
    <w:rsid w:val="009B4E62"/>
    <w:rsid w:val="009D243D"/>
    <w:rsid w:val="009D55B7"/>
    <w:rsid w:val="009F317F"/>
    <w:rsid w:val="00A027BF"/>
    <w:rsid w:val="00A074B2"/>
    <w:rsid w:val="00A1149B"/>
    <w:rsid w:val="00A139A6"/>
    <w:rsid w:val="00A15761"/>
    <w:rsid w:val="00A23474"/>
    <w:rsid w:val="00A34375"/>
    <w:rsid w:val="00A378D8"/>
    <w:rsid w:val="00A511D0"/>
    <w:rsid w:val="00A5447B"/>
    <w:rsid w:val="00A6676B"/>
    <w:rsid w:val="00A67E22"/>
    <w:rsid w:val="00A8344B"/>
    <w:rsid w:val="00A94B37"/>
    <w:rsid w:val="00AB19A2"/>
    <w:rsid w:val="00AB544F"/>
    <w:rsid w:val="00AB559B"/>
    <w:rsid w:val="00AB6F5B"/>
    <w:rsid w:val="00AC7D0E"/>
    <w:rsid w:val="00AD1937"/>
    <w:rsid w:val="00AE1EE2"/>
    <w:rsid w:val="00B1168E"/>
    <w:rsid w:val="00B235D3"/>
    <w:rsid w:val="00B25DEB"/>
    <w:rsid w:val="00B40AFC"/>
    <w:rsid w:val="00B53720"/>
    <w:rsid w:val="00B60B4F"/>
    <w:rsid w:val="00B6522D"/>
    <w:rsid w:val="00B67E95"/>
    <w:rsid w:val="00B76A7E"/>
    <w:rsid w:val="00B9737C"/>
    <w:rsid w:val="00BA0399"/>
    <w:rsid w:val="00BA1433"/>
    <w:rsid w:val="00BA637D"/>
    <w:rsid w:val="00BA6E2D"/>
    <w:rsid w:val="00BB6E88"/>
    <w:rsid w:val="00BC071F"/>
    <w:rsid w:val="00BD00E1"/>
    <w:rsid w:val="00BE5A14"/>
    <w:rsid w:val="00BF3769"/>
    <w:rsid w:val="00BF777B"/>
    <w:rsid w:val="00C06A8C"/>
    <w:rsid w:val="00C223F3"/>
    <w:rsid w:val="00C35A7D"/>
    <w:rsid w:val="00C4139D"/>
    <w:rsid w:val="00C41A0A"/>
    <w:rsid w:val="00C432DA"/>
    <w:rsid w:val="00C458F6"/>
    <w:rsid w:val="00C46AD8"/>
    <w:rsid w:val="00C46C53"/>
    <w:rsid w:val="00C62890"/>
    <w:rsid w:val="00C65189"/>
    <w:rsid w:val="00C73115"/>
    <w:rsid w:val="00C85C80"/>
    <w:rsid w:val="00CA38AB"/>
    <w:rsid w:val="00CB0761"/>
    <w:rsid w:val="00CE244B"/>
    <w:rsid w:val="00CF0816"/>
    <w:rsid w:val="00CF574E"/>
    <w:rsid w:val="00CF60BA"/>
    <w:rsid w:val="00CF7AF0"/>
    <w:rsid w:val="00D0541A"/>
    <w:rsid w:val="00D109CE"/>
    <w:rsid w:val="00D13BB5"/>
    <w:rsid w:val="00D15ED5"/>
    <w:rsid w:val="00D202BC"/>
    <w:rsid w:val="00D2256A"/>
    <w:rsid w:val="00D4513E"/>
    <w:rsid w:val="00D52C8C"/>
    <w:rsid w:val="00D52ECB"/>
    <w:rsid w:val="00D5740F"/>
    <w:rsid w:val="00D62139"/>
    <w:rsid w:val="00D62F91"/>
    <w:rsid w:val="00D75929"/>
    <w:rsid w:val="00D82322"/>
    <w:rsid w:val="00D846E7"/>
    <w:rsid w:val="00D85740"/>
    <w:rsid w:val="00D86689"/>
    <w:rsid w:val="00D90F7C"/>
    <w:rsid w:val="00D935A8"/>
    <w:rsid w:val="00D93B15"/>
    <w:rsid w:val="00DA2EA3"/>
    <w:rsid w:val="00DD295C"/>
    <w:rsid w:val="00DD39B2"/>
    <w:rsid w:val="00DD4A7E"/>
    <w:rsid w:val="00DD517F"/>
    <w:rsid w:val="00DD5399"/>
    <w:rsid w:val="00DE12C0"/>
    <w:rsid w:val="00DE418E"/>
    <w:rsid w:val="00DE536B"/>
    <w:rsid w:val="00DF5AC0"/>
    <w:rsid w:val="00E027DD"/>
    <w:rsid w:val="00E167CD"/>
    <w:rsid w:val="00E227E8"/>
    <w:rsid w:val="00E24FB0"/>
    <w:rsid w:val="00E266BB"/>
    <w:rsid w:val="00E36B5D"/>
    <w:rsid w:val="00E41AFC"/>
    <w:rsid w:val="00E46BE5"/>
    <w:rsid w:val="00E606DF"/>
    <w:rsid w:val="00E63207"/>
    <w:rsid w:val="00E85154"/>
    <w:rsid w:val="00E85E5B"/>
    <w:rsid w:val="00E877D5"/>
    <w:rsid w:val="00E96A1E"/>
    <w:rsid w:val="00EA247F"/>
    <w:rsid w:val="00EB4055"/>
    <w:rsid w:val="00EC1A78"/>
    <w:rsid w:val="00EC6942"/>
    <w:rsid w:val="00ED488B"/>
    <w:rsid w:val="00ED6190"/>
    <w:rsid w:val="00EF23B4"/>
    <w:rsid w:val="00EF4312"/>
    <w:rsid w:val="00EF6FD9"/>
    <w:rsid w:val="00F077D9"/>
    <w:rsid w:val="00F1341B"/>
    <w:rsid w:val="00F21E9E"/>
    <w:rsid w:val="00F2614B"/>
    <w:rsid w:val="00F27AFD"/>
    <w:rsid w:val="00F35E14"/>
    <w:rsid w:val="00F35E32"/>
    <w:rsid w:val="00F3744B"/>
    <w:rsid w:val="00F62F4D"/>
    <w:rsid w:val="00F84F13"/>
    <w:rsid w:val="00F906BF"/>
    <w:rsid w:val="00FB2B45"/>
    <w:rsid w:val="00FC260F"/>
    <w:rsid w:val="00FC28A3"/>
    <w:rsid w:val="00FC5152"/>
    <w:rsid w:val="00FC76AF"/>
    <w:rsid w:val="00FF43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CC86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Times New Roman"/>
        <w:sz w:val="24"/>
        <w:szCs w:val="24"/>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46E7"/>
    <w:rPr>
      <w:lang w:eastAsia="ja-JP"/>
    </w:rPr>
  </w:style>
  <w:style w:type="paragraph" w:styleId="Heading1">
    <w:name w:val="heading 1"/>
    <w:basedOn w:val="Normal"/>
    <w:next w:val="Normal"/>
    <w:link w:val="Heading1Char"/>
    <w:qFormat/>
    <w:rsid w:val="00A67E2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A67E2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7D3E37"/>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67E22"/>
    <w:rPr>
      <w:rFonts w:asciiTheme="majorHAnsi" w:eastAsiaTheme="majorEastAsia" w:hAnsiTheme="majorHAnsi" w:cstheme="majorBidi"/>
      <w:b/>
      <w:bCs/>
      <w:color w:val="365F91" w:themeColor="accent1" w:themeShade="BF"/>
      <w:sz w:val="28"/>
      <w:szCs w:val="28"/>
      <w:lang w:eastAsia="ja-JP"/>
    </w:rPr>
  </w:style>
  <w:style w:type="character" w:customStyle="1" w:styleId="Heading2Char">
    <w:name w:val="Heading 2 Char"/>
    <w:basedOn w:val="DefaultParagraphFont"/>
    <w:link w:val="Heading2"/>
    <w:rsid w:val="00A67E22"/>
    <w:rPr>
      <w:rFonts w:asciiTheme="majorHAnsi" w:eastAsiaTheme="majorEastAsia" w:hAnsiTheme="majorHAnsi" w:cstheme="majorBidi"/>
      <w:b/>
      <w:bCs/>
      <w:color w:val="4F81BD" w:themeColor="accent1"/>
      <w:sz w:val="26"/>
      <w:szCs w:val="26"/>
      <w:lang w:eastAsia="ja-JP"/>
    </w:rPr>
  </w:style>
  <w:style w:type="paragraph" w:styleId="ListParagraph">
    <w:name w:val="List Paragraph"/>
    <w:basedOn w:val="Normal"/>
    <w:uiPriority w:val="34"/>
    <w:qFormat/>
    <w:rsid w:val="007D3E37"/>
    <w:pPr>
      <w:ind w:left="720"/>
      <w:contextualSpacing/>
    </w:pPr>
  </w:style>
  <w:style w:type="character" w:customStyle="1" w:styleId="Heading3Char">
    <w:name w:val="Heading 3 Char"/>
    <w:basedOn w:val="DefaultParagraphFont"/>
    <w:link w:val="Heading3"/>
    <w:rsid w:val="007D3E37"/>
    <w:rPr>
      <w:rFonts w:asciiTheme="majorHAnsi" w:eastAsiaTheme="majorEastAsia" w:hAnsiTheme="majorHAnsi" w:cstheme="majorBidi"/>
      <w:b/>
      <w:bCs/>
      <w:color w:val="4F81BD" w:themeColor="accent1"/>
      <w:lang w:eastAsia="ja-JP"/>
    </w:rPr>
  </w:style>
  <w:style w:type="paragraph" w:styleId="CommentText">
    <w:name w:val="annotation text"/>
    <w:basedOn w:val="Normal"/>
    <w:link w:val="CommentTextChar"/>
    <w:uiPriority w:val="99"/>
    <w:rsid w:val="00B1168E"/>
    <w:rPr>
      <w:rFonts w:ascii="Times New Roman" w:eastAsia="Times New Roman" w:hAnsi="Times New Roman"/>
      <w:sz w:val="20"/>
      <w:szCs w:val="20"/>
      <w:lang w:eastAsia="en-US"/>
    </w:rPr>
  </w:style>
  <w:style w:type="character" w:customStyle="1" w:styleId="CommentTextChar">
    <w:name w:val="Comment Text Char"/>
    <w:basedOn w:val="DefaultParagraphFont"/>
    <w:link w:val="CommentText"/>
    <w:uiPriority w:val="99"/>
    <w:rsid w:val="00B1168E"/>
    <w:rPr>
      <w:rFonts w:ascii="Times New Roman" w:eastAsia="Times New Roman" w:hAnsi="Times New Roman"/>
      <w:sz w:val="20"/>
      <w:szCs w:val="20"/>
    </w:rPr>
  </w:style>
  <w:style w:type="character" w:styleId="PlaceholderText">
    <w:name w:val="Placeholder Text"/>
    <w:basedOn w:val="DefaultParagraphFont"/>
    <w:uiPriority w:val="99"/>
    <w:semiHidden/>
    <w:rsid w:val="00B1168E"/>
    <w:rPr>
      <w:color w:val="808080"/>
    </w:rPr>
  </w:style>
  <w:style w:type="paragraph" w:styleId="BalloonText">
    <w:name w:val="Balloon Text"/>
    <w:basedOn w:val="Normal"/>
    <w:link w:val="BalloonTextChar"/>
    <w:rsid w:val="00B1168E"/>
    <w:rPr>
      <w:rFonts w:ascii="Tahoma" w:hAnsi="Tahoma" w:cs="Tahoma"/>
      <w:sz w:val="16"/>
      <w:szCs w:val="16"/>
    </w:rPr>
  </w:style>
  <w:style w:type="character" w:customStyle="1" w:styleId="BalloonTextChar">
    <w:name w:val="Balloon Text Char"/>
    <w:basedOn w:val="DefaultParagraphFont"/>
    <w:link w:val="BalloonText"/>
    <w:rsid w:val="00B1168E"/>
    <w:rPr>
      <w:rFonts w:ascii="Tahoma" w:hAnsi="Tahoma" w:cs="Tahoma"/>
      <w:sz w:val="16"/>
      <w:szCs w:val="16"/>
      <w:lang w:eastAsia="ja-JP"/>
    </w:rPr>
  </w:style>
  <w:style w:type="character" w:styleId="CommentReference">
    <w:name w:val="annotation reference"/>
    <w:basedOn w:val="DefaultParagraphFont"/>
    <w:uiPriority w:val="99"/>
    <w:rsid w:val="00BB6E88"/>
    <w:rPr>
      <w:sz w:val="16"/>
      <w:szCs w:val="16"/>
    </w:rPr>
  </w:style>
  <w:style w:type="paragraph" w:styleId="CommentSubject">
    <w:name w:val="annotation subject"/>
    <w:basedOn w:val="CommentText"/>
    <w:next w:val="CommentText"/>
    <w:link w:val="CommentSubjectChar"/>
    <w:rsid w:val="00BB6E88"/>
    <w:rPr>
      <w:rFonts w:ascii="Calibri" w:eastAsiaTheme="minorHAnsi" w:hAnsi="Calibri"/>
      <w:b/>
      <w:bCs/>
      <w:lang w:eastAsia="ja-JP"/>
    </w:rPr>
  </w:style>
  <w:style w:type="character" w:customStyle="1" w:styleId="CommentSubjectChar">
    <w:name w:val="Comment Subject Char"/>
    <w:basedOn w:val="CommentTextChar"/>
    <w:link w:val="CommentSubject"/>
    <w:rsid w:val="00BB6E88"/>
    <w:rPr>
      <w:rFonts w:ascii="Times New Roman" w:eastAsia="Times New Roman" w:hAnsi="Times New Roman"/>
      <w:b/>
      <w:bCs/>
      <w:sz w:val="20"/>
      <w:szCs w:val="20"/>
      <w:lang w:eastAsia="ja-JP"/>
    </w:rPr>
  </w:style>
  <w:style w:type="paragraph" w:styleId="Header">
    <w:name w:val="header"/>
    <w:basedOn w:val="Normal"/>
    <w:link w:val="HeaderChar"/>
    <w:uiPriority w:val="99"/>
    <w:rsid w:val="008632A2"/>
    <w:pPr>
      <w:tabs>
        <w:tab w:val="center" w:pos="4680"/>
        <w:tab w:val="right" w:pos="9360"/>
      </w:tabs>
    </w:pPr>
  </w:style>
  <w:style w:type="character" w:customStyle="1" w:styleId="HeaderChar">
    <w:name w:val="Header Char"/>
    <w:basedOn w:val="DefaultParagraphFont"/>
    <w:link w:val="Header"/>
    <w:uiPriority w:val="99"/>
    <w:rsid w:val="008632A2"/>
    <w:rPr>
      <w:lang w:eastAsia="ja-JP"/>
    </w:rPr>
  </w:style>
  <w:style w:type="paragraph" w:styleId="Footer">
    <w:name w:val="footer"/>
    <w:basedOn w:val="Normal"/>
    <w:link w:val="FooterChar"/>
    <w:uiPriority w:val="99"/>
    <w:rsid w:val="008632A2"/>
    <w:pPr>
      <w:tabs>
        <w:tab w:val="center" w:pos="4680"/>
        <w:tab w:val="right" w:pos="9360"/>
      </w:tabs>
    </w:pPr>
  </w:style>
  <w:style w:type="character" w:customStyle="1" w:styleId="FooterChar">
    <w:name w:val="Footer Char"/>
    <w:basedOn w:val="DefaultParagraphFont"/>
    <w:link w:val="Footer"/>
    <w:uiPriority w:val="99"/>
    <w:rsid w:val="008632A2"/>
    <w:rPr>
      <w:lang w:eastAsia="ja-JP"/>
    </w:rPr>
  </w:style>
  <w:style w:type="table" w:styleId="TableGrid">
    <w:name w:val="Table Grid"/>
    <w:basedOn w:val="TableNormal"/>
    <w:rsid w:val="007B65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semiHidden/>
    <w:unhideWhenUsed/>
    <w:rsid w:val="00C4139D"/>
  </w:style>
  <w:style w:type="paragraph" w:styleId="Revision">
    <w:name w:val="Revision"/>
    <w:hidden/>
    <w:uiPriority w:val="99"/>
    <w:semiHidden/>
    <w:rsid w:val="009D55B7"/>
    <w:rPr>
      <w:lang w:eastAsia="ja-JP"/>
    </w:rPr>
  </w:style>
  <w:style w:type="paragraph" w:styleId="FootnoteText">
    <w:name w:val="footnote text"/>
    <w:basedOn w:val="Normal"/>
    <w:link w:val="FootnoteTextChar"/>
    <w:uiPriority w:val="99"/>
    <w:unhideWhenUsed/>
    <w:rsid w:val="00A23474"/>
    <w:rPr>
      <w:sz w:val="20"/>
      <w:szCs w:val="20"/>
    </w:rPr>
  </w:style>
  <w:style w:type="character" w:customStyle="1" w:styleId="FootnoteTextChar">
    <w:name w:val="Footnote Text Char"/>
    <w:basedOn w:val="DefaultParagraphFont"/>
    <w:link w:val="FootnoteText"/>
    <w:uiPriority w:val="99"/>
    <w:rsid w:val="00A23474"/>
    <w:rPr>
      <w:sz w:val="20"/>
      <w:szCs w:val="20"/>
      <w:lang w:eastAsia="ja-JP"/>
    </w:rPr>
  </w:style>
  <w:style w:type="character" w:styleId="FootnoteReference">
    <w:name w:val="footnote reference"/>
    <w:basedOn w:val="DefaultParagraphFont"/>
    <w:uiPriority w:val="99"/>
    <w:unhideWhenUsed/>
    <w:rsid w:val="00A23474"/>
    <w:rPr>
      <w:vertAlign w:val="superscript"/>
    </w:rPr>
  </w:style>
  <w:style w:type="paragraph" w:customStyle="1" w:styleId="Num-DocParagraph">
    <w:name w:val="Num-Doc Paragraph"/>
    <w:link w:val="Num-DocParagraphChar1"/>
    <w:uiPriority w:val="99"/>
    <w:rsid w:val="000A513C"/>
    <w:pPr>
      <w:spacing w:after="200" w:line="276" w:lineRule="auto"/>
    </w:pPr>
    <w:rPr>
      <w:rFonts w:eastAsia="Calibri" w:cs="Calibri"/>
      <w:sz w:val="22"/>
      <w:szCs w:val="22"/>
    </w:rPr>
  </w:style>
  <w:style w:type="character" w:customStyle="1" w:styleId="Num-DocParagraphChar1">
    <w:name w:val="Num-Doc Paragraph Char1"/>
    <w:basedOn w:val="DefaultParagraphFont"/>
    <w:link w:val="Num-DocParagraph"/>
    <w:uiPriority w:val="99"/>
    <w:rsid w:val="000A513C"/>
    <w:rPr>
      <w:rFonts w:eastAsia="Calibri" w:cs="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Times New Roman"/>
        <w:sz w:val="24"/>
        <w:szCs w:val="24"/>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46E7"/>
    <w:rPr>
      <w:lang w:eastAsia="ja-JP"/>
    </w:rPr>
  </w:style>
  <w:style w:type="paragraph" w:styleId="Heading1">
    <w:name w:val="heading 1"/>
    <w:basedOn w:val="Normal"/>
    <w:next w:val="Normal"/>
    <w:link w:val="Heading1Char"/>
    <w:qFormat/>
    <w:rsid w:val="00A67E2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A67E2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7D3E37"/>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67E22"/>
    <w:rPr>
      <w:rFonts w:asciiTheme="majorHAnsi" w:eastAsiaTheme="majorEastAsia" w:hAnsiTheme="majorHAnsi" w:cstheme="majorBidi"/>
      <w:b/>
      <w:bCs/>
      <w:color w:val="365F91" w:themeColor="accent1" w:themeShade="BF"/>
      <w:sz w:val="28"/>
      <w:szCs w:val="28"/>
      <w:lang w:eastAsia="ja-JP"/>
    </w:rPr>
  </w:style>
  <w:style w:type="character" w:customStyle="1" w:styleId="Heading2Char">
    <w:name w:val="Heading 2 Char"/>
    <w:basedOn w:val="DefaultParagraphFont"/>
    <w:link w:val="Heading2"/>
    <w:rsid w:val="00A67E22"/>
    <w:rPr>
      <w:rFonts w:asciiTheme="majorHAnsi" w:eastAsiaTheme="majorEastAsia" w:hAnsiTheme="majorHAnsi" w:cstheme="majorBidi"/>
      <w:b/>
      <w:bCs/>
      <w:color w:val="4F81BD" w:themeColor="accent1"/>
      <w:sz w:val="26"/>
      <w:szCs w:val="26"/>
      <w:lang w:eastAsia="ja-JP"/>
    </w:rPr>
  </w:style>
  <w:style w:type="paragraph" w:styleId="ListParagraph">
    <w:name w:val="List Paragraph"/>
    <w:basedOn w:val="Normal"/>
    <w:uiPriority w:val="34"/>
    <w:qFormat/>
    <w:rsid w:val="007D3E37"/>
    <w:pPr>
      <w:ind w:left="720"/>
      <w:contextualSpacing/>
    </w:pPr>
  </w:style>
  <w:style w:type="character" w:customStyle="1" w:styleId="Heading3Char">
    <w:name w:val="Heading 3 Char"/>
    <w:basedOn w:val="DefaultParagraphFont"/>
    <w:link w:val="Heading3"/>
    <w:rsid w:val="007D3E37"/>
    <w:rPr>
      <w:rFonts w:asciiTheme="majorHAnsi" w:eastAsiaTheme="majorEastAsia" w:hAnsiTheme="majorHAnsi" w:cstheme="majorBidi"/>
      <w:b/>
      <w:bCs/>
      <w:color w:val="4F81BD" w:themeColor="accent1"/>
      <w:lang w:eastAsia="ja-JP"/>
    </w:rPr>
  </w:style>
  <w:style w:type="paragraph" w:styleId="CommentText">
    <w:name w:val="annotation text"/>
    <w:basedOn w:val="Normal"/>
    <w:link w:val="CommentTextChar"/>
    <w:uiPriority w:val="99"/>
    <w:rsid w:val="00B1168E"/>
    <w:rPr>
      <w:rFonts w:ascii="Times New Roman" w:eastAsia="Times New Roman" w:hAnsi="Times New Roman"/>
      <w:sz w:val="20"/>
      <w:szCs w:val="20"/>
      <w:lang w:eastAsia="en-US"/>
    </w:rPr>
  </w:style>
  <w:style w:type="character" w:customStyle="1" w:styleId="CommentTextChar">
    <w:name w:val="Comment Text Char"/>
    <w:basedOn w:val="DefaultParagraphFont"/>
    <w:link w:val="CommentText"/>
    <w:uiPriority w:val="99"/>
    <w:rsid w:val="00B1168E"/>
    <w:rPr>
      <w:rFonts w:ascii="Times New Roman" w:eastAsia="Times New Roman" w:hAnsi="Times New Roman"/>
      <w:sz w:val="20"/>
      <w:szCs w:val="20"/>
    </w:rPr>
  </w:style>
  <w:style w:type="character" w:styleId="PlaceholderText">
    <w:name w:val="Placeholder Text"/>
    <w:basedOn w:val="DefaultParagraphFont"/>
    <w:uiPriority w:val="99"/>
    <w:semiHidden/>
    <w:rsid w:val="00B1168E"/>
    <w:rPr>
      <w:color w:val="808080"/>
    </w:rPr>
  </w:style>
  <w:style w:type="paragraph" w:styleId="BalloonText">
    <w:name w:val="Balloon Text"/>
    <w:basedOn w:val="Normal"/>
    <w:link w:val="BalloonTextChar"/>
    <w:rsid w:val="00B1168E"/>
    <w:rPr>
      <w:rFonts w:ascii="Tahoma" w:hAnsi="Tahoma" w:cs="Tahoma"/>
      <w:sz w:val="16"/>
      <w:szCs w:val="16"/>
    </w:rPr>
  </w:style>
  <w:style w:type="character" w:customStyle="1" w:styleId="BalloonTextChar">
    <w:name w:val="Balloon Text Char"/>
    <w:basedOn w:val="DefaultParagraphFont"/>
    <w:link w:val="BalloonText"/>
    <w:rsid w:val="00B1168E"/>
    <w:rPr>
      <w:rFonts w:ascii="Tahoma" w:hAnsi="Tahoma" w:cs="Tahoma"/>
      <w:sz w:val="16"/>
      <w:szCs w:val="16"/>
      <w:lang w:eastAsia="ja-JP"/>
    </w:rPr>
  </w:style>
  <w:style w:type="character" w:styleId="CommentReference">
    <w:name w:val="annotation reference"/>
    <w:basedOn w:val="DefaultParagraphFont"/>
    <w:uiPriority w:val="99"/>
    <w:rsid w:val="00BB6E88"/>
    <w:rPr>
      <w:sz w:val="16"/>
      <w:szCs w:val="16"/>
    </w:rPr>
  </w:style>
  <w:style w:type="paragraph" w:styleId="CommentSubject">
    <w:name w:val="annotation subject"/>
    <w:basedOn w:val="CommentText"/>
    <w:next w:val="CommentText"/>
    <w:link w:val="CommentSubjectChar"/>
    <w:rsid w:val="00BB6E88"/>
    <w:rPr>
      <w:rFonts w:ascii="Calibri" w:eastAsiaTheme="minorHAnsi" w:hAnsi="Calibri"/>
      <w:b/>
      <w:bCs/>
      <w:lang w:eastAsia="ja-JP"/>
    </w:rPr>
  </w:style>
  <w:style w:type="character" w:customStyle="1" w:styleId="CommentSubjectChar">
    <w:name w:val="Comment Subject Char"/>
    <w:basedOn w:val="CommentTextChar"/>
    <w:link w:val="CommentSubject"/>
    <w:rsid w:val="00BB6E88"/>
    <w:rPr>
      <w:rFonts w:ascii="Times New Roman" w:eastAsia="Times New Roman" w:hAnsi="Times New Roman"/>
      <w:b/>
      <w:bCs/>
      <w:sz w:val="20"/>
      <w:szCs w:val="20"/>
      <w:lang w:eastAsia="ja-JP"/>
    </w:rPr>
  </w:style>
  <w:style w:type="paragraph" w:styleId="Header">
    <w:name w:val="header"/>
    <w:basedOn w:val="Normal"/>
    <w:link w:val="HeaderChar"/>
    <w:uiPriority w:val="99"/>
    <w:rsid w:val="008632A2"/>
    <w:pPr>
      <w:tabs>
        <w:tab w:val="center" w:pos="4680"/>
        <w:tab w:val="right" w:pos="9360"/>
      </w:tabs>
    </w:pPr>
  </w:style>
  <w:style w:type="character" w:customStyle="1" w:styleId="HeaderChar">
    <w:name w:val="Header Char"/>
    <w:basedOn w:val="DefaultParagraphFont"/>
    <w:link w:val="Header"/>
    <w:uiPriority w:val="99"/>
    <w:rsid w:val="008632A2"/>
    <w:rPr>
      <w:lang w:eastAsia="ja-JP"/>
    </w:rPr>
  </w:style>
  <w:style w:type="paragraph" w:styleId="Footer">
    <w:name w:val="footer"/>
    <w:basedOn w:val="Normal"/>
    <w:link w:val="FooterChar"/>
    <w:uiPriority w:val="99"/>
    <w:rsid w:val="008632A2"/>
    <w:pPr>
      <w:tabs>
        <w:tab w:val="center" w:pos="4680"/>
        <w:tab w:val="right" w:pos="9360"/>
      </w:tabs>
    </w:pPr>
  </w:style>
  <w:style w:type="character" w:customStyle="1" w:styleId="FooterChar">
    <w:name w:val="Footer Char"/>
    <w:basedOn w:val="DefaultParagraphFont"/>
    <w:link w:val="Footer"/>
    <w:uiPriority w:val="99"/>
    <w:rsid w:val="008632A2"/>
    <w:rPr>
      <w:lang w:eastAsia="ja-JP"/>
    </w:rPr>
  </w:style>
  <w:style w:type="table" w:styleId="TableGrid">
    <w:name w:val="Table Grid"/>
    <w:basedOn w:val="TableNormal"/>
    <w:rsid w:val="007B65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semiHidden/>
    <w:unhideWhenUsed/>
    <w:rsid w:val="00C4139D"/>
  </w:style>
  <w:style w:type="paragraph" w:styleId="Revision">
    <w:name w:val="Revision"/>
    <w:hidden/>
    <w:uiPriority w:val="99"/>
    <w:semiHidden/>
    <w:rsid w:val="009D55B7"/>
    <w:rPr>
      <w:lang w:eastAsia="ja-JP"/>
    </w:rPr>
  </w:style>
  <w:style w:type="paragraph" w:styleId="FootnoteText">
    <w:name w:val="footnote text"/>
    <w:basedOn w:val="Normal"/>
    <w:link w:val="FootnoteTextChar"/>
    <w:uiPriority w:val="99"/>
    <w:unhideWhenUsed/>
    <w:rsid w:val="00A23474"/>
    <w:rPr>
      <w:sz w:val="20"/>
      <w:szCs w:val="20"/>
    </w:rPr>
  </w:style>
  <w:style w:type="character" w:customStyle="1" w:styleId="FootnoteTextChar">
    <w:name w:val="Footnote Text Char"/>
    <w:basedOn w:val="DefaultParagraphFont"/>
    <w:link w:val="FootnoteText"/>
    <w:uiPriority w:val="99"/>
    <w:rsid w:val="00A23474"/>
    <w:rPr>
      <w:sz w:val="20"/>
      <w:szCs w:val="20"/>
      <w:lang w:eastAsia="ja-JP"/>
    </w:rPr>
  </w:style>
  <w:style w:type="character" w:styleId="FootnoteReference">
    <w:name w:val="footnote reference"/>
    <w:basedOn w:val="DefaultParagraphFont"/>
    <w:uiPriority w:val="99"/>
    <w:unhideWhenUsed/>
    <w:rsid w:val="00A23474"/>
    <w:rPr>
      <w:vertAlign w:val="superscript"/>
    </w:rPr>
  </w:style>
  <w:style w:type="paragraph" w:customStyle="1" w:styleId="Num-DocParagraph">
    <w:name w:val="Num-Doc Paragraph"/>
    <w:link w:val="Num-DocParagraphChar1"/>
    <w:uiPriority w:val="99"/>
    <w:rsid w:val="000A513C"/>
    <w:pPr>
      <w:spacing w:after="200" w:line="276" w:lineRule="auto"/>
    </w:pPr>
    <w:rPr>
      <w:rFonts w:eastAsia="Calibri" w:cs="Calibri"/>
      <w:sz w:val="22"/>
      <w:szCs w:val="22"/>
    </w:rPr>
  </w:style>
  <w:style w:type="character" w:customStyle="1" w:styleId="Num-DocParagraphChar1">
    <w:name w:val="Num-Doc Paragraph Char1"/>
    <w:basedOn w:val="DefaultParagraphFont"/>
    <w:link w:val="Num-DocParagraph"/>
    <w:uiPriority w:val="99"/>
    <w:rsid w:val="000A513C"/>
    <w:rPr>
      <w:rFonts w:eastAsia="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282242">
      <w:bodyDiv w:val="1"/>
      <w:marLeft w:val="0"/>
      <w:marRight w:val="0"/>
      <w:marTop w:val="0"/>
      <w:marBottom w:val="0"/>
      <w:divBdr>
        <w:top w:val="none" w:sz="0" w:space="0" w:color="auto"/>
        <w:left w:val="none" w:sz="0" w:space="0" w:color="auto"/>
        <w:bottom w:val="none" w:sz="0" w:space="0" w:color="auto"/>
        <w:right w:val="none" w:sz="0" w:space="0" w:color="auto"/>
      </w:divBdr>
    </w:div>
    <w:div w:id="143084095">
      <w:bodyDiv w:val="1"/>
      <w:marLeft w:val="0"/>
      <w:marRight w:val="0"/>
      <w:marTop w:val="0"/>
      <w:marBottom w:val="0"/>
      <w:divBdr>
        <w:top w:val="none" w:sz="0" w:space="0" w:color="auto"/>
        <w:left w:val="none" w:sz="0" w:space="0" w:color="auto"/>
        <w:bottom w:val="none" w:sz="0" w:space="0" w:color="auto"/>
        <w:right w:val="none" w:sz="0" w:space="0" w:color="auto"/>
      </w:divBdr>
    </w:div>
    <w:div w:id="357050810">
      <w:bodyDiv w:val="1"/>
      <w:marLeft w:val="0"/>
      <w:marRight w:val="0"/>
      <w:marTop w:val="0"/>
      <w:marBottom w:val="0"/>
      <w:divBdr>
        <w:top w:val="none" w:sz="0" w:space="0" w:color="auto"/>
        <w:left w:val="none" w:sz="0" w:space="0" w:color="auto"/>
        <w:bottom w:val="none" w:sz="0" w:space="0" w:color="auto"/>
        <w:right w:val="none" w:sz="0" w:space="0" w:color="auto"/>
      </w:divBdr>
    </w:div>
    <w:div w:id="358631193">
      <w:bodyDiv w:val="1"/>
      <w:marLeft w:val="0"/>
      <w:marRight w:val="0"/>
      <w:marTop w:val="0"/>
      <w:marBottom w:val="0"/>
      <w:divBdr>
        <w:top w:val="none" w:sz="0" w:space="0" w:color="auto"/>
        <w:left w:val="none" w:sz="0" w:space="0" w:color="auto"/>
        <w:bottom w:val="none" w:sz="0" w:space="0" w:color="auto"/>
        <w:right w:val="none" w:sz="0" w:space="0" w:color="auto"/>
      </w:divBdr>
    </w:div>
    <w:div w:id="390541958">
      <w:bodyDiv w:val="1"/>
      <w:marLeft w:val="0"/>
      <w:marRight w:val="0"/>
      <w:marTop w:val="0"/>
      <w:marBottom w:val="0"/>
      <w:divBdr>
        <w:top w:val="none" w:sz="0" w:space="0" w:color="auto"/>
        <w:left w:val="none" w:sz="0" w:space="0" w:color="auto"/>
        <w:bottom w:val="none" w:sz="0" w:space="0" w:color="auto"/>
        <w:right w:val="none" w:sz="0" w:space="0" w:color="auto"/>
      </w:divBdr>
    </w:div>
    <w:div w:id="1033773171">
      <w:bodyDiv w:val="1"/>
      <w:marLeft w:val="0"/>
      <w:marRight w:val="0"/>
      <w:marTop w:val="0"/>
      <w:marBottom w:val="0"/>
      <w:divBdr>
        <w:top w:val="none" w:sz="0" w:space="0" w:color="auto"/>
        <w:left w:val="none" w:sz="0" w:space="0" w:color="auto"/>
        <w:bottom w:val="none" w:sz="0" w:space="0" w:color="auto"/>
        <w:right w:val="none" w:sz="0" w:space="0" w:color="auto"/>
      </w:divBdr>
    </w:div>
    <w:div w:id="1468401564">
      <w:bodyDiv w:val="1"/>
      <w:marLeft w:val="0"/>
      <w:marRight w:val="0"/>
      <w:marTop w:val="0"/>
      <w:marBottom w:val="0"/>
      <w:divBdr>
        <w:top w:val="none" w:sz="0" w:space="0" w:color="auto"/>
        <w:left w:val="none" w:sz="0" w:space="0" w:color="auto"/>
        <w:bottom w:val="none" w:sz="0" w:space="0" w:color="auto"/>
        <w:right w:val="none" w:sz="0" w:space="0" w:color="auto"/>
      </w:divBdr>
      <w:divsChild>
        <w:div w:id="1917124802">
          <w:marLeft w:val="0"/>
          <w:marRight w:val="0"/>
          <w:marTop w:val="0"/>
          <w:marBottom w:val="0"/>
          <w:divBdr>
            <w:top w:val="none" w:sz="0" w:space="0" w:color="auto"/>
            <w:left w:val="none" w:sz="0" w:space="0" w:color="auto"/>
            <w:bottom w:val="none" w:sz="0" w:space="0" w:color="auto"/>
            <w:right w:val="none" w:sz="0" w:space="0" w:color="auto"/>
          </w:divBdr>
        </w:div>
        <w:div w:id="148986240">
          <w:marLeft w:val="0"/>
          <w:marRight w:val="0"/>
          <w:marTop w:val="0"/>
          <w:marBottom w:val="0"/>
          <w:divBdr>
            <w:top w:val="none" w:sz="0" w:space="0" w:color="auto"/>
            <w:left w:val="none" w:sz="0" w:space="0" w:color="auto"/>
            <w:bottom w:val="none" w:sz="0" w:space="0" w:color="auto"/>
            <w:right w:val="none" w:sz="0" w:space="0" w:color="auto"/>
          </w:divBdr>
        </w:div>
        <w:div w:id="524907508">
          <w:marLeft w:val="0"/>
          <w:marRight w:val="0"/>
          <w:marTop w:val="0"/>
          <w:marBottom w:val="0"/>
          <w:divBdr>
            <w:top w:val="none" w:sz="0" w:space="0" w:color="auto"/>
            <w:left w:val="none" w:sz="0" w:space="0" w:color="auto"/>
            <w:bottom w:val="none" w:sz="0" w:space="0" w:color="auto"/>
            <w:right w:val="none" w:sz="0" w:space="0" w:color="auto"/>
          </w:divBdr>
        </w:div>
        <w:div w:id="1928342100">
          <w:marLeft w:val="0"/>
          <w:marRight w:val="0"/>
          <w:marTop w:val="0"/>
          <w:marBottom w:val="0"/>
          <w:divBdr>
            <w:top w:val="none" w:sz="0" w:space="0" w:color="auto"/>
            <w:left w:val="none" w:sz="0" w:space="0" w:color="auto"/>
            <w:bottom w:val="none" w:sz="0" w:space="0" w:color="auto"/>
            <w:right w:val="none" w:sz="0" w:space="0" w:color="auto"/>
          </w:divBdr>
        </w:div>
        <w:div w:id="2133085264">
          <w:marLeft w:val="0"/>
          <w:marRight w:val="0"/>
          <w:marTop w:val="0"/>
          <w:marBottom w:val="0"/>
          <w:divBdr>
            <w:top w:val="none" w:sz="0" w:space="0" w:color="auto"/>
            <w:left w:val="none" w:sz="0" w:space="0" w:color="auto"/>
            <w:bottom w:val="none" w:sz="0" w:space="0" w:color="auto"/>
            <w:right w:val="none" w:sz="0" w:space="0" w:color="auto"/>
          </w:divBdr>
        </w:div>
        <w:div w:id="961694993">
          <w:marLeft w:val="0"/>
          <w:marRight w:val="0"/>
          <w:marTop w:val="0"/>
          <w:marBottom w:val="0"/>
          <w:divBdr>
            <w:top w:val="none" w:sz="0" w:space="0" w:color="auto"/>
            <w:left w:val="none" w:sz="0" w:space="0" w:color="auto"/>
            <w:bottom w:val="none" w:sz="0" w:space="0" w:color="auto"/>
            <w:right w:val="none" w:sz="0" w:space="0" w:color="auto"/>
          </w:divBdr>
        </w:div>
        <w:div w:id="898706634">
          <w:marLeft w:val="0"/>
          <w:marRight w:val="0"/>
          <w:marTop w:val="0"/>
          <w:marBottom w:val="0"/>
          <w:divBdr>
            <w:top w:val="none" w:sz="0" w:space="0" w:color="auto"/>
            <w:left w:val="none" w:sz="0" w:space="0" w:color="auto"/>
            <w:bottom w:val="none" w:sz="0" w:space="0" w:color="auto"/>
            <w:right w:val="none" w:sz="0" w:space="0" w:color="auto"/>
          </w:divBdr>
        </w:div>
        <w:div w:id="1716657628">
          <w:marLeft w:val="0"/>
          <w:marRight w:val="0"/>
          <w:marTop w:val="0"/>
          <w:marBottom w:val="0"/>
          <w:divBdr>
            <w:top w:val="none" w:sz="0" w:space="0" w:color="auto"/>
            <w:left w:val="none" w:sz="0" w:space="0" w:color="auto"/>
            <w:bottom w:val="none" w:sz="0" w:space="0" w:color="auto"/>
            <w:right w:val="none" w:sz="0" w:space="0" w:color="auto"/>
          </w:divBdr>
        </w:div>
        <w:div w:id="265431243">
          <w:marLeft w:val="0"/>
          <w:marRight w:val="0"/>
          <w:marTop w:val="0"/>
          <w:marBottom w:val="0"/>
          <w:divBdr>
            <w:top w:val="none" w:sz="0" w:space="0" w:color="auto"/>
            <w:left w:val="none" w:sz="0" w:space="0" w:color="auto"/>
            <w:bottom w:val="none" w:sz="0" w:space="0" w:color="auto"/>
            <w:right w:val="none" w:sz="0" w:space="0" w:color="auto"/>
          </w:divBdr>
        </w:div>
        <w:div w:id="173764556">
          <w:marLeft w:val="0"/>
          <w:marRight w:val="0"/>
          <w:marTop w:val="0"/>
          <w:marBottom w:val="0"/>
          <w:divBdr>
            <w:top w:val="none" w:sz="0" w:space="0" w:color="auto"/>
            <w:left w:val="none" w:sz="0" w:space="0" w:color="auto"/>
            <w:bottom w:val="none" w:sz="0" w:space="0" w:color="auto"/>
            <w:right w:val="none" w:sz="0" w:space="0" w:color="auto"/>
          </w:divBdr>
        </w:div>
        <w:div w:id="236718614">
          <w:marLeft w:val="0"/>
          <w:marRight w:val="0"/>
          <w:marTop w:val="0"/>
          <w:marBottom w:val="0"/>
          <w:divBdr>
            <w:top w:val="none" w:sz="0" w:space="0" w:color="auto"/>
            <w:left w:val="none" w:sz="0" w:space="0" w:color="auto"/>
            <w:bottom w:val="none" w:sz="0" w:space="0" w:color="auto"/>
            <w:right w:val="none" w:sz="0" w:space="0" w:color="auto"/>
          </w:divBdr>
        </w:div>
        <w:div w:id="1710570785">
          <w:marLeft w:val="0"/>
          <w:marRight w:val="0"/>
          <w:marTop w:val="0"/>
          <w:marBottom w:val="0"/>
          <w:divBdr>
            <w:top w:val="none" w:sz="0" w:space="0" w:color="auto"/>
            <w:left w:val="none" w:sz="0" w:space="0" w:color="auto"/>
            <w:bottom w:val="none" w:sz="0" w:space="0" w:color="auto"/>
            <w:right w:val="none" w:sz="0" w:space="0" w:color="auto"/>
          </w:divBdr>
        </w:div>
        <w:div w:id="755397379">
          <w:marLeft w:val="0"/>
          <w:marRight w:val="0"/>
          <w:marTop w:val="0"/>
          <w:marBottom w:val="0"/>
          <w:divBdr>
            <w:top w:val="none" w:sz="0" w:space="0" w:color="auto"/>
            <w:left w:val="none" w:sz="0" w:space="0" w:color="auto"/>
            <w:bottom w:val="none" w:sz="0" w:space="0" w:color="auto"/>
            <w:right w:val="none" w:sz="0" w:space="0" w:color="auto"/>
          </w:divBdr>
        </w:div>
        <w:div w:id="1891767158">
          <w:marLeft w:val="0"/>
          <w:marRight w:val="0"/>
          <w:marTop w:val="0"/>
          <w:marBottom w:val="0"/>
          <w:divBdr>
            <w:top w:val="none" w:sz="0" w:space="0" w:color="auto"/>
            <w:left w:val="none" w:sz="0" w:space="0" w:color="auto"/>
            <w:bottom w:val="none" w:sz="0" w:space="0" w:color="auto"/>
            <w:right w:val="none" w:sz="0" w:space="0" w:color="auto"/>
          </w:divBdr>
        </w:div>
        <w:div w:id="675573256">
          <w:marLeft w:val="0"/>
          <w:marRight w:val="0"/>
          <w:marTop w:val="0"/>
          <w:marBottom w:val="0"/>
          <w:divBdr>
            <w:top w:val="none" w:sz="0" w:space="0" w:color="auto"/>
            <w:left w:val="none" w:sz="0" w:space="0" w:color="auto"/>
            <w:bottom w:val="none" w:sz="0" w:space="0" w:color="auto"/>
            <w:right w:val="none" w:sz="0" w:space="0" w:color="auto"/>
          </w:divBdr>
        </w:div>
      </w:divsChild>
    </w:div>
    <w:div w:id="1512183738">
      <w:bodyDiv w:val="1"/>
      <w:marLeft w:val="0"/>
      <w:marRight w:val="0"/>
      <w:marTop w:val="0"/>
      <w:marBottom w:val="0"/>
      <w:divBdr>
        <w:top w:val="none" w:sz="0" w:space="0" w:color="auto"/>
        <w:left w:val="none" w:sz="0" w:space="0" w:color="auto"/>
        <w:bottom w:val="none" w:sz="0" w:space="0" w:color="auto"/>
        <w:right w:val="none" w:sz="0" w:space="0" w:color="auto"/>
      </w:divBdr>
    </w:div>
    <w:div w:id="1680699679">
      <w:bodyDiv w:val="1"/>
      <w:marLeft w:val="0"/>
      <w:marRight w:val="0"/>
      <w:marTop w:val="0"/>
      <w:marBottom w:val="0"/>
      <w:divBdr>
        <w:top w:val="none" w:sz="0" w:space="0" w:color="auto"/>
        <w:left w:val="none" w:sz="0" w:space="0" w:color="auto"/>
        <w:bottom w:val="none" w:sz="0" w:space="0" w:color="auto"/>
        <w:right w:val="none" w:sz="0" w:space="0" w:color="auto"/>
      </w:divBdr>
    </w:div>
    <w:div w:id="2001157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6987C7-0A39-40C9-A88D-976A7F58D8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8</Pages>
  <Words>1986</Words>
  <Characters>11322</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ERS/USDA</Company>
  <LinksUpToDate>false</LinksUpToDate>
  <CharactersWithSpaces>13282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Wallander, Steve - ERS</dc:creator>
  <cp:lastModifiedBy>PW</cp:lastModifiedBy>
  <cp:revision>7</cp:revision>
  <cp:lastPrinted>2015-04-02T21:21:00Z</cp:lastPrinted>
  <dcterms:created xsi:type="dcterms:W3CDTF">2015-04-27T13:59:00Z</dcterms:created>
  <dcterms:modified xsi:type="dcterms:W3CDTF">2015-04-29T17:55:00Z</dcterms:modified>
</cp:coreProperties>
</file>