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4477" w:rsidRDefault="008D7DAC" w:rsidP="00004477">
      <w:pPr>
        <w:widowControl w:val="0"/>
        <w:rPr>
          <w:rFonts w:ascii="Arial" w:hAnsi="Arial"/>
          <w:sz w:val="22"/>
        </w:rPr>
      </w:pPr>
      <w:r>
        <w:rPr>
          <w:rFonts w:ascii="Arial" w:hAnsi="Arial"/>
          <w:sz w:val="22"/>
        </w:rPr>
        <w:fldChar w:fldCharType="begin"/>
      </w:r>
      <w:r w:rsidR="00004477">
        <w:instrText xml:space="preserve"> SEQ CHAPTER \h \r 1</w:instrText>
      </w:r>
      <w:r>
        <w:fldChar w:fldCharType="end"/>
      </w:r>
      <w:r w:rsidR="00004477">
        <w:rPr>
          <w:rFonts w:ascii="Arial" w:hAnsi="Arial"/>
          <w:sz w:val="22"/>
        </w:rPr>
        <w:t>Section 29</w:t>
      </w:r>
    </w:p>
    <w:p w:rsidR="00004477" w:rsidRDefault="009F0E51" w:rsidP="00004477">
      <w:pPr>
        <w:widowControl w:val="0"/>
        <w:jc w:val="center"/>
        <w:rPr>
          <w:rFonts w:ascii="Arial" w:hAnsi="Arial"/>
          <w:sz w:val="22"/>
        </w:rPr>
      </w:pPr>
      <w:r>
        <w:rPr>
          <w:rFonts w:ascii="Arial" w:hAnsi="Arial"/>
          <w:sz w:val="22"/>
        </w:rPr>
        <w:t>FINAL</w:t>
      </w:r>
      <w:r w:rsidR="00004477">
        <w:rPr>
          <w:rFonts w:ascii="Arial" w:hAnsi="Arial"/>
          <w:sz w:val="22"/>
        </w:rPr>
        <w:t xml:space="preserve"> SUPPORTING STATEMENT FOR</w:t>
      </w:r>
    </w:p>
    <w:p w:rsidR="00004477" w:rsidRDefault="00004477" w:rsidP="00004477">
      <w:pPr>
        <w:widowControl w:val="0"/>
        <w:jc w:val="center"/>
        <w:rPr>
          <w:rFonts w:ascii="Arial" w:hAnsi="Arial"/>
          <w:sz w:val="22"/>
        </w:rPr>
      </w:pPr>
      <w:r>
        <w:rPr>
          <w:rFonts w:ascii="Arial" w:hAnsi="Arial"/>
          <w:sz w:val="22"/>
        </w:rPr>
        <w:t>EMERGENCY RESPONSE DATA SYSTEM</w:t>
      </w:r>
    </w:p>
    <w:p w:rsidR="00004477" w:rsidRDefault="00004477" w:rsidP="00004477">
      <w:pPr>
        <w:widowControl w:val="0"/>
        <w:jc w:val="center"/>
        <w:rPr>
          <w:rFonts w:ascii="Arial" w:hAnsi="Arial"/>
          <w:sz w:val="22"/>
        </w:rPr>
      </w:pPr>
    </w:p>
    <w:p w:rsidR="00004477" w:rsidRDefault="00004477" w:rsidP="00004477">
      <w:pPr>
        <w:widowControl w:val="0"/>
        <w:jc w:val="center"/>
        <w:rPr>
          <w:rFonts w:ascii="Arial" w:hAnsi="Arial"/>
          <w:sz w:val="22"/>
        </w:rPr>
      </w:pPr>
      <w:r>
        <w:rPr>
          <w:rFonts w:ascii="Arial" w:hAnsi="Arial"/>
          <w:sz w:val="22"/>
        </w:rPr>
        <w:t>10 CFR 50.72(a</w:t>
      </w:r>
      <w:proofErr w:type="gramStart"/>
      <w:r>
        <w:rPr>
          <w:rFonts w:ascii="Arial" w:hAnsi="Arial"/>
          <w:sz w:val="22"/>
        </w:rPr>
        <w:t>)(</w:t>
      </w:r>
      <w:proofErr w:type="gramEnd"/>
      <w:r>
        <w:rPr>
          <w:rFonts w:ascii="Arial" w:hAnsi="Arial"/>
          <w:sz w:val="22"/>
        </w:rPr>
        <w:t>ii)(4) and 10 CFR 50 Appendix E.VI</w:t>
      </w:r>
    </w:p>
    <w:p w:rsidR="00004477" w:rsidRDefault="00004477" w:rsidP="00004477">
      <w:pPr>
        <w:widowControl w:val="0"/>
        <w:rPr>
          <w:rFonts w:ascii="Arial" w:hAnsi="Arial"/>
          <w:sz w:val="22"/>
        </w:rPr>
      </w:pPr>
    </w:p>
    <w:p w:rsidR="00004477" w:rsidRDefault="00004477" w:rsidP="00004477">
      <w:pPr>
        <w:widowControl w:val="0"/>
        <w:rPr>
          <w:rFonts w:ascii="Arial" w:hAnsi="Arial"/>
          <w:sz w:val="22"/>
        </w:rPr>
      </w:pPr>
    </w:p>
    <w:p w:rsidR="00004477" w:rsidRDefault="00004477" w:rsidP="00004477">
      <w:pPr>
        <w:widowControl w:val="0"/>
        <w:rPr>
          <w:rFonts w:ascii="Arial" w:hAnsi="Arial"/>
          <w:sz w:val="22"/>
        </w:rPr>
      </w:pPr>
      <w:r>
        <w:rPr>
          <w:rFonts w:ascii="Arial" w:hAnsi="Arial"/>
          <w:sz w:val="22"/>
          <w:u w:val="single"/>
        </w:rPr>
        <w:t>DESCRIPTION OF THE INFORMATION COLLECTION</w:t>
      </w:r>
    </w:p>
    <w:p w:rsidR="00004477" w:rsidRDefault="00004477" w:rsidP="00004477">
      <w:pPr>
        <w:widowControl w:val="0"/>
        <w:rPr>
          <w:rFonts w:ascii="Arial" w:hAnsi="Arial"/>
          <w:sz w:val="22"/>
        </w:rPr>
      </w:pPr>
    </w:p>
    <w:p w:rsidR="00004477" w:rsidRDefault="00004477" w:rsidP="00004477">
      <w:pPr>
        <w:widowControl w:val="0"/>
        <w:rPr>
          <w:rFonts w:ascii="Arial" w:hAnsi="Arial"/>
          <w:sz w:val="22"/>
        </w:rPr>
      </w:pPr>
      <w:r>
        <w:rPr>
          <w:rFonts w:ascii="Arial" w:hAnsi="Arial"/>
          <w:sz w:val="22"/>
        </w:rPr>
        <w:t>Each nuclear power reactor licensee is required to establish and maintain an Emergency Response Data System (ERDS) for all operating nuclear power reactor facilities except for exempt plants or those that are permanently or indefinitely shut down.</w:t>
      </w:r>
    </w:p>
    <w:p w:rsidR="00004477" w:rsidRDefault="00004477" w:rsidP="00004477">
      <w:pPr>
        <w:widowControl w:val="0"/>
        <w:rPr>
          <w:rFonts w:ascii="Arial" w:hAnsi="Arial"/>
          <w:sz w:val="22"/>
        </w:rPr>
      </w:pPr>
    </w:p>
    <w:p w:rsidR="00004477" w:rsidRDefault="00004477" w:rsidP="00004477">
      <w:pPr>
        <w:widowControl w:val="0"/>
        <w:rPr>
          <w:rFonts w:ascii="Arial" w:hAnsi="Arial"/>
          <w:sz w:val="22"/>
        </w:rPr>
      </w:pPr>
      <w:r>
        <w:rPr>
          <w:rFonts w:ascii="Arial" w:hAnsi="Arial"/>
          <w:sz w:val="22"/>
        </w:rPr>
        <w:t>A.</w:t>
      </w:r>
      <w:r>
        <w:rPr>
          <w:rFonts w:ascii="Arial" w:hAnsi="Arial"/>
          <w:sz w:val="22"/>
        </w:rPr>
        <w:tab/>
        <w:t>JUSTIFICATION</w:t>
      </w:r>
    </w:p>
    <w:p w:rsidR="00004477" w:rsidRDefault="00004477" w:rsidP="00004477">
      <w:pPr>
        <w:widowControl w:val="0"/>
        <w:rPr>
          <w:rFonts w:ascii="Arial" w:hAnsi="Arial"/>
          <w:sz w:val="22"/>
        </w:rPr>
      </w:pPr>
    </w:p>
    <w:p w:rsidR="00004477" w:rsidRDefault="00004477" w:rsidP="00004477">
      <w:pPr>
        <w:widowControl w:val="0"/>
        <w:rPr>
          <w:rFonts w:ascii="Arial" w:hAnsi="Arial"/>
          <w:sz w:val="22"/>
        </w:rPr>
      </w:pPr>
      <w:r>
        <w:rPr>
          <w:rFonts w:ascii="Arial" w:hAnsi="Arial"/>
          <w:sz w:val="22"/>
        </w:rPr>
        <w:tab/>
        <w:t>1.</w:t>
      </w:r>
      <w:r>
        <w:rPr>
          <w:rFonts w:ascii="Arial" w:hAnsi="Arial"/>
          <w:sz w:val="22"/>
        </w:rPr>
        <w:tab/>
      </w:r>
      <w:r>
        <w:rPr>
          <w:rFonts w:ascii="Arial" w:hAnsi="Arial"/>
          <w:sz w:val="22"/>
          <w:u w:val="single"/>
        </w:rPr>
        <w:t>Need for and Practical Utility of the Collection of Information</w:t>
      </w:r>
    </w:p>
    <w:p w:rsidR="00004477" w:rsidRDefault="00004477" w:rsidP="00004477">
      <w:pPr>
        <w:widowControl w:val="0"/>
        <w:ind w:left="1440"/>
        <w:rPr>
          <w:rFonts w:ascii="Arial" w:hAnsi="Arial"/>
          <w:sz w:val="22"/>
        </w:rPr>
      </w:pPr>
      <w:r>
        <w:rPr>
          <w:rFonts w:ascii="Arial" w:hAnsi="Arial"/>
          <w:sz w:val="22"/>
        </w:rPr>
        <w:t>The Emergency Response Data System (ERDS) is a direct electronic data link between operating reactor computer data systems and the NRC Operations Center (NRCOC) used during the declaration of an alert or higher emergency classification.  The ERDS supplements the voice transmission of information over the currently installed Emergency Notification System (ENS) and is activated by a licensee when an alert or higher emergency occurs at a licensed nuclear power facility.  ERDS provides NRC with a reliable and effective communication system that allows the NRC to monitor critical parameters during an emergency at operating power reactors.</w:t>
      </w:r>
    </w:p>
    <w:p w:rsidR="00004477" w:rsidRDefault="00004477" w:rsidP="00004477">
      <w:pPr>
        <w:widowControl w:val="0"/>
        <w:ind w:left="720"/>
        <w:rPr>
          <w:rFonts w:ascii="Arial" w:hAnsi="Arial"/>
          <w:sz w:val="22"/>
        </w:rPr>
      </w:pPr>
    </w:p>
    <w:p w:rsidR="00004477" w:rsidRDefault="00004477" w:rsidP="00004477">
      <w:pPr>
        <w:widowControl w:val="0"/>
        <w:ind w:left="1440"/>
        <w:rPr>
          <w:rFonts w:ascii="Arial" w:hAnsi="Arial"/>
          <w:sz w:val="22"/>
        </w:rPr>
      </w:pPr>
      <w:r>
        <w:rPr>
          <w:rFonts w:ascii="Arial" w:hAnsi="Arial"/>
          <w:sz w:val="22"/>
          <w:u w:val="single"/>
        </w:rPr>
        <w:t>10 CFR 50.72(a)(ii)(4)</w:t>
      </w:r>
      <w:r>
        <w:rPr>
          <w:rFonts w:ascii="Arial" w:hAnsi="Arial"/>
          <w:sz w:val="22"/>
        </w:rPr>
        <w:t xml:space="preserve"> requires the licensee to activate the ERDS as soon as possible but not later than one hour after declaring an emergency class of alert, site area emergency, or general emergency.</w:t>
      </w:r>
    </w:p>
    <w:p w:rsidR="00004477" w:rsidRDefault="00004477" w:rsidP="00004477">
      <w:pPr>
        <w:widowControl w:val="0"/>
        <w:ind w:left="1440"/>
        <w:rPr>
          <w:rFonts w:ascii="Arial" w:hAnsi="Arial"/>
          <w:sz w:val="22"/>
        </w:rPr>
      </w:pPr>
    </w:p>
    <w:p w:rsidR="00004477" w:rsidRDefault="00004477" w:rsidP="00004477">
      <w:pPr>
        <w:widowControl w:val="0"/>
        <w:ind w:left="1440"/>
        <w:rPr>
          <w:rFonts w:ascii="Arial" w:hAnsi="Arial"/>
          <w:sz w:val="22"/>
        </w:rPr>
      </w:pPr>
      <w:r>
        <w:rPr>
          <w:rFonts w:ascii="Arial" w:hAnsi="Arial"/>
          <w:sz w:val="22"/>
          <w:u w:val="single"/>
        </w:rPr>
        <w:t xml:space="preserve">10 CFR 50 </w:t>
      </w:r>
      <w:proofErr w:type="gramStart"/>
      <w:r>
        <w:rPr>
          <w:rFonts w:ascii="Arial" w:hAnsi="Arial"/>
          <w:sz w:val="22"/>
          <w:u w:val="single"/>
        </w:rPr>
        <w:t>Appendix</w:t>
      </w:r>
      <w:proofErr w:type="gramEnd"/>
      <w:r>
        <w:rPr>
          <w:rFonts w:ascii="Arial" w:hAnsi="Arial"/>
          <w:sz w:val="22"/>
          <w:u w:val="single"/>
        </w:rPr>
        <w:t xml:space="preserve"> E.VI, Emergency Planning and Preparedness for Production and Utilization Facilities</w:t>
      </w:r>
    </w:p>
    <w:p w:rsidR="00004477" w:rsidRDefault="00004477" w:rsidP="00004477">
      <w:pPr>
        <w:widowControl w:val="0"/>
        <w:ind w:left="1440"/>
        <w:rPr>
          <w:rFonts w:ascii="Arial" w:hAnsi="Arial"/>
          <w:sz w:val="22"/>
        </w:rPr>
      </w:pPr>
    </w:p>
    <w:p w:rsidR="00004477" w:rsidRDefault="00004477" w:rsidP="00004477">
      <w:pPr>
        <w:widowControl w:val="0"/>
        <w:ind w:left="1440"/>
        <w:rPr>
          <w:rFonts w:ascii="Arial" w:hAnsi="Arial"/>
          <w:sz w:val="22"/>
        </w:rPr>
      </w:pPr>
      <w:r>
        <w:rPr>
          <w:rFonts w:ascii="Arial" w:hAnsi="Arial"/>
          <w:sz w:val="22"/>
          <w:u w:val="single"/>
        </w:rPr>
        <w:t>10 CFR 50 Appendix E.VI.1</w:t>
      </w:r>
      <w:r>
        <w:rPr>
          <w:rFonts w:ascii="Arial" w:hAnsi="Arial"/>
          <w:sz w:val="22"/>
        </w:rPr>
        <w:t xml:space="preserve"> requires that licensees test the ERDS periodically to verify system availability and operability.  The frequency of ERDS testing is quarterly unless otherwise set by NRC based on demonstrated system performance.</w:t>
      </w:r>
    </w:p>
    <w:p w:rsidR="00004477" w:rsidRDefault="00004477" w:rsidP="00004477">
      <w:pPr>
        <w:widowControl w:val="0"/>
        <w:ind w:left="1440"/>
        <w:rPr>
          <w:rFonts w:ascii="Arial" w:hAnsi="Arial"/>
          <w:sz w:val="22"/>
        </w:rPr>
      </w:pPr>
    </w:p>
    <w:p w:rsidR="00004477" w:rsidRDefault="00004477" w:rsidP="00004477">
      <w:pPr>
        <w:widowControl w:val="0"/>
        <w:ind w:left="1440"/>
        <w:rPr>
          <w:rFonts w:ascii="Arial" w:hAnsi="Arial"/>
          <w:sz w:val="22"/>
        </w:rPr>
      </w:pPr>
      <w:r>
        <w:rPr>
          <w:rFonts w:ascii="Arial" w:hAnsi="Arial"/>
          <w:sz w:val="22"/>
          <w:u w:val="single"/>
        </w:rPr>
        <w:t>10 CFR 50 Appendix E.VI.2.a</w:t>
      </w:r>
      <w:r>
        <w:rPr>
          <w:rFonts w:ascii="Arial" w:hAnsi="Arial"/>
          <w:sz w:val="22"/>
        </w:rPr>
        <w:t xml:space="preserve"> requires that computer systems transmit in-plant data points for pressurized water reactors or boiling water reactors if the data points are resident in the in-plant computer.</w:t>
      </w:r>
    </w:p>
    <w:p w:rsidR="00004477" w:rsidRDefault="00004477" w:rsidP="00004477">
      <w:pPr>
        <w:widowControl w:val="0"/>
        <w:ind w:left="1440"/>
        <w:rPr>
          <w:rFonts w:ascii="Arial" w:hAnsi="Arial"/>
          <w:sz w:val="22"/>
        </w:rPr>
      </w:pPr>
    </w:p>
    <w:p w:rsidR="00004477" w:rsidRDefault="00004477" w:rsidP="00004477">
      <w:pPr>
        <w:widowControl w:val="0"/>
        <w:ind w:left="1440"/>
        <w:rPr>
          <w:rFonts w:ascii="Arial" w:hAnsi="Arial"/>
          <w:sz w:val="22"/>
        </w:rPr>
      </w:pPr>
      <w:r>
        <w:rPr>
          <w:rFonts w:ascii="Arial" w:hAnsi="Arial"/>
          <w:sz w:val="22"/>
          <w:u w:val="single"/>
        </w:rPr>
        <w:t>10 CFR 50 Appendix E.VI.2.b</w:t>
      </w:r>
      <w:r>
        <w:rPr>
          <w:rFonts w:ascii="Arial" w:hAnsi="Arial"/>
          <w:sz w:val="22"/>
        </w:rPr>
        <w:t xml:space="preserve"> requires the selected parameter sets of data to be transmitted at time intervals of not less than 15 seconds or more than 60 seconds.</w:t>
      </w:r>
    </w:p>
    <w:p w:rsidR="00004477" w:rsidRDefault="00004477" w:rsidP="00004477">
      <w:pPr>
        <w:widowControl w:val="0"/>
        <w:ind w:left="1440"/>
        <w:rPr>
          <w:rFonts w:ascii="Arial" w:hAnsi="Arial"/>
          <w:sz w:val="22"/>
        </w:rPr>
      </w:pPr>
    </w:p>
    <w:p w:rsidR="00004477" w:rsidRDefault="00004477" w:rsidP="00004477">
      <w:pPr>
        <w:widowControl w:val="0"/>
        <w:ind w:left="1440"/>
        <w:rPr>
          <w:rFonts w:ascii="Arial" w:hAnsi="Arial"/>
          <w:sz w:val="22"/>
        </w:rPr>
      </w:pPr>
      <w:r>
        <w:rPr>
          <w:rFonts w:ascii="Arial" w:hAnsi="Arial"/>
          <w:sz w:val="22"/>
          <w:u w:val="single"/>
        </w:rPr>
        <w:t>10 CFR 50 Appendix E.VI.2.c</w:t>
      </w:r>
      <w:r>
        <w:rPr>
          <w:rFonts w:ascii="Arial" w:hAnsi="Arial"/>
          <w:sz w:val="22"/>
        </w:rPr>
        <w:t xml:space="preserve"> requires all link control and data transmission be established in a format compatible with the NRC receiving system.</w:t>
      </w:r>
    </w:p>
    <w:p w:rsidR="00004477" w:rsidRDefault="00004477" w:rsidP="00004477">
      <w:pPr>
        <w:widowControl w:val="0"/>
        <w:ind w:left="1440"/>
        <w:rPr>
          <w:rFonts w:ascii="Arial" w:hAnsi="Arial"/>
          <w:sz w:val="22"/>
        </w:rPr>
      </w:pPr>
      <w:r>
        <w:rPr>
          <w:rFonts w:ascii="Arial" w:hAnsi="Arial"/>
          <w:sz w:val="22"/>
        </w:rPr>
        <w:t xml:space="preserve">                                             </w:t>
      </w:r>
    </w:p>
    <w:p w:rsidR="00004477" w:rsidRDefault="00004477" w:rsidP="00004477">
      <w:pPr>
        <w:widowControl w:val="0"/>
        <w:ind w:left="1440"/>
        <w:rPr>
          <w:rFonts w:ascii="Arial" w:hAnsi="Arial"/>
          <w:sz w:val="22"/>
        </w:rPr>
      </w:pPr>
      <w:r>
        <w:rPr>
          <w:rFonts w:ascii="Arial" w:hAnsi="Arial"/>
          <w:sz w:val="22"/>
          <w:u w:val="single"/>
        </w:rPr>
        <w:t>10 CFR 50 Appendix E.VI.3.a</w:t>
      </w:r>
      <w:r>
        <w:rPr>
          <w:rFonts w:ascii="Arial" w:hAnsi="Arial"/>
          <w:sz w:val="22"/>
        </w:rPr>
        <w:t xml:space="preserve"> requires that any hardware or software changes that affect the transmitted data points identified in the ERDS Data Point Library </w:t>
      </w:r>
      <w:r>
        <w:rPr>
          <w:rFonts w:ascii="Arial" w:hAnsi="Arial"/>
          <w:sz w:val="22"/>
        </w:rPr>
        <w:lastRenderedPageBreak/>
        <w:t>(site specific data base residing on the ERDS computer) must be reported to the NRC within 30 days after changes are completed.</w:t>
      </w:r>
    </w:p>
    <w:p w:rsidR="00004477" w:rsidRDefault="00004477" w:rsidP="00004477">
      <w:pPr>
        <w:widowControl w:val="0"/>
        <w:ind w:left="720"/>
        <w:rPr>
          <w:rFonts w:ascii="Arial" w:hAnsi="Arial"/>
          <w:sz w:val="22"/>
        </w:rPr>
      </w:pPr>
    </w:p>
    <w:p w:rsidR="00004477" w:rsidRDefault="00004477" w:rsidP="00004477">
      <w:pPr>
        <w:widowControl w:val="0"/>
        <w:ind w:left="1440"/>
        <w:rPr>
          <w:rFonts w:ascii="Arial" w:hAnsi="Arial"/>
          <w:sz w:val="22"/>
        </w:rPr>
      </w:pPr>
      <w:r>
        <w:rPr>
          <w:rFonts w:ascii="Arial" w:hAnsi="Arial"/>
          <w:sz w:val="22"/>
          <w:u w:val="single"/>
        </w:rPr>
        <w:t>10 CFR 50 Appendix E.VI.3.b</w:t>
      </w:r>
      <w:r>
        <w:rPr>
          <w:rFonts w:ascii="Arial" w:hAnsi="Arial"/>
          <w:sz w:val="22"/>
        </w:rPr>
        <w:t xml:space="preserve"> requires that NRC be notified as soon as practicable and at least 30 days prior to any changes to computer hardware or software, with the exception of data point modifications, that could affect the transmission format and the ERDS computer communication protocol.</w:t>
      </w:r>
    </w:p>
    <w:p w:rsidR="00004477" w:rsidRDefault="00004477" w:rsidP="00004477">
      <w:pPr>
        <w:widowControl w:val="0"/>
        <w:ind w:left="1440"/>
        <w:rPr>
          <w:rFonts w:ascii="Arial" w:hAnsi="Arial"/>
          <w:sz w:val="22"/>
        </w:rPr>
      </w:pPr>
    </w:p>
    <w:p w:rsidR="00004477" w:rsidRDefault="00004477" w:rsidP="00004477">
      <w:pPr>
        <w:widowControl w:val="0"/>
        <w:ind w:left="1440"/>
        <w:rPr>
          <w:rFonts w:ascii="Arial" w:hAnsi="Arial"/>
          <w:sz w:val="22"/>
        </w:rPr>
      </w:pPr>
      <w:r>
        <w:rPr>
          <w:rFonts w:ascii="Arial" w:hAnsi="Arial"/>
          <w:sz w:val="22"/>
          <w:u w:val="single"/>
        </w:rPr>
        <w:t>10 CFR 50 Appendix E.VI.4.a</w:t>
      </w:r>
      <w:r>
        <w:rPr>
          <w:rFonts w:ascii="Arial" w:hAnsi="Arial"/>
          <w:sz w:val="22"/>
        </w:rPr>
        <w:t xml:space="preserve"> required the licensees to develop and submit an ERDS implementation program plan to the NRC by October 28, 1991.</w:t>
      </w:r>
    </w:p>
    <w:p w:rsidR="00004477" w:rsidRDefault="00004477" w:rsidP="00004477">
      <w:pPr>
        <w:widowControl w:val="0"/>
        <w:rPr>
          <w:rFonts w:ascii="Arial" w:hAnsi="Arial"/>
          <w:sz w:val="22"/>
        </w:rPr>
      </w:pPr>
    </w:p>
    <w:p w:rsidR="00004477" w:rsidRDefault="00004477" w:rsidP="00004477">
      <w:pPr>
        <w:widowControl w:val="0"/>
        <w:ind w:left="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004477" w:rsidRDefault="00004477" w:rsidP="00004477">
      <w:pPr>
        <w:widowControl w:val="0"/>
        <w:ind w:left="720"/>
        <w:rPr>
          <w:rFonts w:ascii="Arial" w:hAnsi="Arial"/>
          <w:sz w:val="22"/>
        </w:rPr>
      </w:pPr>
    </w:p>
    <w:p w:rsidR="00004477" w:rsidRDefault="00004477" w:rsidP="00004477">
      <w:pPr>
        <w:widowControl w:val="0"/>
        <w:ind w:left="1440"/>
        <w:rPr>
          <w:rFonts w:ascii="Arial" w:hAnsi="Arial"/>
          <w:sz w:val="22"/>
        </w:rPr>
      </w:pPr>
      <w:r>
        <w:rPr>
          <w:rFonts w:ascii="Arial" w:hAnsi="Arial"/>
          <w:sz w:val="22"/>
        </w:rPr>
        <w:t>The real-time data that ERDS provides allows the NRC to fulfill its role to monitor plant conditions during an on-site alert or higher emergency at a nuclear power facility.  In addition, information concerning any computer system hardware and software changes must be reported to the NRC to ensure system operational compatibility.</w:t>
      </w:r>
    </w:p>
    <w:p w:rsidR="00004477" w:rsidRDefault="00004477" w:rsidP="00004477">
      <w:pPr>
        <w:widowControl w:val="0"/>
        <w:ind w:left="720"/>
        <w:rPr>
          <w:rFonts w:ascii="Arial" w:hAnsi="Arial"/>
          <w:sz w:val="22"/>
        </w:rPr>
      </w:pPr>
    </w:p>
    <w:p w:rsidR="00004477" w:rsidRDefault="00004477" w:rsidP="00004477">
      <w:pPr>
        <w:widowControl w:val="0"/>
        <w:ind w:left="720"/>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p>
    <w:p w:rsidR="00004477" w:rsidRDefault="00004477" w:rsidP="00004477">
      <w:pPr>
        <w:widowControl w:val="0"/>
        <w:ind w:left="720"/>
        <w:rPr>
          <w:rFonts w:ascii="Arial" w:hAnsi="Arial"/>
          <w:sz w:val="22"/>
        </w:rPr>
      </w:pPr>
    </w:p>
    <w:p w:rsidR="00004477" w:rsidRDefault="00004477" w:rsidP="00004477">
      <w:pPr>
        <w:widowControl w:val="0"/>
        <w:ind w:left="1440"/>
        <w:rPr>
          <w:rFonts w:ascii="Arial" w:hAnsi="Arial"/>
          <w:sz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C102E3">
        <w:rPr>
          <w:rFonts w:ascii="Arial" w:hAnsi="Arial"/>
          <w:sz w:val="22"/>
        </w:rPr>
        <w:t>100%</w:t>
      </w:r>
      <w:r>
        <w:rPr>
          <w:rFonts w:ascii="Arial" w:hAnsi="Arial"/>
          <w:sz w:val="22"/>
        </w:rPr>
        <w:t xml:space="preserve"> of the potential responses are filed electronically.</w:t>
      </w:r>
    </w:p>
    <w:p w:rsidR="00004477" w:rsidRDefault="00004477" w:rsidP="00004477">
      <w:pPr>
        <w:widowControl w:val="0"/>
        <w:rPr>
          <w:rFonts w:ascii="Arial" w:hAnsi="Arial"/>
          <w:sz w:val="22"/>
        </w:rPr>
      </w:pPr>
    </w:p>
    <w:p w:rsidR="00004477" w:rsidRDefault="00004477" w:rsidP="00004477">
      <w:pPr>
        <w:widowControl w:val="0"/>
        <w:ind w:left="720"/>
        <w:rPr>
          <w:rFonts w:ascii="Arial" w:hAnsi="Arial"/>
          <w:sz w:val="22"/>
          <w:u w:val="single"/>
        </w:rPr>
      </w:pPr>
      <w:r>
        <w:rPr>
          <w:rFonts w:ascii="Arial" w:hAnsi="Arial"/>
          <w:sz w:val="22"/>
        </w:rPr>
        <w:t>4.</w:t>
      </w:r>
      <w:r>
        <w:rPr>
          <w:rFonts w:ascii="Arial" w:hAnsi="Arial"/>
          <w:sz w:val="22"/>
        </w:rPr>
        <w:tab/>
      </w:r>
      <w:r>
        <w:rPr>
          <w:rFonts w:ascii="Arial" w:hAnsi="Arial"/>
          <w:sz w:val="22"/>
          <w:u w:val="single"/>
        </w:rPr>
        <w:t>Efforts to Identify Duplication and Use Similar Information</w:t>
      </w:r>
    </w:p>
    <w:p w:rsidR="00004477" w:rsidRDefault="00004477" w:rsidP="00004477">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960"/>
        <w:rPr>
          <w:rFonts w:ascii="Arial" w:hAnsi="Arial" w:cs="Arial"/>
          <w:color w:val="FF0000"/>
          <w:sz w:val="22"/>
          <w:szCs w:val="22"/>
        </w:rPr>
      </w:pPr>
    </w:p>
    <w:p w:rsidR="00004477" w:rsidRDefault="00004477" w:rsidP="00004477">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004477" w:rsidRDefault="00004477" w:rsidP="00004477">
      <w:pPr>
        <w:widowControl w:val="0"/>
        <w:ind w:left="720"/>
        <w:rPr>
          <w:rFonts w:ascii="Arial" w:hAnsi="Arial"/>
          <w:sz w:val="22"/>
        </w:rPr>
      </w:pPr>
    </w:p>
    <w:p w:rsidR="00004477" w:rsidRDefault="00004477" w:rsidP="00004477">
      <w:pPr>
        <w:widowControl w:val="0"/>
        <w:ind w:left="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004477" w:rsidRDefault="00004477" w:rsidP="00004477">
      <w:pPr>
        <w:widowControl w:val="0"/>
        <w:ind w:left="720"/>
        <w:rPr>
          <w:rFonts w:ascii="Arial" w:hAnsi="Arial"/>
          <w:sz w:val="22"/>
        </w:rPr>
      </w:pPr>
    </w:p>
    <w:p w:rsidR="00004477" w:rsidRDefault="00004477" w:rsidP="00004477">
      <w:pPr>
        <w:widowControl w:val="0"/>
        <w:ind w:left="1440"/>
        <w:rPr>
          <w:rFonts w:ascii="Arial" w:hAnsi="Arial"/>
          <w:sz w:val="22"/>
        </w:rPr>
      </w:pPr>
      <w:r>
        <w:rPr>
          <w:rFonts w:ascii="Arial" w:hAnsi="Arial"/>
          <w:sz w:val="22"/>
        </w:rPr>
        <w:t>These requirements do not impact small business.  The respondents are nuclear power plant licensees.</w:t>
      </w:r>
    </w:p>
    <w:p w:rsidR="00004477" w:rsidRDefault="00004477" w:rsidP="00004477">
      <w:pPr>
        <w:widowControl w:val="0"/>
        <w:ind w:left="1440"/>
        <w:rPr>
          <w:rFonts w:ascii="Arial" w:hAnsi="Arial"/>
          <w:sz w:val="22"/>
        </w:rPr>
      </w:pPr>
    </w:p>
    <w:p w:rsidR="00004477" w:rsidRDefault="00004477" w:rsidP="00004477">
      <w:pPr>
        <w:widowControl w:val="0"/>
        <w:ind w:left="1440" w:hanging="720"/>
        <w:rPr>
          <w:rFonts w:ascii="Arial" w:hAnsi="Arial"/>
          <w:sz w:val="22"/>
          <w:u w:val="single"/>
        </w:rPr>
      </w:pPr>
      <w:r>
        <w:rPr>
          <w:rFonts w:ascii="Arial" w:hAnsi="Arial"/>
          <w:sz w:val="22"/>
        </w:rPr>
        <w:t>6.</w:t>
      </w:r>
      <w:r>
        <w:rPr>
          <w:rFonts w:ascii="Arial" w:hAnsi="Arial"/>
          <w:sz w:val="22"/>
        </w:rPr>
        <w:tab/>
      </w:r>
      <w:r>
        <w:rPr>
          <w:rFonts w:ascii="Arial" w:hAnsi="Arial"/>
          <w:sz w:val="22"/>
          <w:u w:val="single"/>
        </w:rPr>
        <w:t xml:space="preserve">Consequences to Federal Program or Policy Activities if the Collection is not </w:t>
      </w:r>
      <w:proofErr w:type="gramStart"/>
      <w:r>
        <w:rPr>
          <w:rFonts w:ascii="Arial" w:hAnsi="Arial"/>
          <w:sz w:val="22"/>
          <w:u w:val="single"/>
        </w:rPr>
        <w:t>Conducted</w:t>
      </w:r>
      <w:proofErr w:type="gramEnd"/>
      <w:r>
        <w:rPr>
          <w:rFonts w:ascii="Arial" w:hAnsi="Arial"/>
          <w:sz w:val="22"/>
          <w:u w:val="single"/>
        </w:rPr>
        <w:t xml:space="preserve"> or is Conducted Less Frequently</w:t>
      </w:r>
    </w:p>
    <w:p w:rsidR="00004477" w:rsidRDefault="00004477" w:rsidP="00004477">
      <w:pPr>
        <w:widowControl w:val="0"/>
        <w:ind w:left="720"/>
        <w:rPr>
          <w:rFonts w:ascii="Arial" w:hAnsi="Arial"/>
          <w:sz w:val="22"/>
        </w:rPr>
      </w:pPr>
    </w:p>
    <w:p w:rsidR="00004477" w:rsidRDefault="00004477" w:rsidP="00004477">
      <w:pPr>
        <w:widowControl w:val="0"/>
        <w:ind w:left="1440"/>
        <w:rPr>
          <w:rFonts w:ascii="Arial" w:hAnsi="Arial"/>
          <w:sz w:val="22"/>
        </w:rPr>
      </w:pPr>
      <w:r>
        <w:rPr>
          <w:rFonts w:ascii="Arial" w:hAnsi="Arial"/>
          <w:sz w:val="22"/>
        </w:rPr>
        <w:t>Required reports are collected and evaluated on a continuing basis as events occur.  If the information is not collected during an alert or higher emergency, the NRC would have to rely on less accurate and less timely means that could affect the protection of public health and safety.  The schedule for collecting the information is the minimum frequency, which will permit NRC to assure that public health and safety are adequately protected.</w:t>
      </w:r>
    </w:p>
    <w:p w:rsidR="00004477" w:rsidRDefault="00004477" w:rsidP="00004477">
      <w:pPr>
        <w:widowControl w:val="0"/>
        <w:rPr>
          <w:rFonts w:ascii="Arial" w:hAnsi="Arial"/>
          <w:sz w:val="22"/>
        </w:rPr>
      </w:pPr>
    </w:p>
    <w:p w:rsidR="00004477" w:rsidRDefault="00004477" w:rsidP="00004477">
      <w:pPr>
        <w:widowControl w:val="0"/>
        <w:ind w:left="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004477" w:rsidRDefault="00004477" w:rsidP="00004477">
      <w:pPr>
        <w:widowControl w:val="0"/>
        <w:ind w:left="720"/>
        <w:rPr>
          <w:rFonts w:ascii="Arial" w:hAnsi="Arial"/>
          <w:sz w:val="22"/>
        </w:rPr>
      </w:pPr>
    </w:p>
    <w:p w:rsidR="00004477" w:rsidRDefault="00004477" w:rsidP="00004477">
      <w:pPr>
        <w:widowControl w:val="0"/>
        <w:ind w:left="1440"/>
        <w:rPr>
          <w:rFonts w:ascii="Arial" w:hAnsi="Arial"/>
          <w:sz w:val="22"/>
        </w:rPr>
      </w:pPr>
      <w:r>
        <w:rPr>
          <w:rFonts w:ascii="Arial" w:hAnsi="Arial"/>
          <w:sz w:val="22"/>
        </w:rPr>
        <w:t>Contrary to the OMB guidelines in 5 CFR 1320.6(b), these sections of 10 CFR 50 requires that licensees submit reports and transmit real-time data to the NRC.</w:t>
      </w:r>
    </w:p>
    <w:p w:rsidR="00004477" w:rsidRDefault="00004477" w:rsidP="00004477">
      <w:pPr>
        <w:widowControl w:val="0"/>
        <w:ind w:left="1440"/>
        <w:rPr>
          <w:rFonts w:ascii="Arial" w:hAnsi="Arial"/>
          <w:sz w:val="22"/>
        </w:rPr>
      </w:pPr>
    </w:p>
    <w:p w:rsidR="00004477" w:rsidRDefault="00004477" w:rsidP="00004477">
      <w:pPr>
        <w:widowControl w:val="0"/>
        <w:ind w:left="1440"/>
        <w:rPr>
          <w:rFonts w:ascii="Arial" w:hAnsi="Arial"/>
          <w:sz w:val="22"/>
        </w:rPr>
      </w:pPr>
      <w:r>
        <w:rPr>
          <w:rFonts w:ascii="Arial" w:hAnsi="Arial"/>
          <w:sz w:val="22"/>
        </w:rPr>
        <w:t>The requirements of 10 CFR 50.72(a)(ii)(4) provide for electronic real-time transmittal of data to the NRC via ERDS during an alert or higher emergency at a nuclear power facility so that NRC has information needed to fulfill its role for protection of public health and safety.</w:t>
      </w:r>
    </w:p>
    <w:p w:rsidR="00004477" w:rsidRDefault="00004477" w:rsidP="00004477">
      <w:pPr>
        <w:widowControl w:val="0"/>
        <w:ind w:left="1440"/>
        <w:rPr>
          <w:rFonts w:ascii="Arial" w:hAnsi="Arial"/>
          <w:sz w:val="22"/>
        </w:rPr>
      </w:pPr>
    </w:p>
    <w:p w:rsidR="00004477" w:rsidRDefault="00004477" w:rsidP="00004477">
      <w:pPr>
        <w:widowControl w:val="0"/>
        <w:ind w:left="1440"/>
        <w:rPr>
          <w:rFonts w:ascii="Arial" w:hAnsi="Arial"/>
          <w:sz w:val="22"/>
        </w:rPr>
      </w:pPr>
      <w:r>
        <w:rPr>
          <w:rFonts w:ascii="Arial" w:hAnsi="Arial"/>
          <w:sz w:val="22"/>
        </w:rPr>
        <w:t>10 CFR 50 Appendix E.VI.3.a and 10 CFR 50 Appendix E.VI.3.b require a report within 30 days of any hardware or software changes that affect the transmitted data point identified in the Emergency Response Data System Data Point Library (data base) and changes that could affect the transmission format and communication protocol.  This information is needed by the NRC to ensure that any system changes will not affect the ability to transmit critical parameters of a limited set of data to NRC so that NRC can fulfill its role to monitor a nuclear power reactor during an on-site alert or higher emergency to protect public health and safety.</w:t>
      </w:r>
    </w:p>
    <w:p w:rsidR="00004477" w:rsidRDefault="00004477" w:rsidP="00004477">
      <w:pPr>
        <w:widowControl w:val="0"/>
        <w:rPr>
          <w:rFonts w:ascii="Arial" w:hAnsi="Arial"/>
          <w:sz w:val="22"/>
        </w:rPr>
      </w:pPr>
    </w:p>
    <w:p w:rsidR="00004477" w:rsidRDefault="00004477" w:rsidP="00004477">
      <w:pPr>
        <w:widowControl w:val="0"/>
        <w:ind w:left="720"/>
        <w:rPr>
          <w:rFonts w:ascii="Arial" w:hAnsi="Arial"/>
          <w:sz w:val="22"/>
        </w:rPr>
      </w:pPr>
      <w:r>
        <w:rPr>
          <w:rFonts w:ascii="Arial" w:hAnsi="Arial"/>
          <w:sz w:val="22"/>
        </w:rPr>
        <w:t>8.</w:t>
      </w:r>
      <w:r>
        <w:rPr>
          <w:rFonts w:ascii="Arial" w:hAnsi="Arial"/>
          <w:sz w:val="22"/>
        </w:rPr>
        <w:tab/>
      </w:r>
      <w:r>
        <w:rPr>
          <w:rFonts w:ascii="Arial" w:hAnsi="Arial"/>
          <w:sz w:val="22"/>
          <w:u w:val="single"/>
        </w:rPr>
        <w:t xml:space="preserve">Consultations </w:t>
      </w:r>
      <w:proofErr w:type="gramStart"/>
      <w:r>
        <w:rPr>
          <w:rFonts w:ascii="Arial" w:hAnsi="Arial"/>
          <w:sz w:val="22"/>
          <w:u w:val="single"/>
        </w:rPr>
        <w:t>Outside</w:t>
      </w:r>
      <w:proofErr w:type="gramEnd"/>
      <w:r>
        <w:rPr>
          <w:rFonts w:ascii="Arial" w:hAnsi="Arial"/>
          <w:sz w:val="22"/>
          <w:u w:val="single"/>
        </w:rPr>
        <w:t xml:space="preserve"> the NRC</w:t>
      </w:r>
    </w:p>
    <w:p w:rsidR="00004477" w:rsidRDefault="00004477" w:rsidP="00004477">
      <w:pPr>
        <w:widowControl w:val="0"/>
        <w:ind w:left="720"/>
        <w:rPr>
          <w:rFonts w:ascii="Arial" w:hAnsi="Arial"/>
          <w:sz w:val="22"/>
        </w:rPr>
      </w:pPr>
    </w:p>
    <w:p w:rsidR="009F0E51" w:rsidRDefault="009F0E51" w:rsidP="009F0E51">
      <w:pPr>
        <w:ind w:left="1440"/>
        <w:rPr>
          <w:rFonts w:ascii="Arial" w:hAnsi="Arial" w:cs="Arial"/>
          <w:sz w:val="22"/>
          <w:szCs w:val="22"/>
          <w:u w:val="single"/>
        </w:rPr>
      </w:pPr>
      <w:r>
        <w:rPr>
          <w:rFonts w:ascii="Arial" w:hAnsi="Arial" w:cs="Arial"/>
          <w:sz w:val="22"/>
          <w:szCs w:val="22"/>
        </w:rPr>
        <w:t xml:space="preserve">Opportunity for public comment on the information collection requirements for this clearance package was published in the </w:t>
      </w:r>
      <w:r>
        <w:rPr>
          <w:rFonts w:ascii="Arial" w:hAnsi="Arial" w:cs="Arial"/>
          <w:sz w:val="22"/>
          <w:szCs w:val="22"/>
          <w:u w:val="single"/>
        </w:rPr>
        <w:t>Federal Register</w:t>
      </w:r>
      <w:r>
        <w:rPr>
          <w:rFonts w:ascii="Arial" w:hAnsi="Arial" w:cs="Arial"/>
          <w:sz w:val="22"/>
          <w:szCs w:val="22"/>
        </w:rPr>
        <w:t xml:space="preserve"> on May 14, 2013 (78 FR 28244).  No comments were received.</w:t>
      </w:r>
    </w:p>
    <w:p w:rsidR="00004477" w:rsidRDefault="00004477" w:rsidP="00004477">
      <w:pPr>
        <w:widowControl w:val="0"/>
        <w:ind w:left="720"/>
        <w:rPr>
          <w:rFonts w:ascii="Arial" w:hAnsi="Arial"/>
          <w:sz w:val="22"/>
        </w:rPr>
      </w:pPr>
    </w:p>
    <w:p w:rsidR="00004477" w:rsidRDefault="00004477" w:rsidP="00004477">
      <w:pPr>
        <w:widowControl w:val="0"/>
        <w:ind w:left="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004477" w:rsidRDefault="00004477" w:rsidP="00004477">
      <w:pPr>
        <w:widowControl w:val="0"/>
        <w:ind w:left="720"/>
        <w:rPr>
          <w:rFonts w:ascii="Arial" w:hAnsi="Arial"/>
          <w:sz w:val="22"/>
        </w:rPr>
      </w:pPr>
    </w:p>
    <w:p w:rsidR="00004477" w:rsidRDefault="00004477" w:rsidP="00004477">
      <w:pPr>
        <w:widowControl w:val="0"/>
        <w:ind w:left="720"/>
        <w:rPr>
          <w:rFonts w:ascii="Arial" w:hAnsi="Arial"/>
          <w:sz w:val="22"/>
        </w:rPr>
      </w:pPr>
      <w:r>
        <w:rPr>
          <w:rFonts w:ascii="Arial" w:hAnsi="Arial"/>
          <w:sz w:val="22"/>
        </w:rPr>
        <w:tab/>
        <w:t>Not applicable.</w:t>
      </w:r>
    </w:p>
    <w:p w:rsidR="00004477" w:rsidRDefault="00004477" w:rsidP="00004477">
      <w:pPr>
        <w:widowControl w:val="0"/>
        <w:ind w:left="720"/>
        <w:rPr>
          <w:rFonts w:ascii="Arial" w:hAnsi="Arial"/>
          <w:sz w:val="22"/>
        </w:rPr>
      </w:pPr>
    </w:p>
    <w:p w:rsidR="00004477" w:rsidRDefault="00004477" w:rsidP="00004477">
      <w:pPr>
        <w:widowControl w:val="0"/>
        <w:ind w:firstLine="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004477" w:rsidRDefault="00004477" w:rsidP="00004477">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sz w:val="22"/>
        </w:rPr>
      </w:pPr>
    </w:p>
    <w:p w:rsidR="00004477" w:rsidRDefault="00004477" w:rsidP="0082556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sz w:val="22"/>
        </w:rPr>
        <w:t xml:space="preserve">Confidential and proprietary information is protected in accordance with NRC regulations at 10 CFR 9.17(a) and 10 CFR 2.390(b).  </w:t>
      </w:r>
      <w:r>
        <w:rPr>
          <w:rFonts w:ascii="Arial" w:hAnsi="Arial" w:cs="Arial"/>
          <w:sz w:val="22"/>
          <w:szCs w:val="22"/>
        </w:rPr>
        <w:t>However, no information normally considered confidential or proprietary is requested.</w:t>
      </w:r>
    </w:p>
    <w:p w:rsidR="00004477" w:rsidRDefault="00004477" w:rsidP="000044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004477" w:rsidRDefault="00004477" w:rsidP="00004477">
      <w:pPr>
        <w:widowControl w:val="0"/>
        <w:ind w:left="720"/>
        <w:rPr>
          <w:rFonts w:ascii="Arial" w:hAnsi="Arial"/>
          <w:sz w:val="22"/>
          <w:u w:val="single"/>
        </w:rPr>
      </w:pPr>
      <w:r>
        <w:rPr>
          <w:rFonts w:ascii="Arial" w:hAnsi="Arial"/>
          <w:sz w:val="22"/>
        </w:rPr>
        <w:t>11.</w:t>
      </w:r>
      <w:r>
        <w:rPr>
          <w:rFonts w:ascii="Arial" w:hAnsi="Arial"/>
          <w:sz w:val="22"/>
        </w:rPr>
        <w:tab/>
      </w:r>
      <w:r>
        <w:rPr>
          <w:rFonts w:ascii="Arial" w:hAnsi="Arial"/>
          <w:sz w:val="22"/>
          <w:u w:val="single"/>
        </w:rPr>
        <w:t>Justification for Sensitive Questions</w:t>
      </w:r>
    </w:p>
    <w:p w:rsidR="00004477" w:rsidRDefault="00004477" w:rsidP="00004477">
      <w:pPr>
        <w:widowControl w:val="0"/>
        <w:ind w:left="720"/>
        <w:rPr>
          <w:rFonts w:ascii="Arial" w:hAnsi="Arial"/>
          <w:sz w:val="22"/>
        </w:rPr>
      </w:pPr>
    </w:p>
    <w:p w:rsidR="00004477" w:rsidRDefault="00004477" w:rsidP="00004477">
      <w:pPr>
        <w:widowControl w:val="0"/>
        <w:ind w:left="720"/>
        <w:rPr>
          <w:rFonts w:ascii="Arial" w:hAnsi="Arial"/>
          <w:sz w:val="22"/>
        </w:rPr>
      </w:pPr>
      <w:r>
        <w:rPr>
          <w:rFonts w:ascii="Arial" w:hAnsi="Arial"/>
          <w:sz w:val="22"/>
        </w:rPr>
        <w:tab/>
        <w:t>The subject information collections do not involve sensitive information.</w:t>
      </w:r>
    </w:p>
    <w:p w:rsidR="00004477" w:rsidRDefault="00004477" w:rsidP="00004477">
      <w:pPr>
        <w:widowControl w:val="0"/>
        <w:ind w:firstLine="720"/>
        <w:rPr>
          <w:rFonts w:ascii="Arial" w:hAnsi="Arial"/>
          <w:sz w:val="22"/>
        </w:rPr>
      </w:pPr>
    </w:p>
    <w:p w:rsidR="00004477" w:rsidRDefault="00004477" w:rsidP="00004477">
      <w:pPr>
        <w:widowControl w:val="0"/>
        <w:ind w:firstLine="720"/>
        <w:rPr>
          <w:rFonts w:ascii="Arial" w:hAnsi="Arial"/>
          <w:sz w:val="22"/>
          <w:u w:val="single"/>
        </w:rPr>
      </w:pPr>
      <w:r>
        <w:rPr>
          <w:rFonts w:ascii="Arial" w:hAnsi="Arial"/>
          <w:sz w:val="22"/>
        </w:rPr>
        <w:t>12.</w:t>
      </w:r>
      <w:r>
        <w:rPr>
          <w:rFonts w:ascii="Arial" w:hAnsi="Arial"/>
          <w:sz w:val="22"/>
        </w:rPr>
        <w:tab/>
      </w:r>
      <w:r>
        <w:rPr>
          <w:rFonts w:ascii="Arial" w:hAnsi="Arial"/>
          <w:sz w:val="22"/>
          <w:u w:val="single"/>
        </w:rPr>
        <w:t>Estimated Industry Burden and Burden Hour Cost</w:t>
      </w:r>
    </w:p>
    <w:p w:rsidR="00004477" w:rsidRDefault="00004477" w:rsidP="00004477">
      <w:pPr>
        <w:widowControl w:val="0"/>
        <w:ind w:left="720"/>
        <w:rPr>
          <w:rFonts w:ascii="Arial" w:hAnsi="Arial"/>
          <w:sz w:val="22"/>
        </w:rPr>
      </w:pPr>
    </w:p>
    <w:p w:rsidR="00004477" w:rsidRDefault="00004477" w:rsidP="00004477">
      <w:pPr>
        <w:widowControl w:val="0"/>
        <w:ind w:left="1440"/>
        <w:rPr>
          <w:rFonts w:ascii="Arial" w:hAnsi="Arial"/>
          <w:sz w:val="22"/>
        </w:rPr>
      </w:pPr>
      <w:r>
        <w:rPr>
          <w:rFonts w:ascii="Arial" w:hAnsi="Arial"/>
          <w:sz w:val="22"/>
        </w:rPr>
        <w:t xml:space="preserve">There are 104 </w:t>
      </w:r>
      <w:r w:rsidR="002E7157">
        <w:rPr>
          <w:rFonts w:ascii="Arial" w:hAnsi="Arial"/>
          <w:sz w:val="22"/>
        </w:rPr>
        <w:t>affected licensees</w:t>
      </w:r>
      <w:r>
        <w:rPr>
          <w:rFonts w:ascii="Arial" w:hAnsi="Arial"/>
          <w:sz w:val="22"/>
        </w:rPr>
        <w:t>; however, except for quarterly testing, only a small percentage of licensees are expected to submit a response each year.  The table below reflects this and is based on NRC staff's best estimate.</w:t>
      </w:r>
    </w:p>
    <w:p w:rsidR="00004477" w:rsidRDefault="00004477" w:rsidP="00004477">
      <w:pPr>
        <w:widowControl w:val="0"/>
        <w:rPr>
          <w:rFonts w:ascii="Arial" w:hAnsi="Arial"/>
          <w:sz w:val="22"/>
        </w:rPr>
      </w:pPr>
    </w:p>
    <w:p w:rsidR="009A3D03" w:rsidRDefault="009A3D03">
      <w:pPr>
        <w:spacing w:line="276" w:lineRule="auto"/>
        <w:rPr>
          <w:rFonts w:ascii="Arial" w:hAnsi="Arial"/>
          <w:sz w:val="22"/>
          <w:u w:val="single"/>
        </w:rPr>
      </w:pPr>
      <w:r>
        <w:rPr>
          <w:rFonts w:ascii="Arial" w:hAnsi="Arial"/>
          <w:sz w:val="22"/>
          <w:u w:val="single"/>
        </w:rPr>
        <w:br w:type="page"/>
      </w:r>
    </w:p>
    <w:p w:rsidR="00004477" w:rsidRDefault="00004477" w:rsidP="00004477">
      <w:pPr>
        <w:tabs>
          <w:tab w:val="left" w:pos="-1440"/>
          <w:tab w:val="left" w:pos="-360"/>
          <w:tab w:val="left" w:pos="1"/>
          <w:tab w:val="left" w:pos="720"/>
          <w:tab w:val="left" w:pos="1200"/>
          <w:tab w:val="left" w:pos="2400"/>
          <w:tab w:val="left" w:pos="2880"/>
          <w:tab w:val="left" w:pos="3600"/>
          <w:tab w:val="left" w:pos="3960"/>
          <w:tab w:val="left" w:pos="4320"/>
          <w:tab w:val="left" w:pos="5040"/>
          <w:tab w:val="left" w:pos="5760"/>
          <w:tab w:val="left" w:pos="6120"/>
          <w:tab w:val="left" w:pos="6480"/>
          <w:tab w:val="left" w:pos="7200"/>
          <w:tab w:val="left" w:pos="7920"/>
          <w:tab w:val="left" w:pos="8280"/>
          <w:tab w:val="left" w:pos="8636"/>
          <w:tab w:val="left" w:pos="9360"/>
        </w:tabs>
        <w:jc w:val="center"/>
        <w:rPr>
          <w:rFonts w:ascii="Arial" w:hAnsi="Arial"/>
          <w:sz w:val="22"/>
        </w:rPr>
      </w:pPr>
      <w:r>
        <w:rPr>
          <w:rFonts w:ascii="Arial" w:hAnsi="Arial"/>
          <w:sz w:val="22"/>
          <w:u w:val="single"/>
        </w:rPr>
        <w:lastRenderedPageBreak/>
        <w:t>INDUSTRY BURDEN AND BURDEN HOUR COST</w:t>
      </w:r>
    </w:p>
    <w:p w:rsidR="00004477" w:rsidRDefault="00004477" w:rsidP="00004477">
      <w:pPr>
        <w:tabs>
          <w:tab w:val="left" w:pos="-1440"/>
          <w:tab w:val="left" w:pos="-360"/>
          <w:tab w:val="left" w:pos="1"/>
          <w:tab w:val="left" w:pos="720"/>
          <w:tab w:val="left" w:pos="1200"/>
          <w:tab w:val="left" w:pos="2400"/>
          <w:tab w:val="left" w:pos="2880"/>
          <w:tab w:val="left" w:pos="3600"/>
          <w:tab w:val="left" w:pos="3960"/>
          <w:tab w:val="left" w:pos="4320"/>
          <w:tab w:val="left" w:pos="5040"/>
          <w:tab w:val="left" w:pos="5760"/>
          <w:tab w:val="left" w:pos="6120"/>
          <w:tab w:val="left" w:pos="6480"/>
          <w:tab w:val="left" w:pos="7200"/>
          <w:tab w:val="left" w:pos="7920"/>
          <w:tab w:val="left" w:pos="8280"/>
          <w:tab w:val="left" w:pos="8636"/>
          <w:tab w:val="left" w:pos="9360"/>
        </w:tabs>
        <w:rPr>
          <w:rFonts w:ascii="Arial" w:hAnsi="Arial"/>
          <w:sz w:val="22"/>
        </w:rPr>
      </w:pPr>
    </w:p>
    <w:tbl>
      <w:tblPr>
        <w:tblW w:w="0" w:type="auto"/>
        <w:jc w:val="center"/>
        <w:tblBorders>
          <w:insideH w:val="nil"/>
          <w:insideV w:val="nil"/>
        </w:tblBorders>
        <w:tblLayout w:type="fixed"/>
        <w:tblCellMar>
          <w:left w:w="82" w:type="dxa"/>
          <w:right w:w="82" w:type="dxa"/>
        </w:tblCellMar>
        <w:tblLook w:val="04A0" w:firstRow="1" w:lastRow="0" w:firstColumn="1" w:lastColumn="0" w:noHBand="0" w:noVBand="1"/>
      </w:tblPr>
      <w:tblGrid>
        <w:gridCol w:w="1968"/>
        <w:gridCol w:w="1968"/>
        <w:gridCol w:w="1968"/>
        <w:gridCol w:w="1968"/>
        <w:gridCol w:w="1968"/>
      </w:tblGrid>
      <w:tr w:rsidR="00004477" w:rsidTr="00047215">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Annualized Requirement</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Responses Annually </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Burden per Response </w:t>
            </w:r>
          </w:p>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(Staff Hour)</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Total Amount of Burden </w:t>
            </w:r>
          </w:p>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(Staff Hour)</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101" w:type="dxa"/>
            </w:tcMar>
            <w:hideMark/>
          </w:tcPr>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Annual cost at $274/Hour</w:t>
            </w:r>
          </w:p>
        </w:tc>
      </w:tr>
      <w:tr w:rsidR="00004477" w:rsidTr="00047215">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50.72(A)(ii)(4)</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7</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28</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101"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$7,672</w:t>
            </w:r>
          </w:p>
        </w:tc>
      </w:tr>
      <w:tr w:rsidR="00004477" w:rsidTr="00047215">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VI.1 Periodic Testing</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416</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832</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101"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$227,968</w:t>
            </w:r>
          </w:p>
        </w:tc>
      </w:tr>
      <w:tr w:rsidR="00004477" w:rsidTr="00047215">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Appendix E, VI:  2.a, 2.b, &amp; 2.c</w:t>
            </w:r>
          </w:p>
        </w:tc>
        <w:tc>
          <w:tcPr>
            <w:tcW w:w="7872" w:type="dxa"/>
            <w:gridSpan w:val="4"/>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b/>
              <w:t>(Detail requirements of 50.72(a)(ii)(4))</w:t>
            </w:r>
          </w:p>
        </w:tc>
      </w:tr>
      <w:tr w:rsidR="00004477" w:rsidTr="00047215">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VI.3.a</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14</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12</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168</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101"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$46,032</w:t>
            </w:r>
          </w:p>
        </w:tc>
      </w:tr>
      <w:tr w:rsidR="00004477" w:rsidTr="00047215">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VI.3.b</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12</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24</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101"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$6,576</w:t>
            </w:r>
          </w:p>
        </w:tc>
      </w:tr>
      <w:tr w:rsidR="00004477" w:rsidTr="00047215">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Appendix E, VI.4.a</w:t>
            </w:r>
          </w:p>
        </w:tc>
        <w:tc>
          <w:tcPr>
            <w:tcW w:w="7872" w:type="dxa"/>
            <w:gridSpan w:val="4"/>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0"/>
              </w:rPr>
            </w:pPr>
            <w:r>
              <w:rPr>
                <w:rFonts w:ascii="Arial" w:hAnsi="Arial"/>
                <w:sz w:val="22"/>
              </w:rPr>
              <w:t>Complete</w:t>
            </w:r>
          </w:p>
        </w:tc>
      </w:tr>
      <w:tr w:rsidR="00004477" w:rsidTr="00047215">
        <w:trPr>
          <w:cantSplit/>
          <w:jc w:val="center"/>
        </w:trPr>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Totals</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439</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2.4</w:t>
            </w:r>
            <w:r w:rsidRPr="001C62C9">
              <w:rPr>
                <w:rFonts w:ascii="Arial" w:hAnsi="Arial"/>
                <w:sz w:val="22"/>
              </w:rPr>
              <w:t>*</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1052</w:t>
            </w:r>
          </w:p>
        </w:tc>
        <w:tc>
          <w:tcPr>
            <w:tcW w:w="1968"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101"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$288,248</w:t>
            </w:r>
          </w:p>
        </w:tc>
      </w:tr>
    </w:tbl>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 Average burden - Staff Hours</w:t>
      </w: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CD5E2F" w:rsidRDefault="00004477" w:rsidP="00CD5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Based upon the staff estimates for the total burden reflected above, 10 percent (105 hours) is attributable to recordkeeping associated with the requirement, and 90 percent (947 hours) is reporting.</w:t>
      </w:r>
      <w:r w:rsidR="00CD5E2F">
        <w:rPr>
          <w:rFonts w:ascii="Arial" w:hAnsi="Arial"/>
          <w:sz w:val="22"/>
        </w:rPr>
        <w:t xml:space="preserve">  </w:t>
      </w:r>
    </w:p>
    <w:p w:rsidR="00CD5E2F" w:rsidRDefault="00CD5E2F" w:rsidP="00CD5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004477" w:rsidRDefault="00CD5E2F" w:rsidP="00CD5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u w:val="single"/>
        </w:rPr>
      </w:pPr>
      <w:r>
        <w:rPr>
          <w:rFonts w:ascii="Arial" w:hAnsi="Arial"/>
          <w:sz w:val="22"/>
        </w:rPr>
        <w:tab/>
      </w:r>
      <w:r w:rsidR="00004477">
        <w:rPr>
          <w:rFonts w:ascii="Arial" w:hAnsi="Arial"/>
          <w:sz w:val="22"/>
        </w:rPr>
        <w:t>13.</w:t>
      </w:r>
      <w:r w:rsidR="00004477">
        <w:rPr>
          <w:rFonts w:ascii="Arial" w:hAnsi="Arial"/>
          <w:sz w:val="22"/>
        </w:rPr>
        <w:tab/>
      </w:r>
      <w:r w:rsidR="00004477">
        <w:rPr>
          <w:rFonts w:ascii="Arial" w:hAnsi="Arial"/>
          <w:sz w:val="22"/>
          <w:u w:val="single"/>
        </w:rPr>
        <w:t>Estimate of Other Additional Costs</w:t>
      </w:r>
    </w:p>
    <w:p w:rsidR="00CD5E2F" w:rsidRDefault="00CD5E2F"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u w:val="single"/>
        </w:rPr>
      </w:pPr>
    </w:p>
    <w:p w:rsidR="00004477" w:rsidRDefault="00CD5E2F" w:rsidP="00CD5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sidRPr="00CD5E2F">
        <w:rPr>
          <w:rFonts w:ascii="Arial" w:hAnsi="Arial"/>
          <w:sz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sz w:val="22"/>
        </w:rPr>
        <w:t>1</w:t>
      </w:r>
      <w:r w:rsidRPr="00CD5E2F">
        <w:rPr>
          <w:rFonts w:ascii="Arial" w:hAnsi="Arial"/>
          <w:sz w:val="22"/>
        </w:rPr>
        <w:t>0</w:t>
      </w:r>
      <w:r>
        <w:rPr>
          <w:rFonts w:ascii="Arial" w:hAnsi="Arial"/>
          <w:sz w:val="22"/>
        </w:rPr>
        <w:t>5</w:t>
      </w:r>
      <w:r w:rsidRPr="00CD5E2F">
        <w:rPr>
          <w:rFonts w:ascii="Arial" w:hAnsi="Arial"/>
          <w:sz w:val="22"/>
        </w:rPr>
        <w:t xml:space="preserve"> hours, the storage c</w:t>
      </w:r>
      <w:r>
        <w:rPr>
          <w:rFonts w:ascii="Arial" w:hAnsi="Arial"/>
          <w:sz w:val="22"/>
        </w:rPr>
        <w:t>ost for this clearance is $11.50 (105</w:t>
      </w:r>
      <w:r w:rsidRPr="00CD5E2F">
        <w:rPr>
          <w:rFonts w:ascii="Arial" w:hAnsi="Arial"/>
          <w:sz w:val="22"/>
        </w:rPr>
        <w:t xml:space="preserve"> hours x 0.0004 x $274/hour).</w:t>
      </w: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r>
        <w:rPr>
          <w:rFonts w:ascii="Arial" w:hAnsi="Arial"/>
          <w:sz w:val="22"/>
        </w:rPr>
        <w:t>14.</w:t>
      </w:r>
      <w:r>
        <w:rPr>
          <w:rFonts w:ascii="Arial" w:hAnsi="Arial"/>
          <w:sz w:val="22"/>
        </w:rPr>
        <w:tab/>
      </w:r>
      <w:r>
        <w:rPr>
          <w:rFonts w:ascii="Arial" w:hAnsi="Arial"/>
          <w:sz w:val="22"/>
          <w:u w:val="single"/>
        </w:rPr>
        <w:t>Estimated Annualized Cost to the Federal Government</w:t>
      </w: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sz w:val="22"/>
        </w:rPr>
      </w:pPr>
      <w:r>
        <w:rPr>
          <w:rFonts w:ascii="Arial" w:hAnsi="Arial"/>
          <w:sz w:val="22"/>
          <w:u w:val="single"/>
        </w:rPr>
        <w:t>ANNUALIZED BURDEN AND COST TO THE FEDERAL GOVERNMENT</w:t>
      </w: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tbl>
      <w:tblPr>
        <w:tblW w:w="0" w:type="auto"/>
        <w:jc w:val="center"/>
        <w:tblBorders>
          <w:insideH w:val="nil"/>
          <w:insideV w:val="nil"/>
        </w:tblBorders>
        <w:tblLayout w:type="fixed"/>
        <w:tblCellMar>
          <w:left w:w="82" w:type="dxa"/>
          <w:right w:w="82" w:type="dxa"/>
        </w:tblCellMar>
        <w:tblLook w:val="04A0" w:firstRow="1" w:lastRow="0" w:firstColumn="1" w:lastColumn="0" w:noHBand="0" w:noVBand="1"/>
      </w:tblPr>
      <w:tblGrid>
        <w:gridCol w:w="3510"/>
        <w:gridCol w:w="1350"/>
        <w:gridCol w:w="1800"/>
        <w:gridCol w:w="1620"/>
        <w:gridCol w:w="1560"/>
      </w:tblGrid>
      <w:tr w:rsidR="00004477" w:rsidTr="00047215">
        <w:trPr>
          <w:cantSplit/>
          <w:tblHeader/>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Annualized Requirement</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Responses Annually </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Burden per Response </w:t>
            </w:r>
          </w:p>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(Staff Hour)</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 xml:space="preserve">Total Amount of Burden </w:t>
            </w:r>
          </w:p>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t>(Staff Hour)</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101" w:type="dxa"/>
            </w:tcMar>
            <w:hideMark/>
          </w:tcPr>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Annual cost at $274/Hour</w:t>
            </w:r>
          </w:p>
        </w:tc>
      </w:tr>
      <w:tr w:rsidR="00004477" w:rsidTr="00047215">
        <w:trPr>
          <w:cantSplit/>
          <w:trHeight w:val="556"/>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50.72 (a)(ii)(4) Review of Transmitted Data</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7</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100</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700</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101"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$191,800</w:t>
            </w:r>
          </w:p>
        </w:tc>
      </w:tr>
      <w:tr w:rsidR="00004477" w:rsidTr="00047215">
        <w:trPr>
          <w:cantSplit/>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VI.1 Periodic Testing</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80</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5</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400</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101"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$109,600</w:t>
            </w:r>
          </w:p>
        </w:tc>
      </w:tr>
      <w:tr w:rsidR="00004477" w:rsidTr="00047215">
        <w:trPr>
          <w:cantSplit/>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VI.3.a Review Changes Affecting Data Points</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14</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6</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tcPr>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84</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101" w:type="dxa"/>
            </w:tcMar>
          </w:tcPr>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$23,016</w:t>
            </w:r>
          </w:p>
        </w:tc>
      </w:tr>
      <w:tr w:rsidR="00004477" w:rsidTr="00047215">
        <w:trPr>
          <w:cantSplit/>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Appendix E, VI.3.b Review Changes Affecting Transmission &amp; Protocol</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2</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16</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tcPr>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32</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101" w:type="dxa"/>
            </w:tcMar>
          </w:tcPr>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p>
          <w:p w:rsidR="00004477" w:rsidRDefault="00004477" w:rsidP="00047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$8,768</w:t>
            </w:r>
          </w:p>
        </w:tc>
      </w:tr>
      <w:tr w:rsidR="00004477" w:rsidTr="00047215">
        <w:trPr>
          <w:cantSplit/>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sz w:val="22"/>
              </w:rPr>
              <w:lastRenderedPageBreak/>
              <w:t xml:space="preserve">Appendix E, VI.4.a Review of ERDS Implementation Plan </w:t>
            </w:r>
          </w:p>
        </w:tc>
        <w:tc>
          <w:tcPr>
            <w:tcW w:w="6330" w:type="dxa"/>
            <w:gridSpan w:val="4"/>
            <w:tcBorders>
              <w:top w:val="single" w:sz="8" w:space="0" w:color="000000"/>
              <w:left w:val="single" w:sz="8" w:space="0" w:color="000000"/>
              <w:bottom w:val="single" w:sz="8" w:space="0" w:color="000000"/>
              <w:right w:val="single" w:sz="8" w:space="0" w:color="000000"/>
            </w:tcBorders>
            <w:tcMar>
              <w:top w:w="19" w:type="dxa"/>
              <w:left w:w="101" w:type="dxa"/>
              <w:bottom w:w="0"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0"/>
              </w:rPr>
            </w:pPr>
            <w:r>
              <w:rPr>
                <w:rFonts w:ascii="Arial" w:hAnsi="Arial"/>
                <w:sz w:val="22"/>
              </w:rPr>
              <w:t>Complete</w:t>
            </w:r>
          </w:p>
        </w:tc>
      </w:tr>
      <w:tr w:rsidR="00004477" w:rsidTr="00047215">
        <w:trPr>
          <w:cantSplit/>
          <w:trHeight w:val="402"/>
          <w:jc w:val="center"/>
        </w:trPr>
        <w:tc>
          <w:tcPr>
            <w:tcW w:w="3510"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r>
              <w:rPr>
                <w:rFonts w:ascii="Arial" w:hAnsi="Arial"/>
                <w:sz w:val="22"/>
              </w:rPr>
              <w:t>Totals</w:t>
            </w:r>
          </w:p>
        </w:tc>
        <w:tc>
          <w:tcPr>
            <w:tcW w:w="1350"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103</w:t>
            </w:r>
          </w:p>
        </w:tc>
        <w:tc>
          <w:tcPr>
            <w:tcW w:w="1800"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11.8*</w:t>
            </w:r>
          </w:p>
        </w:tc>
        <w:tc>
          <w:tcPr>
            <w:tcW w:w="1620"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82"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rPr>
            </w:pPr>
            <w:r>
              <w:rPr>
                <w:rFonts w:ascii="Arial" w:hAnsi="Arial"/>
                <w:sz w:val="22"/>
              </w:rPr>
              <w:t>1,216</w:t>
            </w:r>
          </w:p>
        </w:tc>
        <w:tc>
          <w:tcPr>
            <w:tcW w:w="1560" w:type="dxa"/>
            <w:tcBorders>
              <w:top w:val="single" w:sz="8" w:space="0" w:color="000000"/>
              <w:left w:val="single" w:sz="8" w:space="0" w:color="000000"/>
              <w:bottom w:val="single" w:sz="8" w:space="0" w:color="000000"/>
              <w:right w:val="single" w:sz="8" w:space="0" w:color="000000"/>
            </w:tcBorders>
            <w:tcMar>
              <w:top w:w="19" w:type="dxa"/>
              <w:left w:w="101" w:type="dxa"/>
              <w:bottom w:w="19" w:type="dxa"/>
              <w:right w:w="101" w:type="dxa"/>
            </w:tcMar>
            <w:hideMark/>
          </w:tcPr>
          <w:p w:rsidR="00004477" w:rsidRDefault="00004477" w:rsidP="0004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20"/>
              </w:rPr>
            </w:pPr>
            <w:r>
              <w:rPr>
                <w:rFonts w:ascii="Arial" w:hAnsi="Arial"/>
                <w:sz w:val="22"/>
              </w:rPr>
              <w:t>$333,184</w:t>
            </w:r>
          </w:p>
        </w:tc>
      </w:tr>
    </w:tbl>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 Average burden - Staff Hours</w:t>
      </w: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r>
        <w:rPr>
          <w:rFonts w:ascii="Arial" w:hAnsi="Arial"/>
          <w:sz w:val="22"/>
        </w:rPr>
        <w:t>This cost is fully recovered through fee assessments to NRC licensees pursuant to 10 CFR 170 and/or 10 CFR 171.</w:t>
      </w: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u w:val="single"/>
        </w:rPr>
      </w:pPr>
      <w:r>
        <w:rPr>
          <w:rFonts w:ascii="Arial" w:hAnsi="Arial"/>
          <w:sz w:val="22"/>
        </w:rPr>
        <w:t>15.</w:t>
      </w:r>
      <w:r>
        <w:rPr>
          <w:rFonts w:ascii="Arial" w:hAnsi="Arial"/>
          <w:sz w:val="22"/>
        </w:rPr>
        <w:tab/>
      </w:r>
      <w:r>
        <w:rPr>
          <w:rFonts w:ascii="Arial" w:hAnsi="Arial"/>
          <w:sz w:val="22"/>
          <w:u w:val="single"/>
        </w:rPr>
        <w:t>Reasons for Changes in Burden or Cost</w:t>
      </w: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8D52D4" w:rsidRDefault="00004477" w:rsidP="00004477">
      <w:pPr>
        <w:pStyle w:val="PlainText"/>
        <w:ind w:left="1440"/>
      </w:pPr>
      <w:r>
        <w:t>Technological improvement of ERDS has resulted in a reduction of the estimated hours necessary to satisfy the regulatory requirements</w:t>
      </w:r>
      <w:r w:rsidR="00047215">
        <w:t>; moreover, a</w:t>
      </w:r>
      <w:r>
        <w:t xml:space="preserve">dditional improvements to the process governing periodic testing have also resulted in burden reductions </w:t>
      </w:r>
      <w:r w:rsidR="00047215">
        <w:t xml:space="preserve">of 2 hours per response </w:t>
      </w:r>
      <w:r>
        <w:t>for licensees since the previous reporting period</w:t>
      </w:r>
      <w:r w:rsidR="00047215">
        <w:t>, resulting in an overall annual burden reduction of 816 hours</w:t>
      </w:r>
      <w:r w:rsidR="001D623F">
        <w:t xml:space="preserve">, from 1,868 to </w:t>
      </w:r>
      <w:r w:rsidR="002C564E">
        <w:t>1,052 hours</w:t>
      </w:r>
      <w:r w:rsidR="00CD5E2F">
        <w:t>,</w:t>
      </w:r>
      <w:r w:rsidR="00047215">
        <w:t xml:space="preserve"> and </w:t>
      </w:r>
      <w:r w:rsidR="00CD5E2F">
        <w:t xml:space="preserve">a reduction in cost from $480,076 to </w:t>
      </w:r>
      <w:r w:rsidR="00047215">
        <w:t>$191,828</w:t>
      </w:r>
      <w:r w:rsidR="002C564E">
        <w:t>.</w:t>
      </w:r>
      <w:r w:rsidR="00047215">
        <w:t xml:space="preserve"> </w:t>
      </w:r>
    </w:p>
    <w:p w:rsidR="002C564E" w:rsidRDefault="002C564E" w:rsidP="00004477">
      <w:pPr>
        <w:pStyle w:val="PlainText"/>
        <w:ind w:left="1440"/>
      </w:pPr>
    </w:p>
    <w:p w:rsidR="008D52D4" w:rsidRDefault="008D52D4" w:rsidP="00004477">
      <w:pPr>
        <w:pStyle w:val="PlainText"/>
        <w:ind w:left="1440"/>
      </w:pPr>
      <w:r>
        <w:t>The cost estimates have changed since the last renewal, resulting in an increase in the fee per hour from $257 to $274.</w:t>
      </w: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collection of information under this provision is not published for statistical use.</w:t>
      </w: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22"/>
        </w:rPr>
      </w:pP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r>
        <w:rPr>
          <w:rFonts w:ascii="Arial" w:hAnsi="Arial"/>
          <w:sz w:val="22"/>
        </w:rPr>
        <w:t>The requirement is contained in a regulation.  Amending the Code of Federal Regulations to display information that, in an annual publication, could become obsolete would be unduly burdensome and too difficult to keep current.</w:t>
      </w: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22"/>
        </w:rPr>
      </w:pP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r>
        <w:rPr>
          <w:rFonts w:ascii="Arial" w:hAnsi="Arial" w:cs="Arial"/>
          <w:sz w:val="22"/>
          <w:szCs w:val="22"/>
        </w:rPr>
        <w:t xml:space="preserve"> </w:t>
      </w: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 xml:space="preserve">None </w:t>
      </w: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COLLECTIONS OF INFORMATION EMPLOYING STATISTICAL METHODS</w:t>
      </w:r>
    </w:p>
    <w:p w:rsidR="00004477"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004477" w:rsidRPr="003F3462" w:rsidRDefault="00004477" w:rsidP="00004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Arial" w:hAnsi="Arial" w:cs="Arial"/>
          <w:sz w:val="22"/>
          <w:szCs w:val="22"/>
        </w:rPr>
        <w:tab/>
        <w:t>Not applicable.</w:t>
      </w:r>
    </w:p>
    <w:p w:rsidR="004A3F84" w:rsidRPr="003F3462" w:rsidRDefault="004A3F84"/>
    <w:sectPr w:rsidR="004A3F84" w:rsidRPr="003F3462" w:rsidSect="004A3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77"/>
    <w:rsid w:val="00004477"/>
    <w:rsid w:val="00013822"/>
    <w:rsid w:val="00014764"/>
    <w:rsid w:val="00021D2A"/>
    <w:rsid w:val="000406DA"/>
    <w:rsid w:val="00047215"/>
    <w:rsid w:val="00051C6A"/>
    <w:rsid w:val="00053920"/>
    <w:rsid w:val="00056CCC"/>
    <w:rsid w:val="00061F59"/>
    <w:rsid w:val="00064FAB"/>
    <w:rsid w:val="00066513"/>
    <w:rsid w:val="00066A68"/>
    <w:rsid w:val="0007061B"/>
    <w:rsid w:val="00077A7C"/>
    <w:rsid w:val="000A0EF4"/>
    <w:rsid w:val="000B6228"/>
    <w:rsid w:val="000C0078"/>
    <w:rsid w:val="000C08F5"/>
    <w:rsid w:val="000C2699"/>
    <w:rsid w:val="000C3599"/>
    <w:rsid w:val="000D160F"/>
    <w:rsid w:val="000D3225"/>
    <w:rsid w:val="000D43A9"/>
    <w:rsid w:val="000E34CB"/>
    <w:rsid w:val="000F67A5"/>
    <w:rsid w:val="000F7314"/>
    <w:rsid w:val="001040F9"/>
    <w:rsid w:val="00105129"/>
    <w:rsid w:val="0012029E"/>
    <w:rsid w:val="00123ABD"/>
    <w:rsid w:val="00127F60"/>
    <w:rsid w:val="001328AE"/>
    <w:rsid w:val="00134EC5"/>
    <w:rsid w:val="001366C2"/>
    <w:rsid w:val="0014197E"/>
    <w:rsid w:val="0015157A"/>
    <w:rsid w:val="00161D4D"/>
    <w:rsid w:val="0016603F"/>
    <w:rsid w:val="001736C2"/>
    <w:rsid w:val="0017460C"/>
    <w:rsid w:val="00175350"/>
    <w:rsid w:val="00184EA2"/>
    <w:rsid w:val="00187072"/>
    <w:rsid w:val="0019182B"/>
    <w:rsid w:val="00191D35"/>
    <w:rsid w:val="00196526"/>
    <w:rsid w:val="001A0418"/>
    <w:rsid w:val="001A1C0D"/>
    <w:rsid w:val="001A5F9E"/>
    <w:rsid w:val="001B4D23"/>
    <w:rsid w:val="001B4D5E"/>
    <w:rsid w:val="001C1633"/>
    <w:rsid w:val="001D623F"/>
    <w:rsid w:val="001E2838"/>
    <w:rsid w:val="001E60AE"/>
    <w:rsid w:val="001E6BEB"/>
    <w:rsid w:val="001E6D24"/>
    <w:rsid w:val="001F39ED"/>
    <w:rsid w:val="00203DA5"/>
    <w:rsid w:val="002043BC"/>
    <w:rsid w:val="00211987"/>
    <w:rsid w:val="002238C1"/>
    <w:rsid w:val="00233883"/>
    <w:rsid w:val="00235698"/>
    <w:rsid w:val="00240CC3"/>
    <w:rsid w:val="0024690A"/>
    <w:rsid w:val="00247436"/>
    <w:rsid w:val="0025158B"/>
    <w:rsid w:val="00254356"/>
    <w:rsid w:val="00263056"/>
    <w:rsid w:val="00273C54"/>
    <w:rsid w:val="00276592"/>
    <w:rsid w:val="00284B2F"/>
    <w:rsid w:val="002879D9"/>
    <w:rsid w:val="00294D06"/>
    <w:rsid w:val="002A3C75"/>
    <w:rsid w:val="002B5071"/>
    <w:rsid w:val="002B6A91"/>
    <w:rsid w:val="002C3477"/>
    <w:rsid w:val="002C564E"/>
    <w:rsid w:val="002C5C9B"/>
    <w:rsid w:val="002D00CD"/>
    <w:rsid w:val="002D38EE"/>
    <w:rsid w:val="002E1B7F"/>
    <w:rsid w:val="002E36EB"/>
    <w:rsid w:val="002E4CBA"/>
    <w:rsid w:val="002E6489"/>
    <w:rsid w:val="002E7157"/>
    <w:rsid w:val="00300000"/>
    <w:rsid w:val="0031741F"/>
    <w:rsid w:val="0032272E"/>
    <w:rsid w:val="003234C9"/>
    <w:rsid w:val="00325987"/>
    <w:rsid w:val="003314C6"/>
    <w:rsid w:val="00335019"/>
    <w:rsid w:val="00340C19"/>
    <w:rsid w:val="00342456"/>
    <w:rsid w:val="00344100"/>
    <w:rsid w:val="00355838"/>
    <w:rsid w:val="00360BAC"/>
    <w:rsid w:val="0036210B"/>
    <w:rsid w:val="0036482C"/>
    <w:rsid w:val="003665F1"/>
    <w:rsid w:val="00370B97"/>
    <w:rsid w:val="00374514"/>
    <w:rsid w:val="00376C0D"/>
    <w:rsid w:val="003844A5"/>
    <w:rsid w:val="00385173"/>
    <w:rsid w:val="00391493"/>
    <w:rsid w:val="003919B3"/>
    <w:rsid w:val="00393760"/>
    <w:rsid w:val="0039584C"/>
    <w:rsid w:val="00396470"/>
    <w:rsid w:val="003A3FE0"/>
    <w:rsid w:val="003A4A8B"/>
    <w:rsid w:val="003A5DDC"/>
    <w:rsid w:val="003B091E"/>
    <w:rsid w:val="003B4586"/>
    <w:rsid w:val="003C0FF2"/>
    <w:rsid w:val="003C7332"/>
    <w:rsid w:val="003D0AF6"/>
    <w:rsid w:val="003D1526"/>
    <w:rsid w:val="003D26F9"/>
    <w:rsid w:val="003D6542"/>
    <w:rsid w:val="003E4239"/>
    <w:rsid w:val="003F21FB"/>
    <w:rsid w:val="003F3462"/>
    <w:rsid w:val="00402D4F"/>
    <w:rsid w:val="004037C3"/>
    <w:rsid w:val="00405059"/>
    <w:rsid w:val="00406807"/>
    <w:rsid w:val="00411BB5"/>
    <w:rsid w:val="0041457E"/>
    <w:rsid w:val="0041645E"/>
    <w:rsid w:val="00422501"/>
    <w:rsid w:val="0042692C"/>
    <w:rsid w:val="00427EB6"/>
    <w:rsid w:val="004315CB"/>
    <w:rsid w:val="00434620"/>
    <w:rsid w:val="004357D9"/>
    <w:rsid w:val="004552FA"/>
    <w:rsid w:val="00463B9C"/>
    <w:rsid w:val="00470B98"/>
    <w:rsid w:val="004714F1"/>
    <w:rsid w:val="00471C56"/>
    <w:rsid w:val="0047230B"/>
    <w:rsid w:val="00472FB2"/>
    <w:rsid w:val="00474A9E"/>
    <w:rsid w:val="0048395A"/>
    <w:rsid w:val="00484700"/>
    <w:rsid w:val="00485328"/>
    <w:rsid w:val="00485A0D"/>
    <w:rsid w:val="00490145"/>
    <w:rsid w:val="0049251C"/>
    <w:rsid w:val="004A3F84"/>
    <w:rsid w:val="004B6C20"/>
    <w:rsid w:val="004C0E27"/>
    <w:rsid w:val="004C54EF"/>
    <w:rsid w:val="004E194B"/>
    <w:rsid w:val="004E7BE8"/>
    <w:rsid w:val="004F575B"/>
    <w:rsid w:val="005003CF"/>
    <w:rsid w:val="005106E4"/>
    <w:rsid w:val="00510C23"/>
    <w:rsid w:val="0051518A"/>
    <w:rsid w:val="0052019F"/>
    <w:rsid w:val="00524385"/>
    <w:rsid w:val="0052598E"/>
    <w:rsid w:val="00535E73"/>
    <w:rsid w:val="00541C5D"/>
    <w:rsid w:val="00542BAE"/>
    <w:rsid w:val="005531A0"/>
    <w:rsid w:val="00553591"/>
    <w:rsid w:val="00560BC9"/>
    <w:rsid w:val="0056112C"/>
    <w:rsid w:val="005646CE"/>
    <w:rsid w:val="0056729A"/>
    <w:rsid w:val="00567ECC"/>
    <w:rsid w:val="0057297F"/>
    <w:rsid w:val="005765EF"/>
    <w:rsid w:val="005879AE"/>
    <w:rsid w:val="005961A6"/>
    <w:rsid w:val="005A2F58"/>
    <w:rsid w:val="005B1474"/>
    <w:rsid w:val="005B1947"/>
    <w:rsid w:val="005B3CFB"/>
    <w:rsid w:val="005B651D"/>
    <w:rsid w:val="005C0A95"/>
    <w:rsid w:val="005C2E1B"/>
    <w:rsid w:val="005C6C32"/>
    <w:rsid w:val="005D614B"/>
    <w:rsid w:val="005D7211"/>
    <w:rsid w:val="005E0603"/>
    <w:rsid w:val="005E7DB2"/>
    <w:rsid w:val="005F05EA"/>
    <w:rsid w:val="005F5ABE"/>
    <w:rsid w:val="0060255B"/>
    <w:rsid w:val="00602E9A"/>
    <w:rsid w:val="00605967"/>
    <w:rsid w:val="00607B7E"/>
    <w:rsid w:val="0061492A"/>
    <w:rsid w:val="006151D4"/>
    <w:rsid w:val="006230E5"/>
    <w:rsid w:val="0062443F"/>
    <w:rsid w:val="00644081"/>
    <w:rsid w:val="00647CBB"/>
    <w:rsid w:val="00653E95"/>
    <w:rsid w:val="00665E9A"/>
    <w:rsid w:val="006669ED"/>
    <w:rsid w:val="00676511"/>
    <w:rsid w:val="00676F2C"/>
    <w:rsid w:val="00683634"/>
    <w:rsid w:val="00683C58"/>
    <w:rsid w:val="006867E8"/>
    <w:rsid w:val="00690301"/>
    <w:rsid w:val="00694A22"/>
    <w:rsid w:val="00697AA0"/>
    <w:rsid w:val="006A7F68"/>
    <w:rsid w:val="006B2515"/>
    <w:rsid w:val="006B3894"/>
    <w:rsid w:val="006C5BCB"/>
    <w:rsid w:val="006E3055"/>
    <w:rsid w:val="006E5823"/>
    <w:rsid w:val="00701BC7"/>
    <w:rsid w:val="00714693"/>
    <w:rsid w:val="00723D55"/>
    <w:rsid w:val="00724325"/>
    <w:rsid w:val="00733CCB"/>
    <w:rsid w:val="007405F7"/>
    <w:rsid w:val="00742F8D"/>
    <w:rsid w:val="00755CCB"/>
    <w:rsid w:val="00755D68"/>
    <w:rsid w:val="00756BF5"/>
    <w:rsid w:val="0076037D"/>
    <w:rsid w:val="0076693D"/>
    <w:rsid w:val="00767E99"/>
    <w:rsid w:val="00774FDB"/>
    <w:rsid w:val="00775418"/>
    <w:rsid w:val="00775E14"/>
    <w:rsid w:val="007762E1"/>
    <w:rsid w:val="00776692"/>
    <w:rsid w:val="00780072"/>
    <w:rsid w:val="00780462"/>
    <w:rsid w:val="00784170"/>
    <w:rsid w:val="0079627A"/>
    <w:rsid w:val="00797C7A"/>
    <w:rsid w:val="007A06C6"/>
    <w:rsid w:val="007A5A51"/>
    <w:rsid w:val="007C0960"/>
    <w:rsid w:val="007C3CAA"/>
    <w:rsid w:val="007D0A07"/>
    <w:rsid w:val="007D16A4"/>
    <w:rsid w:val="007D2781"/>
    <w:rsid w:val="007D3D19"/>
    <w:rsid w:val="007F1343"/>
    <w:rsid w:val="008046D0"/>
    <w:rsid w:val="00812B7B"/>
    <w:rsid w:val="008162BF"/>
    <w:rsid w:val="0081674C"/>
    <w:rsid w:val="00822CE7"/>
    <w:rsid w:val="0082520D"/>
    <w:rsid w:val="00825567"/>
    <w:rsid w:val="00826588"/>
    <w:rsid w:val="00827806"/>
    <w:rsid w:val="00845129"/>
    <w:rsid w:val="008466C5"/>
    <w:rsid w:val="00851889"/>
    <w:rsid w:val="0085602E"/>
    <w:rsid w:val="00860821"/>
    <w:rsid w:val="00861F14"/>
    <w:rsid w:val="008623A9"/>
    <w:rsid w:val="00862D2F"/>
    <w:rsid w:val="00864B18"/>
    <w:rsid w:val="00870D0C"/>
    <w:rsid w:val="008720C7"/>
    <w:rsid w:val="00881744"/>
    <w:rsid w:val="00897E5D"/>
    <w:rsid w:val="008A3D14"/>
    <w:rsid w:val="008B7841"/>
    <w:rsid w:val="008C0273"/>
    <w:rsid w:val="008C5811"/>
    <w:rsid w:val="008C7841"/>
    <w:rsid w:val="008D3C98"/>
    <w:rsid w:val="008D52D4"/>
    <w:rsid w:val="008D7DAC"/>
    <w:rsid w:val="008E79AE"/>
    <w:rsid w:val="008F1965"/>
    <w:rsid w:val="008F3FA7"/>
    <w:rsid w:val="008F5055"/>
    <w:rsid w:val="009040D7"/>
    <w:rsid w:val="00906102"/>
    <w:rsid w:val="0090638D"/>
    <w:rsid w:val="0090780A"/>
    <w:rsid w:val="00913604"/>
    <w:rsid w:val="00916331"/>
    <w:rsid w:val="00916351"/>
    <w:rsid w:val="00920147"/>
    <w:rsid w:val="009233EE"/>
    <w:rsid w:val="00926200"/>
    <w:rsid w:val="0093050B"/>
    <w:rsid w:val="00936A9E"/>
    <w:rsid w:val="0094260D"/>
    <w:rsid w:val="00943FE3"/>
    <w:rsid w:val="00951ED1"/>
    <w:rsid w:val="00953D38"/>
    <w:rsid w:val="00966D22"/>
    <w:rsid w:val="00973811"/>
    <w:rsid w:val="00982573"/>
    <w:rsid w:val="00990D61"/>
    <w:rsid w:val="009912DF"/>
    <w:rsid w:val="0099256D"/>
    <w:rsid w:val="00992912"/>
    <w:rsid w:val="009A03A6"/>
    <w:rsid w:val="009A3D03"/>
    <w:rsid w:val="009A4DDA"/>
    <w:rsid w:val="009A64E4"/>
    <w:rsid w:val="009B0E9A"/>
    <w:rsid w:val="009B2C7A"/>
    <w:rsid w:val="009C1F60"/>
    <w:rsid w:val="009C1FDD"/>
    <w:rsid w:val="009C495C"/>
    <w:rsid w:val="009D08E8"/>
    <w:rsid w:val="009D17D4"/>
    <w:rsid w:val="009D370B"/>
    <w:rsid w:val="009E2869"/>
    <w:rsid w:val="009E6916"/>
    <w:rsid w:val="009E6AAC"/>
    <w:rsid w:val="009F0E51"/>
    <w:rsid w:val="009F345B"/>
    <w:rsid w:val="009F4248"/>
    <w:rsid w:val="009F4465"/>
    <w:rsid w:val="00A02E19"/>
    <w:rsid w:val="00A0531F"/>
    <w:rsid w:val="00A101CA"/>
    <w:rsid w:val="00A12557"/>
    <w:rsid w:val="00A1748A"/>
    <w:rsid w:val="00A21B03"/>
    <w:rsid w:val="00A313EB"/>
    <w:rsid w:val="00A32D2C"/>
    <w:rsid w:val="00A342CA"/>
    <w:rsid w:val="00A40F12"/>
    <w:rsid w:val="00A45B15"/>
    <w:rsid w:val="00A54927"/>
    <w:rsid w:val="00A550D3"/>
    <w:rsid w:val="00A56120"/>
    <w:rsid w:val="00A563A5"/>
    <w:rsid w:val="00A60904"/>
    <w:rsid w:val="00A677BF"/>
    <w:rsid w:val="00A70D92"/>
    <w:rsid w:val="00A71B96"/>
    <w:rsid w:val="00A83146"/>
    <w:rsid w:val="00A835AF"/>
    <w:rsid w:val="00A85945"/>
    <w:rsid w:val="00A940AE"/>
    <w:rsid w:val="00AA704A"/>
    <w:rsid w:val="00AA76F3"/>
    <w:rsid w:val="00AB0846"/>
    <w:rsid w:val="00AB10E9"/>
    <w:rsid w:val="00AB226A"/>
    <w:rsid w:val="00AB48DE"/>
    <w:rsid w:val="00AC0FF7"/>
    <w:rsid w:val="00AC2014"/>
    <w:rsid w:val="00AC624D"/>
    <w:rsid w:val="00AC64C5"/>
    <w:rsid w:val="00AD7898"/>
    <w:rsid w:val="00AE0F44"/>
    <w:rsid w:val="00AE180F"/>
    <w:rsid w:val="00AF1CE4"/>
    <w:rsid w:val="00AF42C4"/>
    <w:rsid w:val="00B03C41"/>
    <w:rsid w:val="00B047E0"/>
    <w:rsid w:val="00B0691E"/>
    <w:rsid w:val="00B221A6"/>
    <w:rsid w:val="00B2512C"/>
    <w:rsid w:val="00B273E0"/>
    <w:rsid w:val="00B423ED"/>
    <w:rsid w:val="00B45C87"/>
    <w:rsid w:val="00B46111"/>
    <w:rsid w:val="00B5224B"/>
    <w:rsid w:val="00B531CE"/>
    <w:rsid w:val="00B53B43"/>
    <w:rsid w:val="00B5433A"/>
    <w:rsid w:val="00B60BE8"/>
    <w:rsid w:val="00B60FCB"/>
    <w:rsid w:val="00B666FF"/>
    <w:rsid w:val="00B66DE3"/>
    <w:rsid w:val="00B73A9D"/>
    <w:rsid w:val="00B91769"/>
    <w:rsid w:val="00B9760F"/>
    <w:rsid w:val="00BA417D"/>
    <w:rsid w:val="00BB77B4"/>
    <w:rsid w:val="00BC6BD5"/>
    <w:rsid w:val="00BD39E0"/>
    <w:rsid w:val="00BD7C38"/>
    <w:rsid w:val="00BE3883"/>
    <w:rsid w:val="00BE7298"/>
    <w:rsid w:val="00BF0E19"/>
    <w:rsid w:val="00BF7671"/>
    <w:rsid w:val="00BF7C48"/>
    <w:rsid w:val="00C001C0"/>
    <w:rsid w:val="00C044D9"/>
    <w:rsid w:val="00C1252C"/>
    <w:rsid w:val="00C15F28"/>
    <w:rsid w:val="00C26543"/>
    <w:rsid w:val="00C364F8"/>
    <w:rsid w:val="00C410EB"/>
    <w:rsid w:val="00C42C3E"/>
    <w:rsid w:val="00C4437E"/>
    <w:rsid w:val="00C63A62"/>
    <w:rsid w:val="00C82581"/>
    <w:rsid w:val="00C84A04"/>
    <w:rsid w:val="00C92C7D"/>
    <w:rsid w:val="00C950F5"/>
    <w:rsid w:val="00C96D46"/>
    <w:rsid w:val="00CA6ADC"/>
    <w:rsid w:val="00CB0FA3"/>
    <w:rsid w:val="00CB3154"/>
    <w:rsid w:val="00CB5EF3"/>
    <w:rsid w:val="00CC25BB"/>
    <w:rsid w:val="00CC720D"/>
    <w:rsid w:val="00CD0FA9"/>
    <w:rsid w:val="00CD4495"/>
    <w:rsid w:val="00CD5E2F"/>
    <w:rsid w:val="00CE0530"/>
    <w:rsid w:val="00CE17E3"/>
    <w:rsid w:val="00CE7D4A"/>
    <w:rsid w:val="00CF2E15"/>
    <w:rsid w:val="00CF48DE"/>
    <w:rsid w:val="00CF5BA8"/>
    <w:rsid w:val="00D02EC0"/>
    <w:rsid w:val="00D07FEE"/>
    <w:rsid w:val="00D10988"/>
    <w:rsid w:val="00D212BD"/>
    <w:rsid w:val="00D21F00"/>
    <w:rsid w:val="00D3311F"/>
    <w:rsid w:val="00D405B4"/>
    <w:rsid w:val="00D43519"/>
    <w:rsid w:val="00D441B1"/>
    <w:rsid w:val="00D55A54"/>
    <w:rsid w:val="00D610F0"/>
    <w:rsid w:val="00D63202"/>
    <w:rsid w:val="00D64A11"/>
    <w:rsid w:val="00D7225D"/>
    <w:rsid w:val="00D75210"/>
    <w:rsid w:val="00D87DC3"/>
    <w:rsid w:val="00D90779"/>
    <w:rsid w:val="00D91264"/>
    <w:rsid w:val="00D94CF6"/>
    <w:rsid w:val="00DA3DBF"/>
    <w:rsid w:val="00DB3459"/>
    <w:rsid w:val="00DB36E9"/>
    <w:rsid w:val="00DC245E"/>
    <w:rsid w:val="00DC6DEB"/>
    <w:rsid w:val="00DD0DFE"/>
    <w:rsid w:val="00DD3A8D"/>
    <w:rsid w:val="00DE5621"/>
    <w:rsid w:val="00DE59DB"/>
    <w:rsid w:val="00E010D5"/>
    <w:rsid w:val="00E01DC3"/>
    <w:rsid w:val="00E021D1"/>
    <w:rsid w:val="00E0349A"/>
    <w:rsid w:val="00E04745"/>
    <w:rsid w:val="00E06EDD"/>
    <w:rsid w:val="00E167C2"/>
    <w:rsid w:val="00E176C0"/>
    <w:rsid w:val="00E22001"/>
    <w:rsid w:val="00E275F0"/>
    <w:rsid w:val="00E41367"/>
    <w:rsid w:val="00E47294"/>
    <w:rsid w:val="00E50874"/>
    <w:rsid w:val="00E51227"/>
    <w:rsid w:val="00E53408"/>
    <w:rsid w:val="00E547FE"/>
    <w:rsid w:val="00E57348"/>
    <w:rsid w:val="00E6177C"/>
    <w:rsid w:val="00E6266B"/>
    <w:rsid w:val="00E62A02"/>
    <w:rsid w:val="00E64581"/>
    <w:rsid w:val="00E70D84"/>
    <w:rsid w:val="00E92914"/>
    <w:rsid w:val="00E94642"/>
    <w:rsid w:val="00E954DC"/>
    <w:rsid w:val="00EA1DD8"/>
    <w:rsid w:val="00EB0249"/>
    <w:rsid w:val="00EB54E5"/>
    <w:rsid w:val="00EC1833"/>
    <w:rsid w:val="00EC1DD6"/>
    <w:rsid w:val="00EC6FE8"/>
    <w:rsid w:val="00ED57AB"/>
    <w:rsid w:val="00EF0EA6"/>
    <w:rsid w:val="00F0470D"/>
    <w:rsid w:val="00F14CF9"/>
    <w:rsid w:val="00F177C3"/>
    <w:rsid w:val="00F178C3"/>
    <w:rsid w:val="00F25432"/>
    <w:rsid w:val="00F26ACB"/>
    <w:rsid w:val="00F27A90"/>
    <w:rsid w:val="00F335C4"/>
    <w:rsid w:val="00F33FBF"/>
    <w:rsid w:val="00F40291"/>
    <w:rsid w:val="00F46248"/>
    <w:rsid w:val="00F524A4"/>
    <w:rsid w:val="00F5379F"/>
    <w:rsid w:val="00F573D6"/>
    <w:rsid w:val="00F6663A"/>
    <w:rsid w:val="00F803D3"/>
    <w:rsid w:val="00F81CBF"/>
    <w:rsid w:val="00F8424E"/>
    <w:rsid w:val="00F947C2"/>
    <w:rsid w:val="00F95611"/>
    <w:rsid w:val="00F95805"/>
    <w:rsid w:val="00FA067A"/>
    <w:rsid w:val="00FA361F"/>
    <w:rsid w:val="00FB2B71"/>
    <w:rsid w:val="00FD0FC6"/>
    <w:rsid w:val="00FE0E98"/>
    <w:rsid w:val="00FE3539"/>
    <w:rsid w:val="00FE4D03"/>
    <w:rsid w:val="00FF0B47"/>
    <w:rsid w:val="00FF3DC6"/>
    <w:rsid w:val="00FF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477"/>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4477"/>
    <w:rPr>
      <w:sz w:val="16"/>
      <w:szCs w:val="16"/>
    </w:rPr>
  </w:style>
  <w:style w:type="paragraph" w:styleId="CommentText">
    <w:name w:val="annotation text"/>
    <w:basedOn w:val="Normal"/>
    <w:link w:val="CommentTextChar"/>
    <w:uiPriority w:val="99"/>
    <w:semiHidden/>
    <w:unhideWhenUsed/>
    <w:rsid w:val="00004477"/>
    <w:rPr>
      <w:sz w:val="20"/>
    </w:rPr>
  </w:style>
  <w:style w:type="character" w:customStyle="1" w:styleId="CommentTextChar">
    <w:name w:val="Comment Text Char"/>
    <w:basedOn w:val="DefaultParagraphFont"/>
    <w:link w:val="CommentText"/>
    <w:uiPriority w:val="99"/>
    <w:semiHidden/>
    <w:rsid w:val="00004477"/>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004477"/>
    <w:rPr>
      <w:rFonts w:ascii="Arial" w:hAnsi="Arial"/>
      <w:sz w:val="22"/>
      <w:szCs w:val="21"/>
    </w:rPr>
  </w:style>
  <w:style w:type="character" w:customStyle="1" w:styleId="PlainTextChar">
    <w:name w:val="Plain Text Char"/>
    <w:basedOn w:val="DefaultParagraphFont"/>
    <w:link w:val="PlainText"/>
    <w:uiPriority w:val="99"/>
    <w:rsid w:val="00004477"/>
    <w:rPr>
      <w:rFonts w:eastAsia="Times New Roman" w:cs="Times New Roman"/>
      <w:szCs w:val="21"/>
    </w:rPr>
  </w:style>
  <w:style w:type="paragraph" w:styleId="BalloonText">
    <w:name w:val="Balloon Text"/>
    <w:basedOn w:val="Normal"/>
    <w:link w:val="BalloonTextChar"/>
    <w:uiPriority w:val="99"/>
    <w:semiHidden/>
    <w:unhideWhenUsed/>
    <w:rsid w:val="00004477"/>
    <w:rPr>
      <w:rFonts w:ascii="Tahoma" w:hAnsi="Tahoma" w:cs="Tahoma"/>
      <w:sz w:val="16"/>
      <w:szCs w:val="16"/>
    </w:rPr>
  </w:style>
  <w:style w:type="character" w:customStyle="1" w:styleId="BalloonTextChar">
    <w:name w:val="Balloon Text Char"/>
    <w:basedOn w:val="DefaultParagraphFont"/>
    <w:link w:val="BalloonText"/>
    <w:uiPriority w:val="99"/>
    <w:semiHidden/>
    <w:rsid w:val="000044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477"/>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4477"/>
    <w:rPr>
      <w:sz w:val="16"/>
      <w:szCs w:val="16"/>
    </w:rPr>
  </w:style>
  <w:style w:type="paragraph" w:styleId="CommentText">
    <w:name w:val="annotation text"/>
    <w:basedOn w:val="Normal"/>
    <w:link w:val="CommentTextChar"/>
    <w:uiPriority w:val="99"/>
    <w:semiHidden/>
    <w:unhideWhenUsed/>
    <w:rsid w:val="00004477"/>
    <w:rPr>
      <w:sz w:val="20"/>
    </w:rPr>
  </w:style>
  <w:style w:type="character" w:customStyle="1" w:styleId="CommentTextChar">
    <w:name w:val="Comment Text Char"/>
    <w:basedOn w:val="DefaultParagraphFont"/>
    <w:link w:val="CommentText"/>
    <w:uiPriority w:val="99"/>
    <w:semiHidden/>
    <w:rsid w:val="00004477"/>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004477"/>
    <w:rPr>
      <w:rFonts w:ascii="Arial" w:hAnsi="Arial"/>
      <w:sz w:val="22"/>
      <w:szCs w:val="21"/>
    </w:rPr>
  </w:style>
  <w:style w:type="character" w:customStyle="1" w:styleId="PlainTextChar">
    <w:name w:val="Plain Text Char"/>
    <w:basedOn w:val="DefaultParagraphFont"/>
    <w:link w:val="PlainText"/>
    <w:uiPriority w:val="99"/>
    <w:rsid w:val="00004477"/>
    <w:rPr>
      <w:rFonts w:eastAsia="Times New Roman" w:cs="Times New Roman"/>
      <w:szCs w:val="21"/>
    </w:rPr>
  </w:style>
  <w:style w:type="paragraph" w:styleId="BalloonText">
    <w:name w:val="Balloon Text"/>
    <w:basedOn w:val="Normal"/>
    <w:link w:val="BalloonTextChar"/>
    <w:uiPriority w:val="99"/>
    <w:semiHidden/>
    <w:unhideWhenUsed/>
    <w:rsid w:val="00004477"/>
    <w:rPr>
      <w:rFonts w:ascii="Tahoma" w:hAnsi="Tahoma" w:cs="Tahoma"/>
      <w:sz w:val="16"/>
      <w:szCs w:val="16"/>
    </w:rPr>
  </w:style>
  <w:style w:type="character" w:customStyle="1" w:styleId="BalloonTextChar">
    <w:name w:val="Balloon Text Char"/>
    <w:basedOn w:val="DefaultParagraphFont"/>
    <w:link w:val="BalloonText"/>
    <w:uiPriority w:val="99"/>
    <w:semiHidden/>
    <w:rsid w:val="000044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1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1543</Words>
  <Characters>8796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baa1</dc:creator>
  <cp:lastModifiedBy>Donnell, Tremaine</cp:lastModifiedBy>
  <cp:revision>2</cp:revision>
  <dcterms:created xsi:type="dcterms:W3CDTF">2014-10-14T21:17:00Z</dcterms:created>
  <dcterms:modified xsi:type="dcterms:W3CDTF">2014-10-14T21:17:00Z</dcterms:modified>
</cp:coreProperties>
</file>