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sidRPr="00E624BE">
        <w:rPr>
          <w:rFonts w:ascii="Arial" w:hAnsi="Arial" w:cs="Arial"/>
          <w:sz w:val="22"/>
          <w:szCs w:val="22"/>
        </w:rPr>
        <w:t>Section 26</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C97330" w:rsidP="00E624B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00193D24" w:rsidRPr="00E624BE">
        <w:rPr>
          <w:rFonts w:ascii="Arial" w:hAnsi="Arial" w:cs="Arial"/>
          <w:sz w:val="22"/>
          <w:szCs w:val="22"/>
        </w:rPr>
        <w:t xml:space="preserve"> </w:t>
      </w:r>
      <w:r w:rsidR="00F72759" w:rsidRPr="00E624BE">
        <w:rPr>
          <w:rFonts w:ascii="Arial" w:hAnsi="Arial" w:cs="Arial"/>
          <w:sz w:val="22"/>
          <w:szCs w:val="22"/>
        </w:rPr>
        <w:t xml:space="preserve">SUPPORTING STATEMENT </w:t>
      </w:r>
    </w:p>
    <w:p w:rsidR="00F72759" w:rsidRPr="00E624BE" w:rsidRDefault="00F72759" w:rsidP="00E624B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E624BE">
        <w:rPr>
          <w:rFonts w:ascii="Arial" w:hAnsi="Arial" w:cs="Arial"/>
          <w:sz w:val="22"/>
          <w:szCs w:val="22"/>
        </w:rPr>
        <w:t>FOR</w:t>
      </w:r>
    </w:p>
    <w:p w:rsidR="00F72759" w:rsidRPr="00E624BE" w:rsidRDefault="00F72759" w:rsidP="00E624B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E624BE">
        <w:rPr>
          <w:rFonts w:ascii="Arial" w:hAnsi="Arial" w:cs="Arial"/>
          <w:sz w:val="22"/>
          <w:szCs w:val="22"/>
        </w:rPr>
        <w:t xml:space="preserve">ANNUAL FINANCIAL REPORT AND OTHER FINANCIAL REQUIREMENTS 10 CFR </w:t>
      </w:r>
    </w:p>
    <w:p w:rsidR="00F72759" w:rsidRPr="00E624BE" w:rsidRDefault="00F72759" w:rsidP="00E624BE">
      <w:pPr>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sidRPr="00E624BE">
        <w:rPr>
          <w:rFonts w:ascii="Arial" w:hAnsi="Arial" w:cs="Arial"/>
          <w:sz w:val="22"/>
          <w:szCs w:val="22"/>
        </w:rPr>
        <w:t>50.71(b); 10 CFR 50 Appendix C, Section III; and, 10 CFR 50.76</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624BE">
        <w:rPr>
          <w:rFonts w:ascii="Arial" w:hAnsi="Arial" w:cs="Arial"/>
          <w:sz w:val="22"/>
          <w:szCs w:val="22"/>
          <w:u w:val="single"/>
        </w:rPr>
        <w:t>DESCRIPTION OF THE INFORMATION COLLECTION</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297C"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624BE">
        <w:rPr>
          <w:rFonts w:ascii="Arial" w:hAnsi="Arial" w:cs="Arial"/>
          <w:sz w:val="22"/>
          <w:szCs w:val="22"/>
        </w:rPr>
        <w:t>The requirement for the annual financial report, including the certified financial statements, arises from the Atomic Energy Act</w:t>
      </w:r>
      <w:r w:rsidR="00F2297C">
        <w:rPr>
          <w:rFonts w:ascii="Arial" w:hAnsi="Arial" w:cs="Arial"/>
          <w:sz w:val="22"/>
          <w:szCs w:val="22"/>
        </w:rPr>
        <w:t xml:space="preserve"> (AEA)</w:t>
      </w:r>
      <w:r w:rsidRPr="00E624BE">
        <w:rPr>
          <w:rFonts w:ascii="Arial" w:hAnsi="Arial" w:cs="Arial"/>
          <w:sz w:val="22"/>
          <w:szCs w:val="22"/>
        </w:rPr>
        <w:t xml:space="preserve"> of 1954, as amended, Section 182, "License Applications."  Section 182(a) provides, among other things, that each application for a license shall state such information as the Commission, by rule or regulation, may determine to be necessary to decide the financial qualifications of the applicant as the Commission may deem appropriate for the license.  Annual financial reporting is specified in 10 </w:t>
      </w:r>
      <w:r w:rsidR="00F2297C" w:rsidRPr="00F2297C">
        <w:rPr>
          <w:rFonts w:ascii="Arial" w:hAnsi="Arial" w:cs="Arial"/>
          <w:i/>
          <w:sz w:val="22"/>
          <w:szCs w:val="22"/>
        </w:rPr>
        <w:t>Code of Federal Regulations</w:t>
      </w:r>
      <w:r w:rsidR="00F2297C">
        <w:rPr>
          <w:rFonts w:ascii="Arial" w:hAnsi="Arial" w:cs="Arial"/>
          <w:sz w:val="22"/>
          <w:szCs w:val="22"/>
        </w:rPr>
        <w:t xml:space="preserve"> (</w:t>
      </w:r>
      <w:r w:rsidRPr="00E624BE">
        <w:rPr>
          <w:rFonts w:ascii="Arial" w:hAnsi="Arial" w:cs="Arial"/>
          <w:sz w:val="22"/>
          <w:szCs w:val="22"/>
        </w:rPr>
        <w:t>CFR</w:t>
      </w:r>
      <w:r w:rsidR="00F2297C">
        <w:rPr>
          <w:rFonts w:ascii="Arial" w:hAnsi="Arial" w:cs="Arial"/>
          <w:sz w:val="22"/>
          <w:szCs w:val="22"/>
        </w:rPr>
        <w:t>)</w:t>
      </w:r>
      <w:r w:rsidRPr="00E624BE">
        <w:rPr>
          <w:rFonts w:ascii="Arial" w:hAnsi="Arial" w:cs="Arial"/>
          <w:sz w:val="22"/>
          <w:szCs w:val="22"/>
        </w:rPr>
        <w:t xml:space="preserve"> Section 50.71(b) and 10 CFR 50 Appendix C, Section III.  </w:t>
      </w:r>
      <w:r w:rsidR="00B344BA" w:rsidRPr="00E624BE">
        <w:rPr>
          <w:rFonts w:ascii="Arial" w:hAnsi="Arial" w:cs="Arial"/>
          <w:sz w:val="22"/>
          <w:szCs w:val="22"/>
        </w:rPr>
        <w:t xml:space="preserve">Under </w:t>
      </w:r>
      <w:r w:rsidRPr="00E624BE">
        <w:rPr>
          <w:rFonts w:ascii="Arial" w:hAnsi="Arial" w:cs="Arial"/>
          <w:sz w:val="22"/>
          <w:szCs w:val="22"/>
        </w:rPr>
        <w:t xml:space="preserve">10 CFR 50 Appendix C, Sections I and II, </w:t>
      </w:r>
      <w:r w:rsidR="00B344BA" w:rsidRPr="00E624BE">
        <w:rPr>
          <w:rFonts w:ascii="Arial" w:hAnsi="Arial" w:cs="Arial"/>
          <w:sz w:val="22"/>
          <w:szCs w:val="22"/>
        </w:rPr>
        <w:t>the regulation specifies</w:t>
      </w:r>
      <w:r w:rsidRPr="00E624BE">
        <w:rPr>
          <w:rFonts w:ascii="Arial" w:hAnsi="Arial" w:cs="Arial"/>
          <w:sz w:val="22"/>
          <w:szCs w:val="22"/>
        </w:rPr>
        <w:t xml:space="preserve"> the financial data and related information required to establish financial qualifications for facility construction permits.  The burden for </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624BE">
        <w:rPr>
          <w:rFonts w:ascii="Arial" w:hAnsi="Arial" w:cs="Arial"/>
          <w:sz w:val="22"/>
          <w:szCs w:val="22"/>
        </w:rPr>
        <w:t>10 CFR 50 Appendix C, Sections I and II, is addressed in the Section 1 Supporting Statement.</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297C"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624BE">
        <w:rPr>
          <w:rFonts w:ascii="Arial" w:hAnsi="Arial" w:cs="Arial"/>
          <w:sz w:val="22"/>
          <w:szCs w:val="22"/>
        </w:rPr>
        <w:t xml:space="preserve">The annual financial reporting requirement affects </w:t>
      </w:r>
      <w:r w:rsidR="009B1E45" w:rsidRPr="00E624BE">
        <w:rPr>
          <w:rFonts w:ascii="Arial" w:hAnsi="Arial" w:cs="Arial"/>
          <w:sz w:val="22"/>
          <w:szCs w:val="22"/>
        </w:rPr>
        <w:t xml:space="preserve">108 </w:t>
      </w:r>
      <w:r w:rsidRPr="00E624BE">
        <w:rPr>
          <w:rFonts w:ascii="Arial" w:hAnsi="Arial" w:cs="Arial"/>
          <w:sz w:val="22"/>
          <w:szCs w:val="22"/>
        </w:rPr>
        <w:t xml:space="preserve">power </w:t>
      </w:r>
      <w:r w:rsidR="00F2297C">
        <w:rPr>
          <w:rFonts w:ascii="Arial" w:hAnsi="Arial" w:cs="Arial"/>
          <w:sz w:val="22"/>
          <w:szCs w:val="22"/>
        </w:rPr>
        <w:t xml:space="preserve">reactor licensees (including </w:t>
      </w:r>
    </w:p>
    <w:p w:rsidR="00F72759" w:rsidRPr="00E624BE" w:rsidRDefault="00F2297C"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co-</w:t>
      </w:r>
      <w:r w:rsidR="00F72759" w:rsidRPr="00E624BE">
        <w:rPr>
          <w:rFonts w:ascii="Arial" w:hAnsi="Arial" w:cs="Arial"/>
          <w:sz w:val="22"/>
          <w:szCs w:val="22"/>
        </w:rPr>
        <w:t>owners),</w:t>
      </w:r>
      <w:r w:rsidR="009B1E45" w:rsidRPr="00E624BE">
        <w:rPr>
          <w:rFonts w:ascii="Arial" w:hAnsi="Arial" w:cs="Arial"/>
          <w:sz w:val="22"/>
          <w:szCs w:val="22"/>
        </w:rPr>
        <w:t xml:space="preserve"> which includes 4 </w:t>
      </w:r>
      <w:r w:rsidR="00164BE4" w:rsidRPr="00E624BE">
        <w:rPr>
          <w:rFonts w:ascii="Arial" w:hAnsi="Arial" w:cs="Arial"/>
          <w:sz w:val="22"/>
          <w:szCs w:val="22"/>
        </w:rPr>
        <w:t xml:space="preserve">granted </w:t>
      </w:r>
      <w:r w:rsidR="009B1E45" w:rsidRPr="00E624BE">
        <w:rPr>
          <w:rFonts w:ascii="Arial" w:hAnsi="Arial" w:cs="Arial"/>
          <w:sz w:val="22"/>
          <w:szCs w:val="22"/>
        </w:rPr>
        <w:t xml:space="preserve">combined licenses, </w:t>
      </w:r>
      <w:r w:rsidR="00F72759" w:rsidRPr="00E624BE">
        <w:rPr>
          <w:rFonts w:ascii="Arial" w:hAnsi="Arial" w:cs="Arial"/>
          <w:sz w:val="22"/>
          <w:szCs w:val="22"/>
        </w:rPr>
        <w:t xml:space="preserve">and </w:t>
      </w:r>
      <w:r w:rsidR="009B1E45" w:rsidRPr="00E624BE">
        <w:rPr>
          <w:rFonts w:ascii="Arial" w:hAnsi="Arial" w:cs="Arial"/>
          <w:sz w:val="22"/>
          <w:szCs w:val="22"/>
        </w:rPr>
        <w:t xml:space="preserve">31 </w:t>
      </w:r>
      <w:r w:rsidR="00F72759" w:rsidRPr="00E624BE">
        <w:rPr>
          <w:rFonts w:ascii="Arial" w:hAnsi="Arial" w:cs="Arial"/>
          <w:sz w:val="22"/>
          <w:szCs w:val="22"/>
        </w:rPr>
        <w:t>non-power testing facilities.</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297C"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624BE">
        <w:rPr>
          <w:rFonts w:ascii="Arial" w:hAnsi="Arial" w:cs="Arial"/>
          <w:sz w:val="22"/>
          <w:szCs w:val="22"/>
        </w:rPr>
        <w:t xml:space="preserve">10 CFR 50.76 was created as a rulemaking in December 2003, (69 </w:t>
      </w:r>
      <w:r w:rsidR="00F2297C">
        <w:rPr>
          <w:rFonts w:ascii="Arial" w:hAnsi="Arial" w:cs="Arial"/>
          <w:sz w:val="22"/>
          <w:szCs w:val="22"/>
        </w:rPr>
        <w:t>Federal Register (</w:t>
      </w:r>
      <w:r w:rsidRPr="00E624BE">
        <w:rPr>
          <w:rFonts w:ascii="Arial" w:hAnsi="Arial" w:cs="Arial"/>
          <w:sz w:val="22"/>
          <w:szCs w:val="22"/>
        </w:rPr>
        <w:t>FR</w:t>
      </w:r>
      <w:r w:rsidR="00F2297C">
        <w:rPr>
          <w:rFonts w:ascii="Arial" w:hAnsi="Arial" w:cs="Arial"/>
          <w:sz w:val="22"/>
          <w:szCs w:val="22"/>
        </w:rPr>
        <w:t>)</w:t>
      </w:r>
      <w:r w:rsidRPr="00E624BE">
        <w:rPr>
          <w:rFonts w:ascii="Arial" w:hAnsi="Arial" w:cs="Arial"/>
          <w:sz w:val="22"/>
          <w:szCs w:val="22"/>
        </w:rPr>
        <w:t xml:space="preserve"> 4448, Jan. 30, 2004), to segregate a requirement from 10 CFR 50.33(f)(2) to ensure a power reactor licensee that transitions from a utility to a non-electric-utility status, and is not subject to </w:t>
      </w:r>
    </w:p>
    <w:p w:rsidR="007F20E2"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E624BE">
        <w:rPr>
          <w:rFonts w:ascii="Arial" w:hAnsi="Arial" w:cs="Arial"/>
          <w:sz w:val="22"/>
          <w:szCs w:val="22"/>
        </w:rPr>
        <w:t>10 CFR 50.80 requirements, submits financial qualifications information.  This has never happened, nor is it expected to happen, but if it did, this section explicitly tells licensees of the requirement.</w:t>
      </w:r>
      <w:r w:rsidR="007F20E2" w:rsidRPr="00E624BE">
        <w:rPr>
          <w:rFonts w:ascii="Arial" w:hAnsi="Arial" w:cs="Arial"/>
          <w:sz w:val="22"/>
          <w:szCs w:val="22"/>
        </w:rPr>
        <w:t xml:space="preserve"> </w:t>
      </w:r>
    </w:p>
    <w:p w:rsidR="007F20E2" w:rsidRPr="00E624BE" w:rsidRDefault="007F20E2"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7F20E2" w:rsidP="00E624BE">
      <w:pPr>
        <w:pStyle w:val="ListParagraph"/>
        <w:numPr>
          <w:ilvl w:val="0"/>
          <w:numId w:val="2"/>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Arial" w:hAnsi="Arial" w:cs="Arial"/>
          <w:sz w:val="22"/>
          <w:szCs w:val="22"/>
        </w:rPr>
      </w:pPr>
      <w:r w:rsidRPr="00E624BE">
        <w:rPr>
          <w:rFonts w:ascii="Arial" w:hAnsi="Arial" w:cs="Arial"/>
          <w:sz w:val="22"/>
          <w:szCs w:val="22"/>
          <w:u w:val="single"/>
        </w:rPr>
        <w:t>J</w:t>
      </w:r>
      <w:r w:rsidR="00F72759" w:rsidRPr="00E624BE">
        <w:rPr>
          <w:rFonts w:ascii="Arial" w:hAnsi="Arial" w:cs="Arial"/>
          <w:sz w:val="22"/>
          <w:szCs w:val="22"/>
          <w:u w:val="single"/>
        </w:rPr>
        <w:t>USTIFICATION</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1.</w:t>
      </w:r>
      <w:r w:rsidRPr="00E624BE">
        <w:rPr>
          <w:rFonts w:ascii="Arial" w:hAnsi="Arial" w:cs="Arial"/>
          <w:sz w:val="22"/>
          <w:szCs w:val="22"/>
        </w:rPr>
        <w:tab/>
      </w:r>
      <w:r w:rsidRPr="00E624BE">
        <w:rPr>
          <w:rFonts w:ascii="Arial" w:hAnsi="Arial" w:cs="Arial"/>
          <w:sz w:val="22"/>
          <w:szCs w:val="22"/>
          <w:u w:val="single"/>
        </w:rPr>
        <w:t>Need for and Practical Utility of the Collection of Information</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9B1E45" w:rsidP="007204CD">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 xml:space="preserve">Section 50.71(b) of </w:t>
      </w:r>
      <w:r w:rsidR="00F72759" w:rsidRPr="00E624BE">
        <w:rPr>
          <w:rFonts w:ascii="Arial" w:hAnsi="Arial" w:cs="Arial"/>
          <w:sz w:val="22"/>
          <w:szCs w:val="22"/>
        </w:rPr>
        <w:t>10 CFR requires licensees and holders of construction permits to file with the Commission annual financial reports, including certified financial statements.  This requirement is also specified in 10 CFR 50 Appendix C, Section III, for holders of construction permits.  The fundamental purpose of the financial qualifications provision is the protection of public health and safety and the common defense and security.  A licensee's or holder's (including a co-owner's) financial resources may affect its ability to meet its responsibilities on safety matters.</w:t>
      </w:r>
    </w:p>
    <w:p w:rsidR="00F72759" w:rsidRPr="00E624BE" w:rsidRDefault="00F72759" w:rsidP="00E624BE">
      <w:p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F72759" w:rsidRPr="00E624BE" w:rsidRDefault="00F72759" w:rsidP="007204CD">
      <w:pPr>
        <w:tabs>
          <w:tab w:val="left" w:pos="-1440"/>
          <w:tab w:val="left" w:pos="-360"/>
          <w:tab w:val="left" w:pos="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 xml:space="preserve">The Commission reserves the right to require additional financial information during construction or operation of a facility, particularly in cases in which the nuclear power plant will be commonly owned by two or more existing companies, or in which financing depends upon long-term arrangements for the sharing of the electric power output of the facility by two or more electric power generating companies.  </w:t>
      </w:r>
    </w:p>
    <w:p w:rsidR="00F72759" w:rsidRPr="00E624BE" w:rsidRDefault="00F72759" w:rsidP="007204CD">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br w:type="page"/>
      </w:r>
      <w:r w:rsidRPr="00E624BE">
        <w:rPr>
          <w:rFonts w:ascii="Arial" w:hAnsi="Arial" w:cs="Arial"/>
          <w:sz w:val="22"/>
          <w:szCs w:val="22"/>
        </w:rPr>
        <w:lastRenderedPageBreak/>
        <w:t>The annual financial report provides financial information after a construction permit has been issued for a nuclear power plant.</w:t>
      </w:r>
    </w:p>
    <w:p w:rsidR="00F72759" w:rsidRPr="00E624BE" w:rsidRDefault="00F72759" w:rsidP="00E624BE">
      <w:p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B344BA" w:rsidRPr="00E624BE" w:rsidRDefault="00B344BA" w:rsidP="007204CD">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 xml:space="preserve">Pursuant to </w:t>
      </w:r>
      <w:r w:rsidR="00F72759" w:rsidRPr="00E624BE">
        <w:rPr>
          <w:rFonts w:ascii="Arial" w:hAnsi="Arial" w:cs="Arial"/>
          <w:sz w:val="22"/>
          <w:szCs w:val="22"/>
        </w:rPr>
        <w:t>10 CFR 50.76</w:t>
      </w:r>
      <w:r w:rsidRPr="00E624BE">
        <w:rPr>
          <w:rFonts w:ascii="Arial" w:hAnsi="Arial" w:cs="Arial"/>
          <w:sz w:val="22"/>
          <w:szCs w:val="22"/>
        </w:rPr>
        <w:t>, the regulation</w:t>
      </w:r>
      <w:r w:rsidR="00F72759" w:rsidRPr="00E624BE">
        <w:rPr>
          <w:rFonts w:ascii="Arial" w:hAnsi="Arial" w:cs="Arial"/>
          <w:sz w:val="22"/>
          <w:szCs w:val="22"/>
        </w:rPr>
        <w:t xml:space="preserve"> requires power reactor licensees that transition from an electric utility status to a non-electric utility status, without a license transfer, to submit financial qualifications information as specified in </w:t>
      </w:r>
    </w:p>
    <w:p w:rsidR="00F72759" w:rsidRPr="00E624BE" w:rsidRDefault="00F72759" w:rsidP="007204CD">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10 CFR 50.33(f)(2).  The financial qualifications information must address the first full five years of operation after the date the licensee ceases to be an electric utility.</w:t>
      </w:r>
    </w:p>
    <w:p w:rsidR="00F72759" w:rsidRPr="00E624BE" w:rsidRDefault="00F72759" w:rsidP="00E624BE">
      <w:p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2.</w:t>
      </w:r>
      <w:r w:rsidRPr="00E624BE">
        <w:rPr>
          <w:rFonts w:ascii="Arial" w:hAnsi="Arial" w:cs="Arial"/>
          <w:sz w:val="22"/>
          <w:szCs w:val="22"/>
        </w:rPr>
        <w:tab/>
      </w:r>
      <w:r w:rsidRPr="00E624BE">
        <w:rPr>
          <w:rFonts w:ascii="Arial" w:hAnsi="Arial" w:cs="Arial"/>
          <w:sz w:val="22"/>
          <w:szCs w:val="22"/>
          <w:u w:val="single"/>
        </w:rPr>
        <w:t>Agency Use of Information</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41766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170"/>
        <w:rPr>
          <w:rFonts w:ascii="Arial" w:hAnsi="Arial" w:cs="Arial"/>
          <w:sz w:val="22"/>
          <w:szCs w:val="22"/>
        </w:rPr>
      </w:pPr>
      <w:r w:rsidRPr="00E624BE">
        <w:rPr>
          <w:rFonts w:ascii="Arial" w:hAnsi="Arial" w:cs="Arial"/>
          <w:sz w:val="22"/>
          <w:szCs w:val="22"/>
        </w:rPr>
        <w:t>The annual financial reports, and any other pertinent material that may be needed, are used by the Nuclear Regulatory Commission (NRC) staff for financial monitoring of the respondents individually, and of the industry as a whole.  If it appears that any respondent is experiencing financial difficulties, this information is useful for NRC consideration of any appropriate actions.</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3.</w:t>
      </w:r>
      <w:r w:rsidRPr="00E624BE">
        <w:rPr>
          <w:rFonts w:ascii="Arial" w:hAnsi="Arial" w:cs="Arial"/>
          <w:sz w:val="22"/>
          <w:szCs w:val="22"/>
        </w:rPr>
        <w:tab/>
      </w:r>
      <w:r w:rsidRPr="00E624BE">
        <w:rPr>
          <w:rFonts w:ascii="Arial" w:hAnsi="Arial" w:cs="Arial"/>
          <w:sz w:val="22"/>
          <w:szCs w:val="22"/>
          <w:u w:val="single"/>
        </w:rPr>
        <w:t>Reduction of Burden Through Information Technology</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41766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95% of the potential responses are filed electronically.</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4.</w:t>
      </w:r>
      <w:r w:rsidRPr="00E624BE">
        <w:rPr>
          <w:rFonts w:ascii="Arial" w:hAnsi="Arial" w:cs="Arial"/>
          <w:sz w:val="22"/>
          <w:szCs w:val="22"/>
        </w:rPr>
        <w:tab/>
      </w:r>
      <w:r w:rsidRPr="00E624BE">
        <w:rPr>
          <w:rFonts w:ascii="Arial" w:hAnsi="Arial" w:cs="Arial"/>
          <w:sz w:val="22"/>
          <w:szCs w:val="22"/>
          <w:u w:val="single"/>
        </w:rPr>
        <w:t>Effort to Identify Duplication and Use Similar Information</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41766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 xml:space="preserve">No sources of similar information are available.  There is no duplication of requirements.  NRC has in place an ongoing program to examine all information collections with the goal of eliminating all duplication and/or unnecessary information collections. </w:t>
      </w:r>
    </w:p>
    <w:p w:rsidR="00F72759" w:rsidRPr="00E624BE" w:rsidRDefault="00F72759" w:rsidP="00E624BE">
      <w:p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F72759" w:rsidRPr="00E624BE" w:rsidRDefault="00F72759" w:rsidP="0041766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 xml:space="preserve">The information requested in 10 CFR 50.71(b) and 10 CFR 50 Appendix C, Section III, is not required by any other regulation.  The financial information required by 10 CFR 50.33(f) for applications for construction permits and operating licenses is used to establish financial qualifications needed before </w:t>
      </w:r>
      <w:r w:rsidR="00F2297C">
        <w:rPr>
          <w:rFonts w:ascii="Arial" w:hAnsi="Arial" w:cs="Arial"/>
          <w:sz w:val="22"/>
          <w:szCs w:val="22"/>
        </w:rPr>
        <w:t xml:space="preserve">the </w:t>
      </w:r>
      <w:r w:rsidRPr="00E624BE">
        <w:rPr>
          <w:rFonts w:ascii="Arial" w:hAnsi="Arial" w:cs="Arial"/>
          <w:sz w:val="22"/>
          <w:szCs w:val="22"/>
        </w:rPr>
        <w:t>NRC can approve the applications and is not duplicated here (see the Section 1 Supporting Statement).</w:t>
      </w:r>
    </w:p>
    <w:p w:rsidR="00F72759" w:rsidRPr="00E624BE" w:rsidRDefault="00F72759" w:rsidP="00E624BE">
      <w:p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F72759" w:rsidRPr="00E624BE" w:rsidRDefault="00F72759" w:rsidP="0041766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There is no source for the required information other than nuclear reactor licensees/construction permit holders, including co-owners.</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5.</w:t>
      </w:r>
      <w:r w:rsidRPr="00E624BE">
        <w:rPr>
          <w:rFonts w:ascii="Arial" w:hAnsi="Arial" w:cs="Arial"/>
          <w:sz w:val="22"/>
          <w:szCs w:val="22"/>
        </w:rPr>
        <w:tab/>
      </w:r>
      <w:r w:rsidRPr="00E624BE">
        <w:rPr>
          <w:rFonts w:ascii="Arial" w:hAnsi="Arial" w:cs="Arial"/>
          <w:sz w:val="22"/>
          <w:szCs w:val="22"/>
          <w:u w:val="single"/>
        </w:rPr>
        <w:t>Effort to Reduce Small Business Burden</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297C" w:rsidRDefault="00F72759" w:rsidP="0041766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sectPr w:rsidR="00F2297C" w:rsidSect="00E624BE">
          <w:pgSz w:w="12240" w:h="15840"/>
          <w:pgMar w:top="1440" w:right="1440" w:bottom="1440" w:left="1440" w:header="1440" w:footer="1440" w:gutter="0"/>
          <w:cols w:space="720"/>
          <w:docGrid w:linePitch="360"/>
        </w:sectPr>
      </w:pPr>
      <w:r w:rsidRPr="00E624BE">
        <w:rPr>
          <w:rFonts w:ascii="Arial" w:hAnsi="Arial" w:cs="Arial"/>
          <w:sz w:val="22"/>
          <w:szCs w:val="22"/>
        </w:rPr>
        <w:t>This information collection does not affect small business.</w:t>
      </w:r>
    </w:p>
    <w:p w:rsidR="00F72759" w:rsidRPr="00E624BE" w:rsidRDefault="00F2297C" w:rsidP="00F2297C">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080"/>
        <w:rPr>
          <w:rFonts w:ascii="Arial" w:hAnsi="Arial" w:cs="Arial"/>
          <w:sz w:val="22"/>
          <w:szCs w:val="22"/>
        </w:rPr>
      </w:pPr>
      <w:r>
        <w:rPr>
          <w:rFonts w:ascii="Arial" w:hAnsi="Arial" w:cs="Arial"/>
          <w:sz w:val="22"/>
          <w:szCs w:val="22"/>
        </w:rPr>
        <w:lastRenderedPageBreak/>
        <w:tab/>
        <w:t>6.</w:t>
      </w:r>
      <w:r>
        <w:rPr>
          <w:rFonts w:ascii="Arial" w:hAnsi="Arial" w:cs="Arial"/>
          <w:sz w:val="22"/>
          <w:szCs w:val="22"/>
        </w:rPr>
        <w:tab/>
      </w:r>
      <w:r w:rsidR="00F72759" w:rsidRPr="00E624BE">
        <w:rPr>
          <w:rFonts w:ascii="Arial" w:hAnsi="Arial" w:cs="Arial"/>
          <w:sz w:val="22"/>
          <w:szCs w:val="22"/>
          <w:u w:val="single"/>
        </w:rPr>
        <w:t>Consequences to Federal Program or Policy Activities if the Collection is Not Conducted or is Conducted Less Frequently</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F72759" w:rsidRPr="00E624BE" w:rsidRDefault="00F72759" w:rsidP="0041766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If the information is not submitted when required, there could be a situation where a licensee's financial resources are questionable, which could affect the licensee's ability to meet responsibilities on safety matters.</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7.</w:t>
      </w:r>
      <w:r w:rsidRPr="00E624BE">
        <w:rPr>
          <w:rFonts w:ascii="Arial" w:hAnsi="Arial" w:cs="Arial"/>
          <w:sz w:val="22"/>
          <w:szCs w:val="22"/>
        </w:rPr>
        <w:tab/>
      </w:r>
      <w:r w:rsidRPr="00E624BE">
        <w:rPr>
          <w:rFonts w:ascii="Arial" w:hAnsi="Arial" w:cs="Arial"/>
          <w:sz w:val="22"/>
          <w:szCs w:val="22"/>
          <w:u w:val="single"/>
        </w:rPr>
        <w:t xml:space="preserve">Circumstances which Justify Variation from </w:t>
      </w:r>
      <w:r w:rsidR="00F2297C">
        <w:rPr>
          <w:rFonts w:ascii="Arial" w:hAnsi="Arial" w:cs="Arial"/>
          <w:sz w:val="22"/>
          <w:szCs w:val="22"/>
          <w:u w:val="single"/>
        </w:rPr>
        <w:t>Office of Management and Budget (</w:t>
      </w:r>
      <w:r w:rsidRPr="00E624BE">
        <w:rPr>
          <w:rFonts w:ascii="Arial" w:hAnsi="Arial" w:cs="Arial"/>
          <w:sz w:val="22"/>
          <w:szCs w:val="22"/>
          <w:u w:val="single"/>
        </w:rPr>
        <w:t>OMB</w:t>
      </w:r>
      <w:r w:rsidR="00F2297C">
        <w:rPr>
          <w:rFonts w:ascii="Arial" w:hAnsi="Arial" w:cs="Arial"/>
          <w:sz w:val="22"/>
          <w:szCs w:val="22"/>
          <w:u w:val="single"/>
        </w:rPr>
        <w:t>)</w:t>
      </w:r>
      <w:r w:rsidRPr="00E624BE">
        <w:rPr>
          <w:rFonts w:ascii="Arial" w:hAnsi="Arial" w:cs="Arial"/>
          <w:sz w:val="22"/>
          <w:szCs w:val="22"/>
          <w:u w:val="single"/>
        </w:rPr>
        <w:t xml:space="preserve"> Guidelines</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4176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 xml:space="preserve">This information collection does not vary from the </w:t>
      </w:r>
      <w:r w:rsidR="00F2297C">
        <w:rPr>
          <w:rFonts w:ascii="Arial" w:hAnsi="Arial" w:cs="Arial"/>
          <w:sz w:val="22"/>
          <w:szCs w:val="22"/>
        </w:rPr>
        <w:t xml:space="preserve">OMB </w:t>
      </w:r>
      <w:r w:rsidRPr="00E624BE">
        <w:rPr>
          <w:rFonts w:ascii="Arial" w:hAnsi="Arial" w:cs="Arial"/>
          <w:sz w:val="22"/>
          <w:szCs w:val="22"/>
        </w:rPr>
        <w:t>guidelines.</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8.</w:t>
      </w:r>
      <w:r w:rsidRPr="00E624BE">
        <w:rPr>
          <w:rFonts w:ascii="Arial" w:hAnsi="Arial" w:cs="Arial"/>
          <w:sz w:val="22"/>
          <w:szCs w:val="22"/>
        </w:rPr>
        <w:tab/>
      </w:r>
      <w:r w:rsidRPr="00E624BE">
        <w:rPr>
          <w:rFonts w:ascii="Arial" w:hAnsi="Arial" w:cs="Arial"/>
          <w:sz w:val="22"/>
          <w:szCs w:val="22"/>
          <w:u w:val="single"/>
        </w:rPr>
        <w:t>Consultations Outside the NRC</w:t>
      </w: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p>
    <w:p w:rsidR="00C97330" w:rsidRDefault="00C97330" w:rsidP="00C97330">
      <w:pPr>
        <w:ind w:left="1080"/>
        <w:rPr>
          <w:rFonts w:ascii="Arial" w:hAnsi="Arial" w:cs="Arial"/>
          <w:sz w:val="22"/>
          <w:szCs w:val="22"/>
          <w:u w:val="single"/>
        </w:rPr>
      </w:pPr>
      <w:r>
        <w:rPr>
          <w:rFonts w:ascii="Arial" w:hAnsi="Arial" w:cs="Arial"/>
          <w:sz w:val="22"/>
          <w:szCs w:val="22"/>
        </w:rPr>
        <w:t xml:space="preserve">Opportunity for public comment on the information collection requirements for this clearance package was published in the </w:t>
      </w:r>
      <w:r>
        <w:rPr>
          <w:rFonts w:ascii="Arial" w:hAnsi="Arial" w:cs="Arial"/>
          <w:sz w:val="22"/>
          <w:szCs w:val="22"/>
          <w:u w:val="single"/>
        </w:rPr>
        <w:t>Federal Register</w:t>
      </w:r>
      <w:r>
        <w:rPr>
          <w:rFonts w:ascii="Arial" w:hAnsi="Arial" w:cs="Arial"/>
          <w:sz w:val="22"/>
          <w:szCs w:val="22"/>
        </w:rPr>
        <w:t xml:space="preserve"> on May 14, 2013 (78 FR 28244).  No comments were received.</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9.</w:t>
      </w:r>
      <w:r w:rsidRPr="00E624BE">
        <w:rPr>
          <w:rFonts w:ascii="Arial" w:hAnsi="Arial" w:cs="Arial"/>
          <w:sz w:val="22"/>
          <w:szCs w:val="22"/>
        </w:rPr>
        <w:tab/>
      </w:r>
      <w:r w:rsidRPr="00E624BE">
        <w:rPr>
          <w:rFonts w:ascii="Arial" w:hAnsi="Arial" w:cs="Arial"/>
          <w:sz w:val="22"/>
          <w:szCs w:val="22"/>
          <w:u w:val="single"/>
        </w:rPr>
        <w:t>Payment or Gift to Respondents</w:t>
      </w: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p>
    <w:p w:rsidR="00F72759" w:rsidRPr="00E624BE" w:rsidRDefault="00F72759" w:rsidP="0041766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Not applicable.</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10.</w:t>
      </w:r>
      <w:r w:rsidRPr="00E624BE">
        <w:rPr>
          <w:rFonts w:ascii="Arial" w:hAnsi="Arial" w:cs="Arial"/>
          <w:sz w:val="22"/>
          <w:szCs w:val="22"/>
        </w:rPr>
        <w:tab/>
      </w:r>
      <w:r w:rsidRPr="00E624BE">
        <w:rPr>
          <w:rFonts w:ascii="Arial" w:hAnsi="Arial" w:cs="Arial"/>
          <w:sz w:val="22"/>
          <w:szCs w:val="22"/>
          <w:u w:val="single"/>
        </w:rPr>
        <w:t>Confidentiality of Information</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41766F">
      <w:pPr>
        <w:ind w:left="1080"/>
        <w:rPr>
          <w:rFonts w:ascii="Arial" w:hAnsi="Arial" w:cs="Arial"/>
          <w:sz w:val="22"/>
          <w:szCs w:val="22"/>
        </w:rPr>
      </w:pPr>
      <w:r w:rsidRPr="00E624BE">
        <w:rPr>
          <w:rFonts w:ascii="Arial" w:hAnsi="Arial" w:cs="Arial"/>
          <w:sz w:val="22"/>
          <w:szCs w:val="22"/>
        </w:rPr>
        <w:t>Confidential and proprietary information is protected in accordance with NRC regulations at 10 CFR 9.17(a) and 10 CFR 2.390(b).  However, no information normally considered confidential or proprietary is requested.</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11.</w:t>
      </w:r>
      <w:r w:rsidRPr="00E624BE">
        <w:rPr>
          <w:rFonts w:ascii="Arial" w:hAnsi="Arial" w:cs="Arial"/>
          <w:sz w:val="22"/>
          <w:szCs w:val="22"/>
        </w:rPr>
        <w:tab/>
      </w:r>
      <w:r w:rsidRPr="00E624BE">
        <w:rPr>
          <w:rFonts w:ascii="Arial" w:hAnsi="Arial" w:cs="Arial"/>
          <w:sz w:val="22"/>
          <w:szCs w:val="22"/>
          <w:u w:val="single"/>
        </w:rPr>
        <w:t>Justification for Sensitive Questions</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41766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This information collection does not require sensitive information.</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12.</w:t>
      </w:r>
      <w:r w:rsidRPr="00E624BE">
        <w:rPr>
          <w:rFonts w:ascii="Arial" w:hAnsi="Arial" w:cs="Arial"/>
          <w:sz w:val="22"/>
          <w:szCs w:val="22"/>
        </w:rPr>
        <w:tab/>
      </w:r>
      <w:r w:rsidRPr="00E624BE">
        <w:rPr>
          <w:rFonts w:ascii="Arial" w:hAnsi="Arial" w:cs="Arial"/>
          <w:sz w:val="22"/>
          <w:szCs w:val="22"/>
          <w:u w:val="single"/>
        </w:rPr>
        <w:t>Estimated Industry Burden and Burden Hour Cost</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297C" w:rsidRDefault="00F72759" w:rsidP="0041766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 xml:space="preserve">Responses are required from about </w:t>
      </w:r>
      <w:r w:rsidR="009B1E45" w:rsidRPr="00E624BE">
        <w:rPr>
          <w:rFonts w:ascii="Arial" w:hAnsi="Arial" w:cs="Arial"/>
          <w:sz w:val="22"/>
          <w:szCs w:val="22"/>
        </w:rPr>
        <w:t xml:space="preserve">108 </w:t>
      </w:r>
      <w:r w:rsidRPr="00E624BE">
        <w:rPr>
          <w:rFonts w:ascii="Arial" w:hAnsi="Arial" w:cs="Arial"/>
          <w:sz w:val="22"/>
          <w:szCs w:val="22"/>
        </w:rPr>
        <w:t xml:space="preserve">power </w:t>
      </w:r>
      <w:r w:rsidR="00F2297C">
        <w:rPr>
          <w:rFonts w:ascii="Arial" w:hAnsi="Arial" w:cs="Arial"/>
          <w:sz w:val="22"/>
          <w:szCs w:val="22"/>
        </w:rPr>
        <w:t xml:space="preserve">reactor licensees, including </w:t>
      </w:r>
    </w:p>
    <w:p w:rsidR="00F72759" w:rsidRPr="00E624BE" w:rsidRDefault="00F2297C" w:rsidP="0041766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Pr>
          <w:rFonts w:ascii="Arial" w:hAnsi="Arial" w:cs="Arial"/>
          <w:sz w:val="22"/>
          <w:szCs w:val="22"/>
        </w:rPr>
        <w:t>co-</w:t>
      </w:r>
      <w:r w:rsidR="00F72759" w:rsidRPr="00E624BE">
        <w:rPr>
          <w:rFonts w:ascii="Arial" w:hAnsi="Arial" w:cs="Arial"/>
          <w:sz w:val="22"/>
          <w:szCs w:val="22"/>
        </w:rPr>
        <w:t xml:space="preserve">owners, and </w:t>
      </w:r>
      <w:r w:rsidR="009B1E45" w:rsidRPr="00E624BE">
        <w:rPr>
          <w:rFonts w:ascii="Arial" w:hAnsi="Arial" w:cs="Arial"/>
          <w:sz w:val="22"/>
          <w:szCs w:val="22"/>
        </w:rPr>
        <w:t xml:space="preserve">31 </w:t>
      </w:r>
      <w:r w:rsidR="00F72759" w:rsidRPr="00E624BE">
        <w:rPr>
          <w:rFonts w:ascii="Arial" w:hAnsi="Arial" w:cs="Arial"/>
          <w:sz w:val="22"/>
          <w:szCs w:val="22"/>
        </w:rPr>
        <w:t>non-power testing facilities</w:t>
      </w:r>
      <w:r w:rsidR="00193D24" w:rsidRPr="00E624BE">
        <w:rPr>
          <w:rFonts w:ascii="Arial" w:hAnsi="Arial" w:cs="Arial"/>
          <w:sz w:val="22"/>
          <w:szCs w:val="22"/>
        </w:rPr>
        <w:t>, resulting in a total of 13</w:t>
      </w:r>
      <w:r w:rsidR="009B1E45" w:rsidRPr="00E624BE">
        <w:rPr>
          <w:rFonts w:ascii="Arial" w:hAnsi="Arial" w:cs="Arial"/>
          <w:sz w:val="22"/>
          <w:szCs w:val="22"/>
        </w:rPr>
        <w:t xml:space="preserve">9 </w:t>
      </w:r>
      <w:r w:rsidR="00193D24" w:rsidRPr="00E624BE">
        <w:rPr>
          <w:rFonts w:ascii="Arial" w:hAnsi="Arial" w:cs="Arial"/>
          <w:sz w:val="22"/>
          <w:szCs w:val="22"/>
        </w:rPr>
        <w:t>annual responses during the clearance period</w:t>
      </w:r>
      <w:r w:rsidR="00F72759" w:rsidRPr="00E624BE">
        <w:rPr>
          <w:rFonts w:ascii="Arial" w:hAnsi="Arial" w:cs="Arial"/>
          <w:sz w:val="22"/>
          <w:szCs w:val="22"/>
        </w:rPr>
        <w:t>.  The NRC staff estimate</w:t>
      </w:r>
      <w:r w:rsidR="00193D24" w:rsidRPr="00E624BE">
        <w:rPr>
          <w:rFonts w:ascii="Arial" w:hAnsi="Arial" w:cs="Arial"/>
          <w:sz w:val="22"/>
          <w:szCs w:val="22"/>
        </w:rPr>
        <w:t>s</w:t>
      </w:r>
      <w:r w:rsidR="00F72759" w:rsidRPr="00E624BE">
        <w:rPr>
          <w:rFonts w:ascii="Arial" w:hAnsi="Arial" w:cs="Arial"/>
          <w:sz w:val="22"/>
          <w:szCs w:val="22"/>
        </w:rPr>
        <w:t xml:space="preserve"> that approximately one hour is needed by industry to respond to these annual reporting requirements.  Therefore, there is </w:t>
      </w:r>
      <w:r w:rsidR="00164BE4" w:rsidRPr="00E624BE">
        <w:rPr>
          <w:rFonts w:ascii="Arial" w:hAnsi="Arial" w:cs="Arial"/>
          <w:sz w:val="22"/>
          <w:szCs w:val="22"/>
        </w:rPr>
        <w:t xml:space="preserve">139 </w:t>
      </w:r>
      <w:r w:rsidR="00F72759" w:rsidRPr="00E624BE">
        <w:rPr>
          <w:rFonts w:ascii="Arial" w:hAnsi="Arial" w:cs="Arial"/>
          <w:sz w:val="22"/>
          <w:szCs w:val="22"/>
        </w:rPr>
        <w:t>hours of industry burden at a cost of $</w:t>
      </w:r>
      <w:r w:rsidR="009B1E45" w:rsidRPr="00E624BE">
        <w:rPr>
          <w:rFonts w:ascii="Arial" w:hAnsi="Arial" w:cs="Arial"/>
          <w:sz w:val="22"/>
          <w:szCs w:val="22"/>
        </w:rPr>
        <w:t>38,086</w:t>
      </w:r>
      <w:r w:rsidR="00F72759" w:rsidRPr="00E624BE">
        <w:rPr>
          <w:rFonts w:ascii="Arial" w:hAnsi="Arial" w:cs="Arial"/>
          <w:sz w:val="22"/>
          <w:szCs w:val="22"/>
        </w:rPr>
        <w:t xml:space="preserve"> ($</w:t>
      </w:r>
      <w:r w:rsidR="00193D24" w:rsidRPr="00E624BE">
        <w:rPr>
          <w:rFonts w:ascii="Arial" w:hAnsi="Arial" w:cs="Arial"/>
          <w:sz w:val="22"/>
          <w:szCs w:val="22"/>
        </w:rPr>
        <w:t xml:space="preserve">274 </w:t>
      </w:r>
      <w:r w:rsidR="00F72759" w:rsidRPr="00E624BE">
        <w:rPr>
          <w:rFonts w:ascii="Arial" w:hAnsi="Arial" w:cs="Arial"/>
          <w:sz w:val="22"/>
          <w:szCs w:val="22"/>
        </w:rPr>
        <w:t>x 13</w:t>
      </w:r>
      <w:r w:rsidR="009B1E45" w:rsidRPr="00E624BE">
        <w:rPr>
          <w:rFonts w:ascii="Arial" w:hAnsi="Arial" w:cs="Arial"/>
          <w:sz w:val="22"/>
          <w:szCs w:val="22"/>
        </w:rPr>
        <w:t>9</w:t>
      </w:r>
      <w:r w:rsidR="00F72759" w:rsidRPr="00E624BE">
        <w:rPr>
          <w:rFonts w:ascii="Arial" w:hAnsi="Arial" w:cs="Arial"/>
          <w:sz w:val="22"/>
          <w:szCs w:val="22"/>
        </w:rPr>
        <w:t>).  Staff estimates that of this burden, approximately 10 percent (14 hours) is attributable to recordkeeping associated with the submittal, and the remainder (12</w:t>
      </w:r>
      <w:r w:rsidR="0041766F">
        <w:rPr>
          <w:rFonts w:ascii="Arial" w:hAnsi="Arial" w:cs="Arial"/>
          <w:sz w:val="22"/>
          <w:szCs w:val="22"/>
        </w:rPr>
        <w:t>5</w:t>
      </w:r>
      <w:r w:rsidR="00F72759" w:rsidRPr="00E624BE">
        <w:rPr>
          <w:rFonts w:ascii="Arial" w:hAnsi="Arial" w:cs="Arial"/>
          <w:sz w:val="22"/>
          <w:szCs w:val="22"/>
        </w:rPr>
        <w:t xml:space="preserve"> hours) is reporting.</w:t>
      </w:r>
    </w:p>
    <w:p w:rsidR="00F72759" w:rsidRPr="00E624BE" w:rsidRDefault="00F72759" w:rsidP="00E624BE">
      <w:pPr>
        <w:tabs>
          <w:tab w:val="left" w:pos="-144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F72759" w:rsidRPr="00E624BE" w:rsidRDefault="00F72759" w:rsidP="0041766F">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If a response under 10 CFR 50.76 were to be received, which is estimated to occur less than once every three years, the burden of approximately 100 hours would be approximately 33 hours per year or $</w:t>
      </w:r>
      <w:r w:rsidR="0041766F">
        <w:rPr>
          <w:rFonts w:ascii="Arial" w:hAnsi="Arial" w:cs="Arial"/>
          <w:sz w:val="22"/>
          <w:szCs w:val="22"/>
        </w:rPr>
        <w:t>9</w:t>
      </w:r>
      <w:r w:rsidR="00164BE4" w:rsidRPr="00E624BE">
        <w:rPr>
          <w:rFonts w:ascii="Arial" w:hAnsi="Arial" w:cs="Arial"/>
          <w:sz w:val="22"/>
          <w:szCs w:val="22"/>
        </w:rPr>
        <w:t>,</w:t>
      </w:r>
      <w:r w:rsidR="0041766F">
        <w:rPr>
          <w:rFonts w:ascii="Arial" w:hAnsi="Arial" w:cs="Arial"/>
          <w:sz w:val="22"/>
          <w:szCs w:val="22"/>
        </w:rPr>
        <w:t>042</w:t>
      </w:r>
      <w:r w:rsidRPr="00E624BE">
        <w:rPr>
          <w:rFonts w:ascii="Arial" w:hAnsi="Arial" w:cs="Arial"/>
          <w:sz w:val="22"/>
          <w:szCs w:val="22"/>
        </w:rPr>
        <w:t xml:space="preserve"> (100/3 x $</w:t>
      </w:r>
      <w:r w:rsidR="00193D24" w:rsidRPr="00E624BE">
        <w:rPr>
          <w:rFonts w:ascii="Arial" w:hAnsi="Arial" w:cs="Arial"/>
          <w:sz w:val="22"/>
          <w:szCs w:val="22"/>
        </w:rPr>
        <w:t>274</w:t>
      </w:r>
      <w:r w:rsidRPr="00E624BE">
        <w:rPr>
          <w:rFonts w:ascii="Arial" w:hAnsi="Arial" w:cs="Arial"/>
          <w:sz w:val="22"/>
          <w:szCs w:val="22"/>
        </w:rPr>
        <w:t>).  However, NRC does not anticipate receiving a response under 10 CFR 50.76 during the reporting period.</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br w:type="page"/>
      </w:r>
      <w:r w:rsidRPr="00E624BE">
        <w:rPr>
          <w:rFonts w:ascii="Arial" w:hAnsi="Arial" w:cs="Arial"/>
          <w:sz w:val="22"/>
          <w:szCs w:val="22"/>
        </w:rPr>
        <w:lastRenderedPageBreak/>
        <w:t>13.</w:t>
      </w:r>
      <w:r w:rsidRPr="00E624BE">
        <w:rPr>
          <w:rFonts w:ascii="Arial" w:hAnsi="Arial" w:cs="Arial"/>
          <w:sz w:val="22"/>
          <w:szCs w:val="22"/>
        </w:rPr>
        <w:tab/>
      </w:r>
      <w:r w:rsidRPr="00E624BE">
        <w:rPr>
          <w:rFonts w:ascii="Arial" w:hAnsi="Arial" w:cs="Arial"/>
          <w:sz w:val="22"/>
          <w:szCs w:val="22"/>
          <w:u w:val="single"/>
        </w:rPr>
        <w:t>Estimate of Other Additional Costs</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41766F">
      <w:pPr>
        <w:ind w:left="1080"/>
        <w:rPr>
          <w:rFonts w:ascii="Arial" w:hAnsi="Arial" w:cs="Arial"/>
          <w:sz w:val="22"/>
          <w:szCs w:val="22"/>
        </w:rPr>
      </w:pPr>
      <w:r w:rsidRPr="00E624BE">
        <w:rPr>
          <w:rFonts w:ascii="Arial" w:hAnsi="Arial" w:cs="Arial"/>
          <w:sz w:val="22"/>
          <w:szCs w:val="22"/>
        </w:rPr>
        <w:t>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14 hours, the storage cost for this clearance is $</w:t>
      </w:r>
      <w:r w:rsidR="00C953AC">
        <w:rPr>
          <w:rFonts w:ascii="Arial" w:hAnsi="Arial" w:cs="Arial"/>
          <w:sz w:val="22"/>
          <w:szCs w:val="22"/>
        </w:rPr>
        <w:t>2</w:t>
      </w:r>
      <w:r w:rsidRPr="00E624BE">
        <w:rPr>
          <w:rFonts w:ascii="Arial" w:hAnsi="Arial" w:cs="Arial"/>
          <w:sz w:val="22"/>
          <w:szCs w:val="22"/>
        </w:rPr>
        <w:t xml:space="preserve"> (14 hours x 0.0004 x $</w:t>
      </w:r>
      <w:r w:rsidR="00193D24" w:rsidRPr="00E624BE">
        <w:rPr>
          <w:rFonts w:ascii="Arial" w:hAnsi="Arial" w:cs="Arial"/>
          <w:sz w:val="22"/>
          <w:szCs w:val="22"/>
        </w:rPr>
        <w:t>274</w:t>
      </w:r>
      <w:r w:rsidRPr="00E624BE">
        <w:rPr>
          <w:rFonts w:ascii="Arial" w:hAnsi="Arial" w:cs="Arial"/>
          <w:sz w:val="22"/>
          <w:szCs w:val="22"/>
        </w:rPr>
        <w:t>/hour).</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14.</w:t>
      </w:r>
      <w:r w:rsidRPr="00E624BE">
        <w:rPr>
          <w:rFonts w:ascii="Arial" w:hAnsi="Arial" w:cs="Arial"/>
          <w:sz w:val="22"/>
          <w:szCs w:val="22"/>
        </w:rPr>
        <w:tab/>
      </w:r>
      <w:r w:rsidRPr="00E624BE">
        <w:rPr>
          <w:rFonts w:ascii="Arial" w:hAnsi="Arial" w:cs="Arial"/>
          <w:sz w:val="22"/>
          <w:szCs w:val="22"/>
          <w:u w:val="single"/>
        </w:rPr>
        <w:t>Estimated Annualized Cost to the Federal Government</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8640E3" w:rsidRDefault="00193D24" w:rsidP="008640E3">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A</w:t>
      </w:r>
      <w:r w:rsidR="00F72759" w:rsidRPr="00E624BE">
        <w:rPr>
          <w:rFonts w:ascii="Arial" w:hAnsi="Arial" w:cs="Arial"/>
          <w:sz w:val="22"/>
          <w:szCs w:val="22"/>
        </w:rPr>
        <w:t xml:space="preserve">pproximately one hour of staff effort is required to review each of the </w:t>
      </w:r>
      <w:r w:rsidR="00C77500" w:rsidRPr="00E624BE">
        <w:rPr>
          <w:rFonts w:ascii="Arial" w:hAnsi="Arial" w:cs="Arial"/>
          <w:sz w:val="22"/>
          <w:szCs w:val="22"/>
        </w:rPr>
        <w:t xml:space="preserve">139 </w:t>
      </w:r>
      <w:r w:rsidR="00F72759" w:rsidRPr="00E624BE">
        <w:rPr>
          <w:rFonts w:ascii="Arial" w:hAnsi="Arial" w:cs="Arial"/>
          <w:sz w:val="22"/>
          <w:szCs w:val="22"/>
        </w:rPr>
        <w:t>annual submittals.  Therefore, total cost to the Federal government is expected to be $</w:t>
      </w:r>
      <w:r w:rsidR="00C77500" w:rsidRPr="00E624BE">
        <w:rPr>
          <w:rFonts w:ascii="Arial" w:hAnsi="Arial" w:cs="Arial"/>
          <w:sz w:val="22"/>
          <w:szCs w:val="22"/>
        </w:rPr>
        <w:t>38,086</w:t>
      </w:r>
      <w:r w:rsidR="00F72759" w:rsidRPr="00E624BE">
        <w:rPr>
          <w:rFonts w:ascii="Arial" w:hAnsi="Arial" w:cs="Arial"/>
          <w:sz w:val="22"/>
          <w:szCs w:val="22"/>
        </w:rPr>
        <w:t xml:space="preserve"> ($</w:t>
      </w:r>
      <w:r w:rsidRPr="00E624BE">
        <w:rPr>
          <w:rFonts w:ascii="Arial" w:hAnsi="Arial" w:cs="Arial"/>
          <w:sz w:val="22"/>
          <w:szCs w:val="22"/>
        </w:rPr>
        <w:t xml:space="preserve">274 </w:t>
      </w:r>
      <w:r w:rsidR="00F72759" w:rsidRPr="00E624BE">
        <w:rPr>
          <w:rFonts w:ascii="Arial" w:hAnsi="Arial" w:cs="Arial"/>
          <w:sz w:val="22"/>
          <w:szCs w:val="22"/>
        </w:rPr>
        <w:t xml:space="preserve">x </w:t>
      </w:r>
      <w:r w:rsidR="00C77500" w:rsidRPr="00E624BE">
        <w:rPr>
          <w:rFonts w:ascii="Arial" w:hAnsi="Arial" w:cs="Arial"/>
          <w:sz w:val="22"/>
          <w:szCs w:val="22"/>
        </w:rPr>
        <w:t>139</w:t>
      </w:r>
      <w:r w:rsidR="00F72759" w:rsidRPr="00E624BE">
        <w:rPr>
          <w:rFonts w:ascii="Arial" w:hAnsi="Arial" w:cs="Arial"/>
          <w:sz w:val="22"/>
          <w:szCs w:val="22"/>
        </w:rPr>
        <w:t xml:space="preserve">).  </w:t>
      </w:r>
    </w:p>
    <w:p w:rsidR="008640E3" w:rsidRDefault="008640E3" w:rsidP="008640E3">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F72759" w:rsidRPr="00E624BE" w:rsidRDefault="00F72759" w:rsidP="008640E3">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This cost is fully recovered through fee assessments to NRC licensees pursuant to 10 CFR 170 and/or 10 CFR 171.</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15.</w:t>
      </w:r>
      <w:r w:rsidRPr="00E624BE">
        <w:rPr>
          <w:rFonts w:ascii="Arial" w:hAnsi="Arial" w:cs="Arial"/>
          <w:sz w:val="22"/>
          <w:szCs w:val="22"/>
        </w:rPr>
        <w:tab/>
      </w:r>
      <w:r w:rsidRPr="00E624BE">
        <w:rPr>
          <w:rFonts w:ascii="Arial" w:hAnsi="Arial" w:cs="Arial"/>
          <w:sz w:val="22"/>
          <w:szCs w:val="22"/>
          <w:u w:val="single"/>
        </w:rPr>
        <w:t>Reasons for Changes in Burden or Cost</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8640E3">
      <w:p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The estimated burden has changed from 13</w:t>
      </w:r>
      <w:r w:rsidR="00164BE4" w:rsidRPr="00E624BE">
        <w:rPr>
          <w:rFonts w:ascii="Arial" w:hAnsi="Arial" w:cs="Arial"/>
          <w:sz w:val="22"/>
          <w:szCs w:val="22"/>
        </w:rPr>
        <w:t>7</w:t>
      </w:r>
      <w:r w:rsidRPr="00E624BE">
        <w:rPr>
          <w:rFonts w:ascii="Arial" w:hAnsi="Arial" w:cs="Arial"/>
          <w:sz w:val="22"/>
          <w:szCs w:val="22"/>
        </w:rPr>
        <w:t xml:space="preserve"> hours to </w:t>
      </w:r>
      <w:r w:rsidR="00164BE4" w:rsidRPr="00E624BE">
        <w:rPr>
          <w:rFonts w:ascii="Arial" w:hAnsi="Arial" w:cs="Arial"/>
          <w:sz w:val="22"/>
          <w:szCs w:val="22"/>
        </w:rPr>
        <w:t xml:space="preserve">139 </w:t>
      </w:r>
      <w:r w:rsidRPr="00E624BE">
        <w:rPr>
          <w:rFonts w:ascii="Arial" w:hAnsi="Arial" w:cs="Arial"/>
          <w:sz w:val="22"/>
          <w:szCs w:val="22"/>
        </w:rPr>
        <w:t xml:space="preserve">hours (an increase of </w:t>
      </w:r>
      <w:r w:rsidR="00164BE4" w:rsidRPr="00E624BE">
        <w:rPr>
          <w:rFonts w:ascii="Arial" w:hAnsi="Arial" w:cs="Arial"/>
          <w:sz w:val="22"/>
          <w:szCs w:val="22"/>
        </w:rPr>
        <w:t>2</w:t>
      </w:r>
      <w:r w:rsidRPr="00E624BE">
        <w:rPr>
          <w:rFonts w:ascii="Arial" w:hAnsi="Arial" w:cs="Arial"/>
          <w:sz w:val="22"/>
          <w:szCs w:val="22"/>
        </w:rPr>
        <w:t xml:space="preserve"> hours).  In the current clearance, the NRC has corrected and adjusted the number of respondents to 10</w:t>
      </w:r>
      <w:r w:rsidR="00164BE4" w:rsidRPr="00E624BE">
        <w:rPr>
          <w:rFonts w:ascii="Arial" w:hAnsi="Arial" w:cs="Arial"/>
          <w:sz w:val="22"/>
          <w:szCs w:val="22"/>
        </w:rPr>
        <w:t>8</w:t>
      </w:r>
      <w:r w:rsidRPr="00E624BE">
        <w:rPr>
          <w:rFonts w:ascii="Arial" w:hAnsi="Arial" w:cs="Arial"/>
          <w:sz w:val="22"/>
          <w:szCs w:val="22"/>
        </w:rPr>
        <w:t xml:space="preserve"> power reactors</w:t>
      </w:r>
      <w:r w:rsidR="00164BE4" w:rsidRPr="00E624BE">
        <w:rPr>
          <w:rFonts w:ascii="Arial" w:hAnsi="Arial" w:cs="Arial"/>
          <w:sz w:val="22"/>
          <w:szCs w:val="22"/>
        </w:rPr>
        <w:t>, which reflects the granting of 4 combined licenses,</w:t>
      </w:r>
      <w:r w:rsidRPr="00E624BE">
        <w:rPr>
          <w:rFonts w:ascii="Arial" w:hAnsi="Arial" w:cs="Arial"/>
          <w:sz w:val="22"/>
          <w:szCs w:val="22"/>
        </w:rPr>
        <w:t xml:space="preserve"> and </w:t>
      </w:r>
      <w:r w:rsidR="00164BE4" w:rsidRPr="00E624BE">
        <w:rPr>
          <w:rFonts w:ascii="Arial" w:hAnsi="Arial" w:cs="Arial"/>
          <w:sz w:val="22"/>
          <w:szCs w:val="22"/>
        </w:rPr>
        <w:t xml:space="preserve">31 </w:t>
      </w:r>
      <w:r w:rsidRPr="00E624BE">
        <w:rPr>
          <w:rFonts w:ascii="Arial" w:hAnsi="Arial" w:cs="Arial"/>
          <w:sz w:val="22"/>
          <w:szCs w:val="22"/>
        </w:rPr>
        <w:t xml:space="preserve">non-power testing facilities (a total of </w:t>
      </w:r>
      <w:r w:rsidR="00164BE4" w:rsidRPr="00E624BE">
        <w:rPr>
          <w:rFonts w:ascii="Arial" w:hAnsi="Arial" w:cs="Arial"/>
          <w:sz w:val="22"/>
          <w:szCs w:val="22"/>
        </w:rPr>
        <w:t xml:space="preserve">139 </w:t>
      </w:r>
      <w:r w:rsidRPr="00E624BE">
        <w:rPr>
          <w:rFonts w:ascii="Arial" w:hAnsi="Arial" w:cs="Arial"/>
          <w:sz w:val="22"/>
          <w:szCs w:val="22"/>
        </w:rPr>
        <w:t xml:space="preserve">respondents).  The upward adjustment of </w:t>
      </w:r>
      <w:r w:rsidR="00164BE4" w:rsidRPr="00E624BE">
        <w:rPr>
          <w:rFonts w:ascii="Arial" w:hAnsi="Arial" w:cs="Arial"/>
          <w:sz w:val="22"/>
          <w:szCs w:val="22"/>
        </w:rPr>
        <w:t xml:space="preserve">2 </w:t>
      </w:r>
      <w:r w:rsidRPr="00E624BE">
        <w:rPr>
          <w:rFonts w:ascii="Arial" w:hAnsi="Arial" w:cs="Arial"/>
          <w:sz w:val="22"/>
          <w:szCs w:val="22"/>
        </w:rPr>
        <w:t xml:space="preserve">respondents, at one hour per response, has increased the burden by </w:t>
      </w:r>
      <w:r w:rsidR="00164BE4" w:rsidRPr="00E624BE">
        <w:rPr>
          <w:rFonts w:ascii="Arial" w:hAnsi="Arial" w:cs="Arial"/>
          <w:sz w:val="22"/>
          <w:szCs w:val="22"/>
        </w:rPr>
        <w:t xml:space="preserve">2 </w:t>
      </w:r>
      <w:r w:rsidRPr="00E624BE">
        <w:rPr>
          <w:rFonts w:ascii="Arial" w:hAnsi="Arial" w:cs="Arial"/>
          <w:sz w:val="22"/>
          <w:szCs w:val="22"/>
        </w:rPr>
        <w:t>hours.  The hourly cost increased from $</w:t>
      </w:r>
      <w:r w:rsidR="00193D24" w:rsidRPr="00E624BE">
        <w:rPr>
          <w:rFonts w:ascii="Arial" w:hAnsi="Arial" w:cs="Arial"/>
          <w:sz w:val="22"/>
          <w:szCs w:val="22"/>
        </w:rPr>
        <w:t xml:space="preserve">257 </w:t>
      </w:r>
      <w:r w:rsidRPr="00E624BE">
        <w:rPr>
          <w:rFonts w:ascii="Arial" w:hAnsi="Arial" w:cs="Arial"/>
          <w:sz w:val="22"/>
          <w:szCs w:val="22"/>
        </w:rPr>
        <w:t>to $</w:t>
      </w:r>
      <w:r w:rsidR="00193D24" w:rsidRPr="00E624BE">
        <w:rPr>
          <w:rFonts w:ascii="Arial" w:hAnsi="Arial" w:cs="Arial"/>
          <w:sz w:val="22"/>
          <w:szCs w:val="22"/>
        </w:rPr>
        <w:t>274</w:t>
      </w:r>
      <w:r w:rsidRPr="00E624BE">
        <w:rPr>
          <w:rFonts w:ascii="Arial" w:hAnsi="Arial" w:cs="Arial"/>
          <w:sz w:val="22"/>
          <w:szCs w:val="22"/>
        </w:rPr>
        <w:t>.</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16.</w:t>
      </w:r>
      <w:r w:rsidRPr="00E624BE">
        <w:rPr>
          <w:rFonts w:ascii="Arial" w:hAnsi="Arial" w:cs="Arial"/>
          <w:sz w:val="22"/>
          <w:szCs w:val="22"/>
        </w:rPr>
        <w:tab/>
      </w:r>
      <w:r w:rsidRPr="00E624BE">
        <w:rPr>
          <w:rFonts w:ascii="Arial" w:hAnsi="Arial" w:cs="Arial"/>
          <w:sz w:val="22"/>
          <w:szCs w:val="22"/>
          <w:u w:val="single"/>
        </w:rPr>
        <w:t>Publication for Statistical Use</w:t>
      </w:r>
    </w:p>
    <w:p w:rsidR="00F72759" w:rsidRPr="00E624BE" w:rsidRDefault="00F72759" w:rsidP="00E624BE">
      <w:pPr>
        <w:tabs>
          <w:tab w:val="left" w:pos="-144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F72759" w:rsidRPr="00E624BE" w:rsidRDefault="00F72759" w:rsidP="0051372B">
      <w:pPr>
        <w:tabs>
          <w:tab w:val="left" w:pos="-1440"/>
          <w:tab w:val="left" w:pos="-36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The collected information is not currently used for statistical purposes.</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17.</w:t>
      </w:r>
      <w:r w:rsidRPr="00E624BE">
        <w:rPr>
          <w:rFonts w:ascii="Arial" w:hAnsi="Arial" w:cs="Arial"/>
          <w:sz w:val="22"/>
          <w:szCs w:val="22"/>
        </w:rPr>
        <w:tab/>
      </w:r>
      <w:r w:rsidRPr="00E624BE">
        <w:rPr>
          <w:rFonts w:ascii="Arial" w:hAnsi="Arial" w:cs="Arial"/>
          <w:sz w:val="22"/>
          <w:szCs w:val="22"/>
          <w:u w:val="single"/>
        </w:rPr>
        <w:t>Reason for Not Displaying the Expiration Date</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51372B">
      <w:pPr>
        <w:tabs>
          <w:tab w:val="left" w:pos="-1440"/>
          <w:tab w:val="left" w:pos="-36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 xml:space="preserve">The requirement is contained in a regulation.  Amending the </w:t>
      </w:r>
      <w:r w:rsidR="00AC10B1">
        <w:rPr>
          <w:rFonts w:ascii="Arial" w:hAnsi="Arial" w:cs="Arial"/>
          <w:sz w:val="22"/>
          <w:szCs w:val="22"/>
        </w:rPr>
        <w:t>CFR</w:t>
      </w:r>
      <w:r w:rsidRPr="00E624BE">
        <w:rPr>
          <w:rFonts w:ascii="Arial" w:hAnsi="Arial" w:cs="Arial"/>
          <w:sz w:val="22"/>
          <w:szCs w:val="22"/>
        </w:rPr>
        <w:t xml:space="preserve"> to display information that, in an annual publication, could become obsolete would be unduly burdensome and too difficult to keep current.</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Arial" w:hAnsi="Arial" w:cs="Arial"/>
          <w:sz w:val="22"/>
          <w:szCs w:val="22"/>
        </w:rPr>
      </w:pPr>
      <w:r w:rsidRPr="00E624BE">
        <w:rPr>
          <w:rFonts w:ascii="Arial" w:hAnsi="Arial" w:cs="Arial"/>
          <w:sz w:val="22"/>
          <w:szCs w:val="22"/>
        </w:rPr>
        <w:t>18.</w:t>
      </w:r>
      <w:r w:rsidRPr="00E624BE">
        <w:rPr>
          <w:rFonts w:ascii="Arial" w:hAnsi="Arial" w:cs="Arial"/>
          <w:sz w:val="22"/>
          <w:szCs w:val="22"/>
        </w:rPr>
        <w:tab/>
      </w:r>
      <w:r w:rsidRPr="00E624BE">
        <w:rPr>
          <w:rFonts w:ascii="Arial" w:hAnsi="Arial" w:cs="Arial"/>
          <w:sz w:val="22"/>
          <w:szCs w:val="22"/>
          <w:u w:val="single"/>
        </w:rPr>
        <w:t>Exceptions to the Certification Statement</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51372B">
      <w:pPr>
        <w:tabs>
          <w:tab w:val="left" w:pos="-1440"/>
          <w:tab w:val="left" w:pos="-36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None.</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E624BE">
        <w:rPr>
          <w:rFonts w:ascii="Arial" w:hAnsi="Arial" w:cs="Arial"/>
          <w:sz w:val="22"/>
          <w:szCs w:val="22"/>
        </w:rPr>
        <w:t>B.</w:t>
      </w:r>
      <w:r w:rsidRPr="00E624BE">
        <w:rPr>
          <w:rFonts w:ascii="Arial" w:hAnsi="Arial" w:cs="Arial"/>
          <w:sz w:val="22"/>
          <w:szCs w:val="22"/>
        </w:rPr>
        <w:tab/>
      </w:r>
      <w:r w:rsidRPr="00E624BE">
        <w:rPr>
          <w:rFonts w:ascii="Arial" w:hAnsi="Arial" w:cs="Arial"/>
          <w:sz w:val="22"/>
          <w:szCs w:val="22"/>
          <w:u w:val="single"/>
        </w:rPr>
        <w:t>COLLECTIONS OF INFORMATION EMPLOYING STATISTICAL METHODS</w:t>
      </w:r>
    </w:p>
    <w:p w:rsidR="00F72759" w:rsidRPr="00E624BE" w:rsidRDefault="00F72759" w:rsidP="00E624BE">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2759" w:rsidRPr="00E624BE" w:rsidRDefault="00F72759" w:rsidP="0051372B">
      <w:pPr>
        <w:tabs>
          <w:tab w:val="left" w:pos="-1440"/>
          <w:tab w:val="left" w:pos="-36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r w:rsidRPr="00E624BE">
        <w:rPr>
          <w:rFonts w:ascii="Arial" w:hAnsi="Arial" w:cs="Arial"/>
          <w:sz w:val="22"/>
          <w:szCs w:val="22"/>
        </w:rPr>
        <w:t>Not applicable.</w:t>
      </w:r>
    </w:p>
    <w:p w:rsidR="004A3F84" w:rsidRPr="00E624BE" w:rsidRDefault="004A3F84" w:rsidP="00E624BE">
      <w:pPr>
        <w:rPr>
          <w:rFonts w:ascii="Arial" w:hAnsi="Arial" w:cs="Arial"/>
          <w:sz w:val="22"/>
          <w:szCs w:val="22"/>
        </w:rPr>
      </w:pPr>
    </w:p>
    <w:sectPr w:rsidR="004A3F84" w:rsidRPr="00E624BE" w:rsidSect="00E624BE">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C5" w:rsidRDefault="006D49C5" w:rsidP="00E624BE">
      <w:r>
        <w:separator/>
      </w:r>
    </w:p>
  </w:endnote>
  <w:endnote w:type="continuationSeparator" w:id="0">
    <w:p w:rsidR="006D49C5" w:rsidRDefault="006D49C5" w:rsidP="00E6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C5" w:rsidRDefault="006D49C5" w:rsidP="00E624BE">
      <w:r>
        <w:separator/>
      </w:r>
    </w:p>
  </w:footnote>
  <w:footnote w:type="continuationSeparator" w:id="0">
    <w:p w:rsidR="006D49C5" w:rsidRDefault="006D49C5" w:rsidP="00E62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61D4F"/>
    <w:multiLevelType w:val="hybridMultilevel"/>
    <w:tmpl w:val="EAB23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096F89"/>
    <w:multiLevelType w:val="hybridMultilevel"/>
    <w:tmpl w:val="D73A51BC"/>
    <w:lvl w:ilvl="0" w:tplc="A8A2CF5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759"/>
    <w:rsid w:val="00000639"/>
    <w:rsid w:val="00002240"/>
    <w:rsid w:val="00003286"/>
    <w:rsid w:val="00004164"/>
    <w:rsid w:val="00004B59"/>
    <w:rsid w:val="00006AD3"/>
    <w:rsid w:val="00006BD8"/>
    <w:rsid w:val="00010B28"/>
    <w:rsid w:val="0001302B"/>
    <w:rsid w:val="000133DF"/>
    <w:rsid w:val="00014166"/>
    <w:rsid w:val="000145F7"/>
    <w:rsid w:val="00014CC3"/>
    <w:rsid w:val="00025308"/>
    <w:rsid w:val="000255CC"/>
    <w:rsid w:val="00025A48"/>
    <w:rsid w:val="00030064"/>
    <w:rsid w:val="00030D9B"/>
    <w:rsid w:val="0003372B"/>
    <w:rsid w:val="00033A7D"/>
    <w:rsid w:val="00035213"/>
    <w:rsid w:val="000355DD"/>
    <w:rsid w:val="00036049"/>
    <w:rsid w:val="00036968"/>
    <w:rsid w:val="00043048"/>
    <w:rsid w:val="00043BE7"/>
    <w:rsid w:val="000450C5"/>
    <w:rsid w:val="000453FA"/>
    <w:rsid w:val="00047EFD"/>
    <w:rsid w:val="00047FCA"/>
    <w:rsid w:val="000506D2"/>
    <w:rsid w:val="0005097C"/>
    <w:rsid w:val="000519DA"/>
    <w:rsid w:val="00051DFF"/>
    <w:rsid w:val="00051F76"/>
    <w:rsid w:val="000529FE"/>
    <w:rsid w:val="0005494A"/>
    <w:rsid w:val="00056CC6"/>
    <w:rsid w:val="00060034"/>
    <w:rsid w:val="00060B30"/>
    <w:rsid w:val="00061E69"/>
    <w:rsid w:val="000628BB"/>
    <w:rsid w:val="00063464"/>
    <w:rsid w:val="000641D0"/>
    <w:rsid w:val="00064DC7"/>
    <w:rsid w:val="00065086"/>
    <w:rsid w:val="00065BF1"/>
    <w:rsid w:val="00066E74"/>
    <w:rsid w:val="00067516"/>
    <w:rsid w:val="00067525"/>
    <w:rsid w:val="000705AC"/>
    <w:rsid w:val="000747A4"/>
    <w:rsid w:val="000761E2"/>
    <w:rsid w:val="00077453"/>
    <w:rsid w:val="000810AF"/>
    <w:rsid w:val="000813CA"/>
    <w:rsid w:val="00082FCA"/>
    <w:rsid w:val="00083638"/>
    <w:rsid w:val="00087A50"/>
    <w:rsid w:val="00087D59"/>
    <w:rsid w:val="00087E5D"/>
    <w:rsid w:val="00090B4F"/>
    <w:rsid w:val="0009106E"/>
    <w:rsid w:val="00091184"/>
    <w:rsid w:val="000920AD"/>
    <w:rsid w:val="00092CE4"/>
    <w:rsid w:val="00093E50"/>
    <w:rsid w:val="00095AAD"/>
    <w:rsid w:val="00095FEF"/>
    <w:rsid w:val="0009624D"/>
    <w:rsid w:val="00096C3F"/>
    <w:rsid w:val="000A0219"/>
    <w:rsid w:val="000A15C9"/>
    <w:rsid w:val="000A3724"/>
    <w:rsid w:val="000A37CA"/>
    <w:rsid w:val="000A5005"/>
    <w:rsid w:val="000A54DC"/>
    <w:rsid w:val="000A5628"/>
    <w:rsid w:val="000A5AB3"/>
    <w:rsid w:val="000A5DA8"/>
    <w:rsid w:val="000A7423"/>
    <w:rsid w:val="000B2280"/>
    <w:rsid w:val="000B327C"/>
    <w:rsid w:val="000B56DA"/>
    <w:rsid w:val="000B584A"/>
    <w:rsid w:val="000B6421"/>
    <w:rsid w:val="000B6E0C"/>
    <w:rsid w:val="000C0BEA"/>
    <w:rsid w:val="000C1E5F"/>
    <w:rsid w:val="000C2E2D"/>
    <w:rsid w:val="000C48ED"/>
    <w:rsid w:val="000C4D85"/>
    <w:rsid w:val="000C5039"/>
    <w:rsid w:val="000C6F8E"/>
    <w:rsid w:val="000C756B"/>
    <w:rsid w:val="000D1FD2"/>
    <w:rsid w:val="000D31A4"/>
    <w:rsid w:val="000D3337"/>
    <w:rsid w:val="000D36F8"/>
    <w:rsid w:val="000D4F5E"/>
    <w:rsid w:val="000D65FC"/>
    <w:rsid w:val="000E00A9"/>
    <w:rsid w:val="000E1B12"/>
    <w:rsid w:val="000E2094"/>
    <w:rsid w:val="000E4080"/>
    <w:rsid w:val="000E4F0F"/>
    <w:rsid w:val="000E5454"/>
    <w:rsid w:val="000E55B8"/>
    <w:rsid w:val="000E6959"/>
    <w:rsid w:val="000F142B"/>
    <w:rsid w:val="000F2470"/>
    <w:rsid w:val="000F30B2"/>
    <w:rsid w:val="000F4AD9"/>
    <w:rsid w:val="000F5037"/>
    <w:rsid w:val="000F62D6"/>
    <w:rsid w:val="000F62E7"/>
    <w:rsid w:val="000F6B04"/>
    <w:rsid w:val="000F6B64"/>
    <w:rsid w:val="000F7279"/>
    <w:rsid w:val="00102310"/>
    <w:rsid w:val="001056C5"/>
    <w:rsid w:val="00107E51"/>
    <w:rsid w:val="00107EF5"/>
    <w:rsid w:val="00111B11"/>
    <w:rsid w:val="00112180"/>
    <w:rsid w:val="001127AD"/>
    <w:rsid w:val="001128CD"/>
    <w:rsid w:val="0011361B"/>
    <w:rsid w:val="00113716"/>
    <w:rsid w:val="00114130"/>
    <w:rsid w:val="00115539"/>
    <w:rsid w:val="001205BA"/>
    <w:rsid w:val="001205BC"/>
    <w:rsid w:val="00120CEE"/>
    <w:rsid w:val="0012190A"/>
    <w:rsid w:val="00121AB0"/>
    <w:rsid w:val="00124740"/>
    <w:rsid w:val="001248B8"/>
    <w:rsid w:val="001279AC"/>
    <w:rsid w:val="0013032C"/>
    <w:rsid w:val="00132E21"/>
    <w:rsid w:val="00134239"/>
    <w:rsid w:val="001374A2"/>
    <w:rsid w:val="00137E2B"/>
    <w:rsid w:val="00140E7B"/>
    <w:rsid w:val="00140F3D"/>
    <w:rsid w:val="00141664"/>
    <w:rsid w:val="00141DCF"/>
    <w:rsid w:val="00141FB1"/>
    <w:rsid w:val="00143745"/>
    <w:rsid w:val="00143ADE"/>
    <w:rsid w:val="00145753"/>
    <w:rsid w:val="00146339"/>
    <w:rsid w:val="0014638C"/>
    <w:rsid w:val="00152974"/>
    <w:rsid w:val="00153BFE"/>
    <w:rsid w:val="00155893"/>
    <w:rsid w:val="00156DE0"/>
    <w:rsid w:val="00157B34"/>
    <w:rsid w:val="00157EE9"/>
    <w:rsid w:val="00160CF1"/>
    <w:rsid w:val="00161DE6"/>
    <w:rsid w:val="0016371D"/>
    <w:rsid w:val="00164016"/>
    <w:rsid w:val="00164BE4"/>
    <w:rsid w:val="00165B3C"/>
    <w:rsid w:val="001662E4"/>
    <w:rsid w:val="00170099"/>
    <w:rsid w:val="00170548"/>
    <w:rsid w:val="00170F08"/>
    <w:rsid w:val="001716A1"/>
    <w:rsid w:val="00171743"/>
    <w:rsid w:val="00171E37"/>
    <w:rsid w:val="0017358F"/>
    <w:rsid w:val="001737A8"/>
    <w:rsid w:val="00174F12"/>
    <w:rsid w:val="00176195"/>
    <w:rsid w:val="001761F8"/>
    <w:rsid w:val="00182BCC"/>
    <w:rsid w:val="00182E85"/>
    <w:rsid w:val="00185EFA"/>
    <w:rsid w:val="001866FA"/>
    <w:rsid w:val="001873E9"/>
    <w:rsid w:val="001904D3"/>
    <w:rsid w:val="0019171D"/>
    <w:rsid w:val="00192C69"/>
    <w:rsid w:val="001934BF"/>
    <w:rsid w:val="0019356A"/>
    <w:rsid w:val="00193D24"/>
    <w:rsid w:val="00196D0A"/>
    <w:rsid w:val="001A150F"/>
    <w:rsid w:val="001A2DB5"/>
    <w:rsid w:val="001A3E9F"/>
    <w:rsid w:val="001A4E81"/>
    <w:rsid w:val="001A7E4E"/>
    <w:rsid w:val="001A7EC8"/>
    <w:rsid w:val="001B1D7E"/>
    <w:rsid w:val="001B2458"/>
    <w:rsid w:val="001B2C3F"/>
    <w:rsid w:val="001B3E04"/>
    <w:rsid w:val="001B59B6"/>
    <w:rsid w:val="001C0309"/>
    <w:rsid w:val="001C068E"/>
    <w:rsid w:val="001C0E69"/>
    <w:rsid w:val="001C265A"/>
    <w:rsid w:val="001C5CA1"/>
    <w:rsid w:val="001C649E"/>
    <w:rsid w:val="001C66EB"/>
    <w:rsid w:val="001C772B"/>
    <w:rsid w:val="001C7D8A"/>
    <w:rsid w:val="001D0133"/>
    <w:rsid w:val="001D0FDE"/>
    <w:rsid w:val="001D220E"/>
    <w:rsid w:val="001D288E"/>
    <w:rsid w:val="001D3492"/>
    <w:rsid w:val="001D35BA"/>
    <w:rsid w:val="001D3EB5"/>
    <w:rsid w:val="001D3F3E"/>
    <w:rsid w:val="001D683F"/>
    <w:rsid w:val="001D7F59"/>
    <w:rsid w:val="001E0F80"/>
    <w:rsid w:val="001E1372"/>
    <w:rsid w:val="001E1A8B"/>
    <w:rsid w:val="001E235E"/>
    <w:rsid w:val="001E24AF"/>
    <w:rsid w:val="001E30E9"/>
    <w:rsid w:val="001E39C2"/>
    <w:rsid w:val="001E3B3B"/>
    <w:rsid w:val="001E429C"/>
    <w:rsid w:val="001E4700"/>
    <w:rsid w:val="001E4FB8"/>
    <w:rsid w:val="001E53C6"/>
    <w:rsid w:val="001F02B9"/>
    <w:rsid w:val="001F03A8"/>
    <w:rsid w:val="001F1102"/>
    <w:rsid w:val="001F1643"/>
    <w:rsid w:val="001F2AAC"/>
    <w:rsid w:val="001F2E4B"/>
    <w:rsid w:val="001F3129"/>
    <w:rsid w:val="001F3EEE"/>
    <w:rsid w:val="001F4FFE"/>
    <w:rsid w:val="001F51ED"/>
    <w:rsid w:val="001F78AF"/>
    <w:rsid w:val="00200E89"/>
    <w:rsid w:val="00201419"/>
    <w:rsid w:val="002016DA"/>
    <w:rsid w:val="002020A8"/>
    <w:rsid w:val="00203658"/>
    <w:rsid w:val="00203C5D"/>
    <w:rsid w:val="00206025"/>
    <w:rsid w:val="00206E63"/>
    <w:rsid w:val="002070D3"/>
    <w:rsid w:val="00210649"/>
    <w:rsid w:val="002108B3"/>
    <w:rsid w:val="00212BA7"/>
    <w:rsid w:val="00213488"/>
    <w:rsid w:val="00215ADD"/>
    <w:rsid w:val="00215D66"/>
    <w:rsid w:val="00215D6C"/>
    <w:rsid w:val="00216488"/>
    <w:rsid w:val="00217D11"/>
    <w:rsid w:val="002202B3"/>
    <w:rsid w:val="002213F7"/>
    <w:rsid w:val="0022194E"/>
    <w:rsid w:val="00221A5C"/>
    <w:rsid w:val="00222192"/>
    <w:rsid w:val="002251A0"/>
    <w:rsid w:val="00226FCC"/>
    <w:rsid w:val="00227789"/>
    <w:rsid w:val="00233CEA"/>
    <w:rsid w:val="00233E5D"/>
    <w:rsid w:val="0023470F"/>
    <w:rsid w:val="0023521A"/>
    <w:rsid w:val="0023548C"/>
    <w:rsid w:val="00237751"/>
    <w:rsid w:val="00240E53"/>
    <w:rsid w:val="00241EDE"/>
    <w:rsid w:val="00250DC0"/>
    <w:rsid w:val="00252711"/>
    <w:rsid w:val="00253BE2"/>
    <w:rsid w:val="00254412"/>
    <w:rsid w:val="00254FC7"/>
    <w:rsid w:val="00255197"/>
    <w:rsid w:val="0025521E"/>
    <w:rsid w:val="00255CF4"/>
    <w:rsid w:val="00260620"/>
    <w:rsid w:val="00262D78"/>
    <w:rsid w:val="0026475F"/>
    <w:rsid w:val="0026593C"/>
    <w:rsid w:val="00265A44"/>
    <w:rsid w:val="002660D9"/>
    <w:rsid w:val="00267248"/>
    <w:rsid w:val="00267517"/>
    <w:rsid w:val="002679F0"/>
    <w:rsid w:val="002733C6"/>
    <w:rsid w:val="00274496"/>
    <w:rsid w:val="00274C27"/>
    <w:rsid w:val="002758A3"/>
    <w:rsid w:val="00280E2E"/>
    <w:rsid w:val="00281170"/>
    <w:rsid w:val="0028189B"/>
    <w:rsid w:val="00281D8D"/>
    <w:rsid w:val="00283181"/>
    <w:rsid w:val="002878EE"/>
    <w:rsid w:val="00290208"/>
    <w:rsid w:val="00290A68"/>
    <w:rsid w:val="00297899"/>
    <w:rsid w:val="002978D8"/>
    <w:rsid w:val="00297EA8"/>
    <w:rsid w:val="002A0C3D"/>
    <w:rsid w:val="002A2FE6"/>
    <w:rsid w:val="002A32B3"/>
    <w:rsid w:val="002A362E"/>
    <w:rsid w:val="002A3884"/>
    <w:rsid w:val="002A450D"/>
    <w:rsid w:val="002A4E2B"/>
    <w:rsid w:val="002A4F55"/>
    <w:rsid w:val="002A5734"/>
    <w:rsid w:val="002A5A4D"/>
    <w:rsid w:val="002A6DE2"/>
    <w:rsid w:val="002A7FC0"/>
    <w:rsid w:val="002B2658"/>
    <w:rsid w:val="002B2786"/>
    <w:rsid w:val="002B45CC"/>
    <w:rsid w:val="002B4AF4"/>
    <w:rsid w:val="002B52F3"/>
    <w:rsid w:val="002B55F1"/>
    <w:rsid w:val="002B5BC5"/>
    <w:rsid w:val="002B7122"/>
    <w:rsid w:val="002B71E6"/>
    <w:rsid w:val="002B7226"/>
    <w:rsid w:val="002C0939"/>
    <w:rsid w:val="002C0D86"/>
    <w:rsid w:val="002C0F02"/>
    <w:rsid w:val="002C4648"/>
    <w:rsid w:val="002C498F"/>
    <w:rsid w:val="002C4AC2"/>
    <w:rsid w:val="002C5257"/>
    <w:rsid w:val="002C579E"/>
    <w:rsid w:val="002C6882"/>
    <w:rsid w:val="002C6A8E"/>
    <w:rsid w:val="002C6DE1"/>
    <w:rsid w:val="002D0AB3"/>
    <w:rsid w:val="002D20B1"/>
    <w:rsid w:val="002D6EE1"/>
    <w:rsid w:val="002E0BE3"/>
    <w:rsid w:val="002E1229"/>
    <w:rsid w:val="002E1BF7"/>
    <w:rsid w:val="002E2084"/>
    <w:rsid w:val="002E2371"/>
    <w:rsid w:val="002E3837"/>
    <w:rsid w:val="002E3B20"/>
    <w:rsid w:val="002E3F22"/>
    <w:rsid w:val="002E5ED2"/>
    <w:rsid w:val="002E7923"/>
    <w:rsid w:val="002E7CC8"/>
    <w:rsid w:val="002E7F12"/>
    <w:rsid w:val="002F0E76"/>
    <w:rsid w:val="002F33B5"/>
    <w:rsid w:val="002F3D9C"/>
    <w:rsid w:val="002F65DF"/>
    <w:rsid w:val="002F7D08"/>
    <w:rsid w:val="00300427"/>
    <w:rsid w:val="0030162A"/>
    <w:rsid w:val="003038BD"/>
    <w:rsid w:val="00304204"/>
    <w:rsid w:val="0030450F"/>
    <w:rsid w:val="00304C84"/>
    <w:rsid w:val="003055F1"/>
    <w:rsid w:val="003062B6"/>
    <w:rsid w:val="00307519"/>
    <w:rsid w:val="00307DB5"/>
    <w:rsid w:val="0031033A"/>
    <w:rsid w:val="00311F31"/>
    <w:rsid w:val="00312459"/>
    <w:rsid w:val="00312A3A"/>
    <w:rsid w:val="00313447"/>
    <w:rsid w:val="00314063"/>
    <w:rsid w:val="00314118"/>
    <w:rsid w:val="00317E85"/>
    <w:rsid w:val="00320220"/>
    <w:rsid w:val="0032035C"/>
    <w:rsid w:val="00321CBC"/>
    <w:rsid w:val="003231BA"/>
    <w:rsid w:val="00323A9C"/>
    <w:rsid w:val="003241A4"/>
    <w:rsid w:val="00324567"/>
    <w:rsid w:val="003252A6"/>
    <w:rsid w:val="0032614B"/>
    <w:rsid w:val="00330008"/>
    <w:rsid w:val="003300D6"/>
    <w:rsid w:val="003301C0"/>
    <w:rsid w:val="00330B60"/>
    <w:rsid w:val="00331E13"/>
    <w:rsid w:val="00335B42"/>
    <w:rsid w:val="00336519"/>
    <w:rsid w:val="0033755B"/>
    <w:rsid w:val="00340217"/>
    <w:rsid w:val="00340DBE"/>
    <w:rsid w:val="00341B17"/>
    <w:rsid w:val="00343096"/>
    <w:rsid w:val="00345C66"/>
    <w:rsid w:val="00347239"/>
    <w:rsid w:val="00347FE4"/>
    <w:rsid w:val="003529C5"/>
    <w:rsid w:val="00352D5F"/>
    <w:rsid w:val="00352E8F"/>
    <w:rsid w:val="00353C30"/>
    <w:rsid w:val="003540C7"/>
    <w:rsid w:val="00354289"/>
    <w:rsid w:val="003545E7"/>
    <w:rsid w:val="00355788"/>
    <w:rsid w:val="00356C09"/>
    <w:rsid w:val="0036033A"/>
    <w:rsid w:val="003605BA"/>
    <w:rsid w:val="00360B0B"/>
    <w:rsid w:val="00361072"/>
    <w:rsid w:val="003613B7"/>
    <w:rsid w:val="00362788"/>
    <w:rsid w:val="00362E66"/>
    <w:rsid w:val="003634AF"/>
    <w:rsid w:val="00363544"/>
    <w:rsid w:val="003644DF"/>
    <w:rsid w:val="0036471C"/>
    <w:rsid w:val="0036725C"/>
    <w:rsid w:val="00370449"/>
    <w:rsid w:val="00370483"/>
    <w:rsid w:val="00372E4C"/>
    <w:rsid w:val="003738B0"/>
    <w:rsid w:val="003756EC"/>
    <w:rsid w:val="00377DCF"/>
    <w:rsid w:val="00380B40"/>
    <w:rsid w:val="0038157C"/>
    <w:rsid w:val="00381792"/>
    <w:rsid w:val="00383849"/>
    <w:rsid w:val="00383DA3"/>
    <w:rsid w:val="00384D9D"/>
    <w:rsid w:val="00384DEA"/>
    <w:rsid w:val="00386611"/>
    <w:rsid w:val="00390AC2"/>
    <w:rsid w:val="00392BBB"/>
    <w:rsid w:val="00395EF2"/>
    <w:rsid w:val="003970C1"/>
    <w:rsid w:val="003A0803"/>
    <w:rsid w:val="003A308F"/>
    <w:rsid w:val="003A3F02"/>
    <w:rsid w:val="003A4508"/>
    <w:rsid w:val="003A65B1"/>
    <w:rsid w:val="003A6ACC"/>
    <w:rsid w:val="003A6E11"/>
    <w:rsid w:val="003A73D8"/>
    <w:rsid w:val="003B0172"/>
    <w:rsid w:val="003B1EE8"/>
    <w:rsid w:val="003B45F6"/>
    <w:rsid w:val="003B506A"/>
    <w:rsid w:val="003B5C06"/>
    <w:rsid w:val="003B5DB0"/>
    <w:rsid w:val="003B6D00"/>
    <w:rsid w:val="003B755F"/>
    <w:rsid w:val="003B757B"/>
    <w:rsid w:val="003B7FB2"/>
    <w:rsid w:val="003C0858"/>
    <w:rsid w:val="003C49D2"/>
    <w:rsid w:val="003C6779"/>
    <w:rsid w:val="003C78A6"/>
    <w:rsid w:val="003D3F05"/>
    <w:rsid w:val="003D54DF"/>
    <w:rsid w:val="003D6715"/>
    <w:rsid w:val="003D6C97"/>
    <w:rsid w:val="003D6DE9"/>
    <w:rsid w:val="003E13D5"/>
    <w:rsid w:val="003E2019"/>
    <w:rsid w:val="003E46D5"/>
    <w:rsid w:val="003F0341"/>
    <w:rsid w:val="003F1A45"/>
    <w:rsid w:val="003F1E4C"/>
    <w:rsid w:val="003F318F"/>
    <w:rsid w:val="003F3462"/>
    <w:rsid w:val="003F3717"/>
    <w:rsid w:val="003F38D0"/>
    <w:rsid w:val="003F3B18"/>
    <w:rsid w:val="003F4305"/>
    <w:rsid w:val="003F59D8"/>
    <w:rsid w:val="003F5EE3"/>
    <w:rsid w:val="003F6369"/>
    <w:rsid w:val="003F6990"/>
    <w:rsid w:val="003F6B5F"/>
    <w:rsid w:val="003F7E8B"/>
    <w:rsid w:val="0040232A"/>
    <w:rsid w:val="004036CD"/>
    <w:rsid w:val="00404382"/>
    <w:rsid w:val="00405A29"/>
    <w:rsid w:val="004069C2"/>
    <w:rsid w:val="00406AFD"/>
    <w:rsid w:val="0040760D"/>
    <w:rsid w:val="00407F62"/>
    <w:rsid w:val="00410338"/>
    <w:rsid w:val="004107BD"/>
    <w:rsid w:val="004157B8"/>
    <w:rsid w:val="0041586E"/>
    <w:rsid w:val="00415A8C"/>
    <w:rsid w:val="00415C11"/>
    <w:rsid w:val="00415C3E"/>
    <w:rsid w:val="00417235"/>
    <w:rsid w:val="0041766F"/>
    <w:rsid w:val="00417907"/>
    <w:rsid w:val="00417E04"/>
    <w:rsid w:val="004246E4"/>
    <w:rsid w:val="00424E2D"/>
    <w:rsid w:val="004252EF"/>
    <w:rsid w:val="00425AD5"/>
    <w:rsid w:val="00425E3F"/>
    <w:rsid w:val="00425F76"/>
    <w:rsid w:val="004264D3"/>
    <w:rsid w:val="00426674"/>
    <w:rsid w:val="00426792"/>
    <w:rsid w:val="00430D43"/>
    <w:rsid w:val="004315FD"/>
    <w:rsid w:val="00432F3C"/>
    <w:rsid w:val="00433DE0"/>
    <w:rsid w:val="004346D9"/>
    <w:rsid w:val="00435953"/>
    <w:rsid w:val="00436358"/>
    <w:rsid w:val="00437223"/>
    <w:rsid w:val="00437681"/>
    <w:rsid w:val="00437CE2"/>
    <w:rsid w:val="00440F99"/>
    <w:rsid w:val="00442CBF"/>
    <w:rsid w:val="00442E7D"/>
    <w:rsid w:val="00445B83"/>
    <w:rsid w:val="00446544"/>
    <w:rsid w:val="004501FB"/>
    <w:rsid w:val="00450775"/>
    <w:rsid w:val="004517B6"/>
    <w:rsid w:val="004521BB"/>
    <w:rsid w:val="00452764"/>
    <w:rsid w:val="004527C1"/>
    <w:rsid w:val="0045458D"/>
    <w:rsid w:val="00454B14"/>
    <w:rsid w:val="00454C0E"/>
    <w:rsid w:val="0045655A"/>
    <w:rsid w:val="004569AE"/>
    <w:rsid w:val="00456A21"/>
    <w:rsid w:val="00456A85"/>
    <w:rsid w:val="00456F5C"/>
    <w:rsid w:val="004577C6"/>
    <w:rsid w:val="00460188"/>
    <w:rsid w:val="00460391"/>
    <w:rsid w:val="0046365F"/>
    <w:rsid w:val="00463F23"/>
    <w:rsid w:val="00467156"/>
    <w:rsid w:val="004673FC"/>
    <w:rsid w:val="0046776B"/>
    <w:rsid w:val="00467785"/>
    <w:rsid w:val="004700D9"/>
    <w:rsid w:val="004707F4"/>
    <w:rsid w:val="004723D0"/>
    <w:rsid w:val="00473B58"/>
    <w:rsid w:val="004746F5"/>
    <w:rsid w:val="00474FD1"/>
    <w:rsid w:val="00475A9E"/>
    <w:rsid w:val="0048092A"/>
    <w:rsid w:val="00480EFA"/>
    <w:rsid w:val="004818EF"/>
    <w:rsid w:val="00482783"/>
    <w:rsid w:val="0048365A"/>
    <w:rsid w:val="00483753"/>
    <w:rsid w:val="004839ED"/>
    <w:rsid w:val="00483F2E"/>
    <w:rsid w:val="00484606"/>
    <w:rsid w:val="00485F2C"/>
    <w:rsid w:val="00487758"/>
    <w:rsid w:val="00487A94"/>
    <w:rsid w:val="004910BB"/>
    <w:rsid w:val="0049186D"/>
    <w:rsid w:val="00491CD7"/>
    <w:rsid w:val="004923D2"/>
    <w:rsid w:val="00492EDD"/>
    <w:rsid w:val="00495290"/>
    <w:rsid w:val="004960AB"/>
    <w:rsid w:val="00496404"/>
    <w:rsid w:val="004967B6"/>
    <w:rsid w:val="00496AC6"/>
    <w:rsid w:val="0049743B"/>
    <w:rsid w:val="004A00B2"/>
    <w:rsid w:val="004A0C73"/>
    <w:rsid w:val="004A1075"/>
    <w:rsid w:val="004A1623"/>
    <w:rsid w:val="004A3300"/>
    <w:rsid w:val="004A368F"/>
    <w:rsid w:val="004A3F84"/>
    <w:rsid w:val="004A460D"/>
    <w:rsid w:val="004A5E45"/>
    <w:rsid w:val="004A7371"/>
    <w:rsid w:val="004B1541"/>
    <w:rsid w:val="004B2EC6"/>
    <w:rsid w:val="004B482D"/>
    <w:rsid w:val="004B635F"/>
    <w:rsid w:val="004B6721"/>
    <w:rsid w:val="004C03B1"/>
    <w:rsid w:val="004C06C5"/>
    <w:rsid w:val="004C0E67"/>
    <w:rsid w:val="004C4583"/>
    <w:rsid w:val="004C458E"/>
    <w:rsid w:val="004C4DD4"/>
    <w:rsid w:val="004C5187"/>
    <w:rsid w:val="004C593D"/>
    <w:rsid w:val="004C73CA"/>
    <w:rsid w:val="004D0974"/>
    <w:rsid w:val="004D1BA6"/>
    <w:rsid w:val="004D2203"/>
    <w:rsid w:val="004D2828"/>
    <w:rsid w:val="004D2873"/>
    <w:rsid w:val="004D3034"/>
    <w:rsid w:val="004D347F"/>
    <w:rsid w:val="004D3CAC"/>
    <w:rsid w:val="004D439A"/>
    <w:rsid w:val="004D5A1D"/>
    <w:rsid w:val="004D639E"/>
    <w:rsid w:val="004D746D"/>
    <w:rsid w:val="004D7821"/>
    <w:rsid w:val="004D79C0"/>
    <w:rsid w:val="004E0E1E"/>
    <w:rsid w:val="004E0EC8"/>
    <w:rsid w:val="004E12D5"/>
    <w:rsid w:val="004E1DB8"/>
    <w:rsid w:val="004E25B5"/>
    <w:rsid w:val="004E279B"/>
    <w:rsid w:val="004E2ADF"/>
    <w:rsid w:val="004E6915"/>
    <w:rsid w:val="004E7231"/>
    <w:rsid w:val="004E7620"/>
    <w:rsid w:val="004E7823"/>
    <w:rsid w:val="004E7FD0"/>
    <w:rsid w:val="004F0777"/>
    <w:rsid w:val="004F0D1C"/>
    <w:rsid w:val="004F1AC8"/>
    <w:rsid w:val="004F23DC"/>
    <w:rsid w:val="004F4B43"/>
    <w:rsid w:val="004F5717"/>
    <w:rsid w:val="004F5785"/>
    <w:rsid w:val="004F6936"/>
    <w:rsid w:val="004F6B33"/>
    <w:rsid w:val="004F706D"/>
    <w:rsid w:val="004F755F"/>
    <w:rsid w:val="00501DBB"/>
    <w:rsid w:val="00505DAD"/>
    <w:rsid w:val="00506687"/>
    <w:rsid w:val="00507DC7"/>
    <w:rsid w:val="0051227F"/>
    <w:rsid w:val="005131E3"/>
    <w:rsid w:val="0051372B"/>
    <w:rsid w:val="005158D8"/>
    <w:rsid w:val="0051590A"/>
    <w:rsid w:val="00516A75"/>
    <w:rsid w:val="00517BD0"/>
    <w:rsid w:val="00521860"/>
    <w:rsid w:val="005218AF"/>
    <w:rsid w:val="0052217F"/>
    <w:rsid w:val="005229A2"/>
    <w:rsid w:val="005233F0"/>
    <w:rsid w:val="00523DDE"/>
    <w:rsid w:val="00530927"/>
    <w:rsid w:val="00530BE9"/>
    <w:rsid w:val="00530DEF"/>
    <w:rsid w:val="00531926"/>
    <w:rsid w:val="00531E55"/>
    <w:rsid w:val="0053524D"/>
    <w:rsid w:val="005412F2"/>
    <w:rsid w:val="005418F9"/>
    <w:rsid w:val="00541A80"/>
    <w:rsid w:val="00543E37"/>
    <w:rsid w:val="005520D8"/>
    <w:rsid w:val="005529D9"/>
    <w:rsid w:val="0055365C"/>
    <w:rsid w:val="005548F1"/>
    <w:rsid w:val="00555CAF"/>
    <w:rsid w:val="00555CB4"/>
    <w:rsid w:val="00555F83"/>
    <w:rsid w:val="0055620C"/>
    <w:rsid w:val="0055682E"/>
    <w:rsid w:val="00556865"/>
    <w:rsid w:val="005576C9"/>
    <w:rsid w:val="00561A82"/>
    <w:rsid w:val="00563E59"/>
    <w:rsid w:val="00565DC4"/>
    <w:rsid w:val="005665CF"/>
    <w:rsid w:val="00566840"/>
    <w:rsid w:val="00566A90"/>
    <w:rsid w:val="00566DE1"/>
    <w:rsid w:val="00567514"/>
    <w:rsid w:val="00567C90"/>
    <w:rsid w:val="00570B95"/>
    <w:rsid w:val="005711C0"/>
    <w:rsid w:val="00572282"/>
    <w:rsid w:val="005730F5"/>
    <w:rsid w:val="0057355B"/>
    <w:rsid w:val="005752F8"/>
    <w:rsid w:val="0057573A"/>
    <w:rsid w:val="0057585A"/>
    <w:rsid w:val="00581D7F"/>
    <w:rsid w:val="0058225A"/>
    <w:rsid w:val="00582623"/>
    <w:rsid w:val="00582EEF"/>
    <w:rsid w:val="00590004"/>
    <w:rsid w:val="005929EC"/>
    <w:rsid w:val="00593B22"/>
    <w:rsid w:val="00596C33"/>
    <w:rsid w:val="00596C43"/>
    <w:rsid w:val="005A3449"/>
    <w:rsid w:val="005A3687"/>
    <w:rsid w:val="005A3781"/>
    <w:rsid w:val="005A40AC"/>
    <w:rsid w:val="005A62D8"/>
    <w:rsid w:val="005A6F91"/>
    <w:rsid w:val="005A788D"/>
    <w:rsid w:val="005A7EFF"/>
    <w:rsid w:val="005B0617"/>
    <w:rsid w:val="005B0CFE"/>
    <w:rsid w:val="005B1532"/>
    <w:rsid w:val="005B200A"/>
    <w:rsid w:val="005B32DF"/>
    <w:rsid w:val="005B4627"/>
    <w:rsid w:val="005B69C7"/>
    <w:rsid w:val="005C087D"/>
    <w:rsid w:val="005C2069"/>
    <w:rsid w:val="005C70FE"/>
    <w:rsid w:val="005C7351"/>
    <w:rsid w:val="005C7FC8"/>
    <w:rsid w:val="005D004F"/>
    <w:rsid w:val="005D1F01"/>
    <w:rsid w:val="005D3FEA"/>
    <w:rsid w:val="005D464E"/>
    <w:rsid w:val="005D6639"/>
    <w:rsid w:val="005D6FCD"/>
    <w:rsid w:val="005D739B"/>
    <w:rsid w:val="005D7996"/>
    <w:rsid w:val="005E05A2"/>
    <w:rsid w:val="005E202E"/>
    <w:rsid w:val="005E2490"/>
    <w:rsid w:val="005E35F9"/>
    <w:rsid w:val="005E5F9F"/>
    <w:rsid w:val="005E66C1"/>
    <w:rsid w:val="005E6E40"/>
    <w:rsid w:val="005F1F02"/>
    <w:rsid w:val="005F4724"/>
    <w:rsid w:val="005F593D"/>
    <w:rsid w:val="005F69EC"/>
    <w:rsid w:val="00601725"/>
    <w:rsid w:val="0060292C"/>
    <w:rsid w:val="00602D59"/>
    <w:rsid w:val="00604388"/>
    <w:rsid w:val="0060456E"/>
    <w:rsid w:val="006055B1"/>
    <w:rsid w:val="00605DEB"/>
    <w:rsid w:val="00606839"/>
    <w:rsid w:val="00607179"/>
    <w:rsid w:val="006074CF"/>
    <w:rsid w:val="00607BEE"/>
    <w:rsid w:val="00610E3B"/>
    <w:rsid w:val="00615409"/>
    <w:rsid w:val="006175D8"/>
    <w:rsid w:val="00620F63"/>
    <w:rsid w:val="00622446"/>
    <w:rsid w:val="0062366D"/>
    <w:rsid w:val="006246D9"/>
    <w:rsid w:val="006250E3"/>
    <w:rsid w:val="00626443"/>
    <w:rsid w:val="00627FC2"/>
    <w:rsid w:val="00630ABC"/>
    <w:rsid w:val="00630B17"/>
    <w:rsid w:val="0063221C"/>
    <w:rsid w:val="00632EB5"/>
    <w:rsid w:val="00633702"/>
    <w:rsid w:val="00633BC9"/>
    <w:rsid w:val="006358BA"/>
    <w:rsid w:val="00641F4A"/>
    <w:rsid w:val="006429C5"/>
    <w:rsid w:val="00644629"/>
    <w:rsid w:val="00644A97"/>
    <w:rsid w:val="0064577C"/>
    <w:rsid w:val="00646434"/>
    <w:rsid w:val="00650AFA"/>
    <w:rsid w:val="006517E3"/>
    <w:rsid w:val="00654451"/>
    <w:rsid w:val="006551B0"/>
    <w:rsid w:val="00655377"/>
    <w:rsid w:val="0065626D"/>
    <w:rsid w:val="006570C7"/>
    <w:rsid w:val="00657397"/>
    <w:rsid w:val="006577A1"/>
    <w:rsid w:val="0066013F"/>
    <w:rsid w:val="006606A1"/>
    <w:rsid w:val="006609D4"/>
    <w:rsid w:val="00665586"/>
    <w:rsid w:val="006656E6"/>
    <w:rsid w:val="006659C0"/>
    <w:rsid w:val="00665DAF"/>
    <w:rsid w:val="00666E8C"/>
    <w:rsid w:val="00670A87"/>
    <w:rsid w:val="00671158"/>
    <w:rsid w:val="00671C1A"/>
    <w:rsid w:val="00673C92"/>
    <w:rsid w:val="0067400B"/>
    <w:rsid w:val="00674654"/>
    <w:rsid w:val="006746D1"/>
    <w:rsid w:val="00675D90"/>
    <w:rsid w:val="0067718A"/>
    <w:rsid w:val="006827A9"/>
    <w:rsid w:val="00683BC1"/>
    <w:rsid w:val="00683DD5"/>
    <w:rsid w:val="00683FF3"/>
    <w:rsid w:val="00686259"/>
    <w:rsid w:val="00686A7D"/>
    <w:rsid w:val="00686D02"/>
    <w:rsid w:val="0068784F"/>
    <w:rsid w:val="00687AD7"/>
    <w:rsid w:val="00687FE5"/>
    <w:rsid w:val="0069020F"/>
    <w:rsid w:val="00690243"/>
    <w:rsid w:val="00691E42"/>
    <w:rsid w:val="00691F3B"/>
    <w:rsid w:val="00692555"/>
    <w:rsid w:val="006926EC"/>
    <w:rsid w:val="006953BC"/>
    <w:rsid w:val="0069578F"/>
    <w:rsid w:val="00695D20"/>
    <w:rsid w:val="00696A15"/>
    <w:rsid w:val="00696A59"/>
    <w:rsid w:val="0069738D"/>
    <w:rsid w:val="00697CB7"/>
    <w:rsid w:val="006A10A1"/>
    <w:rsid w:val="006A1695"/>
    <w:rsid w:val="006A203C"/>
    <w:rsid w:val="006A234F"/>
    <w:rsid w:val="006A2D2D"/>
    <w:rsid w:val="006A4040"/>
    <w:rsid w:val="006A4B5F"/>
    <w:rsid w:val="006A6805"/>
    <w:rsid w:val="006A6A65"/>
    <w:rsid w:val="006A73C1"/>
    <w:rsid w:val="006A7806"/>
    <w:rsid w:val="006B179D"/>
    <w:rsid w:val="006B62AB"/>
    <w:rsid w:val="006B66FA"/>
    <w:rsid w:val="006C007F"/>
    <w:rsid w:val="006C033D"/>
    <w:rsid w:val="006C075D"/>
    <w:rsid w:val="006C164C"/>
    <w:rsid w:val="006C4549"/>
    <w:rsid w:val="006C4AFB"/>
    <w:rsid w:val="006C5019"/>
    <w:rsid w:val="006C529E"/>
    <w:rsid w:val="006C5410"/>
    <w:rsid w:val="006C5BC6"/>
    <w:rsid w:val="006C6D51"/>
    <w:rsid w:val="006C7568"/>
    <w:rsid w:val="006C7C0E"/>
    <w:rsid w:val="006C7D6C"/>
    <w:rsid w:val="006D0270"/>
    <w:rsid w:val="006D1B6C"/>
    <w:rsid w:val="006D2A74"/>
    <w:rsid w:val="006D2D03"/>
    <w:rsid w:val="006D3999"/>
    <w:rsid w:val="006D4781"/>
    <w:rsid w:val="006D49C5"/>
    <w:rsid w:val="006D4D9A"/>
    <w:rsid w:val="006D4E33"/>
    <w:rsid w:val="006D696F"/>
    <w:rsid w:val="006D6DE4"/>
    <w:rsid w:val="006E0B03"/>
    <w:rsid w:val="006E1043"/>
    <w:rsid w:val="006E26A8"/>
    <w:rsid w:val="006F16DC"/>
    <w:rsid w:val="006F35E8"/>
    <w:rsid w:val="006F4131"/>
    <w:rsid w:val="006F456A"/>
    <w:rsid w:val="006F47DE"/>
    <w:rsid w:val="006F6585"/>
    <w:rsid w:val="006F68EA"/>
    <w:rsid w:val="006F6B26"/>
    <w:rsid w:val="006F6FFD"/>
    <w:rsid w:val="006F7185"/>
    <w:rsid w:val="006F7A0B"/>
    <w:rsid w:val="007003A7"/>
    <w:rsid w:val="00701489"/>
    <w:rsid w:val="0070169F"/>
    <w:rsid w:val="00702D0D"/>
    <w:rsid w:val="007038E3"/>
    <w:rsid w:val="00704C7D"/>
    <w:rsid w:val="00704CCF"/>
    <w:rsid w:val="007064D6"/>
    <w:rsid w:val="00707D16"/>
    <w:rsid w:val="0071065F"/>
    <w:rsid w:val="00710C55"/>
    <w:rsid w:val="00710DE2"/>
    <w:rsid w:val="00711688"/>
    <w:rsid w:val="00711F3D"/>
    <w:rsid w:val="00712477"/>
    <w:rsid w:val="007125FB"/>
    <w:rsid w:val="00714D32"/>
    <w:rsid w:val="007204CD"/>
    <w:rsid w:val="00722AE0"/>
    <w:rsid w:val="00722F24"/>
    <w:rsid w:val="0072384B"/>
    <w:rsid w:val="00723B4F"/>
    <w:rsid w:val="007244BC"/>
    <w:rsid w:val="007244FE"/>
    <w:rsid w:val="00724AB0"/>
    <w:rsid w:val="00726B9D"/>
    <w:rsid w:val="0072777D"/>
    <w:rsid w:val="00731DA7"/>
    <w:rsid w:val="007323C0"/>
    <w:rsid w:val="007326A6"/>
    <w:rsid w:val="00732C7C"/>
    <w:rsid w:val="00733378"/>
    <w:rsid w:val="00734965"/>
    <w:rsid w:val="00734B3C"/>
    <w:rsid w:val="00735A1A"/>
    <w:rsid w:val="0073667C"/>
    <w:rsid w:val="007366A2"/>
    <w:rsid w:val="0073743B"/>
    <w:rsid w:val="0074158E"/>
    <w:rsid w:val="00741924"/>
    <w:rsid w:val="00741B6A"/>
    <w:rsid w:val="00741C9C"/>
    <w:rsid w:val="00742981"/>
    <w:rsid w:val="00743703"/>
    <w:rsid w:val="00743776"/>
    <w:rsid w:val="00743A28"/>
    <w:rsid w:val="00743E9B"/>
    <w:rsid w:val="00745175"/>
    <w:rsid w:val="007464EB"/>
    <w:rsid w:val="00747AE7"/>
    <w:rsid w:val="0075033C"/>
    <w:rsid w:val="007507D1"/>
    <w:rsid w:val="00750BFD"/>
    <w:rsid w:val="00751AE6"/>
    <w:rsid w:val="00752176"/>
    <w:rsid w:val="007557A3"/>
    <w:rsid w:val="007610C7"/>
    <w:rsid w:val="0076141B"/>
    <w:rsid w:val="0076146F"/>
    <w:rsid w:val="00761908"/>
    <w:rsid w:val="00763199"/>
    <w:rsid w:val="00763BD2"/>
    <w:rsid w:val="007657D3"/>
    <w:rsid w:val="007663D7"/>
    <w:rsid w:val="007668CD"/>
    <w:rsid w:val="00766958"/>
    <w:rsid w:val="00767342"/>
    <w:rsid w:val="00770F17"/>
    <w:rsid w:val="00775418"/>
    <w:rsid w:val="00775D01"/>
    <w:rsid w:val="00776046"/>
    <w:rsid w:val="00776824"/>
    <w:rsid w:val="0077689F"/>
    <w:rsid w:val="007768A0"/>
    <w:rsid w:val="00776AC6"/>
    <w:rsid w:val="0077713A"/>
    <w:rsid w:val="007775B0"/>
    <w:rsid w:val="007779E2"/>
    <w:rsid w:val="00780188"/>
    <w:rsid w:val="00781763"/>
    <w:rsid w:val="00784168"/>
    <w:rsid w:val="0078484B"/>
    <w:rsid w:val="00785FED"/>
    <w:rsid w:val="00787D2C"/>
    <w:rsid w:val="0079015B"/>
    <w:rsid w:val="0079103F"/>
    <w:rsid w:val="007947F0"/>
    <w:rsid w:val="00795E4A"/>
    <w:rsid w:val="0079633B"/>
    <w:rsid w:val="00796373"/>
    <w:rsid w:val="00796E6E"/>
    <w:rsid w:val="0079713C"/>
    <w:rsid w:val="00797716"/>
    <w:rsid w:val="007A0D3D"/>
    <w:rsid w:val="007A1CDD"/>
    <w:rsid w:val="007A1F17"/>
    <w:rsid w:val="007A2BA0"/>
    <w:rsid w:val="007A4D2A"/>
    <w:rsid w:val="007A574A"/>
    <w:rsid w:val="007B1869"/>
    <w:rsid w:val="007B1F38"/>
    <w:rsid w:val="007B337C"/>
    <w:rsid w:val="007B4DB9"/>
    <w:rsid w:val="007B598F"/>
    <w:rsid w:val="007C14A1"/>
    <w:rsid w:val="007C3D61"/>
    <w:rsid w:val="007C3DFB"/>
    <w:rsid w:val="007C3E81"/>
    <w:rsid w:val="007C3ECC"/>
    <w:rsid w:val="007C43EB"/>
    <w:rsid w:val="007C44E1"/>
    <w:rsid w:val="007C4DAB"/>
    <w:rsid w:val="007C5255"/>
    <w:rsid w:val="007C7256"/>
    <w:rsid w:val="007D0099"/>
    <w:rsid w:val="007D066F"/>
    <w:rsid w:val="007D0DB7"/>
    <w:rsid w:val="007D3184"/>
    <w:rsid w:val="007D509E"/>
    <w:rsid w:val="007D60B8"/>
    <w:rsid w:val="007E0077"/>
    <w:rsid w:val="007E0098"/>
    <w:rsid w:val="007E0EE1"/>
    <w:rsid w:val="007E1A80"/>
    <w:rsid w:val="007E1CA1"/>
    <w:rsid w:val="007E1E98"/>
    <w:rsid w:val="007E2371"/>
    <w:rsid w:val="007E28A0"/>
    <w:rsid w:val="007E2BEF"/>
    <w:rsid w:val="007E3E19"/>
    <w:rsid w:val="007E5AB9"/>
    <w:rsid w:val="007E5E8D"/>
    <w:rsid w:val="007E63A1"/>
    <w:rsid w:val="007E6496"/>
    <w:rsid w:val="007E751C"/>
    <w:rsid w:val="007E751E"/>
    <w:rsid w:val="007F0D25"/>
    <w:rsid w:val="007F20E2"/>
    <w:rsid w:val="007F23F5"/>
    <w:rsid w:val="007F3034"/>
    <w:rsid w:val="007F3343"/>
    <w:rsid w:val="007F43E4"/>
    <w:rsid w:val="007F557B"/>
    <w:rsid w:val="007F5D6F"/>
    <w:rsid w:val="007F656C"/>
    <w:rsid w:val="00800903"/>
    <w:rsid w:val="0080186D"/>
    <w:rsid w:val="00801F14"/>
    <w:rsid w:val="00802416"/>
    <w:rsid w:val="0080242F"/>
    <w:rsid w:val="008025F9"/>
    <w:rsid w:val="00802D14"/>
    <w:rsid w:val="0080383F"/>
    <w:rsid w:val="008040EA"/>
    <w:rsid w:val="008041BD"/>
    <w:rsid w:val="00804598"/>
    <w:rsid w:val="00805E48"/>
    <w:rsid w:val="008078AA"/>
    <w:rsid w:val="00810F18"/>
    <w:rsid w:val="00814498"/>
    <w:rsid w:val="00815000"/>
    <w:rsid w:val="0081587C"/>
    <w:rsid w:val="00816071"/>
    <w:rsid w:val="00817D81"/>
    <w:rsid w:val="008210E0"/>
    <w:rsid w:val="008220FD"/>
    <w:rsid w:val="00822233"/>
    <w:rsid w:val="008247D7"/>
    <w:rsid w:val="008249E3"/>
    <w:rsid w:val="008305C3"/>
    <w:rsid w:val="008317FE"/>
    <w:rsid w:val="00832690"/>
    <w:rsid w:val="00832C89"/>
    <w:rsid w:val="00836BB1"/>
    <w:rsid w:val="00836BDB"/>
    <w:rsid w:val="0083758A"/>
    <w:rsid w:val="0084333C"/>
    <w:rsid w:val="008444C4"/>
    <w:rsid w:val="00851595"/>
    <w:rsid w:val="008537CD"/>
    <w:rsid w:val="0085383C"/>
    <w:rsid w:val="00854B0A"/>
    <w:rsid w:val="00855CF1"/>
    <w:rsid w:val="00856004"/>
    <w:rsid w:val="0085639D"/>
    <w:rsid w:val="00861611"/>
    <w:rsid w:val="0086165F"/>
    <w:rsid w:val="0086169B"/>
    <w:rsid w:val="008617C3"/>
    <w:rsid w:val="008620FF"/>
    <w:rsid w:val="008621D9"/>
    <w:rsid w:val="008629FC"/>
    <w:rsid w:val="008640E3"/>
    <w:rsid w:val="00864C12"/>
    <w:rsid w:val="00866D3A"/>
    <w:rsid w:val="008707D1"/>
    <w:rsid w:val="00870BE7"/>
    <w:rsid w:val="008715A1"/>
    <w:rsid w:val="00871AFC"/>
    <w:rsid w:val="00873275"/>
    <w:rsid w:val="00875456"/>
    <w:rsid w:val="00875A46"/>
    <w:rsid w:val="008775B4"/>
    <w:rsid w:val="008864EE"/>
    <w:rsid w:val="0088680E"/>
    <w:rsid w:val="00886CC8"/>
    <w:rsid w:val="0088784E"/>
    <w:rsid w:val="00893B74"/>
    <w:rsid w:val="008963AC"/>
    <w:rsid w:val="00896B79"/>
    <w:rsid w:val="00896CDF"/>
    <w:rsid w:val="00897725"/>
    <w:rsid w:val="008A1CA6"/>
    <w:rsid w:val="008A4447"/>
    <w:rsid w:val="008A51D3"/>
    <w:rsid w:val="008A55E8"/>
    <w:rsid w:val="008A5680"/>
    <w:rsid w:val="008A5EA2"/>
    <w:rsid w:val="008A5EB9"/>
    <w:rsid w:val="008A7A6C"/>
    <w:rsid w:val="008B142A"/>
    <w:rsid w:val="008B15D9"/>
    <w:rsid w:val="008B2D0F"/>
    <w:rsid w:val="008B33FF"/>
    <w:rsid w:val="008B3EA6"/>
    <w:rsid w:val="008B46FD"/>
    <w:rsid w:val="008B498C"/>
    <w:rsid w:val="008B5191"/>
    <w:rsid w:val="008B53F0"/>
    <w:rsid w:val="008B6AC8"/>
    <w:rsid w:val="008B6D6D"/>
    <w:rsid w:val="008C0A86"/>
    <w:rsid w:val="008C21BA"/>
    <w:rsid w:val="008C3DD2"/>
    <w:rsid w:val="008C54C3"/>
    <w:rsid w:val="008C69FB"/>
    <w:rsid w:val="008C738B"/>
    <w:rsid w:val="008D09DD"/>
    <w:rsid w:val="008D0A6D"/>
    <w:rsid w:val="008D0B32"/>
    <w:rsid w:val="008D211A"/>
    <w:rsid w:val="008D499E"/>
    <w:rsid w:val="008D67C7"/>
    <w:rsid w:val="008D7DD4"/>
    <w:rsid w:val="008E0225"/>
    <w:rsid w:val="008E1BBD"/>
    <w:rsid w:val="008E1CD1"/>
    <w:rsid w:val="008E2A09"/>
    <w:rsid w:val="008E3167"/>
    <w:rsid w:val="008E34CC"/>
    <w:rsid w:val="008E5286"/>
    <w:rsid w:val="008E5392"/>
    <w:rsid w:val="008E53C1"/>
    <w:rsid w:val="008E7842"/>
    <w:rsid w:val="008F0410"/>
    <w:rsid w:val="008F0A76"/>
    <w:rsid w:val="008F199D"/>
    <w:rsid w:val="008F1C28"/>
    <w:rsid w:val="008F27C8"/>
    <w:rsid w:val="008F2ACC"/>
    <w:rsid w:val="008F31D3"/>
    <w:rsid w:val="008F4145"/>
    <w:rsid w:val="008F5537"/>
    <w:rsid w:val="008F58BB"/>
    <w:rsid w:val="009003CF"/>
    <w:rsid w:val="00901E9D"/>
    <w:rsid w:val="00902EA3"/>
    <w:rsid w:val="00903BD3"/>
    <w:rsid w:val="00904396"/>
    <w:rsid w:val="00905CA4"/>
    <w:rsid w:val="0090699E"/>
    <w:rsid w:val="0091067C"/>
    <w:rsid w:val="00910BF2"/>
    <w:rsid w:val="00911016"/>
    <w:rsid w:val="0091216E"/>
    <w:rsid w:val="00915A77"/>
    <w:rsid w:val="00917087"/>
    <w:rsid w:val="009235E1"/>
    <w:rsid w:val="0092390B"/>
    <w:rsid w:val="00924F94"/>
    <w:rsid w:val="009272F1"/>
    <w:rsid w:val="009277E1"/>
    <w:rsid w:val="0092795D"/>
    <w:rsid w:val="00931FB0"/>
    <w:rsid w:val="009324AF"/>
    <w:rsid w:val="00933651"/>
    <w:rsid w:val="009343EF"/>
    <w:rsid w:val="00934910"/>
    <w:rsid w:val="00935262"/>
    <w:rsid w:val="009358FA"/>
    <w:rsid w:val="00937BBE"/>
    <w:rsid w:val="009411E3"/>
    <w:rsid w:val="00941867"/>
    <w:rsid w:val="00942DE8"/>
    <w:rsid w:val="00946E42"/>
    <w:rsid w:val="009473FC"/>
    <w:rsid w:val="00947D0C"/>
    <w:rsid w:val="009500AC"/>
    <w:rsid w:val="009529FA"/>
    <w:rsid w:val="00952C94"/>
    <w:rsid w:val="00952D6C"/>
    <w:rsid w:val="0095326F"/>
    <w:rsid w:val="00954DE1"/>
    <w:rsid w:val="00954F0A"/>
    <w:rsid w:val="0095533D"/>
    <w:rsid w:val="00956FD2"/>
    <w:rsid w:val="009606EF"/>
    <w:rsid w:val="00960D51"/>
    <w:rsid w:val="00963BF4"/>
    <w:rsid w:val="0096444A"/>
    <w:rsid w:val="009645A9"/>
    <w:rsid w:val="009660DF"/>
    <w:rsid w:val="009667FF"/>
    <w:rsid w:val="00970B60"/>
    <w:rsid w:val="00972AD7"/>
    <w:rsid w:val="00973923"/>
    <w:rsid w:val="0097394A"/>
    <w:rsid w:val="009763EB"/>
    <w:rsid w:val="009769BD"/>
    <w:rsid w:val="00977659"/>
    <w:rsid w:val="00977CFE"/>
    <w:rsid w:val="009804EA"/>
    <w:rsid w:val="009809E9"/>
    <w:rsid w:val="00981D3C"/>
    <w:rsid w:val="00983656"/>
    <w:rsid w:val="009838D4"/>
    <w:rsid w:val="00983D61"/>
    <w:rsid w:val="0098514C"/>
    <w:rsid w:val="009855AD"/>
    <w:rsid w:val="00985AE6"/>
    <w:rsid w:val="00985D14"/>
    <w:rsid w:val="009866A2"/>
    <w:rsid w:val="009869D2"/>
    <w:rsid w:val="009874FC"/>
    <w:rsid w:val="009922D1"/>
    <w:rsid w:val="00992F88"/>
    <w:rsid w:val="00994E26"/>
    <w:rsid w:val="009970F2"/>
    <w:rsid w:val="009971FD"/>
    <w:rsid w:val="009A02A3"/>
    <w:rsid w:val="009A0DE2"/>
    <w:rsid w:val="009A1940"/>
    <w:rsid w:val="009A26F3"/>
    <w:rsid w:val="009A43A3"/>
    <w:rsid w:val="009A5423"/>
    <w:rsid w:val="009A5879"/>
    <w:rsid w:val="009A5C62"/>
    <w:rsid w:val="009A6703"/>
    <w:rsid w:val="009A6C83"/>
    <w:rsid w:val="009B169D"/>
    <w:rsid w:val="009B1CFC"/>
    <w:rsid w:val="009B1E45"/>
    <w:rsid w:val="009B335A"/>
    <w:rsid w:val="009B414B"/>
    <w:rsid w:val="009B42A6"/>
    <w:rsid w:val="009B5AD4"/>
    <w:rsid w:val="009B610B"/>
    <w:rsid w:val="009B61BB"/>
    <w:rsid w:val="009B7656"/>
    <w:rsid w:val="009C1225"/>
    <w:rsid w:val="009C29CC"/>
    <w:rsid w:val="009C29DF"/>
    <w:rsid w:val="009C462E"/>
    <w:rsid w:val="009C48AD"/>
    <w:rsid w:val="009C5119"/>
    <w:rsid w:val="009C5B38"/>
    <w:rsid w:val="009C5E3A"/>
    <w:rsid w:val="009C637D"/>
    <w:rsid w:val="009C6407"/>
    <w:rsid w:val="009C777F"/>
    <w:rsid w:val="009C7878"/>
    <w:rsid w:val="009C7D31"/>
    <w:rsid w:val="009D1D23"/>
    <w:rsid w:val="009D5082"/>
    <w:rsid w:val="009D5EE6"/>
    <w:rsid w:val="009D6EC8"/>
    <w:rsid w:val="009D7119"/>
    <w:rsid w:val="009E1463"/>
    <w:rsid w:val="009E2050"/>
    <w:rsid w:val="009E241B"/>
    <w:rsid w:val="009E3136"/>
    <w:rsid w:val="009E4997"/>
    <w:rsid w:val="009E4EDD"/>
    <w:rsid w:val="009E5401"/>
    <w:rsid w:val="009E59E4"/>
    <w:rsid w:val="009E6360"/>
    <w:rsid w:val="009F176D"/>
    <w:rsid w:val="009F1C25"/>
    <w:rsid w:val="009F37CC"/>
    <w:rsid w:val="009F415D"/>
    <w:rsid w:val="009F4A6D"/>
    <w:rsid w:val="009F4E86"/>
    <w:rsid w:val="009F4F16"/>
    <w:rsid w:val="009F68F6"/>
    <w:rsid w:val="009F6FE8"/>
    <w:rsid w:val="009F75C7"/>
    <w:rsid w:val="009F7E15"/>
    <w:rsid w:val="00A016C7"/>
    <w:rsid w:val="00A019DB"/>
    <w:rsid w:val="00A03D09"/>
    <w:rsid w:val="00A073DC"/>
    <w:rsid w:val="00A07B07"/>
    <w:rsid w:val="00A115E8"/>
    <w:rsid w:val="00A143FF"/>
    <w:rsid w:val="00A14658"/>
    <w:rsid w:val="00A1474A"/>
    <w:rsid w:val="00A14848"/>
    <w:rsid w:val="00A1519C"/>
    <w:rsid w:val="00A155DB"/>
    <w:rsid w:val="00A16990"/>
    <w:rsid w:val="00A17279"/>
    <w:rsid w:val="00A20DC5"/>
    <w:rsid w:val="00A20F4A"/>
    <w:rsid w:val="00A22B98"/>
    <w:rsid w:val="00A2496F"/>
    <w:rsid w:val="00A256EF"/>
    <w:rsid w:val="00A26166"/>
    <w:rsid w:val="00A26DBB"/>
    <w:rsid w:val="00A27145"/>
    <w:rsid w:val="00A31C25"/>
    <w:rsid w:val="00A32099"/>
    <w:rsid w:val="00A33CA7"/>
    <w:rsid w:val="00A34132"/>
    <w:rsid w:val="00A3418E"/>
    <w:rsid w:val="00A352AE"/>
    <w:rsid w:val="00A35E74"/>
    <w:rsid w:val="00A37150"/>
    <w:rsid w:val="00A3742A"/>
    <w:rsid w:val="00A415BE"/>
    <w:rsid w:val="00A43037"/>
    <w:rsid w:val="00A43E44"/>
    <w:rsid w:val="00A44BC5"/>
    <w:rsid w:val="00A4506A"/>
    <w:rsid w:val="00A45EAF"/>
    <w:rsid w:val="00A50270"/>
    <w:rsid w:val="00A51DC0"/>
    <w:rsid w:val="00A523FA"/>
    <w:rsid w:val="00A528AD"/>
    <w:rsid w:val="00A53828"/>
    <w:rsid w:val="00A5400E"/>
    <w:rsid w:val="00A54E22"/>
    <w:rsid w:val="00A54FD7"/>
    <w:rsid w:val="00A55003"/>
    <w:rsid w:val="00A55BD4"/>
    <w:rsid w:val="00A55C5D"/>
    <w:rsid w:val="00A563E5"/>
    <w:rsid w:val="00A57CDB"/>
    <w:rsid w:val="00A625A8"/>
    <w:rsid w:val="00A626D4"/>
    <w:rsid w:val="00A65477"/>
    <w:rsid w:val="00A65726"/>
    <w:rsid w:val="00A66B33"/>
    <w:rsid w:val="00A6793B"/>
    <w:rsid w:val="00A67CEB"/>
    <w:rsid w:val="00A67EA3"/>
    <w:rsid w:val="00A70C6B"/>
    <w:rsid w:val="00A7248D"/>
    <w:rsid w:val="00A729D5"/>
    <w:rsid w:val="00A72E79"/>
    <w:rsid w:val="00A73490"/>
    <w:rsid w:val="00A7484C"/>
    <w:rsid w:val="00A7516E"/>
    <w:rsid w:val="00A7535E"/>
    <w:rsid w:val="00A76CC3"/>
    <w:rsid w:val="00A77286"/>
    <w:rsid w:val="00A77C1A"/>
    <w:rsid w:val="00A77F44"/>
    <w:rsid w:val="00A805D8"/>
    <w:rsid w:val="00A82A93"/>
    <w:rsid w:val="00A82BE4"/>
    <w:rsid w:val="00A83ACD"/>
    <w:rsid w:val="00A83EC8"/>
    <w:rsid w:val="00A8475D"/>
    <w:rsid w:val="00A84E3A"/>
    <w:rsid w:val="00A868A0"/>
    <w:rsid w:val="00A93121"/>
    <w:rsid w:val="00A95C66"/>
    <w:rsid w:val="00A966B6"/>
    <w:rsid w:val="00A96C13"/>
    <w:rsid w:val="00A971F7"/>
    <w:rsid w:val="00AA035A"/>
    <w:rsid w:val="00AA16A8"/>
    <w:rsid w:val="00AA1F42"/>
    <w:rsid w:val="00AA1F45"/>
    <w:rsid w:val="00AA396A"/>
    <w:rsid w:val="00AA3A95"/>
    <w:rsid w:val="00AA4C78"/>
    <w:rsid w:val="00AA4ED1"/>
    <w:rsid w:val="00AA76C7"/>
    <w:rsid w:val="00AB0C28"/>
    <w:rsid w:val="00AB43E3"/>
    <w:rsid w:val="00AB56B0"/>
    <w:rsid w:val="00AB6583"/>
    <w:rsid w:val="00AB719F"/>
    <w:rsid w:val="00AB74C7"/>
    <w:rsid w:val="00AB7615"/>
    <w:rsid w:val="00AC10B1"/>
    <w:rsid w:val="00AC306B"/>
    <w:rsid w:val="00AC47FD"/>
    <w:rsid w:val="00AC62C6"/>
    <w:rsid w:val="00AD0B10"/>
    <w:rsid w:val="00AD2378"/>
    <w:rsid w:val="00AD2C8A"/>
    <w:rsid w:val="00AD3415"/>
    <w:rsid w:val="00AD46BA"/>
    <w:rsid w:val="00AD591A"/>
    <w:rsid w:val="00AD5A29"/>
    <w:rsid w:val="00AD6A21"/>
    <w:rsid w:val="00AE07FD"/>
    <w:rsid w:val="00AE4816"/>
    <w:rsid w:val="00AE5FB3"/>
    <w:rsid w:val="00AE7F5D"/>
    <w:rsid w:val="00AF0AE7"/>
    <w:rsid w:val="00AF0C20"/>
    <w:rsid w:val="00AF17FA"/>
    <w:rsid w:val="00AF37D1"/>
    <w:rsid w:val="00AF46AA"/>
    <w:rsid w:val="00AF4F41"/>
    <w:rsid w:val="00AF5300"/>
    <w:rsid w:val="00AF7ACE"/>
    <w:rsid w:val="00B008A4"/>
    <w:rsid w:val="00B00FDE"/>
    <w:rsid w:val="00B01247"/>
    <w:rsid w:val="00B028B3"/>
    <w:rsid w:val="00B03284"/>
    <w:rsid w:val="00B0487B"/>
    <w:rsid w:val="00B04E8E"/>
    <w:rsid w:val="00B04F74"/>
    <w:rsid w:val="00B050AC"/>
    <w:rsid w:val="00B05324"/>
    <w:rsid w:val="00B0539B"/>
    <w:rsid w:val="00B059B0"/>
    <w:rsid w:val="00B07047"/>
    <w:rsid w:val="00B12665"/>
    <w:rsid w:val="00B12716"/>
    <w:rsid w:val="00B12FA2"/>
    <w:rsid w:val="00B13997"/>
    <w:rsid w:val="00B13EB0"/>
    <w:rsid w:val="00B13EF4"/>
    <w:rsid w:val="00B14160"/>
    <w:rsid w:val="00B15487"/>
    <w:rsid w:val="00B16552"/>
    <w:rsid w:val="00B16C2D"/>
    <w:rsid w:val="00B16EB8"/>
    <w:rsid w:val="00B1732C"/>
    <w:rsid w:val="00B20B0E"/>
    <w:rsid w:val="00B220F8"/>
    <w:rsid w:val="00B22B58"/>
    <w:rsid w:val="00B249F8"/>
    <w:rsid w:val="00B24CF7"/>
    <w:rsid w:val="00B24EF5"/>
    <w:rsid w:val="00B273DB"/>
    <w:rsid w:val="00B2752C"/>
    <w:rsid w:val="00B303A9"/>
    <w:rsid w:val="00B30422"/>
    <w:rsid w:val="00B30A01"/>
    <w:rsid w:val="00B329B8"/>
    <w:rsid w:val="00B3382B"/>
    <w:rsid w:val="00B344BA"/>
    <w:rsid w:val="00B3711D"/>
    <w:rsid w:val="00B37995"/>
    <w:rsid w:val="00B40372"/>
    <w:rsid w:val="00B4048B"/>
    <w:rsid w:val="00B41C86"/>
    <w:rsid w:val="00B41FA8"/>
    <w:rsid w:val="00B42804"/>
    <w:rsid w:val="00B433F1"/>
    <w:rsid w:val="00B43A79"/>
    <w:rsid w:val="00B45330"/>
    <w:rsid w:val="00B46882"/>
    <w:rsid w:val="00B47083"/>
    <w:rsid w:val="00B473A4"/>
    <w:rsid w:val="00B50760"/>
    <w:rsid w:val="00B515CE"/>
    <w:rsid w:val="00B515E7"/>
    <w:rsid w:val="00B519B6"/>
    <w:rsid w:val="00B525A2"/>
    <w:rsid w:val="00B529F5"/>
    <w:rsid w:val="00B531BA"/>
    <w:rsid w:val="00B54964"/>
    <w:rsid w:val="00B5571A"/>
    <w:rsid w:val="00B5656C"/>
    <w:rsid w:val="00B60982"/>
    <w:rsid w:val="00B624AD"/>
    <w:rsid w:val="00B63090"/>
    <w:rsid w:val="00B63419"/>
    <w:rsid w:val="00B643C3"/>
    <w:rsid w:val="00B659D3"/>
    <w:rsid w:val="00B67C6C"/>
    <w:rsid w:val="00B70FB3"/>
    <w:rsid w:val="00B7247F"/>
    <w:rsid w:val="00B733D1"/>
    <w:rsid w:val="00B73E24"/>
    <w:rsid w:val="00B748F0"/>
    <w:rsid w:val="00B76CE0"/>
    <w:rsid w:val="00B8080F"/>
    <w:rsid w:val="00B8130F"/>
    <w:rsid w:val="00B8142A"/>
    <w:rsid w:val="00B81858"/>
    <w:rsid w:val="00B82F97"/>
    <w:rsid w:val="00B84BFA"/>
    <w:rsid w:val="00B8500B"/>
    <w:rsid w:val="00B85E1B"/>
    <w:rsid w:val="00B91093"/>
    <w:rsid w:val="00B911A5"/>
    <w:rsid w:val="00B91636"/>
    <w:rsid w:val="00B9188E"/>
    <w:rsid w:val="00B9427F"/>
    <w:rsid w:val="00B944E2"/>
    <w:rsid w:val="00B958E9"/>
    <w:rsid w:val="00B96B1A"/>
    <w:rsid w:val="00B97457"/>
    <w:rsid w:val="00BA000B"/>
    <w:rsid w:val="00BA0583"/>
    <w:rsid w:val="00BA071F"/>
    <w:rsid w:val="00BA0B09"/>
    <w:rsid w:val="00BA1DB1"/>
    <w:rsid w:val="00BA3D77"/>
    <w:rsid w:val="00BB1494"/>
    <w:rsid w:val="00BB14E9"/>
    <w:rsid w:val="00BB67FA"/>
    <w:rsid w:val="00BB74C1"/>
    <w:rsid w:val="00BC0713"/>
    <w:rsid w:val="00BC0C20"/>
    <w:rsid w:val="00BC155B"/>
    <w:rsid w:val="00BC1D92"/>
    <w:rsid w:val="00BC22BC"/>
    <w:rsid w:val="00BC3678"/>
    <w:rsid w:val="00BC47FD"/>
    <w:rsid w:val="00BC5CA7"/>
    <w:rsid w:val="00BC6486"/>
    <w:rsid w:val="00BD03B9"/>
    <w:rsid w:val="00BD0ACD"/>
    <w:rsid w:val="00BD2446"/>
    <w:rsid w:val="00BD2B3B"/>
    <w:rsid w:val="00BD2C24"/>
    <w:rsid w:val="00BD5DCD"/>
    <w:rsid w:val="00BD6614"/>
    <w:rsid w:val="00BD71E2"/>
    <w:rsid w:val="00BD7A5F"/>
    <w:rsid w:val="00BE29AA"/>
    <w:rsid w:val="00BE5739"/>
    <w:rsid w:val="00BE63DA"/>
    <w:rsid w:val="00BE769A"/>
    <w:rsid w:val="00BE7E0C"/>
    <w:rsid w:val="00BF04A2"/>
    <w:rsid w:val="00BF0827"/>
    <w:rsid w:val="00BF125E"/>
    <w:rsid w:val="00BF1B42"/>
    <w:rsid w:val="00BF3B2E"/>
    <w:rsid w:val="00BF5144"/>
    <w:rsid w:val="00BF5478"/>
    <w:rsid w:val="00BF7324"/>
    <w:rsid w:val="00BF7B22"/>
    <w:rsid w:val="00BF7BBE"/>
    <w:rsid w:val="00C0123F"/>
    <w:rsid w:val="00C0296A"/>
    <w:rsid w:val="00C02FA3"/>
    <w:rsid w:val="00C03FBF"/>
    <w:rsid w:val="00C04A85"/>
    <w:rsid w:val="00C06842"/>
    <w:rsid w:val="00C12308"/>
    <w:rsid w:val="00C12685"/>
    <w:rsid w:val="00C12942"/>
    <w:rsid w:val="00C13CC5"/>
    <w:rsid w:val="00C13D15"/>
    <w:rsid w:val="00C14BC0"/>
    <w:rsid w:val="00C14EBA"/>
    <w:rsid w:val="00C155F0"/>
    <w:rsid w:val="00C160D2"/>
    <w:rsid w:val="00C16934"/>
    <w:rsid w:val="00C20AEC"/>
    <w:rsid w:val="00C21A19"/>
    <w:rsid w:val="00C2202F"/>
    <w:rsid w:val="00C2229B"/>
    <w:rsid w:val="00C24B2A"/>
    <w:rsid w:val="00C24D9B"/>
    <w:rsid w:val="00C26B4D"/>
    <w:rsid w:val="00C27409"/>
    <w:rsid w:val="00C30C3F"/>
    <w:rsid w:val="00C3119B"/>
    <w:rsid w:val="00C32CB1"/>
    <w:rsid w:val="00C33444"/>
    <w:rsid w:val="00C3382A"/>
    <w:rsid w:val="00C379E9"/>
    <w:rsid w:val="00C4007B"/>
    <w:rsid w:val="00C42F15"/>
    <w:rsid w:val="00C433B6"/>
    <w:rsid w:val="00C43E58"/>
    <w:rsid w:val="00C45554"/>
    <w:rsid w:val="00C4601E"/>
    <w:rsid w:val="00C4663D"/>
    <w:rsid w:val="00C46B82"/>
    <w:rsid w:val="00C52035"/>
    <w:rsid w:val="00C540A4"/>
    <w:rsid w:val="00C54110"/>
    <w:rsid w:val="00C54910"/>
    <w:rsid w:val="00C566F4"/>
    <w:rsid w:val="00C57A0F"/>
    <w:rsid w:val="00C6180F"/>
    <w:rsid w:val="00C639E7"/>
    <w:rsid w:val="00C64E4E"/>
    <w:rsid w:val="00C64F6F"/>
    <w:rsid w:val="00C65640"/>
    <w:rsid w:val="00C65B6E"/>
    <w:rsid w:val="00C65DB7"/>
    <w:rsid w:val="00C66D2B"/>
    <w:rsid w:val="00C70668"/>
    <w:rsid w:val="00C716E4"/>
    <w:rsid w:val="00C717E2"/>
    <w:rsid w:val="00C72235"/>
    <w:rsid w:val="00C734EC"/>
    <w:rsid w:val="00C73BFC"/>
    <w:rsid w:val="00C74691"/>
    <w:rsid w:val="00C751EC"/>
    <w:rsid w:val="00C75AA5"/>
    <w:rsid w:val="00C75CE9"/>
    <w:rsid w:val="00C76B24"/>
    <w:rsid w:val="00C774F8"/>
    <w:rsid w:val="00C77500"/>
    <w:rsid w:val="00C77AE8"/>
    <w:rsid w:val="00C8109E"/>
    <w:rsid w:val="00C81C1C"/>
    <w:rsid w:val="00C82D6F"/>
    <w:rsid w:val="00C845D3"/>
    <w:rsid w:val="00C857B3"/>
    <w:rsid w:val="00C865A3"/>
    <w:rsid w:val="00C90527"/>
    <w:rsid w:val="00C90E86"/>
    <w:rsid w:val="00C91CD5"/>
    <w:rsid w:val="00C9322F"/>
    <w:rsid w:val="00C9426B"/>
    <w:rsid w:val="00C949ED"/>
    <w:rsid w:val="00C953AC"/>
    <w:rsid w:val="00C95523"/>
    <w:rsid w:val="00C95BC7"/>
    <w:rsid w:val="00C96B2D"/>
    <w:rsid w:val="00C97330"/>
    <w:rsid w:val="00C97E7A"/>
    <w:rsid w:val="00CA02BB"/>
    <w:rsid w:val="00CA09E3"/>
    <w:rsid w:val="00CA1009"/>
    <w:rsid w:val="00CA3B6E"/>
    <w:rsid w:val="00CA3FC0"/>
    <w:rsid w:val="00CA4735"/>
    <w:rsid w:val="00CA4CE5"/>
    <w:rsid w:val="00CA4F2B"/>
    <w:rsid w:val="00CA5E1E"/>
    <w:rsid w:val="00CA613C"/>
    <w:rsid w:val="00CA614B"/>
    <w:rsid w:val="00CA6310"/>
    <w:rsid w:val="00CA6D9F"/>
    <w:rsid w:val="00CA6E60"/>
    <w:rsid w:val="00CB0F5B"/>
    <w:rsid w:val="00CB11F0"/>
    <w:rsid w:val="00CB21B1"/>
    <w:rsid w:val="00CB233A"/>
    <w:rsid w:val="00CB241D"/>
    <w:rsid w:val="00CB31E5"/>
    <w:rsid w:val="00CB3469"/>
    <w:rsid w:val="00CB4701"/>
    <w:rsid w:val="00CB69A5"/>
    <w:rsid w:val="00CC0DB0"/>
    <w:rsid w:val="00CC2180"/>
    <w:rsid w:val="00CC26CF"/>
    <w:rsid w:val="00CC48DE"/>
    <w:rsid w:val="00CC52F5"/>
    <w:rsid w:val="00CC53F8"/>
    <w:rsid w:val="00CC606D"/>
    <w:rsid w:val="00CC7BC5"/>
    <w:rsid w:val="00CD2102"/>
    <w:rsid w:val="00CD2BB9"/>
    <w:rsid w:val="00CD40D4"/>
    <w:rsid w:val="00CD4172"/>
    <w:rsid w:val="00CD6380"/>
    <w:rsid w:val="00CD77A3"/>
    <w:rsid w:val="00CE0063"/>
    <w:rsid w:val="00CE02A2"/>
    <w:rsid w:val="00CE0C2A"/>
    <w:rsid w:val="00CE142A"/>
    <w:rsid w:val="00CE3797"/>
    <w:rsid w:val="00CE50F6"/>
    <w:rsid w:val="00CE5453"/>
    <w:rsid w:val="00CE5A57"/>
    <w:rsid w:val="00CE7DFE"/>
    <w:rsid w:val="00CF0442"/>
    <w:rsid w:val="00CF2681"/>
    <w:rsid w:val="00CF359E"/>
    <w:rsid w:val="00CF382E"/>
    <w:rsid w:val="00CF388C"/>
    <w:rsid w:val="00CF6D29"/>
    <w:rsid w:val="00D00DC5"/>
    <w:rsid w:val="00D029E2"/>
    <w:rsid w:val="00D02F2A"/>
    <w:rsid w:val="00D03498"/>
    <w:rsid w:val="00D049FD"/>
    <w:rsid w:val="00D0594A"/>
    <w:rsid w:val="00D05CD8"/>
    <w:rsid w:val="00D068F3"/>
    <w:rsid w:val="00D06D3C"/>
    <w:rsid w:val="00D07A2B"/>
    <w:rsid w:val="00D1340C"/>
    <w:rsid w:val="00D13DEB"/>
    <w:rsid w:val="00D14C2B"/>
    <w:rsid w:val="00D1667A"/>
    <w:rsid w:val="00D20931"/>
    <w:rsid w:val="00D20E2F"/>
    <w:rsid w:val="00D215EE"/>
    <w:rsid w:val="00D2283B"/>
    <w:rsid w:val="00D22E47"/>
    <w:rsid w:val="00D23B84"/>
    <w:rsid w:val="00D24139"/>
    <w:rsid w:val="00D30388"/>
    <w:rsid w:val="00D30734"/>
    <w:rsid w:val="00D3425E"/>
    <w:rsid w:val="00D36041"/>
    <w:rsid w:val="00D40203"/>
    <w:rsid w:val="00D41380"/>
    <w:rsid w:val="00D427BD"/>
    <w:rsid w:val="00D42C6B"/>
    <w:rsid w:val="00D43C0D"/>
    <w:rsid w:val="00D441DA"/>
    <w:rsid w:val="00D44DA6"/>
    <w:rsid w:val="00D45190"/>
    <w:rsid w:val="00D478FD"/>
    <w:rsid w:val="00D47CB1"/>
    <w:rsid w:val="00D51877"/>
    <w:rsid w:val="00D51E45"/>
    <w:rsid w:val="00D526AC"/>
    <w:rsid w:val="00D52B0E"/>
    <w:rsid w:val="00D52E5E"/>
    <w:rsid w:val="00D54117"/>
    <w:rsid w:val="00D57002"/>
    <w:rsid w:val="00D57DC0"/>
    <w:rsid w:val="00D60C85"/>
    <w:rsid w:val="00D60DB3"/>
    <w:rsid w:val="00D631A4"/>
    <w:rsid w:val="00D637DD"/>
    <w:rsid w:val="00D63E02"/>
    <w:rsid w:val="00D649D9"/>
    <w:rsid w:val="00D6518A"/>
    <w:rsid w:val="00D65ED0"/>
    <w:rsid w:val="00D67534"/>
    <w:rsid w:val="00D67633"/>
    <w:rsid w:val="00D67A30"/>
    <w:rsid w:val="00D67B4E"/>
    <w:rsid w:val="00D67D2E"/>
    <w:rsid w:val="00D67F69"/>
    <w:rsid w:val="00D7154F"/>
    <w:rsid w:val="00D716C8"/>
    <w:rsid w:val="00D721A2"/>
    <w:rsid w:val="00D7310B"/>
    <w:rsid w:val="00D73240"/>
    <w:rsid w:val="00D73B92"/>
    <w:rsid w:val="00D74409"/>
    <w:rsid w:val="00D74A6F"/>
    <w:rsid w:val="00D74A98"/>
    <w:rsid w:val="00D74FBF"/>
    <w:rsid w:val="00D77B33"/>
    <w:rsid w:val="00D80B31"/>
    <w:rsid w:val="00D82404"/>
    <w:rsid w:val="00D82BD0"/>
    <w:rsid w:val="00D83707"/>
    <w:rsid w:val="00D850BD"/>
    <w:rsid w:val="00D85423"/>
    <w:rsid w:val="00D85466"/>
    <w:rsid w:val="00D86693"/>
    <w:rsid w:val="00D868D2"/>
    <w:rsid w:val="00D86D71"/>
    <w:rsid w:val="00D87523"/>
    <w:rsid w:val="00D91014"/>
    <w:rsid w:val="00D91B15"/>
    <w:rsid w:val="00D931C1"/>
    <w:rsid w:val="00D9380D"/>
    <w:rsid w:val="00D93A21"/>
    <w:rsid w:val="00D93E32"/>
    <w:rsid w:val="00D9494E"/>
    <w:rsid w:val="00D949CE"/>
    <w:rsid w:val="00D97256"/>
    <w:rsid w:val="00DA05EB"/>
    <w:rsid w:val="00DA2BE0"/>
    <w:rsid w:val="00DA32A6"/>
    <w:rsid w:val="00DA3A38"/>
    <w:rsid w:val="00DA4B12"/>
    <w:rsid w:val="00DB1198"/>
    <w:rsid w:val="00DB3A78"/>
    <w:rsid w:val="00DB40EB"/>
    <w:rsid w:val="00DB440A"/>
    <w:rsid w:val="00DB44BA"/>
    <w:rsid w:val="00DB498F"/>
    <w:rsid w:val="00DB4E5B"/>
    <w:rsid w:val="00DB62F4"/>
    <w:rsid w:val="00DC2C21"/>
    <w:rsid w:val="00DC5789"/>
    <w:rsid w:val="00DC6765"/>
    <w:rsid w:val="00DC67CE"/>
    <w:rsid w:val="00DC6D8A"/>
    <w:rsid w:val="00DD11D0"/>
    <w:rsid w:val="00DD1A37"/>
    <w:rsid w:val="00DD47EE"/>
    <w:rsid w:val="00DD4DF8"/>
    <w:rsid w:val="00DD50D4"/>
    <w:rsid w:val="00DD61A9"/>
    <w:rsid w:val="00DD64FB"/>
    <w:rsid w:val="00DE02EE"/>
    <w:rsid w:val="00DE1618"/>
    <w:rsid w:val="00DE24A6"/>
    <w:rsid w:val="00DE28A5"/>
    <w:rsid w:val="00DE2D06"/>
    <w:rsid w:val="00DE33DD"/>
    <w:rsid w:val="00DE3480"/>
    <w:rsid w:val="00DE3A10"/>
    <w:rsid w:val="00DE4AB7"/>
    <w:rsid w:val="00DE52BD"/>
    <w:rsid w:val="00DE5A59"/>
    <w:rsid w:val="00DE6568"/>
    <w:rsid w:val="00DE68F2"/>
    <w:rsid w:val="00DF0DB4"/>
    <w:rsid w:val="00DF3D5B"/>
    <w:rsid w:val="00DF4528"/>
    <w:rsid w:val="00DF4E6B"/>
    <w:rsid w:val="00DF4F2F"/>
    <w:rsid w:val="00DF5261"/>
    <w:rsid w:val="00DF5828"/>
    <w:rsid w:val="00DF618A"/>
    <w:rsid w:val="00DF686A"/>
    <w:rsid w:val="00DF696F"/>
    <w:rsid w:val="00DF7FD9"/>
    <w:rsid w:val="00E00FF7"/>
    <w:rsid w:val="00E013BA"/>
    <w:rsid w:val="00E017E2"/>
    <w:rsid w:val="00E01BE9"/>
    <w:rsid w:val="00E020F7"/>
    <w:rsid w:val="00E02A04"/>
    <w:rsid w:val="00E038E6"/>
    <w:rsid w:val="00E04D1F"/>
    <w:rsid w:val="00E0565D"/>
    <w:rsid w:val="00E06CAE"/>
    <w:rsid w:val="00E10795"/>
    <w:rsid w:val="00E10CBE"/>
    <w:rsid w:val="00E11ACB"/>
    <w:rsid w:val="00E128F6"/>
    <w:rsid w:val="00E12C3D"/>
    <w:rsid w:val="00E130E0"/>
    <w:rsid w:val="00E139DC"/>
    <w:rsid w:val="00E144A1"/>
    <w:rsid w:val="00E150AE"/>
    <w:rsid w:val="00E15A7B"/>
    <w:rsid w:val="00E15BC1"/>
    <w:rsid w:val="00E16EC5"/>
    <w:rsid w:val="00E2018B"/>
    <w:rsid w:val="00E209FB"/>
    <w:rsid w:val="00E22586"/>
    <w:rsid w:val="00E23C66"/>
    <w:rsid w:val="00E24A90"/>
    <w:rsid w:val="00E2510D"/>
    <w:rsid w:val="00E25372"/>
    <w:rsid w:val="00E30916"/>
    <w:rsid w:val="00E30BE7"/>
    <w:rsid w:val="00E33DE2"/>
    <w:rsid w:val="00E33F58"/>
    <w:rsid w:val="00E34E55"/>
    <w:rsid w:val="00E35915"/>
    <w:rsid w:val="00E36102"/>
    <w:rsid w:val="00E402B9"/>
    <w:rsid w:val="00E40620"/>
    <w:rsid w:val="00E41098"/>
    <w:rsid w:val="00E44B9D"/>
    <w:rsid w:val="00E45E68"/>
    <w:rsid w:val="00E5061F"/>
    <w:rsid w:val="00E50CB2"/>
    <w:rsid w:val="00E511FD"/>
    <w:rsid w:val="00E52854"/>
    <w:rsid w:val="00E535E9"/>
    <w:rsid w:val="00E5406B"/>
    <w:rsid w:val="00E540B0"/>
    <w:rsid w:val="00E55B8E"/>
    <w:rsid w:val="00E55BBF"/>
    <w:rsid w:val="00E56A9C"/>
    <w:rsid w:val="00E573F2"/>
    <w:rsid w:val="00E619F0"/>
    <w:rsid w:val="00E61AA4"/>
    <w:rsid w:val="00E624BE"/>
    <w:rsid w:val="00E6613C"/>
    <w:rsid w:val="00E66661"/>
    <w:rsid w:val="00E66A58"/>
    <w:rsid w:val="00E677ED"/>
    <w:rsid w:val="00E7046B"/>
    <w:rsid w:val="00E72470"/>
    <w:rsid w:val="00E72C92"/>
    <w:rsid w:val="00E72D7F"/>
    <w:rsid w:val="00E730CB"/>
    <w:rsid w:val="00E732A5"/>
    <w:rsid w:val="00E7359A"/>
    <w:rsid w:val="00E73736"/>
    <w:rsid w:val="00E752C0"/>
    <w:rsid w:val="00E76483"/>
    <w:rsid w:val="00E80386"/>
    <w:rsid w:val="00E83801"/>
    <w:rsid w:val="00E845F2"/>
    <w:rsid w:val="00E84645"/>
    <w:rsid w:val="00E848E7"/>
    <w:rsid w:val="00E85550"/>
    <w:rsid w:val="00E85FB0"/>
    <w:rsid w:val="00E86132"/>
    <w:rsid w:val="00E91A3D"/>
    <w:rsid w:val="00E922F7"/>
    <w:rsid w:val="00E92757"/>
    <w:rsid w:val="00E93C11"/>
    <w:rsid w:val="00E9771A"/>
    <w:rsid w:val="00E97E30"/>
    <w:rsid w:val="00EA0606"/>
    <w:rsid w:val="00EA12E9"/>
    <w:rsid w:val="00EA4108"/>
    <w:rsid w:val="00EA46F2"/>
    <w:rsid w:val="00EA5484"/>
    <w:rsid w:val="00EA68DE"/>
    <w:rsid w:val="00EA733A"/>
    <w:rsid w:val="00EA7568"/>
    <w:rsid w:val="00EA79FD"/>
    <w:rsid w:val="00EB2339"/>
    <w:rsid w:val="00EB2C63"/>
    <w:rsid w:val="00EB33B8"/>
    <w:rsid w:val="00EB3CC6"/>
    <w:rsid w:val="00EB4B85"/>
    <w:rsid w:val="00EB57B9"/>
    <w:rsid w:val="00EB5DEF"/>
    <w:rsid w:val="00EC0517"/>
    <w:rsid w:val="00EC0E95"/>
    <w:rsid w:val="00EC18F1"/>
    <w:rsid w:val="00ED186D"/>
    <w:rsid w:val="00ED1E19"/>
    <w:rsid w:val="00ED1E93"/>
    <w:rsid w:val="00ED2812"/>
    <w:rsid w:val="00ED2D5C"/>
    <w:rsid w:val="00ED2EA6"/>
    <w:rsid w:val="00ED389B"/>
    <w:rsid w:val="00ED451A"/>
    <w:rsid w:val="00ED488C"/>
    <w:rsid w:val="00ED48E3"/>
    <w:rsid w:val="00ED4BFD"/>
    <w:rsid w:val="00ED57B2"/>
    <w:rsid w:val="00ED6A36"/>
    <w:rsid w:val="00EE0964"/>
    <w:rsid w:val="00EE157D"/>
    <w:rsid w:val="00EE43D7"/>
    <w:rsid w:val="00EE4658"/>
    <w:rsid w:val="00EE4E41"/>
    <w:rsid w:val="00EE74AE"/>
    <w:rsid w:val="00EE7C28"/>
    <w:rsid w:val="00EE7E77"/>
    <w:rsid w:val="00EF00A5"/>
    <w:rsid w:val="00EF1DF9"/>
    <w:rsid w:val="00EF264F"/>
    <w:rsid w:val="00EF3273"/>
    <w:rsid w:val="00EF41A1"/>
    <w:rsid w:val="00EF5178"/>
    <w:rsid w:val="00EF5353"/>
    <w:rsid w:val="00EF5899"/>
    <w:rsid w:val="00EF736C"/>
    <w:rsid w:val="00EF774D"/>
    <w:rsid w:val="00F00AC2"/>
    <w:rsid w:val="00F017FA"/>
    <w:rsid w:val="00F02105"/>
    <w:rsid w:val="00F03200"/>
    <w:rsid w:val="00F0393A"/>
    <w:rsid w:val="00F03EEA"/>
    <w:rsid w:val="00F03F90"/>
    <w:rsid w:val="00F06B13"/>
    <w:rsid w:val="00F077BD"/>
    <w:rsid w:val="00F07EF3"/>
    <w:rsid w:val="00F160E2"/>
    <w:rsid w:val="00F20B0E"/>
    <w:rsid w:val="00F210BC"/>
    <w:rsid w:val="00F2170B"/>
    <w:rsid w:val="00F2224B"/>
    <w:rsid w:val="00F222E1"/>
    <w:rsid w:val="00F2297C"/>
    <w:rsid w:val="00F2387C"/>
    <w:rsid w:val="00F23A11"/>
    <w:rsid w:val="00F25CF0"/>
    <w:rsid w:val="00F25F2B"/>
    <w:rsid w:val="00F264C0"/>
    <w:rsid w:val="00F268C0"/>
    <w:rsid w:val="00F26D27"/>
    <w:rsid w:val="00F27E6F"/>
    <w:rsid w:val="00F314F3"/>
    <w:rsid w:val="00F317B8"/>
    <w:rsid w:val="00F31FA8"/>
    <w:rsid w:val="00F36FC3"/>
    <w:rsid w:val="00F37D09"/>
    <w:rsid w:val="00F4006F"/>
    <w:rsid w:val="00F40AFD"/>
    <w:rsid w:val="00F423B3"/>
    <w:rsid w:val="00F42A59"/>
    <w:rsid w:val="00F455C8"/>
    <w:rsid w:val="00F4593B"/>
    <w:rsid w:val="00F45C30"/>
    <w:rsid w:val="00F45D4D"/>
    <w:rsid w:val="00F45F58"/>
    <w:rsid w:val="00F4625D"/>
    <w:rsid w:val="00F46CBF"/>
    <w:rsid w:val="00F5210F"/>
    <w:rsid w:val="00F53460"/>
    <w:rsid w:val="00F535B3"/>
    <w:rsid w:val="00F55B41"/>
    <w:rsid w:val="00F56290"/>
    <w:rsid w:val="00F56648"/>
    <w:rsid w:val="00F574DA"/>
    <w:rsid w:val="00F57679"/>
    <w:rsid w:val="00F579F5"/>
    <w:rsid w:val="00F60E31"/>
    <w:rsid w:val="00F61B9C"/>
    <w:rsid w:val="00F62949"/>
    <w:rsid w:val="00F64DBB"/>
    <w:rsid w:val="00F64F54"/>
    <w:rsid w:val="00F66017"/>
    <w:rsid w:val="00F66934"/>
    <w:rsid w:val="00F7006E"/>
    <w:rsid w:val="00F72759"/>
    <w:rsid w:val="00F72919"/>
    <w:rsid w:val="00F72A15"/>
    <w:rsid w:val="00F73056"/>
    <w:rsid w:val="00F73D5F"/>
    <w:rsid w:val="00F74BF7"/>
    <w:rsid w:val="00F771E7"/>
    <w:rsid w:val="00F803D3"/>
    <w:rsid w:val="00F80750"/>
    <w:rsid w:val="00F807DD"/>
    <w:rsid w:val="00F80CCE"/>
    <w:rsid w:val="00F8103D"/>
    <w:rsid w:val="00F83865"/>
    <w:rsid w:val="00F84885"/>
    <w:rsid w:val="00F8619E"/>
    <w:rsid w:val="00F861AB"/>
    <w:rsid w:val="00F871DF"/>
    <w:rsid w:val="00F876C5"/>
    <w:rsid w:val="00F87754"/>
    <w:rsid w:val="00F87A38"/>
    <w:rsid w:val="00F91252"/>
    <w:rsid w:val="00F91550"/>
    <w:rsid w:val="00F945EB"/>
    <w:rsid w:val="00F9532B"/>
    <w:rsid w:val="00F96862"/>
    <w:rsid w:val="00F978C5"/>
    <w:rsid w:val="00FA1B0E"/>
    <w:rsid w:val="00FA2F37"/>
    <w:rsid w:val="00FA6739"/>
    <w:rsid w:val="00FA674D"/>
    <w:rsid w:val="00FB0901"/>
    <w:rsid w:val="00FB0A2F"/>
    <w:rsid w:val="00FB2454"/>
    <w:rsid w:val="00FB2B86"/>
    <w:rsid w:val="00FB3386"/>
    <w:rsid w:val="00FB4022"/>
    <w:rsid w:val="00FB55B4"/>
    <w:rsid w:val="00FB5FE6"/>
    <w:rsid w:val="00FB6028"/>
    <w:rsid w:val="00FB68CA"/>
    <w:rsid w:val="00FB718B"/>
    <w:rsid w:val="00FB75C3"/>
    <w:rsid w:val="00FC04A4"/>
    <w:rsid w:val="00FC289A"/>
    <w:rsid w:val="00FC2A32"/>
    <w:rsid w:val="00FC4193"/>
    <w:rsid w:val="00FC6CBC"/>
    <w:rsid w:val="00FC7278"/>
    <w:rsid w:val="00FD10F9"/>
    <w:rsid w:val="00FD238A"/>
    <w:rsid w:val="00FD5945"/>
    <w:rsid w:val="00FD6208"/>
    <w:rsid w:val="00FD76AC"/>
    <w:rsid w:val="00FE225C"/>
    <w:rsid w:val="00FE3336"/>
    <w:rsid w:val="00FE594A"/>
    <w:rsid w:val="00FE77C5"/>
    <w:rsid w:val="00FE7BE6"/>
    <w:rsid w:val="00FE7F4D"/>
    <w:rsid w:val="00FF2A8F"/>
    <w:rsid w:val="00FF314D"/>
    <w:rsid w:val="00FF3339"/>
    <w:rsid w:val="00FF3A27"/>
    <w:rsid w:val="00FF671C"/>
    <w:rsid w:val="00FF759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759"/>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72759"/>
    <w:pPr>
      <w:widowControl w:val="0"/>
    </w:pPr>
  </w:style>
  <w:style w:type="character" w:styleId="CommentReference">
    <w:name w:val="annotation reference"/>
    <w:basedOn w:val="DefaultParagraphFont"/>
    <w:uiPriority w:val="99"/>
    <w:semiHidden/>
    <w:unhideWhenUsed/>
    <w:rsid w:val="00193D24"/>
    <w:rPr>
      <w:sz w:val="16"/>
      <w:szCs w:val="16"/>
    </w:rPr>
  </w:style>
  <w:style w:type="paragraph" w:styleId="CommentText">
    <w:name w:val="annotation text"/>
    <w:basedOn w:val="Normal"/>
    <w:link w:val="CommentTextChar"/>
    <w:uiPriority w:val="99"/>
    <w:semiHidden/>
    <w:unhideWhenUsed/>
    <w:rsid w:val="00193D24"/>
    <w:rPr>
      <w:sz w:val="20"/>
    </w:rPr>
  </w:style>
  <w:style w:type="character" w:customStyle="1" w:styleId="CommentTextChar">
    <w:name w:val="Comment Text Char"/>
    <w:basedOn w:val="DefaultParagraphFont"/>
    <w:link w:val="CommentText"/>
    <w:uiPriority w:val="99"/>
    <w:semiHidden/>
    <w:rsid w:val="00193D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3D24"/>
    <w:rPr>
      <w:b/>
      <w:bCs/>
    </w:rPr>
  </w:style>
  <w:style w:type="character" w:customStyle="1" w:styleId="CommentSubjectChar">
    <w:name w:val="Comment Subject Char"/>
    <w:basedOn w:val="CommentTextChar"/>
    <w:link w:val="CommentSubject"/>
    <w:uiPriority w:val="99"/>
    <w:semiHidden/>
    <w:rsid w:val="00193D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3D24"/>
    <w:rPr>
      <w:rFonts w:ascii="Tahoma" w:hAnsi="Tahoma" w:cs="Tahoma"/>
      <w:sz w:val="16"/>
      <w:szCs w:val="16"/>
    </w:rPr>
  </w:style>
  <w:style w:type="character" w:customStyle="1" w:styleId="BalloonTextChar">
    <w:name w:val="Balloon Text Char"/>
    <w:basedOn w:val="DefaultParagraphFont"/>
    <w:link w:val="BalloonText"/>
    <w:uiPriority w:val="99"/>
    <w:semiHidden/>
    <w:rsid w:val="00193D24"/>
    <w:rPr>
      <w:rFonts w:ascii="Tahoma" w:eastAsia="Times New Roman" w:hAnsi="Tahoma" w:cs="Tahoma"/>
      <w:sz w:val="16"/>
      <w:szCs w:val="16"/>
    </w:rPr>
  </w:style>
  <w:style w:type="paragraph" w:styleId="ListParagraph">
    <w:name w:val="List Paragraph"/>
    <w:basedOn w:val="Normal"/>
    <w:uiPriority w:val="34"/>
    <w:qFormat/>
    <w:rsid w:val="007F20E2"/>
    <w:pPr>
      <w:ind w:left="720"/>
      <w:contextualSpacing/>
    </w:pPr>
  </w:style>
  <w:style w:type="paragraph" w:styleId="Header">
    <w:name w:val="header"/>
    <w:basedOn w:val="Normal"/>
    <w:link w:val="HeaderChar"/>
    <w:uiPriority w:val="99"/>
    <w:semiHidden/>
    <w:unhideWhenUsed/>
    <w:rsid w:val="00E624BE"/>
    <w:pPr>
      <w:tabs>
        <w:tab w:val="center" w:pos="4680"/>
        <w:tab w:val="right" w:pos="9360"/>
      </w:tabs>
    </w:pPr>
  </w:style>
  <w:style w:type="character" w:customStyle="1" w:styleId="HeaderChar">
    <w:name w:val="Header Char"/>
    <w:basedOn w:val="DefaultParagraphFont"/>
    <w:link w:val="Header"/>
    <w:uiPriority w:val="99"/>
    <w:semiHidden/>
    <w:rsid w:val="00E624BE"/>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E624BE"/>
    <w:pPr>
      <w:tabs>
        <w:tab w:val="center" w:pos="4680"/>
        <w:tab w:val="right" w:pos="9360"/>
      </w:tabs>
    </w:pPr>
  </w:style>
  <w:style w:type="character" w:customStyle="1" w:styleId="FooterChar">
    <w:name w:val="Footer Char"/>
    <w:basedOn w:val="DefaultParagraphFont"/>
    <w:link w:val="Footer"/>
    <w:uiPriority w:val="99"/>
    <w:semiHidden/>
    <w:rsid w:val="00E624B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759"/>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72759"/>
    <w:pPr>
      <w:widowControl w:val="0"/>
    </w:pPr>
  </w:style>
  <w:style w:type="character" w:styleId="CommentReference">
    <w:name w:val="annotation reference"/>
    <w:basedOn w:val="DefaultParagraphFont"/>
    <w:uiPriority w:val="99"/>
    <w:semiHidden/>
    <w:unhideWhenUsed/>
    <w:rsid w:val="00193D24"/>
    <w:rPr>
      <w:sz w:val="16"/>
      <w:szCs w:val="16"/>
    </w:rPr>
  </w:style>
  <w:style w:type="paragraph" w:styleId="CommentText">
    <w:name w:val="annotation text"/>
    <w:basedOn w:val="Normal"/>
    <w:link w:val="CommentTextChar"/>
    <w:uiPriority w:val="99"/>
    <w:semiHidden/>
    <w:unhideWhenUsed/>
    <w:rsid w:val="00193D24"/>
    <w:rPr>
      <w:sz w:val="20"/>
    </w:rPr>
  </w:style>
  <w:style w:type="character" w:customStyle="1" w:styleId="CommentTextChar">
    <w:name w:val="Comment Text Char"/>
    <w:basedOn w:val="DefaultParagraphFont"/>
    <w:link w:val="CommentText"/>
    <w:uiPriority w:val="99"/>
    <w:semiHidden/>
    <w:rsid w:val="00193D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3D24"/>
    <w:rPr>
      <w:b/>
      <w:bCs/>
    </w:rPr>
  </w:style>
  <w:style w:type="character" w:customStyle="1" w:styleId="CommentSubjectChar">
    <w:name w:val="Comment Subject Char"/>
    <w:basedOn w:val="CommentTextChar"/>
    <w:link w:val="CommentSubject"/>
    <w:uiPriority w:val="99"/>
    <w:semiHidden/>
    <w:rsid w:val="00193D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3D24"/>
    <w:rPr>
      <w:rFonts w:ascii="Tahoma" w:hAnsi="Tahoma" w:cs="Tahoma"/>
      <w:sz w:val="16"/>
      <w:szCs w:val="16"/>
    </w:rPr>
  </w:style>
  <w:style w:type="character" w:customStyle="1" w:styleId="BalloonTextChar">
    <w:name w:val="Balloon Text Char"/>
    <w:basedOn w:val="DefaultParagraphFont"/>
    <w:link w:val="BalloonText"/>
    <w:uiPriority w:val="99"/>
    <w:semiHidden/>
    <w:rsid w:val="00193D24"/>
    <w:rPr>
      <w:rFonts w:ascii="Tahoma" w:eastAsia="Times New Roman" w:hAnsi="Tahoma" w:cs="Tahoma"/>
      <w:sz w:val="16"/>
      <w:szCs w:val="16"/>
    </w:rPr>
  </w:style>
  <w:style w:type="paragraph" w:styleId="ListParagraph">
    <w:name w:val="List Paragraph"/>
    <w:basedOn w:val="Normal"/>
    <w:uiPriority w:val="34"/>
    <w:qFormat/>
    <w:rsid w:val="007F20E2"/>
    <w:pPr>
      <w:ind w:left="720"/>
      <w:contextualSpacing/>
    </w:pPr>
  </w:style>
  <w:style w:type="paragraph" w:styleId="Header">
    <w:name w:val="header"/>
    <w:basedOn w:val="Normal"/>
    <w:link w:val="HeaderChar"/>
    <w:uiPriority w:val="99"/>
    <w:semiHidden/>
    <w:unhideWhenUsed/>
    <w:rsid w:val="00E624BE"/>
    <w:pPr>
      <w:tabs>
        <w:tab w:val="center" w:pos="4680"/>
        <w:tab w:val="right" w:pos="9360"/>
      </w:tabs>
    </w:pPr>
  </w:style>
  <w:style w:type="character" w:customStyle="1" w:styleId="HeaderChar">
    <w:name w:val="Header Char"/>
    <w:basedOn w:val="DefaultParagraphFont"/>
    <w:link w:val="Header"/>
    <w:uiPriority w:val="99"/>
    <w:semiHidden/>
    <w:rsid w:val="00E624BE"/>
    <w:rPr>
      <w:rFonts w:ascii="Times New Roman" w:eastAsia="Times New Roman" w:hAnsi="Times New Roman" w:cs="Times New Roman"/>
      <w:sz w:val="24"/>
      <w:szCs w:val="20"/>
    </w:rPr>
  </w:style>
  <w:style w:type="paragraph" w:styleId="Footer">
    <w:name w:val="footer"/>
    <w:basedOn w:val="Normal"/>
    <w:link w:val="FooterChar"/>
    <w:uiPriority w:val="99"/>
    <w:semiHidden/>
    <w:unhideWhenUsed/>
    <w:rsid w:val="00E624BE"/>
    <w:pPr>
      <w:tabs>
        <w:tab w:val="center" w:pos="4680"/>
        <w:tab w:val="right" w:pos="9360"/>
      </w:tabs>
    </w:pPr>
  </w:style>
  <w:style w:type="character" w:customStyle="1" w:styleId="FooterChar">
    <w:name w:val="Footer Char"/>
    <w:basedOn w:val="DefaultParagraphFont"/>
    <w:link w:val="Footer"/>
    <w:uiPriority w:val="99"/>
    <w:semiHidden/>
    <w:rsid w:val="00E624B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0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1422</Words>
  <Characters>8112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Donnell, Tremaine</cp:lastModifiedBy>
  <cp:revision>2</cp:revision>
  <dcterms:created xsi:type="dcterms:W3CDTF">2014-10-14T21:14:00Z</dcterms:created>
  <dcterms:modified xsi:type="dcterms:W3CDTF">2014-10-14T21:14:00Z</dcterms:modified>
</cp:coreProperties>
</file>