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6EB" w:rsidRPr="007334E7" w:rsidRDefault="007766EB" w:rsidP="007766EB">
      <w:pPr>
        <w:rPr>
          <w:rFonts w:ascii="Arial" w:hAnsi="Arial" w:cs="Arial"/>
          <w:sz w:val="22"/>
          <w:szCs w:val="22"/>
        </w:rPr>
      </w:pPr>
      <w:bookmarkStart w:id="0" w:name="_GoBack"/>
      <w:bookmarkEnd w:id="0"/>
      <w:r w:rsidRPr="007334E7">
        <w:rPr>
          <w:rFonts w:ascii="Arial" w:hAnsi="Arial" w:cs="Arial"/>
          <w:sz w:val="22"/>
          <w:szCs w:val="22"/>
        </w:rPr>
        <w:t>Section 23</w:t>
      </w:r>
    </w:p>
    <w:p w:rsidR="007766EB" w:rsidRPr="007334E7" w:rsidRDefault="007766EB" w:rsidP="007766EB">
      <w:pPr>
        <w:rPr>
          <w:rFonts w:ascii="Arial" w:hAnsi="Arial" w:cs="Arial"/>
          <w:sz w:val="22"/>
          <w:szCs w:val="22"/>
        </w:rPr>
      </w:pPr>
    </w:p>
    <w:p w:rsidR="007766EB" w:rsidRPr="007334E7" w:rsidRDefault="00F7450E" w:rsidP="007766EB">
      <w:pPr>
        <w:tabs>
          <w:tab w:val="center" w:pos="4680"/>
        </w:tabs>
        <w:jc w:val="center"/>
        <w:rPr>
          <w:rFonts w:ascii="Arial" w:hAnsi="Arial" w:cs="Arial"/>
          <w:sz w:val="22"/>
          <w:szCs w:val="22"/>
        </w:rPr>
      </w:pPr>
      <w:r>
        <w:rPr>
          <w:rFonts w:ascii="Arial" w:hAnsi="Arial" w:cs="Arial"/>
          <w:sz w:val="22"/>
          <w:szCs w:val="22"/>
        </w:rPr>
        <w:t>FINAL</w:t>
      </w:r>
      <w:r w:rsidR="007766EB">
        <w:rPr>
          <w:rFonts w:ascii="Arial" w:hAnsi="Arial" w:cs="Arial"/>
          <w:sz w:val="22"/>
          <w:szCs w:val="22"/>
        </w:rPr>
        <w:t xml:space="preserve"> </w:t>
      </w:r>
      <w:r w:rsidR="007766EB" w:rsidRPr="007334E7">
        <w:rPr>
          <w:rFonts w:ascii="Arial" w:hAnsi="Arial" w:cs="Arial"/>
          <w:sz w:val="22"/>
          <w:szCs w:val="22"/>
        </w:rPr>
        <w:t>SUPPORTING STATEMENT</w:t>
      </w:r>
    </w:p>
    <w:p w:rsidR="007766EB" w:rsidRPr="007334E7" w:rsidRDefault="007766EB" w:rsidP="007766EB">
      <w:pPr>
        <w:tabs>
          <w:tab w:val="center" w:pos="4680"/>
        </w:tabs>
        <w:jc w:val="center"/>
        <w:rPr>
          <w:rFonts w:ascii="Arial" w:hAnsi="Arial" w:cs="Arial"/>
          <w:sz w:val="22"/>
          <w:szCs w:val="22"/>
        </w:rPr>
      </w:pPr>
      <w:r w:rsidRPr="007334E7">
        <w:rPr>
          <w:rFonts w:ascii="Arial" w:hAnsi="Arial" w:cs="Arial"/>
          <w:sz w:val="22"/>
          <w:szCs w:val="22"/>
        </w:rPr>
        <w:t>FOR</w:t>
      </w:r>
    </w:p>
    <w:p w:rsidR="007766EB" w:rsidRPr="007334E7" w:rsidRDefault="007766EB" w:rsidP="007766EB">
      <w:pPr>
        <w:tabs>
          <w:tab w:val="center" w:pos="4680"/>
        </w:tabs>
        <w:jc w:val="center"/>
        <w:rPr>
          <w:rFonts w:ascii="Arial" w:hAnsi="Arial" w:cs="Arial"/>
          <w:sz w:val="22"/>
          <w:szCs w:val="22"/>
        </w:rPr>
      </w:pPr>
      <w:r w:rsidRPr="007334E7">
        <w:rPr>
          <w:rFonts w:ascii="Arial" w:hAnsi="Arial" w:cs="Arial"/>
          <w:sz w:val="22"/>
          <w:szCs w:val="22"/>
        </w:rPr>
        <w:t>REQUIREMENT FOR MONITORING THE EFFECTIVENESS OF</w:t>
      </w:r>
    </w:p>
    <w:p w:rsidR="007766EB" w:rsidRPr="007334E7" w:rsidRDefault="007766EB" w:rsidP="007766EB">
      <w:pPr>
        <w:tabs>
          <w:tab w:val="center" w:pos="4680"/>
        </w:tabs>
        <w:jc w:val="center"/>
        <w:rPr>
          <w:rFonts w:ascii="Arial" w:hAnsi="Arial" w:cs="Arial"/>
          <w:sz w:val="22"/>
          <w:szCs w:val="22"/>
        </w:rPr>
      </w:pPr>
      <w:r w:rsidRPr="007334E7">
        <w:rPr>
          <w:rFonts w:ascii="Arial" w:hAnsi="Arial" w:cs="Arial"/>
          <w:sz w:val="22"/>
          <w:szCs w:val="22"/>
        </w:rPr>
        <w:t>MAINTENANCE AT NUCLEAR POWER PLANTS</w:t>
      </w:r>
    </w:p>
    <w:p w:rsidR="007766EB" w:rsidRPr="007334E7" w:rsidRDefault="007766EB" w:rsidP="007766EB">
      <w:pPr>
        <w:jc w:val="center"/>
        <w:rPr>
          <w:rFonts w:ascii="Arial" w:hAnsi="Arial" w:cs="Arial"/>
          <w:sz w:val="22"/>
          <w:szCs w:val="22"/>
        </w:rPr>
      </w:pPr>
    </w:p>
    <w:p w:rsidR="007766EB" w:rsidRPr="007334E7" w:rsidRDefault="007766EB" w:rsidP="007766EB">
      <w:pPr>
        <w:tabs>
          <w:tab w:val="center" w:pos="4680"/>
        </w:tabs>
        <w:jc w:val="center"/>
        <w:rPr>
          <w:rFonts w:ascii="Arial" w:hAnsi="Arial" w:cs="Arial"/>
          <w:sz w:val="22"/>
          <w:szCs w:val="22"/>
        </w:rPr>
      </w:pPr>
      <w:r w:rsidRPr="007334E7">
        <w:rPr>
          <w:rFonts w:ascii="Arial" w:hAnsi="Arial" w:cs="Arial"/>
          <w:sz w:val="22"/>
          <w:szCs w:val="22"/>
        </w:rPr>
        <w:t xml:space="preserve">10 </w:t>
      </w:r>
      <w:r w:rsidR="006F79BC" w:rsidRPr="001C7FDD">
        <w:rPr>
          <w:rFonts w:ascii="Arial" w:hAnsi="Arial" w:cs="Arial"/>
          <w:sz w:val="22"/>
          <w:szCs w:val="22"/>
        </w:rPr>
        <w:t>CFR</w:t>
      </w:r>
      <w:r w:rsidR="001C7FDD">
        <w:rPr>
          <w:rFonts w:ascii="Arial" w:hAnsi="Arial" w:cs="Arial"/>
          <w:sz w:val="22"/>
          <w:szCs w:val="22"/>
        </w:rPr>
        <w:t xml:space="preserve"> </w:t>
      </w:r>
      <w:r w:rsidRPr="007334E7">
        <w:rPr>
          <w:rFonts w:ascii="Arial" w:hAnsi="Arial" w:cs="Arial"/>
          <w:sz w:val="22"/>
          <w:szCs w:val="22"/>
        </w:rPr>
        <w:t>50.65</w:t>
      </w:r>
    </w:p>
    <w:p w:rsidR="007766EB" w:rsidRPr="007334E7" w:rsidRDefault="007766EB" w:rsidP="007766EB">
      <w:pPr>
        <w:jc w:val="center"/>
        <w:rPr>
          <w:rFonts w:ascii="Arial" w:hAnsi="Arial" w:cs="Arial"/>
          <w:sz w:val="22"/>
          <w:szCs w:val="22"/>
        </w:rPr>
      </w:pPr>
    </w:p>
    <w:p w:rsidR="007766EB" w:rsidRPr="007334E7" w:rsidRDefault="007766EB" w:rsidP="007766EB">
      <w:pPr>
        <w:rPr>
          <w:rFonts w:ascii="Arial" w:hAnsi="Arial" w:cs="Arial"/>
          <w:sz w:val="22"/>
          <w:szCs w:val="22"/>
        </w:rPr>
      </w:pPr>
    </w:p>
    <w:p w:rsidR="007766EB" w:rsidRPr="007334E7" w:rsidRDefault="007766EB" w:rsidP="007766EB">
      <w:pPr>
        <w:rPr>
          <w:rFonts w:ascii="Arial" w:hAnsi="Arial" w:cs="Arial"/>
          <w:sz w:val="22"/>
          <w:szCs w:val="22"/>
        </w:rPr>
      </w:pPr>
      <w:r w:rsidRPr="007334E7">
        <w:rPr>
          <w:rFonts w:ascii="Arial" w:hAnsi="Arial" w:cs="Arial"/>
          <w:sz w:val="22"/>
          <w:szCs w:val="22"/>
          <w:u w:val="single"/>
        </w:rPr>
        <w:t>Description of the Information Collection</w:t>
      </w:r>
    </w:p>
    <w:p w:rsidR="007766EB" w:rsidRPr="007334E7" w:rsidRDefault="007766EB" w:rsidP="007766EB">
      <w:pPr>
        <w:rPr>
          <w:rFonts w:ascii="Arial" w:hAnsi="Arial" w:cs="Arial"/>
          <w:sz w:val="22"/>
          <w:szCs w:val="22"/>
        </w:rPr>
      </w:pPr>
    </w:p>
    <w:p w:rsidR="006F79BC" w:rsidRDefault="007766EB" w:rsidP="007766EB">
      <w:pPr>
        <w:rPr>
          <w:rFonts w:ascii="Arial" w:hAnsi="Arial" w:cs="Arial"/>
          <w:sz w:val="22"/>
          <w:szCs w:val="22"/>
        </w:rPr>
      </w:pPr>
      <w:r w:rsidRPr="007334E7">
        <w:rPr>
          <w:rFonts w:ascii="Arial" w:hAnsi="Arial" w:cs="Arial"/>
          <w:sz w:val="22"/>
          <w:szCs w:val="22"/>
        </w:rPr>
        <w:t xml:space="preserve">Requirements pertaining to the monitoring of the effectiveness of maintenance at nuclear power plants are provided in 10 </w:t>
      </w:r>
      <w:r w:rsidR="006F79BC" w:rsidRPr="006F79BC">
        <w:rPr>
          <w:rFonts w:ascii="Arial" w:hAnsi="Arial" w:cs="Arial"/>
          <w:i/>
          <w:sz w:val="22"/>
          <w:szCs w:val="22"/>
        </w:rPr>
        <w:t>Code of Federal Regulation</w:t>
      </w:r>
      <w:r w:rsidR="006F79BC" w:rsidRPr="007334E7">
        <w:rPr>
          <w:rFonts w:ascii="Arial" w:hAnsi="Arial" w:cs="Arial"/>
          <w:sz w:val="22"/>
          <w:szCs w:val="22"/>
        </w:rPr>
        <w:t xml:space="preserve"> </w:t>
      </w:r>
      <w:r w:rsidR="006F79BC">
        <w:rPr>
          <w:rFonts w:ascii="Arial" w:hAnsi="Arial" w:cs="Arial"/>
          <w:sz w:val="22"/>
          <w:szCs w:val="22"/>
        </w:rPr>
        <w:t>(</w:t>
      </w:r>
      <w:r w:rsidRPr="007334E7">
        <w:rPr>
          <w:rFonts w:ascii="Arial" w:hAnsi="Arial" w:cs="Arial"/>
          <w:sz w:val="22"/>
          <w:szCs w:val="22"/>
        </w:rPr>
        <w:t>CFR</w:t>
      </w:r>
      <w:r w:rsidR="006F79BC">
        <w:rPr>
          <w:rFonts w:ascii="Arial" w:hAnsi="Arial" w:cs="Arial"/>
          <w:sz w:val="22"/>
          <w:szCs w:val="22"/>
        </w:rPr>
        <w:t>)</w:t>
      </w:r>
      <w:r w:rsidRPr="007334E7">
        <w:rPr>
          <w:rFonts w:ascii="Arial" w:hAnsi="Arial" w:cs="Arial"/>
          <w:sz w:val="22"/>
          <w:szCs w:val="22"/>
        </w:rPr>
        <w:t xml:space="preserve"> 50.65.  The latest version of the rule became effective on November 30, 2000.  This performance-based rule requires monitoring of the overall continuing effectiveness of licensee maintenance programs by means of licensee tracking of the performance (in terms of availability and/or reliability) or condition of structures, systems or components (SSCs) within the scope of the rule as defined in 10 CFR 50.65(b), with the objective that: (1) safety-related and certain non-safety related SSCs remain capable of performing their intended functions; and (2) the non-safety related SSCs will not fail in a manner that could prevent the fulfillment of safety-related functions, or result in reactor scrams or trips and unnecessary actuations of safety-related systems.  For a nuclear power plant for which the licensee has submitted the certifications specified in 10 CFR 50.82(a</w:t>
      </w:r>
      <w:proofErr w:type="gramStart"/>
      <w:r w:rsidRPr="007334E7">
        <w:rPr>
          <w:rFonts w:ascii="Arial" w:hAnsi="Arial" w:cs="Arial"/>
          <w:sz w:val="22"/>
          <w:szCs w:val="22"/>
        </w:rPr>
        <w:t>)(</w:t>
      </w:r>
      <w:proofErr w:type="gramEnd"/>
      <w:r w:rsidRPr="007334E7">
        <w:rPr>
          <w:rFonts w:ascii="Arial" w:hAnsi="Arial" w:cs="Arial"/>
          <w:sz w:val="22"/>
          <w:szCs w:val="22"/>
        </w:rPr>
        <w:t xml:space="preserve">1) </w:t>
      </w:r>
    </w:p>
    <w:p w:rsidR="007766EB" w:rsidRPr="007334E7" w:rsidRDefault="007766EB" w:rsidP="007766EB">
      <w:pPr>
        <w:rPr>
          <w:rFonts w:ascii="Arial" w:hAnsi="Arial" w:cs="Arial"/>
          <w:sz w:val="22"/>
          <w:szCs w:val="22"/>
        </w:rPr>
      </w:pPr>
      <w:r w:rsidRPr="007334E7">
        <w:rPr>
          <w:rFonts w:ascii="Arial" w:hAnsi="Arial" w:cs="Arial"/>
          <w:sz w:val="22"/>
          <w:szCs w:val="22"/>
        </w:rPr>
        <w:t>(i.e., a decommissioned plant), 10 CFR 50.65 applies to the extent that the licensee shall monitor the performance or condition of all SSCs associated with the storage, control, and maintenance of spent fuel in a safe condition, in a manner sufficient to provide reasonable assurance that such structures, systems, and components remain capable of fulfilling their intended functions.  10</w:t>
      </w:r>
      <w:r>
        <w:rPr>
          <w:rFonts w:ascii="Arial" w:hAnsi="Arial" w:cs="Arial"/>
          <w:sz w:val="22"/>
          <w:szCs w:val="22"/>
        </w:rPr>
        <w:t> </w:t>
      </w:r>
      <w:r w:rsidRPr="007334E7">
        <w:rPr>
          <w:rFonts w:ascii="Arial" w:hAnsi="Arial" w:cs="Arial"/>
          <w:sz w:val="22"/>
          <w:szCs w:val="22"/>
        </w:rPr>
        <w:t>CFR 50.65(a</w:t>
      </w:r>
      <w:proofErr w:type="gramStart"/>
      <w:r w:rsidRPr="007334E7">
        <w:rPr>
          <w:rFonts w:ascii="Arial" w:hAnsi="Arial" w:cs="Arial"/>
          <w:sz w:val="22"/>
          <w:szCs w:val="22"/>
        </w:rPr>
        <w:t>)(</w:t>
      </w:r>
      <w:proofErr w:type="gramEnd"/>
      <w:r w:rsidRPr="007334E7">
        <w:rPr>
          <w:rFonts w:ascii="Arial" w:hAnsi="Arial" w:cs="Arial"/>
          <w:sz w:val="22"/>
          <w:szCs w:val="22"/>
        </w:rPr>
        <w:t>4), added in 2000, requires assessing and managing risk associated with maintenance activities.</w:t>
      </w:r>
    </w:p>
    <w:p w:rsidR="007766EB" w:rsidRPr="007334E7" w:rsidRDefault="007766EB" w:rsidP="007766EB">
      <w:pPr>
        <w:rPr>
          <w:rFonts w:ascii="Arial" w:hAnsi="Arial" w:cs="Arial"/>
          <w:sz w:val="22"/>
          <w:szCs w:val="22"/>
        </w:rPr>
      </w:pPr>
    </w:p>
    <w:p w:rsidR="007766EB" w:rsidRPr="007334E7" w:rsidRDefault="007766EB" w:rsidP="007766EB">
      <w:pPr>
        <w:rPr>
          <w:rFonts w:ascii="Arial" w:hAnsi="Arial" w:cs="Arial"/>
          <w:sz w:val="22"/>
          <w:szCs w:val="22"/>
        </w:rPr>
      </w:pPr>
      <w:r w:rsidRPr="007334E7">
        <w:rPr>
          <w:rFonts w:ascii="Arial" w:hAnsi="Arial" w:cs="Arial"/>
          <w:sz w:val="22"/>
          <w:szCs w:val="22"/>
        </w:rPr>
        <w:t xml:space="preserve">The performance-oriented maintenance regulation requires that the licensees monitor the performance or condition of SSCs within the scope of the regulation against licensee-established goals, in a manner sufficient to provide reasonable assurance that such SSCs are capable of fulfilling their intended functions.  Monitoring is not required where it has been demonstrated that the performance or condition of an SSC is being effectively controlled by appropriate preventive maintenance, such that the SSC remains capable of performing its intended function.  Performance and condition monitoring activities and associated goals and preventive maintenance activities shall be evaluated at least every refueling cycle provided the interval between evaluations does not exceed 24 months.  The objective of preventing failures through maintenance is to be balanced against the objective of minimizing unavailability of SSCs.  Before performing maintenance activities, the licensee must assess and manage the increase in risk that may result from the proposed maintenance activities.  The scope of the assessment may be limited to SSCs that a risk-informed evaluation process has shown to be significant to public health and safety.  </w:t>
      </w:r>
    </w:p>
    <w:p w:rsidR="007766EB" w:rsidRPr="007334E7" w:rsidRDefault="007766EB" w:rsidP="007766EB">
      <w:pPr>
        <w:rPr>
          <w:rFonts w:ascii="Arial" w:hAnsi="Arial" w:cs="Arial"/>
          <w:sz w:val="22"/>
          <w:szCs w:val="22"/>
        </w:rPr>
      </w:pPr>
    </w:p>
    <w:p w:rsidR="007766EB" w:rsidRPr="007334E7" w:rsidRDefault="00F65E68" w:rsidP="007766EB">
      <w:pPr>
        <w:rPr>
          <w:rFonts w:ascii="Arial" w:hAnsi="Arial" w:cs="Arial"/>
          <w:sz w:val="22"/>
          <w:szCs w:val="22"/>
        </w:rPr>
      </w:pPr>
      <w:r>
        <w:rPr>
          <w:rFonts w:ascii="Arial" w:hAnsi="Arial" w:cs="Arial"/>
          <w:sz w:val="22"/>
          <w:szCs w:val="22"/>
        </w:rPr>
        <w:t>Regulatory Guide</w:t>
      </w:r>
      <w:r w:rsidR="007766EB" w:rsidRPr="007334E7">
        <w:rPr>
          <w:rFonts w:ascii="Arial" w:hAnsi="Arial" w:cs="Arial"/>
          <w:sz w:val="22"/>
          <w:szCs w:val="22"/>
        </w:rPr>
        <w:t xml:space="preserve"> 1.160, Rev. 2, </w:t>
      </w:r>
      <w:r w:rsidR="007766EB" w:rsidRPr="007334E7">
        <w:rPr>
          <w:rFonts w:ascii="Arial" w:hAnsi="Arial" w:cs="Arial"/>
          <w:sz w:val="22"/>
          <w:szCs w:val="22"/>
        </w:rPr>
        <w:sym w:font="WP TypographicSymbols" w:char="0041"/>
      </w:r>
      <w:proofErr w:type="gramStart"/>
      <w:r w:rsidR="007766EB" w:rsidRPr="007334E7">
        <w:rPr>
          <w:rFonts w:ascii="Arial" w:hAnsi="Arial" w:cs="Arial"/>
          <w:sz w:val="22"/>
          <w:szCs w:val="22"/>
        </w:rPr>
        <w:t>Monitoring</w:t>
      </w:r>
      <w:proofErr w:type="gramEnd"/>
      <w:r w:rsidR="007766EB" w:rsidRPr="007334E7">
        <w:rPr>
          <w:rFonts w:ascii="Arial" w:hAnsi="Arial" w:cs="Arial"/>
          <w:sz w:val="22"/>
          <w:szCs w:val="22"/>
        </w:rPr>
        <w:t xml:space="preserve"> the Effectiveness of Maintenance at Nuclear Power Plants,</w:t>
      </w:r>
      <w:r w:rsidR="007766EB" w:rsidRPr="007334E7">
        <w:rPr>
          <w:rFonts w:ascii="Arial" w:hAnsi="Arial" w:cs="Arial"/>
          <w:sz w:val="22"/>
          <w:szCs w:val="22"/>
        </w:rPr>
        <w:sym w:font="WP TypographicSymbols" w:char="0040"/>
      </w:r>
      <w:r w:rsidR="007766EB" w:rsidRPr="007334E7">
        <w:rPr>
          <w:rFonts w:ascii="Arial" w:hAnsi="Arial" w:cs="Arial"/>
          <w:sz w:val="22"/>
          <w:szCs w:val="22"/>
        </w:rPr>
        <w:t xml:space="preserve"> which provides guidance for implementing the rule, endorses an industry guidance document</w:t>
      </w:r>
      <w:r w:rsidR="007766EB" w:rsidRPr="006F79BC">
        <w:rPr>
          <w:rFonts w:ascii="Arial" w:hAnsi="Arial" w:cs="Arial"/>
          <w:sz w:val="22"/>
          <w:szCs w:val="22"/>
        </w:rPr>
        <w:t xml:space="preserve">, </w:t>
      </w:r>
      <w:r w:rsidR="006F79BC" w:rsidRPr="006F79BC">
        <w:rPr>
          <w:rFonts w:ascii="Arial" w:hAnsi="Arial" w:cs="Arial"/>
          <w:color w:val="000000"/>
          <w:sz w:val="22"/>
          <w:szCs w:val="22"/>
        </w:rPr>
        <w:t>Nuclear Utility Management and Resources Committee</w:t>
      </w:r>
      <w:r w:rsidR="006F79BC">
        <w:rPr>
          <w:rFonts w:ascii="Arial" w:hAnsi="Arial" w:cs="Arial"/>
          <w:color w:val="000000"/>
          <w:sz w:val="19"/>
          <w:szCs w:val="19"/>
        </w:rPr>
        <w:t xml:space="preserve"> (</w:t>
      </w:r>
      <w:r w:rsidR="007766EB" w:rsidRPr="007334E7">
        <w:rPr>
          <w:rFonts w:ascii="Arial" w:hAnsi="Arial" w:cs="Arial"/>
          <w:sz w:val="22"/>
          <w:szCs w:val="22"/>
        </w:rPr>
        <w:t>NUMARC</w:t>
      </w:r>
      <w:r w:rsidR="006F79BC">
        <w:rPr>
          <w:rFonts w:ascii="Arial" w:hAnsi="Arial" w:cs="Arial"/>
          <w:sz w:val="22"/>
          <w:szCs w:val="22"/>
        </w:rPr>
        <w:t>)</w:t>
      </w:r>
      <w:r w:rsidR="007766EB" w:rsidRPr="007334E7">
        <w:rPr>
          <w:rFonts w:ascii="Arial" w:hAnsi="Arial" w:cs="Arial"/>
          <w:sz w:val="22"/>
          <w:szCs w:val="22"/>
        </w:rPr>
        <w:t xml:space="preserve"> 93-01, </w:t>
      </w:r>
      <w:r w:rsidR="007766EB" w:rsidRPr="007334E7">
        <w:rPr>
          <w:rFonts w:ascii="Arial" w:hAnsi="Arial" w:cs="Arial"/>
          <w:sz w:val="22"/>
          <w:szCs w:val="22"/>
        </w:rPr>
        <w:lastRenderedPageBreak/>
        <w:t xml:space="preserve">Rev. 2, "Industry Guideline for Monitoring the Effectiveness of Maintenance at Nuclear Power Plants."  In addition, RG 1.182, </w:t>
      </w:r>
      <w:r w:rsidR="007766EB" w:rsidRPr="007334E7">
        <w:rPr>
          <w:rFonts w:ascii="Arial" w:hAnsi="Arial" w:cs="Arial"/>
          <w:sz w:val="22"/>
          <w:szCs w:val="22"/>
        </w:rPr>
        <w:sym w:font="WP TypographicSymbols" w:char="0041"/>
      </w:r>
      <w:r w:rsidR="007766EB" w:rsidRPr="007334E7">
        <w:rPr>
          <w:rFonts w:ascii="Arial" w:hAnsi="Arial" w:cs="Arial"/>
          <w:sz w:val="22"/>
          <w:szCs w:val="22"/>
        </w:rPr>
        <w:t>Assessing and Managing Risk Before Maintenance Activities at Nuclear Power Plants,</w:t>
      </w:r>
      <w:r w:rsidR="007766EB" w:rsidRPr="007334E7">
        <w:rPr>
          <w:rFonts w:ascii="Arial" w:hAnsi="Arial" w:cs="Arial"/>
          <w:sz w:val="22"/>
          <w:szCs w:val="22"/>
        </w:rPr>
        <w:sym w:font="WP TypographicSymbols" w:char="0040"/>
      </w:r>
      <w:r w:rsidR="007766EB" w:rsidRPr="007334E7">
        <w:rPr>
          <w:rFonts w:ascii="Arial" w:hAnsi="Arial" w:cs="Arial"/>
          <w:sz w:val="22"/>
          <w:szCs w:val="22"/>
        </w:rPr>
        <w:t xml:space="preserve"> endorsed a February 2000 revision to Section 11 of NUMARC 93-01 which provided the industry guidance on implementation of 10 CFR 50.65(a)(4).  The rule does not explicitly require any information collection or record keeping by the licensees or the </w:t>
      </w:r>
      <w:r w:rsidR="006F79BC">
        <w:rPr>
          <w:rFonts w:ascii="Arial" w:hAnsi="Arial" w:cs="Arial"/>
          <w:sz w:val="22"/>
          <w:szCs w:val="22"/>
        </w:rPr>
        <w:t>U.S. Nuclear Regulatory Commission (</w:t>
      </w:r>
      <w:r w:rsidR="007766EB" w:rsidRPr="007334E7">
        <w:rPr>
          <w:rFonts w:ascii="Arial" w:hAnsi="Arial" w:cs="Arial"/>
          <w:sz w:val="22"/>
          <w:szCs w:val="22"/>
        </w:rPr>
        <w:t>NRC</w:t>
      </w:r>
      <w:r w:rsidR="006F79BC">
        <w:rPr>
          <w:rFonts w:ascii="Arial" w:hAnsi="Arial" w:cs="Arial"/>
          <w:sz w:val="22"/>
          <w:szCs w:val="22"/>
        </w:rPr>
        <w:t>)</w:t>
      </w:r>
      <w:r w:rsidR="007766EB" w:rsidRPr="007334E7">
        <w:rPr>
          <w:rFonts w:ascii="Arial" w:hAnsi="Arial" w:cs="Arial"/>
          <w:sz w:val="22"/>
          <w:szCs w:val="22"/>
        </w:rPr>
        <w:t>.  Although adoption of the regulatory guidance by licensees is voluntary, licensees have accepted and adopted this guidance.  Therefore, the information collection and record keeping burdens are based on this guidance and are captured in each of the discussions below.</w:t>
      </w:r>
    </w:p>
    <w:p w:rsidR="007766EB" w:rsidRPr="007334E7" w:rsidRDefault="007766EB" w:rsidP="007766EB">
      <w:pPr>
        <w:rPr>
          <w:rFonts w:ascii="Arial" w:hAnsi="Arial" w:cs="Arial"/>
          <w:sz w:val="22"/>
          <w:szCs w:val="22"/>
        </w:rPr>
      </w:pPr>
    </w:p>
    <w:p w:rsidR="007766EB" w:rsidRPr="007334E7" w:rsidRDefault="007766EB" w:rsidP="007766EB">
      <w:pPr>
        <w:rPr>
          <w:rFonts w:ascii="Arial" w:hAnsi="Arial" w:cs="Arial"/>
          <w:sz w:val="22"/>
          <w:szCs w:val="22"/>
        </w:rPr>
      </w:pPr>
      <w:r w:rsidRPr="007334E7">
        <w:rPr>
          <w:rFonts w:ascii="Arial" w:hAnsi="Arial" w:cs="Arial"/>
          <w:sz w:val="22"/>
          <w:szCs w:val="22"/>
        </w:rPr>
        <w:t>The industry guidance provides for demonstrating effective control of SSC performance or condition through appropriate preventive maintenance as allowed by 10 CFR 50.65(a)(2) in lieu of monitoring under 10 CFR</w:t>
      </w:r>
      <w:r w:rsidR="006F79BC">
        <w:rPr>
          <w:rFonts w:ascii="Arial" w:hAnsi="Arial" w:cs="Arial"/>
          <w:sz w:val="22"/>
          <w:szCs w:val="22"/>
        </w:rPr>
        <w:t xml:space="preserve"> </w:t>
      </w:r>
      <w:r w:rsidRPr="007334E7">
        <w:rPr>
          <w:rFonts w:ascii="Arial" w:hAnsi="Arial" w:cs="Arial"/>
          <w:sz w:val="22"/>
          <w:szCs w:val="22"/>
        </w:rPr>
        <w:t>50.65(a)(1).  Those SSCs with unacceptable performance or condition will then be monitored in accordance with the requirements of 10 CFR 50.65(a</w:t>
      </w:r>
      <w:proofErr w:type="gramStart"/>
      <w:r w:rsidRPr="007334E7">
        <w:rPr>
          <w:rFonts w:ascii="Arial" w:hAnsi="Arial" w:cs="Arial"/>
          <w:sz w:val="22"/>
          <w:szCs w:val="22"/>
        </w:rPr>
        <w:t>)(</w:t>
      </w:r>
      <w:proofErr w:type="gramEnd"/>
      <w:r w:rsidRPr="007334E7">
        <w:rPr>
          <w:rFonts w:ascii="Arial" w:hAnsi="Arial" w:cs="Arial"/>
          <w:sz w:val="22"/>
          <w:szCs w:val="22"/>
        </w:rPr>
        <w:t>1).  The effective control of performance or condition is demonstrated by means of utility-specific performance measures or criteria.  High-safety or high-risk-significant SSCs and certain ones of lower-risk significance that are in a standby mode are normally tracked at the system or train level, and the rest are tracked on the basis of their contributing to plant-level events.</w:t>
      </w:r>
    </w:p>
    <w:p w:rsidR="007766EB" w:rsidRPr="007334E7" w:rsidRDefault="007766EB" w:rsidP="007766EB">
      <w:pPr>
        <w:rPr>
          <w:rFonts w:ascii="Arial" w:hAnsi="Arial" w:cs="Arial"/>
          <w:sz w:val="22"/>
          <w:szCs w:val="22"/>
        </w:rPr>
      </w:pPr>
    </w:p>
    <w:p w:rsidR="007766EB" w:rsidRPr="007334E7" w:rsidRDefault="007766EB" w:rsidP="007766EB">
      <w:pPr>
        <w:rPr>
          <w:rFonts w:ascii="Arial" w:hAnsi="Arial" w:cs="Arial"/>
          <w:sz w:val="22"/>
          <w:szCs w:val="22"/>
        </w:rPr>
      </w:pPr>
      <w:r w:rsidRPr="007334E7">
        <w:rPr>
          <w:rFonts w:ascii="Arial" w:hAnsi="Arial" w:cs="Arial"/>
          <w:sz w:val="22"/>
          <w:szCs w:val="22"/>
        </w:rPr>
        <w:t>Utilities are required to identify plant SSCs that are within the scope of 10 CFR 50.65 because they perform a safety-related function or, upon failure, could prevent a safety-related function from being fulfilled or cause a scram or actuation of a safety-related system (Section 8.0)</w:t>
      </w:r>
      <w:r w:rsidRPr="007334E7">
        <w:rPr>
          <w:rStyle w:val="FootnoteReference"/>
          <w:rFonts w:ascii="Arial" w:hAnsi="Arial" w:cs="Arial"/>
          <w:sz w:val="22"/>
          <w:szCs w:val="22"/>
          <w:vertAlign w:val="superscript"/>
        </w:rPr>
        <w:footnoteReference w:id="1"/>
      </w:r>
      <w:r w:rsidRPr="007334E7">
        <w:rPr>
          <w:rFonts w:ascii="Arial" w:hAnsi="Arial" w:cs="Arial"/>
          <w:sz w:val="22"/>
          <w:szCs w:val="22"/>
        </w:rPr>
        <w:t>.  For SSCs not within the scope of 10 CFR 50.65, each utility is to continue existing maintenance programs.</w:t>
      </w:r>
    </w:p>
    <w:p w:rsidR="007766EB" w:rsidRPr="007334E7" w:rsidRDefault="007766EB" w:rsidP="007766EB">
      <w:pPr>
        <w:rPr>
          <w:rFonts w:ascii="Arial" w:hAnsi="Arial" w:cs="Arial"/>
          <w:sz w:val="22"/>
          <w:szCs w:val="22"/>
        </w:rPr>
      </w:pPr>
    </w:p>
    <w:p w:rsidR="007766EB" w:rsidRPr="007334E7" w:rsidRDefault="007766EB" w:rsidP="007766EB">
      <w:pPr>
        <w:rPr>
          <w:rFonts w:ascii="Arial" w:hAnsi="Arial" w:cs="Arial"/>
          <w:sz w:val="22"/>
          <w:szCs w:val="22"/>
        </w:rPr>
      </w:pPr>
      <w:r w:rsidRPr="007334E7">
        <w:rPr>
          <w:rFonts w:ascii="Arial" w:hAnsi="Arial" w:cs="Arial"/>
          <w:sz w:val="22"/>
          <w:szCs w:val="22"/>
        </w:rPr>
        <w:t>10 CFR 50.65 expects that all SSCs that are within the scope of the regulation will have had their performance assessed and will be included in preventive maintenance program.  Those SSCs with acceptable performance will be monitored in accordan</w:t>
      </w:r>
      <w:r>
        <w:rPr>
          <w:rFonts w:ascii="Arial" w:hAnsi="Arial" w:cs="Arial"/>
          <w:sz w:val="22"/>
          <w:szCs w:val="22"/>
        </w:rPr>
        <w:t>ce with paragraph 50.65(a</w:t>
      </w:r>
      <w:proofErr w:type="gramStart"/>
      <w:r>
        <w:rPr>
          <w:rFonts w:ascii="Arial" w:hAnsi="Arial" w:cs="Arial"/>
          <w:sz w:val="22"/>
          <w:szCs w:val="22"/>
        </w:rPr>
        <w:t>)(</w:t>
      </w:r>
      <w:proofErr w:type="gramEnd"/>
      <w:r>
        <w:rPr>
          <w:rFonts w:ascii="Arial" w:hAnsi="Arial" w:cs="Arial"/>
          <w:sz w:val="22"/>
          <w:szCs w:val="22"/>
        </w:rPr>
        <w:t xml:space="preserve">2). </w:t>
      </w:r>
      <w:r w:rsidRPr="007334E7">
        <w:rPr>
          <w:rFonts w:ascii="Arial" w:hAnsi="Arial" w:cs="Arial"/>
          <w:sz w:val="22"/>
          <w:szCs w:val="22"/>
        </w:rPr>
        <w:t>Those SSCs with unacceptable performance will be monitored in accordance with the requirements of paragraph 50.65(a</w:t>
      </w:r>
      <w:proofErr w:type="gramStart"/>
      <w:r w:rsidRPr="007334E7">
        <w:rPr>
          <w:rFonts w:ascii="Arial" w:hAnsi="Arial" w:cs="Arial"/>
          <w:sz w:val="22"/>
          <w:szCs w:val="22"/>
        </w:rPr>
        <w:t>)(</w:t>
      </w:r>
      <w:proofErr w:type="gramEnd"/>
      <w:r w:rsidRPr="007334E7">
        <w:rPr>
          <w:rFonts w:ascii="Arial" w:hAnsi="Arial" w:cs="Arial"/>
          <w:sz w:val="22"/>
          <w:szCs w:val="22"/>
        </w:rPr>
        <w:t>1).  This determination was made by licensees</w:t>
      </w:r>
      <w:r w:rsidRPr="007334E7">
        <w:rPr>
          <w:rFonts w:ascii="Arial" w:hAnsi="Arial" w:cs="Arial"/>
          <w:sz w:val="22"/>
          <w:szCs w:val="22"/>
        </w:rPr>
        <w:sym w:font="WP TypographicSymbols" w:char="003D"/>
      </w:r>
      <w:r w:rsidRPr="007334E7">
        <w:rPr>
          <w:rFonts w:ascii="Arial" w:hAnsi="Arial" w:cs="Arial"/>
          <w:sz w:val="22"/>
          <w:szCs w:val="22"/>
        </w:rPr>
        <w:t xml:space="preserve"> assessments of the performance of the SSCs compared to utility-specific performance measures, or criteria.  Specific performance criteria should be established for those SSCs that are either risk significant or normally operate in </w:t>
      </w:r>
      <w:r>
        <w:rPr>
          <w:rFonts w:ascii="Arial" w:hAnsi="Arial" w:cs="Arial"/>
          <w:sz w:val="22"/>
          <w:szCs w:val="22"/>
        </w:rPr>
        <w:t>a standby mode.  The balance is</w:t>
      </w:r>
      <w:r w:rsidRPr="007334E7">
        <w:rPr>
          <w:rFonts w:ascii="Arial" w:hAnsi="Arial" w:cs="Arial"/>
          <w:sz w:val="22"/>
          <w:szCs w:val="22"/>
        </w:rPr>
        <w:t xml:space="preserve"> monitored against the overall plant level performance criteria. </w:t>
      </w:r>
    </w:p>
    <w:p w:rsidR="007766EB" w:rsidRPr="007334E7" w:rsidRDefault="007766EB" w:rsidP="007766EB">
      <w:pPr>
        <w:rPr>
          <w:rFonts w:ascii="Arial" w:hAnsi="Arial" w:cs="Arial"/>
          <w:sz w:val="22"/>
          <w:szCs w:val="22"/>
        </w:rPr>
      </w:pPr>
    </w:p>
    <w:p w:rsidR="007766EB" w:rsidRPr="007334E7" w:rsidRDefault="007766EB" w:rsidP="007766EB">
      <w:pPr>
        <w:rPr>
          <w:rFonts w:ascii="Arial" w:hAnsi="Arial" w:cs="Arial"/>
          <w:sz w:val="22"/>
          <w:szCs w:val="22"/>
        </w:rPr>
      </w:pPr>
      <w:r w:rsidRPr="007334E7">
        <w:rPr>
          <w:rFonts w:ascii="Arial" w:hAnsi="Arial" w:cs="Arial"/>
          <w:sz w:val="22"/>
          <w:szCs w:val="22"/>
        </w:rPr>
        <w:t>The process of addressing 50.65(a</w:t>
      </w:r>
      <w:proofErr w:type="gramStart"/>
      <w:r w:rsidRPr="007334E7">
        <w:rPr>
          <w:rFonts w:ascii="Arial" w:hAnsi="Arial" w:cs="Arial"/>
          <w:sz w:val="22"/>
          <w:szCs w:val="22"/>
        </w:rPr>
        <w:t>)(</w:t>
      </w:r>
      <w:proofErr w:type="gramEnd"/>
      <w:r w:rsidRPr="007334E7">
        <w:rPr>
          <w:rFonts w:ascii="Arial" w:hAnsi="Arial" w:cs="Arial"/>
          <w:sz w:val="22"/>
          <w:szCs w:val="22"/>
        </w:rPr>
        <w:t>1) includes establishing goals for structures, systems, trains, and, on occasion, components that have not demonstrated acceptable performance.  The key parameter is performance, which is measured by availability, reliability, and/or condition, as appropriate.</w:t>
      </w:r>
    </w:p>
    <w:p w:rsidR="007766EB" w:rsidRPr="007334E7" w:rsidRDefault="007766EB" w:rsidP="007766EB">
      <w:pPr>
        <w:rPr>
          <w:rFonts w:ascii="Arial" w:hAnsi="Arial" w:cs="Arial"/>
          <w:sz w:val="22"/>
          <w:szCs w:val="22"/>
        </w:rPr>
      </w:pPr>
    </w:p>
    <w:p w:rsidR="007766EB" w:rsidRPr="007334E7" w:rsidRDefault="007766EB" w:rsidP="007766EB">
      <w:pPr>
        <w:rPr>
          <w:rFonts w:ascii="Arial" w:hAnsi="Arial" w:cs="Arial"/>
          <w:color w:val="000000"/>
          <w:sz w:val="22"/>
          <w:szCs w:val="22"/>
        </w:rPr>
      </w:pPr>
      <w:r w:rsidRPr="007334E7">
        <w:rPr>
          <w:rFonts w:ascii="Arial" w:hAnsi="Arial" w:cs="Arial"/>
          <w:sz w:val="22"/>
          <w:szCs w:val="22"/>
        </w:rPr>
        <w:t>Risk</w:t>
      </w:r>
      <w:r w:rsidRPr="007334E7">
        <w:rPr>
          <w:rFonts w:ascii="Arial" w:hAnsi="Arial" w:cs="Arial"/>
          <w:strike/>
          <w:color w:val="0000FF"/>
          <w:sz w:val="22"/>
          <w:szCs w:val="22"/>
        </w:rPr>
        <w:t xml:space="preserve"> </w:t>
      </w:r>
      <w:r w:rsidRPr="007334E7">
        <w:rPr>
          <w:rFonts w:ascii="Arial" w:hAnsi="Arial" w:cs="Arial"/>
          <w:color w:val="000000"/>
          <w:sz w:val="22"/>
          <w:szCs w:val="22"/>
        </w:rPr>
        <w:t>significant SSCs should be identified by using a group of experts, termed an expert panel, normally aided by tools such as an Individual Plant Examination, a Probabilistic Risk Assessment, critical safety functions (e.g., inventory), or other systematic methods of assessment.</w:t>
      </w:r>
    </w:p>
    <w:p w:rsidR="007766EB" w:rsidRPr="007334E7" w:rsidRDefault="007766EB" w:rsidP="007766EB">
      <w:pPr>
        <w:rPr>
          <w:rFonts w:ascii="Arial" w:hAnsi="Arial" w:cs="Arial"/>
          <w:color w:val="000000"/>
          <w:sz w:val="22"/>
          <w:szCs w:val="22"/>
        </w:rPr>
      </w:pPr>
    </w:p>
    <w:p w:rsidR="007766EB" w:rsidRPr="007334E7" w:rsidRDefault="007766EB" w:rsidP="007766EB">
      <w:pPr>
        <w:rPr>
          <w:rFonts w:ascii="Arial" w:hAnsi="Arial" w:cs="Arial"/>
          <w:color w:val="000000"/>
          <w:sz w:val="22"/>
          <w:szCs w:val="22"/>
        </w:rPr>
      </w:pPr>
      <w:r w:rsidRPr="007334E7">
        <w:rPr>
          <w:rFonts w:ascii="Arial" w:hAnsi="Arial" w:cs="Arial"/>
          <w:color w:val="000000"/>
          <w:sz w:val="22"/>
          <w:szCs w:val="22"/>
        </w:rPr>
        <w:t>The performance of SSCs that do not meet the performance criteria established by a utility shall be subjected to goal setting and monitoring that leads to acceptable performance.  Performance of structures, systems, trains, or components, as measured against established goals, must be monitored until the goals have been achieved and performance can be addressed by paragraph 50.65(a</w:t>
      </w:r>
      <w:proofErr w:type="gramStart"/>
      <w:r w:rsidRPr="007334E7">
        <w:rPr>
          <w:rFonts w:ascii="Arial" w:hAnsi="Arial" w:cs="Arial"/>
          <w:color w:val="000000"/>
          <w:sz w:val="22"/>
          <w:szCs w:val="22"/>
        </w:rPr>
        <w:t>)(</w:t>
      </w:r>
      <w:proofErr w:type="gramEnd"/>
      <w:r w:rsidRPr="007334E7">
        <w:rPr>
          <w:rFonts w:ascii="Arial" w:hAnsi="Arial" w:cs="Arial"/>
          <w:color w:val="000000"/>
          <w:sz w:val="22"/>
          <w:szCs w:val="22"/>
        </w:rPr>
        <w:t>2).</w:t>
      </w:r>
    </w:p>
    <w:p w:rsidR="007766EB" w:rsidRPr="007334E7" w:rsidRDefault="007766EB" w:rsidP="007766EB">
      <w:pPr>
        <w:rPr>
          <w:rFonts w:ascii="Arial" w:hAnsi="Arial" w:cs="Arial"/>
          <w:color w:val="000000"/>
          <w:sz w:val="22"/>
          <w:szCs w:val="22"/>
        </w:rPr>
      </w:pPr>
    </w:p>
    <w:p w:rsidR="007766EB" w:rsidRPr="007334E7" w:rsidRDefault="007766EB" w:rsidP="007766EB">
      <w:pPr>
        <w:rPr>
          <w:rFonts w:ascii="Arial" w:hAnsi="Arial" w:cs="Arial"/>
          <w:color w:val="000000"/>
          <w:sz w:val="22"/>
          <w:szCs w:val="22"/>
        </w:rPr>
      </w:pPr>
      <w:r w:rsidRPr="007334E7">
        <w:rPr>
          <w:rFonts w:ascii="Arial" w:hAnsi="Arial" w:cs="Arial"/>
          <w:color w:val="000000"/>
          <w:sz w:val="22"/>
          <w:szCs w:val="22"/>
        </w:rPr>
        <w:t>SSCs within the scope of 10 CFR 50.65 whose performance is currently determined to be acceptable should be assessed periodically to assure that acceptable performance is sustained (Section 10.0).</w:t>
      </w:r>
    </w:p>
    <w:p w:rsidR="007766EB" w:rsidRPr="007334E7" w:rsidRDefault="007766EB" w:rsidP="007766EB">
      <w:pPr>
        <w:rPr>
          <w:rFonts w:ascii="Arial" w:hAnsi="Arial" w:cs="Arial"/>
          <w:color w:val="000000"/>
          <w:sz w:val="22"/>
          <w:szCs w:val="22"/>
        </w:rPr>
      </w:pPr>
    </w:p>
    <w:p w:rsidR="007766EB" w:rsidRPr="007334E7" w:rsidRDefault="007766EB" w:rsidP="007766EB">
      <w:pPr>
        <w:rPr>
          <w:rFonts w:ascii="Arial" w:hAnsi="Arial" w:cs="Arial"/>
          <w:color w:val="000000"/>
          <w:sz w:val="22"/>
          <w:szCs w:val="22"/>
        </w:rPr>
      </w:pPr>
      <w:r w:rsidRPr="007334E7">
        <w:rPr>
          <w:rFonts w:ascii="Arial" w:hAnsi="Arial" w:cs="Arial"/>
          <w:color w:val="000000"/>
          <w:sz w:val="22"/>
          <w:szCs w:val="22"/>
        </w:rPr>
        <w:t>Although goals are established and monitored as part of 50.65(a)(1), the performance monitoring activities associated with normal preventive maintenance are part of 50.65(a)(2) and apply to all of the SSCs that are within the scope of 10 CFR 50.65.</w:t>
      </w:r>
    </w:p>
    <w:p w:rsidR="007766EB" w:rsidRPr="007334E7" w:rsidRDefault="007766EB" w:rsidP="007766EB">
      <w:pPr>
        <w:rPr>
          <w:rFonts w:ascii="Arial" w:hAnsi="Arial" w:cs="Arial"/>
          <w:color w:val="000000"/>
          <w:sz w:val="22"/>
          <w:szCs w:val="22"/>
        </w:rPr>
      </w:pPr>
    </w:p>
    <w:p w:rsidR="007766EB" w:rsidRPr="007334E7" w:rsidRDefault="007766EB" w:rsidP="007766EB">
      <w:pPr>
        <w:rPr>
          <w:rFonts w:ascii="Arial" w:hAnsi="Arial" w:cs="Arial"/>
          <w:color w:val="000000"/>
          <w:sz w:val="22"/>
          <w:szCs w:val="22"/>
        </w:rPr>
      </w:pPr>
      <w:r w:rsidRPr="007334E7">
        <w:rPr>
          <w:rFonts w:ascii="Arial" w:hAnsi="Arial" w:cs="Arial"/>
          <w:color w:val="000000"/>
          <w:sz w:val="22"/>
          <w:szCs w:val="22"/>
        </w:rPr>
        <w:t>Licensees must assess the risk that may result from proposed maintenance activities and manage the increase in risk that may result.  Licensees may limit the scope of those assessments to SSCs that a risk-informed evaluation process has shown to be significant to public health and safety.</w:t>
      </w:r>
    </w:p>
    <w:p w:rsidR="007766EB" w:rsidRPr="007334E7" w:rsidRDefault="007766EB" w:rsidP="007766EB">
      <w:pPr>
        <w:rPr>
          <w:rFonts w:ascii="Arial" w:hAnsi="Arial" w:cs="Arial"/>
          <w:color w:val="000000"/>
          <w:sz w:val="22"/>
          <w:szCs w:val="22"/>
        </w:rPr>
      </w:pPr>
    </w:p>
    <w:p w:rsidR="007766EB" w:rsidRPr="007334E7" w:rsidRDefault="007766EB" w:rsidP="007766EB">
      <w:pPr>
        <w:rPr>
          <w:rFonts w:ascii="Arial" w:hAnsi="Arial" w:cs="Arial"/>
          <w:color w:val="000000"/>
          <w:sz w:val="22"/>
          <w:szCs w:val="22"/>
        </w:rPr>
      </w:pPr>
      <w:r w:rsidRPr="007334E7">
        <w:rPr>
          <w:rFonts w:ascii="Arial" w:hAnsi="Arial" w:cs="Arial"/>
          <w:color w:val="000000"/>
          <w:sz w:val="22"/>
          <w:szCs w:val="22"/>
        </w:rPr>
        <w:t>Periodic performance assessment and monitoring should be implemented through utility- specific programs that include, as appropriate, event cause determination, corrective action, consideration of industry operating experience, and trending.</w:t>
      </w:r>
    </w:p>
    <w:p w:rsidR="007766EB" w:rsidRPr="007334E7" w:rsidRDefault="007766EB" w:rsidP="007766EB">
      <w:pPr>
        <w:rPr>
          <w:rFonts w:ascii="Arial" w:hAnsi="Arial" w:cs="Arial"/>
          <w:color w:val="000000"/>
          <w:sz w:val="22"/>
          <w:szCs w:val="22"/>
        </w:rPr>
      </w:pPr>
    </w:p>
    <w:p w:rsidR="007766EB" w:rsidRPr="007334E7" w:rsidRDefault="007766EB" w:rsidP="007766EB">
      <w:pPr>
        <w:rPr>
          <w:rFonts w:ascii="Arial" w:hAnsi="Arial" w:cs="Arial"/>
          <w:color w:val="000000"/>
          <w:sz w:val="22"/>
          <w:szCs w:val="22"/>
        </w:rPr>
      </w:pPr>
      <w:r w:rsidRPr="007334E7">
        <w:rPr>
          <w:rFonts w:ascii="Arial" w:hAnsi="Arial" w:cs="Arial"/>
          <w:color w:val="000000"/>
          <w:sz w:val="22"/>
          <w:szCs w:val="22"/>
        </w:rPr>
        <w:t>On July 19, 1999, the NRC issued a revised final rule to require that power plant licensees, before performing maintenance, assess and manage the increase in risk that may result from maintenance activities.  The revised rule became effective November 28, 2000.  The staff developed Regulatory Guide 1.182, which endorses a revised Section 11, dated February 22, 2000, of NUMARC 93-01.  The revised Section 11 provides guidance for the assessment of risk resulting from performance of maintenance activities.</w:t>
      </w:r>
    </w:p>
    <w:p w:rsidR="007766EB" w:rsidRPr="007334E7" w:rsidRDefault="007766EB" w:rsidP="007766EB">
      <w:pPr>
        <w:rPr>
          <w:rFonts w:ascii="Arial" w:hAnsi="Arial" w:cs="Arial"/>
          <w:color w:val="000000"/>
          <w:sz w:val="22"/>
          <w:szCs w:val="22"/>
        </w:rPr>
      </w:pPr>
    </w:p>
    <w:p w:rsidR="007766EB" w:rsidRPr="007334E7" w:rsidRDefault="007766EB" w:rsidP="007766EB">
      <w:pPr>
        <w:rPr>
          <w:rFonts w:ascii="Arial" w:hAnsi="Arial" w:cs="Arial"/>
          <w:color w:val="000000"/>
          <w:sz w:val="22"/>
          <w:szCs w:val="22"/>
        </w:rPr>
      </w:pPr>
      <w:r w:rsidRPr="007334E7">
        <w:rPr>
          <w:rFonts w:ascii="Arial" w:hAnsi="Arial" w:cs="Arial"/>
          <w:color w:val="000000"/>
          <w:sz w:val="22"/>
          <w:szCs w:val="22"/>
        </w:rPr>
        <w:t>Based on the NRC staff's regulatory guidance, the licensee's information collections normally consist of program descriptions, data on goals and monitoring efforts, trends of failure data, and trends of availability data.  The information is not sent to the NRC, nor is it separately compiled unless it is information that is not otherwise collected.  The objective continues to be reliance on licensees' existing documentation collection activities to the greatest extent possible in order to show progress in maintenance by results in terms of SSC performance (reliability and/or availability) or condition.</w:t>
      </w:r>
    </w:p>
    <w:p w:rsidR="007766EB" w:rsidRPr="007334E7" w:rsidRDefault="007766EB" w:rsidP="007766EB">
      <w:pPr>
        <w:rPr>
          <w:rFonts w:ascii="Arial" w:hAnsi="Arial" w:cs="Arial"/>
          <w:color w:val="000000"/>
          <w:sz w:val="22"/>
          <w:szCs w:val="22"/>
        </w:rPr>
      </w:pPr>
    </w:p>
    <w:p w:rsidR="007766EB" w:rsidRPr="007334E7" w:rsidRDefault="007766EB" w:rsidP="007766EB">
      <w:pPr>
        <w:rPr>
          <w:rFonts w:ascii="Arial" w:hAnsi="Arial" w:cs="Arial"/>
          <w:color w:val="000000"/>
          <w:sz w:val="22"/>
          <w:szCs w:val="22"/>
        </w:rPr>
      </w:pPr>
      <w:r w:rsidRPr="007334E7">
        <w:rPr>
          <w:rFonts w:ascii="Arial" w:hAnsi="Arial" w:cs="Arial"/>
          <w:color w:val="000000"/>
          <w:sz w:val="22"/>
          <w:szCs w:val="22"/>
        </w:rPr>
        <w:t xml:space="preserve">Although not explicitly required by 10 CFR 50.65, each licensee needs to collect, process, and use existing maintenance records, data, and industry information in setting and monitoring goals. Section 13 of NUMARC 93-01 indicates industry-suggested documentation.  Plant-specific SSC maintenance history, and performance trends based on that history, should be maintained and kept current by licensees and compared with the licensee's established goals and objectives.  The SSC history may include data obtained from the plant-specific maintenance surveillance, preventive and corrective maintenance programs, and industry-wide experience.  The monitoring data should be trended and the results compared with established goals to </w:t>
      </w:r>
      <w:r w:rsidRPr="007334E7">
        <w:rPr>
          <w:rFonts w:ascii="Arial" w:hAnsi="Arial" w:cs="Arial"/>
          <w:color w:val="000000"/>
          <w:sz w:val="22"/>
          <w:szCs w:val="22"/>
        </w:rPr>
        <w:lastRenderedPageBreak/>
        <w:t>determine the need for corrective action, e.g., SSC modification, repair, replacement, or changes to maintenance procedures.</w:t>
      </w:r>
    </w:p>
    <w:p w:rsidR="007766EB" w:rsidRPr="007334E7" w:rsidRDefault="007766EB" w:rsidP="007766EB">
      <w:pPr>
        <w:rPr>
          <w:rFonts w:ascii="Arial" w:hAnsi="Arial" w:cs="Arial"/>
          <w:color w:val="000000"/>
          <w:sz w:val="22"/>
          <w:szCs w:val="22"/>
        </w:rPr>
      </w:pPr>
    </w:p>
    <w:p w:rsidR="007766EB" w:rsidRPr="007334E7" w:rsidRDefault="007766EB" w:rsidP="007766EB">
      <w:pPr>
        <w:rPr>
          <w:rFonts w:ascii="Arial" w:hAnsi="Arial" w:cs="Arial"/>
          <w:color w:val="000000"/>
          <w:sz w:val="22"/>
          <w:szCs w:val="22"/>
        </w:rPr>
      </w:pPr>
      <w:r w:rsidRPr="007334E7">
        <w:rPr>
          <w:rFonts w:ascii="Arial" w:hAnsi="Arial" w:cs="Arial"/>
          <w:color w:val="000000"/>
          <w:sz w:val="22"/>
          <w:szCs w:val="22"/>
        </w:rPr>
        <w:t>Licensees must also evaluate their maintenance programs at least once during every refueling cycle, not to exceed 24 months between evaluations, in accordance with 10 CFR 50.65(a)(3).  Programs must be balanced such that reliability is maintained, without excessive unavailability due to maintenance, and industry operating experience must be taken into account where practicable.</w:t>
      </w:r>
    </w:p>
    <w:p w:rsidR="007766EB" w:rsidRPr="007334E7" w:rsidRDefault="007766EB" w:rsidP="007766EB">
      <w:pPr>
        <w:rPr>
          <w:rFonts w:ascii="Arial" w:hAnsi="Arial" w:cs="Arial"/>
          <w:color w:val="000000"/>
          <w:sz w:val="22"/>
          <w:szCs w:val="22"/>
        </w:rPr>
      </w:pPr>
    </w:p>
    <w:p w:rsidR="007766EB" w:rsidRPr="007334E7" w:rsidRDefault="007766EB" w:rsidP="007766EB">
      <w:pPr>
        <w:pStyle w:val="Level1"/>
        <w:numPr>
          <w:ilvl w:val="0"/>
          <w:numId w:val="1"/>
        </w:numPr>
        <w:tabs>
          <w:tab w:val="left" w:pos="-1440"/>
          <w:tab w:val="num" w:pos="720"/>
        </w:tabs>
        <w:autoSpaceDE w:val="0"/>
        <w:autoSpaceDN w:val="0"/>
        <w:adjustRightInd w:val="0"/>
        <w:ind w:left="720" w:hanging="720"/>
        <w:outlineLvl w:val="0"/>
        <w:rPr>
          <w:rFonts w:ascii="Arial" w:hAnsi="Arial" w:cs="Arial"/>
          <w:sz w:val="22"/>
          <w:szCs w:val="22"/>
        </w:rPr>
      </w:pPr>
      <w:r w:rsidRPr="007334E7">
        <w:rPr>
          <w:rFonts w:ascii="Arial" w:hAnsi="Arial" w:cs="Arial"/>
          <w:sz w:val="22"/>
          <w:szCs w:val="22"/>
          <w:u w:val="single"/>
        </w:rPr>
        <w:t>JUSTIFICATION</w:t>
      </w:r>
    </w:p>
    <w:p w:rsidR="007766EB" w:rsidRPr="007334E7" w:rsidRDefault="007766EB" w:rsidP="007766EB">
      <w:pPr>
        <w:rPr>
          <w:rFonts w:ascii="Arial" w:hAnsi="Arial" w:cs="Arial"/>
          <w:sz w:val="22"/>
          <w:szCs w:val="22"/>
        </w:rPr>
      </w:pPr>
    </w:p>
    <w:p w:rsidR="007766EB" w:rsidRPr="007334E7" w:rsidRDefault="007766EB" w:rsidP="007766EB">
      <w:pPr>
        <w:tabs>
          <w:tab w:val="left" w:pos="-1440"/>
        </w:tabs>
        <w:ind w:left="1440" w:hanging="720"/>
        <w:rPr>
          <w:rFonts w:ascii="Arial" w:hAnsi="Arial" w:cs="Arial"/>
          <w:sz w:val="22"/>
          <w:szCs w:val="22"/>
        </w:rPr>
      </w:pPr>
      <w:r w:rsidRPr="007334E7">
        <w:rPr>
          <w:rFonts w:ascii="Arial" w:hAnsi="Arial" w:cs="Arial"/>
          <w:sz w:val="22"/>
          <w:szCs w:val="22"/>
        </w:rPr>
        <w:t>1.</w:t>
      </w:r>
      <w:r w:rsidRPr="007334E7">
        <w:rPr>
          <w:rFonts w:ascii="Arial" w:hAnsi="Arial" w:cs="Arial"/>
          <w:sz w:val="22"/>
          <w:szCs w:val="22"/>
        </w:rPr>
        <w:tab/>
      </w:r>
      <w:r w:rsidRPr="007334E7">
        <w:rPr>
          <w:rFonts w:ascii="Arial" w:hAnsi="Arial" w:cs="Arial"/>
          <w:sz w:val="22"/>
          <w:szCs w:val="22"/>
          <w:u w:val="single"/>
        </w:rPr>
        <w:t>Need for and Practical Utility of the Collection of Information</w:t>
      </w:r>
    </w:p>
    <w:p w:rsidR="007766EB" w:rsidRPr="007334E7" w:rsidRDefault="007766EB" w:rsidP="007766EB">
      <w:pPr>
        <w:rPr>
          <w:rFonts w:ascii="Arial" w:hAnsi="Arial" w:cs="Arial"/>
          <w:sz w:val="22"/>
          <w:szCs w:val="22"/>
        </w:rPr>
      </w:pPr>
    </w:p>
    <w:p w:rsidR="007766EB" w:rsidRPr="007334E7" w:rsidRDefault="007766EB" w:rsidP="007766EB">
      <w:pPr>
        <w:ind w:left="1440"/>
        <w:rPr>
          <w:rFonts w:ascii="Arial" w:hAnsi="Arial" w:cs="Arial"/>
          <w:sz w:val="22"/>
          <w:szCs w:val="22"/>
        </w:rPr>
      </w:pPr>
      <w:r w:rsidRPr="007334E7">
        <w:rPr>
          <w:rFonts w:ascii="Arial" w:hAnsi="Arial" w:cs="Arial"/>
          <w:sz w:val="22"/>
          <w:szCs w:val="22"/>
        </w:rPr>
        <w:t>Licensees need to collect and analyze information concerning the performance of SSCs within the scope of 10 CFR 50.65 so that they can use information from past experience to predict future plant vulnerabilities and plan appropriate maintenance activities aimed at eliminating or mitigating those vulnerabilities.</w:t>
      </w:r>
    </w:p>
    <w:p w:rsidR="007766EB" w:rsidRPr="007334E7" w:rsidRDefault="007766EB" w:rsidP="007766EB">
      <w:pPr>
        <w:rPr>
          <w:rFonts w:ascii="Arial" w:hAnsi="Arial" w:cs="Arial"/>
          <w:sz w:val="22"/>
          <w:szCs w:val="22"/>
        </w:rPr>
      </w:pPr>
    </w:p>
    <w:p w:rsidR="007766EB" w:rsidRPr="007334E7" w:rsidRDefault="007766EB" w:rsidP="007766EB">
      <w:pPr>
        <w:tabs>
          <w:tab w:val="left" w:pos="-1440"/>
        </w:tabs>
        <w:ind w:left="1440" w:hanging="720"/>
        <w:rPr>
          <w:rFonts w:ascii="Arial" w:hAnsi="Arial" w:cs="Arial"/>
          <w:sz w:val="22"/>
          <w:szCs w:val="22"/>
        </w:rPr>
      </w:pPr>
      <w:r w:rsidRPr="007334E7">
        <w:rPr>
          <w:rFonts w:ascii="Arial" w:hAnsi="Arial" w:cs="Arial"/>
          <w:sz w:val="22"/>
          <w:szCs w:val="22"/>
        </w:rPr>
        <w:t>2.</w:t>
      </w:r>
      <w:r w:rsidRPr="007334E7">
        <w:rPr>
          <w:rFonts w:ascii="Arial" w:hAnsi="Arial" w:cs="Arial"/>
          <w:sz w:val="22"/>
          <w:szCs w:val="22"/>
        </w:rPr>
        <w:tab/>
      </w:r>
      <w:r w:rsidRPr="007334E7">
        <w:rPr>
          <w:rFonts w:ascii="Arial" w:hAnsi="Arial" w:cs="Arial"/>
          <w:sz w:val="22"/>
          <w:szCs w:val="22"/>
          <w:u w:val="single"/>
        </w:rPr>
        <w:t>Agency Use of Information</w:t>
      </w:r>
    </w:p>
    <w:p w:rsidR="007766EB" w:rsidRPr="007334E7" w:rsidRDefault="007766EB" w:rsidP="007766EB">
      <w:pPr>
        <w:rPr>
          <w:rFonts w:ascii="Arial" w:hAnsi="Arial" w:cs="Arial"/>
          <w:sz w:val="22"/>
          <w:szCs w:val="22"/>
        </w:rPr>
      </w:pPr>
    </w:p>
    <w:p w:rsidR="007766EB" w:rsidRDefault="007766EB" w:rsidP="007766EB">
      <w:pPr>
        <w:ind w:left="1440"/>
        <w:rPr>
          <w:rFonts w:ascii="Arial" w:hAnsi="Arial" w:cs="Arial"/>
          <w:sz w:val="22"/>
          <w:szCs w:val="22"/>
        </w:rPr>
      </w:pPr>
      <w:r w:rsidRPr="007334E7">
        <w:rPr>
          <w:rFonts w:ascii="Arial" w:hAnsi="Arial" w:cs="Arial"/>
          <w:sz w:val="22"/>
          <w:szCs w:val="22"/>
        </w:rPr>
        <w:t>Information on performance criteria, goal setting and monitoring results, failure data, unavailability data, and periodic assessments developed by the licensees to implement 10 CFR 50.65, may be reviewed at the licensee's facilities by NRC inspectors in order to independently evaluate SSC performance and ensure that the SSCs are capable of fulfilling their intended function, and thereby maintain safe operation of the plant.  Licensee reporting of information to the NRC is not required.</w:t>
      </w:r>
    </w:p>
    <w:p w:rsidR="007766EB" w:rsidRPr="007334E7" w:rsidRDefault="007766EB" w:rsidP="007766EB">
      <w:pPr>
        <w:rPr>
          <w:rFonts w:ascii="Arial" w:hAnsi="Arial" w:cs="Arial"/>
          <w:sz w:val="22"/>
          <w:szCs w:val="22"/>
        </w:rPr>
      </w:pPr>
    </w:p>
    <w:p w:rsidR="007766EB" w:rsidRPr="007334E7" w:rsidRDefault="007766EB" w:rsidP="007766EB">
      <w:pPr>
        <w:tabs>
          <w:tab w:val="left" w:pos="-1440"/>
        </w:tabs>
        <w:ind w:left="1440" w:hanging="720"/>
        <w:rPr>
          <w:rFonts w:ascii="Arial" w:hAnsi="Arial" w:cs="Arial"/>
          <w:sz w:val="22"/>
          <w:szCs w:val="22"/>
        </w:rPr>
      </w:pPr>
      <w:r w:rsidRPr="007334E7">
        <w:rPr>
          <w:rFonts w:ascii="Arial" w:hAnsi="Arial" w:cs="Arial"/>
          <w:sz w:val="22"/>
          <w:szCs w:val="22"/>
        </w:rPr>
        <w:t>3.</w:t>
      </w:r>
      <w:r w:rsidRPr="007334E7">
        <w:rPr>
          <w:rFonts w:ascii="Arial" w:hAnsi="Arial" w:cs="Arial"/>
          <w:sz w:val="22"/>
          <w:szCs w:val="22"/>
        </w:rPr>
        <w:tab/>
      </w:r>
      <w:r w:rsidRPr="007334E7">
        <w:rPr>
          <w:rFonts w:ascii="Arial" w:hAnsi="Arial" w:cs="Arial"/>
          <w:sz w:val="22"/>
          <w:szCs w:val="22"/>
          <w:u w:val="single"/>
        </w:rPr>
        <w:t xml:space="preserve">Reduction of Burden </w:t>
      </w:r>
      <w:proofErr w:type="gramStart"/>
      <w:r w:rsidRPr="007334E7">
        <w:rPr>
          <w:rFonts w:ascii="Arial" w:hAnsi="Arial" w:cs="Arial"/>
          <w:sz w:val="22"/>
          <w:szCs w:val="22"/>
          <w:u w:val="single"/>
        </w:rPr>
        <w:t>Through</w:t>
      </w:r>
      <w:proofErr w:type="gramEnd"/>
      <w:r w:rsidRPr="007334E7">
        <w:rPr>
          <w:rFonts w:ascii="Arial" w:hAnsi="Arial" w:cs="Arial"/>
          <w:sz w:val="22"/>
          <w:szCs w:val="22"/>
          <w:u w:val="single"/>
        </w:rPr>
        <w:t xml:space="preserve"> Information Technology</w:t>
      </w:r>
    </w:p>
    <w:p w:rsidR="007766EB" w:rsidRPr="007334E7" w:rsidRDefault="007766EB" w:rsidP="007766EB">
      <w:pPr>
        <w:rPr>
          <w:rFonts w:ascii="Arial" w:hAnsi="Arial" w:cs="Arial"/>
          <w:sz w:val="22"/>
          <w:szCs w:val="22"/>
        </w:rPr>
      </w:pPr>
    </w:p>
    <w:p w:rsidR="007766EB" w:rsidRDefault="007766EB" w:rsidP="007766EB">
      <w:pPr>
        <w:ind w:left="1440"/>
        <w:rPr>
          <w:rFonts w:ascii="Arial" w:hAnsi="Arial" w:cs="Arial"/>
          <w:sz w:val="22"/>
          <w:szCs w:val="22"/>
        </w:rPr>
      </w:pPr>
      <w:r w:rsidRPr="007334E7">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The 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Due to the nature of this requirement, it is estimated </w:t>
      </w:r>
      <w:r>
        <w:rPr>
          <w:rFonts w:ascii="Arial" w:hAnsi="Arial" w:cs="Arial"/>
          <w:sz w:val="22"/>
          <w:szCs w:val="22"/>
        </w:rPr>
        <w:t>0% of the potential responses will be filed electronically.</w:t>
      </w:r>
    </w:p>
    <w:p w:rsidR="007766EB" w:rsidRPr="007334E7" w:rsidRDefault="007766EB" w:rsidP="007766EB">
      <w:pPr>
        <w:rPr>
          <w:rFonts w:ascii="Arial" w:hAnsi="Arial" w:cs="Arial"/>
          <w:sz w:val="22"/>
          <w:szCs w:val="22"/>
        </w:rPr>
      </w:pPr>
    </w:p>
    <w:p w:rsidR="007766EB" w:rsidRPr="007334E7" w:rsidRDefault="007766EB" w:rsidP="001A5A35">
      <w:pPr>
        <w:pStyle w:val="Level1"/>
        <w:numPr>
          <w:ilvl w:val="0"/>
          <w:numId w:val="3"/>
        </w:numPr>
        <w:tabs>
          <w:tab w:val="left" w:pos="-1440"/>
        </w:tabs>
        <w:autoSpaceDE w:val="0"/>
        <w:autoSpaceDN w:val="0"/>
        <w:adjustRightInd w:val="0"/>
        <w:ind w:left="1440" w:hanging="720"/>
        <w:outlineLvl w:val="0"/>
        <w:rPr>
          <w:rFonts w:ascii="Arial" w:hAnsi="Arial" w:cs="Arial"/>
          <w:sz w:val="22"/>
          <w:szCs w:val="22"/>
        </w:rPr>
      </w:pPr>
      <w:r w:rsidRPr="007334E7">
        <w:rPr>
          <w:rFonts w:ascii="Arial" w:hAnsi="Arial" w:cs="Arial"/>
          <w:sz w:val="22"/>
          <w:szCs w:val="22"/>
          <w:u w:val="single"/>
        </w:rPr>
        <w:t>Effort to Identify Duplication and Use Similar Information</w:t>
      </w:r>
    </w:p>
    <w:p w:rsidR="007766EB" w:rsidRPr="007334E7" w:rsidRDefault="007766EB" w:rsidP="007766EB">
      <w:pPr>
        <w:rPr>
          <w:rFonts w:ascii="Arial" w:hAnsi="Arial" w:cs="Arial"/>
          <w:sz w:val="22"/>
          <w:szCs w:val="22"/>
        </w:rPr>
      </w:pPr>
    </w:p>
    <w:p w:rsidR="007766EB" w:rsidRDefault="001C7FDD" w:rsidP="007766EB">
      <w:pPr>
        <w:ind w:left="1440"/>
        <w:rPr>
          <w:rFonts w:ascii="Arial" w:hAnsi="Arial" w:cs="Arial"/>
          <w:sz w:val="22"/>
          <w:szCs w:val="22"/>
        </w:rPr>
      </w:pPr>
      <w:r w:rsidRPr="001C7FDD">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w:t>
      </w:r>
      <w:r>
        <w:rPr>
          <w:rFonts w:ascii="Arial" w:hAnsi="Arial" w:cs="Arial"/>
          <w:sz w:val="22"/>
          <w:szCs w:val="22"/>
        </w:rPr>
        <w:t xml:space="preserve">cessary information collections.  </w:t>
      </w:r>
      <w:r w:rsidR="007766EB" w:rsidRPr="00FD543C">
        <w:rPr>
          <w:rFonts w:ascii="Arial" w:hAnsi="Arial" w:cs="Arial"/>
          <w:sz w:val="22"/>
          <w:szCs w:val="22"/>
        </w:rPr>
        <w:t>However, licensees are currently required to collect and document information concerning the condition and behavior of certain plant equipment in acco</w:t>
      </w:r>
      <w:r w:rsidR="007766EB">
        <w:rPr>
          <w:rFonts w:ascii="Arial" w:hAnsi="Arial" w:cs="Arial"/>
          <w:sz w:val="22"/>
          <w:szCs w:val="22"/>
        </w:rPr>
        <w:t>rdance with 10 CFR 50, Appendix </w:t>
      </w:r>
      <w:r w:rsidR="007766EB" w:rsidRPr="00FD543C">
        <w:rPr>
          <w:rFonts w:ascii="Arial" w:hAnsi="Arial" w:cs="Arial"/>
          <w:sz w:val="22"/>
          <w:szCs w:val="22"/>
        </w:rPr>
        <w:t xml:space="preserve">B (e.g., procedures, quality </w:t>
      </w:r>
      <w:r w:rsidR="007766EB" w:rsidRPr="00FD543C">
        <w:rPr>
          <w:rFonts w:ascii="Arial" w:hAnsi="Arial" w:cs="Arial"/>
          <w:sz w:val="22"/>
          <w:szCs w:val="22"/>
        </w:rPr>
        <w:lastRenderedPageBreak/>
        <w:t>a</w:t>
      </w:r>
      <w:r w:rsidR="007766EB">
        <w:rPr>
          <w:rFonts w:ascii="Arial" w:hAnsi="Arial" w:cs="Arial"/>
          <w:sz w:val="22"/>
          <w:szCs w:val="22"/>
        </w:rPr>
        <w:t>ssurance programs, records), 10 </w:t>
      </w:r>
      <w:r w:rsidR="007766EB" w:rsidRPr="00FD543C">
        <w:rPr>
          <w:rFonts w:ascii="Arial" w:hAnsi="Arial" w:cs="Arial"/>
          <w:sz w:val="22"/>
          <w:szCs w:val="22"/>
        </w:rPr>
        <w:t>CFR</w:t>
      </w:r>
      <w:r w:rsidR="007766EB">
        <w:rPr>
          <w:rFonts w:ascii="Arial" w:hAnsi="Arial" w:cs="Arial"/>
          <w:sz w:val="22"/>
          <w:szCs w:val="22"/>
        </w:rPr>
        <w:t> </w:t>
      </w:r>
      <w:r w:rsidR="007766EB" w:rsidRPr="00FD543C">
        <w:rPr>
          <w:rFonts w:ascii="Arial" w:hAnsi="Arial" w:cs="Arial"/>
          <w:sz w:val="22"/>
          <w:szCs w:val="22"/>
        </w:rPr>
        <w:t>50.36 (surveillance requirements), 10 CFR 50.48 (fire protection), 10</w:t>
      </w:r>
      <w:r w:rsidR="007766EB">
        <w:rPr>
          <w:rFonts w:ascii="Arial" w:hAnsi="Arial" w:cs="Arial"/>
          <w:sz w:val="22"/>
          <w:szCs w:val="22"/>
        </w:rPr>
        <w:t> </w:t>
      </w:r>
      <w:r w:rsidR="007766EB" w:rsidRPr="00FD543C">
        <w:rPr>
          <w:rFonts w:ascii="Arial" w:hAnsi="Arial" w:cs="Arial"/>
          <w:sz w:val="22"/>
          <w:szCs w:val="22"/>
        </w:rPr>
        <w:t>CFR 50.49 (environmental qualification), 10 CFR 50.55a (in-service inspection requirements), 10 CFR 50.61 (pressurized thermal shock), 10 CFR 50.62 (anticipated transient without scram), 10 CFR 50.63 (station blackout), and 10</w:t>
      </w:r>
      <w:r w:rsidR="007766EB">
        <w:rPr>
          <w:rFonts w:ascii="Arial" w:hAnsi="Arial" w:cs="Arial"/>
          <w:sz w:val="22"/>
          <w:szCs w:val="22"/>
        </w:rPr>
        <w:t> </w:t>
      </w:r>
      <w:r w:rsidR="007766EB" w:rsidRPr="00FD543C">
        <w:rPr>
          <w:rFonts w:ascii="Arial" w:hAnsi="Arial" w:cs="Arial"/>
          <w:sz w:val="22"/>
          <w:szCs w:val="22"/>
        </w:rPr>
        <w:t>CFR 54 (license renewal), if applicable.  Some of this same information will be used by licensees to partially meet the requirements of 10 CFR 50.65 with respect to safety-related SSCs.</w:t>
      </w:r>
    </w:p>
    <w:p w:rsidR="007766EB" w:rsidRDefault="007766EB" w:rsidP="007766EB">
      <w:pPr>
        <w:rPr>
          <w:rFonts w:ascii="Arial" w:hAnsi="Arial" w:cs="Arial"/>
          <w:sz w:val="22"/>
          <w:szCs w:val="22"/>
        </w:rPr>
      </w:pPr>
    </w:p>
    <w:p w:rsidR="007766EB" w:rsidRPr="007334E7" w:rsidRDefault="007766EB" w:rsidP="001A5A35">
      <w:pPr>
        <w:pStyle w:val="Level1"/>
        <w:numPr>
          <w:ilvl w:val="0"/>
          <w:numId w:val="3"/>
        </w:numPr>
        <w:tabs>
          <w:tab w:val="left" w:pos="-1440"/>
        </w:tabs>
        <w:autoSpaceDE w:val="0"/>
        <w:autoSpaceDN w:val="0"/>
        <w:adjustRightInd w:val="0"/>
        <w:ind w:left="1440" w:hanging="720"/>
        <w:outlineLvl w:val="0"/>
        <w:rPr>
          <w:rFonts w:ascii="Arial" w:hAnsi="Arial" w:cs="Arial"/>
          <w:sz w:val="22"/>
          <w:szCs w:val="22"/>
        </w:rPr>
      </w:pPr>
      <w:r w:rsidRPr="007334E7">
        <w:rPr>
          <w:rFonts w:ascii="Arial" w:hAnsi="Arial" w:cs="Arial"/>
          <w:sz w:val="22"/>
          <w:szCs w:val="22"/>
          <w:u w:val="single"/>
        </w:rPr>
        <w:t>Effort to Reduce Small Business Burden</w:t>
      </w:r>
    </w:p>
    <w:p w:rsidR="007766EB" w:rsidRPr="007334E7" w:rsidRDefault="007766EB" w:rsidP="007766EB">
      <w:pPr>
        <w:rPr>
          <w:rFonts w:ascii="Arial" w:hAnsi="Arial" w:cs="Arial"/>
          <w:sz w:val="22"/>
          <w:szCs w:val="22"/>
        </w:rPr>
      </w:pPr>
    </w:p>
    <w:p w:rsidR="007766EB" w:rsidRPr="007334E7" w:rsidRDefault="007766EB" w:rsidP="007766EB">
      <w:pPr>
        <w:ind w:left="1440"/>
        <w:rPr>
          <w:rFonts w:ascii="Arial" w:hAnsi="Arial" w:cs="Arial"/>
          <w:sz w:val="22"/>
          <w:szCs w:val="22"/>
        </w:rPr>
      </w:pPr>
      <w:r w:rsidRPr="007334E7">
        <w:rPr>
          <w:rFonts w:ascii="Arial" w:hAnsi="Arial" w:cs="Arial"/>
          <w:sz w:val="22"/>
          <w:szCs w:val="22"/>
        </w:rPr>
        <w:t>These information collection requirements do not affect small businesses</w:t>
      </w:r>
      <w:r w:rsidR="001C7FDD">
        <w:rPr>
          <w:rFonts w:ascii="Arial" w:hAnsi="Arial" w:cs="Arial"/>
          <w:sz w:val="22"/>
          <w:szCs w:val="22"/>
        </w:rPr>
        <w:t>.</w:t>
      </w:r>
    </w:p>
    <w:p w:rsidR="007766EB" w:rsidRPr="007334E7" w:rsidRDefault="007766EB" w:rsidP="007766EB">
      <w:pPr>
        <w:rPr>
          <w:rFonts w:ascii="Arial" w:hAnsi="Arial" w:cs="Arial"/>
          <w:sz w:val="22"/>
          <w:szCs w:val="22"/>
        </w:rPr>
      </w:pPr>
    </w:p>
    <w:p w:rsidR="007766EB" w:rsidRPr="007334E7" w:rsidRDefault="007766EB" w:rsidP="007766EB">
      <w:pPr>
        <w:tabs>
          <w:tab w:val="left" w:pos="-1440"/>
        </w:tabs>
        <w:ind w:left="1440" w:hanging="720"/>
        <w:rPr>
          <w:rFonts w:ascii="Arial" w:hAnsi="Arial" w:cs="Arial"/>
          <w:sz w:val="22"/>
          <w:szCs w:val="22"/>
        </w:rPr>
      </w:pPr>
      <w:r w:rsidRPr="007334E7">
        <w:rPr>
          <w:rFonts w:ascii="Arial" w:hAnsi="Arial" w:cs="Arial"/>
          <w:sz w:val="22"/>
          <w:szCs w:val="22"/>
        </w:rPr>
        <w:t>6.</w:t>
      </w:r>
      <w:r w:rsidRPr="007334E7">
        <w:rPr>
          <w:rFonts w:ascii="Arial" w:hAnsi="Arial" w:cs="Arial"/>
          <w:sz w:val="22"/>
          <w:szCs w:val="22"/>
        </w:rPr>
        <w:tab/>
      </w:r>
      <w:r w:rsidRPr="007334E7">
        <w:rPr>
          <w:rFonts w:ascii="Arial" w:hAnsi="Arial" w:cs="Arial"/>
          <w:sz w:val="22"/>
          <w:szCs w:val="22"/>
          <w:u w:val="single"/>
        </w:rPr>
        <w:t>Consequences to Federal Program or Policy Activities if the Collection is Not Conducted or is Conducted Less Frequently</w:t>
      </w:r>
    </w:p>
    <w:p w:rsidR="007766EB" w:rsidRPr="007334E7" w:rsidRDefault="007766EB" w:rsidP="007766EB">
      <w:pPr>
        <w:rPr>
          <w:rFonts w:ascii="Arial" w:hAnsi="Arial" w:cs="Arial"/>
          <w:sz w:val="22"/>
          <w:szCs w:val="22"/>
        </w:rPr>
      </w:pPr>
    </w:p>
    <w:p w:rsidR="007766EB" w:rsidRPr="007334E7" w:rsidRDefault="007766EB" w:rsidP="007766EB">
      <w:pPr>
        <w:ind w:left="1440"/>
        <w:rPr>
          <w:rFonts w:ascii="Arial" w:hAnsi="Arial" w:cs="Arial"/>
          <w:sz w:val="22"/>
          <w:szCs w:val="22"/>
        </w:rPr>
      </w:pPr>
      <w:r w:rsidRPr="007334E7">
        <w:rPr>
          <w:rFonts w:ascii="Arial" w:hAnsi="Arial" w:cs="Arial"/>
          <w:sz w:val="22"/>
          <w:szCs w:val="22"/>
        </w:rPr>
        <w:t xml:space="preserve">If the information </w:t>
      </w:r>
      <w:proofErr w:type="gramStart"/>
      <w:r w:rsidRPr="007334E7">
        <w:rPr>
          <w:rFonts w:ascii="Arial" w:hAnsi="Arial" w:cs="Arial"/>
          <w:sz w:val="22"/>
          <w:szCs w:val="22"/>
        </w:rPr>
        <w:t>were</w:t>
      </w:r>
      <w:proofErr w:type="gramEnd"/>
      <w:r w:rsidRPr="007334E7">
        <w:rPr>
          <w:rFonts w:ascii="Arial" w:hAnsi="Arial" w:cs="Arial"/>
          <w:sz w:val="22"/>
          <w:szCs w:val="22"/>
        </w:rPr>
        <w:t xml:space="preserve"> not collected, or were collected less frequently, licensees would perform maintenance activities more haphazardly, the plant would operate less predictably, and the health and safety of the public would be less reliably protected.</w:t>
      </w:r>
    </w:p>
    <w:p w:rsidR="007766EB" w:rsidRPr="007334E7" w:rsidRDefault="007766EB" w:rsidP="007766EB">
      <w:pPr>
        <w:rPr>
          <w:rFonts w:ascii="Arial" w:hAnsi="Arial" w:cs="Arial"/>
          <w:sz w:val="22"/>
          <w:szCs w:val="22"/>
        </w:rPr>
      </w:pPr>
    </w:p>
    <w:p w:rsidR="007766EB" w:rsidRPr="007334E7" w:rsidRDefault="007766EB" w:rsidP="007766EB">
      <w:pPr>
        <w:tabs>
          <w:tab w:val="left" w:pos="-1440"/>
        </w:tabs>
        <w:ind w:left="1440" w:hanging="720"/>
        <w:rPr>
          <w:rFonts w:ascii="Arial" w:hAnsi="Arial" w:cs="Arial"/>
          <w:sz w:val="22"/>
          <w:szCs w:val="22"/>
        </w:rPr>
      </w:pPr>
      <w:r w:rsidRPr="007334E7">
        <w:rPr>
          <w:rFonts w:ascii="Arial" w:hAnsi="Arial" w:cs="Arial"/>
          <w:sz w:val="22"/>
          <w:szCs w:val="22"/>
        </w:rPr>
        <w:t>7.</w:t>
      </w:r>
      <w:r w:rsidRPr="007334E7">
        <w:rPr>
          <w:rFonts w:ascii="Arial" w:hAnsi="Arial" w:cs="Arial"/>
          <w:sz w:val="22"/>
          <w:szCs w:val="22"/>
        </w:rPr>
        <w:tab/>
      </w:r>
      <w:r w:rsidRPr="007334E7">
        <w:rPr>
          <w:rFonts w:ascii="Arial" w:hAnsi="Arial" w:cs="Arial"/>
          <w:sz w:val="22"/>
          <w:szCs w:val="22"/>
          <w:u w:val="single"/>
        </w:rPr>
        <w:t xml:space="preserve">Circumstances Which Justify Variation from </w:t>
      </w:r>
      <w:r w:rsidR="005F5692" w:rsidRPr="005F5692">
        <w:rPr>
          <w:rFonts w:ascii="Arial" w:hAnsi="Arial" w:cs="Arial"/>
          <w:color w:val="000000"/>
          <w:sz w:val="22"/>
          <w:szCs w:val="22"/>
          <w:u w:val="single"/>
        </w:rPr>
        <w:t>Office of Management and Budget</w:t>
      </w:r>
      <w:r w:rsidRPr="007334E7">
        <w:rPr>
          <w:rFonts w:ascii="Arial" w:hAnsi="Arial" w:cs="Arial"/>
          <w:sz w:val="22"/>
          <w:szCs w:val="22"/>
          <w:u w:val="single"/>
        </w:rPr>
        <w:t xml:space="preserve"> Guidelines</w:t>
      </w:r>
    </w:p>
    <w:p w:rsidR="007766EB" w:rsidRPr="007334E7" w:rsidRDefault="007766EB" w:rsidP="007766EB">
      <w:pPr>
        <w:rPr>
          <w:rFonts w:ascii="Arial" w:hAnsi="Arial" w:cs="Arial"/>
          <w:sz w:val="22"/>
          <w:szCs w:val="22"/>
        </w:rPr>
      </w:pPr>
    </w:p>
    <w:p w:rsidR="007766EB" w:rsidRDefault="007766EB" w:rsidP="007766EB">
      <w:pPr>
        <w:ind w:left="1440"/>
        <w:rPr>
          <w:rFonts w:ascii="Arial" w:hAnsi="Arial" w:cs="Arial"/>
          <w:sz w:val="22"/>
          <w:szCs w:val="22"/>
        </w:rPr>
      </w:pPr>
      <w:r w:rsidRPr="007334E7">
        <w:rPr>
          <w:rFonts w:ascii="Arial" w:hAnsi="Arial" w:cs="Arial"/>
          <w:sz w:val="22"/>
          <w:szCs w:val="22"/>
        </w:rPr>
        <w:t>There is no variation.  10 CFR 50.65 does not change any of the existing requirements for records retention.  Maintenance surveillance and failure records and data are retained in accordance with existing plant procedures and requirements.  If the licensee chooses to retain records for longer than three years, that will result from trends in failures and unavailability of SSCs and not as a result of any specific requirements of 10 CFR 50.65 or its implementing guidance.  The adequacy of licensees' efforts is judged on the basis of acceptability of equipment performance or condition.  Therefore, record retention periods are driven by the needs of licensees to develop useful trending information.</w:t>
      </w:r>
    </w:p>
    <w:p w:rsidR="007766EB" w:rsidRPr="007334E7" w:rsidRDefault="007766EB" w:rsidP="007766EB">
      <w:pPr>
        <w:rPr>
          <w:rFonts w:ascii="Arial" w:hAnsi="Arial" w:cs="Arial"/>
          <w:sz w:val="22"/>
          <w:szCs w:val="22"/>
        </w:rPr>
      </w:pPr>
    </w:p>
    <w:p w:rsidR="007766EB" w:rsidRPr="007334E7" w:rsidRDefault="007766EB" w:rsidP="007766EB">
      <w:pPr>
        <w:tabs>
          <w:tab w:val="left" w:pos="-1440"/>
        </w:tabs>
        <w:ind w:left="1440" w:hanging="720"/>
        <w:rPr>
          <w:rFonts w:ascii="Arial" w:hAnsi="Arial" w:cs="Arial"/>
          <w:sz w:val="22"/>
          <w:szCs w:val="22"/>
        </w:rPr>
      </w:pPr>
      <w:r w:rsidRPr="007334E7">
        <w:rPr>
          <w:rFonts w:ascii="Arial" w:hAnsi="Arial" w:cs="Arial"/>
          <w:sz w:val="22"/>
          <w:szCs w:val="22"/>
        </w:rPr>
        <w:t>8.</w:t>
      </w:r>
      <w:r w:rsidRPr="007334E7">
        <w:rPr>
          <w:rFonts w:ascii="Arial" w:hAnsi="Arial" w:cs="Arial"/>
          <w:sz w:val="22"/>
          <w:szCs w:val="22"/>
        </w:rPr>
        <w:tab/>
      </w:r>
      <w:r w:rsidRPr="007334E7">
        <w:rPr>
          <w:rFonts w:ascii="Arial" w:hAnsi="Arial" w:cs="Arial"/>
          <w:sz w:val="22"/>
          <w:szCs w:val="22"/>
          <w:u w:val="single"/>
        </w:rPr>
        <w:t xml:space="preserve">Consultations </w:t>
      </w:r>
      <w:proofErr w:type="gramStart"/>
      <w:r w:rsidRPr="007334E7">
        <w:rPr>
          <w:rFonts w:ascii="Arial" w:hAnsi="Arial" w:cs="Arial"/>
          <w:sz w:val="22"/>
          <w:szCs w:val="22"/>
          <w:u w:val="single"/>
        </w:rPr>
        <w:t>Outside</w:t>
      </w:r>
      <w:proofErr w:type="gramEnd"/>
      <w:r w:rsidRPr="007334E7">
        <w:rPr>
          <w:rFonts w:ascii="Arial" w:hAnsi="Arial" w:cs="Arial"/>
          <w:sz w:val="22"/>
          <w:szCs w:val="22"/>
          <w:u w:val="single"/>
        </w:rPr>
        <w:t xml:space="preserve"> the Agency</w:t>
      </w:r>
    </w:p>
    <w:p w:rsidR="007766EB" w:rsidRPr="007334E7" w:rsidRDefault="007766EB" w:rsidP="007766EB">
      <w:pPr>
        <w:rPr>
          <w:rFonts w:ascii="Arial" w:hAnsi="Arial" w:cs="Arial"/>
          <w:sz w:val="22"/>
          <w:szCs w:val="22"/>
        </w:rPr>
      </w:pPr>
    </w:p>
    <w:p w:rsidR="007766EB" w:rsidRDefault="00A91F4C" w:rsidP="00A91F4C">
      <w:pPr>
        <w:tabs>
          <w:tab w:val="left" w:pos="-1440"/>
          <w:tab w:val="left" w:pos="-360"/>
          <w:tab w:val="left" w:pos="600"/>
          <w:tab w:val="left" w:pos="117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u w:val="single"/>
        </w:rPr>
      </w:pPr>
      <w:r>
        <w:rPr>
          <w:rFonts w:ascii="Arial" w:hAnsi="Arial"/>
          <w:sz w:val="22"/>
        </w:rPr>
        <w:t xml:space="preserve">Opportunity for public comment on the information collection requirements for this clearance package was published in the </w:t>
      </w:r>
      <w:r>
        <w:rPr>
          <w:rFonts w:ascii="Arial" w:hAnsi="Arial"/>
          <w:sz w:val="22"/>
          <w:u w:val="single"/>
        </w:rPr>
        <w:t>Federal Register</w:t>
      </w:r>
      <w:r>
        <w:rPr>
          <w:rFonts w:ascii="Arial" w:hAnsi="Arial"/>
          <w:sz w:val="22"/>
        </w:rPr>
        <w:t xml:space="preserve"> on May 14, 2013 (78 FR 28244).  No comments were received.</w:t>
      </w:r>
    </w:p>
    <w:p w:rsidR="001C7FDD" w:rsidRPr="007334E7" w:rsidRDefault="001C7FDD" w:rsidP="007766EB">
      <w:pPr>
        <w:ind w:left="1440"/>
        <w:rPr>
          <w:rFonts w:ascii="Arial" w:hAnsi="Arial" w:cs="Arial"/>
          <w:sz w:val="22"/>
          <w:szCs w:val="22"/>
        </w:rPr>
      </w:pPr>
    </w:p>
    <w:p w:rsidR="007766EB" w:rsidRPr="007334E7" w:rsidRDefault="007766EB" w:rsidP="007766EB">
      <w:pPr>
        <w:tabs>
          <w:tab w:val="left" w:pos="-1440"/>
        </w:tabs>
        <w:ind w:left="1440" w:hanging="720"/>
        <w:rPr>
          <w:rFonts w:ascii="Arial" w:hAnsi="Arial" w:cs="Arial"/>
          <w:sz w:val="22"/>
          <w:szCs w:val="22"/>
        </w:rPr>
      </w:pPr>
      <w:r w:rsidRPr="007334E7">
        <w:rPr>
          <w:rFonts w:ascii="Arial" w:hAnsi="Arial" w:cs="Arial"/>
          <w:sz w:val="22"/>
          <w:szCs w:val="22"/>
        </w:rPr>
        <w:t>9.</w:t>
      </w:r>
      <w:r w:rsidRPr="007334E7">
        <w:rPr>
          <w:rFonts w:ascii="Arial" w:hAnsi="Arial" w:cs="Arial"/>
          <w:sz w:val="22"/>
          <w:szCs w:val="22"/>
        </w:rPr>
        <w:tab/>
      </w:r>
      <w:r w:rsidRPr="007334E7">
        <w:rPr>
          <w:rFonts w:ascii="Arial" w:hAnsi="Arial" w:cs="Arial"/>
          <w:sz w:val="22"/>
          <w:szCs w:val="22"/>
          <w:u w:val="single"/>
        </w:rPr>
        <w:t>Payment or Gift to Respondents</w:t>
      </w:r>
    </w:p>
    <w:p w:rsidR="007766EB" w:rsidRPr="007334E7" w:rsidRDefault="007766EB" w:rsidP="007766EB">
      <w:pPr>
        <w:rPr>
          <w:rFonts w:ascii="Arial" w:hAnsi="Arial" w:cs="Arial"/>
          <w:sz w:val="22"/>
          <w:szCs w:val="22"/>
        </w:rPr>
      </w:pPr>
    </w:p>
    <w:p w:rsidR="007766EB" w:rsidRPr="007334E7" w:rsidRDefault="007766EB" w:rsidP="007766EB">
      <w:pPr>
        <w:ind w:left="1440"/>
        <w:rPr>
          <w:rFonts w:ascii="Arial" w:hAnsi="Arial" w:cs="Arial"/>
          <w:sz w:val="22"/>
          <w:szCs w:val="22"/>
        </w:rPr>
      </w:pPr>
      <w:r w:rsidRPr="007334E7">
        <w:rPr>
          <w:rFonts w:ascii="Arial" w:hAnsi="Arial" w:cs="Arial"/>
          <w:sz w:val="22"/>
          <w:szCs w:val="22"/>
        </w:rPr>
        <w:t>Not applicable.</w:t>
      </w:r>
    </w:p>
    <w:p w:rsidR="007766EB" w:rsidRPr="007334E7" w:rsidRDefault="007766EB" w:rsidP="007766EB">
      <w:pPr>
        <w:rPr>
          <w:rFonts w:ascii="Arial" w:hAnsi="Arial" w:cs="Arial"/>
          <w:sz w:val="22"/>
          <w:szCs w:val="22"/>
        </w:rPr>
      </w:pPr>
    </w:p>
    <w:p w:rsidR="007766EB" w:rsidRPr="007334E7" w:rsidRDefault="007766EB" w:rsidP="007766EB">
      <w:pPr>
        <w:pStyle w:val="Level1"/>
        <w:numPr>
          <w:ilvl w:val="0"/>
          <w:numId w:val="2"/>
        </w:numPr>
        <w:tabs>
          <w:tab w:val="left" w:pos="-1440"/>
          <w:tab w:val="num" w:pos="1440"/>
        </w:tabs>
        <w:autoSpaceDE w:val="0"/>
        <w:autoSpaceDN w:val="0"/>
        <w:adjustRightInd w:val="0"/>
        <w:ind w:left="1440" w:hanging="720"/>
        <w:outlineLvl w:val="0"/>
        <w:rPr>
          <w:rFonts w:ascii="Arial" w:hAnsi="Arial" w:cs="Arial"/>
          <w:sz w:val="22"/>
          <w:szCs w:val="22"/>
        </w:rPr>
      </w:pPr>
      <w:r w:rsidRPr="007334E7">
        <w:rPr>
          <w:rFonts w:ascii="Arial" w:hAnsi="Arial" w:cs="Arial"/>
          <w:sz w:val="22"/>
          <w:szCs w:val="22"/>
          <w:u w:val="single"/>
        </w:rPr>
        <w:t>Confidentiality of Information</w:t>
      </w:r>
    </w:p>
    <w:p w:rsidR="007766EB" w:rsidRPr="007334E7" w:rsidRDefault="007766EB" w:rsidP="007766EB">
      <w:pPr>
        <w:rPr>
          <w:rFonts w:ascii="Arial" w:hAnsi="Arial" w:cs="Arial"/>
          <w:sz w:val="22"/>
          <w:szCs w:val="22"/>
        </w:rPr>
      </w:pPr>
    </w:p>
    <w:p w:rsidR="001C7FDD" w:rsidRDefault="007766EB" w:rsidP="00BB1CDF">
      <w:pPr>
        <w:ind w:left="1440"/>
        <w:rPr>
          <w:rFonts w:ascii="Arial" w:hAnsi="Arial"/>
          <w:sz w:val="22"/>
        </w:rPr>
      </w:pPr>
      <w:r w:rsidRPr="007334E7">
        <w:rPr>
          <w:rFonts w:ascii="Arial" w:hAnsi="Arial" w:cs="Arial"/>
          <w:sz w:val="22"/>
          <w:szCs w:val="22"/>
        </w:rPr>
        <w:lastRenderedPageBreak/>
        <w:t>Confidential and proprietary information is protected in accordance with NRC regulations at 10 CFR 9.17(a) and 10 CFR 2.390(b).</w:t>
      </w:r>
      <w:r>
        <w:rPr>
          <w:rFonts w:ascii="Arial" w:hAnsi="Arial" w:cs="Arial"/>
          <w:sz w:val="22"/>
          <w:szCs w:val="22"/>
        </w:rPr>
        <w:t xml:space="preserve">  </w:t>
      </w:r>
      <w:r w:rsidRPr="00852CD4">
        <w:rPr>
          <w:rFonts w:ascii="Arial" w:hAnsi="Arial"/>
          <w:sz w:val="22"/>
        </w:rPr>
        <w:t>However, no information normally considered confidential or proprietary is requested.</w:t>
      </w:r>
    </w:p>
    <w:p w:rsidR="00BB1CDF" w:rsidRDefault="00BB1CDF" w:rsidP="00BB1CDF">
      <w:pPr>
        <w:ind w:left="1440"/>
        <w:rPr>
          <w:rFonts w:ascii="Arial" w:hAnsi="Arial" w:cs="Arial"/>
          <w:sz w:val="22"/>
          <w:szCs w:val="22"/>
        </w:rPr>
      </w:pPr>
    </w:p>
    <w:p w:rsidR="007766EB" w:rsidRPr="007334E7" w:rsidRDefault="007766EB" w:rsidP="007766EB">
      <w:pPr>
        <w:tabs>
          <w:tab w:val="left" w:pos="-1440"/>
        </w:tabs>
        <w:ind w:left="1440" w:hanging="720"/>
        <w:rPr>
          <w:rFonts w:ascii="Arial" w:hAnsi="Arial" w:cs="Arial"/>
          <w:sz w:val="22"/>
          <w:szCs w:val="22"/>
        </w:rPr>
      </w:pPr>
      <w:r w:rsidRPr="007334E7">
        <w:rPr>
          <w:rFonts w:ascii="Arial" w:hAnsi="Arial" w:cs="Arial"/>
          <w:sz w:val="22"/>
          <w:szCs w:val="22"/>
        </w:rPr>
        <w:t>11.</w:t>
      </w:r>
      <w:r w:rsidRPr="007334E7">
        <w:rPr>
          <w:rFonts w:ascii="Arial" w:hAnsi="Arial" w:cs="Arial"/>
          <w:sz w:val="22"/>
          <w:szCs w:val="22"/>
        </w:rPr>
        <w:tab/>
      </w:r>
      <w:r w:rsidRPr="007334E7">
        <w:rPr>
          <w:rFonts w:ascii="Arial" w:hAnsi="Arial" w:cs="Arial"/>
          <w:sz w:val="22"/>
          <w:szCs w:val="22"/>
          <w:u w:val="single"/>
        </w:rPr>
        <w:t>Justification for Sensitive Questions</w:t>
      </w:r>
    </w:p>
    <w:p w:rsidR="007766EB" w:rsidRPr="007334E7" w:rsidRDefault="007766EB" w:rsidP="007766EB">
      <w:pPr>
        <w:rPr>
          <w:rFonts w:ascii="Arial" w:hAnsi="Arial" w:cs="Arial"/>
          <w:sz w:val="22"/>
          <w:szCs w:val="22"/>
        </w:rPr>
      </w:pPr>
    </w:p>
    <w:p w:rsidR="007766EB" w:rsidRDefault="007766EB" w:rsidP="007766EB">
      <w:pPr>
        <w:ind w:left="1440"/>
        <w:rPr>
          <w:rFonts w:ascii="Arial" w:hAnsi="Arial" w:cs="Arial"/>
          <w:sz w:val="22"/>
          <w:szCs w:val="22"/>
        </w:rPr>
      </w:pPr>
      <w:r w:rsidRPr="007334E7">
        <w:rPr>
          <w:rFonts w:ascii="Arial" w:hAnsi="Arial" w:cs="Arial"/>
          <w:sz w:val="22"/>
          <w:szCs w:val="22"/>
        </w:rPr>
        <w:t>No sensitive information is requested under this regulation.</w:t>
      </w:r>
    </w:p>
    <w:p w:rsidR="000760E6" w:rsidRPr="007334E7" w:rsidRDefault="000760E6" w:rsidP="007766EB">
      <w:pPr>
        <w:ind w:left="1440"/>
        <w:rPr>
          <w:rFonts w:ascii="Arial" w:hAnsi="Arial" w:cs="Arial"/>
          <w:sz w:val="22"/>
          <w:szCs w:val="22"/>
        </w:rPr>
      </w:pPr>
    </w:p>
    <w:p w:rsidR="007766EB" w:rsidRPr="007334E7" w:rsidRDefault="007766EB" w:rsidP="007766EB">
      <w:pPr>
        <w:tabs>
          <w:tab w:val="left" w:pos="-1440"/>
        </w:tabs>
        <w:ind w:left="1440" w:hanging="720"/>
        <w:rPr>
          <w:rFonts w:ascii="Arial" w:hAnsi="Arial" w:cs="Arial"/>
          <w:sz w:val="22"/>
          <w:szCs w:val="22"/>
        </w:rPr>
      </w:pPr>
      <w:r w:rsidRPr="007334E7">
        <w:rPr>
          <w:rFonts w:ascii="Arial" w:hAnsi="Arial" w:cs="Arial"/>
          <w:sz w:val="22"/>
          <w:szCs w:val="22"/>
        </w:rPr>
        <w:t>12.</w:t>
      </w:r>
      <w:r w:rsidRPr="007334E7">
        <w:rPr>
          <w:rFonts w:ascii="Arial" w:hAnsi="Arial" w:cs="Arial"/>
          <w:sz w:val="22"/>
          <w:szCs w:val="22"/>
        </w:rPr>
        <w:tab/>
      </w:r>
      <w:r w:rsidRPr="007334E7">
        <w:rPr>
          <w:rFonts w:ascii="Arial" w:hAnsi="Arial" w:cs="Arial"/>
          <w:sz w:val="22"/>
          <w:szCs w:val="22"/>
          <w:u w:val="single"/>
        </w:rPr>
        <w:t>Estimated Industry Burden and Burden Hour Cost</w:t>
      </w:r>
    </w:p>
    <w:p w:rsidR="007766EB" w:rsidRDefault="007766EB" w:rsidP="007766EB">
      <w:pPr>
        <w:rPr>
          <w:rFonts w:ascii="Arial" w:hAnsi="Arial" w:cs="Arial"/>
          <w:sz w:val="22"/>
          <w:szCs w:val="22"/>
        </w:rPr>
      </w:pPr>
    </w:p>
    <w:p w:rsidR="007766EB" w:rsidRDefault="007766EB" w:rsidP="007766EB">
      <w:pPr>
        <w:ind w:left="1440"/>
        <w:rPr>
          <w:rFonts w:ascii="Arial" w:hAnsi="Arial" w:cs="Arial"/>
          <w:color w:val="000000"/>
          <w:sz w:val="22"/>
          <w:szCs w:val="22"/>
        </w:rPr>
      </w:pPr>
      <w:r>
        <w:rPr>
          <w:rFonts w:ascii="Arial" w:hAnsi="Arial" w:cs="Arial"/>
          <w:color w:val="000000"/>
          <w:sz w:val="22"/>
          <w:szCs w:val="22"/>
        </w:rPr>
        <w:t>T</w:t>
      </w:r>
      <w:r w:rsidRPr="007334E7">
        <w:rPr>
          <w:rFonts w:ascii="Arial" w:hAnsi="Arial" w:cs="Arial"/>
          <w:color w:val="000000"/>
          <w:sz w:val="22"/>
          <w:szCs w:val="22"/>
        </w:rPr>
        <w:t>he licensee's information collections normally consist of program descriptions, data on goals and monitoring efforts, trends of failure data, and trends of availability data.  The information is not sent to the NRC, nor is it separately compiled unless it is information that is not otherwise collected</w:t>
      </w:r>
      <w:r>
        <w:rPr>
          <w:rFonts w:ascii="Arial" w:hAnsi="Arial" w:cs="Arial"/>
          <w:color w:val="000000"/>
          <w:sz w:val="22"/>
          <w:szCs w:val="22"/>
        </w:rPr>
        <w:t>, therefore there is no reporting burden</w:t>
      </w:r>
      <w:r w:rsidRPr="007334E7">
        <w:rPr>
          <w:rFonts w:ascii="Arial" w:hAnsi="Arial" w:cs="Arial"/>
          <w:color w:val="000000"/>
          <w:sz w:val="22"/>
          <w:szCs w:val="22"/>
        </w:rPr>
        <w:t xml:space="preserve">.  </w:t>
      </w:r>
    </w:p>
    <w:p w:rsidR="007766EB" w:rsidRDefault="007766EB" w:rsidP="007766EB">
      <w:pPr>
        <w:ind w:left="1440"/>
        <w:rPr>
          <w:rFonts w:ascii="Arial" w:hAnsi="Arial" w:cs="Arial"/>
          <w:sz w:val="22"/>
          <w:szCs w:val="22"/>
        </w:rPr>
      </w:pPr>
    </w:p>
    <w:p w:rsidR="007766EB" w:rsidRPr="007334E7" w:rsidRDefault="007766EB" w:rsidP="007766EB">
      <w:pPr>
        <w:ind w:left="1440"/>
        <w:rPr>
          <w:rFonts w:ascii="Arial" w:hAnsi="Arial" w:cs="Arial"/>
          <w:sz w:val="22"/>
          <w:szCs w:val="22"/>
        </w:rPr>
      </w:pPr>
      <w:r w:rsidRPr="007334E7">
        <w:rPr>
          <w:rFonts w:ascii="Arial" w:hAnsi="Arial" w:cs="Arial"/>
          <w:sz w:val="22"/>
          <w:szCs w:val="22"/>
        </w:rPr>
        <w:t>The burden varies depending on the quality of the current maintenance program and is calculated for marginally satisfactory plants, satisfactory plants, and good plants (no new plants are expected to be in a maintenance mode during this clea</w:t>
      </w:r>
      <w:r>
        <w:rPr>
          <w:rFonts w:ascii="Arial" w:hAnsi="Arial" w:cs="Arial"/>
          <w:sz w:val="22"/>
          <w:szCs w:val="22"/>
        </w:rPr>
        <w:t>rance period).  Additionally, 1</w:t>
      </w:r>
      <w:r w:rsidR="001A5A35">
        <w:rPr>
          <w:rFonts w:ascii="Arial" w:hAnsi="Arial" w:cs="Arial"/>
          <w:sz w:val="22"/>
          <w:szCs w:val="22"/>
        </w:rPr>
        <w:t>2</w:t>
      </w:r>
      <w:r w:rsidRPr="007334E7">
        <w:rPr>
          <w:rFonts w:ascii="Arial" w:hAnsi="Arial" w:cs="Arial"/>
          <w:sz w:val="22"/>
          <w:szCs w:val="22"/>
        </w:rPr>
        <w:t xml:space="preserve"> plants are in a permanently shutdown status and have a significantly reduced maintenance program.  The hourly </w:t>
      </w:r>
      <w:r>
        <w:rPr>
          <w:rFonts w:ascii="Arial" w:hAnsi="Arial" w:cs="Arial"/>
          <w:sz w:val="22"/>
          <w:szCs w:val="22"/>
        </w:rPr>
        <w:t xml:space="preserve">recordkeeping </w:t>
      </w:r>
      <w:r w:rsidRPr="007334E7">
        <w:rPr>
          <w:rFonts w:ascii="Arial" w:hAnsi="Arial" w:cs="Arial"/>
          <w:sz w:val="22"/>
          <w:szCs w:val="22"/>
        </w:rPr>
        <w:t xml:space="preserve">burdens are listed below. </w:t>
      </w:r>
    </w:p>
    <w:p w:rsidR="007766EB" w:rsidRPr="007334E7" w:rsidRDefault="007766EB" w:rsidP="007766EB">
      <w:pPr>
        <w:rPr>
          <w:rFonts w:ascii="Arial" w:hAnsi="Arial" w:cs="Arial"/>
          <w:sz w:val="22"/>
          <w:szCs w:val="22"/>
        </w:rPr>
      </w:pPr>
    </w:p>
    <w:p w:rsidR="007766EB" w:rsidRPr="007334E7" w:rsidRDefault="007766EB" w:rsidP="007766EB">
      <w:pPr>
        <w:tabs>
          <w:tab w:val="left" w:pos="-1440"/>
        </w:tabs>
        <w:ind w:left="2160" w:hanging="720"/>
        <w:rPr>
          <w:rFonts w:ascii="Arial" w:hAnsi="Arial" w:cs="Arial"/>
          <w:sz w:val="22"/>
          <w:szCs w:val="22"/>
        </w:rPr>
      </w:pPr>
      <w:r w:rsidRPr="007334E7">
        <w:rPr>
          <w:rFonts w:ascii="Arial" w:hAnsi="Arial" w:cs="Arial"/>
          <w:sz w:val="22"/>
          <w:szCs w:val="22"/>
        </w:rPr>
        <w:t>a.</w:t>
      </w:r>
      <w:r w:rsidRPr="007334E7">
        <w:rPr>
          <w:rFonts w:ascii="Arial" w:hAnsi="Arial" w:cs="Arial"/>
          <w:sz w:val="22"/>
          <w:szCs w:val="22"/>
        </w:rPr>
        <w:tab/>
      </w:r>
      <w:r w:rsidRPr="007334E7">
        <w:rPr>
          <w:rFonts w:ascii="Arial" w:hAnsi="Arial" w:cs="Arial"/>
          <w:sz w:val="22"/>
          <w:szCs w:val="22"/>
          <w:u w:val="single"/>
        </w:rPr>
        <w:t xml:space="preserve">Section 13.3 of NUMARC 93-01:  Documentation of Performance </w:t>
      </w:r>
      <w:proofErr w:type="gramStart"/>
      <w:r w:rsidRPr="007334E7">
        <w:rPr>
          <w:rFonts w:ascii="Arial" w:hAnsi="Arial" w:cs="Arial"/>
          <w:sz w:val="22"/>
          <w:szCs w:val="22"/>
          <w:u w:val="single"/>
        </w:rPr>
        <w:t>Against</w:t>
      </w:r>
      <w:proofErr w:type="gramEnd"/>
      <w:r w:rsidRPr="007334E7">
        <w:rPr>
          <w:rFonts w:ascii="Arial" w:hAnsi="Arial" w:cs="Arial"/>
          <w:sz w:val="22"/>
          <w:szCs w:val="22"/>
          <w:u w:val="single"/>
        </w:rPr>
        <w:t xml:space="preserve"> Goals, Changes to Goals, Expanded Data Collection, Data Analysis, Trending, Cause Analysis, and Programs Analysis</w:t>
      </w:r>
    </w:p>
    <w:p w:rsidR="007766EB" w:rsidRPr="007334E7" w:rsidRDefault="007766EB" w:rsidP="007766EB">
      <w:pPr>
        <w:rPr>
          <w:rFonts w:ascii="Arial" w:hAnsi="Arial" w:cs="Arial"/>
          <w:sz w:val="22"/>
          <w:szCs w:val="22"/>
        </w:rPr>
      </w:pPr>
    </w:p>
    <w:p w:rsidR="007766EB" w:rsidRPr="007334E7" w:rsidRDefault="007766EB" w:rsidP="007766EB">
      <w:pPr>
        <w:ind w:left="2160"/>
        <w:rPr>
          <w:rFonts w:ascii="Arial" w:hAnsi="Arial" w:cs="Arial"/>
          <w:sz w:val="22"/>
          <w:szCs w:val="22"/>
        </w:rPr>
      </w:pPr>
      <w:r w:rsidRPr="007334E7">
        <w:rPr>
          <w:rFonts w:ascii="Arial" w:hAnsi="Arial" w:cs="Arial"/>
          <w:sz w:val="22"/>
          <w:szCs w:val="22"/>
        </w:rPr>
        <w:t xml:space="preserve">All three categories of operating plants require additional staff for necessary documentation.  It is assumed that one additional staff person spends two-thirds of the time on these information collection activities.  </w:t>
      </w:r>
    </w:p>
    <w:p w:rsidR="007766EB" w:rsidRPr="007334E7" w:rsidRDefault="007766EB" w:rsidP="007766EB">
      <w:pPr>
        <w:rPr>
          <w:rFonts w:ascii="Arial" w:hAnsi="Arial" w:cs="Arial"/>
          <w:sz w:val="22"/>
          <w:szCs w:val="22"/>
        </w:rPr>
      </w:pPr>
    </w:p>
    <w:tbl>
      <w:tblPr>
        <w:tblW w:w="0" w:type="auto"/>
        <w:tblInd w:w="2280" w:type="dxa"/>
        <w:tblLayout w:type="fixed"/>
        <w:tblCellMar>
          <w:left w:w="120" w:type="dxa"/>
          <w:right w:w="120" w:type="dxa"/>
        </w:tblCellMar>
        <w:tblLook w:val="0000" w:firstRow="0" w:lastRow="0" w:firstColumn="0" w:lastColumn="0" w:noHBand="0" w:noVBand="0"/>
      </w:tblPr>
      <w:tblGrid>
        <w:gridCol w:w="2430"/>
        <w:gridCol w:w="2340"/>
        <w:gridCol w:w="1980"/>
      </w:tblGrid>
      <w:tr w:rsidR="007766EB" w:rsidRPr="007334E7" w:rsidTr="005F65EF">
        <w:tc>
          <w:tcPr>
            <w:tcW w:w="2430" w:type="dxa"/>
            <w:tcBorders>
              <w:top w:val="single" w:sz="7" w:space="0" w:color="000000"/>
              <w:left w:val="single" w:sz="7"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rPr>
                <w:rFonts w:ascii="Arial" w:hAnsi="Arial" w:cs="Arial"/>
                <w:szCs w:val="22"/>
              </w:rPr>
            </w:pPr>
            <w:r w:rsidRPr="007334E7">
              <w:rPr>
                <w:rFonts w:ascii="Arial" w:hAnsi="Arial" w:cs="Arial"/>
                <w:sz w:val="22"/>
                <w:szCs w:val="22"/>
              </w:rPr>
              <w:t>Number of Plants</w:t>
            </w:r>
          </w:p>
        </w:tc>
        <w:tc>
          <w:tcPr>
            <w:tcW w:w="2340" w:type="dxa"/>
            <w:tcBorders>
              <w:top w:val="single" w:sz="7" w:space="0" w:color="000000"/>
              <w:left w:val="single" w:sz="7"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rPr>
                <w:rFonts w:ascii="Arial" w:hAnsi="Arial" w:cs="Arial"/>
                <w:szCs w:val="22"/>
              </w:rPr>
            </w:pPr>
            <w:r w:rsidRPr="007334E7">
              <w:rPr>
                <w:rFonts w:ascii="Arial" w:hAnsi="Arial" w:cs="Arial"/>
                <w:sz w:val="22"/>
                <w:szCs w:val="22"/>
              </w:rPr>
              <w:t>Burden per Plant</w:t>
            </w:r>
          </w:p>
        </w:tc>
        <w:tc>
          <w:tcPr>
            <w:tcW w:w="1980" w:type="dxa"/>
            <w:tcBorders>
              <w:top w:val="single" w:sz="7" w:space="0" w:color="000000"/>
              <w:left w:val="single" w:sz="7"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rPr>
                <w:rFonts w:ascii="Arial" w:hAnsi="Arial" w:cs="Arial"/>
                <w:szCs w:val="22"/>
              </w:rPr>
            </w:pPr>
            <w:r w:rsidRPr="007334E7">
              <w:rPr>
                <w:rFonts w:ascii="Arial" w:hAnsi="Arial" w:cs="Arial"/>
                <w:sz w:val="22"/>
                <w:szCs w:val="22"/>
              </w:rPr>
              <w:t>Total Burden</w:t>
            </w:r>
          </w:p>
        </w:tc>
      </w:tr>
      <w:tr w:rsidR="007766EB" w:rsidRPr="007334E7" w:rsidTr="005F65EF">
        <w:tc>
          <w:tcPr>
            <w:tcW w:w="2430" w:type="dxa"/>
            <w:tcBorders>
              <w:top w:val="single" w:sz="7" w:space="0" w:color="000000"/>
              <w:left w:val="single" w:sz="7"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jc w:val="right"/>
              <w:rPr>
                <w:rFonts w:ascii="Arial" w:hAnsi="Arial" w:cs="Arial"/>
                <w:szCs w:val="22"/>
              </w:rPr>
            </w:pPr>
            <w:r w:rsidRPr="007334E7">
              <w:rPr>
                <w:rFonts w:ascii="Arial" w:hAnsi="Arial" w:cs="Arial"/>
                <w:sz w:val="22"/>
                <w:szCs w:val="22"/>
              </w:rPr>
              <w:t>104</w:t>
            </w:r>
          </w:p>
        </w:tc>
        <w:tc>
          <w:tcPr>
            <w:tcW w:w="2340" w:type="dxa"/>
            <w:tcBorders>
              <w:top w:val="single" w:sz="7" w:space="0" w:color="000000"/>
              <w:left w:val="single" w:sz="7"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jc w:val="right"/>
              <w:rPr>
                <w:rFonts w:ascii="Arial" w:hAnsi="Arial" w:cs="Arial"/>
                <w:szCs w:val="22"/>
              </w:rPr>
            </w:pPr>
            <w:r w:rsidRPr="007334E7">
              <w:rPr>
                <w:rFonts w:ascii="Arial" w:hAnsi="Arial" w:cs="Arial"/>
                <w:sz w:val="22"/>
                <w:szCs w:val="22"/>
              </w:rPr>
              <w:t>1,400</w:t>
            </w:r>
          </w:p>
        </w:tc>
        <w:tc>
          <w:tcPr>
            <w:tcW w:w="1980" w:type="dxa"/>
            <w:tcBorders>
              <w:top w:val="single" w:sz="7" w:space="0" w:color="000000"/>
              <w:left w:val="single" w:sz="7"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jc w:val="right"/>
              <w:rPr>
                <w:rFonts w:ascii="Arial" w:hAnsi="Arial" w:cs="Arial"/>
                <w:szCs w:val="22"/>
              </w:rPr>
            </w:pPr>
            <w:r w:rsidRPr="007334E7">
              <w:rPr>
                <w:rFonts w:ascii="Arial" w:hAnsi="Arial" w:cs="Arial"/>
                <w:sz w:val="22"/>
                <w:szCs w:val="22"/>
              </w:rPr>
              <w:t>145,600</w:t>
            </w:r>
          </w:p>
        </w:tc>
      </w:tr>
    </w:tbl>
    <w:p w:rsidR="007766EB" w:rsidRPr="007334E7" w:rsidRDefault="007766EB" w:rsidP="007766EB">
      <w:pPr>
        <w:rPr>
          <w:rFonts w:ascii="Arial" w:hAnsi="Arial" w:cs="Arial"/>
          <w:sz w:val="22"/>
          <w:szCs w:val="22"/>
        </w:rPr>
      </w:pPr>
    </w:p>
    <w:p w:rsidR="007766EB" w:rsidRPr="007334E7" w:rsidRDefault="007766EB" w:rsidP="007766EB">
      <w:pPr>
        <w:tabs>
          <w:tab w:val="left" w:pos="-1440"/>
        </w:tabs>
        <w:ind w:left="2160" w:hanging="720"/>
        <w:rPr>
          <w:rFonts w:ascii="Arial" w:hAnsi="Arial" w:cs="Arial"/>
          <w:sz w:val="22"/>
          <w:szCs w:val="22"/>
        </w:rPr>
      </w:pPr>
      <w:r w:rsidRPr="007334E7">
        <w:rPr>
          <w:rFonts w:ascii="Arial" w:hAnsi="Arial" w:cs="Arial"/>
          <w:sz w:val="22"/>
          <w:szCs w:val="22"/>
        </w:rPr>
        <w:t>b.</w:t>
      </w:r>
      <w:r w:rsidRPr="007334E7">
        <w:rPr>
          <w:rFonts w:ascii="Arial" w:hAnsi="Arial" w:cs="Arial"/>
          <w:sz w:val="22"/>
          <w:szCs w:val="22"/>
        </w:rPr>
        <w:tab/>
      </w:r>
      <w:r w:rsidRPr="007334E7">
        <w:rPr>
          <w:rFonts w:ascii="Arial" w:hAnsi="Arial" w:cs="Arial"/>
          <w:sz w:val="22"/>
          <w:szCs w:val="22"/>
          <w:u w:val="single"/>
        </w:rPr>
        <w:t xml:space="preserve">Section 13.4 of NUMARC 93-01:  Documentation of Preventive Maintenance Program </w:t>
      </w:r>
    </w:p>
    <w:p w:rsidR="007766EB" w:rsidRPr="007334E7" w:rsidRDefault="007766EB" w:rsidP="007766EB">
      <w:pPr>
        <w:rPr>
          <w:rFonts w:ascii="Arial" w:hAnsi="Arial" w:cs="Arial"/>
          <w:sz w:val="22"/>
          <w:szCs w:val="22"/>
        </w:rPr>
      </w:pPr>
    </w:p>
    <w:p w:rsidR="007766EB" w:rsidRPr="007334E7" w:rsidRDefault="007766EB" w:rsidP="007766EB">
      <w:pPr>
        <w:ind w:left="2160"/>
        <w:rPr>
          <w:rFonts w:ascii="Arial" w:hAnsi="Arial" w:cs="Arial"/>
          <w:sz w:val="22"/>
          <w:szCs w:val="22"/>
        </w:rPr>
      </w:pPr>
      <w:r w:rsidRPr="007334E7">
        <w:rPr>
          <w:rFonts w:ascii="Arial" w:hAnsi="Arial" w:cs="Arial"/>
          <w:sz w:val="22"/>
          <w:szCs w:val="22"/>
        </w:rPr>
        <w:t>It is assumed that one-third of a staff person's time is devoted to related information collection activities for satisfactory and good plants.  Marginally satisfacto</w:t>
      </w:r>
      <w:r>
        <w:rPr>
          <w:rFonts w:ascii="Arial" w:hAnsi="Arial" w:cs="Arial"/>
          <w:sz w:val="22"/>
          <w:szCs w:val="22"/>
        </w:rPr>
        <w:t xml:space="preserve">ry plants </w:t>
      </w:r>
      <w:r w:rsidRPr="007334E7">
        <w:rPr>
          <w:rFonts w:ascii="Arial" w:hAnsi="Arial" w:cs="Arial"/>
          <w:sz w:val="22"/>
          <w:szCs w:val="22"/>
        </w:rPr>
        <w:t xml:space="preserve">require two-thirds of a staff person's time.  It is further assumed that the burden at a permanently shutdown plant is approximately 80 hours per year.  </w:t>
      </w:r>
    </w:p>
    <w:p w:rsidR="007766EB" w:rsidRPr="007334E7" w:rsidRDefault="007766EB" w:rsidP="007766EB">
      <w:pPr>
        <w:rPr>
          <w:rFonts w:ascii="Arial" w:hAnsi="Arial" w:cs="Arial"/>
          <w:sz w:val="22"/>
          <w:szCs w:val="22"/>
        </w:rPr>
      </w:pPr>
    </w:p>
    <w:tbl>
      <w:tblPr>
        <w:tblW w:w="0" w:type="auto"/>
        <w:tblInd w:w="2280" w:type="dxa"/>
        <w:tblLayout w:type="fixed"/>
        <w:tblCellMar>
          <w:left w:w="120" w:type="dxa"/>
          <w:right w:w="120" w:type="dxa"/>
        </w:tblCellMar>
        <w:tblLook w:val="0000" w:firstRow="0" w:lastRow="0" w:firstColumn="0" w:lastColumn="0" w:noHBand="0" w:noVBand="0"/>
      </w:tblPr>
      <w:tblGrid>
        <w:gridCol w:w="1620"/>
        <w:gridCol w:w="1620"/>
        <w:gridCol w:w="1980"/>
        <w:gridCol w:w="1530"/>
      </w:tblGrid>
      <w:tr w:rsidR="007766EB" w:rsidRPr="007334E7" w:rsidTr="000760E6">
        <w:trPr>
          <w:tblHeader/>
        </w:trPr>
        <w:tc>
          <w:tcPr>
            <w:tcW w:w="1620" w:type="dxa"/>
            <w:tcBorders>
              <w:top w:val="single" w:sz="7" w:space="0" w:color="000000"/>
              <w:left w:val="single" w:sz="7"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rPr>
                <w:rFonts w:ascii="Arial" w:hAnsi="Arial" w:cs="Arial"/>
                <w:szCs w:val="22"/>
              </w:rPr>
            </w:pPr>
            <w:r w:rsidRPr="007334E7">
              <w:rPr>
                <w:rFonts w:ascii="Arial" w:hAnsi="Arial" w:cs="Arial"/>
                <w:sz w:val="22"/>
                <w:szCs w:val="22"/>
              </w:rPr>
              <w:t>Category</w:t>
            </w:r>
          </w:p>
        </w:tc>
        <w:tc>
          <w:tcPr>
            <w:tcW w:w="1620" w:type="dxa"/>
            <w:tcBorders>
              <w:top w:val="single" w:sz="7" w:space="0" w:color="000000"/>
              <w:left w:val="single" w:sz="7"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rPr>
                <w:rFonts w:ascii="Arial" w:hAnsi="Arial" w:cs="Arial"/>
                <w:szCs w:val="22"/>
              </w:rPr>
            </w:pPr>
            <w:r w:rsidRPr="007334E7">
              <w:rPr>
                <w:rFonts w:ascii="Arial" w:hAnsi="Arial" w:cs="Arial"/>
                <w:sz w:val="22"/>
                <w:szCs w:val="22"/>
              </w:rPr>
              <w:t>No. of Plants</w:t>
            </w:r>
          </w:p>
        </w:tc>
        <w:tc>
          <w:tcPr>
            <w:tcW w:w="1980" w:type="dxa"/>
            <w:tcBorders>
              <w:top w:val="single" w:sz="7" w:space="0" w:color="000000"/>
              <w:left w:val="single" w:sz="7"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rPr>
                <w:rFonts w:ascii="Arial" w:hAnsi="Arial" w:cs="Arial"/>
                <w:szCs w:val="22"/>
              </w:rPr>
            </w:pPr>
            <w:r w:rsidRPr="007334E7">
              <w:rPr>
                <w:rFonts w:ascii="Arial" w:hAnsi="Arial" w:cs="Arial"/>
                <w:sz w:val="22"/>
                <w:szCs w:val="22"/>
              </w:rPr>
              <w:t>Burden per Plant</w:t>
            </w:r>
          </w:p>
        </w:tc>
        <w:tc>
          <w:tcPr>
            <w:tcW w:w="1530" w:type="dxa"/>
            <w:tcBorders>
              <w:top w:val="single" w:sz="7" w:space="0" w:color="000000"/>
              <w:left w:val="single" w:sz="7"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rPr>
                <w:rFonts w:ascii="Arial" w:hAnsi="Arial" w:cs="Arial"/>
                <w:szCs w:val="22"/>
              </w:rPr>
            </w:pPr>
            <w:r w:rsidRPr="007334E7">
              <w:rPr>
                <w:rFonts w:ascii="Arial" w:hAnsi="Arial" w:cs="Arial"/>
                <w:sz w:val="22"/>
                <w:szCs w:val="22"/>
              </w:rPr>
              <w:t>Total Burden</w:t>
            </w:r>
          </w:p>
        </w:tc>
      </w:tr>
      <w:tr w:rsidR="007766EB" w:rsidRPr="007334E7" w:rsidTr="005F65EF">
        <w:tc>
          <w:tcPr>
            <w:tcW w:w="1620" w:type="dxa"/>
            <w:tcBorders>
              <w:top w:val="single" w:sz="7" w:space="0" w:color="000000"/>
              <w:left w:val="single" w:sz="7"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rPr>
                <w:rFonts w:ascii="Arial" w:hAnsi="Arial" w:cs="Arial"/>
                <w:szCs w:val="22"/>
              </w:rPr>
            </w:pPr>
            <w:r w:rsidRPr="007334E7">
              <w:rPr>
                <w:rFonts w:ascii="Arial" w:hAnsi="Arial" w:cs="Arial"/>
                <w:sz w:val="22"/>
                <w:szCs w:val="22"/>
              </w:rPr>
              <w:t xml:space="preserve">Marginally </w:t>
            </w:r>
            <w:r w:rsidRPr="007334E7">
              <w:rPr>
                <w:rFonts w:ascii="Arial" w:hAnsi="Arial" w:cs="Arial"/>
                <w:sz w:val="22"/>
                <w:szCs w:val="22"/>
              </w:rPr>
              <w:lastRenderedPageBreak/>
              <w:t>Satisfactory</w:t>
            </w:r>
          </w:p>
        </w:tc>
        <w:tc>
          <w:tcPr>
            <w:tcW w:w="1620" w:type="dxa"/>
            <w:tcBorders>
              <w:top w:val="single" w:sz="7" w:space="0" w:color="000000"/>
              <w:left w:val="single" w:sz="7"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jc w:val="right"/>
              <w:rPr>
                <w:rFonts w:ascii="Arial" w:hAnsi="Arial" w:cs="Arial"/>
                <w:szCs w:val="22"/>
              </w:rPr>
            </w:pPr>
            <w:r w:rsidRPr="007334E7">
              <w:rPr>
                <w:rFonts w:ascii="Arial" w:hAnsi="Arial" w:cs="Arial"/>
                <w:sz w:val="22"/>
                <w:szCs w:val="22"/>
              </w:rPr>
              <w:lastRenderedPageBreak/>
              <w:t>15</w:t>
            </w:r>
          </w:p>
        </w:tc>
        <w:tc>
          <w:tcPr>
            <w:tcW w:w="1980" w:type="dxa"/>
            <w:tcBorders>
              <w:top w:val="single" w:sz="7" w:space="0" w:color="000000"/>
              <w:left w:val="single" w:sz="7"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jc w:val="right"/>
              <w:rPr>
                <w:rFonts w:ascii="Arial" w:hAnsi="Arial" w:cs="Arial"/>
                <w:szCs w:val="22"/>
              </w:rPr>
            </w:pPr>
            <w:r w:rsidRPr="007334E7">
              <w:rPr>
                <w:rFonts w:ascii="Arial" w:hAnsi="Arial" w:cs="Arial"/>
                <w:sz w:val="22"/>
                <w:szCs w:val="22"/>
              </w:rPr>
              <w:lastRenderedPageBreak/>
              <w:t>1,400</w:t>
            </w:r>
          </w:p>
        </w:tc>
        <w:tc>
          <w:tcPr>
            <w:tcW w:w="1530" w:type="dxa"/>
            <w:tcBorders>
              <w:top w:val="single" w:sz="7" w:space="0" w:color="000000"/>
              <w:left w:val="single" w:sz="7"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jc w:val="right"/>
              <w:rPr>
                <w:rFonts w:ascii="Arial" w:hAnsi="Arial" w:cs="Arial"/>
                <w:szCs w:val="22"/>
              </w:rPr>
            </w:pPr>
            <w:r w:rsidRPr="007334E7">
              <w:rPr>
                <w:rFonts w:ascii="Arial" w:hAnsi="Arial" w:cs="Arial"/>
                <w:sz w:val="22"/>
                <w:szCs w:val="22"/>
              </w:rPr>
              <w:lastRenderedPageBreak/>
              <w:t>21,000</w:t>
            </w:r>
          </w:p>
        </w:tc>
      </w:tr>
      <w:tr w:rsidR="007766EB" w:rsidRPr="007334E7" w:rsidTr="005F65EF">
        <w:tc>
          <w:tcPr>
            <w:tcW w:w="1620" w:type="dxa"/>
            <w:tcBorders>
              <w:top w:val="single" w:sz="7" w:space="0" w:color="000000"/>
              <w:left w:val="single" w:sz="7"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rPr>
                <w:rFonts w:ascii="Arial" w:hAnsi="Arial" w:cs="Arial"/>
                <w:szCs w:val="22"/>
              </w:rPr>
            </w:pPr>
            <w:r w:rsidRPr="007334E7">
              <w:rPr>
                <w:rFonts w:ascii="Arial" w:hAnsi="Arial" w:cs="Arial"/>
                <w:sz w:val="22"/>
                <w:szCs w:val="22"/>
              </w:rPr>
              <w:t>Satisfactory and Good</w:t>
            </w:r>
          </w:p>
        </w:tc>
        <w:tc>
          <w:tcPr>
            <w:tcW w:w="1620" w:type="dxa"/>
            <w:tcBorders>
              <w:top w:val="single" w:sz="7" w:space="0" w:color="000000"/>
              <w:left w:val="single" w:sz="7"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jc w:val="right"/>
              <w:rPr>
                <w:rFonts w:ascii="Arial" w:hAnsi="Arial" w:cs="Arial"/>
                <w:szCs w:val="22"/>
              </w:rPr>
            </w:pPr>
            <w:r w:rsidRPr="007334E7">
              <w:rPr>
                <w:rFonts w:ascii="Arial" w:hAnsi="Arial" w:cs="Arial"/>
                <w:sz w:val="22"/>
                <w:szCs w:val="22"/>
              </w:rPr>
              <w:t>89</w:t>
            </w:r>
          </w:p>
        </w:tc>
        <w:tc>
          <w:tcPr>
            <w:tcW w:w="1980" w:type="dxa"/>
            <w:tcBorders>
              <w:top w:val="single" w:sz="7" w:space="0" w:color="000000"/>
              <w:left w:val="single" w:sz="7"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jc w:val="right"/>
              <w:rPr>
                <w:rFonts w:ascii="Arial" w:hAnsi="Arial" w:cs="Arial"/>
                <w:szCs w:val="22"/>
              </w:rPr>
            </w:pPr>
            <w:r w:rsidRPr="007334E7">
              <w:rPr>
                <w:rFonts w:ascii="Arial" w:hAnsi="Arial" w:cs="Arial"/>
                <w:sz w:val="22"/>
                <w:szCs w:val="22"/>
              </w:rPr>
              <w:t>695</w:t>
            </w:r>
          </w:p>
        </w:tc>
        <w:tc>
          <w:tcPr>
            <w:tcW w:w="1530" w:type="dxa"/>
            <w:tcBorders>
              <w:top w:val="single" w:sz="7" w:space="0" w:color="000000"/>
              <w:left w:val="single" w:sz="7"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jc w:val="right"/>
              <w:rPr>
                <w:rFonts w:ascii="Arial" w:hAnsi="Arial" w:cs="Arial"/>
                <w:szCs w:val="22"/>
              </w:rPr>
            </w:pPr>
            <w:r w:rsidRPr="007334E7">
              <w:rPr>
                <w:rFonts w:ascii="Arial" w:hAnsi="Arial" w:cs="Arial"/>
                <w:sz w:val="22"/>
                <w:szCs w:val="22"/>
              </w:rPr>
              <w:t>61,855</w:t>
            </w:r>
          </w:p>
        </w:tc>
      </w:tr>
      <w:tr w:rsidR="007766EB" w:rsidRPr="007334E7" w:rsidTr="004958C1">
        <w:tc>
          <w:tcPr>
            <w:tcW w:w="1620" w:type="dxa"/>
            <w:tcBorders>
              <w:top w:val="single" w:sz="7" w:space="0" w:color="000000"/>
              <w:left w:val="single" w:sz="7"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rPr>
                <w:rFonts w:ascii="Arial" w:hAnsi="Arial" w:cs="Arial"/>
                <w:szCs w:val="22"/>
              </w:rPr>
            </w:pPr>
            <w:r w:rsidRPr="007334E7">
              <w:rPr>
                <w:rFonts w:ascii="Arial" w:hAnsi="Arial" w:cs="Arial"/>
                <w:sz w:val="22"/>
                <w:szCs w:val="22"/>
              </w:rPr>
              <w:t>Permanently Shutdown</w:t>
            </w:r>
          </w:p>
        </w:tc>
        <w:tc>
          <w:tcPr>
            <w:tcW w:w="1620" w:type="dxa"/>
            <w:tcBorders>
              <w:top w:val="single" w:sz="7" w:space="0" w:color="000000"/>
              <w:left w:val="single" w:sz="7" w:space="0" w:color="000000"/>
              <w:bottom w:val="single" w:sz="8"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1A5A35">
            <w:pPr>
              <w:spacing w:after="58"/>
              <w:jc w:val="right"/>
              <w:rPr>
                <w:rFonts w:ascii="Arial" w:hAnsi="Arial" w:cs="Arial"/>
                <w:szCs w:val="22"/>
              </w:rPr>
            </w:pPr>
            <w:r>
              <w:rPr>
                <w:rFonts w:ascii="Arial" w:hAnsi="Arial" w:cs="Arial"/>
                <w:sz w:val="22"/>
                <w:szCs w:val="22"/>
              </w:rPr>
              <w:t>1</w:t>
            </w:r>
            <w:r w:rsidR="001A5A35">
              <w:rPr>
                <w:rFonts w:ascii="Arial" w:hAnsi="Arial" w:cs="Arial"/>
                <w:sz w:val="22"/>
                <w:szCs w:val="22"/>
              </w:rPr>
              <w:t>2</w:t>
            </w:r>
          </w:p>
        </w:tc>
        <w:tc>
          <w:tcPr>
            <w:tcW w:w="1980" w:type="dxa"/>
            <w:tcBorders>
              <w:top w:val="single" w:sz="7" w:space="0" w:color="000000"/>
              <w:left w:val="single" w:sz="7" w:space="0" w:color="000000"/>
              <w:bottom w:val="single" w:sz="8"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jc w:val="right"/>
              <w:rPr>
                <w:rFonts w:ascii="Arial" w:hAnsi="Arial" w:cs="Arial"/>
                <w:szCs w:val="22"/>
              </w:rPr>
            </w:pPr>
            <w:r w:rsidRPr="007334E7">
              <w:rPr>
                <w:rFonts w:ascii="Arial" w:hAnsi="Arial" w:cs="Arial"/>
                <w:sz w:val="22"/>
                <w:szCs w:val="22"/>
              </w:rPr>
              <w:t>80</w:t>
            </w:r>
          </w:p>
        </w:tc>
        <w:tc>
          <w:tcPr>
            <w:tcW w:w="1530" w:type="dxa"/>
            <w:tcBorders>
              <w:top w:val="single" w:sz="7" w:space="0" w:color="000000"/>
              <w:left w:val="single" w:sz="7"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1A5A35" w:rsidP="005F65EF">
            <w:pPr>
              <w:spacing w:after="58"/>
              <w:jc w:val="right"/>
              <w:rPr>
                <w:rFonts w:ascii="Arial" w:hAnsi="Arial" w:cs="Arial"/>
                <w:szCs w:val="22"/>
              </w:rPr>
            </w:pPr>
            <w:r>
              <w:rPr>
                <w:rFonts w:ascii="Arial" w:hAnsi="Arial" w:cs="Arial"/>
                <w:sz w:val="22"/>
                <w:szCs w:val="22"/>
              </w:rPr>
              <w:t>960</w:t>
            </w:r>
          </w:p>
        </w:tc>
      </w:tr>
      <w:tr w:rsidR="007766EB" w:rsidRPr="007334E7" w:rsidTr="004958C1">
        <w:tc>
          <w:tcPr>
            <w:tcW w:w="1620" w:type="dxa"/>
            <w:tcBorders>
              <w:top w:val="single" w:sz="7" w:space="0" w:color="000000"/>
              <w:left w:val="single" w:sz="7" w:space="0" w:color="000000"/>
              <w:bottom w:val="single" w:sz="7" w:space="0" w:color="000000"/>
              <w:right w:val="single" w:sz="8"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rPr>
                <w:rFonts w:ascii="Arial" w:hAnsi="Arial" w:cs="Arial"/>
                <w:szCs w:val="22"/>
              </w:rPr>
            </w:pPr>
            <w:r w:rsidRPr="007334E7">
              <w:rPr>
                <w:rFonts w:ascii="Arial" w:hAnsi="Arial" w:cs="Arial"/>
                <w:sz w:val="22"/>
                <w:szCs w:val="22"/>
              </w:rPr>
              <w:t>Total</w:t>
            </w:r>
          </w:p>
        </w:tc>
        <w:tc>
          <w:tcPr>
            <w:tcW w:w="1620" w:type="dxa"/>
            <w:tcBorders>
              <w:top w:val="single" w:sz="8" w:space="0" w:color="000000"/>
              <w:left w:val="single" w:sz="8" w:space="0" w:color="000000"/>
              <w:bottom w:val="single" w:sz="8" w:space="0" w:color="000000"/>
              <w:right w:val="single" w:sz="8" w:space="0" w:color="000000"/>
            </w:tcBorders>
            <w:shd w:val="pct15" w:color="auto" w:fill="auto"/>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jc w:val="right"/>
              <w:rPr>
                <w:rFonts w:ascii="Arial" w:hAnsi="Arial" w:cs="Arial"/>
                <w:szCs w:val="22"/>
              </w:rPr>
            </w:pPr>
          </w:p>
        </w:tc>
        <w:tc>
          <w:tcPr>
            <w:tcW w:w="1980" w:type="dxa"/>
            <w:tcBorders>
              <w:top w:val="single" w:sz="8" w:space="0" w:color="000000"/>
              <w:left w:val="single" w:sz="8" w:space="0" w:color="000000"/>
              <w:bottom w:val="single" w:sz="8" w:space="0" w:color="000000"/>
              <w:right w:val="single" w:sz="8" w:space="0" w:color="000000"/>
            </w:tcBorders>
            <w:shd w:val="pct15" w:color="auto" w:fill="auto"/>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jc w:val="right"/>
              <w:rPr>
                <w:rFonts w:ascii="Arial" w:hAnsi="Arial" w:cs="Arial"/>
                <w:szCs w:val="22"/>
              </w:rPr>
            </w:pPr>
          </w:p>
        </w:tc>
        <w:tc>
          <w:tcPr>
            <w:tcW w:w="1530" w:type="dxa"/>
            <w:tcBorders>
              <w:top w:val="single" w:sz="7" w:space="0" w:color="000000"/>
              <w:left w:val="single" w:sz="8"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1A5A35">
            <w:pPr>
              <w:spacing w:after="58"/>
              <w:jc w:val="right"/>
              <w:rPr>
                <w:rFonts w:ascii="Arial" w:hAnsi="Arial" w:cs="Arial"/>
                <w:szCs w:val="22"/>
              </w:rPr>
            </w:pPr>
            <w:r w:rsidRPr="007334E7">
              <w:rPr>
                <w:rFonts w:ascii="Arial" w:hAnsi="Arial" w:cs="Arial"/>
                <w:sz w:val="22"/>
                <w:szCs w:val="22"/>
              </w:rPr>
              <w:t>8</w:t>
            </w:r>
            <w:r>
              <w:rPr>
                <w:rFonts w:ascii="Arial" w:hAnsi="Arial" w:cs="Arial"/>
                <w:sz w:val="22"/>
                <w:szCs w:val="22"/>
              </w:rPr>
              <w:t>3</w:t>
            </w:r>
            <w:r w:rsidRPr="007334E7">
              <w:rPr>
                <w:rFonts w:ascii="Arial" w:hAnsi="Arial" w:cs="Arial"/>
                <w:sz w:val="22"/>
                <w:szCs w:val="22"/>
              </w:rPr>
              <w:t>,</w:t>
            </w:r>
            <w:r w:rsidR="001A5A35">
              <w:rPr>
                <w:rFonts w:ascii="Arial" w:hAnsi="Arial" w:cs="Arial"/>
                <w:sz w:val="22"/>
                <w:szCs w:val="22"/>
              </w:rPr>
              <w:t>815</w:t>
            </w:r>
          </w:p>
        </w:tc>
      </w:tr>
    </w:tbl>
    <w:p w:rsidR="007766EB" w:rsidRPr="007334E7" w:rsidRDefault="007766EB" w:rsidP="007766EB">
      <w:pPr>
        <w:rPr>
          <w:rFonts w:ascii="Arial" w:hAnsi="Arial" w:cs="Arial"/>
          <w:sz w:val="22"/>
          <w:szCs w:val="22"/>
        </w:rPr>
      </w:pPr>
    </w:p>
    <w:p w:rsidR="007766EB" w:rsidRPr="007334E7" w:rsidRDefault="007766EB" w:rsidP="007766EB">
      <w:pPr>
        <w:tabs>
          <w:tab w:val="left" w:pos="-1440"/>
        </w:tabs>
        <w:ind w:left="2160" w:hanging="720"/>
        <w:rPr>
          <w:rFonts w:ascii="Arial" w:hAnsi="Arial" w:cs="Arial"/>
          <w:sz w:val="22"/>
          <w:szCs w:val="22"/>
        </w:rPr>
      </w:pPr>
      <w:r w:rsidRPr="007334E7">
        <w:rPr>
          <w:rFonts w:ascii="Arial" w:hAnsi="Arial" w:cs="Arial"/>
          <w:sz w:val="22"/>
          <w:szCs w:val="22"/>
        </w:rPr>
        <w:t>c.</w:t>
      </w:r>
      <w:r w:rsidRPr="007334E7">
        <w:rPr>
          <w:rFonts w:ascii="Arial" w:hAnsi="Arial" w:cs="Arial"/>
          <w:sz w:val="22"/>
          <w:szCs w:val="22"/>
        </w:rPr>
        <w:tab/>
      </w:r>
      <w:r w:rsidRPr="007334E7">
        <w:rPr>
          <w:rFonts w:ascii="Arial" w:hAnsi="Arial" w:cs="Arial"/>
          <w:sz w:val="22"/>
          <w:szCs w:val="22"/>
          <w:u w:val="single"/>
        </w:rPr>
        <w:t>Section 13.5 of NUMARC 93-01:  Periodic Assessments</w:t>
      </w:r>
    </w:p>
    <w:p w:rsidR="007766EB" w:rsidRPr="007334E7" w:rsidRDefault="007766EB" w:rsidP="007766EB">
      <w:pPr>
        <w:rPr>
          <w:rFonts w:ascii="Arial" w:hAnsi="Arial" w:cs="Arial"/>
          <w:sz w:val="22"/>
          <w:szCs w:val="22"/>
        </w:rPr>
      </w:pPr>
    </w:p>
    <w:p w:rsidR="007766EB" w:rsidRDefault="007766EB" w:rsidP="00804C29">
      <w:pPr>
        <w:ind w:left="2160"/>
        <w:rPr>
          <w:rFonts w:ascii="Arial" w:hAnsi="Arial" w:cs="Arial"/>
          <w:sz w:val="22"/>
          <w:szCs w:val="22"/>
        </w:rPr>
      </w:pPr>
      <w:r w:rsidRPr="007334E7">
        <w:rPr>
          <w:rFonts w:ascii="Arial" w:hAnsi="Arial" w:cs="Arial"/>
          <w:sz w:val="22"/>
          <w:szCs w:val="22"/>
        </w:rPr>
        <w:t>It is assumed that two-thirds of a staff person's time is devoted to information collections associated with assessment, feedback, and corrective actions for operating plants.  F</w:t>
      </w:r>
      <w:r>
        <w:rPr>
          <w:rFonts w:ascii="Arial" w:hAnsi="Arial" w:cs="Arial"/>
          <w:sz w:val="22"/>
          <w:szCs w:val="22"/>
        </w:rPr>
        <w:t xml:space="preserve">or permanently shutdown plants, </w:t>
      </w:r>
      <w:r w:rsidRPr="007334E7">
        <w:rPr>
          <w:rFonts w:ascii="Arial" w:hAnsi="Arial" w:cs="Arial"/>
          <w:sz w:val="22"/>
          <w:szCs w:val="22"/>
        </w:rPr>
        <w:t>10 CFR 50.65 only applies to maintenance of spent fuel in a safe manner. Thus, the burden is much less.</w:t>
      </w:r>
    </w:p>
    <w:p w:rsidR="00804C29" w:rsidRPr="007334E7" w:rsidRDefault="00804C29" w:rsidP="00804C29">
      <w:pPr>
        <w:ind w:left="2160"/>
        <w:rPr>
          <w:rFonts w:ascii="Arial" w:hAnsi="Arial" w:cs="Arial"/>
          <w:sz w:val="22"/>
          <w:szCs w:val="22"/>
        </w:rPr>
      </w:pPr>
    </w:p>
    <w:tbl>
      <w:tblPr>
        <w:tblW w:w="0" w:type="auto"/>
        <w:tblInd w:w="2280" w:type="dxa"/>
        <w:tblLayout w:type="fixed"/>
        <w:tblCellMar>
          <w:left w:w="120" w:type="dxa"/>
          <w:right w:w="120" w:type="dxa"/>
        </w:tblCellMar>
        <w:tblLook w:val="0000" w:firstRow="0" w:lastRow="0" w:firstColumn="0" w:lastColumn="0" w:noHBand="0" w:noVBand="0"/>
      </w:tblPr>
      <w:tblGrid>
        <w:gridCol w:w="2430"/>
        <w:gridCol w:w="2340"/>
        <w:gridCol w:w="1980"/>
      </w:tblGrid>
      <w:tr w:rsidR="007766EB" w:rsidRPr="007334E7" w:rsidTr="005F65EF">
        <w:tc>
          <w:tcPr>
            <w:tcW w:w="2430" w:type="dxa"/>
            <w:tcBorders>
              <w:top w:val="single" w:sz="7" w:space="0" w:color="000000"/>
              <w:left w:val="single" w:sz="7"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rPr>
                <w:rFonts w:ascii="Arial" w:hAnsi="Arial" w:cs="Arial"/>
                <w:szCs w:val="22"/>
              </w:rPr>
            </w:pPr>
            <w:r w:rsidRPr="007334E7">
              <w:rPr>
                <w:rFonts w:ascii="Arial" w:hAnsi="Arial" w:cs="Arial"/>
                <w:sz w:val="22"/>
                <w:szCs w:val="22"/>
              </w:rPr>
              <w:t>Number of Plants</w:t>
            </w:r>
          </w:p>
        </w:tc>
        <w:tc>
          <w:tcPr>
            <w:tcW w:w="2340" w:type="dxa"/>
            <w:tcBorders>
              <w:top w:val="single" w:sz="7" w:space="0" w:color="000000"/>
              <w:left w:val="single" w:sz="7"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rPr>
                <w:rFonts w:ascii="Arial" w:hAnsi="Arial" w:cs="Arial"/>
                <w:szCs w:val="22"/>
              </w:rPr>
            </w:pPr>
            <w:r w:rsidRPr="007334E7">
              <w:rPr>
                <w:rFonts w:ascii="Arial" w:hAnsi="Arial" w:cs="Arial"/>
                <w:sz w:val="22"/>
                <w:szCs w:val="22"/>
              </w:rPr>
              <w:t>Burden per Plant</w:t>
            </w:r>
          </w:p>
        </w:tc>
        <w:tc>
          <w:tcPr>
            <w:tcW w:w="1980" w:type="dxa"/>
            <w:tcBorders>
              <w:top w:val="single" w:sz="7" w:space="0" w:color="000000"/>
              <w:left w:val="single" w:sz="7"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rPr>
                <w:rFonts w:ascii="Arial" w:hAnsi="Arial" w:cs="Arial"/>
                <w:szCs w:val="22"/>
              </w:rPr>
            </w:pPr>
            <w:r w:rsidRPr="007334E7">
              <w:rPr>
                <w:rFonts w:ascii="Arial" w:hAnsi="Arial" w:cs="Arial"/>
                <w:sz w:val="22"/>
                <w:szCs w:val="22"/>
              </w:rPr>
              <w:t>Total Burden</w:t>
            </w:r>
          </w:p>
        </w:tc>
      </w:tr>
      <w:tr w:rsidR="007766EB" w:rsidRPr="007334E7" w:rsidTr="005F65EF">
        <w:tc>
          <w:tcPr>
            <w:tcW w:w="2430" w:type="dxa"/>
            <w:tcBorders>
              <w:top w:val="single" w:sz="7" w:space="0" w:color="000000"/>
              <w:left w:val="single" w:sz="7"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jc w:val="right"/>
              <w:rPr>
                <w:rFonts w:ascii="Arial" w:hAnsi="Arial" w:cs="Arial"/>
                <w:szCs w:val="22"/>
              </w:rPr>
            </w:pPr>
            <w:r w:rsidRPr="007334E7">
              <w:rPr>
                <w:rFonts w:ascii="Arial" w:hAnsi="Arial" w:cs="Arial"/>
                <w:sz w:val="22"/>
                <w:szCs w:val="22"/>
              </w:rPr>
              <w:t>104</w:t>
            </w:r>
          </w:p>
        </w:tc>
        <w:tc>
          <w:tcPr>
            <w:tcW w:w="2340" w:type="dxa"/>
            <w:tcBorders>
              <w:top w:val="single" w:sz="7" w:space="0" w:color="000000"/>
              <w:left w:val="single" w:sz="7"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jc w:val="right"/>
              <w:rPr>
                <w:rFonts w:ascii="Arial" w:hAnsi="Arial" w:cs="Arial"/>
                <w:szCs w:val="22"/>
              </w:rPr>
            </w:pPr>
            <w:r w:rsidRPr="007334E7">
              <w:rPr>
                <w:rFonts w:ascii="Arial" w:hAnsi="Arial" w:cs="Arial"/>
                <w:sz w:val="22"/>
                <w:szCs w:val="22"/>
              </w:rPr>
              <w:t>1,400</w:t>
            </w:r>
          </w:p>
        </w:tc>
        <w:tc>
          <w:tcPr>
            <w:tcW w:w="1980" w:type="dxa"/>
            <w:tcBorders>
              <w:top w:val="single" w:sz="7" w:space="0" w:color="000000"/>
              <w:left w:val="single" w:sz="7"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jc w:val="right"/>
              <w:rPr>
                <w:rFonts w:ascii="Arial" w:hAnsi="Arial" w:cs="Arial"/>
                <w:szCs w:val="22"/>
              </w:rPr>
            </w:pPr>
            <w:r w:rsidRPr="007334E7">
              <w:rPr>
                <w:rFonts w:ascii="Arial" w:hAnsi="Arial" w:cs="Arial"/>
                <w:sz w:val="22"/>
                <w:szCs w:val="22"/>
              </w:rPr>
              <w:t>145,600</w:t>
            </w:r>
          </w:p>
        </w:tc>
      </w:tr>
      <w:tr w:rsidR="007766EB" w:rsidRPr="007334E7" w:rsidTr="005F65EF">
        <w:tc>
          <w:tcPr>
            <w:tcW w:w="2430" w:type="dxa"/>
            <w:tcBorders>
              <w:top w:val="single" w:sz="7" w:space="0" w:color="000000"/>
              <w:left w:val="single" w:sz="7"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750F94">
            <w:pPr>
              <w:spacing w:after="58"/>
              <w:jc w:val="right"/>
              <w:rPr>
                <w:rFonts w:ascii="Arial" w:hAnsi="Arial" w:cs="Arial"/>
                <w:szCs w:val="22"/>
              </w:rPr>
            </w:pPr>
            <w:r w:rsidRPr="007334E7">
              <w:rPr>
                <w:rFonts w:ascii="Arial" w:hAnsi="Arial" w:cs="Arial"/>
                <w:sz w:val="22"/>
                <w:szCs w:val="22"/>
              </w:rPr>
              <w:t>1</w:t>
            </w:r>
            <w:r w:rsidR="00750F94">
              <w:rPr>
                <w:rFonts w:ascii="Arial" w:hAnsi="Arial" w:cs="Arial"/>
                <w:sz w:val="22"/>
                <w:szCs w:val="22"/>
              </w:rPr>
              <w:t>2</w:t>
            </w:r>
          </w:p>
        </w:tc>
        <w:tc>
          <w:tcPr>
            <w:tcW w:w="2340" w:type="dxa"/>
            <w:tcBorders>
              <w:top w:val="single" w:sz="7" w:space="0" w:color="000000"/>
              <w:left w:val="single" w:sz="7"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jc w:val="right"/>
              <w:rPr>
                <w:rFonts w:ascii="Arial" w:hAnsi="Arial" w:cs="Arial"/>
                <w:szCs w:val="22"/>
              </w:rPr>
            </w:pPr>
            <w:r w:rsidRPr="007334E7">
              <w:rPr>
                <w:rFonts w:ascii="Arial" w:hAnsi="Arial" w:cs="Arial"/>
                <w:sz w:val="22"/>
                <w:szCs w:val="22"/>
              </w:rPr>
              <w:t>8</w:t>
            </w:r>
          </w:p>
        </w:tc>
        <w:tc>
          <w:tcPr>
            <w:tcW w:w="1980" w:type="dxa"/>
            <w:tcBorders>
              <w:top w:val="single" w:sz="7" w:space="0" w:color="000000"/>
              <w:left w:val="single" w:sz="7"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50F94" w:rsidP="005F65EF">
            <w:pPr>
              <w:spacing w:after="58"/>
              <w:jc w:val="right"/>
              <w:rPr>
                <w:rFonts w:ascii="Arial" w:hAnsi="Arial" w:cs="Arial"/>
                <w:szCs w:val="22"/>
              </w:rPr>
            </w:pPr>
            <w:r>
              <w:rPr>
                <w:rFonts w:ascii="Arial" w:hAnsi="Arial" w:cs="Arial"/>
                <w:sz w:val="22"/>
                <w:szCs w:val="22"/>
              </w:rPr>
              <w:t>96</w:t>
            </w:r>
          </w:p>
        </w:tc>
      </w:tr>
      <w:tr w:rsidR="007766EB" w:rsidRPr="007334E7" w:rsidTr="004958C1">
        <w:tc>
          <w:tcPr>
            <w:tcW w:w="2430" w:type="dxa"/>
            <w:tcBorders>
              <w:top w:val="single" w:sz="7" w:space="0" w:color="000000"/>
              <w:left w:val="single" w:sz="7"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rPr>
                <w:rFonts w:ascii="Arial" w:hAnsi="Arial" w:cs="Arial"/>
                <w:szCs w:val="22"/>
              </w:rPr>
            </w:pPr>
            <w:r w:rsidRPr="007334E7">
              <w:rPr>
                <w:rFonts w:ascii="Arial" w:hAnsi="Arial" w:cs="Arial"/>
                <w:sz w:val="22"/>
                <w:szCs w:val="22"/>
              </w:rPr>
              <w:t>Total</w:t>
            </w:r>
          </w:p>
        </w:tc>
        <w:tc>
          <w:tcPr>
            <w:tcW w:w="2340" w:type="dxa"/>
            <w:tcBorders>
              <w:top w:val="single" w:sz="7" w:space="0" w:color="000000"/>
              <w:left w:val="single" w:sz="7" w:space="0" w:color="000000"/>
              <w:bottom w:val="single" w:sz="7" w:space="0" w:color="000000"/>
              <w:right w:val="single" w:sz="7" w:space="0" w:color="000000"/>
            </w:tcBorders>
            <w:shd w:val="pct15" w:color="auto" w:fill="auto"/>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jc w:val="right"/>
              <w:rPr>
                <w:rFonts w:ascii="Arial" w:hAnsi="Arial" w:cs="Arial"/>
                <w:szCs w:val="22"/>
              </w:rPr>
            </w:pPr>
          </w:p>
        </w:tc>
        <w:tc>
          <w:tcPr>
            <w:tcW w:w="1980" w:type="dxa"/>
            <w:tcBorders>
              <w:top w:val="single" w:sz="7" w:space="0" w:color="000000"/>
              <w:left w:val="single" w:sz="7"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750F94">
            <w:pPr>
              <w:spacing w:after="58"/>
              <w:jc w:val="right"/>
              <w:rPr>
                <w:rFonts w:ascii="Arial" w:hAnsi="Arial" w:cs="Arial"/>
                <w:szCs w:val="22"/>
              </w:rPr>
            </w:pPr>
            <w:r w:rsidRPr="007334E7">
              <w:rPr>
                <w:rFonts w:ascii="Arial" w:hAnsi="Arial" w:cs="Arial"/>
                <w:sz w:val="22"/>
                <w:szCs w:val="22"/>
              </w:rPr>
              <w:t>145,</w:t>
            </w:r>
            <w:r w:rsidR="00750F94">
              <w:rPr>
                <w:rFonts w:ascii="Arial" w:hAnsi="Arial" w:cs="Arial"/>
                <w:sz w:val="22"/>
                <w:szCs w:val="22"/>
              </w:rPr>
              <w:t>696</w:t>
            </w:r>
          </w:p>
        </w:tc>
      </w:tr>
    </w:tbl>
    <w:p w:rsidR="007766EB" w:rsidRPr="007334E7" w:rsidRDefault="007766EB" w:rsidP="007766EB">
      <w:pPr>
        <w:rPr>
          <w:rFonts w:ascii="Arial" w:hAnsi="Arial" w:cs="Arial"/>
          <w:sz w:val="22"/>
          <w:szCs w:val="22"/>
        </w:rPr>
      </w:pPr>
    </w:p>
    <w:p w:rsidR="007766EB" w:rsidRPr="007334E7" w:rsidRDefault="007766EB" w:rsidP="007766EB">
      <w:pPr>
        <w:tabs>
          <w:tab w:val="left" w:pos="-1440"/>
        </w:tabs>
        <w:ind w:left="2160" w:hanging="720"/>
        <w:rPr>
          <w:rFonts w:ascii="Arial" w:hAnsi="Arial" w:cs="Arial"/>
          <w:sz w:val="22"/>
          <w:szCs w:val="22"/>
        </w:rPr>
      </w:pPr>
      <w:r w:rsidRPr="007334E7">
        <w:rPr>
          <w:rFonts w:ascii="Arial" w:hAnsi="Arial" w:cs="Arial"/>
          <w:sz w:val="22"/>
          <w:szCs w:val="22"/>
        </w:rPr>
        <w:t>d.</w:t>
      </w:r>
      <w:r w:rsidRPr="007334E7">
        <w:rPr>
          <w:rFonts w:ascii="Arial" w:hAnsi="Arial" w:cs="Arial"/>
          <w:sz w:val="22"/>
          <w:szCs w:val="22"/>
        </w:rPr>
        <w:tab/>
      </w:r>
      <w:r w:rsidRPr="007334E7">
        <w:rPr>
          <w:rFonts w:ascii="Arial" w:hAnsi="Arial" w:cs="Arial"/>
          <w:sz w:val="22"/>
          <w:szCs w:val="22"/>
          <w:u w:val="single"/>
        </w:rPr>
        <w:t>Section 11 of NUMARC 93-01:  Risk Assessment and Management</w:t>
      </w:r>
    </w:p>
    <w:p w:rsidR="007766EB" w:rsidRPr="007334E7" w:rsidRDefault="007766EB" w:rsidP="007766EB">
      <w:pPr>
        <w:rPr>
          <w:rFonts w:ascii="Arial" w:hAnsi="Arial" w:cs="Arial"/>
          <w:sz w:val="22"/>
          <w:szCs w:val="22"/>
        </w:rPr>
      </w:pPr>
    </w:p>
    <w:tbl>
      <w:tblPr>
        <w:tblW w:w="0" w:type="auto"/>
        <w:tblInd w:w="2280" w:type="dxa"/>
        <w:tblLayout w:type="fixed"/>
        <w:tblCellMar>
          <w:left w:w="120" w:type="dxa"/>
          <w:right w:w="120" w:type="dxa"/>
        </w:tblCellMar>
        <w:tblLook w:val="0000" w:firstRow="0" w:lastRow="0" w:firstColumn="0" w:lastColumn="0" w:noHBand="0" w:noVBand="0"/>
      </w:tblPr>
      <w:tblGrid>
        <w:gridCol w:w="2430"/>
        <w:gridCol w:w="2340"/>
        <w:gridCol w:w="1980"/>
      </w:tblGrid>
      <w:tr w:rsidR="007766EB" w:rsidRPr="007334E7" w:rsidTr="005F65EF">
        <w:tc>
          <w:tcPr>
            <w:tcW w:w="2430" w:type="dxa"/>
            <w:tcBorders>
              <w:top w:val="single" w:sz="7" w:space="0" w:color="000000"/>
              <w:left w:val="single" w:sz="7"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rPr>
                <w:rFonts w:ascii="Arial" w:hAnsi="Arial" w:cs="Arial"/>
                <w:szCs w:val="22"/>
              </w:rPr>
            </w:pPr>
            <w:r w:rsidRPr="007334E7">
              <w:rPr>
                <w:rFonts w:ascii="Arial" w:hAnsi="Arial" w:cs="Arial"/>
                <w:sz w:val="22"/>
                <w:szCs w:val="22"/>
              </w:rPr>
              <w:t>Number of Plants</w:t>
            </w:r>
          </w:p>
        </w:tc>
        <w:tc>
          <w:tcPr>
            <w:tcW w:w="2340" w:type="dxa"/>
            <w:tcBorders>
              <w:top w:val="single" w:sz="7" w:space="0" w:color="000000"/>
              <w:left w:val="single" w:sz="7"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rPr>
                <w:rFonts w:ascii="Arial" w:hAnsi="Arial" w:cs="Arial"/>
                <w:szCs w:val="22"/>
              </w:rPr>
            </w:pPr>
            <w:r w:rsidRPr="007334E7">
              <w:rPr>
                <w:rFonts w:ascii="Arial" w:hAnsi="Arial" w:cs="Arial"/>
                <w:sz w:val="22"/>
                <w:szCs w:val="22"/>
              </w:rPr>
              <w:t>Burden per Plant</w:t>
            </w:r>
          </w:p>
        </w:tc>
        <w:tc>
          <w:tcPr>
            <w:tcW w:w="1980" w:type="dxa"/>
            <w:tcBorders>
              <w:top w:val="single" w:sz="7" w:space="0" w:color="000000"/>
              <w:left w:val="single" w:sz="7"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rPr>
                <w:rFonts w:ascii="Arial" w:hAnsi="Arial" w:cs="Arial"/>
                <w:szCs w:val="22"/>
              </w:rPr>
            </w:pPr>
            <w:r w:rsidRPr="007334E7">
              <w:rPr>
                <w:rFonts w:ascii="Arial" w:hAnsi="Arial" w:cs="Arial"/>
                <w:sz w:val="22"/>
                <w:szCs w:val="22"/>
              </w:rPr>
              <w:t>Total Burden</w:t>
            </w:r>
          </w:p>
        </w:tc>
      </w:tr>
      <w:tr w:rsidR="007766EB" w:rsidRPr="007334E7" w:rsidTr="005F65EF">
        <w:tc>
          <w:tcPr>
            <w:tcW w:w="2430" w:type="dxa"/>
            <w:tcBorders>
              <w:top w:val="single" w:sz="7" w:space="0" w:color="000000"/>
              <w:left w:val="single" w:sz="7"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jc w:val="right"/>
              <w:rPr>
                <w:rFonts w:ascii="Arial" w:hAnsi="Arial" w:cs="Arial"/>
                <w:szCs w:val="22"/>
              </w:rPr>
            </w:pPr>
            <w:r w:rsidRPr="007334E7">
              <w:rPr>
                <w:rFonts w:ascii="Arial" w:hAnsi="Arial" w:cs="Arial"/>
                <w:sz w:val="22"/>
                <w:szCs w:val="22"/>
              </w:rPr>
              <w:t>104</w:t>
            </w:r>
          </w:p>
        </w:tc>
        <w:tc>
          <w:tcPr>
            <w:tcW w:w="2340" w:type="dxa"/>
            <w:tcBorders>
              <w:top w:val="single" w:sz="7" w:space="0" w:color="000000"/>
              <w:left w:val="single" w:sz="7"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jc w:val="right"/>
              <w:rPr>
                <w:rFonts w:ascii="Arial" w:hAnsi="Arial" w:cs="Arial"/>
                <w:szCs w:val="22"/>
              </w:rPr>
            </w:pPr>
            <w:r w:rsidRPr="007334E7">
              <w:rPr>
                <w:rFonts w:ascii="Arial" w:hAnsi="Arial" w:cs="Arial"/>
                <w:sz w:val="22"/>
                <w:szCs w:val="22"/>
              </w:rPr>
              <w:t>700</w:t>
            </w:r>
          </w:p>
        </w:tc>
        <w:tc>
          <w:tcPr>
            <w:tcW w:w="1980" w:type="dxa"/>
            <w:tcBorders>
              <w:top w:val="single" w:sz="7" w:space="0" w:color="000000"/>
              <w:left w:val="single" w:sz="7"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jc w:val="right"/>
              <w:rPr>
                <w:rFonts w:ascii="Arial" w:hAnsi="Arial" w:cs="Arial"/>
                <w:szCs w:val="22"/>
              </w:rPr>
            </w:pPr>
            <w:r w:rsidRPr="007334E7">
              <w:rPr>
                <w:rFonts w:ascii="Arial" w:hAnsi="Arial" w:cs="Arial"/>
                <w:sz w:val="22"/>
                <w:szCs w:val="22"/>
              </w:rPr>
              <w:t>72,800</w:t>
            </w:r>
          </w:p>
        </w:tc>
      </w:tr>
      <w:tr w:rsidR="007766EB" w:rsidRPr="007334E7" w:rsidTr="004958C1">
        <w:tc>
          <w:tcPr>
            <w:tcW w:w="2430" w:type="dxa"/>
            <w:tcBorders>
              <w:top w:val="single" w:sz="7" w:space="0" w:color="000000"/>
              <w:left w:val="single" w:sz="7"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750F94">
            <w:pPr>
              <w:spacing w:after="58"/>
              <w:jc w:val="right"/>
              <w:rPr>
                <w:rFonts w:ascii="Arial" w:hAnsi="Arial" w:cs="Arial"/>
                <w:szCs w:val="22"/>
              </w:rPr>
            </w:pPr>
            <w:r w:rsidRPr="007334E7">
              <w:rPr>
                <w:rFonts w:ascii="Arial" w:hAnsi="Arial" w:cs="Arial"/>
                <w:sz w:val="22"/>
                <w:szCs w:val="22"/>
              </w:rPr>
              <w:t>1</w:t>
            </w:r>
            <w:r w:rsidR="00750F94">
              <w:rPr>
                <w:rFonts w:ascii="Arial" w:hAnsi="Arial" w:cs="Arial"/>
                <w:sz w:val="22"/>
                <w:szCs w:val="22"/>
              </w:rPr>
              <w:t>2</w:t>
            </w:r>
          </w:p>
        </w:tc>
        <w:tc>
          <w:tcPr>
            <w:tcW w:w="2340" w:type="dxa"/>
            <w:tcBorders>
              <w:top w:val="single" w:sz="7" w:space="0" w:color="000000"/>
              <w:left w:val="single" w:sz="7" w:space="0" w:color="000000"/>
              <w:bottom w:val="single" w:sz="8"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jc w:val="right"/>
              <w:rPr>
                <w:rFonts w:ascii="Arial" w:hAnsi="Arial" w:cs="Arial"/>
                <w:szCs w:val="22"/>
              </w:rPr>
            </w:pPr>
            <w:r w:rsidRPr="007334E7">
              <w:rPr>
                <w:rFonts w:ascii="Arial" w:hAnsi="Arial" w:cs="Arial"/>
                <w:sz w:val="22"/>
                <w:szCs w:val="22"/>
              </w:rPr>
              <w:t>40</w:t>
            </w:r>
          </w:p>
        </w:tc>
        <w:tc>
          <w:tcPr>
            <w:tcW w:w="1980" w:type="dxa"/>
            <w:tcBorders>
              <w:top w:val="single" w:sz="7" w:space="0" w:color="000000"/>
              <w:left w:val="single" w:sz="7"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50F94" w:rsidP="005F65EF">
            <w:pPr>
              <w:spacing w:after="58"/>
              <w:jc w:val="right"/>
              <w:rPr>
                <w:rFonts w:ascii="Arial" w:hAnsi="Arial" w:cs="Arial"/>
                <w:szCs w:val="22"/>
              </w:rPr>
            </w:pPr>
            <w:r>
              <w:rPr>
                <w:rFonts w:ascii="Arial" w:hAnsi="Arial" w:cs="Arial"/>
                <w:sz w:val="22"/>
                <w:szCs w:val="22"/>
              </w:rPr>
              <w:t>480</w:t>
            </w:r>
          </w:p>
        </w:tc>
      </w:tr>
      <w:tr w:rsidR="007766EB" w:rsidRPr="007334E7" w:rsidTr="004958C1">
        <w:tc>
          <w:tcPr>
            <w:tcW w:w="2430" w:type="dxa"/>
            <w:tcBorders>
              <w:top w:val="single" w:sz="7" w:space="0" w:color="000000"/>
              <w:left w:val="single" w:sz="7" w:space="0" w:color="000000"/>
              <w:bottom w:val="single" w:sz="7" w:space="0" w:color="000000"/>
              <w:right w:val="single" w:sz="8"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rPr>
                <w:rFonts w:ascii="Arial" w:hAnsi="Arial" w:cs="Arial"/>
                <w:szCs w:val="22"/>
              </w:rPr>
            </w:pPr>
            <w:r w:rsidRPr="007334E7">
              <w:rPr>
                <w:rFonts w:ascii="Arial" w:hAnsi="Arial" w:cs="Arial"/>
                <w:sz w:val="22"/>
                <w:szCs w:val="22"/>
              </w:rPr>
              <w:t>Total</w:t>
            </w:r>
          </w:p>
        </w:tc>
        <w:tc>
          <w:tcPr>
            <w:tcW w:w="2340" w:type="dxa"/>
            <w:tcBorders>
              <w:top w:val="single" w:sz="8" w:space="0" w:color="000000"/>
              <w:left w:val="single" w:sz="8" w:space="0" w:color="000000"/>
              <w:bottom w:val="single" w:sz="8" w:space="0" w:color="000000"/>
              <w:right w:val="single" w:sz="8" w:space="0" w:color="000000"/>
            </w:tcBorders>
            <w:shd w:val="pct15" w:color="auto" w:fill="auto"/>
          </w:tcPr>
          <w:p w:rsidR="007766EB" w:rsidRPr="007334E7" w:rsidRDefault="007766EB" w:rsidP="005F65EF">
            <w:pPr>
              <w:spacing w:line="120" w:lineRule="exact"/>
              <w:rPr>
                <w:rFonts w:ascii="Arial" w:hAnsi="Arial" w:cs="Arial"/>
                <w:szCs w:val="22"/>
              </w:rPr>
            </w:pPr>
          </w:p>
          <w:p w:rsidR="007766EB" w:rsidRPr="007334E7" w:rsidRDefault="007766EB" w:rsidP="005F65EF">
            <w:pPr>
              <w:spacing w:after="58"/>
              <w:jc w:val="right"/>
              <w:rPr>
                <w:rFonts w:ascii="Arial" w:hAnsi="Arial" w:cs="Arial"/>
                <w:szCs w:val="22"/>
              </w:rPr>
            </w:pPr>
          </w:p>
        </w:tc>
        <w:tc>
          <w:tcPr>
            <w:tcW w:w="1980" w:type="dxa"/>
            <w:tcBorders>
              <w:top w:val="single" w:sz="7" w:space="0" w:color="000000"/>
              <w:left w:val="single" w:sz="8" w:space="0" w:color="000000"/>
              <w:bottom w:val="single" w:sz="7" w:space="0" w:color="000000"/>
              <w:right w:val="single" w:sz="7" w:space="0" w:color="000000"/>
            </w:tcBorders>
          </w:tcPr>
          <w:p w:rsidR="007766EB" w:rsidRPr="007334E7" w:rsidRDefault="007766EB" w:rsidP="005F65EF">
            <w:pPr>
              <w:spacing w:line="120" w:lineRule="exact"/>
              <w:rPr>
                <w:rFonts w:ascii="Arial" w:hAnsi="Arial" w:cs="Arial"/>
                <w:szCs w:val="22"/>
              </w:rPr>
            </w:pPr>
          </w:p>
          <w:p w:rsidR="007766EB" w:rsidRPr="007334E7" w:rsidRDefault="007766EB" w:rsidP="00750F94">
            <w:pPr>
              <w:spacing w:after="58"/>
              <w:jc w:val="right"/>
              <w:rPr>
                <w:rFonts w:ascii="Arial" w:hAnsi="Arial" w:cs="Arial"/>
                <w:szCs w:val="22"/>
              </w:rPr>
            </w:pPr>
            <w:r w:rsidRPr="007334E7">
              <w:rPr>
                <w:rFonts w:ascii="Arial" w:hAnsi="Arial" w:cs="Arial"/>
                <w:sz w:val="22"/>
                <w:szCs w:val="22"/>
              </w:rPr>
              <w:t>73,</w:t>
            </w:r>
            <w:r w:rsidR="00750F94">
              <w:rPr>
                <w:rFonts w:ascii="Arial" w:hAnsi="Arial" w:cs="Arial"/>
                <w:sz w:val="22"/>
                <w:szCs w:val="22"/>
              </w:rPr>
              <w:t>280</w:t>
            </w:r>
          </w:p>
        </w:tc>
      </w:tr>
    </w:tbl>
    <w:p w:rsidR="007766EB" w:rsidRPr="007334E7" w:rsidRDefault="007766EB" w:rsidP="007766EB">
      <w:pPr>
        <w:rPr>
          <w:rFonts w:ascii="Arial" w:hAnsi="Arial" w:cs="Arial"/>
          <w:sz w:val="22"/>
          <w:szCs w:val="22"/>
        </w:rPr>
      </w:pPr>
    </w:p>
    <w:p w:rsidR="007766EB" w:rsidRPr="007334E7" w:rsidRDefault="007766EB" w:rsidP="005F5692">
      <w:pPr>
        <w:tabs>
          <w:tab w:val="left" w:pos="-1440"/>
        </w:tabs>
        <w:ind w:left="2160" w:hanging="720"/>
        <w:rPr>
          <w:rFonts w:ascii="Arial" w:hAnsi="Arial" w:cs="Arial"/>
          <w:sz w:val="22"/>
          <w:szCs w:val="22"/>
        </w:rPr>
      </w:pPr>
      <w:r w:rsidRPr="007334E7">
        <w:rPr>
          <w:rFonts w:ascii="Arial" w:hAnsi="Arial" w:cs="Arial"/>
          <w:sz w:val="22"/>
          <w:szCs w:val="22"/>
        </w:rPr>
        <w:t>e.</w:t>
      </w:r>
      <w:r w:rsidRPr="007334E7">
        <w:rPr>
          <w:rFonts w:ascii="Arial" w:hAnsi="Arial" w:cs="Arial"/>
          <w:sz w:val="22"/>
          <w:szCs w:val="22"/>
        </w:rPr>
        <w:tab/>
      </w:r>
      <w:r w:rsidRPr="007334E7">
        <w:rPr>
          <w:rFonts w:ascii="Arial" w:hAnsi="Arial" w:cs="Arial"/>
          <w:sz w:val="22"/>
          <w:szCs w:val="22"/>
          <w:u w:val="single"/>
        </w:rPr>
        <w:t>Total Burden</w:t>
      </w:r>
    </w:p>
    <w:p w:rsidR="007766EB" w:rsidRPr="007334E7" w:rsidRDefault="007766EB" w:rsidP="005F5692">
      <w:pPr>
        <w:rPr>
          <w:rFonts w:ascii="Arial" w:hAnsi="Arial" w:cs="Arial"/>
          <w:sz w:val="22"/>
          <w:szCs w:val="22"/>
        </w:rPr>
      </w:pPr>
    </w:p>
    <w:p w:rsidR="007766EB" w:rsidRPr="007334E7" w:rsidRDefault="007766EB" w:rsidP="005F5692">
      <w:pPr>
        <w:ind w:left="2160"/>
        <w:rPr>
          <w:rFonts w:ascii="Arial" w:hAnsi="Arial" w:cs="Arial"/>
          <w:sz w:val="22"/>
          <w:szCs w:val="22"/>
        </w:rPr>
      </w:pPr>
      <w:r w:rsidRPr="007334E7">
        <w:rPr>
          <w:rFonts w:ascii="Arial" w:hAnsi="Arial" w:cs="Arial"/>
          <w:sz w:val="22"/>
          <w:szCs w:val="22"/>
        </w:rPr>
        <w:t>The total burden is 448,</w:t>
      </w:r>
      <w:r w:rsidR="00750F94">
        <w:rPr>
          <w:rFonts w:ascii="Arial" w:hAnsi="Arial" w:cs="Arial"/>
          <w:sz w:val="22"/>
          <w:szCs w:val="22"/>
        </w:rPr>
        <w:t>391</w:t>
      </w:r>
      <w:r w:rsidRPr="007334E7">
        <w:rPr>
          <w:rFonts w:ascii="Arial" w:hAnsi="Arial" w:cs="Arial"/>
          <w:sz w:val="22"/>
          <w:szCs w:val="22"/>
        </w:rPr>
        <w:t xml:space="preserve"> hours per year (</w:t>
      </w:r>
      <w:r w:rsidR="00750F94" w:rsidRPr="007334E7">
        <w:rPr>
          <w:rFonts w:ascii="Arial" w:hAnsi="Arial" w:cs="Arial"/>
          <w:sz w:val="22"/>
          <w:szCs w:val="22"/>
        </w:rPr>
        <w:t>145,600</w:t>
      </w:r>
      <w:r w:rsidR="00750F94">
        <w:rPr>
          <w:rFonts w:ascii="Arial" w:hAnsi="Arial" w:cs="Arial"/>
          <w:sz w:val="22"/>
          <w:szCs w:val="22"/>
        </w:rPr>
        <w:t xml:space="preserve"> </w:t>
      </w:r>
      <w:r w:rsidRPr="007334E7">
        <w:rPr>
          <w:rFonts w:ascii="Arial" w:hAnsi="Arial" w:cs="Arial"/>
          <w:sz w:val="22"/>
          <w:szCs w:val="22"/>
        </w:rPr>
        <w:t xml:space="preserve">+ </w:t>
      </w:r>
      <w:r w:rsidR="00750F94" w:rsidRPr="007334E7">
        <w:rPr>
          <w:rFonts w:ascii="Arial" w:hAnsi="Arial" w:cs="Arial"/>
          <w:sz w:val="22"/>
          <w:szCs w:val="22"/>
        </w:rPr>
        <w:t>8</w:t>
      </w:r>
      <w:r w:rsidR="00750F94">
        <w:rPr>
          <w:rFonts w:ascii="Arial" w:hAnsi="Arial" w:cs="Arial"/>
          <w:sz w:val="22"/>
          <w:szCs w:val="22"/>
        </w:rPr>
        <w:t>3</w:t>
      </w:r>
      <w:r w:rsidR="00750F94" w:rsidRPr="007334E7">
        <w:rPr>
          <w:rFonts w:ascii="Arial" w:hAnsi="Arial" w:cs="Arial"/>
          <w:sz w:val="22"/>
          <w:szCs w:val="22"/>
        </w:rPr>
        <w:t>,</w:t>
      </w:r>
      <w:r w:rsidR="00750F94">
        <w:rPr>
          <w:rFonts w:ascii="Arial" w:hAnsi="Arial" w:cs="Arial"/>
          <w:sz w:val="22"/>
          <w:szCs w:val="22"/>
        </w:rPr>
        <w:t xml:space="preserve">815 </w:t>
      </w:r>
      <w:r w:rsidRPr="007334E7">
        <w:rPr>
          <w:rFonts w:ascii="Arial" w:hAnsi="Arial" w:cs="Arial"/>
          <w:sz w:val="22"/>
          <w:szCs w:val="22"/>
        </w:rPr>
        <w:t xml:space="preserve">+ </w:t>
      </w:r>
      <w:r w:rsidR="00750F94" w:rsidRPr="007334E7">
        <w:rPr>
          <w:rFonts w:ascii="Arial" w:hAnsi="Arial" w:cs="Arial"/>
          <w:sz w:val="22"/>
          <w:szCs w:val="22"/>
        </w:rPr>
        <w:t>145,</w:t>
      </w:r>
      <w:r w:rsidR="00750F94">
        <w:rPr>
          <w:rFonts w:ascii="Arial" w:hAnsi="Arial" w:cs="Arial"/>
          <w:sz w:val="22"/>
          <w:szCs w:val="22"/>
        </w:rPr>
        <w:t xml:space="preserve">696 </w:t>
      </w:r>
      <w:r w:rsidRPr="007334E7">
        <w:rPr>
          <w:rFonts w:ascii="Arial" w:hAnsi="Arial" w:cs="Arial"/>
          <w:sz w:val="22"/>
          <w:szCs w:val="22"/>
        </w:rPr>
        <w:t xml:space="preserve">+ </w:t>
      </w:r>
      <w:r w:rsidR="00750F94" w:rsidRPr="007334E7">
        <w:rPr>
          <w:rFonts w:ascii="Arial" w:hAnsi="Arial" w:cs="Arial"/>
          <w:sz w:val="22"/>
          <w:szCs w:val="22"/>
        </w:rPr>
        <w:t>73,</w:t>
      </w:r>
      <w:r w:rsidR="00750F94">
        <w:rPr>
          <w:rFonts w:ascii="Arial" w:hAnsi="Arial" w:cs="Arial"/>
          <w:sz w:val="22"/>
          <w:szCs w:val="22"/>
        </w:rPr>
        <w:t xml:space="preserve">280 </w:t>
      </w:r>
      <w:r w:rsidRPr="007334E7">
        <w:rPr>
          <w:rFonts w:ascii="Arial" w:hAnsi="Arial" w:cs="Arial"/>
          <w:sz w:val="22"/>
          <w:szCs w:val="22"/>
        </w:rPr>
        <w:t>hours).  Of this, 446,855 burden hours represents an industry total for operating plants (145,600 + 21,000 + 61,855 + 145,600 + 72,800), an average of 4,29</w:t>
      </w:r>
      <w:r>
        <w:rPr>
          <w:rFonts w:ascii="Arial" w:hAnsi="Arial" w:cs="Arial"/>
          <w:sz w:val="22"/>
          <w:szCs w:val="22"/>
        </w:rPr>
        <w:t>7</w:t>
      </w:r>
      <w:r w:rsidRPr="007334E7">
        <w:rPr>
          <w:rFonts w:ascii="Arial" w:hAnsi="Arial" w:cs="Arial"/>
          <w:sz w:val="22"/>
          <w:szCs w:val="22"/>
        </w:rPr>
        <w:t xml:space="preserve"> hours per plant.  The rest, </w:t>
      </w:r>
      <w:r>
        <w:rPr>
          <w:rFonts w:ascii="Arial" w:hAnsi="Arial" w:cs="Arial"/>
          <w:sz w:val="22"/>
          <w:szCs w:val="22"/>
        </w:rPr>
        <w:t>1,</w:t>
      </w:r>
      <w:r w:rsidR="00750F94">
        <w:rPr>
          <w:rFonts w:ascii="Arial" w:hAnsi="Arial" w:cs="Arial"/>
          <w:sz w:val="22"/>
          <w:szCs w:val="22"/>
        </w:rPr>
        <w:t>536</w:t>
      </w:r>
      <w:r w:rsidRPr="007334E7">
        <w:rPr>
          <w:rFonts w:ascii="Arial" w:hAnsi="Arial" w:cs="Arial"/>
          <w:sz w:val="22"/>
          <w:szCs w:val="22"/>
        </w:rPr>
        <w:t xml:space="preserve"> hours, represents an industry total for shutdown plants (</w:t>
      </w:r>
      <w:r w:rsidR="00750F94">
        <w:rPr>
          <w:rFonts w:ascii="Arial" w:hAnsi="Arial" w:cs="Arial"/>
          <w:sz w:val="22"/>
          <w:szCs w:val="22"/>
        </w:rPr>
        <w:t>960</w:t>
      </w:r>
      <w:r w:rsidRPr="007334E7">
        <w:rPr>
          <w:rFonts w:ascii="Arial" w:hAnsi="Arial" w:cs="Arial"/>
          <w:sz w:val="22"/>
          <w:szCs w:val="22"/>
        </w:rPr>
        <w:t xml:space="preserve"> + </w:t>
      </w:r>
      <w:r w:rsidR="00750F94">
        <w:rPr>
          <w:rFonts w:ascii="Arial" w:hAnsi="Arial" w:cs="Arial"/>
          <w:sz w:val="22"/>
          <w:szCs w:val="22"/>
        </w:rPr>
        <w:t>96</w:t>
      </w:r>
      <w:r w:rsidRPr="007334E7">
        <w:rPr>
          <w:rFonts w:ascii="Arial" w:hAnsi="Arial" w:cs="Arial"/>
          <w:sz w:val="22"/>
          <w:szCs w:val="22"/>
        </w:rPr>
        <w:t xml:space="preserve"> + </w:t>
      </w:r>
      <w:r w:rsidR="00750F94">
        <w:rPr>
          <w:rFonts w:ascii="Arial" w:hAnsi="Arial" w:cs="Arial"/>
          <w:sz w:val="22"/>
          <w:szCs w:val="22"/>
        </w:rPr>
        <w:t>480</w:t>
      </w:r>
      <w:r w:rsidRPr="007334E7">
        <w:rPr>
          <w:rFonts w:ascii="Arial" w:hAnsi="Arial" w:cs="Arial"/>
          <w:sz w:val="22"/>
          <w:szCs w:val="22"/>
        </w:rPr>
        <w:t>), for an average of 128 hours per plant.</w:t>
      </w:r>
    </w:p>
    <w:p w:rsidR="004958C1" w:rsidRDefault="004958C1">
      <w:pPr>
        <w:spacing w:line="276" w:lineRule="auto"/>
        <w:rPr>
          <w:rFonts w:ascii="Arial" w:hAnsi="Arial" w:cs="Arial"/>
          <w:sz w:val="22"/>
          <w:szCs w:val="22"/>
        </w:rPr>
      </w:pPr>
      <w:r>
        <w:rPr>
          <w:rFonts w:ascii="Arial" w:hAnsi="Arial" w:cs="Arial"/>
          <w:sz w:val="22"/>
          <w:szCs w:val="22"/>
        </w:rPr>
        <w:br w:type="page"/>
      </w:r>
    </w:p>
    <w:p w:rsidR="007766EB" w:rsidRPr="007334E7" w:rsidRDefault="007766EB" w:rsidP="005F5692">
      <w:pPr>
        <w:tabs>
          <w:tab w:val="left" w:pos="-1440"/>
        </w:tabs>
        <w:ind w:left="3600" w:hanging="2160"/>
        <w:rPr>
          <w:rFonts w:ascii="Arial" w:hAnsi="Arial" w:cs="Arial"/>
          <w:sz w:val="22"/>
          <w:szCs w:val="22"/>
        </w:rPr>
      </w:pPr>
      <w:r w:rsidRPr="007334E7">
        <w:rPr>
          <w:rFonts w:ascii="Arial" w:hAnsi="Arial" w:cs="Arial"/>
          <w:sz w:val="22"/>
          <w:szCs w:val="22"/>
        </w:rPr>
        <w:lastRenderedPageBreak/>
        <w:t>f.</w:t>
      </w:r>
      <w:r>
        <w:rPr>
          <w:rFonts w:ascii="Arial" w:hAnsi="Arial" w:cs="Arial"/>
          <w:sz w:val="22"/>
          <w:szCs w:val="22"/>
        </w:rPr>
        <w:t xml:space="preserve">        </w:t>
      </w:r>
      <w:r w:rsidR="005F5692">
        <w:rPr>
          <w:rFonts w:ascii="Arial" w:hAnsi="Arial" w:cs="Arial"/>
          <w:sz w:val="22"/>
          <w:szCs w:val="22"/>
        </w:rPr>
        <w:t xml:space="preserve"> </w:t>
      </w:r>
      <w:r w:rsidRPr="007334E7">
        <w:rPr>
          <w:rFonts w:ascii="Arial" w:hAnsi="Arial" w:cs="Arial"/>
          <w:sz w:val="22"/>
          <w:szCs w:val="22"/>
          <w:u w:val="single"/>
        </w:rPr>
        <w:t>Total Industry Burden and Cost</w:t>
      </w:r>
    </w:p>
    <w:p w:rsidR="007766EB" w:rsidRPr="007334E7" w:rsidRDefault="007766EB" w:rsidP="005F5692">
      <w:pPr>
        <w:rPr>
          <w:rFonts w:ascii="Arial" w:hAnsi="Arial" w:cs="Arial"/>
          <w:sz w:val="22"/>
          <w:szCs w:val="22"/>
        </w:rPr>
      </w:pPr>
    </w:p>
    <w:p w:rsidR="007766EB" w:rsidRPr="007334E7" w:rsidRDefault="007766EB" w:rsidP="005F5692">
      <w:pPr>
        <w:ind w:left="2160"/>
        <w:rPr>
          <w:rFonts w:ascii="Arial" w:hAnsi="Arial" w:cs="Arial"/>
          <w:sz w:val="22"/>
          <w:szCs w:val="22"/>
        </w:rPr>
      </w:pPr>
      <w:r w:rsidRPr="007334E7">
        <w:rPr>
          <w:rFonts w:ascii="Arial" w:hAnsi="Arial" w:cs="Arial"/>
          <w:sz w:val="22"/>
          <w:szCs w:val="22"/>
        </w:rPr>
        <w:t xml:space="preserve">Based on the above, the annual burden per operating plant is </w:t>
      </w:r>
      <w:r w:rsidRPr="0080117E">
        <w:rPr>
          <w:rFonts w:ascii="Arial" w:hAnsi="Arial" w:cs="Arial"/>
          <w:sz w:val="22"/>
          <w:szCs w:val="22"/>
        </w:rPr>
        <w:t xml:space="preserve">estimated to </w:t>
      </w:r>
      <w:r w:rsidRPr="009274D9">
        <w:rPr>
          <w:rFonts w:ascii="Arial" w:hAnsi="Arial" w:cs="Arial"/>
          <w:sz w:val="22"/>
          <w:szCs w:val="22"/>
        </w:rPr>
        <w:t>be 4,296 hours with a cost of $1,1</w:t>
      </w:r>
      <w:r w:rsidR="004B2A55">
        <w:rPr>
          <w:rFonts w:ascii="Arial" w:hAnsi="Arial" w:cs="Arial"/>
          <w:sz w:val="22"/>
          <w:szCs w:val="22"/>
        </w:rPr>
        <w:t>77</w:t>
      </w:r>
      <w:r w:rsidRPr="009274D9">
        <w:rPr>
          <w:rFonts w:ascii="Arial" w:hAnsi="Arial" w:cs="Arial"/>
          <w:sz w:val="22"/>
          <w:szCs w:val="22"/>
        </w:rPr>
        <w:t>,</w:t>
      </w:r>
      <w:r w:rsidR="004B2A55">
        <w:rPr>
          <w:rFonts w:ascii="Arial" w:hAnsi="Arial" w:cs="Arial"/>
          <w:sz w:val="22"/>
          <w:szCs w:val="22"/>
        </w:rPr>
        <w:t>104</w:t>
      </w:r>
      <w:r w:rsidRPr="009274D9">
        <w:rPr>
          <w:rFonts w:ascii="Arial" w:hAnsi="Arial" w:cs="Arial"/>
          <w:sz w:val="22"/>
          <w:szCs w:val="22"/>
        </w:rPr>
        <w:t xml:space="preserve"> per plant (4,296</w:t>
      </w:r>
      <w:r w:rsidRPr="0080117E">
        <w:rPr>
          <w:rFonts w:ascii="Arial" w:hAnsi="Arial" w:cs="Arial"/>
          <w:sz w:val="22"/>
          <w:szCs w:val="22"/>
        </w:rPr>
        <w:t xml:space="preserve"> hours x $2</w:t>
      </w:r>
      <w:r w:rsidR="004B2A55">
        <w:rPr>
          <w:rFonts w:ascii="Arial" w:hAnsi="Arial" w:cs="Arial"/>
          <w:sz w:val="22"/>
          <w:szCs w:val="22"/>
        </w:rPr>
        <w:t>74</w:t>
      </w:r>
      <w:r w:rsidRPr="0080117E">
        <w:rPr>
          <w:rFonts w:ascii="Arial" w:hAnsi="Arial" w:cs="Arial"/>
          <w:sz w:val="22"/>
          <w:szCs w:val="22"/>
        </w:rPr>
        <w:t xml:space="preserve"> per hour), and the cost to a shutdown plant is $3</w:t>
      </w:r>
      <w:r w:rsidR="004B2A55">
        <w:rPr>
          <w:rFonts w:ascii="Arial" w:hAnsi="Arial" w:cs="Arial"/>
          <w:sz w:val="22"/>
          <w:szCs w:val="22"/>
        </w:rPr>
        <w:t>5</w:t>
      </w:r>
      <w:r w:rsidRPr="0080117E">
        <w:rPr>
          <w:rFonts w:ascii="Arial" w:hAnsi="Arial" w:cs="Arial"/>
          <w:sz w:val="22"/>
          <w:szCs w:val="22"/>
        </w:rPr>
        <w:t>,</w:t>
      </w:r>
      <w:r w:rsidR="004B2A55">
        <w:rPr>
          <w:rFonts w:ascii="Arial" w:hAnsi="Arial" w:cs="Arial"/>
          <w:sz w:val="22"/>
          <w:szCs w:val="22"/>
        </w:rPr>
        <w:t>072</w:t>
      </w:r>
      <w:r w:rsidRPr="0080117E">
        <w:rPr>
          <w:rFonts w:ascii="Arial" w:hAnsi="Arial" w:cs="Arial"/>
          <w:sz w:val="22"/>
          <w:szCs w:val="22"/>
        </w:rPr>
        <w:t xml:space="preserve"> (128 hours x $2</w:t>
      </w:r>
      <w:r w:rsidR="004B2A55">
        <w:rPr>
          <w:rFonts w:ascii="Arial" w:hAnsi="Arial" w:cs="Arial"/>
          <w:sz w:val="22"/>
          <w:szCs w:val="22"/>
        </w:rPr>
        <w:t>74</w:t>
      </w:r>
      <w:r w:rsidRPr="0080117E">
        <w:rPr>
          <w:rFonts w:ascii="Arial" w:hAnsi="Arial" w:cs="Arial"/>
          <w:sz w:val="22"/>
          <w:szCs w:val="22"/>
        </w:rPr>
        <w:t xml:space="preserve"> per hour).  The total annual industry burden is estimated to be </w:t>
      </w:r>
      <w:r w:rsidR="004B2A55" w:rsidRPr="007334E7">
        <w:rPr>
          <w:rFonts w:ascii="Arial" w:hAnsi="Arial" w:cs="Arial"/>
          <w:sz w:val="22"/>
          <w:szCs w:val="22"/>
        </w:rPr>
        <w:t>448,</w:t>
      </w:r>
      <w:r w:rsidR="004B2A55">
        <w:rPr>
          <w:rFonts w:ascii="Arial" w:hAnsi="Arial" w:cs="Arial"/>
          <w:sz w:val="22"/>
          <w:szCs w:val="22"/>
        </w:rPr>
        <w:t>391</w:t>
      </w:r>
      <w:r w:rsidR="004B2A55" w:rsidRPr="007334E7">
        <w:rPr>
          <w:rFonts w:ascii="Arial" w:hAnsi="Arial" w:cs="Arial"/>
          <w:sz w:val="22"/>
          <w:szCs w:val="22"/>
        </w:rPr>
        <w:t xml:space="preserve"> </w:t>
      </w:r>
      <w:r w:rsidRPr="0080117E">
        <w:rPr>
          <w:rFonts w:ascii="Arial" w:hAnsi="Arial" w:cs="Arial"/>
          <w:sz w:val="22"/>
          <w:szCs w:val="22"/>
        </w:rPr>
        <w:t>hours at a total annual cost of $1</w:t>
      </w:r>
      <w:r w:rsidR="004B2A55">
        <w:rPr>
          <w:rFonts w:ascii="Arial" w:hAnsi="Arial" w:cs="Arial"/>
          <w:sz w:val="22"/>
          <w:szCs w:val="22"/>
        </w:rPr>
        <w:t>22</w:t>
      </w:r>
      <w:r w:rsidRPr="0080117E">
        <w:rPr>
          <w:rFonts w:ascii="Arial" w:hAnsi="Arial" w:cs="Arial"/>
          <w:sz w:val="22"/>
          <w:szCs w:val="22"/>
        </w:rPr>
        <w:t>,</w:t>
      </w:r>
      <w:r w:rsidR="004B2A55">
        <w:rPr>
          <w:rFonts w:ascii="Arial" w:hAnsi="Arial" w:cs="Arial"/>
          <w:sz w:val="22"/>
          <w:szCs w:val="22"/>
        </w:rPr>
        <w:t>859</w:t>
      </w:r>
      <w:r>
        <w:rPr>
          <w:rFonts w:ascii="Arial" w:hAnsi="Arial" w:cs="Arial"/>
          <w:sz w:val="22"/>
          <w:szCs w:val="22"/>
        </w:rPr>
        <w:t>,</w:t>
      </w:r>
      <w:r w:rsidR="004B2A55">
        <w:rPr>
          <w:rFonts w:ascii="Arial" w:hAnsi="Arial" w:cs="Arial"/>
          <w:sz w:val="22"/>
          <w:szCs w:val="22"/>
        </w:rPr>
        <w:t>134</w:t>
      </w:r>
      <w:r w:rsidRPr="0080117E">
        <w:rPr>
          <w:rFonts w:ascii="Arial" w:hAnsi="Arial" w:cs="Arial"/>
          <w:sz w:val="22"/>
          <w:szCs w:val="22"/>
        </w:rPr>
        <w:t xml:space="preserve"> (</w:t>
      </w:r>
      <w:r w:rsidR="004B2A55" w:rsidRPr="007334E7">
        <w:rPr>
          <w:rFonts w:ascii="Arial" w:hAnsi="Arial" w:cs="Arial"/>
          <w:sz w:val="22"/>
          <w:szCs w:val="22"/>
        </w:rPr>
        <w:t>448,</w:t>
      </w:r>
      <w:r w:rsidR="004B2A55">
        <w:rPr>
          <w:rFonts w:ascii="Arial" w:hAnsi="Arial" w:cs="Arial"/>
          <w:sz w:val="22"/>
          <w:szCs w:val="22"/>
        </w:rPr>
        <w:t>391</w:t>
      </w:r>
      <w:r w:rsidR="004B2A55" w:rsidRPr="007334E7">
        <w:rPr>
          <w:rFonts w:ascii="Arial" w:hAnsi="Arial" w:cs="Arial"/>
          <w:sz w:val="22"/>
          <w:szCs w:val="22"/>
        </w:rPr>
        <w:t xml:space="preserve"> </w:t>
      </w:r>
      <w:r w:rsidRPr="0080117E">
        <w:rPr>
          <w:rFonts w:ascii="Arial" w:hAnsi="Arial" w:cs="Arial"/>
          <w:sz w:val="22"/>
          <w:szCs w:val="22"/>
        </w:rPr>
        <w:t>hours x $2</w:t>
      </w:r>
      <w:r w:rsidR="004B2A55">
        <w:rPr>
          <w:rFonts w:ascii="Arial" w:hAnsi="Arial" w:cs="Arial"/>
          <w:sz w:val="22"/>
          <w:szCs w:val="22"/>
        </w:rPr>
        <w:t>74</w:t>
      </w:r>
      <w:r w:rsidRPr="0080117E">
        <w:rPr>
          <w:rFonts w:ascii="Arial" w:hAnsi="Arial" w:cs="Arial"/>
          <w:sz w:val="22"/>
          <w:szCs w:val="22"/>
        </w:rPr>
        <w:t xml:space="preserve"> per</w:t>
      </w:r>
      <w:r w:rsidRPr="007334E7">
        <w:rPr>
          <w:rFonts w:ascii="Arial" w:hAnsi="Arial" w:cs="Arial"/>
          <w:sz w:val="22"/>
          <w:szCs w:val="22"/>
        </w:rPr>
        <w:t xml:space="preserve"> hour).  </w:t>
      </w:r>
    </w:p>
    <w:p w:rsidR="007766EB" w:rsidRPr="007334E7" w:rsidRDefault="007766EB" w:rsidP="007766EB">
      <w:pPr>
        <w:rPr>
          <w:rFonts w:ascii="Arial" w:hAnsi="Arial" w:cs="Arial"/>
          <w:sz w:val="22"/>
          <w:szCs w:val="22"/>
        </w:rPr>
      </w:pPr>
    </w:p>
    <w:p w:rsidR="007766EB" w:rsidRPr="007334E7" w:rsidRDefault="007766EB" w:rsidP="007766EB">
      <w:pPr>
        <w:tabs>
          <w:tab w:val="left" w:pos="-1440"/>
        </w:tabs>
        <w:ind w:left="1440" w:hanging="720"/>
        <w:rPr>
          <w:rFonts w:ascii="Arial" w:hAnsi="Arial" w:cs="Arial"/>
          <w:sz w:val="22"/>
          <w:szCs w:val="22"/>
        </w:rPr>
      </w:pPr>
      <w:r w:rsidRPr="007334E7">
        <w:rPr>
          <w:rFonts w:ascii="Arial" w:hAnsi="Arial" w:cs="Arial"/>
          <w:sz w:val="22"/>
          <w:szCs w:val="22"/>
        </w:rPr>
        <w:t>13.</w:t>
      </w:r>
      <w:r w:rsidRPr="007334E7">
        <w:rPr>
          <w:rFonts w:ascii="Arial" w:hAnsi="Arial" w:cs="Arial"/>
          <w:sz w:val="22"/>
          <w:szCs w:val="22"/>
        </w:rPr>
        <w:tab/>
      </w:r>
      <w:r w:rsidRPr="007334E7">
        <w:rPr>
          <w:rFonts w:ascii="Arial" w:hAnsi="Arial" w:cs="Arial"/>
          <w:sz w:val="22"/>
          <w:szCs w:val="22"/>
          <w:u w:val="single"/>
        </w:rPr>
        <w:t>Estimate of Other Additional Costs</w:t>
      </w:r>
    </w:p>
    <w:p w:rsidR="007766EB" w:rsidRPr="007334E7" w:rsidRDefault="007766EB" w:rsidP="007766EB">
      <w:pPr>
        <w:rPr>
          <w:rFonts w:ascii="Arial" w:hAnsi="Arial" w:cs="Arial"/>
          <w:sz w:val="22"/>
          <w:szCs w:val="22"/>
        </w:rPr>
      </w:pPr>
    </w:p>
    <w:p w:rsidR="007766EB" w:rsidRPr="0080117E" w:rsidRDefault="007766EB" w:rsidP="007766EB">
      <w:pPr>
        <w:ind w:left="1440"/>
        <w:rPr>
          <w:rFonts w:ascii="Arial" w:hAnsi="Arial" w:cs="Arial"/>
          <w:sz w:val="22"/>
          <w:szCs w:val="22"/>
        </w:rPr>
      </w:pPr>
      <w:r w:rsidRPr="0080117E">
        <w:rPr>
          <w:rFonts w:ascii="Arial" w:hAnsi="Arial" w:cs="Arial"/>
          <w:sz w:val="22"/>
          <w:szCs w:val="22"/>
        </w:rPr>
        <w:t xml:space="preserve">The NRC has determined that the quantity of records to be maintained is roughly proportional to the recordkeeping burden and, therefore, can be used to calculate approximate records storage costs.  Based on the number of pages maintained for a typical clearance, the records storage cost has been determined to be equal to 0.0004 times the recordkeeping burden cost. Because the recordkeeping burden is estimated to be </w:t>
      </w:r>
      <w:r w:rsidR="00C603B5" w:rsidRPr="007334E7">
        <w:rPr>
          <w:rFonts w:ascii="Arial" w:hAnsi="Arial" w:cs="Arial"/>
          <w:sz w:val="22"/>
          <w:szCs w:val="22"/>
        </w:rPr>
        <w:t>448,</w:t>
      </w:r>
      <w:r w:rsidR="00C603B5">
        <w:rPr>
          <w:rFonts w:ascii="Arial" w:hAnsi="Arial" w:cs="Arial"/>
          <w:sz w:val="22"/>
          <w:szCs w:val="22"/>
        </w:rPr>
        <w:t>391</w:t>
      </w:r>
      <w:r w:rsidR="00C603B5" w:rsidRPr="007334E7">
        <w:rPr>
          <w:rFonts w:ascii="Arial" w:hAnsi="Arial" w:cs="Arial"/>
          <w:sz w:val="22"/>
          <w:szCs w:val="22"/>
        </w:rPr>
        <w:t xml:space="preserve"> </w:t>
      </w:r>
      <w:r w:rsidRPr="0080117E">
        <w:rPr>
          <w:rFonts w:ascii="Arial" w:hAnsi="Arial" w:cs="Arial"/>
          <w:sz w:val="22"/>
          <w:szCs w:val="22"/>
        </w:rPr>
        <w:t>hours, the storage cost for this clearance is $4</w:t>
      </w:r>
      <w:r w:rsidR="00C603B5">
        <w:rPr>
          <w:rFonts w:ascii="Arial" w:hAnsi="Arial" w:cs="Arial"/>
          <w:sz w:val="22"/>
          <w:szCs w:val="22"/>
        </w:rPr>
        <w:t>9</w:t>
      </w:r>
      <w:r w:rsidRPr="0080117E">
        <w:rPr>
          <w:rFonts w:ascii="Arial" w:hAnsi="Arial" w:cs="Arial"/>
          <w:sz w:val="22"/>
          <w:szCs w:val="22"/>
        </w:rPr>
        <w:t>,</w:t>
      </w:r>
      <w:r>
        <w:rPr>
          <w:rFonts w:ascii="Arial" w:hAnsi="Arial" w:cs="Arial"/>
          <w:sz w:val="22"/>
          <w:szCs w:val="22"/>
        </w:rPr>
        <w:t>1</w:t>
      </w:r>
      <w:r w:rsidR="00C603B5">
        <w:rPr>
          <w:rFonts w:ascii="Arial" w:hAnsi="Arial" w:cs="Arial"/>
          <w:sz w:val="22"/>
          <w:szCs w:val="22"/>
        </w:rPr>
        <w:t>4</w:t>
      </w:r>
      <w:r w:rsidR="002C27CB">
        <w:rPr>
          <w:rFonts w:ascii="Arial" w:hAnsi="Arial" w:cs="Arial"/>
          <w:sz w:val="22"/>
          <w:szCs w:val="22"/>
        </w:rPr>
        <w:t>4</w:t>
      </w:r>
      <w:r w:rsidRPr="0080117E">
        <w:rPr>
          <w:rFonts w:ascii="Arial" w:hAnsi="Arial" w:cs="Arial"/>
          <w:sz w:val="22"/>
          <w:szCs w:val="22"/>
        </w:rPr>
        <w:t xml:space="preserve"> (</w:t>
      </w:r>
      <w:r w:rsidR="00C603B5" w:rsidRPr="007334E7">
        <w:rPr>
          <w:rFonts w:ascii="Arial" w:hAnsi="Arial" w:cs="Arial"/>
          <w:sz w:val="22"/>
          <w:szCs w:val="22"/>
        </w:rPr>
        <w:t>448,</w:t>
      </w:r>
      <w:r w:rsidR="00C603B5">
        <w:rPr>
          <w:rFonts w:ascii="Arial" w:hAnsi="Arial" w:cs="Arial"/>
          <w:sz w:val="22"/>
          <w:szCs w:val="22"/>
        </w:rPr>
        <w:t>391</w:t>
      </w:r>
      <w:r w:rsidR="00C603B5" w:rsidRPr="007334E7">
        <w:rPr>
          <w:rFonts w:ascii="Arial" w:hAnsi="Arial" w:cs="Arial"/>
          <w:sz w:val="22"/>
          <w:szCs w:val="22"/>
        </w:rPr>
        <w:t xml:space="preserve"> </w:t>
      </w:r>
      <w:r w:rsidRPr="0080117E">
        <w:rPr>
          <w:rFonts w:ascii="Arial" w:hAnsi="Arial" w:cs="Arial"/>
          <w:sz w:val="22"/>
          <w:szCs w:val="22"/>
        </w:rPr>
        <w:t>hours x 0.0004 x $2</w:t>
      </w:r>
      <w:r w:rsidR="00C603B5">
        <w:rPr>
          <w:rFonts w:ascii="Arial" w:hAnsi="Arial" w:cs="Arial"/>
          <w:sz w:val="22"/>
          <w:szCs w:val="22"/>
        </w:rPr>
        <w:t>74</w:t>
      </w:r>
      <w:r w:rsidRPr="0080117E">
        <w:rPr>
          <w:rFonts w:ascii="Arial" w:hAnsi="Arial" w:cs="Arial"/>
          <w:sz w:val="22"/>
          <w:szCs w:val="22"/>
        </w:rPr>
        <w:t xml:space="preserve">/hour).  </w:t>
      </w:r>
    </w:p>
    <w:p w:rsidR="007766EB" w:rsidRDefault="007766EB" w:rsidP="007766EB">
      <w:pPr>
        <w:rPr>
          <w:rFonts w:ascii="Arial" w:hAnsi="Arial" w:cs="Arial"/>
          <w:sz w:val="22"/>
          <w:szCs w:val="22"/>
        </w:rPr>
      </w:pPr>
    </w:p>
    <w:p w:rsidR="007766EB" w:rsidRPr="007334E7" w:rsidRDefault="007766EB" w:rsidP="007766EB">
      <w:pPr>
        <w:tabs>
          <w:tab w:val="left" w:pos="-1440"/>
        </w:tabs>
        <w:ind w:left="1440" w:hanging="720"/>
        <w:rPr>
          <w:rFonts w:ascii="Arial" w:hAnsi="Arial" w:cs="Arial"/>
          <w:sz w:val="22"/>
          <w:szCs w:val="22"/>
        </w:rPr>
      </w:pPr>
      <w:r w:rsidRPr="007334E7">
        <w:rPr>
          <w:rFonts w:ascii="Arial" w:hAnsi="Arial" w:cs="Arial"/>
          <w:sz w:val="22"/>
          <w:szCs w:val="22"/>
        </w:rPr>
        <w:t>14.</w:t>
      </w:r>
      <w:r w:rsidRPr="007334E7">
        <w:rPr>
          <w:rFonts w:ascii="Arial" w:hAnsi="Arial" w:cs="Arial"/>
          <w:sz w:val="22"/>
          <w:szCs w:val="22"/>
        </w:rPr>
        <w:tab/>
      </w:r>
      <w:r w:rsidRPr="007334E7">
        <w:rPr>
          <w:rFonts w:ascii="Arial" w:hAnsi="Arial" w:cs="Arial"/>
          <w:sz w:val="22"/>
          <w:szCs w:val="22"/>
          <w:u w:val="single"/>
        </w:rPr>
        <w:t>Estimated Annualized Burden to the Federal Government</w:t>
      </w:r>
    </w:p>
    <w:p w:rsidR="007766EB" w:rsidRDefault="007766EB" w:rsidP="007766EB">
      <w:pPr>
        <w:rPr>
          <w:rFonts w:ascii="Arial" w:hAnsi="Arial" w:cs="Arial"/>
          <w:sz w:val="22"/>
          <w:szCs w:val="22"/>
        </w:rPr>
      </w:pPr>
    </w:p>
    <w:p w:rsidR="007766EB" w:rsidRPr="007334E7" w:rsidRDefault="007766EB" w:rsidP="007766EB">
      <w:pPr>
        <w:ind w:left="1440"/>
        <w:rPr>
          <w:rFonts w:ascii="Arial" w:hAnsi="Arial" w:cs="Arial"/>
          <w:sz w:val="22"/>
          <w:szCs w:val="22"/>
        </w:rPr>
      </w:pPr>
      <w:r w:rsidRPr="007334E7">
        <w:rPr>
          <w:rFonts w:ascii="Arial" w:hAnsi="Arial" w:cs="Arial"/>
          <w:sz w:val="22"/>
          <w:szCs w:val="22"/>
        </w:rPr>
        <w:t>The NRC already performs maintenance inspections and maintenance evaluations.  10 CFR 50.65 strengthens the basis for the inspections and evaluations, but does not require additional inspection activities.  The focus of the NRC inspections has changed but the burden is not expected to change.  Therefore, there will be no increased burden to the Federal government for information collection activities related to 10 CFR 50.65.</w:t>
      </w:r>
    </w:p>
    <w:p w:rsidR="007766EB" w:rsidRPr="007334E7" w:rsidRDefault="007766EB" w:rsidP="007766EB">
      <w:pPr>
        <w:rPr>
          <w:rFonts w:ascii="Arial" w:hAnsi="Arial" w:cs="Arial"/>
          <w:sz w:val="22"/>
          <w:szCs w:val="22"/>
        </w:rPr>
      </w:pPr>
    </w:p>
    <w:p w:rsidR="007766EB" w:rsidRPr="0080117E" w:rsidRDefault="007766EB" w:rsidP="007766EB">
      <w:pPr>
        <w:ind w:left="1440"/>
        <w:rPr>
          <w:rFonts w:ascii="Arial" w:hAnsi="Arial" w:cs="Arial"/>
          <w:sz w:val="22"/>
          <w:szCs w:val="22"/>
        </w:rPr>
      </w:pPr>
      <w:r w:rsidRPr="007334E7">
        <w:rPr>
          <w:rFonts w:ascii="Arial" w:hAnsi="Arial" w:cs="Arial"/>
          <w:sz w:val="22"/>
          <w:szCs w:val="22"/>
        </w:rPr>
        <w:t xml:space="preserve">The annual cost to the government is associated with inspection and evaluation of maintenance activities at power reactor facilities. </w:t>
      </w:r>
      <w:r w:rsidRPr="002D490C">
        <w:rPr>
          <w:rFonts w:ascii="Arial" w:hAnsi="Arial" w:cs="Arial"/>
          <w:sz w:val="22"/>
          <w:szCs w:val="22"/>
        </w:rPr>
        <w:t xml:space="preserve"> Of the </w:t>
      </w:r>
      <w:r w:rsidRPr="002D490C">
        <w:rPr>
          <w:rFonts w:ascii="Arial" w:hAnsi="Arial"/>
          <w:sz w:val="22"/>
        </w:rPr>
        <w:t>104 licensed to operate nuclear power plants, during this clearance period, 6</w:t>
      </w:r>
      <w:r>
        <w:rPr>
          <w:rFonts w:ascii="Arial" w:hAnsi="Arial"/>
          <w:sz w:val="22"/>
        </w:rPr>
        <w:t>5</w:t>
      </w:r>
      <w:r w:rsidRPr="002D490C">
        <w:rPr>
          <w:rFonts w:ascii="Arial" w:hAnsi="Arial"/>
          <w:sz w:val="22"/>
        </w:rPr>
        <w:t xml:space="preserve"> </w:t>
      </w:r>
      <w:r w:rsidR="00A53ADC">
        <w:rPr>
          <w:rFonts w:ascii="Arial" w:hAnsi="Arial"/>
          <w:sz w:val="22"/>
        </w:rPr>
        <w:t xml:space="preserve">sites </w:t>
      </w:r>
      <w:r w:rsidRPr="002D490C">
        <w:rPr>
          <w:rFonts w:ascii="Arial" w:hAnsi="Arial"/>
          <w:sz w:val="22"/>
        </w:rPr>
        <w:t>are subject to inspection and evaluation of maintenance activities</w:t>
      </w:r>
      <w:r>
        <w:rPr>
          <w:rFonts w:ascii="Arial" w:hAnsi="Arial"/>
          <w:sz w:val="22"/>
        </w:rPr>
        <w:t xml:space="preserve">.  </w:t>
      </w:r>
      <w:r w:rsidRPr="007334E7">
        <w:rPr>
          <w:rFonts w:ascii="Arial" w:hAnsi="Arial" w:cs="Arial"/>
          <w:sz w:val="22"/>
          <w:szCs w:val="22"/>
        </w:rPr>
        <w:t>NRC estimates 510 hours per year for each of the 6</w:t>
      </w:r>
      <w:r>
        <w:rPr>
          <w:rFonts w:ascii="Arial" w:hAnsi="Arial" w:cs="Arial"/>
          <w:sz w:val="22"/>
          <w:szCs w:val="22"/>
        </w:rPr>
        <w:t>5</w:t>
      </w:r>
      <w:r w:rsidRPr="007334E7">
        <w:rPr>
          <w:rFonts w:ascii="Arial" w:hAnsi="Arial" w:cs="Arial"/>
          <w:sz w:val="22"/>
          <w:szCs w:val="22"/>
        </w:rPr>
        <w:t xml:space="preserve"> operating nuclear power reactor sites and 51 hours per year for each of the 1</w:t>
      </w:r>
      <w:r w:rsidR="00A53ADC">
        <w:rPr>
          <w:rFonts w:ascii="Arial" w:hAnsi="Arial" w:cs="Arial"/>
          <w:sz w:val="22"/>
          <w:szCs w:val="22"/>
        </w:rPr>
        <w:t>2</w:t>
      </w:r>
      <w:r w:rsidRPr="007334E7">
        <w:rPr>
          <w:rFonts w:ascii="Arial" w:hAnsi="Arial" w:cs="Arial"/>
          <w:sz w:val="22"/>
          <w:szCs w:val="22"/>
        </w:rPr>
        <w:t xml:space="preserve"> permanently shutdown power reactor plants for inspection and evaluation of maintenance activities.  Therefore, the burden estimated for this effort is </w:t>
      </w:r>
      <w:r>
        <w:rPr>
          <w:rFonts w:ascii="Arial" w:hAnsi="Arial" w:cs="Arial"/>
          <w:sz w:val="22"/>
          <w:szCs w:val="22"/>
        </w:rPr>
        <w:t>33,</w:t>
      </w:r>
      <w:r w:rsidR="00A53ADC">
        <w:rPr>
          <w:rFonts w:ascii="Arial" w:hAnsi="Arial" w:cs="Arial"/>
          <w:sz w:val="22"/>
          <w:szCs w:val="22"/>
        </w:rPr>
        <w:t>762</w:t>
      </w:r>
      <w:r w:rsidRPr="0080117E">
        <w:rPr>
          <w:rFonts w:ascii="Arial" w:hAnsi="Arial" w:cs="Arial"/>
          <w:sz w:val="22"/>
          <w:szCs w:val="22"/>
        </w:rPr>
        <w:t xml:space="preserve"> hours (510 x 6</w:t>
      </w:r>
      <w:r>
        <w:rPr>
          <w:rFonts w:ascii="Arial" w:hAnsi="Arial" w:cs="Arial"/>
          <w:sz w:val="22"/>
          <w:szCs w:val="22"/>
        </w:rPr>
        <w:t>5</w:t>
      </w:r>
      <w:r w:rsidRPr="0080117E">
        <w:rPr>
          <w:rFonts w:ascii="Arial" w:hAnsi="Arial" w:cs="Arial"/>
          <w:sz w:val="22"/>
          <w:szCs w:val="22"/>
        </w:rPr>
        <w:t xml:space="preserve"> sites + 51 x 1</w:t>
      </w:r>
      <w:r w:rsidR="00A53ADC">
        <w:rPr>
          <w:rFonts w:ascii="Arial" w:hAnsi="Arial" w:cs="Arial"/>
          <w:sz w:val="22"/>
          <w:szCs w:val="22"/>
        </w:rPr>
        <w:t>2</w:t>
      </w:r>
      <w:r w:rsidRPr="0080117E">
        <w:rPr>
          <w:rFonts w:ascii="Arial" w:hAnsi="Arial" w:cs="Arial"/>
          <w:sz w:val="22"/>
          <w:szCs w:val="22"/>
        </w:rPr>
        <w:t xml:space="preserve"> plants), at a cost of $</w:t>
      </w:r>
      <w:r w:rsidR="00A53ADC">
        <w:rPr>
          <w:rFonts w:ascii="Arial" w:hAnsi="Arial" w:cs="Arial"/>
          <w:sz w:val="22"/>
          <w:szCs w:val="22"/>
        </w:rPr>
        <w:t>9</w:t>
      </w:r>
      <w:r w:rsidRPr="0080117E">
        <w:rPr>
          <w:rFonts w:ascii="Arial" w:hAnsi="Arial" w:cs="Arial"/>
          <w:sz w:val="22"/>
          <w:szCs w:val="22"/>
        </w:rPr>
        <w:t>,</w:t>
      </w:r>
      <w:r w:rsidR="00A53ADC">
        <w:rPr>
          <w:rFonts w:ascii="Arial" w:hAnsi="Arial" w:cs="Arial"/>
          <w:sz w:val="22"/>
          <w:szCs w:val="22"/>
        </w:rPr>
        <w:t>250</w:t>
      </w:r>
      <w:r>
        <w:rPr>
          <w:rFonts w:ascii="Arial" w:hAnsi="Arial" w:cs="Arial"/>
          <w:sz w:val="22"/>
          <w:szCs w:val="22"/>
        </w:rPr>
        <w:t>,</w:t>
      </w:r>
      <w:r w:rsidR="00A53ADC">
        <w:rPr>
          <w:rFonts w:ascii="Arial" w:hAnsi="Arial" w:cs="Arial"/>
          <w:sz w:val="22"/>
          <w:szCs w:val="22"/>
        </w:rPr>
        <w:t>788</w:t>
      </w:r>
      <w:r w:rsidRPr="0080117E">
        <w:rPr>
          <w:rFonts w:ascii="Arial" w:hAnsi="Arial" w:cs="Arial"/>
          <w:sz w:val="22"/>
          <w:szCs w:val="22"/>
        </w:rPr>
        <w:t xml:space="preserve"> (</w:t>
      </w:r>
      <w:r w:rsidR="00A53ADC">
        <w:rPr>
          <w:rFonts w:ascii="Arial" w:hAnsi="Arial" w:cs="Arial"/>
          <w:sz w:val="22"/>
          <w:szCs w:val="22"/>
        </w:rPr>
        <w:t>33,762</w:t>
      </w:r>
      <w:r w:rsidR="00A53ADC" w:rsidRPr="0080117E">
        <w:rPr>
          <w:rFonts w:ascii="Arial" w:hAnsi="Arial" w:cs="Arial"/>
          <w:sz w:val="22"/>
          <w:szCs w:val="22"/>
        </w:rPr>
        <w:t xml:space="preserve"> </w:t>
      </w:r>
      <w:r w:rsidRPr="0080117E">
        <w:rPr>
          <w:rFonts w:ascii="Arial" w:hAnsi="Arial" w:cs="Arial"/>
          <w:sz w:val="22"/>
          <w:szCs w:val="22"/>
        </w:rPr>
        <w:t>hours x $2</w:t>
      </w:r>
      <w:r w:rsidR="00A53ADC">
        <w:rPr>
          <w:rFonts w:ascii="Arial" w:hAnsi="Arial" w:cs="Arial"/>
          <w:sz w:val="22"/>
          <w:szCs w:val="22"/>
        </w:rPr>
        <w:t>74</w:t>
      </w:r>
      <w:r w:rsidRPr="0080117E">
        <w:rPr>
          <w:rFonts w:ascii="Arial" w:hAnsi="Arial" w:cs="Arial"/>
          <w:sz w:val="22"/>
          <w:szCs w:val="22"/>
        </w:rPr>
        <w:t>).</w:t>
      </w:r>
    </w:p>
    <w:p w:rsidR="007766EB" w:rsidRPr="0080117E" w:rsidRDefault="007766EB" w:rsidP="007766EB">
      <w:pPr>
        <w:rPr>
          <w:rFonts w:ascii="Arial" w:hAnsi="Arial" w:cs="Arial"/>
          <w:sz w:val="22"/>
          <w:szCs w:val="22"/>
        </w:rPr>
      </w:pPr>
    </w:p>
    <w:p w:rsidR="007766EB" w:rsidRPr="0080117E" w:rsidRDefault="007766EB" w:rsidP="007766EB">
      <w:pPr>
        <w:ind w:left="1440"/>
        <w:rPr>
          <w:rFonts w:ascii="Arial" w:hAnsi="Arial" w:cs="Arial"/>
          <w:sz w:val="22"/>
          <w:szCs w:val="22"/>
        </w:rPr>
      </w:pPr>
      <w:r w:rsidRPr="0080117E">
        <w:rPr>
          <w:rFonts w:ascii="Arial" w:hAnsi="Arial" w:cs="Arial"/>
          <w:sz w:val="22"/>
          <w:szCs w:val="22"/>
        </w:rPr>
        <w:t xml:space="preserve">The cost is fully recovered by fee assessments </w:t>
      </w:r>
      <w:r w:rsidR="004958C1">
        <w:rPr>
          <w:rFonts w:ascii="Arial" w:hAnsi="Arial" w:cs="Arial"/>
          <w:sz w:val="22"/>
          <w:szCs w:val="22"/>
        </w:rPr>
        <w:t>to NRC licensees pursuant to 10 </w:t>
      </w:r>
      <w:r w:rsidRPr="0080117E">
        <w:rPr>
          <w:rFonts w:ascii="Arial" w:hAnsi="Arial" w:cs="Arial"/>
          <w:sz w:val="22"/>
          <w:szCs w:val="22"/>
        </w:rPr>
        <w:t>CFR 170 and/or 171.</w:t>
      </w:r>
    </w:p>
    <w:p w:rsidR="007766EB" w:rsidRPr="0080117E" w:rsidRDefault="007766EB" w:rsidP="007766EB">
      <w:pPr>
        <w:rPr>
          <w:rFonts w:ascii="Arial" w:hAnsi="Arial" w:cs="Arial"/>
          <w:sz w:val="22"/>
          <w:szCs w:val="22"/>
        </w:rPr>
      </w:pPr>
    </w:p>
    <w:p w:rsidR="007766EB" w:rsidRPr="0080117E" w:rsidRDefault="007766EB" w:rsidP="007766EB">
      <w:pPr>
        <w:tabs>
          <w:tab w:val="left" w:pos="-1440"/>
        </w:tabs>
        <w:ind w:left="1440" w:hanging="720"/>
        <w:rPr>
          <w:rFonts w:ascii="Arial" w:hAnsi="Arial" w:cs="Arial"/>
          <w:sz w:val="22"/>
          <w:szCs w:val="22"/>
        </w:rPr>
      </w:pPr>
      <w:r w:rsidRPr="0080117E">
        <w:rPr>
          <w:rFonts w:ascii="Arial" w:hAnsi="Arial" w:cs="Arial"/>
          <w:sz w:val="22"/>
          <w:szCs w:val="22"/>
        </w:rPr>
        <w:t>15.</w:t>
      </w:r>
      <w:r w:rsidRPr="0080117E">
        <w:rPr>
          <w:rFonts w:ascii="Arial" w:hAnsi="Arial" w:cs="Arial"/>
          <w:sz w:val="22"/>
          <w:szCs w:val="22"/>
        </w:rPr>
        <w:tab/>
      </w:r>
      <w:r w:rsidRPr="0080117E">
        <w:rPr>
          <w:rFonts w:ascii="Arial" w:hAnsi="Arial" w:cs="Arial"/>
          <w:sz w:val="22"/>
          <w:szCs w:val="22"/>
          <w:u w:val="single"/>
        </w:rPr>
        <w:t>Reasons for Changes in Burden and Cost</w:t>
      </w:r>
    </w:p>
    <w:p w:rsidR="007766EB" w:rsidRPr="0080117E" w:rsidRDefault="007766EB" w:rsidP="007766EB">
      <w:pPr>
        <w:rPr>
          <w:rFonts w:ascii="Arial" w:hAnsi="Arial" w:cs="Arial"/>
          <w:sz w:val="22"/>
          <w:szCs w:val="22"/>
        </w:rPr>
      </w:pPr>
    </w:p>
    <w:p w:rsidR="00A53ADC" w:rsidRDefault="007766EB" w:rsidP="00A53ADC">
      <w:pPr>
        <w:ind w:left="1440"/>
        <w:rPr>
          <w:rFonts w:ascii="Arial" w:hAnsi="Arial" w:cs="Arial"/>
          <w:sz w:val="22"/>
          <w:szCs w:val="22"/>
        </w:rPr>
      </w:pPr>
      <w:r w:rsidRPr="0080117E">
        <w:rPr>
          <w:rFonts w:ascii="Arial" w:hAnsi="Arial" w:cs="Arial"/>
          <w:sz w:val="22"/>
          <w:szCs w:val="22"/>
        </w:rPr>
        <w:t xml:space="preserve">The overall burden has decreased </w:t>
      </w:r>
      <w:r>
        <w:rPr>
          <w:rFonts w:ascii="Arial" w:hAnsi="Arial" w:cs="Arial"/>
          <w:sz w:val="22"/>
          <w:szCs w:val="22"/>
        </w:rPr>
        <w:t xml:space="preserve">by </w:t>
      </w:r>
      <w:r w:rsidR="0079111E">
        <w:rPr>
          <w:rFonts w:ascii="Arial" w:hAnsi="Arial" w:cs="Arial"/>
          <w:sz w:val="22"/>
          <w:szCs w:val="22"/>
        </w:rPr>
        <w:t>256</w:t>
      </w:r>
      <w:r>
        <w:rPr>
          <w:rFonts w:ascii="Arial" w:hAnsi="Arial" w:cs="Arial"/>
          <w:sz w:val="22"/>
          <w:szCs w:val="22"/>
        </w:rPr>
        <w:t xml:space="preserve"> hours, </w:t>
      </w:r>
      <w:r w:rsidRPr="0080117E">
        <w:rPr>
          <w:rFonts w:ascii="Arial" w:hAnsi="Arial" w:cs="Arial"/>
          <w:sz w:val="22"/>
          <w:szCs w:val="22"/>
        </w:rPr>
        <w:t xml:space="preserve">from </w:t>
      </w:r>
      <w:r w:rsidR="0079111E" w:rsidRPr="0080117E">
        <w:rPr>
          <w:rFonts w:ascii="Arial" w:hAnsi="Arial" w:cs="Arial"/>
          <w:sz w:val="22"/>
          <w:szCs w:val="22"/>
        </w:rPr>
        <w:t>448,</w:t>
      </w:r>
      <w:r w:rsidR="0079111E">
        <w:rPr>
          <w:rFonts w:ascii="Arial" w:hAnsi="Arial" w:cs="Arial"/>
          <w:sz w:val="22"/>
          <w:szCs w:val="22"/>
        </w:rPr>
        <w:t xml:space="preserve">647 </w:t>
      </w:r>
      <w:r w:rsidRPr="0080117E">
        <w:rPr>
          <w:rFonts w:ascii="Arial" w:hAnsi="Arial" w:cs="Arial"/>
          <w:sz w:val="22"/>
          <w:szCs w:val="22"/>
        </w:rPr>
        <w:t xml:space="preserve">hours to </w:t>
      </w:r>
      <w:r w:rsidR="0079111E" w:rsidRPr="007334E7">
        <w:rPr>
          <w:rFonts w:ascii="Arial" w:hAnsi="Arial" w:cs="Arial"/>
          <w:sz w:val="22"/>
          <w:szCs w:val="22"/>
        </w:rPr>
        <w:t>448,</w:t>
      </w:r>
      <w:r w:rsidR="0079111E">
        <w:rPr>
          <w:rFonts w:ascii="Arial" w:hAnsi="Arial" w:cs="Arial"/>
          <w:sz w:val="22"/>
          <w:szCs w:val="22"/>
        </w:rPr>
        <w:t>391</w:t>
      </w:r>
      <w:r w:rsidRPr="009274D9">
        <w:rPr>
          <w:rFonts w:ascii="Arial" w:hAnsi="Arial" w:cs="Arial"/>
          <w:sz w:val="22"/>
          <w:szCs w:val="22"/>
        </w:rPr>
        <w:t>.  As</w:t>
      </w:r>
      <w:r w:rsidRPr="0080117E">
        <w:rPr>
          <w:rFonts w:ascii="Arial" w:hAnsi="Arial" w:cs="Arial"/>
          <w:sz w:val="22"/>
          <w:szCs w:val="22"/>
        </w:rPr>
        <w:t xml:space="preserve"> a result of </w:t>
      </w:r>
      <w:r w:rsidR="004958C1">
        <w:rPr>
          <w:rFonts w:ascii="Arial" w:hAnsi="Arial" w:cs="Arial"/>
          <w:sz w:val="22"/>
          <w:szCs w:val="22"/>
        </w:rPr>
        <w:t>two</w:t>
      </w:r>
      <w:r w:rsidRPr="0080117E">
        <w:rPr>
          <w:rFonts w:ascii="Arial" w:hAnsi="Arial" w:cs="Arial"/>
          <w:sz w:val="22"/>
          <w:szCs w:val="22"/>
        </w:rPr>
        <w:t xml:space="preserve"> plant</w:t>
      </w:r>
      <w:r w:rsidR="004958C1">
        <w:rPr>
          <w:rFonts w:ascii="Arial" w:hAnsi="Arial" w:cs="Arial"/>
          <w:sz w:val="22"/>
          <w:szCs w:val="22"/>
        </w:rPr>
        <w:t>s</w:t>
      </w:r>
      <w:r w:rsidRPr="0080117E">
        <w:rPr>
          <w:rFonts w:ascii="Arial" w:hAnsi="Arial" w:cs="Arial"/>
          <w:sz w:val="22"/>
          <w:szCs w:val="22"/>
        </w:rPr>
        <w:t xml:space="preserve"> completing decommission</w:t>
      </w:r>
      <w:r w:rsidR="004958C1">
        <w:rPr>
          <w:rFonts w:ascii="Arial" w:hAnsi="Arial" w:cs="Arial"/>
          <w:sz w:val="22"/>
          <w:szCs w:val="22"/>
        </w:rPr>
        <w:t>ing</w:t>
      </w:r>
      <w:r>
        <w:rPr>
          <w:rFonts w:ascii="Arial" w:hAnsi="Arial" w:cs="Arial"/>
          <w:sz w:val="22"/>
          <w:szCs w:val="22"/>
        </w:rPr>
        <w:t>, their license</w:t>
      </w:r>
      <w:r w:rsidRPr="00137E34">
        <w:rPr>
          <w:rFonts w:ascii="Arial" w:hAnsi="Arial" w:cs="Arial"/>
          <w:sz w:val="22"/>
          <w:szCs w:val="22"/>
        </w:rPr>
        <w:t xml:space="preserve"> </w:t>
      </w:r>
      <w:r>
        <w:rPr>
          <w:rFonts w:ascii="Arial" w:hAnsi="Arial" w:cs="Arial"/>
          <w:sz w:val="22"/>
          <w:szCs w:val="22"/>
        </w:rPr>
        <w:t xml:space="preserve">has been </w:t>
      </w:r>
      <w:r w:rsidRPr="00137E34">
        <w:rPr>
          <w:rFonts w:ascii="Arial" w:hAnsi="Arial" w:cs="Arial"/>
          <w:sz w:val="22"/>
          <w:szCs w:val="22"/>
        </w:rPr>
        <w:t xml:space="preserve">terminated </w:t>
      </w:r>
      <w:r>
        <w:rPr>
          <w:rFonts w:ascii="Arial" w:hAnsi="Arial" w:cs="Arial"/>
          <w:sz w:val="22"/>
          <w:szCs w:val="22"/>
        </w:rPr>
        <w:t>a</w:t>
      </w:r>
      <w:r w:rsidRPr="00137E34">
        <w:rPr>
          <w:rFonts w:ascii="Arial" w:hAnsi="Arial" w:cs="Arial"/>
          <w:sz w:val="22"/>
          <w:szCs w:val="22"/>
        </w:rPr>
        <w:t xml:space="preserve">nd </w:t>
      </w:r>
      <w:r>
        <w:rPr>
          <w:rFonts w:ascii="Arial" w:hAnsi="Arial" w:cs="Arial"/>
          <w:sz w:val="22"/>
          <w:szCs w:val="22"/>
        </w:rPr>
        <w:t xml:space="preserve">the facility </w:t>
      </w:r>
      <w:r w:rsidRPr="00137E34">
        <w:rPr>
          <w:rFonts w:ascii="Arial" w:hAnsi="Arial" w:cs="Arial"/>
          <w:sz w:val="22"/>
          <w:szCs w:val="22"/>
        </w:rPr>
        <w:t>no longer fall</w:t>
      </w:r>
      <w:r>
        <w:rPr>
          <w:rFonts w:ascii="Arial" w:hAnsi="Arial" w:cs="Arial"/>
          <w:sz w:val="22"/>
          <w:szCs w:val="22"/>
        </w:rPr>
        <w:t>s</w:t>
      </w:r>
      <w:r w:rsidRPr="00137E34">
        <w:rPr>
          <w:rFonts w:ascii="Arial" w:hAnsi="Arial" w:cs="Arial"/>
          <w:sz w:val="22"/>
          <w:szCs w:val="22"/>
        </w:rPr>
        <w:t xml:space="preserve"> under </w:t>
      </w:r>
      <w:r>
        <w:rPr>
          <w:rFonts w:ascii="Arial" w:hAnsi="Arial" w:cs="Arial"/>
          <w:sz w:val="22"/>
          <w:szCs w:val="22"/>
        </w:rPr>
        <w:t xml:space="preserve">NRC </w:t>
      </w:r>
      <w:r w:rsidRPr="00137E34">
        <w:rPr>
          <w:rFonts w:ascii="Arial" w:hAnsi="Arial" w:cs="Arial"/>
          <w:sz w:val="22"/>
          <w:szCs w:val="22"/>
        </w:rPr>
        <w:t>regulatory purview</w:t>
      </w:r>
      <w:r>
        <w:rPr>
          <w:rFonts w:ascii="Arial" w:hAnsi="Arial" w:cs="Arial"/>
          <w:sz w:val="22"/>
          <w:szCs w:val="22"/>
        </w:rPr>
        <w:t xml:space="preserve">, </w:t>
      </w:r>
      <w:r w:rsidRPr="007334E7">
        <w:rPr>
          <w:rFonts w:ascii="Arial" w:hAnsi="Arial" w:cs="Arial"/>
          <w:sz w:val="22"/>
          <w:szCs w:val="22"/>
        </w:rPr>
        <w:t>10</w:t>
      </w:r>
      <w:r w:rsidR="004958C1">
        <w:rPr>
          <w:rFonts w:ascii="Arial" w:hAnsi="Arial" w:cs="Arial"/>
          <w:sz w:val="22"/>
          <w:szCs w:val="22"/>
        </w:rPr>
        <w:t> </w:t>
      </w:r>
      <w:r w:rsidRPr="007334E7">
        <w:rPr>
          <w:rFonts w:ascii="Arial" w:hAnsi="Arial" w:cs="Arial"/>
          <w:sz w:val="22"/>
          <w:szCs w:val="22"/>
        </w:rPr>
        <w:t>CFR</w:t>
      </w:r>
      <w:r w:rsidR="004958C1">
        <w:rPr>
          <w:rFonts w:ascii="Arial" w:hAnsi="Arial" w:cs="Arial"/>
          <w:sz w:val="22"/>
          <w:szCs w:val="22"/>
        </w:rPr>
        <w:t> </w:t>
      </w:r>
      <w:r w:rsidRPr="007334E7">
        <w:rPr>
          <w:rFonts w:ascii="Arial" w:hAnsi="Arial" w:cs="Arial"/>
          <w:sz w:val="22"/>
          <w:szCs w:val="22"/>
        </w:rPr>
        <w:t xml:space="preserve">50.65 </w:t>
      </w:r>
      <w:r>
        <w:rPr>
          <w:rFonts w:ascii="Arial" w:hAnsi="Arial" w:cs="Arial"/>
          <w:sz w:val="22"/>
          <w:szCs w:val="22"/>
        </w:rPr>
        <w:t xml:space="preserve">no longer applies, </w:t>
      </w:r>
      <w:r w:rsidRPr="0080117E">
        <w:rPr>
          <w:rFonts w:ascii="Arial" w:hAnsi="Arial" w:cs="Arial"/>
          <w:sz w:val="22"/>
          <w:szCs w:val="22"/>
        </w:rPr>
        <w:t>thus decreasing the number of permanently shutdown plants from 1</w:t>
      </w:r>
      <w:r w:rsidR="0079111E">
        <w:rPr>
          <w:rFonts w:ascii="Arial" w:hAnsi="Arial" w:cs="Arial"/>
          <w:sz w:val="22"/>
          <w:szCs w:val="22"/>
        </w:rPr>
        <w:t>4</w:t>
      </w:r>
      <w:r w:rsidRPr="0080117E">
        <w:rPr>
          <w:rFonts w:ascii="Arial" w:hAnsi="Arial" w:cs="Arial"/>
          <w:sz w:val="22"/>
          <w:szCs w:val="22"/>
        </w:rPr>
        <w:t xml:space="preserve"> to 1</w:t>
      </w:r>
      <w:r w:rsidR="0079111E">
        <w:rPr>
          <w:rFonts w:ascii="Arial" w:hAnsi="Arial" w:cs="Arial"/>
          <w:sz w:val="22"/>
          <w:szCs w:val="22"/>
        </w:rPr>
        <w:t>2</w:t>
      </w:r>
      <w:r>
        <w:rPr>
          <w:rFonts w:ascii="Arial" w:hAnsi="Arial" w:cs="Arial"/>
          <w:sz w:val="22"/>
          <w:szCs w:val="22"/>
        </w:rPr>
        <w:t xml:space="preserve">.  </w:t>
      </w:r>
      <w:r w:rsidRPr="0080117E">
        <w:rPr>
          <w:rFonts w:ascii="Arial" w:hAnsi="Arial" w:cs="Arial"/>
          <w:sz w:val="22"/>
          <w:szCs w:val="22"/>
        </w:rPr>
        <w:t xml:space="preserve">The total industry cost increased from </w:t>
      </w:r>
      <w:r w:rsidRPr="0080117E">
        <w:rPr>
          <w:rFonts w:ascii="Arial" w:hAnsi="Arial" w:cs="Arial"/>
          <w:sz w:val="22"/>
          <w:szCs w:val="22"/>
        </w:rPr>
        <w:lastRenderedPageBreak/>
        <w:t>$</w:t>
      </w:r>
      <w:r w:rsidR="0079111E" w:rsidRPr="0080117E">
        <w:rPr>
          <w:rFonts w:ascii="Arial" w:hAnsi="Arial" w:cs="Arial"/>
          <w:sz w:val="22"/>
          <w:szCs w:val="22"/>
        </w:rPr>
        <w:t>115,</w:t>
      </w:r>
      <w:r w:rsidR="0079111E">
        <w:rPr>
          <w:rFonts w:ascii="Arial" w:hAnsi="Arial" w:cs="Arial"/>
          <w:sz w:val="22"/>
          <w:szCs w:val="22"/>
        </w:rPr>
        <w:t>302,279</w:t>
      </w:r>
      <w:r w:rsidR="0079111E" w:rsidRPr="0080117E">
        <w:rPr>
          <w:rFonts w:ascii="Arial" w:hAnsi="Arial" w:cs="Arial"/>
          <w:sz w:val="22"/>
          <w:szCs w:val="22"/>
        </w:rPr>
        <w:t xml:space="preserve"> </w:t>
      </w:r>
      <w:r w:rsidRPr="0080117E">
        <w:rPr>
          <w:rFonts w:ascii="Arial" w:hAnsi="Arial" w:cs="Arial"/>
          <w:sz w:val="22"/>
          <w:szCs w:val="22"/>
        </w:rPr>
        <w:t>to $</w:t>
      </w:r>
      <w:r w:rsidR="0079111E" w:rsidRPr="0080117E">
        <w:rPr>
          <w:rFonts w:ascii="Arial" w:hAnsi="Arial" w:cs="Arial"/>
          <w:sz w:val="22"/>
          <w:szCs w:val="22"/>
        </w:rPr>
        <w:t>1</w:t>
      </w:r>
      <w:r w:rsidR="0079111E">
        <w:rPr>
          <w:rFonts w:ascii="Arial" w:hAnsi="Arial" w:cs="Arial"/>
          <w:sz w:val="22"/>
          <w:szCs w:val="22"/>
        </w:rPr>
        <w:t>22</w:t>
      </w:r>
      <w:r w:rsidR="0079111E" w:rsidRPr="0080117E">
        <w:rPr>
          <w:rFonts w:ascii="Arial" w:hAnsi="Arial" w:cs="Arial"/>
          <w:sz w:val="22"/>
          <w:szCs w:val="22"/>
        </w:rPr>
        <w:t>,</w:t>
      </w:r>
      <w:r w:rsidR="0079111E">
        <w:rPr>
          <w:rFonts w:ascii="Arial" w:hAnsi="Arial" w:cs="Arial"/>
          <w:sz w:val="22"/>
          <w:szCs w:val="22"/>
        </w:rPr>
        <w:t>859,134</w:t>
      </w:r>
      <w:r w:rsidR="0079111E" w:rsidRPr="0080117E">
        <w:rPr>
          <w:rFonts w:ascii="Arial" w:hAnsi="Arial" w:cs="Arial"/>
          <w:sz w:val="22"/>
          <w:szCs w:val="22"/>
        </w:rPr>
        <w:t xml:space="preserve"> </w:t>
      </w:r>
      <w:r w:rsidRPr="0080117E">
        <w:rPr>
          <w:rFonts w:ascii="Arial" w:hAnsi="Arial" w:cs="Arial"/>
          <w:sz w:val="22"/>
          <w:szCs w:val="22"/>
        </w:rPr>
        <w:t>due to the increase in hourly costs, from $2</w:t>
      </w:r>
      <w:r w:rsidR="0079111E">
        <w:rPr>
          <w:rFonts w:ascii="Arial" w:hAnsi="Arial" w:cs="Arial"/>
          <w:sz w:val="22"/>
          <w:szCs w:val="22"/>
        </w:rPr>
        <w:t>57</w:t>
      </w:r>
      <w:r w:rsidRPr="0080117E">
        <w:rPr>
          <w:rFonts w:ascii="Arial" w:hAnsi="Arial" w:cs="Arial"/>
          <w:sz w:val="22"/>
          <w:szCs w:val="22"/>
        </w:rPr>
        <w:t xml:space="preserve"> per hour to $2</w:t>
      </w:r>
      <w:r w:rsidR="0079111E">
        <w:rPr>
          <w:rFonts w:ascii="Arial" w:hAnsi="Arial" w:cs="Arial"/>
          <w:sz w:val="22"/>
          <w:szCs w:val="22"/>
        </w:rPr>
        <w:t>74</w:t>
      </w:r>
      <w:r w:rsidRPr="0080117E">
        <w:rPr>
          <w:rFonts w:ascii="Arial" w:hAnsi="Arial" w:cs="Arial"/>
          <w:sz w:val="22"/>
          <w:szCs w:val="22"/>
        </w:rPr>
        <w:t xml:space="preserve"> per hour.</w:t>
      </w:r>
    </w:p>
    <w:p w:rsidR="007766EB" w:rsidRPr="0080117E" w:rsidRDefault="007766EB" w:rsidP="0079111E">
      <w:pPr>
        <w:rPr>
          <w:rFonts w:ascii="Arial" w:hAnsi="Arial" w:cs="Arial"/>
          <w:sz w:val="22"/>
          <w:szCs w:val="22"/>
        </w:rPr>
      </w:pPr>
    </w:p>
    <w:p w:rsidR="007766EB" w:rsidRPr="007334E7" w:rsidRDefault="007766EB" w:rsidP="007766EB">
      <w:pPr>
        <w:tabs>
          <w:tab w:val="left" w:pos="-1440"/>
        </w:tabs>
        <w:ind w:left="1440" w:hanging="720"/>
        <w:rPr>
          <w:rFonts w:ascii="Arial" w:hAnsi="Arial" w:cs="Arial"/>
          <w:sz w:val="22"/>
          <w:szCs w:val="22"/>
        </w:rPr>
      </w:pPr>
      <w:r w:rsidRPr="007334E7">
        <w:rPr>
          <w:rFonts w:ascii="Arial" w:hAnsi="Arial" w:cs="Arial"/>
          <w:sz w:val="22"/>
          <w:szCs w:val="22"/>
        </w:rPr>
        <w:t>16.</w:t>
      </w:r>
      <w:r w:rsidRPr="007334E7">
        <w:rPr>
          <w:rFonts w:ascii="Arial" w:hAnsi="Arial" w:cs="Arial"/>
          <w:sz w:val="22"/>
          <w:szCs w:val="22"/>
        </w:rPr>
        <w:tab/>
      </w:r>
      <w:r w:rsidRPr="007334E7">
        <w:rPr>
          <w:rFonts w:ascii="Arial" w:hAnsi="Arial" w:cs="Arial"/>
          <w:sz w:val="22"/>
          <w:szCs w:val="22"/>
          <w:u w:val="single"/>
        </w:rPr>
        <w:t>Publication for Statistical Use</w:t>
      </w:r>
    </w:p>
    <w:p w:rsidR="007766EB" w:rsidRPr="007334E7" w:rsidRDefault="007766EB" w:rsidP="007766EB">
      <w:pPr>
        <w:rPr>
          <w:rFonts w:ascii="Arial" w:hAnsi="Arial" w:cs="Arial"/>
          <w:sz w:val="22"/>
          <w:szCs w:val="22"/>
        </w:rPr>
      </w:pPr>
    </w:p>
    <w:p w:rsidR="007766EB" w:rsidRDefault="007766EB" w:rsidP="007766EB">
      <w:pPr>
        <w:ind w:left="1440"/>
        <w:rPr>
          <w:rFonts w:ascii="Arial" w:hAnsi="Arial" w:cs="Arial"/>
          <w:sz w:val="22"/>
          <w:szCs w:val="22"/>
        </w:rPr>
      </w:pPr>
      <w:r w:rsidRPr="007334E7">
        <w:rPr>
          <w:rFonts w:ascii="Arial" w:hAnsi="Arial" w:cs="Arial"/>
          <w:sz w:val="22"/>
          <w:szCs w:val="22"/>
        </w:rPr>
        <w:t>There will be no publication by the NRC of collected information for statistical use.</w:t>
      </w:r>
    </w:p>
    <w:p w:rsidR="00742D24" w:rsidRPr="007334E7" w:rsidRDefault="00742D24" w:rsidP="007766EB">
      <w:pPr>
        <w:ind w:left="1440"/>
        <w:rPr>
          <w:rFonts w:ascii="Arial" w:hAnsi="Arial" w:cs="Arial"/>
          <w:sz w:val="22"/>
          <w:szCs w:val="22"/>
        </w:rPr>
      </w:pPr>
    </w:p>
    <w:p w:rsidR="007766EB" w:rsidRPr="007334E7" w:rsidRDefault="004958C1" w:rsidP="00742D24">
      <w:pPr>
        <w:rPr>
          <w:rFonts w:ascii="Arial" w:hAnsi="Arial" w:cs="Arial"/>
          <w:sz w:val="22"/>
          <w:szCs w:val="22"/>
        </w:rPr>
      </w:pPr>
      <w:r>
        <w:rPr>
          <w:rFonts w:ascii="Arial" w:hAnsi="Arial" w:cs="Arial"/>
          <w:sz w:val="22"/>
          <w:szCs w:val="22"/>
        </w:rPr>
        <w:tab/>
      </w:r>
      <w:r w:rsidR="007766EB" w:rsidRPr="007334E7">
        <w:rPr>
          <w:rFonts w:ascii="Arial" w:hAnsi="Arial" w:cs="Arial"/>
          <w:sz w:val="22"/>
          <w:szCs w:val="22"/>
        </w:rPr>
        <w:t>17.</w:t>
      </w:r>
      <w:r w:rsidR="007766EB" w:rsidRPr="007334E7">
        <w:rPr>
          <w:rFonts w:ascii="Arial" w:hAnsi="Arial" w:cs="Arial"/>
          <w:sz w:val="22"/>
          <w:szCs w:val="22"/>
        </w:rPr>
        <w:tab/>
      </w:r>
      <w:r w:rsidR="007766EB" w:rsidRPr="007334E7">
        <w:rPr>
          <w:rFonts w:ascii="Arial" w:hAnsi="Arial" w:cs="Arial"/>
          <w:sz w:val="22"/>
          <w:szCs w:val="22"/>
          <w:u w:val="single"/>
        </w:rPr>
        <w:t>Reason for Not Displaying the Expiration Date</w:t>
      </w:r>
    </w:p>
    <w:p w:rsidR="007766EB" w:rsidRPr="007334E7" w:rsidRDefault="007766EB" w:rsidP="007766EB">
      <w:pPr>
        <w:rPr>
          <w:rFonts w:ascii="Arial" w:hAnsi="Arial" w:cs="Arial"/>
          <w:sz w:val="22"/>
          <w:szCs w:val="22"/>
        </w:rPr>
      </w:pPr>
    </w:p>
    <w:p w:rsidR="007766EB" w:rsidRPr="007334E7" w:rsidRDefault="007766EB" w:rsidP="007766EB">
      <w:pPr>
        <w:ind w:left="1440"/>
        <w:rPr>
          <w:rFonts w:ascii="Arial" w:hAnsi="Arial" w:cs="Arial"/>
          <w:sz w:val="22"/>
          <w:szCs w:val="22"/>
        </w:rPr>
      </w:pPr>
      <w:r w:rsidRPr="007334E7">
        <w:rPr>
          <w:rFonts w:ascii="Arial" w:hAnsi="Arial" w:cs="Arial"/>
          <w:sz w:val="22"/>
          <w:szCs w:val="22"/>
        </w:rPr>
        <w:t xml:space="preserve">The requirement is contained in a regulation.  Amending the </w:t>
      </w:r>
      <w:r w:rsidR="002B77AC">
        <w:rPr>
          <w:rFonts w:ascii="Arial" w:hAnsi="Arial" w:cs="Arial"/>
          <w:sz w:val="22"/>
          <w:szCs w:val="22"/>
        </w:rPr>
        <w:t>CFR</w:t>
      </w:r>
      <w:r w:rsidRPr="007334E7">
        <w:rPr>
          <w:rFonts w:ascii="Arial" w:hAnsi="Arial" w:cs="Arial"/>
          <w:sz w:val="22"/>
          <w:szCs w:val="22"/>
        </w:rPr>
        <w:t xml:space="preserve"> to display information that, in an annual publication, could become obsolete would be unduly burdensome and too difficult to keep current.</w:t>
      </w:r>
    </w:p>
    <w:p w:rsidR="007766EB" w:rsidRPr="007334E7" w:rsidRDefault="007766EB" w:rsidP="007766EB">
      <w:pPr>
        <w:rPr>
          <w:rFonts w:ascii="Arial" w:hAnsi="Arial" w:cs="Arial"/>
          <w:sz w:val="22"/>
          <w:szCs w:val="22"/>
        </w:rPr>
      </w:pPr>
    </w:p>
    <w:p w:rsidR="007766EB" w:rsidRPr="007334E7" w:rsidRDefault="007766EB" w:rsidP="007766EB">
      <w:pPr>
        <w:tabs>
          <w:tab w:val="left" w:pos="-1440"/>
        </w:tabs>
        <w:ind w:left="1440" w:hanging="720"/>
        <w:rPr>
          <w:rFonts w:ascii="Arial" w:hAnsi="Arial" w:cs="Arial"/>
          <w:sz w:val="22"/>
          <w:szCs w:val="22"/>
        </w:rPr>
      </w:pPr>
      <w:r w:rsidRPr="007334E7">
        <w:rPr>
          <w:rFonts w:ascii="Arial" w:hAnsi="Arial" w:cs="Arial"/>
          <w:sz w:val="22"/>
          <w:szCs w:val="22"/>
        </w:rPr>
        <w:t>18.</w:t>
      </w:r>
      <w:r w:rsidRPr="007334E7">
        <w:rPr>
          <w:rFonts w:ascii="Arial" w:hAnsi="Arial" w:cs="Arial"/>
          <w:sz w:val="22"/>
          <w:szCs w:val="22"/>
        </w:rPr>
        <w:tab/>
      </w:r>
      <w:r w:rsidRPr="007334E7">
        <w:rPr>
          <w:rFonts w:ascii="Arial" w:hAnsi="Arial" w:cs="Arial"/>
          <w:sz w:val="22"/>
          <w:szCs w:val="22"/>
          <w:u w:val="single"/>
        </w:rPr>
        <w:t>Exceptions to the Certification Statement</w:t>
      </w:r>
    </w:p>
    <w:p w:rsidR="007766EB" w:rsidRPr="007334E7" w:rsidRDefault="007766EB" w:rsidP="007766EB">
      <w:pPr>
        <w:rPr>
          <w:rFonts w:ascii="Arial" w:hAnsi="Arial" w:cs="Arial"/>
          <w:sz w:val="22"/>
          <w:szCs w:val="22"/>
        </w:rPr>
      </w:pPr>
    </w:p>
    <w:p w:rsidR="007766EB" w:rsidRPr="007334E7" w:rsidRDefault="002B77AC" w:rsidP="007766EB">
      <w:pPr>
        <w:ind w:left="1440"/>
        <w:rPr>
          <w:rFonts w:ascii="Arial" w:hAnsi="Arial" w:cs="Arial"/>
          <w:sz w:val="22"/>
          <w:szCs w:val="22"/>
        </w:rPr>
      </w:pPr>
      <w:proofErr w:type="gramStart"/>
      <w:r>
        <w:rPr>
          <w:rFonts w:ascii="Arial" w:hAnsi="Arial" w:cs="Arial"/>
          <w:sz w:val="22"/>
          <w:szCs w:val="22"/>
        </w:rPr>
        <w:t>None.</w:t>
      </w:r>
      <w:proofErr w:type="gramEnd"/>
    </w:p>
    <w:p w:rsidR="00742D24" w:rsidRDefault="00742D24" w:rsidP="007766EB">
      <w:pPr>
        <w:pStyle w:val="Level1"/>
        <w:tabs>
          <w:tab w:val="left" w:pos="-1440"/>
          <w:tab w:val="num" w:pos="720"/>
        </w:tabs>
        <w:rPr>
          <w:rFonts w:ascii="Arial" w:hAnsi="Arial" w:cs="Arial"/>
          <w:sz w:val="22"/>
          <w:szCs w:val="22"/>
          <w:u w:val="single"/>
        </w:rPr>
      </w:pPr>
    </w:p>
    <w:p w:rsidR="007766EB" w:rsidRPr="004958C1" w:rsidRDefault="004958C1" w:rsidP="007766EB">
      <w:pPr>
        <w:pStyle w:val="Level1"/>
        <w:tabs>
          <w:tab w:val="left" w:pos="-1440"/>
          <w:tab w:val="num" w:pos="720"/>
        </w:tabs>
        <w:rPr>
          <w:rFonts w:ascii="Arial" w:hAnsi="Arial" w:cs="Arial"/>
          <w:sz w:val="22"/>
          <w:szCs w:val="22"/>
        </w:rPr>
      </w:pPr>
      <w:r w:rsidRPr="004958C1">
        <w:rPr>
          <w:rFonts w:ascii="Arial" w:hAnsi="Arial" w:cs="Arial"/>
          <w:sz w:val="22"/>
          <w:szCs w:val="22"/>
        </w:rPr>
        <w:t>B.</w:t>
      </w:r>
      <w:r w:rsidRPr="004958C1">
        <w:rPr>
          <w:rFonts w:ascii="Arial" w:hAnsi="Arial" w:cs="Arial"/>
          <w:sz w:val="22"/>
          <w:szCs w:val="22"/>
        </w:rPr>
        <w:tab/>
      </w:r>
      <w:r w:rsidR="007766EB" w:rsidRPr="004958C1">
        <w:rPr>
          <w:rFonts w:ascii="Arial" w:hAnsi="Arial" w:cs="Arial"/>
          <w:sz w:val="22"/>
          <w:szCs w:val="22"/>
          <w:u w:val="single"/>
        </w:rPr>
        <w:t>COLLECTION OF INFORMATION EMPLOYING STATISTICAL METHODS</w:t>
      </w:r>
    </w:p>
    <w:p w:rsidR="007766EB" w:rsidRPr="007334E7" w:rsidRDefault="007766EB" w:rsidP="007766EB">
      <w:pPr>
        <w:rPr>
          <w:rFonts w:ascii="Arial" w:hAnsi="Arial" w:cs="Arial"/>
          <w:sz w:val="22"/>
          <w:szCs w:val="22"/>
        </w:rPr>
      </w:pPr>
    </w:p>
    <w:p w:rsidR="004A3F84" w:rsidRPr="003F3462" w:rsidRDefault="007766EB" w:rsidP="002B77AC">
      <w:pPr>
        <w:ind w:left="720"/>
      </w:pPr>
      <w:r w:rsidRPr="007334E7">
        <w:rPr>
          <w:rFonts w:ascii="Arial" w:hAnsi="Arial" w:cs="Arial"/>
          <w:sz w:val="22"/>
          <w:szCs w:val="22"/>
        </w:rPr>
        <w:t>Statistical methods may be used by licensees for the collection or analysis of plant information.  NRC inspectors are not expected to use statistical methods in their reviews of licensee implementation of the rule.  Use of statistical methods is allowed but not required by 10 CFR 50.65 and its implementing guidance.</w:t>
      </w:r>
    </w:p>
    <w:sectPr w:rsidR="004A3F84" w:rsidRPr="003F3462" w:rsidSect="00804C2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144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669" w:rsidRDefault="00830669" w:rsidP="007766EB">
      <w:r>
        <w:separator/>
      </w:r>
    </w:p>
  </w:endnote>
  <w:endnote w:type="continuationSeparator" w:id="0">
    <w:p w:rsidR="00830669" w:rsidRDefault="00830669" w:rsidP="00776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P TypographicSymbols">
    <w:altName w:val="Courier New"/>
    <w:charset w:val="00"/>
    <w:family w:val="auto"/>
    <w:pitch w:val="variable"/>
    <w:sig w:usb0="00000003" w:usb1="00000000" w:usb2="00000000" w:usb3="00000000" w:csb0="00000001" w:csb1="00000000"/>
  </w:font>
  <w:font w:name="Mona Lisa Recut">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C29" w:rsidRDefault="00804C2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215485"/>
      <w:docPartObj>
        <w:docPartGallery w:val="Page Numbers (Bottom of Page)"/>
        <w:docPartUnique/>
      </w:docPartObj>
    </w:sdtPr>
    <w:sdtEndPr>
      <w:rPr>
        <w:rFonts w:ascii="Arial" w:hAnsi="Arial" w:cs="Arial"/>
        <w:sz w:val="22"/>
        <w:szCs w:val="22"/>
      </w:rPr>
    </w:sdtEndPr>
    <w:sdtContent>
      <w:p w:rsidR="00DE7DCF" w:rsidRDefault="00DE7DCF" w:rsidP="00DE7DCF">
        <w:pPr>
          <w:pStyle w:val="Footer"/>
          <w:jc w:val="center"/>
        </w:pPr>
      </w:p>
      <w:p w:rsidR="00DE7DCF" w:rsidRDefault="00B51FBF" w:rsidP="00DE7DCF">
        <w:pPr>
          <w:pStyle w:val="Footer"/>
          <w:jc w:val="center"/>
        </w:pPr>
        <w:r w:rsidRPr="00DE7DCF">
          <w:rPr>
            <w:rFonts w:ascii="Arial" w:hAnsi="Arial" w:cs="Arial"/>
            <w:sz w:val="22"/>
            <w:szCs w:val="22"/>
          </w:rPr>
          <w:fldChar w:fldCharType="begin"/>
        </w:r>
        <w:r w:rsidR="00DE7DCF" w:rsidRPr="00DE7DCF">
          <w:rPr>
            <w:rFonts w:ascii="Arial" w:hAnsi="Arial" w:cs="Arial"/>
            <w:sz w:val="22"/>
            <w:szCs w:val="22"/>
          </w:rPr>
          <w:instrText xml:space="preserve"> PAGE   \* MERGEFORMAT </w:instrText>
        </w:r>
        <w:r w:rsidRPr="00DE7DCF">
          <w:rPr>
            <w:rFonts w:ascii="Arial" w:hAnsi="Arial" w:cs="Arial"/>
            <w:sz w:val="22"/>
            <w:szCs w:val="22"/>
          </w:rPr>
          <w:fldChar w:fldCharType="separate"/>
        </w:r>
        <w:r w:rsidR="005231B3">
          <w:rPr>
            <w:rFonts w:ascii="Arial" w:hAnsi="Arial" w:cs="Arial"/>
            <w:noProof/>
            <w:sz w:val="22"/>
            <w:szCs w:val="22"/>
          </w:rPr>
          <w:t>9</w:t>
        </w:r>
        <w:r w:rsidRPr="00DE7DCF">
          <w:rPr>
            <w:rFonts w:ascii="Arial" w:hAnsi="Arial" w:cs="Arial"/>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C29" w:rsidRDefault="00804C2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669" w:rsidRDefault="00830669" w:rsidP="007766EB">
      <w:r>
        <w:separator/>
      </w:r>
    </w:p>
  </w:footnote>
  <w:footnote w:type="continuationSeparator" w:id="0">
    <w:p w:rsidR="00830669" w:rsidRDefault="00830669" w:rsidP="007766EB">
      <w:r>
        <w:continuationSeparator/>
      </w:r>
    </w:p>
  </w:footnote>
  <w:footnote w:id="1">
    <w:p w:rsidR="007766EB" w:rsidRDefault="007766EB" w:rsidP="007766EB">
      <w:pPr>
        <w:tabs>
          <w:tab w:val="left" w:pos="-1440"/>
          <w:tab w:val="left" w:pos="-360"/>
          <w:tab w:val="left" w:pos="0"/>
          <w:tab w:val="left" w:pos="720"/>
          <w:tab w:val="left" w:pos="120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rPr>
          <w:rFonts w:cs="Mona Lisa Recut"/>
        </w:rPr>
      </w:pPr>
      <w:r>
        <w:t xml:space="preserve">     </w:t>
      </w:r>
      <w:r>
        <w:rPr>
          <w:rStyle w:val="FootnoteReference"/>
          <w:vertAlign w:val="superscript"/>
        </w:rPr>
        <w:footnoteRef/>
      </w:r>
      <w:r>
        <w:tab/>
      </w:r>
      <w:r>
        <w:rPr>
          <w:rFonts w:ascii="Arial" w:hAnsi="Arial" w:cs="Arial"/>
          <w:sz w:val="22"/>
          <w:szCs w:val="22"/>
        </w:rPr>
        <w:t>Refer to sections in NUMARC 93-01.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C29" w:rsidRDefault="00804C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C29" w:rsidRDefault="00804C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C29" w:rsidRDefault="00804C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suff w:val="nothing"/>
      <w:lvlText w:val="%1."/>
      <w:lvlJc w:val="left"/>
    </w:lvl>
    <w:lvl w:ilvl="1">
      <w:start w:val="1"/>
      <w:numFmt w:val="decimal"/>
      <w:suff w:val="nothing"/>
      <w:lvlText w:val="%2."/>
      <w:lvlJc w:val="left"/>
    </w:lvl>
    <w:lvl w:ilvl="2">
      <w:start w:val="1"/>
      <w:numFmt w:val="upperLetter"/>
      <w:suff w:val="nothing"/>
      <w:lvlText w:val="%3."/>
      <w:lvlJc w:val="left"/>
    </w:lvl>
    <w:lvl w:ilvl="3">
      <w:start w:val="1"/>
      <w:numFmt w:val="upperLetter"/>
      <w:suff w:val="nothing"/>
      <w:lvlText w:val="%4."/>
      <w:lvlJc w:val="left"/>
    </w:lvl>
    <w:lvl w:ilvl="4">
      <w:start w:val="1"/>
      <w:numFmt w:val="upperLetter"/>
      <w:suff w:val="nothing"/>
      <w:lvlText w:val="%5."/>
      <w:lvlJc w:val="left"/>
    </w:lvl>
    <w:lvl w:ilvl="5">
      <w:start w:val="1"/>
      <w:numFmt w:val="upperLetter"/>
      <w:suff w:val="nothing"/>
      <w:lvlText w:val="%6."/>
      <w:lvlJc w:val="left"/>
    </w:lvl>
    <w:lvl w:ilvl="6">
      <w:start w:val="1"/>
      <w:numFmt w:val="upperLetter"/>
      <w:suff w:val="nothing"/>
      <w:lvlText w:val="%7."/>
      <w:lvlJc w:val="left"/>
    </w:lvl>
    <w:lvl w:ilvl="7">
      <w:start w:val="1"/>
      <w:numFmt w:val="upperLetter"/>
      <w:suff w:val="nothing"/>
      <w:lvlText w:val="%8."/>
      <w:lvlJc w:val="left"/>
    </w:lvl>
    <w:lvl w:ilvl="8">
      <w:start w:val="1"/>
      <w:numFmt w:val="lowerRoman"/>
      <w:suff w:val="nothing"/>
      <w:lvlText w:val="%9)"/>
      <w:lvlJc w:val="left"/>
    </w:lvl>
  </w:abstractNum>
  <w:abstractNum w:abstractNumId="1">
    <w:nsid w:val="00000003"/>
    <w:multiLevelType w:val="multilevel"/>
    <w:tmpl w:val="00000000"/>
    <w:name w:val="AutoList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75504F9B"/>
    <w:multiLevelType w:val="hybridMultilevel"/>
    <w:tmpl w:val="45E2411C"/>
    <w:lvl w:ilvl="0" w:tplc="35DE0992">
      <w:start w:val="4"/>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1"/>
    <w:lvlOverride w:ilvl="0">
      <w:startOverride w:val="10"/>
      <w:lvl w:ilvl="0">
        <w:start w:val="10"/>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6EB"/>
    <w:rsid w:val="000011B6"/>
    <w:rsid w:val="0000234D"/>
    <w:rsid w:val="00006B71"/>
    <w:rsid w:val="000119B8"/>
    <w:rsid w:val="00013B35"/>
    <w:rsid w:val="00014CCB"/>
    <w:rsid w:val="00016C44"/>
    <w:rsid w:val="00016D5E"/>
    <w:rsid w:val="00020AA5"/>
    <w:rsid w:val="000216DD"/>
    <w:rsid w:val="00021D65"/>
    <w:rsid w:val="000226AB"/>
    <w:rsid w:val="000249CE"/>
    <w:rsid w:val="00024E85"/>
    <w:rsid w:val="00030313"/>
    <w:rsid w:val="00030799"/>
    <w:rsid w:val="00032232"/>
    <w:rsid w:val="00035682"/>
    <w:rsid w:val="0003773E"/>
    <w:rsid w:val="00037A6A"/>
    <w:rsid w:val="00041DE0"/>
    <w:rsid w:val="00042D8E"/>
    <w:rsid w:val="0004344A"/>
    <w:rsid w:val="00043638"/>
    <w:rsid w:val="0004422A"/>
    <w:rsid w:val="000444F2"/>
    <w:rsid w:val="00044B27"/>
    <w:rsid w:val="00047483"/>
    <w:rsid w:val="00047B64"/>
    <w:rsid w:val="00050A86"/>
    <w:rsid w:val="00051B21"/>
    <w:rsid w:val="00052485"/>
    <w:rsid w:val="00052527"/>
    <w:rsid w:val="0005629B"/>
    <w:rsid w:val="00057B1E"/>
    <w:rsid w:val="00060C71"/>
    <w:rsid w:val="000667C8"/>
    <w:rsid w:val="00073964"/>
    <w:rsid w:val="000760E6"/>
    <w:rsid w:val="00076217"/>
    <w:rsid w:val="0008180F"/>
    <w:rsid w:val="0008727D"/>
    <w:rsid w:val="0009124F"/>
    <w:rsid w:val="000926D6"/>
    <w:rsid w:val="000939B3"/>
    <w:rsid w:val="000974DA"/>
    <w:rsid w:val="000A0EBB"/>
    <w:rsid w:val="000A17A1"/>
    <w:rsid w:val="000A21F0"/>
    <w:rsid w:val="000A729A"/>
    <w:rsid w:val="000A7D04"/>
    <w:rsid w:val="000B2783"/>
    <w:rsid w:val="000B32EB"/>
    <w:rsid w:val="000B40E7"/>
    <w:rsid w:val="000B42E7"/>
    <w:rsid w:val="000B60B3"/>
    <w:rsid w:val="000B7098"/>
    <w:rsid w:val="000C08E7"/>
    <w:rsid w:val="000C3AAA"/>
    <w:rsid w:val="000C4548"/>
    <w:rsid w:val="000C4753"/>
    <w:rsid w:val="000C764E"/>
    <w:rsid w:val="000D2156"/>
    <w:rsid w:val="000D78AF"/>
    <w:rsid w:val="000E12B8"/>
    <w:rsid w:val="000E2638"/>
    <w:rsid w:val="000E38CA"/>
    <w:rsid w:val="000E3B45"/>
    <w:rsid w:val="000E4286"/>
    <w:rsid w:val="000E4711"/>
    <w:rsid w:val="000E4B3A"/>
    <w:rsid w:val="000F007F"/>
    <w:rsid w:val="000F390D"/>
    <w:rsid w:val="000F3DA8"/>
    <w:rsid w:val="000F4F46"/>
    <w:rsid w:val="000F7844"/>
    <w:rsid w:val="0010183A"/>
    <w:rsid w:val="00104130"/>
    <w:rsid w:val="00106CA6"/>
    <w:rsid w:val="00114AB7"/>
    <w:rsid w:val="00117AF5"/>
    <w:rsid w:val="00120619"/>
    <w:rsid w:val="00122D0F"/>
    <w:rsid w:val="00126246"/>
    <w:rsid w:val="00126F83"/>
    <w:rsid w:val="001305F5"/>
    <w:rsid w:val="0013132E"/>
    <w:rsid w:val="001315ED"/>
    <w:rsid w:val="001328CE"/>
    <w:rsid w:val="00132C65"/>
    <w:rsid w:val="00133200"/>
    <w:rsid w:val="00137F05"/>
    <w:rsid w:val="00137F70"/>
    <w:rsid w:val="00142CDC"/>
    <w:rsid w:val="00145C3C"/>
    <w:rsid w:val="00147B6B"/>
    <w:rsid w:val="001527DD"/>
    <w:rsid w:val="001538F9"/>
    <w:rsid w:val="00153D17"/>
    <w:rsid w:val="00154125"/>
    <w:rsid w:val="00156232"/>
    <w:rsid w:val="001578C7"/>
    <w:rsid w:val="0015798A"/>
    <w:rsid w:val="00162B88"/>
    <w:rsid w:val="00166B96"/>
    <w:rsid w:val="00166D38"/>
    <w:rsid w:val="00167865"/>
    <w:rsid w:val="00170C70"/>
    <w:rsid w:val="00171D93"/>
    <w:rsid w:val="001726E9"/>
    <w:rsid w:val="00172CB3"/>
    <w:rsid w:val="001731B3"/>
    <w:rsid w:val="0017324F"/>
    <w:rsid w:val="00173797"/>
    <w:rsid w:val="0017760D"/>
    <w:rsid w:val="00182AFD"/>
    <w:rsid w:val="001854CB"/>
    <w:rsid w:val="00186F24"/>
    <w:rsid w:val="001873CE"/>
    <w:rsid w:val="00187B9D"/>
    <w:rsid w:val="00192653"/>
    <w:rsid w:val="001943E9"/>
    <w:rsid w:val="001973FC"/>
    <w:rsid w:val="00197A1B"/>
    <w:rsid w:val="00197D0C"/>
    <w:rsid w:val="001A4201"/>
    <w:rsid w:val="001A5A35"/>
    <w:rsid w:val="001A6AA1"/>
    <w:rsid w:val="001A7443"/>
    <w:rsid w:val="001B1A8D"/>
    <w:rsid w:val="001B1FAF"/>
    <w:rsid w:val="001B62C4"/>
    <w:rsid w:val="001C25E8"/>
    <w:rsid w:val="001C2859"/>
    <w:rsid w:val="001C3175"/>
    <w:rsid w:val="001C4EC7"/>
    <w:rsid w:val="001C51A5"/>
    <w:rsid w:val="001C7FDD"/>
    <w:rsid w:val="001D006C"/>
    <w:rsid w:val="001D19FA"/>
    <w:rsid w:val="001D3CFC"/>
    <w:rsid w:val="001D40AF"/>
    <w:rsid w:val="001E134C"/>
    <w:rsid w:val="001E6BED"/>
    <w:rsid w:val="001F0614"/>
    <w:rsid w:val="001F39DD"/>
    <w:rsid w:val="001F582C"/>
    <w:rsid w:val="001F5A63"/>
    <w:rsid w:val="001F693D"/>
    <w:rsid w:val="001F7A42"/>
    <w:rsid w:val="002017EC"/>
    <w:rsid w:val="00205DBE"/>
    <w:rsid w:val="0021013B"/>
    <w:rsid w:val="0021174B"/>
    <w:rsid w:val="002213E4"/>
    <w:rsid w:val="0022260A"/>
    <w:rsid w:val="00227F72"/>
    <w:rsid w:val="002308D4"/>
    <w:rsid w:val="00234EDC"/>
    <w:rsid w:val="0023623E"/>
    <w:rsid w:val="00236B43"/>
    <w:rsid w:val="002422D2"/>
    <w:rsid w:val="0024259F"/>
    <w:rsid w:val="0024606D"/>
    <w:rsid w:val="002543FC"/>
    <w:rsid w:val="00254595"/>
    <w:rsid w:val="00256B1A"/>
    <w:rsid w:val="002610EC"/>
    <w:rsid w:val="0026356F"/>
    <w:rsid w:val="0026375F"/>
    <w:rsid w:val="00264CEE"/>
    <w:rsid w:val="0026537E"/>
    <w:rsid w:val="00266C82"/>
    <w:rsid w:val="00271A10"/>
    <w:rsid w:val="0027270C"/>
    <w:rsid w:val="00273790"/>
    <w:rsid w:val="002739AB"/>
    <w:rsid w:val="00273F90"/>
    <w:rsid w:val="00274AAB"/>
    <w:rsid w:val="00276B4A"/>
    <w:rsid w:val="00277A83"/>
    <w:rsid w:val="00283C66"/>
    <w:rsid w:val="00285319"/>
    <w:rsid w:val="00286F9B"/>
    <w:rsid w:val="0029081C"/>
    <w:rsid w:val="002921EF"/>
    <w:rsid w:val="0029270C"/>
    <w:rsid w:val="00295E71"/>
    <w:rsid w:val="002A10CC"/>
    <w:rsid w:val="002A158A"/>
    <w:rsid w:val="002A180E"/>
    <w:rsid w:val="002A5B9D"/>
    <w:rsid w:val="002B503C"/>
    <w:rsid w:val="002B5D1C"/>
    <w:rsid w:val="002B7682"/>
    <w:rsid w:val="002B77AC"/>
    <w:rsid w:val="002C18D6"/>
    <w:rsid w:val="002C27CB"/>
    <w:rsid w:val="002C2C18"/>
    <w:rsid w:val="002C3D48"/>
    <w:rsid w:val="002C4599"/>
    <w:rsid w:val="002C53CC"/>
    <w:rsid w:val="002C6C22"/>
    <w:rsid w:val="002D58A2"/>
    <w:rsid w:val="002D6C0E"/>
    <w:rsid w:val="002E736A"/>
    <w:rsid w:val="002E7A1B"/>
    <w:rsid w:val="002F2A63"/>
    <w:rsid w:val="002F36D2"/>
    <w:rsid w:val="002F4451"/>
    <w:rsid w:val="002F47F5"/>
    <w:rsid w:val="002F4D2D"/>
    <w:rsid w:val="002F5880"/>
    <w:rsid w:val="002F5887"/>
    <w:rsid w:val="002F7D56"/>
    <w:rsid w:val="00300B47"/>
    <w:rsid w:val="003027C2"/>
    <w:rsid w:val="00302C05"/>
    <w:rsid w:val="0030385D"/>
    <w:rsid w:val="00305263"/>
    <w:rsid w:val="0030674E"/>
    <w:rsid w:val="00307998"/>
    <w:rsid w:val="00307DB4"/>
    <w:rsid w:val="003165E2"/>
    <w:rsid w:val="00320092"/>
    <w:rsid w:val="003218CC"/>
    <w:rsid w:val="00322632"/>
    <w:rsid w:val="003228AC"/>
    <w:rsid w:val="00331E8B"/>
    <w:rsid w:val="0033642E"/>
    <w:rsid w:val="0034272A"/>
    <w:rsid w:val="003435D1"/>
    <w:rsid w:val="0034419A"/>
    <w:rsid w:val="0034462B"/>
    <w:rsid w:val="00350849"/>
    <w:rsid w:val="0035205B"/>
    <w:rsid w:val="003527CC"/>
    <w:rsid w:val="00352FE5"/>
    <w:rsid w:val="003602A3"/>
    <w:rsid w:val="003638E6"/>
    <w:rsid w:val="003656A6"/>
    <w:rsid w:val="00366A0F"/>
    <w:rsid w:val="00376182"/>
    <w:rsid w:val="00377C22"/>
    <w:rsid w:val="00382038"/>
    <w:rsid w:val="00390C81"/>
    <w:rsid w:val="00392980"/>
    <w:rsid w:val="00394BB1"/>
    <w:rsid w:val="003A3779"/>
    <w:rsid w:val="003A4CBC"/>
    <w:rsid w:val="003A5619"/>
    <w:rsid w:val="003A60EB"/>
    <w:rsid w:val="003B2512"/>
    <w:rsid w:val="003B5895"/>
    <w:rsid w:val="003B5D04"/>
    <w:rsid w:val="003C3D44"/>
    <w:rsid w:val="003C4B37"/>
    <w:rsid w:val="003C6035"/>
    <w:rsid w:val="003C7204"/>
    <w:rsid w:val="003C7F64"/>
    <w:rsid w:val="003D0CE5"/>
    <w:rsid w:val="003D2C61"/>
    <w:rsid w:val="003D4405"/>
    <w:rsid w:val="003E12AC"/>
    <w:rsid w:val="003E33F5"/>
    <w:rsid w:val="003E561E"/>
    <w:rsid w:val="003E6954"/>
    <w:rsid w:val="003E7AAC"/>
    <w:rsid w:val="003F24DA"/>
    <w:rsid w:val="003F3462"/>
    <w:rsid w:val="003F7A59"/>
    <w:rsid w:val="00402D12"/>
    <w:rsid w:val="004039A9"/>
    <w:rsid w:val="0040605D"/>
    <w:rsid w:val="00406888"/>
    <w:rsid w:val="004077D9"/>
    <w:rsid w:val="0042197D"/>
    <w:rsid w:val="00426A25"/>
    <w:rsid w:val="00431C9F"/>
    <w:rsid w:val="004339AA"/>
    <w:rsid w:val="004365B0"/>
    <w:rsid w:val="0043762F"/>
    <w:rsid w:val="0043781D"/>
    <w:rsid w:val="00440A6B"/>
    <w:rsid w:val="00440CD8"/>
    <w:rsid w:val="00441EAC"/>
    <w:rsid w:val="00441F46"/>
    <w:rsid w:val="00444050"/>
    <w:rsid w:val="0044771C"/>
    <w:rsid w:val="00450742"/>
    <w:rsid w:val="00452341"/>
    <w:rsid w:val="00460EAB"/>
    <w:rsid w:val="0046480E"/>
    <w:rsid w:val="00466F40"/>
    <w:rsid w:val="00472D44"/>
    <w:rsid w:val="00475553"/>
    <w:rsid w:val="004823AE"/>
    <w:rsid w:val="004832EB"/>
    <w:rsid w:val="00485FC7"/>
    <w:rsid w:val="00486326"/>
    <w:rsid w:val="00486B60"/>
    <w:rsid w:val="00487EFD"/>
    <w:rsid w:val="0049015A"/>
    <w:rsid w:val="00494057"/>
    <w:rsid w:val="004945B2"/>
    <w:rsid w:val="00495532"/>
    <w:rsid w:val="00495863"/>
    <w:rsid w:val="004958C1"/>
    <w:rsid w:val="00495B04"/>
    <w:rsid w:val="004A03E2"/>
    <w:rsid w:val="004A1761"/>
    <w:rsid w:val="004A1E92"/>
    <w:rsid w:val="004A229C"/>
    <w:rsid w:val="004A3F84"/>
    <w:rsid w:val="004A4297"/>
    <w:rsid w:val="004B02F5"/>
    <w:rsid w:val="004B2A55"/>
    <w:rsid w:val="004B3277"/>
    <w:rsid w:val="004B592C"/>
    <w:rsid w:val="004B626E"/>
    <w:rsid w:val="004B6604"/>
    <w:rsid w:val="004B68CB"/>
    <w:rsid w:val="004B6AAF"/>
    <w:rsid w:val="004B778A"/>
    <w:rsid w:val="004C0446"/>
    <w:rsid w:val="004C0811"/>
    <w:rsid w:val="004D288B"/>
    <w:rsid w:val="004D49B8"/>
    <w:rsid w:val="004E130F"/>
    <w:rsid w:val="004E13D1"/>
    <w:rsid w:val="004E2205"/>
    <w:rsid w:val="004E2CB8"/>
    <w:rsid w:val="004E5491"/>
    <w:rsid w:val="004E6285"/>
    <w:rsid w:val="004E6C79"/>
    <w:rsid w:val="004F163F"/>
    <w:rsid w:val="004F36C9"/>
    <w:rsid w:val="004F6D0F"/>
    <w:rsid w:val="00502A2E"/>
    <w:rsid w:val="00505D78"/>
    <w:rsid w:val="00505EB1"/>
    <w:rsid w:val="00520AB6"/>
    <w:rsid w:val="005231B3"/>
    <w:rsid w:val="005268DC"/>
    <w:rsid w:val="005277FC"/>
    <w:rsid w:val="005311A4"/>
    <w:rsid w:val="00535A2F"/>
    <w:rsid w:val="00535C64"/>
    <w:rsid w:val="005426AE"/>
    <w:rsid w:val="005427B1"/>
    <w:rsid w:val="005427F0"/>
    <w:rsid w:val="0054477B"/>
    <w:rsid w:val="00551B2C"/>
    <w:rsid w:val="00554C8A"/>
    <w:rsid w:val="00556CF0"/>
    <w:rsid w:val="005601FB"/>
    <w:rsid w:val="0056113B"/>
    <w:rsid w:val="00564313"/>
    <w:rsid w:val="00565FD8"/>
    <w:rsid w:val="00566452"/>
    <w:rsid w:val="00566BE5"/>
    <w:rsid w:val="00567DEB"/>
    <w:rsid w:val="00567E1A"/>
    <w:rsid w:val="005706CD"/>
    <w:rsid w:val="00570B60"/>
    <w:rsid w:val="00572723"/>
    <w:rsid w:val="005774C0"/>
    <w:rsid w:val="00581899"/>
    <w:rsid w:val="0058319B"/>
    <w:rsid w:val="00587F91"/>
    <w:rsid w:val="00593528"/>
    <w:rsid w:val="00594884"/>
    <w:rsid w:val="00596315"/>
    <w:rsid w:val="00596FE4"/>
    <w:rsid w:val="005A5B8B"/>
    <w:rsid w:val="005A7D13"/>
    <w:rsid w:val="005A7E6E"/>
    <w:rsid w:val="005B138E"/>
    <w:rsid w:val="005B37CB"/>
    <w:rsid w:val="005B4DBF"/>
    <w:rsid w:val="005B72F5"/>
    <w:rsid w:val="005C0AE6"/>
    <w:rsid w:val="005C3CD2"/>
    <w:rsid w:val="005C3DEC"/>
    <w:rsid w:val="005C583E"/>
    <w:rsid w:val="005D2273"/>
    <w:rsid w:val="005E18A7"/>
    <w:rsid w:val="005E1F08"/>
    <w:rsid w:val="005E3CDE"/>
    <w:rsid w:val="005E3D22"/>
    <w:rsid w:val="005E62FD"/>
    <w:rsid w:val="005E6A05"/>
    <w:rsid w:val="005F1540"/>
    <w:rsid w:val="005F1F1D"/>
    <w:rsid w:val="005F227E"/>
    <w:rsid w:val="005F3EC7"/>
    <w:rsid w:val="005F44FC"/>
    <w:rsid w:val="005F4CFA"/>
    <w:rsid w:val="005F52EC"/>
    <w:rsid w:val="005F5692"/>
    <w:rsid w:val="005F6DDD"/>
    <w:rsid w:val="005F7A9C"/>
    <w:rsid w:val="0060185A"/>
    <w:rsid w:val="00601EC5"/>
    <w:rsid w:val="00602CCA"/>
    <w:rsid w:val="00606B96"/>
    <w:rsid w:val="00607CD8"/>
    <w:rsid w:val="006138A9"/>
    <w:rsid w:val="00614E05"/>
    <w:rsid w:val="00616556"/>
    <w:rsid w:val="00617CA7"/>
    <w:rsid w:val="006210D7"/>
    <w:rsid w:val="0062168F"/>
    <w:rsid w:val="0062230D"/>
    <w:rsid w:val="00622797"/>
    <w:rsid w:val="006233BA"/>
    <w:rsid w:val="00623AA5"/>
    <w:rsid w:val="00624134"/>
    <w:rsid w:val="006303F1"/>
    <w:rsid w:val="00631CDF"/>
    <w:rsid w:val="00632BE4"/>
    <w:rsid w:val="0063534B"/>
    <w:rsid w:val="00640F79"/>
    <w:rsid w:val="00641C34"/>
    <w:rsid w:val="00643716"/>
    <w:rsid w:val="00643972"/>
    <w:rsid w:val="00647EC8"/>
    <w:rsid w:val="00650AC8"/>
    <w:rsid w:val="00650E12"/>
    <w:rsid w:val="00652DA8"/>
    <w:rsid w:val="006533C4"/>
    <w:rsid w:val="006560D2"/>
    <w:rsid w:val="00660FE3"/>
    <w:rsid w:val="00661590"/>
    <w:rsid w:val="006617E6"/>
    <w:rsid w:val="00663351"/>
    <w:rsid w:val="00664676"/>
    <w:rsid w:val="00664A76"/>
    <w:rsid w:val="00666B24"/>
    <w:rsid w:val="006672B1"/>
    <w:rsid w:val="00671F55"/>
    <w:rsid w:val="006743B4"/>
    <w:rsid w:val="0067530F"/>
    <w:rsid w:val="00675B66"/>
    <w:rsid w:val="00675DCA"/>
    <w:rsid w:val="00677EC0"/>
    <w:rsid w:val="00680052"/>
    <w:rsid w:val="00682A76"/>
    <w:rsid w:val="00684CF2"/>
    <w:rsid w:val="00687174"/>
    <w:rsid w:val="00697FA2"/>
    <w:rsid w:val="006A1BBC"/>
    <w:rsid w:val="006A20BC"/>
    <w:rsid w:val="006A31BD"/>
    <w:rsid w:val="006A3C46"/>
    <w:rsid w:val="006A66AF"/>
    <w:rsid w:val="006B014B"/>
    <w:rsid w:val="006B0F55"/>
    <w:rsid w:val="006B1144"/>
    <w:rsid w:val="006B1399"/>
    <w:rsid w:val="006B171A"/>
    <w:rsid w:val="006B4158"/>
    <w:rsid w:val="006B6EB6"/>
    <w:rsid w:val="006C116C"/>
    <w:rsid w:val="006C27E1"/>
    <w:rsid w:val="006C2DAA"/>
    <w:rsid w:val="006C31A1"/>
    <w:rsid w:val="006C3603"/>
    <w:rsid w:val="006C458A"/>
    <w:rsid w:val="006C4ABC"/>
    <w:rsid w:val="006C51EE"/>
    <w:rsid w:val="006C56C9"/>
    <w:rsid w:val="006C76C5"/>
    <w:rsid w:val="006D18CD"/>
    <w:rsid w:val="006D27FA"/>
    <w:rsid w:val="006D289E"/>
    <w:rsid w:val="006D37F7"/>
    <w:rsid w:val="006D7480"/>
    <w:rsid w:val="006E1AE3"/>
    <w:rsid w:val="006E3751"/>
    <w:rsid w:val="006E46EA"/>
    <w:rsid w:val="006F06C7"/>
    <w:rsid w:val="006F1536"/>
    <w:rsid w:val="006F1D9F"/>
    <w:rsid w:val="006F358B"/>
    <w:rsid w:val="006F66F8"/>
    <w:rsid w:val="006F79BC"/>
    <w:rsid w:val="007003CD"/>
    <w:rsid w:val="00703C30"/>
    <w:rsid w:val="00704058"/>
    <w:rsid w:val="0070538D"/>
    <w:rsid w:val="0070637D"/>
    <w:rsid w:val="0070738F"/>
    <w:rsid w:val="00710940"/>
    <w:rsid w:val="00714BB9"/>
    <w:rsid w:val="0072139E"/>
    <w:rsid w:val="007224FA"/>
    <w:rsid w:val="00722FE8"/>
    <w:rsid w:val="007245EF"/>
    <w:rsid w:val="0072476C"/>
    <w:rsid w:val="00725240"/>
    <w:rsid w:val="00725F80"/>
    <w:rsid w:val="0072747B"/>
    <w:rsid w:val="00732AB6"/>
    <w:rsid w:val="00735F44"/>
    <w:rsid w:val="00741515"/>
    <w:rsid w:val="00742D24"/>
    <w:rsid w:val="00743F70"/>
    <w:rsid w:val="00745F72"/>
    <w:rsid w:val="00747ABC"/>
    <w:rsid w:val="007503C0"/>
    <w:rsid w:val="00750F94"/>
    <w:rsid w:val="00753083"/>
    <w:rsid w:val="00753FBC"/>
    <w:rsid w:val="00754E88"/>
    <w:rsid w:val="00757E6C"/>
    <w:rsid w:val="007633C6"/>
    <w:rsid w:val="0076418E"/>
    <w:rsid w:val="007643C1"/>
    <w:rsid w:val="007657AF"/>
    <w:rsid w:val="007660C1"/>
    <w:rsid w:val="00771969"/>
    <w:rsid w:val="00775418"/>
    <w:rsid w:val="007766EB"/>
    <w:rsid w:val="00776897"/>
    <w:rsid w:val="00776AAB"/>
    <w:rsid w:val="00777702"/>
    <w:rsid w:val="00782A24"/>
    <w:rsid w:val="00783DBA"/>
    <w:rsid w:val="0078719F"/>
    <w:rsid w:val="0078787E"/>
    <w:rsid w:val="0078790C"/>
    <w:rsid w:val="0079111E"/>
    <w:rsid w:val="007923C7"/>
    <w:rsid w:val="00794493"/>
    <w:rsid w:val="00794B0E"/>
    <w:rsid w:val="007A49CB"/>
    <w:rsid w:val="007A5103"/>
    <w:rsid w:val="007A5B32"/>
    <w:rsid w:val="007A6468"/>
    <w:rsid w:val="007B1895"/>
    <w:rsid w:val="007B1942"/>
    <w:rsid w:val="007B4CC8"/>
    <w:rsid w:val="007B5B57"/>
    <w:rsid w:val="007B5F88"/>
    <w:rsid w:val="007C128A"/>
    <w:rsid w:val="007C47B8"/>
    <w:rsid w:val="007C6710"/>
    <w:rsid w:val="007C6974"/>
    <w:rsid w:val="007C70CD"/>
    <w:rsid w:val="007C7163"/>
    <w:rsid w:val="007D0A2C"/>
    <w:rsid w:val="007D37F1"/>
    <w:rsid w:val="007D3AE2"/>
    <w:rsid w:val="007D6302"/>
    <w:rsid w:val="007E0093"/>
    <w:rsid w:val="007E1163"/>
    <w:rsid w:val="007E1CAA"/>
    <w:rsid w:val="007E3979"/>
    <w:rsid w:val="007E427A"/>
    <w:rsid w:val="007E4E9C"/>
    <w:rsid w:val="007E64F7"/>
    <w:rsid w:val="007F2C7B"/>
    <w:rsid w:val="007F4455"/>
    <w:rsid w:val="0080141C"/>
    <w:rsid w:val="00803A6E"/>
    <w:rsid w:val="0080437D"/>
    <w:rsid w:val="00804C29"/>
    <w:rsid w:val="0080703B"/>
    <w:rsid w:val="00811576"/>
    <w:rsid w:val="00817BF2"/>
    <w:rsid w:val="00820117"/>
    <w:rsid w:val="008231F5"/>
    <w:rsid w:val="008247DB"/>
    <w:rsid w:val="00825478"/>
    <w:rsid w:val="008303AD"/>
    <w:rsid w:val="00830669"/>
    <w:rsid w:val="00830C6E"/>
    <w:rsid w:val="008324E2"/>
    <w:rsid w:val="008336BB"/>
    <w:rsid w:val="00833854"/>
    <w:rsid w:val="00834637"/>
    <w:rsid w:val="0083725B"/>
    <w:rsid w:val="00840858"/>
    <w:rsid w:val="00841EF7"/>
    <w:rsid w:val="00843BE7"/>
    <w:rsid w:val="00843DAB"/>
    <w:rsid w:val="0084691B"/>
    <w:rsid w:val="00846F7F"/>
    <w:rsid w:val="0085210C"/>
    <w:rsid w:val="00854F68"/>
    <w:rsid w:val="00860223"/>
    <w:rsid w:val="008611AA"/>
    <w:rsid w:val="00862B33"/>
    <w:rsid w:val="00863CA0"/>
    <w:rsid w:val="008702C1"/>
    <w:rsid w:val="008710C4"/>
    <w:rsid w:val="00872349"/>
    <w:rsid w:val="00873BF3"/>
    <w:rsid w:val="0087502F"/>
    <w:rsid w:val="0087683B"/>
    <w:rsid w:val="00877E9B"/>
    <w:rsid w:val="008849C2"/>
    <w:rsid w:val="00886462"/>
    <w:rsid w:val="00887600"/>
    <w:rsid w:val="00887D70"/>
    <w:rsid w:val="00891255"/>
    <w:rsid w:val="008929B6"/>
    <w:rsid w:val="00894AE3"/>
    <w:rsid w:val="008A0485"/>
    <w:rsid w:val="008A0A85"/>
    <w:rsid w:val="008A0EBC"/>
    <w:rsid w:val="008A2087"/>
    <w:rsid w:val="008A4DEF"/>
    <w:rsid w:val="008A5769"/>
    <w:rsid w:val="008A643B"/>
    <w:rsid w:val="008A746B"/>
    <w:rsid w:val="008B07BF"/>
    <w:rsid w:val="008B1CB9"/>
    <w:rsid w:val="008B291C"/>
    <w:rsid w:val="008B2A5D"/>
    <w:rsid w:val="008B2A7E"/>
    <w:rsid w:val="008B61C7"/>
    <w:rsid w:val="008B750D"/>
    <w:rsid w:val="008C0F1A"/>
    <w:rsid w:val="008D13BA"/>
    <w:rsid w:val="008D336C"/>
    <w:rsid w:val="008D6E6D"/>
    <w:rsid w:val="008F06A7"/>
    <w:rsid w:val="008F0CE2"/>
    <w:rsid w:val="008F3082"/>
    <w:rsid w:val="008F58D3"/>
    <w:rsid w:val="008F613C"/>
    <w:rsid w:val="008F7883"/>
    <w:rsid w:val="008F7B47"/>
    <w:rsid w:val="00900333"/>
    <w:rsid w:val="00901FFF"/>
    <w:rsid w:val="0090216C"/>
    <w:rsid w:val="00904CD6"/>
    <w:rsid w:val="00910E8A"/>
    <w:rsid w:val="009156AB"/>
    <w:rsid w:val="00915984"/>
    <w:rsid w:val="009167E2"/>
    <w:rsid w:val="00920262"/>
    <w:rsid w:val="0092114E"/>
    <w:rsid w:val="0092668F"/>
    <w:rsid w:val="00927580"/>
    <w:rsid w:val="009302F5"/>
    <w:rsid w:val="00933C71"/>
    <w:rsid w:val="00935843"/>
    <w:rsid w:val="009370B6"/>
    <w:rsid w:val="0093712C"/>
    <w:rsid w:val="00940E62"/>
    <w:rsid w:val="009422ED"/>
    <w:rsid w:val="00945C61"/>
    <w:rsid w:val="00950D9A"/>
    <w:rsid w:val="0095111A"/>
    <w:rsid w:val="009604FA"/>
    <w:rsid w:val="0096125A"/>
    <w:rsid w:val="009618C9"/>
    <w:rsid w:val="00961A2B"/>
    <w:rsid w:val="00964E4C"/>
    <w:rsid w:val="00965258"/>
    <w:rsid w:val="009656AD"/>
    <w:rsid w:val="00967142"/>
    <w:rsid w:val="00970821"/>
    <w:rsid w:val="009722F8"/>
    <w:rsid w:val="00972BCE"/>
    <w:rsid w:val="00973854"/>
    <w:rsid w:val="00975420"/>
    <w:rsid w:val="0097585C"/>
    <w:rsid w:val="00977426"/>
    <w:rsid w:val="0098212A"/>
    <w:rsid w:val="009902BF"/>
    <w:rsid w:val="00991569"/>
    <w:rsid w:val="0099208C"/>
    <w:rsid w:val="00992F11"/>
    <w:rsid w:val="0099563F"/>
    <w:rsid w:val="009A7526"/>
    <w:rsid w:val="009B25B6"/>
    <w:rsid w:val="009B3DAD"/>
    <w:rsid w:val="009B5BE3"/>
    <w:rsid w:val="009B5F55"/>
    <w:rsid w:val="009B6776"/>
    <w:rsid w:val="009C1695"/>
    <w:rsid w:val="009C44E9"/>
    <w:rsid w:val="009C524B"/>
    <w:rsid w:val="009C6215"/>
    <w:rsid w:val="009C7F6C"/>
    <w:rsid w:val="009D298D"/>
    <w:rsid w:val="009D747F"/>
    <w:rsid w:val="009D77CC"/>
    <w:rsid w:val="009E0282"/>
    <w:rsid w:val="009E0D1C"/>
    <w:rsid w:val="009E157D"/>
    <w:rsid w:val="009E1D13"/>
    <w:rsid w:val="009E1DA6"/>
    <w:rsid w:val="009E361B"/>
    <w:rsid w:val="009E7DDD"/>
    <w:rsid w:val="009F020F"/>
    <w:rsid w:val="009F0806"/>
    <w:rsid w:val="009F171D"/>
    <w:rsid w:val="009F4C04"/>
    <w:rsid w:val="009F53DE"/>
    <w:rsid w:val="009F6C48"/>
    <w:rsid w:val="009F7004"/>
    <w:rsid w:val="00A00F19"/>
    <w:rsid w:val="00A01458"/>
    <w:rsid w:val="00A028A3"/>
    <w:rsid w:val="00A05825"/>
    <w:rsid w:val="00A07374"/>
    <w:rsid w:val="00A07BFE"/>
    <w:rsid w:val="00A101FA"/>
    <w:rsid w:val="00A1113E"/>
    <w:rsid w:val="00A11C26"/>
    <w:rsid w:val="00A12D02"/>
    <w:rsid w:val="00A14A8C"/>
    <w:rsid w:val="00A27158"/>
    <w:rsid w:val="00A27E9E"/>
    <w:rsid w:val="00A3035C"/>
    <w:rsid w:val="00A31B84"/>
    <w:rsid w:val="00A3206E"/>
    <w:rsid w:val="00A334B7"/>
    <w:rsid w:val="00A34142"/>
    <w:rsid w:val="00A409D7"/>
    <w:rsid w:val="00A4310E"/>
    <w:rsid w:val="00A458D9"/>
    <w:rsid w:val="00A45C46"/>
    <w:rsid w:val="00A500A0"/>
    <w:rsid w:val="00A50EAA"/>
    <w:rsid w:val="00A50FDB"/>
    <w:rsid w:val="00A51D80"/>
    <w:rsid w:val="00A51F67"/>
    <w:rsid w:val="00A520AD"/>
    <w:rsid w:val="00A5295D"/>
    <w:rsid w:val="00A52F65"/>
    <w:rsid w:val="00A53ADC"/>
    <w:rsid w:val="00A54292"/>
    <w:rsid w:val="00A55DF7"/>
    <w:rsid w:val="00A6027E"/>
    <w:rsid w:val="00A64F4C"/>
    <w:rsid w:val="00A66519"/>
    <w:rsid w:val="00A67CFF"/>
    <w:rsid w:val="00A7360C"/>
    <w:rsid w:val="00A742E0"/>
    <w:rsid w:val="00A76EEE"/>
    <w:rsid w:val="00A80023"/>
    <w:rsid w:val="00A81404"/>
    <w:rsid w:val="00A83D0F"/>
    <w:rsid w:val="00A858AF"/>
    <w:rsid w:val="00A87C19"/>
    <w:rsid w:val="00A909CB"/>
    <w:rsid w:val="00A9126A"/>
    <w:rsid w:val="00A91C90"/>
    <w:rsid w:val="00A91F4C"/>
    <w:rsid w:val="00A91F5D"/>
    <w:rsid w:val="00A926EB"/>
    <w:rsid w:val="00A92B75"/>
    <w:rsid w:val="00A94461"/>
    <w:rsid w:val="00A95CB4"/>
    <w:rsid w:val="00A96D93"/>
    <w:rsid w:val="00AA139F"/>
    <w:rsid w:val="00AA17CF"/>
    <w:rsid w:val="00AA33E8"/>
    <w:rsid w:val="00AA469A"/>
    <w:rsid w:val="00AA5C13"/>
    <w:rsid w:val="00AA5D4D"/>
    <w:rsid w:val="00AA7FFB"/>
    <w:rsid w:val="00AB2277"/>
    <w:rsid w:val="00AB3CED"/>
    <w:rsid w:val="00AB3FF5"/>
    <w:rsid w:val="00AB786F"/>
    <w:rsid w:val="00AC1E29"/>
    <w:rsid w:val="00AC2D5A"/>
    <w:rsid w:val="00AC74C4"/>
    <w:rsid w:val="00AC7E9D"/>
    <w:rsid w:val="00AD12B8"/>
    <w:rsid w:val="00AE0241"/>
    <w:rsid w:val="00AE17E7"/>
    <w:rsid w:val="00AE465E"/>
    <w:rsid w:val="00AE4CBA"/>
    <w:rsid w:val="00AE61B2"/>
    <w:rsid w:val="00AE76F8"/>
    <w:rsid w:val="00AF0D12"/>
    <w:rsid w:val="00AF3FFA"/>
    <w:rsid w:val="00AF71C4"/>
    <w:rsid w:val="00B00207"/>
    <w:rsid w:val="00B00999"/>
    <w:rsid w:val="00B05851"/>
    <w:rsid w:val="00B0782F"/>
    <w:rsid w:val="00B101E5"/>
    <w:rsid w:val="00B112C5"/>
    <w:rsid w:val="00B11F07"/>
    <w:rsid w:val="00B133CB"/>
    <w:rsid w:val="00B13B6E"/>
    <w:rsid w:val="00B147AB"/>
    <w:rsid w:val="00B155C1"/>
    <w:rsid w:val="00B21C0A"/>
    <w:rsid w:val="00B22A4B"/>
    <w:rsid w:val="00B22DB0"/>
    <w:rsid w:val="00B22F65"/>
    <w:rsid w:val="00B235E9"/>
    <w:rsid w:val="00B24B80"/>
    <w:rsid w:val="00B27B5A"/>
    <w:rsid w:val="00B3025C"/>
    <w:rsid w:val="00B313D0"/>
    <w:rsid w:val="00B31762"/>
    <w:rsid w:val="00B326FE"/>
    <w:rsid w:val="00B34752"/>
    <w:rsid w:val="00B349E6"/>
    <w:rsid w:val="00B35380"/>
    <w:rsid w:val="00B37068"/>
    <w:rsid w:val="00B376C1"/>
    <w:rsid w:val="00B43FFC"/>
    <w:rsid w:val="00B44022"/>
    <w:rsid w:val="00B44AA0"/>
    <w:rsid w:val="00B51FBF"/>
    <w:rsid w:val="00B52170"/>
    <w:rsid w:val="00B535B3"/>
    <w:rsid w:val="00B61505"/>
    <w:rsid w:val="00B627D4"/>
    <w:rsid w:val="00B6359B"/>
    <w:rsid w:val="00B65B4A"/>
    <w:rsid w:val="00B66084"/>
    <w:rsid w:val="00B72013"/>
    <w:rsid w:val="00B7444D"/>
    <w:rsid w:val="00B74EA4"/>
    <w:rsid w:val="00B757BC"/>
    <w:rsid w:val="00B767B2"/>
    <w:rsid w:val="00B76B64"/>
    <w:rsid w:val="00B80D9B"/>
    <w:rsid w:val="00B8145F"/>
    <w:rsid w:val="00B8564D"/>
    <w:rsid w:val="00B868EB"/>
    <w:rsid w:val="00B87BEB"/>
    <w:rsid w:val="00B93E8C"/>
    <w:rsid w:val="00B96D52"/>
    <w:rsid w:val="00B97825"/>
    <w:rsid w:val="00B978A1"/>
    <w:rsid w:val="00BA3F74"/>
    <w:rsid w:val="00BA48D1"/>
    <w:rsid w:val="00BA523F"/>
    <w:rsid w:val="00BA53F7"/>
    <w:rsid w:val="00BB1CDF"/>
    <w:rsid w:val="00BB6B40"/>
    <w:rsid w:val="00BC218C"/>
    <w:rsid w:val="00BC32C0"/>
    <w:rsid w:val="00BC3BCB"/>
    <w:rsid w:val="00BC3EC4"/>
    <w:rsid w:val="00BC4F30"/>
    <w:rsid w:val="00BC594C"/>
    <w:rsid w:val="00BC5C13"/>
    <w:rsid w:val="00BC6A22"/>
    <w:rsid w:val="00BC7980"/>
    <w:rsid w:val="00BD088A"/>
    <w:rsid w:val="00BD0BAE"/>
    <w:rsid w:val="00BD2722"/>
    <w:rsid w:val="00BD34BA"/>
    <w:rsid w:val="00BD55DE"/>
    <w:rsid w:val="00BE1B66"/>
    <w:rsid w:val="00BE2AA7"/>
    <w:rsid w:val="00BE2C08"/>
    <w:rsid w:val="00BE45CA"/>
    <w:rsid w:val="00BE6E11"/>
    <w:rsid w:val="00BF05D8"/>
    <w:rsid w:val="00BF2F67"/>
    <w:rsid w:val="00BF3545"/>
    <w:rsid w:val="00BF53E9"/>
    <w:rsid w:val="00C00373"/>
    <w:rsid w:val="00C01BDD"/>
    <w:rsid w:val="00C026C5"/>
    <w:rsid w:val="00C026CE"/>
    <w:rsid w:val="00C040A5"/>
    <w:rsid w:val="00C06AB9"/>
    <w:rsid w:val="00C112E2"/>
    <w:rsid w:val="00C153B5"/>
    <w:rsid w:val="00C15B06"/>
    <w:rsid w:val="00C16A1B"/>
    <w:rsid w:val="00C213D6"/>
    <w:rsid w:val="00C216E3"/>
    <w:rsid w:val="00C2748E"/>
    <w:rsid w:val="00C27F2A"/>
    <w:rsid w:val="00C27FBD"/>
    <w:rsid w:val="00C30398"/>
    <w:rsid w:val="00C31B17"/>
    <w:rsid w:val="00C35520"/>
    <w:rsid w:val="00C35639"/>
    <w:rsid w:val="00C37550"/>
    <w:rsid w:val="00C416C1"/>
    <w:rsid w:val="00C41772"/>
    <w:rsid w:val="00C4208D"/>
    <w:rsid w:val="00C427FC"/>
    <w:rsid w:val="00C44FD0"/>
    <w:rsid w:val="00C4606F"/>
    <w:rsid w:val="00C4693B"/>
    <w:rsid w:val="00C50628"/>
    <w:rsid w:val="00C53422"/>
    <w:rsid w:val="00C603B5"/>
    <w:rsid w:val="00C6133A"/>
    <w:rsid w:val="00C617F5"/>
    <w:rsid w:val="00C62717"/>
    <w:rsid w:val="00C6318E"/>
    <w:rsid w:val="00C64128"/>
    <w:rsid w:val="00C649DA"/>
    <w:rsid w:val="00C65B07"/>
    <w:rsid w:val="00C674B3"/>
    <w:rsid w:val="00C7384D"/>
    <w:rsid w:val="00C73F92"/>
    <w:rsid w:val="00C746D0"/>
    <w:rsid w:val="00C7555F"/>
    <w:rsid w:val="00C760F2"/>
    <w:rsid w:val="00C766D0"/>
    <w:rsid w:val="00C76746"/>
    <w:rsid w:val="00C775B1"/>
    <w:rsid w:val="00C80D80"/>
    <w:rsid w:val="00C80F8B"/>
    <w:rsid w:val="00C8474A"/>
    <w:rsid w:val="00C849D6"/>
    <w:rsid w:val="00C84D47"/>
    <w:rsid w:val="00C86442"/>
    <w:rsid w:val="00C865BA"/>
    <w:rsid w:val="00C90023"/>
    <w:rsid w:val="00C90592"/>
    <w:rsid w:val="00C90C77"/>
    <w:rsid w:val="00C92881"/>
    <w:rsid w:val="00C92E3B"/>
    <w:rsid w:val="00C93B16"/>
    <w:rsid w:val="00C95D92"/>
    <w:rsid w:val="00C95E07"/>
    <w:rsid w:val="00C961CE"/>
    <w:rsid w:val="00C97FF6"/>
    <w:rsid w:val="00CA073B"/>
    <w:rsid w:val="00CA073F"/>
    <w:rsid w:val="00CA13F5"/>
    <w:rsid w:val="00CA4418"/>
    <w:rsid w:val="00CA4F70"/>
    <w:rsid w:val="00CA58B7"/>
    <w:rsid w:val="00CA7EBE"/>
    <w:rsid w:val="00CB09FF"/>
    <w:rsid w:val="00CB2714"/>
    <w:rsid w:val="00CB462D"/>
    <w:rsid w:val="00CB6FF6"/>
    <w:rsid w:val="00CC0864"/>
    <w:rsid w:val="00CC2C0E"/>
    <w:rsid w:val="00CC2D6E"/>
    <w:rsid w:val="00CD1AAB"/>
    <w:rsid w:val="00CD2EF6"/>
    <w:rsid w:val="00CD3E2D"/>
    <w:rsid w:val="00CD44AD"/>
    <w:rsid w:val="00CD4892"/>
    <w:rsid w:val="00CD6D53"/>
    <w:rsid w:val="00CD7733"/>
    <w:rsid w:val="00CD7EB7"/>
    <w:rsid w:val="00CE0473"/>
    <w:rsid w:val="00CE0C19"/>
    <w:rsid w:val="00CE1214"/>
    <w:rsid w:val="00CE4927"/>
    <w:rsid w:val="00CE753B"/>
    <w:rsid w:val="00CF015F"/>
    <w:rsid w:val="00CF2FC3"/>
    <w:rsid w:val="00D03F44"/>
    <w:rsid w:val="00D04854"/>
    <w:rsid w:val="00D04AF0"/>
    <w:rsid w:val="00D07012"/>
    <w:rsid w:val="00D105CA"/>
    <w:rsid w:val="00D11EE3"/>
    <w:rsid w:val="00D13F3F"/>
    <w:rsid w:val="00D145EF"/>
    <w:rsid w:val="00D14AE3"/>
    <w:rsid w:val="00D15EF7"/>
    <w:rsid w:val="00D200EC"/>
    <w:rsid w:val="00D205F9"/>
    <w:rsid w:val="00D21329"/>
    <w:rsid w:val="00D2303E"/>
    <w:rsid w:val="00D23B24"/>
    <w:rsid w:val="00D26FF8"/>
    <w:rsid w:val="00D2792A"/>
    <w:rsid w:val="00D30271"/>
    <w:rsid w:val="00D30B78"/>
    <w:rsid w:val="00D31CEE"/>
    <w:rsid w:val="00D32279"/>
    <w:rsid w:val="00D35420"/>
    <w:rsid w:val="00D37231"/>
    <w:rsid w:val="00D427C9"/>
    <w:rsid w:val="00D44309"/>
    <w:rsid w:val="00D46442"/>
    <w:rsid w:val="00D46BD2"/>
    <w:rsid w:val="00D5005D"/>
    <w:rsid w:val="00D50A21"/>
    <w:rsid w:val="00D50BCF"/>
    <w:rsid w:val="00D511B9"/>
    <w:rsid w:val="00D513D5"/>
    <w:rsid w:val="00D51482"/>
    <w:rsid w:val="00D52E6A"/>
    <w:rsid w:val="00D53F92"/>
    <w:rsid w:val="00D57A0E"/>
    <w:rsid w:val="00D60AF8"/>
    <w:rsid w:val="00D6167E"/>
    <w:rsid w:val="00D619C8"/>
    <w:rsid w:val="00D62004"/>
    <w:rsid w:val="00D62C75"/>
    <w:rsid w:val="00D65FC8"/>
    <w:rsid w:val="00D66CCA"/>
    <w:rsid w:val="00D716B5"/>
    <w:rsid w:val="00D7471C"/>
    <w:rsid w:val="00D74858"/>
    <w:rsid w:val="00D76861"/>
    <w:rsid w:val="00D77945"/>
    <w:rsid w:val="00D81AB9"/>
    <w:rsid w:val="00D82427"/>
    <w:rsid w:val="00D86858"/>
    <w:rsid w:val="00D87455"/>
    <w:rsid w:val="00D97A0A"/>
    <w:rsid w:val="00DA0490"/>
    <w:rsid w:val="00DA0598"/>
    <w:rsid w:val="00DA0EFA"/>
    <w:rsid w:val="00DA198F"/>
    <w:rsid w:val="00DA1EA0"/>
    <w:rsid w:val="00DA4093"/>
    <w:rsid w:val="00DA5E9D"/>
    <w:rsid w:val="00DA6431"/>
    <w:rsid w:val="00DA6EC2"/>
    <w:rsid w:val="00DB087C"/>
    <w:rsid w:val="00DB0988"/>
    <w:rsid w:val="00DB4EF5"/>
    <w:rsid w:val="00DB5786"/>
    <w:rsid w:val="00DB5F1A"/>
    <w:rsid w:val="00DB64C8"/>
    <w:rsid w:val="00DB6A0F"/>
    <w:rsid w:val="00DB7017"/>
    <w:rsid w:val="00DC0C0F"/>
    <w:rsid w:val="00DC4648"/>
    <w:rsid w:val="00DC4BBC"/>
    <w:rsid w:val="00DC7122"/>
    <w:rsid w:val="00DD440E"/>
    <w:rsid w:val="00DE266E"/>
    <w:rsid w:val="00DE2B04"/>
    <w:rsid w:val="00DE2EA4"/>
    <w:rsid w:val="00DE4F5C"/>
    <w:rsid w:val="00DE566A"/>
    <w:rsid w:val="00DE5B74"/>
    <w:rsid w:val="00DE6FF7"/>
    <w:rsid w:val="00DE7DCF"/>
    <w:rsid w:val="00DF697E"/>
    <w:rsid w:val="00E014F1"/>
    <w:rsid w:val="00E0204C"/>
    <w:rsid w:val="00E036BA"/>
    <w:rsid w:val="00E0380B"/>
    <w:rsid w:val="00E05688"/>
    <w:rsid w:val="00E13F13"/>
    <w:rsid w:val="00E1419F"/>
    <w:rsid w:val="00E166A8"/>
    <w:rsid w:val="00E167B2"/>
    <w:rsid w:val="00E16FC0"/>
    <w:rsid w:val="00E20739"/>
    <w:rsid w:val="00E23BFD"/>
    <w:rsid w:val="00E25A63"/>
    <w:rsid w:val="00E25ACC"/>
    <w:rsid w:val="00E30B07"/>
    <w:rsid w:val="00E313C7"/>
    <w:rsid w:val="00E3491A"/>
    <w:rsid w:val="00E3615E"/>
    <w:rsid w:val="00E44283"/>
    <w:rsid w:val="00E47E8A"/>
    <w:rsid w:val="00E525E2"/>
    <w:rsid w:val="00E53C24"/>
    <w:rsid w:val="00E53C93"/>
    <w:rsid w:val="00E57A1A"/>
    <w:rsid w:val="00E6336B"/>
    <w:rsid w:val="00E63499"/>
    <w:rsid w:val="00E63785"/>
    <w:rsid w:val="00E65470"/>
    <w:rsid w:val="00E657FF"/>
    <w:rsid w:val="00E659C3"/>
    <w:rsid w:val="00E7030F"/>
    <w:rsid w:val="00E70EAF"/>
    <w:rsid w:val="00E727A9"/>
    <w:rsid w:val="00E72E21"/>
    <w:rsid w:val="00E75740"/>
    <w:rsid w:val="00E757D5"/>
    <w:rsid w:val="00E77101"/>
    <w:rsid w:val="00E77584"/>
    <w:rsid w:val="00E77FCE"/>
    <w:rsid w:val="00E818AE"/>
    <w:rsid w:val="00E82091"/>
    <w:rsid w:val="00E82A2C"/>
    <w:rsid w:val="00E835F6"/>
    <w:rsid w:val="00E84CBE"/>
    <w:rsid w:val="00E86939"/>
    <w:rsid w:val="00E9058F"/>
    <w:rsid w:val="00E90C94"/>
    <w:rsid w:val="00E90D1F"/>
    <w:rsid w:val="00E91B28"/>
    <w:rsid w:val="00E947B5"/>
    <w:rsid w:val="00E947E5"/>
    <w:rsid w:val="00E976BF"/>
    <w:rsid w:val="00EA1EBD"/>
    <w:rsid w:val="00EA4618"/>
    <w:rsid w:val="00EA5122"/>
    <w:rsid w:val="00EA55DD"/>
    <w:rsid w:val="00EA718C"/>
    <w:rsid w:val="00EA7CE2"/>
    <w:rsid w:val="00EB37AA"/>
    <w:rsid w:val="00EB45D9"/>
    <w:rsid w:val="00EB5A34"/>
    <w:rsid w:val="00EB5D6D"/>
    <w:rsid w:val="00EB6977"/>
    <w:rsid w:val="00EB7BE0"/>
    <w:rsid w:val="00EC2AF6"/>
    <w:rsid w:val="00EC4091"/>
    <w:rsid w:val="00EC6B08"/>
    <w:rsid w:val="00EC71AA"/>
    <w:rsid w:val="00ED19FC"/>
    <w:rsid w:val="00ED35D0"/>
    <w:rsid w:val="00ED4B5F"/>
    <w:rsid w:val="00ED526E"/>
    <w:rsid w:val="00ED692F"/>
    <w:rsid w:val="00ED71F0"/>
    <w:rsid w:val="00EE2D8A"/>
    <w:rsid w:val="00EE5124"/>
    <w:rsid w:val="00EE63EF"/>
    <w:rsid w:val="00EF0AB6"/>
    <w:rsid w:val="00EF3222"/>
    <w:rsid w:val="00F01003"/>
    <w:rsid w:val="00F030B1"/>
    <w:rsid w:val="00F034DF"/>
    <w:rsid w:val="00F045DC"/>
    <w:rsid w:val="00F04A57"/>
    <w:rsid w:val="00F052BB"/>
    <w:rsid w:val="00F05BDD"/>
    <w:rsid w:val="00F07976"/>
    <w:rsid w:val="00F1128D"/>
    <w:rsid w:val="00F12150"/>
    <w:rsid w:val="00F1256E"/>
    <w:rsid w:val="00F13738"/>
    <w:rsid w:val="00F15C53"/>
    <w:rsid w:val="00F16FB5"/>
    <w:rsid w:val="00F2018A"/>
    <w:rsid w:val="00F21988"/>
    <w:rsid w:val="00F3054C"/>
    <w:rsid w:val="00F305AC"/>
    <w:rsid w:val="00F33821"/>
    <w:rsid w:val="00F37577"/>
    <w:rsid w:val="00F412D2"/>
    <w:rsid w:val="00F460C8"/>
    <w:rsid w:val="00F51A51"/>
    <w:rsid w:val="00F53C2C"/>
    <w:rsid w:val="00F54EC5"/>
    <w:rsid w:val="00F5706E"/>
    <w:rsid w:val="00F604BA"/>
    <w:rsid w:val="00F625DB"/>
    <w:rsid w:val="00F63DEE"/>
    <w:rsid w:val="00F64164"/>
    <w:rsid w:val="00F65E68"/>
    <w:rsid w:val="00F66FD5"/>
    <w:rsid w:val="00F7260F"/>
    <w:rsid w:val="00F7261A"/>
    <w:rsid w:val="00F72624"/>
    <w:rsid w:val="00F7450E"/>
    <w:rsid w:val="00F769AD"/>
    <w:rsid w:val="00F8315D"/>
    <w:rsid w:val="00F85644"/>
    <w:rsid w:val="00F873A4"/>
    <w:rsid w:val="00F91184"/>
    <w:rsid w:val="00F9332E"/>
    <w:rsid w:val="00F93371"/>
    <w:rsid w:val="00F93B2E"/>
    <w:rsid w:val="00F93BB5"/>
    <w:rsid w:val="00F97294"/>
    <w:rsid w:val="00F976F5"/>
    <w:rsid w:val="00FA3173"/>
    <w:rsid w:val="00FA3FF5"/>
    <w:rsid w:val="00FA4DBF"/>
    <w:rsid w:val="00FA5BF4"/>
    <w:rsid w:val="00FA74CC"/>
    <w:rsid w:val="00FB15C9"/>
    <w:rsid w:val="00FB2A3E"/>
    <w:rsid w:val="00FB2D56"/>
    <w:rsid w:val="00FB3F53"/>
    <w:rsid w:val="00FB4C3B"/>
    <w:rsid w:val="00FB6487"/>
    <w:rsid w:val="00FB6517"/>
    <w:rsid w:val="00FC01CA"/>
    <w:rsid w:val="00FC23C5"/>
    <w:rsid w:val="00FC33B3"/>
    <w:rsid w:val="00FC4CC3"/>
    <w:rsid w:val="00FC4F80"/>
    <w:rsid w:val="00FD0025"/>
    <w:rsid w:val="00FD052D"/>
    <w:rsid w:val="00FD474E"/>
    <w:rsid w:val="00FD6C50"/>
    <w:rsid w:val="00FD7E13"/>
    <w:rsid w:val="00FE1C22"/>
    <w:rsid w:val="00FE3400"/>
    <w:rsid w:val="00FE3C76"/>
    <w:rsid w:val="00FE77BA"/>
    <w:rsid w:val="00FF0266"/>
    <w:rsid w:val="00FF07E0"/>
    <w:rsid w:val="00FF2AC5"/>
    <w:rsid w:val="00FF76DF"/>
    <w:rsid w:val="00FF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6EB"/>
    <w:pPr>
      <w:spacing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7766EB"/>
    <w:pPr>
      <w:widowControl w:val="0"/>
    </w:pPr>
  </w:style>
  <w:style w:type="character" w:styleId="FootnoteReference">
    <w:name w:val="footnote reference"/>
    <w:rsid w:val="007766EB"/>
  </w:style>
  <w:style w:type="paragraph" w:styleId="Header">
    <w:name w:val="header"/>
    <w:basedOn w:val="Normal"/>
    <w:link w:val="HeaderChar"/>
    <w:uiPriority w:val="99"/>
    <w:semiHidden/>
    <w:unhideWhenUsed/>
    <w:rsid w:val="00F65E68"/>
    <w:pPr>
      <w:tabs>
        <w:tab w:val="center" w:pos="4680"/>
        <w:tab w:val="right" w:pos="9360"/>
      </w:tabs>
    </w:pPr>
  </w:style>
  <w:style w:type="character" w:customStyle="1" w:styleId="HeaderChar">
    <w:name w:val="Header Char"/>
    <w:basedOn w:val="DefaultParagraphFont"/>
    <w:link w:val="Header"/>
    <w:uiPriority w:val="99"/>
    <w:semiHidden/>
    <w:rsid w:val="00F65E6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65E68"/>
    <w:pPr>
      <w:tabs>
        <w:tab w:val="center" w:pos="4680"/>
        <w:tab w:val="right" w:pos="9360"/>
      </w:tabs>
    </w:pPr>
  </w:style>
  <w:style w:type="character" w:customStyle="1" w:styleId="FooterChar">
    <w:name w:val="Footer Char"/>
    <w:basedOn w:val="DefaultParagraphFont"/>
    <w:link w:val="Footer"/>
    <w:uiPriority w:val="99"/>
    <w:rsid w:val="00F65E68"/>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6EB"/>
    <w:pPr>
      <w:spacing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7766EB"/>
    <w:pPr>
      <w:widowControl w:val="0"/>
    </w:pPr>
  </w:style>
  <w:style w:type="character" w:styleId="FootnoteReference">
    <w:name w:val="footnote reference"/>
    <w:rsid w:val="007766EB"/>
  </w:style>
  <w:style w:type="paragraph" w:styleId="Header">
    <w:name w:val="header"/>
    <w:basedOn w:val="Normal"/>
    <w:link w:val="HeaderChar"/>
    <w:uiPriority w:val="99"/>
    <w:semiHidden/>
    <w:unhideWhenUsed/>
    <w:rsid w:val="00F65E68"/>
    <w:pPr>
      <w:tabs>
        <w:tab w:val="center" w:pos="4680"/>
        <w:tab w:val="right" w:pos="9360"/>
      </w:tabs>
    </w:pPr>
  </w:style>
  <w:style w:type="character" w:customStyle="1" w:styleId="HeaderChar">
    <w:name w:val="Header Char"/>
    <w:basedOn w:val="DefaultParagraphFont"/>
    <w:link w:val="Header"/>
    <w:uiPriority w:val="99"/>
    <w:semiHidden/>
    <w:rsid w:val="00F65E6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65E68"/>
    <w:pPr>
      <w:tabs>
        <w:tab w:val="center" w:pos="4680"/>
        <w:tab w:val="right" w:pos="9360"/>
      </w:tabs>
    </w:pPr>
  </w:style>
  <w:style w:type="character" w:customStyle="1" w:styleId="FooterChar">
    <w:name w:val="Footer Char"/>
    <w:basedOn w:val="DefaultParagraphFont"/>
    <w:link w:val="Footer"/>
    <w:uiPriority w:val="99"/>
    <w:rsid w:val="00F65E6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99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3181</Words>
  <Characters>18133</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21272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fxm</dc:creator>
  <cp:lastModifiedBy>Donnell, Tremaine</cp:lastModifiedBy>
  <cp:revision>2</cp:revision>
  <dcterms:created xsi:type="dcterms:W3CDTF">2014-10-14T21:12:00Z</dcterms:created>
  <dcterms:modified xsi:type="dcterms:W3CDTF">2014-10-14T21:12:00Z</dcterms:modified>
</cp:coreProperties>
</file>