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A9" w:rsidRDefault="001C22A9" w:rsidP="001C22A9">
      <w:pPr>
        <w:widowControl w:val="0"/>
        <w:rPr>
          <w:rFonts w:ascii="Arial" w:hAnsi="Arial"/>
          <w:sz w:val="22"/>
        </w:rPr>
      </w:pPr>
      <w:bookmarkStart w:id="0" w:name="_GoBack"/>
      <w:bookmarkEnd w:id="0"/>
      <w:r>
        <w:rPr>
          <w:rFonts w:ascii="Arial" w:hAnsi="Arial"/>
          <w:sz w:val="22"/>
        </w:rPr>
        <w:t>Section 22</w:t>
      </w:r>
    </w:p>
    <w:p w:rsidR="001C22A9" w:rsidRDefault="001C22A9" w:rsidP="001C22A9">
      <w:pPr>
        <w:widowControl w:val="0"/>
        <w:rPr>
          <w:rFonts w:ascii="Arial" w:hAnsi="Arial"/>
          <w:sz w:val="22"/>
        </w:rPr>
      </w:pPr>
    </w:p>
    <w:p w:rsidR="001C22A9" w:rsidRDefault="001C22A9" w:rsidP="001C22A9">
      <w:pPr>
        <w:widowControl w:val="0"/>
        <w:tabs>
          <w:tab w:val="center" w:pos="4680"/>
        </w:tabs>
        <w:rPr>
          <w:rFonts w:ascii="Arial" w:hAnsi="Arial"/>
          <w:sz w:val="22"/>
        </w:rPr>
      </w:pPr>
      <w:r>
        <w:rPr>
          <w:rFonts w:ascii="Arial" w:hAnsi="Arial"/>
          <w:sz w:val="22"/>
        </w:rPr>
        <w:tab/>
      </w:r>
      <w:r w:rsidR="00AD0AD1">
        <w:rPr>
          <w:rFonts w:ascii="Arial" w:hAnsi="Arial"/>
          <w:sz w:val="22"/>
        </w:rPr>
        <w:t>FINAL</w:t>
      </w:r>
      <w:r w:rsidR="00D8305A">
        <w:rPr>
          <w:rFonts w:ascii="Arial" w:hAnsi="Arial"/>
          <w:sz w:val="22"/>
        </w:rPr>
        <w:t xml:space="preserve"> </w:t>
      </w:r>
      <w:r>
        <w:rPr>
          <w:rFonts w:ascii="Arial" w:hAnsi="Arial"/>
          <w:sz w:val="22"/>
        </w:rPr>
        <w:t>SUPPORTING STATEMENT</w:t>
      </w:r>
    </w:p>
    <w:p w:rsidR="001C22A9" w:rsidRDefault="001C22A9" w:rsidP="001C22A9">
      <w:pPr>
        <w:widowControl w:val="0"/>
        <w:tabs>
          <w:tab w:val="center" w:pos="4680"/>
        </w:tabs>
        <w:rPr>
          <w:rFonts w:ascii="Arial" w:hAnsi="Arial"/>
          <w:sz w:val="22"/>
        </w:rPr>
      </w:pPr>
      <w:r>
        <w:rPr>
          <w:rFonts w:ascii="Arial" w:hAnsi="Arial"/>
          <w:sz w:val="22"/>
        </w:rPr>
        <w:tab/>
        <w:t>FOR</w:t>
      </w:r>
    </w:p>
    <w:p w:rsidR="001C22A9" w:rsidRDefault="001C22A9" w:rsidP="001C22A9">
      <w:pPr>
        <w:widowControl w:val="0"/>
        <w:tabs>
          <w:tab w:val="center" w:pos="4680"/>
        </w:tabs>
        <w:rPr>
          <w:rFonts w:ascii="Arial" w:hAnsi="Arial"/>
          <w:sz w:val="22"/>
        </w:rPr>
      </w:pPr>
      <w:r>
        <w:rPr>
          <w:rFonts w:ascii="Arial" w:hAnsi="Arial"/>
          <w:sz w:val="22"/>
        </w:rPr>
        <w:tab/>
        <w:t>LIMITATIONS ON THE USE OF HIGHLY ENRICHED URANIUM (HEU)</w:t>
      </w:r>
    </w:p>
    <w:p w:rsidR="001C22A9" w:rsidRDefault="001C22A9" w:rsidP="001C22A9">
      <w:pPr>
        <w:widowControl w:val="0"/>
        <w:tabs>
          <w:tab w:val="center" w:pos="4680"/>
        </w:tabs>
        <w:rPr>
          <w:rFonts w:ascii="Arial" w:hAnsi="Arial"/>
          <w:sz w:val="22"/>
        </w:rPr>
      </w:pPr>
      <w:r>
        <w:rPr>
          <w:rFonts w:ascii="Arial" w:hAnsi="Arial"/>
          <w:sz w:val="22"/>
        </w:rPr>
        <w:tab/>
        <w:t xml:space="preserve">IN DOMESTIC </w:t>
      </w:r>
      <w:r w:rsidR="00EB49C3">
        <w:rPr>
          <w:rFonts w:ascii="Arial" w:hAnsi="Arial"/>
          <w:sz w:val="22"/>
        </w:rPr>
        <w:t>NON-POWER</w:t>
      </w:r>
      <w:r>
        <w:rPr>
          <w:rFonts w:ascii="Arial" w:hAnsi="Arial"/>
          <w:sz w:val="22"/>
        </w:rPr>
        <w:t xml:space="preserve"> REACTORS</w:t>
      </w:r>
    </w:p>
    <w:p w:rsidR="001C22A9" w:rsidRDefault="001C22A9" w:rsidP="001C22A9">
      <w:pPr>
        <w:widowControl w:val="0"/>
        <w:rPr>
          <w:rFonts w:ascii="Arial" w:hAnsi="Arial"/>
          <w:sz w:val="22"/>
        </w:rPr>
      </w:pPr>
    </w:p>
    <w:p w:rsidR="001C22A9" w:rsidRPr="00D8305A" w:rsidRDefault="001C22A9" w:rsidP="001C22A9">
      <w:pPr>
        <w:widowControl w:val="0"/>
        <w:tabs>
          <w:tab w:val="center" w:pos="4680"/>
        </w:tabs>
        <w:rPr>
          <w:rFonts w:ascii="Arial" w:hAnsi="Arial"/>
          <w:sz w:val="22"/>
          <w:szCs w:val="22"/>
        </w:rPr>
      </w:pPr>
      <w:r>
        <w:rPr>
          <w:rFonts w:ascii="Arial" w:hAnsi="Arial"/>
          <w:sz w:val="22"/>
        </w:rPr>
        <w:tab/>
      </w:r>
      <w:r w:rsidR="008363DA" w:rsidRPr="008363DA">
        <w:rPr>
          <w:rFonts w:ascii="Arial" w:hAnsi="Arial"/>
          <w:sz w:val="22"/>
          <w:szCs w:val="22"/>
        </w:rPr>
        <w:t>10 CFR 50.64, 50.64(b</w:t>
      </w:r>
      <w:proofErr w:type="gramStart"/>
      <w:r w:rsidR="008363DA" w:rsidRPr="008363DA">
        <w:rPr>
          <w:rFonts w:ascii="Arial" w:hAnsi="Arial"/>
          <w:sz w:val="22"/>
          <w:szCs w:val="22"/>
        </w:rPr>
        <w:t>)(</w:t>
      </w:r>
      <w:proofErr w:type="gramEnd"/>
      <w:r w:rsidR="008363DA" w:rsidRPr="008363DA">
        <w:rPr>
          <w:rFonts w:ascii="Arial" w:hAnsi="Arial"/>
          <w:sz w:val="22"/>
          <w:szCs w:val="22"/>
        </w:rPr>
        <w:t>1), 50.64(c)(1), 50.64(c)(2)(i), 50.64(c)(2)(ii) and 50.64(c)(2)(iii)</w:t>
      </w:r>
    </w:p>
    <w:p w:rsidR="001C22A9" w:rsidRDefault="001C22A9" w:rsidP="001C22A9">
      <w:pPr>
        <w:widowControl w:val="0"/>
        <w:rPr>
          <w:rFonts w:ascii="Arial" w:hAnsi="Arial"/>
          <w:sz w:val="22"/>
        </w:rPr>
      </w:pPr>
    </w:p>
    <w:p w:rsidR="001C22A9" w:rsidRDefault="001C22A9" w:rsidP="001C22A9">
      <w:pPr>
        <w:widowControl w:val="0"/>
        <w:rPr>
          <w:rFonts w:ascii="Arial" w:hAnsi="Arial"/>
          <w:sz w:val="22"/>
        </w:rPr>
      </w:pPr>
      <w:r>
        <w:rPr>
          <w:rFonts w:ascii="Arial" w:hAnsi="Arial"/>
          <w:sz w:val="22"/>
          <w:u w:val="single"/>
        </w:rPr>
        <w:t>DESCRIPTION OF THE INFORMATION COLLECTION</w:t>
      </w:r>
    </w:p>
    <w:p w:rsidR="001C22A9" w:rsidRDefault="001C22A9" w:rsidP="001C22A9">
      <w:pPr>
        <w:widowControl w:val="0"/>
        <w:rPr>
          <w:rFonts w:ascii="Arial" w:hAnsi="Arial"/>
          <w:sz w:val="22"/>
        </w:rPr>
      </w:pPr>
    </w:p>
    <w:p w:rsidR="001C22A9" w:rsidRDefault="001C22A9" w:rsidP="001C22A9">
      <w:pPr>
        <w:widowControl w:val="0"/>
        <w:rPr>
          <w:rFonts w:ascii="Arial" w:hAnsi="Arial"/>
          <w:sz w:val="22"/>
        </w:rPr>
      </w:pPr>
      <w:r>
        <w:rPr>
          <w:rFonts w:ascii="Arial" w:hAnsi="Arial"/>
          <w:sz w:val="22"/>
        </w:rPr>
        <w:t>Section 50.64(b</w:t>
      </w:r>
      <w:proofErr w:type="gramStart"/>
      <w:r>
        <w:rPr>
          <w:rFonts w:ascii="Arial" w:hAnsi="Arial"/>
          <w:sz w:val="22"/>
        </w:rPr>
        <w:t>)(</w:t>
      </w:r>
      <w:proofErr w:type="gramEnd"/>
      <w:r>
        <w:rPr>
          <w:rFonts w:ascii="Arial" w:hAnsi="Arial"/>
          <w:sz w:val="22"/>
        </w:rPr>
        <w:t xml:space="preserve">1) limits the use of highly enriched uranium (HEU) fuel in </w:t>
      </w:r>
      <w:r w:rsidR="00EB49C3">
        <w:rPr>
          <w:rFonts w:ascii="Arial" w:hAnsi="Arial"/>
          <w:sz w:val="22"/>
        </w:rPr>
        <w:t>non-power</w:t>
      </w:r>
      <w:r>
        <w:rPr>
          <w:rFonts w:ascii="Arial" w:hAnsi="Arial"/>
          <w:sz w:val="22"/>
        </w:rPr>
        <w:t xml:space="preserve"> reactors.  This regulation requires that new </w:t>
      </w:r>
      <w:r w:rsidR="00EB49C3">
        <w:rPr>
          <w:rFonts w:ascii="Arial" w:hAnsi="Arial"/>
          <w:sz w:val="22"/>
        </w:rPr>
        <w:t>non-power</w:t>
      </w:r>
      <w:r>
        <w:rPr>
          <w:rFonts w:ascii="Arial" w:hAnsi="Arial"/>
          <w:sz w:val="22"/>
        </w:rPr>
        <w:t xml:space="preserve"> reactors use low enriched uranium (LEU) fuel unless the applicant demonstrates a “unique purpose” as defined in 50.2.  Moreover, section 50.64(b</w:t>
      </w:r>
      <w:proofErr w:type="gramStart"/>
      <w:r>
        <w:rPr>
          <w:rFonts w:ascii="Arial" w:hAnsi="Arial"/>
          <w:sz w:val="22"/>
        </w:rPr>
        <w:t>)(</w:t>
      </w:r>
      <w:proofErr w:type="gramEnd"/>
      <w:r>
        <w:rPr>
          <w:rFonts w:ascii="Arial" w:hAnsi="Arial"/>
          <w:sz w:val="22"/>
        </w:rPr>
        <w:t xml:space="preserve">2) requires that existing </w:t>
      </w:r>
      <w:r w:rsidR="00EB49C3">
        <w:rPr>
          <w:rFonts w:ascii="Arial" w:hAnsi="Arial"/>
          <w:sz w:val="22"/>
        </w:rPr>
        <w:t>non-power</w:t>
      </w:r>
      <w:r>
        <w:rPr>
          <w:rFonts w:ascii="Arial" w:hAnsi="Arial"/>
          <w:sz w:val="22"/>
        </w:rPr>
        <w:t xml:space="preserve"> reactors replace HEU fuel with acceptable LEU fuel when available.</w:t>
      </w:r>
    </w:p>
    <w:p w:rsidR="001C22A9" w:rsidRDefault="001C22A9" w:rsidP="001C22A9">
      <w:pPr>
        <w:widowControl w:val="0"/>
        <w:rPr>
          <w:rFonts w:ascii="Arial" w:hAnsi="Arial"/>
          <w:sz w:val="22"/>
        </w:rPr>
      </w:pPr>
    </w:p>
    <w:p w:rsidR="001C22A9" w:rsidRDefault="001C22A9" w:rsidP="001C22A9">
      <w:pPr>
        <w:widowControl w:val="0"/>
        <w:rPr>
          <w:rFonts w:ascii="Arial" w:hAnsi="Arial"/>
          <w:sz w:val="22"/>
        </w:rPr>
      </w:pPr>
      <w:r>
        <w:rPr>
          <w:rFonts w:ascii="Arial" w:hAnsi="Arial"/>
          <w:sz w:val="22"/>
        </w:rPr>
        <w:t xml:space="preserve">Section 50.64(c)(1) states any request by a licensee for a determination that a non-power reactor has a unique purpose as defined in 50.2 should be submitted with supporting documentation to the Director of the Office of Nuclear Reactor Regulation. </w:t>
      </w:r>
    </w:p>
    <w:p w:rsidR="001C22A9" w:rsidRDefault="001C22A9" w:rsidP="001C22A9">
      <w:pPr>
        <w:widowControl w:val="0"/>
        <w:rPr>
          <w:rFonts w:ascii="Arial" w:hAnsi="Arial"/>
          <w:sz w:val="22"/>
        </w:rPr>
      </w:pPr>
    </w:p>
    <w:p w:rsidR="001C22A9" w:rsidRDefault="001C22A9" w:rsidP="001C22A9">
      <w:pPr>
        <w:widowControl w:val="0"/>
        <w:rPr>
          <w:rFonts w:ascii="Arial" w:hAnsi="Arial"/>
          <w:sz w:val="22"/>
        </w:rPr>
      </w:pPr>
      <w:r>
        <w:rPr>
          <w:rFonts w:ascii="Arial" w:hAnsi="Arial"/>
          <w:sz w:val="22"/>
        </w:rPr>
        <w:t>Section 50.64(c)(2)(i) requires that licensees authorized to possess and use HEU fuel submit to the NRC written documentation containing a schedule of when a Safety Analysis Report will be submitted and when other events will take place in the conversion from HEU to LEU fuel.  This documentation should be updated annually until the Safety Analysis Report is submitted.  This documentation containing the schedule will be based upon the availability of replacement fuel acceptable to the NRC and consideration of other factors such as the availability of shipping casks, financial support, and reactor usage.</w:t>
      </w:r>
    </w:p>
    <w:p w:rsidR="001C22A9" w:rsidRDefault="001C22A9" w:rsidP="001C22A9">
      <w:pPr>
        <w:widowControl w:val="0"/>
        <w:rPr>
          <w:rFonts w:ascii="Arial" w:hAnsi="Arial"/>
          <w:sz w:val="22"/>
        </w:rPr>
      </w:pPr>
    </w:p>
    <w:p w:rsidR="001C22A9" w:rsidRDefault="001C22A9" w:rsidP="001C22A9">
      <w:pPr>
        <w:widowControl w:val="0"/>
        <w:rPr>
          <w:rFonts w:ascii="Arial" w:hAnsi="Arial"/>
          <w:sz w:val="22"/>
        </w:rPr>
      </w:pPr>
      <w:r>
        <w:rPr>
          <w:rFonts w:ascii="Arial" w:hAnsi="Arial"/>
          <w:sz w:val="22"/>
        </w:rPr>
        <w:t xml:space="preserve">Section 50.64(c)(2)(ii) requires the licensee authorized to possess and use HEU fuel to submit a statement to the NRC that Federal Government funding for conversion to LEU is not available (with supporting documentation) in lieu of the requirement of section 50.64(c)(2)(i) above.  If this statement of non-availability of Federal Government funding is submitted, the licensee will be required to resubmit a proposal for meeting the requirements of 50.64(b)(2) or (3) at 12-month intervals.  </w:t>
      </w:r>
    </w:p>
    <w:p w:rsidR="001C22A9" w:rsidRDefault="001C22A9" w:rsidP="001C22A9">
      <w:pPr>
        <w:widowControl w:val="0"/>
        <w:rPr>
          <w:rFonts w:ascii="Arial" w:hAnsi="Arial"/>
          <w:sz w:val="22"/>
        </w:rPr>
      </w:pPr>
    </w:p>
    <w:p w:rsidR="001C22A9" w:rsidRDefault="001C22A9" w:rsidP="001C22A9">
      <w:pPr>
        <w:widowControl w:val="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2)(iii) requires that the proposal include, to the extent required to effect the conversion, all necessary changes in the license, facility, or procedures.  Supporting safety analyses should also be provided so as to meet the schedule established for conversion.</w:t>
      </w:r>
    </w:p>
    <w:p w:rsidR="001C22A9" w:rsidRDefault="001C22A9" w:rsidP="001C22A9">
      <w:pPr>
        <w:widowControl w:val="0"/>
        <w:rPr>
          <w:rFonts w:ascii="Arial" w:hAnsi="Arial"/>
          <w:sz w:val="22"/>
        </w:rPr>
      </w:pPr>
    </w:p>
    <w:p w:rsidR="001C22A9" w:rsidRDefault="001C22A9" w:rsidP="001C22A9">
      <w:pPr>
        <w:widowControl w:val="0"/>
        <w:rPr>
          <w:rFonts w:ascii="Arial" w:hAnsi="Arial"/>
          <w:sz w:val="22"/>
        </w:rPr>
      </w:pPr>
    </w:p>
    <w:p w:rsidR="001C22A9" w:rsidRDefault="001C22A9" w:rsidP="001C22A9">
      <w:pPr>
        <w:widowControl w:val="0"/>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1C22A9" w:rsidRPr="00745E42" w:rsidRDefault="001C22A9" w:rsidP="001C22A9">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FF0000"/>
          <w:sz w:val="22"/>
          <w:szCs w:val="22"/>
        </w:rPr>
      </w:pPr>
    </w:p>
    <w:p w:rsidR="001C22A9" w:rsidRDefault="001C22A9" w:rsidP="001C22A9">
      <w:pPr>
        <w:widowControl w:val="0"/>
        <w:ind w:left="1440"/>
        <w:rPr>
          <w:rFonts w:ascii="Arial" w:hAnsi="Arial"/>
          <w:sz w:val="22"/>
        </w:rPr>
      </w:pPr>
      <w:r>
        <w:rPr>
          <w:rFonts w:ascii="Arial" w:hAnsi="Arial"/>
          <w:sz w:val="22"/>
        </w:rPr>
        <w:t xml:space="preserve">A Commission policy statement published August 24, 1982 (47 FR 37007), explains NRC's interest in reducing the use of HEU in </w:t>
      </w:r>
      <w:r w:rsidR="00EB49C3">
        <w:rPr>
          <w:rFonts w:ascii="Arial" w:hAnsi="Arial"/>
          <w:sz w:val="22"/>
        </w:rPr>
        <w:t>non-power</w:t>
      </w:r>
      <w:r>
        <w:rPr>
          <w:rFonts w:ascii="Arial" w:hAnsi="Arial"/>
          <w:sz w:val="22"/>
        </w:rPr>
        <w:t xml:space="preserve"> reactors.  This interest stems from NRC's licensing responsibility for both domestic use and for export of HEU and concern about risks of theft or diversion of this material.</w:t>
      </w:r>
    </w:p>
    <w:p w:rsidR="001C22A9" w:rsidRDefault="001C22A9" w:rsidP="001C22A9">
      <w:pPr>
        <w:widowControl w:val="0"/>
        <w:rPr>
          <w:rFonts w:ascii="Arial" w:hAnsi="Arial"/>
          <w:sz w:val="22"/>
        </w:rPr>
      </w:pPr>
    </w:p>
    <w:p w:rsidR="008E1CEA" w:rsidRDefault="008E1CEA">
      <w:pPr>
        <w:spacing w:line="276" w:lineRule="auto"/>
        <w:rPr>
          <w:rFonts w:ascii="Arial" w:hAnsi="Arial"/>
          <w:sz w:val="22"/>
        </w:rPr>
      </w:pPr>
      <w:r>
        <w:rPr>
          <w:rFonts w:ascii="Arial" w:hAnsi="Arial"/>
          <w:sz w:val="22"/>
        </w:rPr>
        <w:br w:type="page"/>
      </w:r>
    </w:p>
    <w:p w:rsidR="001C22A9" w:rsidRDefault="001C22A9" w:rsidP="001C22A9">
      <w:pPr>
        <w:widowControl w:val="0"/>
        <w:ind w:left="1440"/>
        <w:rPr>
          <w:rFonts w:ascii="Arial" w:hAnsi="Arial"/>
          <w:sz w:val="22"/>
        </w:rPr>
      </w:pPr>
      <w:r>
        <w:rPr>
          <w:rFonts w:ascii="Arial" w:hAnsi="Arial"/>
          <w:sz w:val="22"/>
        </w:rPr>
        <w:lastRenderedPageBreak/>
        <w:t xml:space="preserve">The policy statement also describes a continuing program to develop and demonstrate the technology that will facilitate the use of reduced enrichment fuels.  The reduced enrichment for </w:t>
      </w:r>
      <w:r w:rsidR="00EB49C3">
        <w:rPr>
          <w:rFonts w:ascii="Arial" w:hAnsi="Arial"/>
          <w:sz w:val="22"/>
        </w:rPr>
        <w:t>non-power</w:t>
      </w:r>
      <w:r>
        <w:rPr>
          <w:rFonts w:ascii="Arial" w:hAnsi="Arial"/>
          <w:sz w:val="22"/>
        </w:rPr>
        <w:t xml:space="preserve"> reactors (RERTR) program was initiated by the Department of Energy (DOE) and is managed by the Argonne National Laboratory.  Its objective is to prove the ability of new LEU fuels to replace existing HEU fuel without significant changes to existing reactor cores or facilities, or significant decrease in performance characteristics of the reactors.</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 xml:space="preserve">Information shows that a major consideration is the cost of conversion.  NRC shares the licensees' expressed view that conversion costs should largely or entirely be financed by the Federal government.  Historically, the DOE and its predecessor agencies have provided significant support to </w:t>
      </w:r>
      <w:r w:rsidR="00EB49C3">
        <w:rPr>
          <w:rFonts w:ascii="Arial" w:hAnsi="Arial"/>
          <w:sz w:val="22"/>
        </w:rPr>
        <w:t>non-power</w:t>
      </w:r>
      <w:r>
        <w:rPr>
          <w:rFonts w:ascii="Arial" w:hAnsi="Arial"/>
          <w:sz w:val="22"/>
        </w:rPr>
        <w:t xml:space="preserve"> reactor programs.  The availability of Federal support will be considered in determining the availability of LEU fuel and final schedules for conversion.</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 xml:space="preserve">Section 50.64, "Limitations on the Use of Highly Enriched Uranium (HEU) in Domestic </w:t>
      </w:r>
      <w:r w:rsidR="00EB49C3">
        <w:rPr>
          <w:rFonts w:ascii="Arial" w:hAnsi="Arial"/>
          <w:sz w:val="22"/>
        </w:rPr>
        <w:t>Non-power</w:t>
      </w:r>
      <w:r>
        <w:rPr>
          <w:rFonts w:ascii="Arial" w:hAnsi="Arial"/>
          <w:sz w:val="22"/>
        </w:rPr>
        <w:t xml:space="preserve"> Reactors," is intended to reduce the risk of theft or diversion of HEU fuel used in </w:t>
      </w:r>
      <w:r w:rsidR="00EB49C3">
        <w:rPr>
          <w:rFonts w:ascii="Arial" w:hAnsi="Arial"/>
          <w:sz w:val="22"/>
        </w:rPr>
        <w:t>non-power</w:t>
      </w:r>
      <w:r>
        <w:rPr>
          <w:rFonts w:ascii="Arial" w:hAnsi="Arial"/>
          <w:sz w:val="22"/>
        </w:rPr>
        <w:t xml:space="preserve"> reactors.  The reduction in domestic use of HEU fuel may encourage similar action by foreign research reactor operations, and thereby reduce the amount of HEU fuel in international use.</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A respondent may request of the NRC a unique purpose exemption with supporting information pursuant to 10 CFR 50.64(c</w:t>
      </w:r>
      <w:proofErr w:type="gramStart"/>
      <w:r>
        <w:rPr>
          <w:rFonts w:ascii="Arial" w:hAnsi="Arial"/>
          <w:sz w:val="22"/>
        </w:rPr>
        <w:t>)(</w:t>
      </w:r>
      <w:proofErr w:type="gramEnd"/>
      <w:r>
        <w:rPr>
          <w:rFonts w:ascii="Arial" w:hAnsi="Arial"/>
          <w:sz w:val="22"/>
        </w:rPr>
        <w:t xml:space="preserve">1).  The NRC will use the information to make a determination that the nuclear </w:t>
      </w:r>
      <w:r w:rsidR="00EB49C3">
        <w:rPr>
          <w:rFonts w:ascii="Arial" w:hAnsi="Arial"/>
          <w:sz w:val="22"/>
        </w:rPr>
        <w:t>non-power</w:t>
      </w:r>
      <w:r>
        <w:rPr>
          <w:rFonts w:ascii="Arial" w:hAnsi="Arial"/>
          <w:sz w:val="22"/>
        </w:rPr>
        <w:t xml:space="preserve"> reactor has a unique purpose as defined in 10 CFR 50.2.</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A respondent will develop and submit to the NRC pursuant to 10 CFR 50.64(c</w:t>
      </w:r>
      <w:proofErr w:type="gramStart"/>
      <w:r>
        <w:rPr>
          <w:rFonts w:ascii="Arial" w:hAnsi="Arial"/>
          <w:sz w:val="22"/>
        </w:rPr>
        <w:t>)(</w:t>
      </w:r>
      <w:proofErr w:type="gramEnd"/>
      <w:r>
        <w:rPr>
          <w:rFonts w:ascii="Arial" w:hAnsi="Arial"/>
          <w:sz w:val="22"/>
        </w:rPr>
        <w:t xml:space="preserve">2) a proposed schedule for meeting the requirements of 10 CFR 50.64(b)(2) or (3).  This schedule must be updated annually until the Safety Analysis Report is submitted.  The proposed schedule must be based upon availability of replacement fuel acceptable to the Commission and consideration of other factors such as the availability of shipping casks, financial support, and reactor usage.  NRC will use the proposed </w:t>
      </w:r>
      <w:proofErr w:type="gramStart"/>
      <w:r>
        <w:rPr>
          <w:rFonts w:ascii="Arial" w:hAnsi="Arial"/>
          <w:sz w:val="22"/>
        </w:rPr>
        <w:t>schedule plus</w:t>
      </w:r>
      <w:proofErr w:type="gramEnd"/>
      <w:r>
        <w:rPr>
          <w:rFonts w:ascii="Arial" w:hAnsi="Arial"/>
          <w:sz w:val="22"/>
        </w:rPr>
        <w:t xml:space="preserve"> the results of the successful accomplishment of the tasks set out in DOE's RERTR program and the development of commercially available replacement fuel to determine a final schedule.  </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 xml:space="preserve">The proposed schedule for meeting the requirements of 10 CFR 50.64(c)(2) will require a comparison between the licensee's existing fuel design and fuels developed or projected for development under the documented RERTR program.  Coordination with NRC to formulate proposed schedules for regulatory review and with DOE to develop fuel procurement and supporting equipment schedules will be required.  </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br w:type="page"/>
      </w:r>
      <w:r>
        <w:rPr>
          <w:rFonts w:ascii="Arial" w:hAnsi="Arial"/>
          <w:sz w:val="22"/>
        </w:rPr>
        <w:lastRenderedPageBreak/>
        <w:t>NRC will review the supportive safety analyses required by the provisions of Section 50.64(c</w:t>
      </w:r>
      <w:proofErr w:type="gramStart"/>
      <w:r>
        <w:rPr>
          <w:rFonts w:ascii="Arial" w:hAnsi="Arial"/>
          <w:sz w:val="22"/>
        </w:rPr>
        <w:t>)(</w:t>
      </w:r>
      <w:proofErr w:type="gramEnd"/>
      <w:r>
        <w:rPr>
          <w:rFonts w:ascii="Arial" w:hAnsi="Arial"/>
          <w:sz w:val="22"/>
        </w:rPr>
        <w:t>2)(iii).  Subsequent to this review, the Director of the Office of Nuclear Reactor Regulation will issue an appropriate enforcement order directing both the conversion and, to the extent consistent with protection of public health and safety, any necessary changes to the license, facility, or procedures.</w:t>
      </w:r>
    </w:p>
    <w:p w:rsidR="001C22A9" w:rsidRDefault="001C22A9" w:rsidP="001C22A9">
      <w:pPr>
        <w:widowControl w:val="0"/>
        <w:ind w:left="144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rsidR="001C22A9" w:rsidRDefault="001C22A9" w:rsidP="001C22A9">
      <w:pPr>
        <w:widowControl w:val="0"/>
        <w:rPr>
          <w:rFonts w:ascii="Arial" w:hAnsi="Arial"/>
          <w:sz w:val="22"/>
        </w:rPr>
      </w:pPr>
    </w:p>
    <w:p w:rsidR="001C22A9" w:rsidRDefault="001C22A9" w:rsidP="001C22A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EB49C3">
        <w:rPr>
          <w:rFonts w:ascii="Arial" w:hAnsi="Arial"/>
          <w:sz w:val="22"/>
        </w:rPr>
        <w:t>100</w:t>
      </w:r>
      <w:r>
        <w:rPr>
          <w:rFonts w:ascii="Arial" w:hAnsi="Arial"/>
          <w:sz w:val="22"/>
        </w:rPr>
        <w:t>% of the potential responses are filed electronically.</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 to Identify Duplication and Use Similar Information</w:t>
      </w:r>
    </w:p>
    <w:p w:rsidR="001C22A9" w:rsidRDefault="001C22A9" w:rsidP="001C22A9">
      <w:pPr>
        <w:widowControl w:val="0"/>
        <w:rPr>
          <w:rFonts w:ascii="Arial" w:hAnsi="Arial"/>
          <w:sz w:val="22"/>
        </w:rPr>
      </w:pPr>
    </w:p>
    <w:p w:rsidR="001C22A9" w:rsidRPr="00EB6D01" w:rsidRDefault="001C22A9" w:rsidP="001C22A9">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szCs w:val="22"/>
        </w:rPr>
      </w:pPr>
      <w:r w:rsidRPr="00EB6D01">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 xml:space="preserve">This information collection affects universities, a corporation and a government agency.  </w:t>
      </w:r>
      <w:r w:rsidR="008E1CEA">
        <w:rPr>
          <w:rFonts w:ascii="Arial" w:hAnsi="Arial"/>
          <w:sz w:val="22"/>
        </w:rPr>
        <w:t>None of these respondents are small businesses.</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Information to justify use of HEU or to schedule its discontinuance is necessary to protect the health and safety of the public.</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This information collection does not vary from OMB guidelines.</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1C22A9" w:rsidRDefault="001C22A9" w:rsidP="001C22A9">
      <w:pPr>
        <w:widowControl w:val="0"/>
        <w:rPr>
          <w:rFonts w:ascii="Arial" w:hAnsi="Arial"/>
          <w:sz w:val="22"/>
        </w:rPr>
      </w:pPr>
    </w:p>
    <w:p w:rsidR="00E736BF" w:rsidRDefault="00E736BF" w:rsidP="00E736BF">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u w:val="single"/>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1C22A9" w:rsidRDefault="001C22A9" w:rsidP="001C22A9">
      <w:pPr>
        <w:widowControl w:val="0"/>
        <w:rPr>
          <w:rFonts w:ascii="Arial" w:hAnsi="Arial"/>
          <w:sz w:val="22"/>
        </w:rPr>
      </w:pPr>
    </w:p>
    <w:p w:rsidR="001C22A9" w:rsidRDefault="001C22A9" w:rsidP="001C22A9">
      <w:pPr>
        <w:widowControl w:val="0"/>
        <w:ind w:left="1440"/>
        <w:rPr>
          <w:rFonts w:ascii="Arial" w:hAnsi="Arial"/>
          <w:sz w:val="22"/>
        </w:rPr>
      </w:pPr>
      <w:r>
        <w:rPr>
          <w:rFonts w:ascii="Arial" w:hAnsi="Arial"/>
          <w:sz w:val="22"/>
        </w:rPr>
        <w:t>Not applicable.</w:t>
      </w:r>
    </w:p>
    <w:p w:rsidR="001C22A9" w:rsidRDefault="001C22A9" w:rsidP="001C22A9">
      <w:pPr>
        <w:widowControl w:val="0"/>
        <w:rPr>
          <w:rFonts w:ascii="Arial" w:hAnsi="Arial"/>
          <w:sz w:val="22"/>
        </w:rPr>
      </w:pPr>
    </w:p>
    <w:p w:rsidR="008E1CEA" w:rsidRDefault="008E1CEA">
      <w:pPr>
        <w:spacing w:line="276" w:lineRule="auto"/>
        <w:rPr>
          <w:rFonts w:ascii="Arial" w:hAnsi="Arial"/>
          <w:sz w:val="22"/>
        </w:rPr>
      </w:pPr>
      <w:r>
        <w:rPr>
          <w:rFonts w:ascii="Arial" w:hAnsi="Arial"/>
          <w:sz w:val="22"/>
        </w:rPr>
        <w:br w:type="page"/>
      </w:r>
    </w:p>
    <w:p w:rsidR="001C22A9" w:rsidRDefault="001C22A9" w:rsidP="001C22A9">
      <w:pPr>
        <w:widowControl w:val="0"/>
        <w:ind w:left="1440" w:hanging="720"/>
        <w:rPr>
          <w:rFonts w:ascii="Arial" w:hAnsi="Arial"/>
          <w:sz w:val="22"/>
        </w:rPr>
      </w:pPr>
      <w:r>
        <w:rPr>
          <w:rFonts w:ascii="Arial" w:hAnsi="Arial"/>
          <w:sz w:val="22"/>
        </w:rPr>
        <w:lastRenderedPageBreak/>
        <w:t>10.</w:t>
      </w:r>
      <w:r>
        <w:rPr>
          <w:rFonts w:ascii="Arial" w:hAnsi="Arial"/>
          <w:sz w:val="22"/>
        </w:rPr>
        <w:tab/>
      </w:r>
      <w:r>
        <w:rPr>
          <w:rFonts w:ascii="Arial" w:hAnsi="Arial"/>
          <w:sz w:val="22"/>
          <w:u w:val="single"/>
        </w:rPr>
        <w:t>Confidentiality of Information</w:t>
      </w:r>
    </w:p>
    <w:p w:rsidR="001C22A9" w:rsidRDefault="001C22A9" w:rsidP="001C22A9">
      <w:pPr>
        <w:widowControl w:val="0"/>
        <w:rPr>
          <w:rFonts w:ascii="Arial" w:hAnsi="Arial"/>
          <w:sz w:val="22"/>
        </w:rPr>
      </w:pPr>
    </w:p>
    <w:p w:rsidR="001C22A9" w:rsidRPr="008123CF" w:rsidRDefault="001C22A9" w:rsidP="001C22A9">
      <w:pPr>
        <w:tabs>
          <w:tab w:val="left" w:pos="-1440"/>
          <w:tab w:val="left" w:pos="-36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EB6D01">
        <w:rPr>
          <w:rFonts w:ascii="Arial" w:hAnsi="Arial"/>
          <w:sz w:val="22"/>
        </w:rPr>
        <w:t>Confidential and proprietary information is protected in accordance with NRC regulations at 10 CFR 9.17 (a) and 10 CFR 2.390 (b)</w:t>
      </w:r>
      <w:r>
        <w:rPr>
          <w:rFonts w:ascii="Arial" w:hAnsi="Arial"/>
          <w:sz w:val="22"/>
        </w:rPr>
        <w:t>.</w:t>
      </w:r>
    </w:p>
    <w:p w:rsidR="001C22A9" w:rsidRPr="008123CF"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1C22A9" w:rsidRDefault="001C22A9" w:rsidP="001C22A9">
      <w:pPr>
        <w:widowControl w:val="0"/>
        <w:rPr>
          <w:rFonts w:ascii="Arial" w:hAnsi="Arial"/>
          <w:sz w:val="22"/>
        </w:rPr>
      </w:pPr>
    </w:p>
    <w:p w:rsidR="001C22A9" w:rsidRDefault="00CE5050" w:rsidP="00CE5050">
      <w:pPr>
        <w:widowControl w:val="0"/>
        <w:ind w:left="1440"/>
        <w:rPr>
          <w:rFonts w:ascii="Arial" w:hAnsi="Arial"/>
          <w:sz w:val="22"/>
        </w:rPr>
      </w:pPr>
      <w:r>
        <w:rPr>
          <w:rFonts w:ascii="Arial" w:hAnsi="Arial"/>
          <w:sz w:val="22"/>
        </w:rPr>
        <w:t>Not applicable.</w:t>
      </w:r>
    </w:p>
    <w:p w:rsidR="001C22A9" w:rsidRDefault="001C22A9" w:rsidP="001C22A9">
      <w:pPr>
        <w:widowControl w:val="0"/>
        <w:rPr>
          <w:rFonts w:ascii="Arial" w:hAnsi="Arial"/>
          <w:sz w:val="22"/>
        </w:rPr>
      </w:pPr>
    </w:p>
    <w:p w:rsidR="001C22A9" w:rsidRDefault="001C22A9" w:rsidP="001C22A9">
      <w:pPr>
        <w:widowControl w:val="0"/>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Industry Burden and Burden Hour Cost</w:t>
      </w:r>
    </w:p>
    <w:p w:rsidR="001C22A9" w:rsidRDefault="001C22A9" w:rsidP="001C22A9">
      <w:pPr>
        <w:widowControl w:val="0"/>
        <w:rPr>
          <w:rFonts w:ascii="Arial" w:hAnsi="Arial"/>
          <w:sz w:val="22"/>
        </w:rPr>
      </w:pPr>
    </w:p>
    <w:p w:rsidR="001C22A9" w:rsidRDefault="001C22A9" w:rsidP="00CE5050">
      <w:pPr>
        <w:widowControl w:val="0"/>
        <w:ind w:left="1440"/>
        <w:rPr>
          <w:rFonts w:ascii="Arial" w:hAnsi="Arial"/>
          <w:sz w:val="22"/>
        </w:rPr>
      </w:pPr>
      <w:r>
        <w:rPr>
          <w:rFonts w:ascii="Arial" w:hAnsi="Arial"/>
          <w:sz w:val="22"/>
        </w:rPr>
        <w:t>Burden estimates discussed below are based on industry experience.</w:t>
      </w:r>
      <w:r w:rsidR="00CE5050">
        <w:rPr>
          <w:rFonts w:ascii="Arial" w:hAnsi="Arial"/>
          <w:sz w:val="22"/>
        </w:rPr>
        <w:t xml:space="preserve">  Total industry burden is 1,100 hours at a cost of $301,400 (1,100 hours x $274/hr).</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Pr="00EC4E3D" w:rsidRDefault="008363DA"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u w:val="single"/>
        </w:rPr>
      </w:pPr>
      <w:r w:rsidRPr="008363DA">
        <w:rPr>
          <w:rFonts w:ascii="Arial" w:hAnsi="Arial"/>
          <w:sz w:val="22"/>
          <w:u w:val="single"/>
        </w:rPr>
        <w:t>Reporting:</w:t>
      </w:r>
    </w:p>
    <w:p w:rsidR="001C22A9" w:rsidRDefault="001C22A9"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DD1898" w:rsidRPr="00DD1898" w:rsidRDefault="00DD1898" w:rsidP="00DD1898">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sidRPr="00DD1898">
        <w:rPr>
          <w:rFonts w:ascii="Arial" w:hAnsi="Arial"/>
          <w:sz w:val="22"/>
        </w:rPr>
        <w:t>Section 50.64(c</w:t>
      </w:r>
      <w:proofErr w:type="gramStart"/>
      <w:r w:rsidRPr="00DD1898">
        <w:rPr>
          <w:rFonts w:ascii="Arial" w:hAnsi="Arial"/>
          <w:sz w:val="22"/>
        </w:rPr>
        <w:t>)(</w:t>
      </w:r>
      <w:proofErr w:type="gramEnd"/>
      <w:r w:rsidRPr="00DD1898">
        <w:rPr>
          <w:rFonts w:ascii="Arial" w:hAnsi="Arial"/>
          <w:sz w:val="22"/>
        </w:rPr>
        <w:t>1).  Approximately 10 hours each are required each year for the 2 "unique purpose" applicants to respond to Commission requests for additional supporting documentation for a "unique purpose" determination.  This burden will be approximately 20 hours (2 x 10 hours).</w:t>
      </w:r>
    </w:p>
    <w:p w:rsidR="001C22A9" w:rsidRDefault="001C22A9"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1C22A9" w:rsidRDefault="001C22A9"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2)(i).  Approximately 10 hours each are required for 4 respondents to develop and submit the annual updated documentation to NRC.  (All licensees other than those reporting under 10 CFR 50.64(c</w:t>
      </w:r>
      <w:proofErr w:type="gramStart"/>
      <w:r>
        <w:rPr>
          <w:rFonts w:ascii="Arial" w:hAnsi="Arial"/>
          <w:sz w:val="22"/>
        </w:rPr>
        <w:t>)(</w:t>
      </w:r>
      <w:proofErr w:type="gramEnd"/>
      <w:r>
        <w:rPr>
          <w:rFonts w:ascii="Arial" w:hAnsi="Arial"/>
          <w:sz w:val="22"/>
        </w:rPr>
        <w:t xml:space="preserve">2)(ii) have completed the requirements of this section.)  This burden will be approximately 40 hours (4 x 10 hours). </w:t>
      </w:r>
    </w:p>
    <w:p w:rsidR="001C22A9" w:rsidRDefault="001C22A9"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1C22A9" w:rsidRDefault="001C22A9"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 xml:space="preserve">2)(ii).  Approximately 10 hours each are required for 4 respondents to develop and submit the annual updated documentation to NRC.  This burden will be approximately 40 hours (4 x 10 hours). </w:t>
      </w:r>
    </w:p>
    <w:p w:rsidR="00F06185" w:rsidRDefault="00F06185"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F06185" w:rsidRDefault="00F06185"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2)(iii).  It is anticipated that over the three-year clearance period approximately 1,000 hours (333.33 hours annually) will be expended by 3 of the 4 licensees reporting under Section 50.64(c)(2)(</w:t>
      </w:r>
      <w:proofErr w:type="spellStart"/>
      <w:r>
        <w:rPr>
          <w:rFonts w:ascii="Arial" w:hAnsi="Arial"/>
          <w:sz w:val="22"/>
        </w:rPr>
        <w:t>i</w:t>
      </w:r>
      <w:proofErr w:type="spellEnd"/>
      <w:r>
        <w:rPr>
          <w:rFonts w:ascii="Arial" w:hAnsi="Arial"/>
          <w:sz w:val="22"/>
        </w:rPr>
        <w:t xml:space="preserve">) to prepare and provide appropriate safety analyses as specified in Section 50.64(c)(2)(iii).  The staff does not anticipate the remaining licensee will develop a safety analysis during this reporting period.  Therefore, approximately 1,000 hours (1,000 hours x 3 licensees divided by 3) would be expended annually for this effort.  </w:t>
      </w:r>
    </w:p>
    <w:p w:rsidR="00F06185" w:rsidRDefault="00F06185"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1C22A9" w:rsidRDefault="001C22A9"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5445E" w:rsidRPr="0065445E" w:rsidRDefault="0065445E" w:rsidP="0065445E">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center"/>
        <w:rPr>
          <w:rFonts w:ascii="Arial" w:hAnsi="Arial"/>
          <w:b/>
          <w:sz w:val="22"/>
        </w:rPr>
      </w:pPr>
      <w:r w:rsidRPr="0065445E">
        <w:rPr>
          <w:rFonts w:ascii="Arial" w:hAnsi="Arial"/>
          <w:b/>
          <w:sz w:val="22"/>
        </w:rPr>
        <w:t>Table 1</w:t>
      </w:r>
    </w:p>
    <w:p w:rsidR="0065445E" w:rsidRPr="0065445E" w:rsidRDefault="00EB49C3" w:rsidP="0065445E">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center"/>
        <w:rPr>
          <w:rFonts w:ascii="Arial" w:hAnsi="Arial"/>
          <w:b/>
          <w:sz w:val="22"/>
        </w:rPr>
      </w:pPr>
      <w:r>
        <w:rPr>
          <w:rFonts w:ascii="Arial" w:hAnsi="Arial"/>
          <w:b/>
          <w:sz w:val="22"/>
        </w:rPr>
        <w:t>Non-power</w:t>
      </w:r>
      <w:r w:rsidR="0065445E" w:rsidRPr="0065445E">
        <w:rPr>
          <w:rFonts w:ascii="Arial" w:hAnsi="Arial"/>
          <w:b/>
          <w:sz w:val="22"/>
        </w:rPr>
        <w:t xml:space="preserve"> Reactor Reporting Burden</w:t>
      </w:r>
    </w:p>
    <w:tbl>
      <w:tblPr>
        <w:tblStyle w:val="TableGrid"/>
        <w:tblW w:w="9364" w:type="dxa"/>
        <w:tblInd w:w="284" w:type="dxa"/>
        <w:tblLayout w:type="fixed"/>
        <w:tblLook w:val="04A0" w:firstRow="1" w:lastRow="0" w:firstColumn="1" w:lastColumn="0" w:noHBand="0" w:noVBand="1"/>
      </w:tblPr>
      <w:tblGrid>
        <w:gridCol w:w="1598"/>
        <w:gridCol w:w="1513"/>
        <w:gridCol w:w="1403"/>
        <w:gridCol w:w="1317"/>
        <w:gridCol w:w="1207"/>
        <w:gridCol w:w="1066"/>
        <w:gridCol w:w="1260"/>
      </w:tblGrid>
      <w:tr w:rsidR="00EC4E3D" w:rsidTr="008123CF">
        <w:tc>
          <w:tcPr>
            <w:tcW w:w="1598"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Section</w:t>
            </w:r>
          </w:p>
        </w:tc>
        <w:tc>
          <w:tcPr>
            <w:tcW w:w="1513"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Respondents</w:t>
            </w:r>
          </w:p>
        </w:tc>
        <w:tc>
          <w:tcPr>
            <w:tcW w:w="1403"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Responses per Respondent</w:t>
            </w:r>
          </w:p>
        </w:tc>
        <w:tc>
          <w:tcPr>
            <w:tcW w:w="1317"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Total Responses</w:t>
            </w:r>
          </w:p>
        </w:tc>
        <w:tc>
          <w:tcPr>
            <w:tcW w:w="1207"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Burden per Response</w:t>
            </w:r>
          </w:p>
        </w:tc>
        <w:tc>
          <w:tcPr>
            <w:tcW w:w="1066"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Total Burden</w:t>
            </w:r>
          </w:p>
        </w:tc>
        <w:tc>
          <w:tcPr>
            <w:tcW w:w="1260"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Cost @ $274/hr</w:t>
            </w:r>
          </w:p>
        </w:tc>
      </w:tr>
      <w:tr w:rsidR="00EC4E3D" w:rsidTr="008123CF">
        <w:tc>
          <w:tcPr>
            <w:tcW w:w="1598"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50.64(c)(1)</w:t>
            </w:r>
          </w:p>
        </w:tc>
        <w:tc>
          <w:tcPr>
            <w:tcW w:w="1513"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2</w:t>
            </w:r>
          </w:p>
        </w:tc>
        <w:tc>
          <w:tcPr>
            <w:tcW w:w="1403"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w:t>
            </w:r>
          </w:p>
        </w:tc>
        <w:tc>
          <w:tcPr>
            <w:tcW w:w="1317"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2</w:t>
            </w:r>
          </w:p>
        </w:tc>
        <w:tc>
          <w:tcPr>
            <w:tcW w:w="1207"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w:t>
            </w:r>
          </w:p>
        </w:tc>
        <w:tc>
          <w:tcPr>
            <w:tcW w:w="1066"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20</w:t>
            </w:r>
          </w:p>
        </w:tc>
        <w:tc>
          <w:tcPr>
            <w:tcW w:w="1260"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$5,480</w:t>
            </w:r>
          </w:p>
        </w:tc>
      </w:tr>
      <w:tr w:rsidR="00EC4E3D" w:rsidTr="008123CF">
        <w:tc>
          <w:tcPr>
            <w:tcW w:w="1598"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50.64(c</w:t>
            </w:r>
            <w:proofErr w:type="gramStart"/>
            <w:r>
              <w:rPr>
                <w:rFonts w:ascii="Arial" w:hAnsi="Arial"/>
              </w:rPr>
              <w:t>)(</w:t>
            </w:r>
            <w:proofErr w:type="gramEnd"/>
            <w:r>
              <w:rPr>
                <w:rFonts w:ascii="Arial" w:hAnsi="Arial"/>
              </w:rPr>
              <w:t xml:space="preserve">2)(i).  </w:t>
            </w:r>
          </w:p>
        </w:tc>
        <w:tc>
          <w:tcPr>
            <w:tcW w:w="1513"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w:t>
            </w:r>
          </w:p>
        </w:tc>
        <w:tc>
          <w:tcPr>
            <w:tcW w:w="1403"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w:t>
            </w:r>
          </w:p>
        </w:tc>
        <w:tc>
          <w:tcPr>
            <w:tcW w:w="1317"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w:t>
            </w:r>
          </w:p>
        </w:tc>
        <w:tc>
          <w:tcPr>
            <w:tcW w:w="1207"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w:t>
            </w:r>
          </w:p>
        </w:tc>
        <w:tc>
          <w:tcPr>
            <w:tcW w:w="1066"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40</w:t>
            </w:r>
          </w:p>
        </w:tc>
        <w:tc>
          <w:tcPr>
            <w:tcW w:w="1260"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$10,960</w:t>
            </w:r>
          </w:p>
        </w:tc>
      </w:tr>
      <w:tr w:rsidR="00EC4E3D" w:rsidTr="008123CF">
        <w:tc>
          <w:tcPr>
            <w:tcW w:w="1598"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50.64(c</w:t>
            </w:r>
            <w:proofErr w:type="gramStart"/>
            <w:r>
              <w:rPr>
                <w:rFonts w:ascii="Arial" w:hAnsi="Arial"/>
              </w:rPr>
              <w:t>)(</w:t>
            </w:r>
            <w:proofErr w:type="gramEnd"/>
            <w:r>
              <w:rPr>
                <w:rFonts w:ascii="Arial" w:hAnsi="Arial"/>
              </w:rPr>
              <w:t xml:space="preserve">2)(ii).  </w:t>
            </w:r>
          </w:p>
        </w:tc>
        <w:tc>
          <w:tcPr>
            <w:tcW w:w="1513"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w:t>
            </w:r>
          </w:p>
        </w:tc>
        <w:tc>
          <w:tcPr>
            <w:tcW w:w="1403"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w:t>
            </w:r>
          </w:p>
        </w:tc>
        <w:tc>
          <w:tcPr>
            <w:tcW w:w="1317"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w:t>
            </w:r>
          </w:p>
        </w:tc>
        <w:tc>
          <w:tcPr>
            <w:tcW w:w="1207"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w:t>
            </w:r>
          </w:p>
        </w:tc>
        <w:tc>
          <w:tcPr>
            <w:tcW w:w="1066"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40</w:t>
            </w:r>
          </w:p>
        </w:tc>
        <w:tc>
          <w:tcPr>
            <w:tcW w:w="1260"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$10,960</w:t>
            </w:r>
          </w:p>
        </w:tc>
      </w:tr>
      <w:tr w:rsidR="00F06185" w:rsidTr="008123CF">
        <w:tc>
          <w:tcPr>
            <w:tcW w:w="1598" w:type="dxa"/>
          </w:tcPr>
          <w:p w:rsidR="00F06185" w:rsidRDefault="00F06185"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50.64(c)(2)(iii)</w:t>
            </w:r>
          </w:p>
        </w:tc>
        <w:tc>
          <w:tcPr>
            <w:tcW w:w="1513" w:type="dxa"/>
          </w:tcPr>
          <w:p w:rsidR="00F06185" w:rsidRDefault="00F06185"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3</w:t>
            </w:r>
          </w:p>
        </w:tc>
        <w:tc>
          <w:tcPr>
            <w:tcW w:w="1403" w:type="dxa"/>
          </w:tcPr>
          <w:p w:rsidR="00F06185" w:rsidRDefault="00F06185"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w:t>
            </w:r>
          </w:p>
        </w:tc>
        <w:tc>
          <w:tcPr>
            <w:tcW w:w="1317" w:type="dxa"/>
          </w:tcPr>
          <w:p w:rsidR="00F06185" w:rsidRDefault="00F06185"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3</w:t>
            </w:r>
          </w:p>
        </w:tc>
        <w:tc>
          <w:tcPr>
            <w:tcW w:w="1207" w:type="dxa"/>
          </w:tcPr>
          <w:p w:rsidR="00F06185" w:rsidRDefault="00F06185"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333.3</w:t>
            </w:r>
          </w:p>
        </w:tc>
        <w:tc>
          <w:tcPr>
            <w:tcW w:w="1066" w:type="dxa"/>
          </w:tcPr>
          <w:p w:rsidR="00F06185" w:rsidRDefault="00F06185"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1000</w:t>
            </w:r>
          </w:p>
        </w:tc>
        <w:tc>
          <w:tcPr>
            <w:tcW w:w="1260" w:type="dxa"/>
          </w:tcPr>
          <w:p w:rsidR="00F06185" w:rsidRDefault="00F06185"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$274,000</w:t>
            </w:r>
          </w:p>
        </w:tc>
      </w:tr>
      <w:tr w:rsidR="00EC4E3D" w:rsidTr="008123CF">
        <w:tc>
          <w:tcPr>
            <w:tcW w:w="1598" w:type="dxa"/>
          </w:tcPr>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Total</w:t>
            </w:r>
          </w:p>
        </w:tc>
        <w:tc>
          <w:tcPr>
            <w:tcW w:w="1513" w:type="dxa"/>
          </w:tcPr>
          <w:p w:rsidR="00EC4E3D" w:rsidRDefault="00CE5050"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w:t>
            </w:r>
          </w:p>
        </w:tc>
        <w:tc>
          <w:tcPr>
            <w:tcW w:w="1403"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p>
        </w:tc>
        <w:tc>
          <w:tcPr>
            <w:tcW w:w="1317" w:type="dxa"/>
          </w:tcPr>
          <w:p w:rsidR="00EC4E3D" w:rsidRDefault="00EC4E3D" w:rsidP="00CE5050">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w:t>
            </w:r>
            <w:r w:rsidR="00CE5050">
              <w:rPr>
                <w:rFonts w:ascii="Arial" w:hAnsi="Arial"/>
              </w:rPr>
              <w:t>3</w:t>
            </w:r>
          </w:p>
        </w:tc>
        <w:tc>
          <w:tcPr>
            <w:tcW w:w="1207" w:type="dxa"/>
          </w:tcPr>
          <w:p w:rsidR="00EC4E3D" w:rsidRDefault="00EC4E3D"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p>
        </w:tc>
        <w:tc>
          <w:tcPr>
            <w:tcW w:w="1066" w:type="dxa"/>
          </w:tcPr>
          <w:p w:rsidR="00EC4E3D" w:rsidRDefault="00F06185" w:rsidP="00EC4E3D">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w:t>
            </w:r>
            <w:r w:rsidR="00EC4E3D">
              <w:rPr>
                <w:rFonts w:ascii="Arial" w:hAnsi="Arial"/>
              </w:rPr>
              <w:t>100</w:t>
            </w:r>
          </w:p>
        </w:tc>
        <w:tc>
          <w:tcPr>
            <w:tcW w:w="1260" w:type="dxa"/>
          </w:tcPr>
          <w:p w:rsidR="00EC4E3D" w:rsidRDefault="00EC4E3D"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w:t>
            </w:r>
            <w:r w:rsidR="00F06185">
              <w:rPr>
                <w:rFonts w:ascii="Arial" w:hAnsi="Arial"/>
              </w:rPr>
              <w:t>301,400</w:t>
            </w:r>
          </w:p>
        </w:tc>
      </w:tr>
    </w:tbl>
    <w:p w:rsidR="00EC4E3D" w:rsidRDefault="00EC4E3D" w:rsidP="001C22A9">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81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CE5050"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There are no additional costs.</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u w:val="single"/>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DD1898" w:rsidRDefault="00DD1898"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p>
    <w:p w:rsidR="00DD1898" w:rsidRPr="00DD1898" w:rsidRDefault="00DD1898" w:rsidP="00DD1898">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ab/>
      </w:r>
      <w:r w:rsidRPr="00DD1898">
        <w:rPr>
          <w:rFonts w:ascii="Arial" w:hAnsi="Arial"/>
          <w:sz w:val="22"/>
        </w:rPr>
        <w:t>Section 50.64(c</w:t>
      </w:r>
      <w:proofErr w:type="gramStart"/>
      <w:r w:rsidRPr="00DD1898">
        <w:rPr>
          <w:rFonts w:ascii="Arial" w:hAnsi="Arial"/>
          <w:sz w:val="22"/>
        </w:rPr>
        <w:t>)(</w:t>
      </w:r>
      <w:proofErr w:type="gramEnd"/>
      <w:r w:rsidRPr="00DD1898">
        <w:rPr>
          <w:rFonts w:ascii="Arial" w:hAnsi="Arial"/>
          <w:sz w:val="22"/>
        </w:rPr>
        <w:t>1)(</w:t>
      </w:r>
      <w:proofErr w:type="spellStart"/>
      <w:r w:rsidRPr="00DD1898">
        <w:rPr>
          <w:rFonts w:ascii="Arial" w:hAnsi="Arial"/>
          <w:sz w:val="22"/>
        </w:rPr>
        <w:t>i</w:t>
      </w:r>
      <w:proofErr w:type="spellEnd"/>
      <w:r w:rsidRPr="00DD1898">
        <w:rPr>
          <w:rFonts w:ascii="Arial" w:hAnsi="Arial"/>
          <w:sz w:val="22"/>
        </w:rPr>
        <w:t xml:space="preserve">).  NRC staff time for making a determination for each of the two "unique purpose" reactor requests will require approximately 10 hours for a total staff burden for 2 requests of 20 hours annually.  </w:t>
      </w:r>
    </w:p>
    <w:p w:rsidR="00DD1898" w:rsidRDefault="00DD1898"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Section 50.64(c</w:t>
      </w:r>
      <w:proofErr w:type="gramStart"/>
      <w:r>
        <w:rPr>
          <w:rFonts w:ascii="Arial" w:hAnsi="Arial"/>
          <w:sz w:val="22"/>
        </w:rPr>
        <w:t>)(</w:t>
      </w:r>
      <w:proofErr w:type="gramEnd"/>
      <w:r>
        <w:rPr>
          <w:rFonts w:ascii="Arial" w:hAnsi="Arial"/>
          <w:sz w:val="22"/>
        </w:rPr>
        <w:t xml:space="preserve">2).  NRC staff time for consideration of a schedule proposed by a non-power reactor licensee and determination of a final schedule will require approximately 47 hours for each of 4 licensees annually for a total of 188 hours.  </w:t>
      </w: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In addition, it is anticipated that approximately 500 hours will be expended by the NRC for 3 of the 4 licensees to review their safety analyses over the three-year clearance period.  The staff does not anticipate the remaining licensee will develop a safety analysis during this reporting period.  Therefore, approximately 500 hours (500 x 3 licensees divided by 3) would be expended annually for this effort.</w:t>
      </w: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5445E" w:rsidRDefault="0065445E" w:rsidP="0065445E">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four licensees subject to 50.64(c</w:t>
      </w:r>
      <w:proofErr w:type="gramStart"/>
      <w:r>
        <w:rPr>
          <w:rFonts w:ascii="Arial" w:hAnsi="Arial"/>
          <w:sz w:val="22"/>
        </w:rPr>
        <w:t>)(</w:t>
      </w:r>
      <w:proofErr w:type="gramEnd"/>
      <w:r>
        <w:rPr>
          <w:rFonts w:ascii="Arial" w:hAnsi="Arial"/>
          <w:sz w:val="22"/>
        </w:rPr>
        <w:t>2)(ii) will require 10 hours of staff burden each for 40 hours annually.</w:t>
      </w:r>
    </w:p>
    <w:p w:rsidR="00DD1898" w:rsidRDefault="00DD1898">
      <w:pPr>
        <w:spacing w:line="276" w:lineRule="auto"/>
        <w:rPr>
          <w:rFonts w:ascii="Arial" w:hAnsi="Arial"/>
          <w:sz w:val="22"/>
        </w:rPr>
      </w:pPr>
    </w:p>
    <w:p w:rsidR="0065445E" w:rsidRDefault="0065445E" w:rsidP="0065445E">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As summarized in Table 2, the total burden is 748 hours at a cost of $204,952.</w:t>
      </w:r>
    </w:p>
    <w:p w:rsidR="0065445E" w:rsidRDefault="0065445E"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65445E" w:rsidRPr="0065445E" w:rsidRDefault="0065445E" w:rsidP="0065445E">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center"/>
        <w:rPr>
          <w:rFonts w:ascii="Arial" w:hAnsi="Arial"/>
          <w:b/>
          <w:sz w:val="22"/>
        </w:rPr>
      </w:pPr>
      <w:r w:rsidRPr="0065445E">
        <w:rPr>
          <w:rFonts w:ascii="Arial" w:hAnsi="Arial"/>
          <w:b/>
          <w:sz w:val="22"/>
        </w:rPr>
        <w:t>Table 2</w:t>
      </w:r>
    </w:p>
    <w:p w:rsidR="0065445E" w:rsidRPr="0065445E" w:rsidRDefault="0065445E" w:rsidP="0065445E">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center"/>
        <w:rPr>
          <w:rFonts w:ascii="Arial" w:hAnsi="Arial"/>
          <w:b/>
          <w:sz w:val="22"/>
        </w:rPr>
      </w:pPr>
      <w:r w:rsidRPr="0065445E">
        <w:rPr>
          <w:rFonts w:ascii="Arial" w:hAnsi="Arial"/>
          <w:b/>
          <w:sz w:val="22"/>
        </w:rPr>
        <w:t>Costs to the Federal Government</w:t>
      </w:r>
    </w:p>
    <w:tbl>
      <w:tblPr>
        <w:tblStyle w:val="TableGrid"/>
        <w:tblW w:w="8135" w:type="dxa"/>
        <w:tblInd w:w="1440" w:type="dxa"/>
        <w:tblLook w:val="04A0" w:firstRow="1" w:lastRow="0" w:firstColumn="1" w:lastColumn="0" w:noHBand="0" w:noVBand="1"/>
      </w:tblPr>
      <w:tblGrid>
        <w:gridCol w:w="1711"/>
        <w:gridCol w:w="1612"/>
        <w:gridCol w:w="1601"/>
        <w:gridCol w:w="1601"/>
        <w:gridCol w:w="1610"/>
      </w:tblGrid>
      <w:tr w:rsidR="0065445E" w:rsidTr="0065445E">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Section</w:t>
            </w:r>
          </w:p>
        </w:tc>
        <w:tc>
          <w:tcPr>
            <w:tcW w:w="1627" w:type="dxa"/>
          </w:tcPr>
          <w:p w:rsidR="0065445E" w:rsidRDefault="0065445E" w:rsidP="0065445E">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Total Reports Reviewed</w:t>
            </w:r>
          </w:p>
        </w:tc>
        <w:tc>
          <w:tcPr>
            <w:tcW w:w="1627" w:type="dxa"/>
          </w:tcPr>
          <w:p w:rsidR="0065445E" w:rsidRDefault="0065445E" w:rsidP="0065445E">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Burden per Report</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Total Burden</w:t>
            </w:r>
          </w:p>
        </w:tc>
        <w:tc>
          <w:tcPr>
            <w:tcW w:w="1627" w:type="dxa"/>
          </w:tcPr>
          <w:p w:rsidR="0065445E" w:rsidRDefault="0065445E"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Cost at $274/hr</w:t>
            </w:r>
          </w:p>
        </w:tc>
      </w:tr>
      <w:tr w:rsidR="0065445E" w:rsidTr="0065445E">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50.64(c)(1)</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2</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20</w:t>
            </w:r>
          </w:p>
        </w:tc>
        <w:tc>
          <w:tcPr>
            <w:tcW w:w="1627" w:type="dxa"/>
          </w:tcPr>
          <w:p w:rsidR="0065445E" w:rsidRDefault="0065445E">
            <w:pPr>
              <w:jc w:val="right"/>
              <w:rPr>
                <w:rFonts w:ascii="Arial" w:hAnsi="Arial" w:cs="Arial"/>
                <w:color w:val="000000"/>
                <w:szCs w:val="22"/>
              </w:rPr>
            </w:pPr>
            <w:r>
              <w:rPr>
                <w:rFonts w:ascii="Arial" w:hAnsi="Arial" w:cs="Arial"/>
                <w:color w:val="000000"/>
                <w:szCs w:val="22"/>
              </w:rPr>
              <w:t>$5,480</w:t>
            </w:r>
          </w:p>
        </w:tc>
      </w:tr>
      <w:tr w:rsidR="0065445E" w:rsidTr="0065445E">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50.64(c)(2) </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47</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188</w:t>
            </w:r>
          </w:p>
        </w:tc>
        <w:tc>
          <w:tcPr>
            <w:tcW w:w="1627" w:type="dxa"/>
          </w:tcPr>
          <w:p w:rsidR="0065445E" w:rsidRDefault="0065445E">
            <w:pPr>
              <w:jc w:val="right"/>
              <w:rPr>
                <w:rFonts w:ascii="Arial" w:hAnsi="Arial" w:cs="Arial"/>
                <w:color w:val="000000"/>
                <w:szCs w:val="22"/>
              </w:rPr>
            </w:pPr>
            <w:r>
              <w:rPr>
                <w:rFonts w:ascii="Arial" w:hAnsi="Arial" w:cs="Arial"/>
                <w:color w:val="000000"/>
                <w:szCs w:val="22"/>
              </w:rPr>
              <w:t>$51,512</w:t>
            </w:r>
          </w:p>
        </w:tc>
      </w:tr>
      <w:tr w:rsidR="0065445E" w:rsidTr="0065445E">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50.64(c)(2)(ii)</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w:t>
            </w:r>
          </w:p>
        </w:tc>
        <w:tc>
          <w:tcPr>
            <w:tcW w:w="1627" w:type="dxa"/>
          </w:tcPr>
          <w:p w:rsidR="0065445E" w:rsidRDefault="0065445E"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40</w:t>
            </w:r>
          </w:p>
        </w:tc>
        <w:tc>
          <w:tcPr>
            <w:tcW w:w="1627" w:type="dxa"/>
          </w:tcPr>
          <w:p w:rsidR="0065445E" w:rsidRDefault="0065445E">
            <w:pPr>
              <w:jc w:val="right"/>
              <w:rPr>
                <w:rFonts w:ascii="Arial" w:hAnsi="Arial" w:cs="Arial"/>
                <w:color w:val="000000"/>
                <w:szCs w:val="22"/>
              </w:rPr>
            </w:pPr>
            <w:r>
              <w:rPr>
                <w:rFonts w:ascii="Arial" w:hAnsi="Arial" w:cs="Arial"/>
                <w:color w:val="000000"/>
                <w:szCs w:val="22"/>
              </w:rPr>
              <w:t>$10,960</w:t>
            </w:r>
          </w:p>
        </w:tc>
      </w:tr>
      <w:tr w:rsidR="00CE5050" w:rsidTr="0065445E">
        <w:tc>
          <w:tcPr>
            <w:tcW w:w="1627" w:type="dxa"/>
          </w:tcPr>
          <w:p w:rsidR="00CE5050" w:rsidRDefault="00CE5050" w:rsidP="00A16362">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50.64(c)(2)(iii)</w:t>
            </w:r>
          </w:p>
          <w:p w:rsidR="00CE5050" w:rsidRDefault="00CE5050" w:rsidP="00A16362">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Safety analyses </w:t>
            </w:r>
          </w:p>
        </w:tc>
        <w:tc>
          <w:tcPr>
            <w:tcW w:w="1627" w:type="dxa"/>
          </w:tcPr>
          <w:p w:rsidR="00CE5050" w:rsidRDefault="00CE5050" w:rsidP="00A16362">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w:t>
            </w:r>
            <w:r>
              <w:rPr>
                <w:rStyle w:val="FootnoteReference"/>
                <w:rFonts w:ascii="Arial" w:hAnsi="Arial"/>
              </w:rPr>
              <w:footnoteReference w:id="1"/>
            </w:r>
          </w:p>
        </w:tc>
        <w:tc>
          <w:tcPr>
            <w:tcW w:w="1627" w:type="dxa"/>
          </w:tcPr>
          <w:p w:rsidR="00CE5050" w:rsidRDefault="00CE5050" w:rsidP="00A16362">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500</w:t>
            </w:r>
          </w:p>
        </w:tc>
        <w:tc>
          <w:tcPr>
            <w:tcW w:w="1627" w:type="dxa"/>
          </w:tcPr>
          <w:p w:rsidR="00CE5050" w:rsidRDefault="00CE5050" w:rsidP="00A16362">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500</w:t>
            </w:r>
          </w:p>
        </w:tc>
        <w:tc>
          <w:tcPr>
            <w:tcW w:w="1627" w:type="dxa"/>
          </w:tcPr>
          <w:p w:rsidR="00CE5050" w:rsidRDefault="00CE5050" w:rsidP="00A16362">
            <w:pPr>
              <w:jc w:val="right"/>
              <w:rPr>
                <w:rFonts w:ascii="Arial" w:hAnsi="Arial" w:cs="Arial"/>
                <w:color w:val="000000"/>
                <w:szCs w:val="22"/>
              </w:rPr>
            </w:pPr>
            <w:r>
              <w:rPr>
                <w:rFonts w:ascii="Arial" w:hAnsi="Arial" w:cs="Arial"/>
                <w:color w:val="000000"/>
                <w:szCs w:val="22"/>
              </w:rPr>
              <w:t>$137,000</w:t>
            </w:r>
          </w:p>
        </w:tc>
      </w:tr>
      <w:tr w:rsidR="00CE5050" w:rsidTr="0065445E">
        <w:tc>
          <w:tcPr>
            <w:tcW w:w="1627" w:type="dxa"/>
          </w:tcPr>
          <w:p w:rsidR="00CE5050" w:rsidRDefault="00CE5050"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Total</w:t>
            </w:r>
          </w:p>
        </w:tc>
        <w:tc>
          <w:tcPr>
            <w:tcW w:w="1627" w:type="dxa"/>
          </w:tcPr>
          <w:p w:rsidR="00CE5050" w:rsidRDefault="00CE5050"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10</w:t>
            </w:r>
          </w:p>
        </w:tc>
        <w:tc>
          <w:tcPr>
            <w:tcW w:w="1627" w:type="dxa"/>
          </w:tcPr>
          <w:p w:rsidR="00CE5050" w:rsidRDefault="00CE5050"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p>
        </w:tc>
        <w:tc>
          <w:tcPr>
            <w:tcW w:w="1627" w:type="dxa"/>
          </w:tcPr>
          <w:p w:rsidR="00CE5050" w:rsidRDefault="00CE5050" w:rsidP="00F06185">
            <w:pPr>
              <w:widowControl w:val="0"/>
              <w:tabs>
                <w:tab w:val="left" w:pos="-1440"/>
                <w:tab w:val="left" w:pos="-360"/>
                <w:tab w:val="left" w:pos="9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rPr>
            </w:pPr>
            <w:r>
              <w:rPr>
                <w:rFonts w:ascii="Arial" w:hAnsi="Arial"/>
              </w:rPr>
              <w:t>748</w:t>
            </w:r>
          </w:p>
        </w:tc>
        <w:tc>
          <w:tcPr>
            <w:tcW w:w="1627" w:type="dxa"/>
          </w:tcPr>
          <w:p w:rsidR="00CE5050" w:rsidRDefault="00CE5050">
            <w:pPr>
              <w:jc w:val="right"/>
              <w:rPr>
                <w:rFonts w:ascii="Arial" w:hAnsi="Arial" w:cs="Arial"/>
                <w:color w:val="000000"/>
                <w:szCs w:val="22"/>
              </w:rPr>
            </w:pPr>
            <w:r>
              <w:rPr>
                <w:rFonts w:ascii="Arial" w:hAnsi="Arial" w:cs="Arial"/>
                <w:color w:val="000000"/>
                <w:szCs w:val="22"/>
              </w:rPr>
              <w:t>$204,952</w:t>
            </w:r>
          </w:p>
        </w:tc>
      </w:tr>
    </w:tbl>
    <w:p w:rsidR="0065445E" w:rsidRDefault="0065445E"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Reasons for Changes in Burden or Cost</w:t>
      </w:r>
    </w:p>
    <w:p w:rsidR="001C22A9" w:rsidRDefault="00200B51"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p>
    <w:p w:rsidR="00CE5050" w:rsidRDefault="00200B51"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There has been no change in the level of effort required or the number of submission</w:t>
      </w:r>
      <w:r w:rsidR="00CE5050">
        <w:rPr>
          <w:rFonts w:ascii="Arial" w:hAnsi="Arial"/>
          <w:sz w:val="22"/>
        </w:rPr>
        <w:t>s</w:t>
      </w:r>
      <w:r>
        <w:rPr>
          <w:rFonts w:ascii="Arial" w:hAnsi="Arial"/>
          <w:sz w:val="22"/>
        </w:rPr>
        <w:t xml:space="preserve"> anticipated by the agency.  </w:t>
      </w:r>
      <w:r w:rsidR="00CE5050">
        <w:rPr>
          <w:rFonts w:ascii="Arial" w:hAnsi="Arial"/>
          <w:sz w:val="22"/>
        </w:rPr>
        <w:t>However, the burden for safety analyses conducted under 50.64(c</w:t>
      </w:r>
      <w:proofErr w:type="gramStart"/>
      <w:r w:rsidR="00CE5050">
        <w:rPr>
          <w:rFonts w:ascii="Arial" w:hAnsi="Arial"/>
          <w:sz w:val="22"/>
        </w:rPr>
        <w:t>)(</w:t>
      </w:r>
      <w:proofErr w:type="gramEnd"/>
      <w:r w:rsidR="00CE5050">
        <w:rPr>
          <w:rFonts w:ascii="Arial" w:hAnsi="Arial"/>
          <w:sz w:val="22"/>
        </w:rPr>
        <w:t>2)(iii) is now correctly captured as a reporting requirement, because these analyses must be provided to the NRC.  Previously, burden for this requirement was captured as recordkeeping.</w:t>
      </w:r>
    </w:p>
    <w:p w:rsidR="00CE5050" w:rsidRDefault="00CE5050"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1C22A9" w:rsidRDefault="00CE5050"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In addition, t</w:t>
      </w:r>
      <w:r w:rsidR="001C22A9">
        <w:rPr>
          <w:rFonts w:ascii="Arial" w:hAnsi="Arial"/>
          <w:sz w:val="22"/>
        </w:rPr>
        <w:t xml:space="preserve">here has been an increase in the overall cost as a result of an increase in the </w:t>
      </w:r>
      <w:r w:rsidR="00200B51">
        <w:rPr>
          <w:rFonts w:ascii="Arial" w:hAnsi="Arial"/>
          <w:sz w:val="22"/>
        </w:rPr>
        <w:t xml:space="preserve">fee </w:t>
      </w:r>
      <w:r w:rsidR="001C22A9">
        <w:rPr>
          <w:rFonts w:ascii="Arial" w:hAnsi="Arial"/>
          <w:sz w:val="22"/>
        </w:rPr>
        <w:t>rate from $2</w:t>
      </w:r>
      <w:r w:rsidR="0065445E">
        <w:rPr>
          <w:rFonts w:ascii="Arial" w:hAnsi="Arial"/>
          <w:sz w:val="22"/>
        </w:rPr>
        <w:t>5</w:t>
      </w:r>
      <w:r w:rsidR="001C22A9">
        <w:rPr>
          <w:rFonts w:ascii="Arial" w:hAnsi="Arial"/>
          <w:sz w:val="22"/>
        </w:rPr>
        <w:t>7 to $2</w:t>
      </w:r>
      <w:r w:rsidR="0065445E">
        <w:rPr>
          <w:rFonts w:ascii="Arial" w:hAnsi="Arial"/>
          <w:sz w:val="22"/>
        </w:rPr>
        <w:t>74</w:t>
      </w:r>
      <w:r w:rsidR="001C22A9">
        <w:rPr>
          <w:rFonts w:ascii="Arial" w:hAnsi="Arial"/>
          <w:sz w:val="22"/>
        </w:rPr>
        <w:t xml:space="preserve"> per hour.</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collected information is not published for statistical purposes.</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44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roofErr w:type="gramStart"/>
      <w:r>
        <w:rPr>
          <w:rFonts w:ascii="Arial" w:hAnsi="Arial"/>
          <w:sz w:val="22"/>
        </w:rPr>
        <w:t>None.</w:t>
      </w:r>
      <w:proofErr w:type="gramEnd"/>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Pr>
          <w:rFonts w:ascii="Arial" w:hAnsi="Arial"/>
          <w:sz w:val="22"/>
        </w:rPr>
        <w:t>B.</w:t>
      </w:r>
      <w:r>
        <w:rPr>
          <w:rFonts w:ascii="Arial" w:hAnsi="Arial"/>
          <w:sz w:val="22"/>
        </w:rPr>
        <w:tab/>
      </w:r>
      <w:r>
        <w:rPr>
          <w:rFonts w:ascii="Arial" w:hAnsi="Arial"/>
          <w:sz w:val="22"/>
          <w:u w:val="single"/>
        </w:rPr>
        <w:t>COLLECTIONS OF INFORMATION EMPLOYING STATISTICAL METHODS</w:t>
      </w:r>
    </w:p>
    <w:p w:rsidR="001C22A9"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C22A9" w:rsidRPr="00D26B1B" w:rsidRDefault="001C22A9" w:rsidP="001C22A9">
      <w:pPr>
        <w:widowControl w:val="0"/>
        <w:tabs>
          <w:tab w:val="left" w:pos="-1440"/>
          <w:tab w:val="left" w:pos="-360"/>
          <w:tab w:val="left" w:pos="0"/>
          <w:tab w:val="left" w:pos="60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D26B1B">
        <w:rPr>
          <w:rFonts w:ascii="Arial" w:hAnsi="Arial"/>
          <w:sz w:val="22"/>
        </w:rPr>
        <w:t>Not applicable.</w:t>
      </w:r>
    </w:p>
    <w:p w:rsidR="001C22A9" w:rsidRDefault="001C22A9" w:rsidP="001C22A9"/>
    <w:p w:rsidR="004A3F84" w:rsidRPr="003F3462" w:rsidRDefault="004A3F84"/>
    <w:sectPr w:rsidR="004A3F84" w:rsidRPr="003F3462" w:rsidSect="004A3F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185" w:rsidRDefault="00F06185" w:rsidP="0065445E">
      <w:r>
        <w:separator/>
      </w:r>
    </w:p>
  </w:endnote>
  <w:endnote w:type="continuationSeparator" w:id="0">
    <w:p w:rsidR="00F06185" w:rsidRDefault="00F06185" w:rsidP="0065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85" w:rsidRDefault="00F06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85" w:rsidRDefault="00F061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85" w:rsidRDefault="00F06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185" w:rsidRDefault="00F06185" w:rsidP="0065445E">
      <w:r>
        <w:separator/>
      </w:r>
    </w:p>
  </w:footnote>
  <w:footnote w:type="continuationSeparator" w:id="0">
    <w:p w:rsidR="00F06185" w:rsidRDefault="00F06185" w:rsidP="0065445E">
      <w:r>
        <w:continuationSeparator/>
      </w:r>
    </w:p>
  </w:footnote>
  <w:footnote w:id="1">
    <w:p w:rsidR="00CE5050" w:rsidRDefault="00CE5050">
      <w:pPr>
        <w:pStyle w:val="FootnoteText"/>
      </w:pPr>
      <w:r>
        <w:rPr>
          <w:rStyle w:val="FootnoteReference"/>
        </w:rPr>
        <w:footnoteRef/>
      </w:r>
      <w:r>
        <w:t xml:space="preserve"> The NRC will review safety analyses for 3 licensees during the clearance period, which averages to one safety analyses review annually.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85" w:rsidRDefault="00F06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85" w:rsidRDefault="00F061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185" w:rsidRDefault="00F06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A9"/>
    <w:rsid w:val="00000639"/>
    <w:rsid w:val="00002240"/>
    <w:rsid w:val="00003286"/>
    <w:rsid w:val="00004164"/>
    <w:rsid w:val="00004B59"/>
    <w:rsid w:val="00006AD3"/>
    <w:rsid w:val="00006BD8"/>
    <w:rsid w:val="00010B28"/>
    <w:rsid w:val="0001302B"/>
    <w:rsid w:val="000133DF"/>
    <w:rsid w:val="00014166"/>
    <w:rsid w:val="000145F7"/>
    <w:rsid w:val="00014CC3"/>
    <w:rsid w:val="00025308"/>
    <w:rsid w:val="000255CC"/>
    <w:rsid w:val="00025A48"/>
    <w:rsid w:val="00030064"/>
    <w:rsid w:val="00030D9B"/>
    <w:rsid w:val="0003372B"/>
    <w:rsid w:val="00033A7D"/>
    <w:rsid w:val="00035213"/>
    <w:rsid w:val="000355DD"/>
    <w:rsid w:val="00036049"/>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B30"/>
    <w:rsid w:val="00061E69"/>
    <w:rsid w:val="000628BB"/>
    <w:rsid w:val="00063464"/>
    <w:rsid w:val="000641D0"/>
    <w:rsid w:val="00064DC7"/>
    <w:rsid w:val="00065086"/>
    <w:rsid w:val="00065BF1"/>
    <w:rsid w:val="00066E74"/>
    <w:rsid w:val="00067516"/>
    <w:rsid w:val="00067525"/>
    <w:rsid w:val="000705AC"/>
    <w:rsid w:val="000739B9"/>
    <w:rsid w:val="000747A4"/>
    <w:rsid w:val="000761E2"/>
    <w:rsid w:val="00077453"/>
    <w:rsid w:val="000810AF"/>
    <w:rsid w:val="000813CA"/>
    <w:rsid w:val="00082FCA"/>
    <w:rsid w:val="00083638"/>
    <w:rsid w:val="00087A50"/>
    <w:rsid w:val="00087D59"/>
    <w:rsid w:val="00087E5D"/>
    <w:rsid w:val="00090B4F"/>
    <w:rsid w:val="0009106E"/>
    <w:rsid w:val="00091184"/>
    <w:rsid w:val="000920AD"/>
    <w:rsid w:val="00092CE4"/>
    <w:rsid w:val="00093E50"/>
    <w:rsid w:val="00095AAD"/>
    <w:rsid w:val="00095FEF"/>
    <w:rsid w:val="0009624D"/>
    <w:rsid w:val="00096C3F"/>
    <w:rsid w:val="000A0219"/>
    <w:rsid w:val="000A15C9"/>
    <w:rsid w:val="000A3724"/>
    <w:rsid w:val="000A37CA"/>
    <w:rsid w:val="000A5005"/>
    <w:rsid w:val="000A54DC"/>
    <w:rsid w:val="000A5628"/>
    <w:rsid w:val="000A5AB3"/>
    <w:rsid w:val="000A5DA8"/>
    <w:rsid w:val="000A7423"/>
    <w:rsid w:val="000B2280"/>
    <w:rsid w:val="000B327C"/>
    <w:rsid w:val="000B56DA"/>
    <w:rsid w:val="000B584A"/>
    <w:rsid w:val="000B6421"/>
    <w:rsid w:val="000B6E0C"/>
    <w:rsid w:val="000C0BEA"/>
    <w:rsid w:val="000C1E5F"/>
    <w:rsid w:val="000C2E2D"/>
    <w:rsid w:val="000C48ED"/>
    <w:rsid w:val="000C4D85"/>
    <w:rsid w:val="000C5039"/>
    <w:rsid w:val="000C6F8E"/>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F142B"/>
    <w:rsid w:val="000F2470"/>
    <w:rsid w:val="000F30B2"/>
    <w:rsid w:val="000F4AD9"/>
    <w:rsid w:val="000F5037"/>
    <w:rsid w:val="000F62D6"/>
    <w:rsid w:val="000F62E7"/>
    <w:rsid w:val="000F6B04"/>
    <w:rsid w:val="000F6B64"/>
    <w:rsid w:val="000F7279"/>
    <w:rsid w:val="00102310"/>
    <w:rsid w:val="001056C5"/>
    <w:rsid w:val="00107E51"/>
    <w:rsid w:val="00107EF5"/>
    <w:rsid w:val="00111B11"/>
    <w:rsid w:val="00111B42"/>
    <w:rsid w:val="00112180"/>
    <w:rsid w:val="001127AD"/>
    <w:rsid w:val="001128CD"/>
    <w:rsid w:val="0011361B"/>
    <w:rsid w:val="00113716"/>
    <w:rsid w:val="00114130"/>
    <w:rsid w:val="00115539"/>
    <w:rsid w:val="001205BA"/>
    <w:rsid w:val="001205BC"/>
    <w:rsid w:val="00120CEE"/>
    <w:rsid w:val="0012190A"/>
    <w:rsid w:val="00121AB0"/>
    <w:rsid w:val="00124740"/>
    <w:rsid w:val="001248B8"/>
    <w:rsid w:val="001279AC"/>
    <w:rsid w:val="0013032C"/>
    <w:rsid w:val="00132E21"/>
    <w:rsid w:val="00134239"/>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1DE6"/>
    <w:rsid w:val="0016371D"/>
    <w:rsid w:val="00164016"/>
    <w:rsid w:val="00165B3C"/>
    <w:rsid w:val="001662E4"/>
    <w:rsid w:val="00170099"/>
    <w:rsid w:val="00170548"/>
    <w:rsid w:val="00170F08"/>
    <w:rsid w:val="001716A1"/>
    <w:rsid w:val="00171743"/>
    <w:rsid w:val="00171E37"/>
    <w:rsid w:val="0017358F"/>
    <w:rsid w:val="001737A8"/>
    <w:rsid w:val="00174F12"/>
    <w:rsid w:val="00176195"/>
    <w:rsid w:val="001761F8"/>
    <w:rsid w:val="00182BCC"/>
    <w:rsid w:val="00182E85"/>
    <w:rsid w:val="00185EFA"/>
    <w:rsid w:val="001866FA"/>
    <w:rsid w:val="001873E9"/>
    <w:rsid w:val="001904D3"/>
    <w:rsid w:val="0019171D"/>
    <w:rsid w:val="00192C69"/>
    <w:rsid w:val="001934BF"/>
    <w:rsid w:val="0019356A"/>
    <w:rsid w:val="00196D0A"/>
    <w:rsid w:val="001A150F"/>
    <w:rsid w:val="001A2DB5"/>
    <w:rsid w:val="001A3E9F"/>
    <w:rsid w:val="001A4E81"/>
    <w:rsid w:val="001A7E4E"/>
    <w:rsid w:val="001A7EC8"/>
    <w:rsid w:val="001B1D7E"/>
    <w:rsid w:val="001B2458"/>
    <w:rsid w:val="001B2C3F"/>
    <w:rsid w:val="001B3E04"/>
    <w:rsid w:val="001B59B6"/>
    <w:rsid w:val="001C0309"/>
    <w:rsid w:val="001C068E"/>
    <w:rsid w:val="001C0E69"/>
    <w:rsid w:val="001C22A9"/>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1ED"/>
    <w:rsid w:val="001F78AF"/>
    <w:rsid w:val="00200B51"/>
    <w:rsid w:val="00200E89"/>
    <w:rsid w:val="00201419"/>
    <w:rsid w:val="002016DA"/>
    <w:rsid w:val="002020A8"/>
    <w:rsid w:val="00203658"/>
    <w:rsid w:val="00203C5D"/>
    <w:rsid w:val="00206025"/>
    <w:rsid w:val="00206E63"/>
    <w:rsid w:val="002070D3"/>
    <w:rsid w:val="00210649"/>
    <w:rsid w:val="002108B3"/>
    <w:rsid w:val="00212BA7"/>
    <w:rsid w:val="00213488"/>
    <w:rsid w:val="00215ADD"/>
    <w:rsid w:val="00215D66"/>
    <w:rsid w:val="00215D6C"/>
    <w:rsid w:val="00216488"/>
    <w:rsid w:val="00217D11"/>
    <w:rsid w:val="002202B3"/>
    <w:rsid w:val="002213F7"/>
    <w:rsid w:val="0022194E"/>
    <w:rsid w:val="00221A5C"/>
    <w:rsid w:val="00222192"/>
    <w:rsid w:val="002251A0"/>
    <w:rsid w:val="00226FCC"/>
    <w:rsid w:val="00227789"/>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475F"/>
    <w:rsid w:val="0026593C"/>
    <w:rsid w:val="00265A44"/>
    <w:rsid w:val="002660D9"/>
    <w:rsid w:val="00267248"/>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6DE2"/>
    <w:rsid w:val="002A7FC0"/>
    <w:rsid w:val="002B2412"/>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A3A"/>
    <w:rsid w:val="00313447"/>
    <w:rsid w:val="00314063"/>
    <w:rsid w:val="00317E85"/>
    <w:rsid w:val="00320220"/>
    <w:rsid w:val="0032035C"/>
    <w:rsid w:val="00321CBC"/>
    <w:rsid w:val="003231BA"/>
    <w:rsid w:val="00323A9C"/>
    <w:rsid w:val="003241A4"/>
    <w:rsid w:val="00324567"/>
    <w:rsid w:val="003252A6"/>
    <w:rsid w:val="0032614B"/>
    <w:rsid w:val="00330008"/>
    <w:rsid w:val="003300D6"/>
    <w:rsid w:val="003301C0"/>
    <w:rsid w:val="00330B60"/>
    <w:rsid w:val="00331E13"/>
    <w:rsid w:val="00335B42"/>
    <w:rsid w:val="00336519"/>
    <w:rsid w:val="0033755B"/>
    <w:rsid w:val="00340217"/>
    <w:rsid w:val="00340DBE"/>
    <w:rsid w:val="00341B17"/>
    <w:rsid w:val="00343096"/>
    <w:rsid w:val="00345C66"/>
    <w:rsid w:val="00347239"/>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3849"/>
    <w:rsid w:val="00383DA3"/>
    <w:rsid w:val="00384D9D"/>
    <w:rsid w:val="00384DEA"/>
    <w:rsid w:val="00386611"/>
    <w:rsid w:val="00390AC2"/>
    <w:rsid w:val="00392BBB"/>
    <w:rsid w:val="00395EF2"/>
    <w:rsid w:val="003970C1"/>
    <w:rsid w:val="003A0803"/>
    <w:rsid w:val="003A20BF"/>
    <w:rsid w:val="003A308F"/>
    <w:rsid w:val="003A3F02"/>
    <w:rsid w:val="003A4508"/>
    <w:rsid w:val="003A65B1"/>
    <w:rsid w:val="003A6ACC"/>
    <w:rsid w:val="003A6E11"/>
    <w:rsid w:val="003A73D8"/>
    <w:rsid w:val="003B0172"/>
    <w:rsid w:val="003B1EE8"/>
    <w:rsid w:val="003B45F6"/>
    <w:rsid w:val="003B5C06"/>
    <w:rsid w:val="003B5DB0"/>
    <w:rsid w:val="003B6D00"/>
    <w:rsid w:val="003B755F"/>
    <w:rsid w:val="003B757B"/>
    <w:rsid w:val="003B7FB2"/>
    <w:rsid w:val="003C0858"/>
    <w:rsid w:val="003C49D2"/>
    <w:rsid w:val="003C6779"/>
    <w:rsid w:val="003C78A6"/>
    <w:rsid w:val="003D3F05"/>
    <w:rsid w:val="003D54DF"/>
    <w:rsid w:val="003D6715"/>
    <w:rsid w:val="003D6C97"/>
    <w:rsid w:val="003D6DE9"/>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9C2"/>
    <w:rsid w:val="00406AFD"/>
    <w:rsid w:val="0040760D"/>
    <w:rsid w:val="00407F62"/>
    <w:rsid w:val="00410338"/>
    <w:rsid w:val="004107BD"/>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7223"/>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F23"/>
    <w:rsid w:val="00467156"/>
    <w:rsid w:val="004673FC"/>
    <w:rsid w:val="0046776B"/>
    <w:rsid w:val="00467785"/>
    <w:rsid w:val="004700D9"/>
    <w:rsid w:val="004707F4"/>
    <w:rsid w:val="004723D0"/>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7758"/>
    <w:rsid w:val="00487A94"/>
    <w:rsid w:val="004910BB"/>
    <w:rsid w:val="0049186D"/>
    <w:rsid w:val="00491CD7"/>
    <w:rsid w:val="004923D2"/>
    <w:rsid w:val="00492EDD"/>
    <w:rsid w:val="00495290"/>
    <w:rsid w:val="004960AB"/>
    <w:rsid w:val="00496404"/>
    <w:rsid w:val="004967B6"/>
    <w:rsid w:val="00496AC6"/>
    <w:rsid w:val="0049743B"/>
    <w:rsid w:val="004A00B2"/>
    <w:rsid w:val="004A0C73"/>
    <w:rsid w:val="004A1075"/>
    <w:rsid w:val="004A1623"/>
    <w:rsid w:val="004A3300"/>
    <w:rsid w:val="004A368F"/>
    <w:rsid w:val="004A3F84"/>
    <w:rsid w:val="004A460D"/>
    <w:rsid w:val="004A5E45"/>
    <w:rsid w:val="004A7371"/>
    <w:rsid w:val="004B1541"/>
    <w:rsid w:val="004B2EC6"/>
    <w:rsid w:val="004B482D"/>
    <w:rsid w:val="004B635F"/>
    <w:rsid w:val="004B6721"/>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3034"/>
    <w:rsid w:val="004D347F"/>
    <w:rsid w:val="004D3CAC"/>
    <w:rsid w:val="004D439A"/>
    <w:rsid w:val="004D5A1D"/>
    <w:rsid w:val="004D639E"/>
    <w:rsid w:val="004D746D"/>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777"/>
    <w:rsid w:val="004F0D1C"/>
    <w:rsid w:val="004F23DC"/>
    <w:rsid w:val="004F4B43"/>
    <w:rsid w:val="004F5717"/>
    <w:rsid w:val="004F5785"/>
    <w:rsid w:val="004F6936"/>
    <w:rsid w:val="004F6B33"/>
    <w:rsid w:val="004F706D"/>
    <w:rsid w:val="004F755F"/>
    <w:rsid w:val="00501DBB"/>
    <w:rsid w:val="00505DAD"/>
    <w:rsid w:val="00506687"/>
    <w:rsid w:val="00507DC7"/>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524D"/>
    <w:rsid w:val="005412F2"/>
    <w:rsid w:val="005418F9"/>
    <w:rsid w:val="00541A80"/>
    <w:rsid w:val="00543E37"/>
    <w:rsid w:val="005520D8"/>
    <w:rsid w:val="005529D9"/>
    <w:rsid w:val="0055365C"/>
    <w:rsid w:val="005548F1"/>
    <w:rsid w:val="00555CAF"/>
    <w:rsid w:val="00555CB4"/>
    <w:rsid w:val="00555F83"/>
    <w:rsid w:val="0055620C"/>
    <w:rsid w:val="0055682E"/>
    <w:rsid w:val="00556865"/>
    <w:rsid w:val="005576C9"/>
    <w:rsid w:val="00561A82"/>
    <w:rsid w:val="00563E59"/>
    <w:rsid w:val="00565DC4"/>
    <w:rsid w:val="005665CF"/>
    <w:rsid w:val="00566840"/>
    <w:rsid w:val="00566A90"/>
    <w:rsid w:val="00566DE1"/>
    <w:rsid w:val="00567514"/>
    <w:rsid w:val="00567C90"/>
    <w:rsid w:val="00570B95"/>
    <w:rsid w:val="005711C0"/>
    <w:rsid w:val="00572282"/>
    <w:rsid w:val="005730F5"/>
    <w:rsid w:val="0057355B"/>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617"/>
    <w:rsid w:val="005B0CFE"/>
    <w:rsid w:val="005B1532"/>
    <w:rsid w:val="005B200A"/>
    <w:rsid w:val="005B32DF"/>
    <w:rsid w:val="005B4627"/>
    <w:rsid w:val="005B69C7"/>
    <w:rsid w:val="005C087D"/>
    <w:rsid w:val="005C2069"/>
    <w:rsid w:val="005C70FE"/>
    <w:rsid w:val="005C7351"/>
    <w:rsid w:val="005C7FC8"/>
    <w:rsid w:val="005D004F"/>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F02"/>
    <w:rsid w:val="005F4724"/>
    <w:rsid w:val="005F593D"/>
    <w:rsid w:val="005F69EC"/>
    <w:rsid w:val="00601725"/>
    <w:rsid w:val="0060292C"/>
    <w:rsid w:val="00602D59"/>
    <w:rsid w:val="00604388"/>
    <w:rsid w:val="0060456E"/>
    <w:rsid w:val="006055B1"/>
    <w:rsid w:val="00605DEB"/>
    <w:rsid w:val="00606839"/>
    <w:rsid w:val="00607179"/>
    <w:rsid w:val="006074CF"/>
    <w:rsid w:val="00607BEE"/>
    <w:rsid w:val="00610E3B"/>
    <w:rsid w:val="00615409"/>
    <w:rsid w:val="006175D8"/>
    <w:rsid w:val="00620F63"/>
    <w:rsid w:val="00622446"/>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A97"/>
    <w:rsid w:val="0064577C"/>
    <w:rsid w:val="00646434"/>
    <w:rsid w:val="00650AFA"/>
    <w:rsid w:val="006517E3"/>
    <w:rsid w:val="00654451"/>
    <w:rsid w:val="0065445E"/>
    <w:rsid w:val="006551B0"/>
    <w:rsid w:val="00655377"/>
    <w:rsid w:val="0065626D"/>
    <w:rsid w:val="006570C7"/>
    <w:rsid w:val="00657397"/>
    <w:rsid w:val="006577A1"/>
    <w:rsid w:val="0066013F"/>
    <w:rsid w:val="006606A1"/>
    <w:rsid w:val="006609D4"/>
    <w:rsid w:val="00665586"/>
    <w:rsid w:val="006656E6"/>
    <w:rsid w:val="006659C0"/>
    <w:rsid w:val="00665DAF"/>
    <w:rsid w:val="00666E8C"/>
    <w:rsid w:val="00670A87"/>
    <w:rsid w:val="00671158"/>
    <w:rsid w:val="00671C1A"/>
    <w:rsid w:val="00673C92"/>
    <w:rsid w:val="0067400B"/>
    <w:rsid w:val="00674654"/>
    <w:rsid w:val="006746D1"/>
    <w:rsid w:val="00675D90"/>
    <w:rsid w:val="0067718A"/>
    <w:rsid w:val="006827A9"/>
    <w:rsid w:val="00683BC1"/>
    <w:rsid w:val="00683DD5"/>
    <w:rsid w:val="00683FF3"/>
    <w:rsid w:val="00686259"/>
    <w:rsid w:val="00686A7D"/>
    <w:rsid w:val="0068784F"/>
    <w:rsid w:val="00687AD7"/>
    <w:rsid w:val="00687FE5"/>
    <w:rsid w:val="0069020F"/>
    <w:rsid w:val="00690243"/>
    <w:rsid w:val="00691E42"/>
    <w:rsid w:val="00691F3B"/>
    <w:rsid w:val="00692555"/>
    <w:rsid w:val="006926EC"/>
    <w:rsid w:val="006953BC"/>
    <w:rsid w:val="0069578F"/>
    <w:rsid w:val="00695D20"/>
    <w:rsid w:val="00696A15"/>
    <w:rsid w:val="00696A59"/>
    <w:rsid w:val="0069738D"/>
    <w:rsid w:val="00697CB7"/>
    <w:rsid w:val="006A10A1"/>
    <w:rsid w:val="006A1695"/>
    <w:rsid w:val="006A203C"/>
    <w:rsid w:val="006A2D2D"/>
    <w:rsid w:val="006A4040"/>
    <w:rsid w:val="006A4B5F"/>
    <w:rsid w:val="006A6805"/>
    <w:rsid w:val="006A6A65"/>
    <w:rsid w:val="006A73C1"/>
    <w:rsid w:val="006A7806"/>
    <w:rsid w:val="006B179D"/>
    <w:rsid w:val="006B62AB"/>
    <w:rsid w:val="006B66FA"/>
    <w:rsid w:val="006C007F"/>
    <w:rsid w:val="006C033D"/>
    <w:rsid w:val="006C075D"/>
    <w:rsid w:val="006C164C"/>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D9A"/>
    <w:rsid w:val="006D4E33"/>
    <w:rsid w:val="006D696F"/>
    <w:rsid w:val="006D6DE4"/>
    <w:rsid w:val="006E0B03"/>
    <w:rsid w:val="006E1043"/>
    <w:rsid w:val="006E26A8"/>
    <w:rsid w:val="006F16DC"/>
    <w:rsid w:val="006F35E8"/>
    <w:rsid w:val="006F4131"/>
    <w:rsid w:val="006F456A"/>
    <w:rsid w:val="006F47DE"/>
    <w:rsid w:val="006F6585"/>
    <w:rsid w:val="006F68EA"/>
    <w:rsid w:val="006F6B26"/>
    <w:rsid w:val="006F6FFD"/>
    <w:rsid w:val="006F7185"/>
    <w:rsid w:val="006F7A0B"/>
    <w:rsid w:val="007003A7"/>
    <w:rsid w:val="00701489"/>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22AE0"/>
    <w:rsid w:val="00722F24"/>
    <w:rsid w:val="0072384B"/>
    <w:rsid w:val="00723B4F"/>
    <w:rsid w:val="007244FE"/>
    <w:rsid w:val="00724AB0"/>
    <w:rsid w:val="00726B9D"/>
    <w:rsid w:val="0072777D"/>
    <w:rsid w:val="00731DA7"/>
    <w:rsid w:val="007323C0"/>
    <w:rsid w:val="007326A6"/>
    <w:rsid w:val="00732C7C"/>
    <w:rsid w:val="00733378"/>
    <w:rsid w:val="00734965"/>
    <w:rsid w:val="00734B3C"/>
    <w:rsid w:val="00735A1A"/>
    <w:rsid w:val="0073667C"/>
    <w:rsid w:val="007366A2"/>
    <w:rsid w:val="0073743B"/>
    <w:rsid w:val="0074158E"/>
    <w:rsid w:val="00741924"/>
    <w:rsid w:val="00741B6A"/>
    <w:rsid w:val="00741C9C"/>
    <w:rsid w:val="00742981"/>
    <w:rsid w:val="00743703"/>
    <w:rsid w:val="00743776"/>
    <w:rsid w:val="00743A28"/>
    <w:rsid w:val="00743E9B"/>
    <w:rsid w:val="00745175"/>
    <w:rsid w:val="007464EB"/>
    <w:rsid w:val="00747AE7"/>
    <w:rsid w:val="0075033C"/>
    <w:rsid w:val="007507D1"/>
    <w:rsid w:val="00750BFD"/>
    <w:rsid w:val="00751AE6"/>
    <w:rsid w:val="00752176"/>
    <w:rsid w:val="007557A3"/>
    <w:rsid w:val="007610C7"/>
    <w:rsid w:val="0076141B"/>
    <w:rsid w:val="0076146F"/>
    <w:rsid w:val="00761908"/>
    <w:rsid w:val="00763199"/>
    <w:rsid w:val="00763BD2"/>
    <w:rsid w:val="007657D3"/>
    <w:rsid w:val="007663D7"/>
    <w:rsid w:val="007668CD"/>
    <w:rsid w:val="00766958"/>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3F5"/>
    <w:rsid w:val="007F3034"/>
    <w:rsid w:val="007F3343"/>
    <w:rsid w:val="007F43E4"/>
    <w:rsid w:val="007F557B"/>
    <w:rsid w:val="007F5D6F"/>
    <w:rsid w:val="007F656C"/>
    <w:rsid w:val="00800903"/>
    <w:rsid w:val="0080186D"/>
    <w:rsid w:val="00801F14"/>
    <w:rsid w:val="00802416"/>
    <w:rsid w:val="0080242F"/>
    <w:rsid w:val="008025F9"/>
    <w:rsid w:val="00802D14"/>
    <w:rsid w:val="0080383F"/>
    <w:rsid w:val="008040EA"/>
    <w:rsid w:val="008041BD"/>
    <w:rsid w:val="00804598"/>
    <w:rsid w:val="00805E48"/>
    <w:rsid w:val="008078AA"/>
    <w:rsid w:val="00810F18"/>
    <w:rsid w:val="008123CF"/>
    <w:rsid w:val="00814498"/>
    <w:rsid w:val="00815000"/>
    <w:rsid w:val="0081587C"/>
    <w:rsid w:val="00816071"/>
    <w:rsid w:val="00817D81"/>
    <w:rsid w:val="008210E0"/>
    <w:rsid w:val="008220FD"/>
    <w:rsid w:val="00822233"/>
    <w:rsid w:val="008247D7"/>
    <w:rsid w:val="008249E3"/>
    <w:rsid w:val="008305C3"/>
    <w:rsid w:val="008317FE"/>
    <w:rsid w:val="00832690"/>
    <w:rsid w:val="00832C89"/>
    <w:rsid w:val="008363DA"/>
    <w:rsid w:val="00836BB1"/>
    <w:rsid w:val="00836BDB"/>
    <w:rsid w:val="0083758A"/>
    <w:rsid w:val="0084333C"/>
    <w:rsid w:val="008444C4"/>
    <w:rsid w:val="008478DB"/>
    <w:rsid w:val="00851595"/>
    <w:rsid w:val="008537CD"/>
    <w:rsid w:val="0085383C"/>
    <w:rsid w:val="00854B0A"/>
    <w:rsid w:val="00855CF1"/>
    <w:rsid w:val="00856004"/>
    <w:rsid w:val="0085639D"/>
    <w:rsid w:val="00861611"/>
    <w:rsid w:val="0086165F"/>
    <w:rsid w:val="0086169B"/>
    <w:rsid w:val="008617C3"/>
    <w:rsid w:val="008620FF"/>
    <w:rsid w:val="008621D9"/>
    <w:rsid w:val="008629FC"/>
    <w:rsid w:val="00864C12"/>
    <w:rsid w:val="00866D3A"/>
    <w:rsid w:val="008707D1"/>
    <w:rsid w:val="00870BE7"/>
    <w:rsid w:val="008715A1"/>
    <w:rsid w:val="00871AFC"/>
    <w:rsid w:val="00873275"/>
    <w:rsid w:val="00875456"/>
    <w:rsid w:val="008758D0"/>
    <w:rsid w:val="00875A46"/>
    <w:rsid w:val="008775B4"/>
    <w:rsid w:val="008864EE"/>
    <w:rsid w:val="0088680E"/>
    <w:rsid w:val="00886CC8"/>
    <w:rsid w:val="0088784E"/>
    <w:rsid w:val="00893B74"/>
    <w:rsid w:val="008963AC"/>
    <w:rsid w:val="00896B79"/>
    <w:rsid w:val="00896CDF"/>
    <w:rsid w:val="00897725"/>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C0138"/>
    <w:rsid w:val="008C0A86"/>
    <w:rsid w:val="008C21BA"/>
    <w:rsid w:val="008C3DD2"/>
    <w:rsid w:val="008C54C3"/>
    <w:rsid w:val="008C69FB"/>
    <w:rsid w:val="008C738B"/>
    <w:rsid w:val="008D09DD"/>
    <w:rsid w:val="008D0A6D"/>
    <w:rsid w:val="008D0B32"/>
    <w:rsid w:val="008D211A"/>
    <w:rsid w:val="008D499E"/>
    <w:rsid w:val="008D67C7"/>
    <w:rsid w:val="008D7DD4"/>
    <w:rsid w:val="008E0225"/>
    <w:rsid w:val="008E1BBD"/>
    <w:rsid w:val="008E1CD1"/>
    <w:rsid w:val="008E1CEA"/>
    <w:rsid w:val="008E2A09"/>
    <w:rsid w:val="008E3167"/>
    <w:rsid w:val="008E34CC"/>
    <w:rsid w:val="008E5286"/>
    <w:rsid w:val="008E5392"/>
    <w:rsid w:val="008E53C1"/>
    <w:rsid w:val="008E7842"/>
    <w:rsid w:val="008F0410"/>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379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2515"/>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514C"/>
    <w:rsid w:val="009855AD"/>
    <w:rsid w:val="00985AE6"/>
    <w:rsid w:val="00985D14"/>
    <w:rsid w:val="009866A2"/>
    <w:rsid w:val="009869D2"/>
    <w:rsid w:val="009874FC"/>
    <w:rsid w:val="009922D1"/>
    <w:rsid w:val="00992F88"/>
    <w:rsid w:val="00994E26"/>
    <w:rsid w:val="009970F2"/>
    <w:rsid w:val="009971FD"/>
    <w:rsid w:val="009A02A3"/>
    <w:rsid w:val="009A0DE2"/>
    <w:rsid w:val="009A1940"/>
    <w:rsid w:val="009A26F3"/>
    <w:rsid w:val="009A43A3"/>
    <w:rsid w:val="009A5423"/>
    <w:rsid w:val="009A5879"/>
    <w:rsid w:val="009A5C62"/>
    <w:rsid w:val="009A6703"/>
    <w:rsid w:val="009A6C83"/>
    <w:rsid w:val="009B169D"/>
    <w:rsid w:val="009B1CFC"/>
    <w:rsid w:val="009B335A"/>
    <w:rsid w:val="009B414B"/>
    <w:rsid w:val="009B42A6"/>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76D"/>
    <w:rsid w:val="009F1C25"/>
    <w:rsid w:val="009F37CC"/>
    <w:rsid w:val="009F415D"/>
    <w:rsid w:val="009F4A6D"/>
    <w:rsid w:val="009F4E86"/>
    <w:rsid w:val="009F4F16"/>
    <w:rsid w:val="009F68F6"/>
    <w:rsid w:val="009F6FE8"/>
    <w:rsid w:val="009F75C7"/>
    <w:rsid w:val="009F7E15"/>
    <w:rsid w:val="00A016C7"/>
    <w:rsid w:val="00A019DB"/>
    <w:rsid w:val="00A03D09"/>
    <w:rsid w:val="00A073DC"/>
    <w:rsid w:val="00A07B07"/>
    <w:rsid w:val="00A115E8"/>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31C25"/>
    <w:rsid w:val="00A32099"/>
    <w:rsid w:val="00A33CA7"/>
    <w:rsid w:val="00A34132"/>
    <w:rsid w:val="00A3418E"/>
    <w:rsid w:val="00A352AE"/>
    <w:rsid w:val="00A35E74"/>
    <w:rsid w:val="00A37150"/>
    <w:rsid w:val="00A3742A"/>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5A8"/>
    <w:rsid w:val="00A626D4"/>
    <w:rsid w:val="00A651EB"/>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96A"/>
    <w:rsid w:val="00AA3A95"/>
    <w:rsid w:val="00AA4C78"/>
    <w:rsid w:val="00AA4ED1"/>
    <w:rsid w:val="00AA76C7"/>
    <w:rsid w:val="00AB0C28"/>
    <w:rsid w:val="00AB43E3"/>
    <w:rsid w:val="00AB56B0"/>
    <w:rsid w:val="00AB6583"/>
    <w:rsid w:val="00AB719F"/>
    <w:rsid w:val="00AB74C7"/>
    <w:rsid w:val="00AB7615"/>
    <w:rsid w:val="00AC306B"/>
    <w:rsid w:val="00AC47FD"/>
    <w:rsid w:val="00AC62C6"/>
    <w:rsid w:val="00AD0AD1"/>
    <w:rsid w:val="00AD0B10"/>
    <w:rsid w:val="00AD2378"/>
    <w:rsid w:val="00AD2C8A"/>
    <w:rsid w:val="00AD3415"/>
    <w:rsid w:val="00AD46BA"/>
    <w:rsid w:val="00AD591A"/>
    <w:rsid w:val="00AD5A29"/>
    <w:rsid w:val="00AD6A21"/>
    <w:rsid w:val="00AE07FD"/>
    <w:rsid w:val="00AE4816"/>
    <w:rsid w:val="00AE5FB3"/>
    <w:rsid w:val="00AE7F5D"/>
    <w:rsid w:val="00AF0AE7"/>
    <w:rsid w:val="00AF0C20"/>
    <w:rsid w:val="00AF17FA"/>
    <w:rsid w:val="00AF37D1"/>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9F8"/>
    <w:rsid w:val="00B24CF7"/>
    <w:rsid w:val="00B24EF5"/>
    <w:rsid w:val="00B273DB"/>
    <w:rsid w:val="00B2752C"/>
    <w:rsid w:val="00B303A9"/>
    <w:rsid w:val="00B30422"/>
    <w:rsid w:val="00B30A01"/>
    <w:rsid w:val="00B329B8"/>
    <w:rsid w:val="00B3382B"/>
    <w:rsid w:val="00B3711D"/>
    <w:rsid w:val="00B37995"/>
    <w:rsid w:val="00B40372"/>
    <w:rsid w:val="00B4048B"/>
    <w:rsid w:val="00B41C86"/>
    <w:rsid w:val="00B41FA8"/>
    <w:rsid w:val="00B42804"/>
    <w:rsid w:val="00B433F1"/>
    <w:rsid w:val="00B43A79"/>
    <w:rsid w:val="00B45330"/>
    <w:rsid w:val="00B46882"/>
    <w:rsid w:val="00B47083"/>
    <w:rsid w:val="00B473A4"/>
    <w:rsid w:val="00B50760"/>
    <w:rsid w:val="00B515CE"/>
    <w:rsid w:val="00B515E7"/>
    <w:rsid w:val="00B519B6"/>
    <w:rsid w:val="00B525A2"/>
    <w:rsid w:val="00B529F5"/>
    <w:rsid w:val="00B531BA"/>
    <w:rsid w:val="00B54964"/>
    <w:rsid w:val="00B5571A"/>
    <w:rsid w:val="00B5656C"/>
    <w:rsid w:val="00B60982"/>
    <w:rsid w:val="00B624AD"/>
    <w:rsid w:val="00B63090"/>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4C1"/>
    <w:rsid w:val="00BC0713"/>
    <w:rsid w:val="00BC0C20"/>
    <w:rsid w:val="00BC155B"/>
    <w:rsid w:val="00BC1D92"/>
    <w:rsid w:val="00BC22BC"/>
    <w:rsid w:val="00BC3678"/>
    <w:rsid w:val="00BC47FD"/>
    <w:rsid w:val="00BC5CA7"/>
    <w:rsid w:val="00BC6486"/>
    <w:rsid w:val="00BD03B9"/>
    <w:rsid w:val="00BD0ACD"/>
    <w:rsid w:val="00BD2446"/>
    <w:rsid w:val="00BD2B3B"/>
    <w:rsid w:val="00BD2C24"/>
    <w:rsid w:val="00BD5DCD"/>
    <w:rsid w:val="00BD6614"/>
    <w:rsid w:val="00BD71E2"/>
    <w:rsid w:val="00BD7A5F"/>
    <w:rsid w:val="00BE29AA"/>
    <w:rsid w:val="00BE5739"/>
    <w:rsid w:val="00BE63DA"/>
    <w:rsid w:val="00BE769A"/>
    <w:rsid w:val="00BE7E0C"/>
    <w:rsid w:val="00BF04A2"/>
    <w:rsid w:val="00BF0827"/>
    <w:rsid w:val="00BF125E"/>
    <w:rsid w:val="00BF1B42"/>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CB1"/>
    <w:rsid w:val="00C33444"/>
    <w:rsid w:val="00C3382A"/>
    <w:rsid w:val="00C379E9"/>
    <w:rsid w:val="00C4007B"/>
    <w:rsid w:val="00C42F15"/>
    <w:rsid w:val="00C433B6"/>
    <w:rsid w:val="00C43E58"/>
    <w:rsid w:val="00C45554"/>
    <w:rsid w:val="00C4601E"/>
    <w:rsid w:val="00C4663D"/>
    <w:rsid w:val="00C46B82"/>
    <w:rsid w:val="00C52035"/>
    <w:rsid w:val="00C52B9D"/>
    <w:rsid w:val="00C540A4"/>
    <w:rsid w:val="00C54110"/>
    <w:rsid w:val="00C54910"/>
    <w:rsid w:val="00C5632D"/>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BFC"/>
    <w:rsid w:val="00C74691"/>
    <w:rsid w:val="00C751EC"/>
    <w:rsid w:val="00C75AA5"/>
    <w:rsid w:val="00C75CE9"/>
    <w:rsid w:val="00C76B24"/>
    <w:rsid w:val="00C774F8"/>
    <w:rsid w:val="00C77AE8"/>
    <w:rsid w:val="00C8109E"/>
    <w:rsid w:val="00C81C1C"/>
    <w:rsid w:val="00C82D6F"/>
    <w:rsid w:val="00C845D3"/>
    <w:rsid w:val="00C857B3"/>
    <w:rsid w:val="00C865A3"/>
    <w:rsid w:val="00C90527"/>
    <w:rsid w:val="00C90E86"/>
    <w:rsid w:val="00C91CD5"/>
    <w:rsid w:val="00C9322F"/>
    <w:rsid w:val="00C9426B"/>
    <w:rsid w:val="00C949ED"/>
    <w:rsid w:val="00C95523"/>
    <w:rsid w:val="00C95BC7"/>
    <w:rsid w:val="00C96B2D"/>
    <w:rsid w:val="00C97E7A"/>
    <w:rsid w:val="00CA02BB"/>
    <w:rsid w:val="00CA09E3"/>
    <w:rsid w:val="00CA1009"/>
    <w:rsid w:val="00CA3B6E"/>
    <w:rsid w:val="00CA3FC0"/>
    <w:rsid w:val="00CA4735"/>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6380"/>
    <w:rsid w:val="00CD77A3"/>
    <w:rsid w:val="00CE0063"/>
    <w:rsid w:val="00CE02A2"/>
    <w:rsid w:val="00CE0C2A"/>
    <w:rsid w:val="00CE142A"/>
    <w:rsid w:val="00CE3797"/>
    <w:rsid w:val="00CE5050"/>
    <w:rsid w:val="00CE50F6"/>
    <w:rsid w:val="00CE5293"/>
    <w:rsid w:val="00CE5453"/>
    <w:rsid w:val="00CE5A57"/>
    <w:rsid w:val="00CE7DFE"/>
    <w:rsid w:val="00CF0316"/>
    <w:rsid w:val="00CF0442"/>
    <w:rsid w:val="00CF2681"/>
    <w:rsid w:val="00CF359E"/>
    <w:rsid w:val="00CF382E"/>
    <w:rsid w:val="00CF388C"/>
    <w:rsid w:val="00CF6D29"/>
    <w:rsid w:val="00D00DC5"/>
    <w:rsid w:val="00D029E2"/>
    <w:rsid w:val="00D02F2A"/>
    <w:rsid w:val="00D03498"/>
    <w:rsid w:val="00D049FD"/>
    <w:rsid w:val="00D0594A"/>
    <w:rsid w:val="00D05CD8"/>
    <w:rsid w:val="00D068F3"/>
    <w:rsid w:val="00D06D3C"/>
    <w:rsid w:val="00D07A2B"/>
    <w:rsid w:val="00D1340C"/>
    <w:rsid w:val="00D13DEB"/>
    <w:rsid w:val="00D14C2B"/>
    <w:rsid w:val="00D1667A"/>
    <w:rsid w:val="00D20931"/>
    <w:rsid w:val="00D20E2F"/>
    <w:rsid w:val="00D215EE"/>
    <w:rsid w:val="00D2283B"/>
    <w:rsid w:val="00D22E47"/>
    <w:rsid w:val="00D23B84"/>
    <w:rsid w:val="00D24139"/>
    <w:rsid w:val="00D30388"/>
    <w:rsid w:val="00D3425E"/>
    <w:rsid w:val="00D36041"/>
    <w:rsid w:val="00D40203"/>
    <w:rsid w:val="00D41380"/>
    <w:rsid w:val="00D427BD"/>
    <w:rsid w:val="00D42C6B"/>
    <w:rsid w:val="00D43C0D"/>
    <w:rsid w:val="00D441DA"/>
    <w:rsid w:val="00D44DA6"/>
    <w:rsid w:val="00D45190"/>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05A"/>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7256"/>
    <w:rsid w:val="00DA05EB"/>
    <w:rsid w:val="00DA2BE0"/>
    <w:rsid w:val="00DA32A6"/>
    <w:rsid w:val="00DA3A38"/>
    <w:rsid w:val="00DA4B12"/>
    <w:rsid w:val="00DB1198"/>
    <w:rsid w:val="00DB3A78"/>
    <w:rsid w:val="00DB40EB"/>
    <w:rsid w:val="00DB440A"/>
    <w:rsid w:val="00DB44BA"/>
    <w:rsid w:val="00DB498F"/>
    <w:rsid w:val="00DB4E5B"/>
    <w:rsid w:val="00DB62F4"/>
    <w:rsid w:val="00DC2C21"/>
    <w:rsid w:val="00DC5789"/>
    <w:rsid w:val="00DC6765"/>
    <w:rsid w:val="00DC67CE"/>
    <w:rsid w:val="00DC6D8A"/>
    <w:rsid w:val="00DD11D0"/>
    <w:rsid w:val="00DD1898"/>
    <w:rsid w:val="00DD1A37"/>
    <w:rsid w:val="00DD47EE"/>
    <w:rsid w:val="00DD4DF8"/>
    <w:rsid w:val="00DD50D4"/>
    <w:rsid w:val="00DD61A9"/>
    <w:rsid w:val="00DD64FB"/>
    <w:rsid w:val="00DE02EE"/>
    <w:rsid w:val="00DE1618"/>
    <w:rsid w:val="00DE24A6"/>
    <w:rsid w:val="00DE28A5"/>
    <w:rsid w:val="00DE2D06"/>
    <w:rsid w:val="00DE3295"/>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1ACB"/>
    <w:rsid w:val="00E128F6"/>
    <w:rsid w:val="00E12C3D"/>
    <w:rsid w:val="00E130E0"/>
    <w:rsid w:val="00E139DC"/>
    <w:rsid w:val="00E144A1"/>
    <w:rsid w:val="00E150AE"/>
    <w:rsid w:val="00E15A7B"/>
    <w:rsid w:val="00E15BC1"/>
    <w:rsid w:val="00E16EC5"/>
    <w:rsid w:val="00E2018B"/>
    <w:rsid w:val="00E209FB"/>
    <w:rsid w:val="00E22586"/>
    <w:rsid w:val="00E23C66"/>
    <w:rsid w:val="00E24A90"/>
    <w:rsid w:val="00E2510D"/>
    <w:rsid w:val="00E25372"/>
    <w:rsid w:val="00E30916"/>
    <w:rsid w:val="00E30BE7"/>
    <w:rsid w:val="00E33DE2"/>
    <w:rsid w:val="00E33F58"/>
    <w:rsid w:val="00E34D0E"/>
    <w:rsid w:val="00E34E55"/>
    <w:rsid w:val="00E35915"/>
    <w:rsid w:val="00E36102"/>
    <w:rsid w:val="00E402B9"/>
    <w:rsid w:val="00E40620"/>
    <w:rsid w:val="00E41098"/>
    <w:rsid w:val="00E44B9D"/>
    <w:rsid w:val="00E45E68"/>
    <w:rsid w:val="00E5061F"/>
    <w:rsid w:val="00E50CB2"/>
    <w:rsid w:val="00E511FD"/>
    <w:rsid w:val="00E52854"/>
    <w:rsid w:val="00E535E9"/>
    <w:rsid w:val="00E5406B"/>
    <w:rsid w:val="00E540B0"/>
    <w:rsid w:val="00E55B8E"/>
    <w:rsid w:val="00E55BBF"/>
    <w:rsid w:val="00E56A9C"/>
    <w:rsid w:val="00E573F2"/>
    <w:rsid w:val="00E619F0"/>
    <w:rsid w:val="00E61AA4"/>
    <w:rsid w:val="00E6613C"/>
    <w:rsid w:val="00E66661"/>
    <w:rsid w:val="00E66A58"/>
    <w:rsid w:val="00E677ED"/>
    <w:rsid w:val="00E7046B"/>
    <w:rsid w:val="00E72470"/>
    <w:rsid w:val="00E72C92"/>
    <w:rsid w:val="00E72D7F"/>
    <w:rsid w:val="00E730CB"/>
    <w:rsid w:val="00E732A5"/>
    <w:rsid w:val="00E7359A"/>
    <w:rsid w:val="00E736BF"/>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9C3"/>
    <w:rsid w:val="00EB4B85"/>
    <w:rsid w:val="00EB57B9"/>
    <w:rsid w:val="00EB5DEF"/>
    <w:rsid w:val="00EB5F3F"/>
    <w:rsid w:val="00EC0517"/>
    <w:rsid w:val="00EC0E95"/>
    <w:rsid w:val="00EC18F1"/>
    <w:rsid w:val="00EC4E3D"/>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4AE"/>
    <w:rsid w:val="00EE7C28"/>
    <w:rsid w:val="00EE7E77"/>
    <w:rsid w:val="00EF00A5"/>
    <w:rsid w:val="00EF1DF9"/>
    <w:rsid w:val="00EF264F"/>
    <w:rsid w:val="00EF3273"/>
    <w:rsid w:val="00EF41A1"/>
    <w:rsid w:val="00EF4C4F"/>
    <w:rsid w:val="00EF5178"/>
    <w:rsid w:val="00EF5353"/>
    <w:rsid w:val="00EF5899"/>
    <w:rsid w:val="00EF736C"/>
    <w:rsid w:val="00EF774D"/>
    <w:rsid w:val="00F00AC2"/>
    <w:rsid w:val="00F017FA"/>
    <w:rsid w:val="00F02105"/>
    <w:rsid w:val="00F03200"/>
    <w:rsid w:val="00F0393A"/>
    <w:rsid w:val="00F03EEA"/>
    <w:rsid w:val="00F03F90"/>
    <w:rsid w:val="00F06185"/>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6FC3"/>
    <w:rsid w:val="00F37D09"/>
    <w:rsid w:val="00F4006F"/>
    <w:rsid w:val="00F40AFD"/>
    <w:rsid w:val="00F423B3"/>
    <w:rsid w:val="00F42A59"/>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949"/>
    <w:rsid w:val="00F64DBB"/>
    <w:rsid w:val="00F64F54"/>
    <w:rsid w:val="00F66017"/>
    <w:rsid w:val="00F66934"/>
    <w:rsid w:val="00F7006E"/>
    <w:rsid w:val="00F71A61"/>
    <w:rsid w:val="00F72919"/>
    <w:rsid w:val="00F72A15"/>
    <w:rsid w:val="00F73056"/>
    <w:rsid w:val="00F73D5F"/>
    <w:rsid w:val="00F74BF7"/>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91252"/>
    <w:rsid w:val="00F91550"/>
    <w:rsid w:val="00F945EB"/>
    <w:rsid w:val="00F9532B"/>
    <w:rsid w:val="00F96862"/>
    <w:rsid w:val="00F978C5"/>
    <w:rsid w:val="00F97E1B"/>
    <w:rsid w:val="00FA1B0E"/>
    <w:rsid w:val="00FA2F37"/>
    <w:rsid w:val="00FA6739"/>
    <w:rsid w:val="00FA674D"/>
    <w:rsid w:val="00FB0901"/>
    <w:rsid w:val="00FB0A2F"/>
    <w:rsid w:val="00FB2454"/>
    <w:rsid w:val="00FB2B86"/>
    <w:rsid w:val="00FB3386"/>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A9"/>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305A"/>
    <w:rPr>
      <w:sz w:val="16"/>
      <w:szCs w:val="16"/>
    </w:rPr>
  </w:style>
  <w:style w:type="paragraph" w:styleId="CommentText">
    <w:name w:val="annotation text"/>
    <w:basedOn w:val="Normal"/>
    <w:link w:val="CommentTextChar"/>
    <w:uiPriority w:val="99"/>
    <w:semiHidden/>
    <w:unhideWhenUsed/>
    <w:rsid w:val="00D8305A"/>
    <w:rPr>
      <w:sz w:val="20"/>
    </w:rPr>
  </w:style>
  <w:style w:type="character" w:customStyle="1" w:styleId="CommentTextChar">
    <w:name w:val="Comment Text Char"/>
    <w:basedOn w:val="DefaultParagraphFont"/>
    <w:link w:val="CommentText"/>
    <w:uiPriority w:val="99"/>
    <w:semiHidden/>
    <w:rsid w:val="00D830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305A"/>
    <w:rPr>
      <w:b/>
      <w:bCs/>
    </w:rPr>
  </w:style>
  <w:style w:type="character" w:customStyle="1" w:styleId="CommentSubjectChar">
    <w:name w:val="Comment Subject Char"/>
    <w:basedOn w:val="CommentTextChar"/>
    <w:link w:val="CommentSubject"/>
    <w:uiPriority w:val="99"/>
    <w:semiHidden/>
    <w:rsid w:val="00D830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305A"/>
    <w:rPr>
      <w:rFonts w:ascii="Tahoma" w:hAnsi="Tahoma" w:cs="Tahoma"/>
      <w:sz w:val="16"/>
      <w:szCs w:val="16"/>
    </w:rPr>
  </w:style>
  <w:style w:type="character" w:customStyle="1" w:styleId="BalloonTextChar">
    <w:name w:val="Balloon Text Char"/>
    <w:basedOn w:val="DefaultParagraphFont"/>
    <w:link w:val="BalloonText"/>
    <w:uiPriority w:val="99"/>
    <w:semiHidden/>
    <w:rsid w:val="00D8305A"/>
    <w:rPr>
      <w:rFonts w:ascii="Tahoma" w:eastAsia="Times New Roman" w:hAnsi="Tahoma" w:cs="Tahoma"/>
      <w:sz w:val="16"/>
      <w:szCs w:val="16"/>
    </w:rPr>
  </w:style>
  <w:style w:type="table" w:styleId="TableGrid">
    <w:name w:val="Table Grid"/>
    <w:basedOn w:val="TableNormal"/>
    <w:uiPriority w:val="59"/>
    <w:rsid w:val="00EC4E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5445E"/>
    <w:rPr>
      <w:sz w:val="20"/>
    </w:rPr>
  </w:style>
  <w:style w:type="character" w:customStyle="1" w:styleId="FootnoteTextChar">
    <w:name w:val="Footnote Text Char"/>
    <w:basedOn w:val="DefaultParagraphFont"/>
    <w:link w:val="FootnoteText"/>
    <w:uiPriority w:val="99"/>
    <w:semiHidden/>
    <w:rsid w:val="006544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445E"/>
    <w:rPr>
      <w:vertAlign w:val="superscript"/>
    </w:rPr>
  </w:style>
  <w:style w:type="paragraph" w:styleId="Header">
    <w:name w:val="header"/>
    <w:basedOn w:val="Normal"/>
    <w:link w:val="HeaderChar"/>
    <w:uiPriority w:val="99"/>
    <w:semiHidden/>
    <w:unhideWhenUsed/>
    <w:rsid w:val="002B2412"/>
    <w:pPr>
      <w:tabs>
        <w:tab w:val="center" w:pos="4680"/>
        <w:tab w:val="right" w:pos="9360"/>
      </w:tabs>
    </w:pPr>
  </w:style>
  <w:style w:type="character" w:customStyle="1" w:styleId="HeaderChar">
    <w:name w:val="Header Char"/>
    <w:basedOn w:val="DefaultParagraphFont"/>
    <w:link w:val="Header"/>
    <w:uiPriority w:val="99"/>
    <w:semiHidden/>
    <w:rsid w:val="002B2412"/>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B2412"/>
    <w:pPr>
      <w:tabs>
        <w:tab w:val="center" w:pos="4680"/>
        <w:tab w:val="right" w:pos="9360"/>
      </w:tabs>
    </w:pPr>
  </w:style>
  <w:style w:type="character" w:customStyle="1" w:styleId="FooterChar">
    <w:name w:val="Footer Char"/>
    <w:basedOn w:val="DefaultParagraphFont"/>
    <w:link w:val="Footer"/>
    <w:uiPriority w:val="99"/>
    <w:semiHidden/>
    <w:rsid w:val="002B241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A9"/>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305A"/>
    <w:rPr>
      <w:sz w:val="16"/>
      <w:szCs w:val="16"/>
    </w:rPr>
  </w:style>
  <w:style w:type="paragraph" w:styleId="CommentText">
    <w:name w:val="annotation text"/>
    <w:basedOn w:val="Normal"/>
    <w:link w:val="CommentTextChar"/>
    <w:uiPriority w:val="99"/>
    <w:semiHidden/>
    <w:unhideWhenUsed/>
    <w:rsid w:val="00D8305A"/>
    <w:rPr>
      <w:sz w:val="20"/>
    </w:rPr>
  </w:style>
  <w:style w:type="character" w:customStyle="1" w:styleId="CommentTextChar">
    <w:name w:val="Comment Text Char"/>
    <w:basedOn w:val="DefaultParagraphFont"/>
    <w:link w:val="CommentText"/>
    <w:uiPriority w:val="99"/>
    <w:semiHidden/>
    <w:rsid w:val="00D830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305A"/>
    <w:rPr>
      <w:b/>
      <w:bCs/>
    </w:rPr>
  </w:style>
  <w:style w:type="character" w:customStyle="1" w:styleId="CommentSubjectChar">
    <w:name w:val="Comment Subject Char"/>
    <w:basedOn w:val="CommentTextChar"/>
    <w:link w:val="CommentSubject"/>
    <w:uiPriority w:val="99"/>
    <w:semiHidden/>
    <w:rsid w:val="00D830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305A"/>
    <w:rPr>
      <w:rFonts w:ascii="Tahoma" w:hAnsi="Tahoma" w:cs="Tahoma"/>
      <w:sz w:val="16"/>
      <w:szCs w:val="16"/>
    </w:rPr>
  </w:style>
  <w:style w:type="character" w:customStyle="1" w:styleId="BalloonTextChar">
    <w:name w:val="Balloon Text Char"/>
    <w:basedOn w:val="DefaultParagraphFont"/>
    <w:link w:val="BalloonText"/>
    <w:uiPriority w:val="99"/>
    <w:semiHidden/>
    <w:rsid w:val="00D8305A"/>
    <w:rPr>
      <w:rFonts w:ascii="Tahoma" w:eastAsia="Times New Roman" w:hAnsi="Tahoma" w:cs="Tahoma"/>
      <w:sz w:val="16"/>
      <w:szCs w:val="16"/>
    </w:rPr>
  </w:style>
  <w:style w:type="table" w:styleId="TableGrid">
    <w:name w:val="Table Grid"/>
    <w:basedOn w:val="TableNormal"/>
    <w:uiPriority w:val="59"/>
    <w:rsid w:val="00EC4E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5445E"/>
    <w:rPr>
      <w:sz w:val="20"/>
    </w:rPr>
  </w:style>
  <w:style w:type="character" w:customStyle="1" w:styleId="FootnoteTextChar">
    <w:name w:val="Footnote Text Char"/>
    <w:basedOn w:val="DefaultParagraphFont"/>
    <w:link w:val="FootnoteText"/>
    <w:uiPriority w:val="99"/>
    <w:semiHidden/>
    <w:rsid w:val="006544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445E"/>
    <w:rPr>
      <w:vertAlign w:val="superscript"/>
    </w:rPr>
  </w:style>
  <w:style w:type="paragraph" w:styleId="Header">
    <w:name w:val="header"/>
    <w:basedOn w:val="Normal"/>
    <w:link w:val="HeaderChar"/>
    <w:uiPriority w:val="99"/>
    <w:semiHidden/>
    <w:unhideWhenUsed/>
    <w:rsid w:val="002B2412"/>
    <w:pPr>
      <w:tabs>
        <w:tab w:val="center" w:pos="4680"/>
        <w:tab w:val="right" w:pos="9360"/>
      </w:tabs>
    </w:pPr>
  </w:style>
  <w:style w:type="character" w:customStyle="1" w:styleId="HeaderChar">
    <w:name w:val="Header Char"/>
    <w:basedOn w:val="DefaultParagraphFont"/>
    <w:link w:val="Header"/>
    <w:uiPriority w:val="99"/>
    <w:semiHidden/>
    <w:rsid w:val="002B2412"/>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B2412"/>
    <w:pPr>
      <w:tabs>
        <w:tab w:val="center" w:pos="4680"/>
        <w:tab w:val="right" w:pos="9360"/>
      </w:tabs>
    </w:pPr>
  </w:style>
  <w:style w:type="character" w:customStyle="1" w:styleId="FooterChar">
    <w:name w:val="Footer Char"/>
    <w:basedOn w:val="DefaultParagraphFont"/>
    <w:link w:val="Footer"/>
    <w:uiPriority w:val="99"/>
    <w:semiHidden/>
    <w:rsid w:val="002B241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D3185-9979-4DDD-9618-563735CA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1851</Words>
  <Characters>10552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2014-10-14T21:11:00Z</dcterms:created>
  <dcterms:modified xsi:type="dcterms:W3CDTF">2014-10-14T21:11:00Z</dcterms:modified>
</cp:coreProperties>
</file>