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80" w:rsidRPr="005328D9" w:rsidRDefault="00117F80" w:rsidP="00117F80">
      <w:pPr>
        <w:rPr>
          <w:rFonts w:ascii="Arial" w:hAnsi="Arial" w:cs="Arial"/>
          <w:sz w:val="22"/>
          <w:szCs w:val="22"/>
        </w:rPr>
      </w:pPr>
      <w:bookmarkStart w:id="0" w:name="_GoBack"/>
      <w:bookmarkEnd w:id="0"/>
      <w:r w:rsidRPr="005328D9">
        <w:rPr>
          <w:rFonts w:ascii="Arial" w:hAnsi="Arial" w:cs="Arial"/>
          <w:sz w:val="22"/>
          <w:szCs w:val="22"/>
        </w:rPr>
        <w:t>Section 14</w:t>
      </w:r>
    </w:p>
    <w:p w:rsidR="00117F80" w:rsidRPr="005328D9" w:rsidRDefault="00117F80" w:rsidP="00117F80">
      <w:pPr>
        <w:rPr>
          <w:rFonts w:ascii="Arial" w:hAnsi="Arial" w:cs="Arial"/>
          <w:sz w:val="22"/>
          <w:szCs w:val="22"/>
        </w:rPr>
      </w:pPr>
    </w:p>
    <w:p w:rsidR="00117F80" w:rsidRPr="005328D9" w:rsidRDefault="006D6EDF" w:rsidP="00117F80">
      <w:pPr>
        <w:tabs>
          <w:tab w:val="center" w:pos="4680"/>
        </w:tabs>
        <w:jc w:val="center"/>
        <w:rPr>
          <w:rFonts w:ascii="Arial" w:hAnsi="Arial" w:cs="Arial"/>
          <w:sz w:val="22"/>
          <w:szCs w:val="22"/>
        </w:rPr>
      </w:pPr>
      <w:r>
        <w:rPr>
          <w:rFonts w:ascii="Arial" w:hAnsi="Arial" w:cs="Arial"/>
          <w:sz w:val="22"/>
          <w:szCs w:val="22"/>
        </w:rPr>
        <w:t>FINAL</w:t>
      </w:r>
      <w:r w:rsidR="00A13B3E">
        <w:rPr>
          <w:rFonts w:ascii="Arial" w:hAnsi="Arial" w:cs="Arial"/>
          <w:sz w:val="22"/>
          <w:szCs w:val="22"/>
        </w:rPr>
        <w:t xml:space="preserve"> SUPPORTING STATEMENT</w:t>
      </w:r>
    </w:p>
    <w:p w:rsidR="00117F80" w:rsidRPr="005328D9" w:rsidRDefault="00A13B3E" w:rsidP="00117F80">
      <w:pPr>
        <w:tabs>
          <w:tab w:val="center" w:pos="4680"/>
        </w:tabs>
        <w:jc w:val="center"/>
        <w:rPr>
          <w:rFonts w:ascii="Arial" w:hAnsi="Arial" w:cs="Arial"/>
          <w:sz w:val="22"/>
          <w:szCs w:val="22"/>
        </w:rPr>
      </w:pPr>
      <w:r>
        <w:rPr>
          <w:rFonts w:ascii="Arial" w:hAnsi="Arial" w:cs="Arial"/>
          <w:sz w:val="22"/>
          <w:szCs w:val="22"/>
        </w:rPr>
        <w:t>FOR</w:t>
      </w:r>
    </w:p>
    <w:p w:rsidR="00117F80" w:rsidRPr="005328D9" w:rsidRDefault="00A13B3E" w:rsidP="00117F80">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REPORTING DESIGN AND CONSTRUCTION DEFICIENCIES</w:t>
      </w:r>
    </w:p>
    <w:p w:rsidR="00117F80" w:rsidRPr="005328D9" w:rsidRDefault="00117F80" w:rsidP="00117F80">
      <w:pPr>
        <w:ind w:firstLine="6480"/>
        <w:rPr>
          <w:rFonts w:ascii="Arial" w:hAnsi="Arial" w:cs="Arial"/>
          <w:sz w:val="22"/>
          <w:szCs w:val="22"/>
        </w:rPr>
      </w:pPr>
    </w:p>
    <w:p w:rsidR="00117F80" w:rsidRPr="005328D9" w:rsidRDefault="00A13B3E" w:rsidP="00117F80">
      <w:pPr>
        <w:tabs>
          <w:tab w:val="center" w:pos="4680"/>
        </w:tabs>
        <w:rPr>
          <w:rFonts w:ascii="Arial" w:hAnsi="Arial" w:cs="Arial"/>
          <w:sz w:val="22"/>
          <w:szCs w:val="22"/>
        </w:rPr>
      </w:pPr>
      <w:r>
        <w:rPr>
          <w:rFonts w:ascii="Arial" w:hAnsi="Arial" w:cs="Arial"/>
          <w:sz w:val="22"/>
          <w:szCs w:val="22"/>
        </w:rPr>
        <w:tab/>
        <w:t>10 CFR 50.55(e)</w:t>
      </w:r>
    </w:p>
    <w:p w:rsidR="00117F80" w:rsidRPr="005328D9" w:rsidRDefault="00117F80" w:rsidP="00117F80">
      <w:pPr>
        <w:rPr>
          <w:rFonts w:ascii="Arial" w:hAnsi="Arial" w:cs="Arial"/>
          <w:sz w:val="22"/>
          <w:szCs w:val="22"/>
        </w:rPr>
      </w:pPr>
    </w:p>
    <w:p w:rsidR="00117F80" w:rsidRPr="005328D9" w:rsidRDefault="00A13B3E" w:rsidP="00117F80">
      <w:pPr>
        <w:rPr>
          <w:rFonts w:ascii="Arial" w:hAnsi="Arial" w:cs="Arial"/>
          <w:sz w:val="22"/>
          <w:szCs w:val="22"/>
        </w:rPr>
      </w:pPr>
      <w:r>
        <w:rPr>
          <w:rFonts w:ascii="Arial" w:hAnsi="Arial" w:cs="Arial"/>
          <w:sz w:val="22"/>
          <w:szCs w:val="22"/>
          <w:u w:val="single"/>
        </w:rPr>
        <w:t>DESCRIPTION OF THE INFORMATION COLLECTION</w:t>
      </w:r>
    </w:p>
    <w:p w:rsidR="00117F80" w:rsidRPr="005328D9" w:rsidRDefault="00117F80" w:rsidP="00117F80">
      <w:pPr>
        <w:rPr>
          <w:rFonts w:ascii="Arial" w:hAnsi="Arial" w:cs="Arial"/>
          <w:sz w:val="22"/>
          <w:szCs w:val="22"/>
        </w:rPr>
      </w:pPr>
    </w:p>
    <w:p w:rsidR="00117F80" w:rsidRPr="005328D9" w:rsidRDefault="00A13B3E" w:rsidP="00117F80">
      <w:pPr>
        <w:rPr>
          <w:rFonts w:ascii="Arial" w:hAnsi="Arial" w:cs="Arial"/>
          <w:sz w:val="22"/>
          <w:szCs w:val="22"/>
        </w:rPr>
      </w:pPr>
      <w:r>
        <w:rPr>
          <w:rFonts w:ascii="Arial" w:hAnsi="Arial" w:cs="Arial"/>
          <w:sz w:val="22"/>
          <w:szCs w:val="22"/>
        </w:rPr>
        <w:t xml:space="preserve">10 CFR 50.55(e) requires that construction permit (CP) holders promptly identify and report deficiencies constituting a substantial safety hazard to the Commission via telephone or facsimile within 2 days of receipt of such information by a director or responsible officer.  A written report is to follow within 30 days.  The provisions of 10 CFR 50.55(e) also </w:t>
      </w:r>
      <w:proofErr w:type="gramStart"/>
      <w:r>
        <w:rPr>
          <w:rFonts w:ascii="Arial" w:hAnsi="Arial" w:cs="Arial"/>
          <w:sz w:val="22"/>
          <w:szCs w:val="22"/>
        </w:rPr>
        <w:t>apply</w:t>
      </w:r>
      <w:proofErr w:type="gramEnd"/>
      <w:r>
        <w:rPr>
          <w:rFonts w:ascii="Arial" w:hAnsi="Arial" w:cs="Arial"/>
          <w:sz w:val="22"/>
          <w:szCs w:val="22"/>
        </w:rPr>
        <w:t xml:space="preserve"> to new reactors under 10 CFR 52.</w:t>
      </w:r>
    </w:p>
    <w:p w:rsidR="00117F80" w:rsidRPr="005328D9" w:rsidRDefault="00117F80" w:rsidP="00117F80">
      <w:pPr>
        <w:rPr>
          <w:rFonts w:ascii="Arial" w:hAnsi="Arial" w:cs="Arial"/>
          <w:sz w:val="22"/>
          <w:szCs w:val="22"/>
        </w:rPr>
      </w:pPr>
    </w:p>
    <w:p w:rsidR="00117F80" w:rsidRPr="005328D9" w:rsidRDefault="00A13B3E" w:rsidP="00117F80">
      <w:pPr>
        <w:numPr>
          <w:ilvl w:val="0"/>
          <w:numId w:val="1"/>
        </w:numPr>
        <w:tabs>
          <w:tab w:val="left" w:pos="-1440"/>
          <w:tab w:val="num" w:pos="720"/>
        </w:tabs>
        <w:ind w:left="720" w:hanging="720"/>
        <w:outlineLvl w:val="0"/>
        <w:rPr>
          <w:rFonts w:ascii="Arial" w:hAnsi="Arial" w:cs="Arial"/>
          <w:sz w:val="22"/>
          <w:szCs w:val="22"/>
        </w:rPr>
      </w:pPr>
      <w:r>
        <w:rPr>
          <w:rFonts w:ascii="Arial" w:hAnsi="Arial" w:cs="Arial"/>
          <w:sz w:val="22"/>
          <w:szCs w:val="22"/>
          <w:u w:val="single"/>
        </w:rPr>
        <w:t>JUSTIFICATION</w:t>
      </w:r>
    </w:p>
    <w:p w:rsidR="00117F80" w:rsidRPr="005328D9" w:rsidRDefault="00117F80" w:rsidP="00117F80">
      <w:pPr>
        <w:rPr>
          <w:rFonts w:ascii="Arial" w:hAnsi="Arial" w:cs="Arial"/>
          <w:sz w:val="22"/>
          <w:szCs w:val="22"/>
        </w:rPr>
      </w:pPr>
    </w:p>
    <w:p w:rsidR="00117F80" w:rsidRPr="005328D9" w:rsidRDefault="00A13B3E" w:rsidP="00117F80">
      <w:pPr>
        <w:numPr>
          <w:ilvl w:val="1"/>
          <w:numId w:val="1"/>
        </w:numPr>
        <w:tabs>
          <w:tab w:val="left" w:pos="-1440"/>
          <w:tab w:val="num" w:pos="1440"/>
        </w:tabs>
        <w:ind w:left="1440" w:hanging="720"/>
        <w:outlineLvl w:val="1"/>
        <w:rPr>
          <w:rFonts w:ascii="Arial" w:hAnsi="Arial" w:cs="Arial"/>
          <w:sz w:val="22"/>
          <w:szCs w:val="22"/>
        </w:rPr>
      </w:pPr>
      <w:r>
        <w:rPr>
          <w:rFonts w:ascii="Arial" w:hAnsi="Arial" w:cs="Arial"/>
          <w:sz w:val="22"/>
          <w:szCs w:val="22"/>
          <w:u w:val="single"/>
        </w:rPr>
        <w:t>Need for and Practical Utility of the Collection of Information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w:t>
      </w:r>
      <w:r>
        <w:rPr>
          <w:rFonts w:ascii="Arial" w:hAnsi="Arial" w:cs="Arial"/>
          <w:sz w:val="22"/>
          <w:szCs w:val="22"/>
        </w:rPr>
        <w:t xml:space="preserve"> establishes requirements for reporting deficiencies occurring during the design and construction of nuclear power plants.  The regulation is designed to enable the NRC to receive prompt notification of deficiencies and to have timely information on which to base an evaluation of the potential safety consequences of the deficiency and determine whether regulatory action is required.  Therefore, the holder of a permit for the construction of a nuclear power plant is required to notify the Commission of each significant deficiency found in design and construction, which if it were to remain uncorrected, could adversely affect the safety of operations of the nuclear power plant at any time throughout the expected lifetime of the plant.</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w:t>
      </w:r>
      <w:proofErr w:type="gramStart"/>
      <w:r>
        <w:rPr>
          <w:rFonts w:ascii="Arial" w:hAnsi="Arial" w:cs="Arial"/>
          <w:sz w:val="22"/>
          <w:szCs w:val="22"/>
          <w:u w:val="single"/>
        </w:rPr>
        <w:t>)(</w:t>
      </w:r>
      <w:proofErr w:type="gramEnd"/>
      <w:r>
        <w:rPr>
          <w:rFonts w:ascii="Arial" w:hAnsi="Arial" w:cs="Arial"/>
          <w:sz w:val="22"/>
          <w:szCs w:val="22"/>
          <w:u w:val="single"/>
        </w:rPr>
        <w:t>1)(</w:t>
      </w:r>
      <w:proofErr w:type="spellStart"/>
      <w:r>
        <w:rPr>
          <w:rFonts w:ascii="Arial" w:hAnsi="Arial" w:cs="Arial"/>
          <w:sz w:val="22"/>
          <w:szCs w:val="22"/>
          <w:u w:val="single"/>
        </w:rPr>
        <w:t>i</w:t>
      </w:r>
      <w:proofErr w:type="spellEnd"/>
      <w:r>
        <w:rPr>
          <w:rFonts w:ascii="Arial" w:hAnsi="Arial" w:cs="Arial"/>
          <w:sz w:val="22"/>
          <w:szCs w:val="22"/>
          <w:u w:val="single"/>
        </w:rPr>
        <w:t>)</w:t>
      </w:r>
      <w:r>
        <w:rPr>
          <w:rFonts w:ascii="Arial" w:hAnsi="Arial" w:cs="Arial"/>
          <w:sz w:val="22"/>
          <w:szCs w:val="22"/>
        </w:rPr>
        <w:t xml:space="preserve"> requires each CP holder to adopt appropriate procedures to evaluate deviations and failures to comply to identify defects and failures to comply associated with substantial safety hazards as soon as practicable, and, except as provided in 10 CFR 50.55(e)(1)(ii), in all cases within 60 days of discovery, in order to identify a reportable defect or failure to comply that could create a substantial safety hazard.</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50.55(e)(1)(ii)</w:t>
      </w:r>
      <w:r>
        <w:rPr>
          <w:rFonts w:ascii="Arial" w:hAnsi="Arial" w:cs="Arial"/>
          <w:sz w:val="22"/>
          <w:szCs w:val="22"/>
        </w:rPr>
        <w:t xml:space="preserve"> requires that if the evaluation required by 50.55(e)(1)(</w:t>
      </w:r>
      <w:proofErr w:type="spellStart"/>
      <w:r>
        <w:rPr>
          <w:rFonts w:ascii="Arial" w:hAnsi="Arial" w:cs="Arial"/>
          <w:sz w:val="22"/>
          <w:szCs w:val="22"/>
        </w:rPr>
        <w:t>i</w:t>
      </w:r>
      <w:proofErr w:type="spellEnd"/>
      <w:r>
        <w:rPr>
          <w:rFonts w:ascii="Arial" w:hAnsi="Arial" w:cs="Arial"/>
          <w:sz w:val="22"/>
          <w:szCs w:val="22"/>
        </w:rPr>
        <w:t>) cannot be completed within 60 days of discovery, an interim report is prepared and submitted to the Commission.  The interim report should describe the deviation or failure to comply that is being evaluated and should also state when the evaluation will be completed.  The interim report must be submitted in writing within 60 days of discovery of the deviation or failure to comply.</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50.55(e)(1)(iii)</w:t>
      </w:r>
      <w:r>
        <w:rPr>
          <w:rFonts w:ascii="Arial" w:hAnsi="Arial" w:cs="Arial"/>
          <w:sz w:val="22"/>
          <w:szCs w:val="22"/>
        </w:rPr>
        <w:t xml:space="preserve"> requires that a director or responsible officer of a CP holder is informed within 5 working days after completion of the evaluation described above, if the construction of a facility or activity, or a basic component supplied for such facility or activity fails to comply with the Atomic Energy Act of 1954, as amended (the Act), or any applicable rule, regulation, order, or license of the Commission relating to a substantial safety hazard; contains a defect; or </w:t>
      </w:r>
      <w:r>
        <w:rPr>
          <w:rFonts w:ascii="Arial" w:hAnsi="Arial" w:cs="Arial"/>
          <w:sz w:val="22"/>
          <w:szCs w:val="22"/>
        </w:rPr>
        <w:lastRenderedPageBreak/>
        <w:t>undergoes any significant breakdown in any portion of the quality assurance program required by 10 CFR 50 Appendix B that could have produced a defect in a basic component.  Such breakdowns in the QA program are reportable whether or not the breakdown actually resulted in a defect in a design approved and released for construction or installation.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50.55(e)(2)</w:t>
      </w:r>
      <w:r>
        <w:rPr>
          <w:rFonts w:ascii="Arial" w:hAnsi="Arial" w:cs="Arial"/>
          <w:sz w:val="22"/>
          <w:szCs w:val="22"/>
        </w:rPr>
        <w:t xml:space="preserve"> requires a CP holder to notify the Commission, through a director or responsible officer or designated person, of information reasonably indicating that the facility fails to comply with the Act or any applicable rule, regulation, order, or license of the Commission relating to a substantial safety hazard.</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50.55(e)(3)</w:t>
      </w:r>
      <w:r>
        <w:rPr>
          <w:rFonts w:ascii="Arial" w:hAnsi="Arial" w:cs="Arial"/>
          <w:sz w:val="22"/>
          <w:szCs w:val="22"/>
        </w:rPr>
        <w:t xml:space="preserve"> requires a CP holder to notify the Commission, through a director or responsible officer or designated person, of information reasonably indicating the existence of any construction defect or any defect found in the final design of a facility as approved and released for construction.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w:t>
      </w:r>
      <w:proofErr w:type="gramStart"/>
      <w:r>
        <w:rPr>
          <w:rFonts w:ascii="Arial" w:hAnsi="Arial" w:cs="Arial"/>
          <w:sz w:val="22"/>
          <w:szCs w:val="22"/>
          <w:u w:val="single"/>
        </w:rPr>
        <w:t>)(</w:t>
      </w:r>
      <w:proofErr w:type="gramEnd"/>
      <w:r>
        <w:rPr>
          <w:rFonts w:ascii="Arial" w:hAnsi="Arial" w:cs="Arial"/>
          <w:sz w:val="22"/>
          <w:szCs w:val="22"/>
          <w:u w:val="single"/>
        </w:rPr>
        <w:t>4)</w:t>
      </w:r>
      <w:r>
        <w:rPr>
          <w:rFonts w:ascii="Arial" w:hAnsi="Arial" w:cs="Arial"/>
          <w:sz w:val="22"/>
          <w:szCs w:val="22"/>
        </w:rPr>
        <w:t xml:space="preserve"> requires a CP holder to notify the Commission, through a director or responsible officer or designated person, of information reasonably indicating any significant breakdown in the QA program.</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50.55(e)(6)(</w:t>
      </w:r>
      <w:proofErr w:type="spellStart"/>
      <w:r>
        <w:rPr>
          <w:rFonts w:ascii="Arial" w:hAnsi="Arial" w:cs="Arial"/>
          <w:sz w:val="22"/>
          <w:szCs w:val="22"/>
          <w:u w:val="single"/>
        </w:rPr>
        <w:t>i</w:t>
      </w:r>
      <w:proofErr w:type="spellEnd"/>
      <w:r>
        <w:rPr>
          <w:rFonts w:ascii="Arial" w:hAnsi="Arial" w:cs="Arial"/>
          <w:sz w:val="22"/>
          <w:szCs w:val="22"/>
          <w:u w:val="single"/>
        </w:rPr>
        <w:t>)</w:t>
      </w:r>
      <w:r>
        <w:rPr>
          <w:rFonts w:ascii="Arial" w:hAnsi="Arial" w:cs="Arial"/>
          <w:sz w:val="22"/>
          <w:szCs w:val="22"/>
        </w:rPr>
        <w:t xml:space="preserve"> requires notifications, as required by paragraphs (e)(2), (3) and (4) above, to be made initially by facsimile or by telephone within 2 days following receipt of information by the director or responsible corporate officer.  This does not apply to interim reports described in 10 CFR 50.55(e</w:t>
      </w:r>
      <w:proofErr w:type="gramStart"/>
      <w:r>
        <w:rPr>
          <w:rFonts w:ascii="Arial" w:hAnsi="Arial" w:cs="Arial"/>
          <w:sz w:val="22"/>
          <w:szCs w:val="22"/>
        </w:rPr>
        <w:t>)(</w:t>
      </w:r>
      <w:proofErr w:type="gramEnd"/>
      <w:r>
        <w:rPr>
          <w:rFonts w:ascii="Arial" w:hAnsi="Arial" w:cs="Arial"/>
          <w:sz w:val="22"/>
          <w:szCs w:val="22"/>
        </w:rPr>
        <w:t>1)(ii).  Verification that the facsimile has been received should be made by telephone.</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50.55(e)(6)(ii)</w:t>
      </w:r>
      <w:r>
        <w:rPr>
          <w:rFonts w:ascii="Arial" w:hAnsi="Arial" w:cs="Arial"/>
          <w:sz w:val="22"/>
          <w:szCs w:val="22"/>
        </w:rPr>
        <w:t xml:space="preserve"> requires notifications, as specified above, to also be made  in writing, with copies to the appropriate Regional Administrator and to the appropriate NRC resident inspector, within 30 days following receipt of information by the director or responsible corporate officer.</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50.55(e)(8)</w:t>
      </w:r>
      <w:r>
        <w:rPr>
          <w:rFonts w:ascii="Arial" w:hAnsi="Arial" w:cs="Arial"/>
          <w:sz w:val="22"/>
          <w:szCs w:val="22"/>
        </w:rPr>
        <w:t xml:space="preserve"> requires that the notification, required by 10 CFR 50.55(e)(6)(ii), clearly indicate that it is being submitted under 10 CFR 50.55(e) and includes, to the extent known, the name and address of the individual(s) informing the Commission; identification of the facility, the activity or the basic component supplied for the facility or the activity within the U.S. which contains a defect or fails to comply; identification of the firm constructing the facility or supplying the basic component which fails to comply or contains a defect; nature of the defect or failure to comply and the safety hazard which is created or could be created by such defect or failure to comply; the date on which the information of such defect or failure to comply was obtained; in the case of a basic component which contains a defect or fails to comply, the number and location of all the components in use at the facility; the corrective action which has been, is being, or will be taken, the name of the individual or organization responsible for </w:t>
      </w:r>
    </w:p>
    <w:p w:rsidR="00117F80" w:rsidRPr="005328D9" w:rsidRDefault="00A13B3E" w:rsidP="00117F80">
      <w:pPr>
        <w:ind w:left="1440"/>
        <w:rPr>
          <w:rFonts w:ascii="Arial" w:hAnsi="Arial" w:cs="Arial"/>
          <w:sz w:val="22"/>
          <w:szCs w:val="22"/>
        </w:rPr>
      </w:pPr>
      <w:r>
        <w:rPr>
          <w:rFonts w:ascii="Arial" w:hAnsi="Arial" w:cs="Arial"/>
          <w:sz w:val="22"/>
          <w:szCs w:val="22"/>
        </w:rPr>
        <w:t>the action, and the length of time that has been or will be taken to complete the action; and any advice related to the defect or failure to comply about the facility, activity, or basic component that has been, is being, or will be given to other entities.</w:t>
      </w:r>
    </w:p>
    <w:p w:rsidR="00117F80" w:rsidRPr="005328D9" w:rsidRDefault="00117F80" w:rsidP="00117F80">
      <w:pPr>
        <w:rPr>
          <w:rFonts w:ascii="Arial" w:hAnsi="Arial" w:cs="Arial"/>
          <w:sz w:val="22"/>
          <w:szCs w:val="22"/>
        </w:rPr>
      </w:pPr>
    </w:p>
    <w:p w:rsidR="009E2F0A" w:rsidRDefault="009E2F0A">
      <w:pPr>
        <w:widowControl/>
        <w:autoSpaceDE/>
        <w:autoSpaceDN/>
        <w:adjustRightInd/>
        <w:spacing w:line="276" w:lineRule="auto"/>
        <w:rPr>
          <w:rFonts w:ascii="Arial" w:hAnsi="Arial" w:cs="Arial"/>
          <w:sz w:val="22"/>
          <w:szCs w:val="22"/>
          <w:u w:val="single"/>
        </w:rPr>
      </w:pPr>
      <w:r>
        <w:rPr>
          <w:rFonts w:ascii="Arial" w:hAnsi="Arial" w:cs="Arial"/>
          <w:sz w:val="22"/>
          <w:szCs w:val="22"/>
          <w:u w:val="single"/>
        </w:rPr>
        <w:br w:type="page"/>
      </w:r>
    </w:p>
    <w:p w:rsidR="00117F80" w:rsidRPr="005328D9" w:rsidRDefault="00A13B3E" w:rsidP="00117F80">
      <w:pPr>
        <w:ind w:left="1440"/>
        <w:rPr>
          <w:rFonts w:ascii="Arial" w:hAnsi="Arial" w:cs="Arial"/>
          <w:sz w:val="22"/>
          <w:szCs w:val="22"/>
        </w:rPr>
      </w:pPr>
      <w:r>
        <w:rPr>
          <w:rFonts w:ascii="Arial" w:hAnsi="Arial" w:cs="Arial"/>
          <w:sz w:val="22"/>
          <w:szCs w:val="22"/>
          <w:u w:val="single"/>
        </w:rPr>
        <w:lastRenderedPageBreak/>
        <w:t>10 CFR 50.55(e</w:t>
      </w:r>
      <w:proofErr w:type="gramStart"/>
      <w:r>
        <w:rPr>
          <w:rFonts w:ascii="Arial" w:hAnsi="Arial" w:cs="Arial"/>
          <w:sz w:val="22"/>
          <w:szCs w:val="22"/>
          <w:u w:val="single"/>
        </w:rPr>
        <w:t>)(</w:t>
      </w:r>
      <w:proofErr w:type="gramEnd"/>
      <w:r>
        <w:rPr>
          <w:rFonts w:ascii="Arial" w:hAnsi="Arial" w:cs="Arial"/>
          <w:sz w:val="22"/>
          <w:szCs w:val="22"/>
          <w:u w:val="single"/>
        </w:rPr>
        <w:t>9)(</w:t>
      </w:r>
      <w:proofErr w:type="spellStart"/>
      <w:r>
        <w:rPr>
          <w:rFonts w:ascii="Arial" w:hAnsi="Arial" w:cs="Arial"/>
          <w:sz w:val="22"/>
          <w:szCs w:val="22"/>
          <w:u w:val="single"/>
        </w:rPr>
        <w:t>i</w:t>
      </w:r>
      <w:proofErr w:type="spellEnd"/>
      <w:r>
        <w:rPr>
          <w:rFonts w:ascii="Arial" w:hAnsi="Arial" w:cs="Arial"/>
          <w:sz w:val="22"/>
          <w:szCs w:val="22"/>
          <w:u w:val="single"/>
        </w:rPr>
        <w:t>)</w:t>
      </w:r>
      <w:r>
        <w:rPr>
          <w:rFonts w:ascii="Arial" w:hAnsi="Arial" w:cs="Arial"/>
          <w:sz w:val="22"/>
          <w:szCs w:val="22"/>
        </w:rPr>
        <w:t xml:space="preserve"> requires a CP holder to retain procurement documents (records) defining the requirements that facilities or basic components must meet for the lifetime of the basic component.</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w:t>
      </w:r>
      <w:proofErr w:type="gramStart"/>
      <w:r>
        <w:rPr>
          <w:rFonts w:ascii="Arial" w:hAnsi="Arial" w:cs="Arial"/>
          <w:sz w:val="22"/>
          <w:szCs w:val="22"/>
          <w:u w:val="single"/>
        </w:rPr>
        <w:t>)(</w:t>
      </w:r>
      <w:proofErr w:type="gramEnd"/>
      <w:r>
        <w:rPr>
          <w:rFonts w:ascii="Arial" w:hAnsi="Arial" w:cs="Arial"/>
          <w:sz w:val="22"/>
          <w:szCs w:val="22"/>
          <w:u w:val="single"/>
        </w:rPr>
        <w:t>9)(ii)</w:t>
      </w:r>
      <w:r>
        <w:rPr>
          <w:rFonts w:ascii="Arial" w:hAnsi="Arial" w:cs="Arial"/>
          <w:sz w:val="22"/>
          <w:szCs w:val="22"/>
        </w:rPr>
        <w:t xml:space="preserve"> requires a CP holder to retain records of evaluations of deviations and failures to comply for 5 years from the date of the evaluation.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u w:val="single"/>
        </w:rPr>
        <w:t>10 CFR 50.55(e</w:t>
      </w:r>
      <w:proofErr w:type="gramStart"/>
      <w:r>
        <w:rPr>
          <w:rFonts w:ascii="Arial" w:hAnsi="Arial" w:cs="Arial"/>
          <w:sz w:val="22"/>
          <w:szCs w:val="22"/>
          <w:u w:val="single"/>
        </w:rPr>
        <w:t>)(</w:t>
      </w:r>
      <w:proofErr w:type="gramEnd"/>
      <w:r>
        <w:rPr>
          <w:rFonts w:ascii="Arial" w:hAnsi="Arial" w:cs="Arial"/>
          <w:sz w:val="22"/>
          <w:szCs w:val="22"/>
          <w:u w:val="single"/>
        </w:rPr>
        <w:t>10)</w:t>
      </w:r>
      <w:r>
        <w:rPr>
          <w:rFonts w:ascii="Arial" w:hAnsi="Arial" w:cs="Arial"/>
          <w:sz w:val="22"/>
          <w:szCs w:val="22"/>
        </w:rPr>
        <w:t xml:space="preserve"> specifies that the reporting requirements of 10 CFR 50.55(e) are satisfied when the defect or failure to comply associated with a substantial safety hazard has been previously reported under 10 CFR 21, 10 CFR 50.55(e), 10 CFR 50.71 or 10 CFR 73.73.  For holders of construction permits issued prior to October 29, 1991, evaluation, reporting, and recordkeeping requirements of 10 CFR 50.55(e) may be met by complying with the comparable requirements of 10 CFR 21.  The burden is included in 10</w:t>
      </w:r>
      <w:r w:rsidR="00FB33D3">
        <w:rPr>
          <w:rFonts w:ascii="Arial" w:hAnsi="Arial" w:cs="Arial"/>
          <w:sz w:val="22"/>
          <w:szCs w:val="22"/>
        </w:rPr>
        <w:t> </w:t>
      </w:r>
      <w:r>
        <w:rPr>
          <w:rFonts w:ascii="Arial" w:hAnsi="Arial" w:cs="Arial"/>
          <w:sz w:val="22"/>
          <w:szCs w:val="22"/>
        </w:rPr>
        <w:t>CFR</w:t>
      </w:r>
      <w:r w:rsidR="00FB33D3">
        <w:rPr>
          <w:rFonts w:ascii="Arial" w:hAnsi="Arial" w:cs="Arial"/>
          <w:sz w:val="22"/>
          <w:szCs w:val="22"/>
        </w:rPr>
        <w:t> </w:t>
      </w:r>
      <w:r>
        <w:rPr>
          <w:rFonts w:ascii="Arial" w:hAnsi="Arial" w:cs="Arial"/>
          <w:sz w:val="22"/>
          <w:szCs w:val="22"/>
        </w:rPr>
        <w:t>21 (3150-0035) or NRC Form 366 (3150-0104).</w:t>
      </w:r>
    </w:p>
    <w:p w:rsidR="00117F80" w:rsidRPr="005328D9" w:rsidRDefault="00117F80" w:rsidP="00117F80">
      <w:pPr>
        <w:rPr>
          <w:rFonts w:ascii="Arial" w:hAnsi="Arial" w:cs="Arial"/>
          <w:sz w:val="22"/>
          <w:szCs w:val="22"/>
        </w:rPr>
      </w:pPr>
    </w:p>
    <w:p w:rsidR="00117F80" w:rsidRPr="005328D9" w:rsidRDefault="00A13B3E" w:rsidP="00117F80">
      <w:pPr>
        <w:numPr>
          <w:ilvl w:val="1"/>
          <w:numId w:val="1"/>
        </w:numPr>
        <w:tabs>
          <w:tab w:val="left" w:pos="-1440"/>
          <w:tab w:val="num" w:pos="1440"/>
        </w:tabs>
        <w:ind w:left="1440" w:hanging="720"/>
        <w:outlineLvl w:val="1"/>
        <w:rPr>
          <w:rFonts w:ascii="Arial" w:hAnsi="Arial" w:cs="Arial"/>
          <w:sz w:val="22"/>
          <w:szCs w:val="22"/>
        </w:rPr>
      </w:pPr>
      <w:r>
        <w:rPr>
          <w:rFonts w:ascii="Arial" w:hAnsi="Arial" w:cs="Arial"/>
          <w:sz w:val="22"/>
          <w:szCs w:val="22"/>
          <w:u w:val="single"/>
        </w:rPr>
        <w:t>Agency Use of Information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Specific uses made of the data reported under 10 CFR 50.55(e) include evaluation of the impact of the deficiency on the quality of construction and of the adequacy of planned corrective action, identification of generic problems, planning of actions by inspection and enforcement personnel, and identification of problems in management or implementation of the QA program.</w:t>
      </w:r>
    </w:p>
    <w:p w:rsidR="00117F80" w:rsidRPr="005328D9" w:rsidRDefault="00117F80" w:rsidP="00117F80">
      <w:pPr>
        <w:rPr>
          <w:rFonts w:ascii="Arial" w:hAnsi="Arial" w:cs="Arial"/>
          <w:sz w:val="22"/>
          <w:szCs w:val="22"/>
          <w:u w:val="single"/>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 xml:space="preserve">Reduction of Burden </w:t>
      </w:r>
      <w:proofErr w:type="gramStart"/>
      <w:r>
        <w:rPr>
          <w:rFonts w:ascii="Arial" w:hAnsi="Arial" w:cs="Arial"/>
          <w:sz w:val="22"/>
          <w:szCs w:val="22"/>
          <w:u w:val="single"/>
        </w:rPr>
        <w:t>Through</w:t>
      </w:r>
      <w:proofErr w:type="gramEnd"/>
      <w:r>
        <w:rPr>
          <w:rFonts w:ascii="Arial" w:hAnsi="Arial" w:cs="Arial"/>
          <w:sz w:val="22"/>
          <w:szCs w:val="22"/>
          <w:u w:val="single"/>
        </w:rPr>
        <w:t xml:space="preserve"> Information Technology</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 of the potential responses are filed electronically.</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sidRPr="00A13B3E">
        <w:rPr>
          <w:rFonts w:ascii="Arial" w:hAnsi="Arial" w:cs="Arial"/>
          <w:sz w:val="22"/>
        </w:rPr>
        <w:t xml:space="preserve">No sources of similar information are available.  </w:t>
      </w:r>
      <w:r>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CE786B" w:rsidRPr="005328D9" w:rsidRDefault="00CE786B" w:rsidP="00117F80">
      <w:pPr>
        <w:ind w:left="1440"/>
        <w:rPr>
          <w:rFonts w:ascii="Arial" w:hAnsi="Arial" w:cs="Arial"/>
          <w:sz w:val="22"/>
          <w:szCs w:val="22"/>
        </w:rPr>
      </w:pPr>
    </w:p>
    <w:p w:rsidR="00117F80" w:rsidRPr="005328D9" w:rsidRDefault="00A13B3E" w:rsidP="00CE786B">
      <w:pPr>
        <w:ind w:left="72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These provisions do not affect small businesses.</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 xml:space="preserve">It is necessary for CP holders to report deficiencies at the reporting period specified by the regulations to ensure the Commission can make timely </w:t>
      </w:r>
      <w:r>
        <w:rPr>
          <w:rFonts w:ascii="Arial" w:hAnsi="Arial" w:cs="Arial"/>
          <w:sz w:val="22"/>
          <w:szCs w:val="22"/>
        </w:rPr>
        <w:lastRenderedPageBreak/>
        <w:t>determinations on the potential safety consequences of the deficiency and whether regulatory action is required.</w:t>
      </w:r>
    </w:p>
    <w:p w:rsidR="00117F80" w:rsidRPr="005328D9" w:rsidRDefault="00117F80" w:rsidP="00117F80">
      <w:pPr>
        <w:ind w:left="1440"/>
        <w:rPr>
          <w:rFonts w:ascii="Arial" w:hAnsi="Arial" w:cs="Arial"/>
          <w:sz w:val="22"/>
          <w:szCs w:val="22"/>
        </w:rPr>
      </w:pPr>
    </w:p>
    <w:p w:rsidR="00894C24" w:rsidRDefault="00297A32">
      <w:pPr>
        <w:pStyle w:val="ListParagraph"/>
        <w:numPr>
          <w:ilvl w:val="0"/>
          <w:numId w:val="4"/>
        </w:numPr>
        <w:tabs>
          <w:tab w:val="left" w:pos="-1440"/>
        </w:tabs>
        <w:ind w:left="1440" w:hanging="810"/>
        <w:outlineLvl w:val="0"/>
        <w:rPr>
          <w:rFonts w:ascii="Arial" w:hAnsi="Arial" w:cs="Arial"/>
          <w:sz w:val="22"/>
          <w:szCs w:val="22"/>
        </w:rPr>
      </w:pPr>
      <w:r w:rsidRPr="00297A32">
        <w:rPr>
          <w:rFonts w:ascii="Arial" w:hAnsi="Arial" w:cs="Arial"/>
          <w:sz w:val="22"/>
          <w:szCs w:val="22"/>
          <w:u w:val="single"/>
        </w:rPr>
        <w:t>Circumstances Which Justify Variation from OMB Guidelines</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Records are required to be retained longer than the OMB established 3-year retention period because operating experience has demonstrated that</w:t>
      </w:r>
      <w:r w:rsidR="00A37553">
        <w:rPr>
          <w:rFonts w:ascii="Arial" w:hAnsi="Arial" w:cs="Arial"/>
          <w:sz w:val="22"/>
          <w:szCs w:val="22"/>
        </w:rPr>
        <w:t xml:space="preserve"> a</w:t>
      </w:r>
      <w:r w:rsidR="00FB33D3">
        <w:rPr>
          <w:rFonts w:ascii="Arial" w:hAnsi="Arial" w:cs="Arial"/>
          <w:sz w:val="22"/>
          <w:szCs w:val="22"/>
        </w:rPr>
        <w:t xml:space="preserve"> </w:t>
      </w:r>
      <w:r w:rsidR="00166854">
        <w:rPr>
          <w:rFonts w:ascii="Arial" w:hAnsi="Arial" w:cs="Arial"/>
          <w:sz w:val="22"/>
          <w:szCs w:val="22"/>
        </w:rPr>
        <w:t>minimum of a</w:t>
      </w:r>
      <w:r>
        <w:rPr>
          <w:rFonts w:ascii="Arial" w:hAnsi="Arial" w:cs="Arial"/>
          <w:sz w:val="22"/>
          <w:szCs w:val="22"/>
        </w:rPr>
        <w:t xml:space="preserve"> </w:t>
      </w:r>
      <w:r w:rsidR="00166854">
        <w:rPr>
          <w:rFonts w:ascii="Arial" w:hAnsi="Arial" w:cs="Arial"/>
          <w:sz w:val="22"/>
          <w:szCs w:val="22"/>
        </w:rPr>
        <w:t>10</w:t>
      </w:r>
      <w:r>
        <w:rPr>
          <w:rFonts w:ascii="Arial" w:hAnsi="Arial" w:cs="Arial"/>
          <w:sz w:val="22"/>
          <w:szCs w:val="22"/>
        </w:rPr>
        <w:t>-year retention period is necessary in order to evaluate the adequacy of the evaluation and correction of recurring defects.  Procurement documents are retained for the lifetime of the components, a standard industry practice.  Review of documented component characteristics and performance history must be available for review as needed.</w:t>
      </w:r>
    </w:p>
    <w:p w:rsidR="00117F80" w:rsidRPr="005328D9" w:rsidRDefault="00117F80" w:rsidP="00117F80">
      <w:pPr>
        <w:ind w:left="1440"/>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The two-day initial notification required by 10 CFR 50.55(e</w:t>
      </w:r>
      <w:proofErr w:type="gramStart"/>
      <w:r>
        <w:rPr>
          <w:rFonts w:ascii="Arial" w:hAnsi="Arial" w:cs="Arial"/>
          <w:sz w:val="22"/>
          <w:szCs w:val="22"/>
        </w:rPr>
        <w:t>)(</w:t>
      </w:r>
      <w:proofErr w:type="gramEnd"/>
      <w:r>
        <w:rPr>
          <w:rFonts w:ascii="Arial" w:hAnsi="Arial" w:cs="Arial"/>
          <w:sz w:val="22"/>
          <w:szCs w:val="22"/>
        </w:rPr>
        <w:t>6)(</w:t>
      </w:r>
      <w:proofErr w:type="spellStart"/>
      <w:r>
        <w:rPr>
          <w:rFonts w:ascii="Arial" w:hAnsi="Arial" w:cs="Arial"/>
          <w:sz w:val="22"/>
          <w:szCs w:val="22"/>
        </w:rPr>
        <w:t>i</w:t>
      </w:r>
      <w:proofErr w:type="spellEnd"/>
      <w:r>
        <w:rPr>
          <w:rFonts w:ascii="Arial" w:hAnsi="Arial" w:cs="Arial"/>
          <w:sz w:val="22"/>
          <w:szCs w:val="22"/>
        </w:rPr>
        <w:t>) provides the NRC with advance notice of potentially generic defects, substantial safety hazards, or significant breakdowns in QA programs, which could affect operating facilities.</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 xml:space="preserve">Consultations </w:t>
      </w:r>
      <w:proofErr w:type="gramStart"/>
      <w:r>
        <w:rPr>
          <w:rFonts w:ascii="Arial" w:hAnsi="Arial" w:cs="Arial"/>
          <w:sz w:val="22"/>
          <w:szCs w:val="22"/>
          <w:u w:val="single"/>
        </w:rPr>
        <w:t>Outside</w:t>
      </w:r>
      <w:proofErr w:type="gramEnd"/>
      <w:r>
        <w:rPr>
          <w:rFonts w:ascii="Arial" w:hAnsi="Arial" w:cs="Arial"/>
          <w:sz w:val="22"/>
          <w:szCs w:val="22"/>
          <w:u w:val="single"/>
        </w:rPr>
        <w:t xml:space="preserve"> the NRC</w:t>
      </w:r>
    </w:p>
    <w:p w:rsidR="00117F80" w:rsidRPr="005328D9" w:rsidRDefault="00117F80" w:rsidP="00117F80">
      <w:pPr>
        <w:rPr>
          <w:rFonts w:ascii="Arial" w:hAnsi="Arial" w:cs="Arial"/>
          <w:strike/>
          <w:sz w:val="22"/>
          <w:szCs w:val="22"/>
        </w:rPr>
      </w:pPr>
    </w:p>
    <w:p w:rsidR="00117F80" w:rsidRPr="005328D9" w:rsidRDefault="00C32C5B" w:rsidP="00C32C5B">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117F80" w:rsidRPr="005328D9" w:rsidRDefault="00117F80" w:rsidP="00117F80">
      <w:pPr>
        <w:rPr>
          <w:rFonts w:ascii="Arial" w:hAnsi="Arial" w:cs="Arial"/>
          <w:sz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 xml:space="preserve"> 9.</w:t>
      </w:r>
      <w:r>
        <w:rPr>
          <w:rFonts w:ascii="Arial" w:hAnsi="Arial" w:cs="Arial"/>
          <w:sz w:val="22"/>
          <w:szCs w:val="22"/>
        </w:rPr>
        <w:tab/>
      </w:r>
      <w:r>
        <w:rPr>
          <w:rFonts w:ascii="Arial" w:hAnsi="Arial" w:cs="Arial"/>
          <w:sz w:val="22"/>
          <w:szCs w:val="22"/>
          <w:u w:val="single"/>
        </w:rPr>
        <w:t>Payment or Gift to Respondents</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Not applicable.</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Information</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rPr>
      </w:pPr>
      <w:r>
        <w:rPr>
          <w:rFonts w:ascii="Arial" w:hAnsi="Arial" w:cs="Arial"/>
          <w:sz w:val="22"/>
          <w:szCs w:val="22"/>
        </w:rPr>
        <w:t xml:space="preserve">Confidential and proprietary information is protected in accordance with NRC regulations at 10 CFR 9.17(a) and 10 CFR 2.390(b). </w:t>
      </w:r>
      <w:r w:rsidRPr="00A13B3E">
        <w:rPr>
          <w:rFonts w:ascii="Arial" w:hAnsi="Arial" w:cs="Arial"/>
          <w:sz w:val="22"/>
        </w:rPr>
        <w:t>However, no information normally considered confidential or proprietary is requested.</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Sensitive information is not requested by these regulations.</w:t>
      </w:r>
    </w:p>
    <w:p w:rsidR="00117F80" w:rsidRPr="005328D9" w:rsidRDefault="00117F80" w:rsidP="00117F80">
      <w:pPr>
        <w:rPr>
          <w:rFonts w:ascii="Arial" w:hAnsi="Arial" w:cs="Arial"/>
          <w:sz w:val="22"/>
          <w:szCs w:val="22"/>
        </w:rPr>
      </w:pPr>
    </w:p>
    <w:p w:rsidR="00894C24" w:rsidRDefault="00A13B3E">
      <w:pPr>
        <w:tabs>
          <w:tab w:val="left" w:pos="-1440"/>
        </w:tabs>
        <w:ind w:left="72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Estimated Industry Burden and Burden Hour Cost</w:t>
      </w:r>
    </w:p>
    <w:p w:rsidR="00117F80" w:rsidRPr="005328D9" w:rsidRDefault="00117F80" w:rsidP="00117F80">
      <w:pPr>
        <w:rPr>
          <w:rFonts w:ascii="Arial" w:hAnsi="Arial" w:cs="Arial"/>
          <w:sz w:val="22"/>
          <w:szCs w:val="22"/>
        </w:rPr>
      </w:pPr>
    </w:p>
    <w:p w:rsidR="00FB33D3" w:rsidRDefault="00D318CA" w:rsidP="00805CB6">
      <w:pPr>
        <w:widowControl/>
        <w:autoSpaceDE/>
        <w:autoSpaceDN/>
        <w:adjustRightInd/>
        <w:ind w:left="1440"/>
        <w:rPr>
          <w:rFonts w:ascii="Arial" w:hAnsi="Arial" w:cs="Arial"/>
          <w:sz w:val="22"/>
          <w:szCs w:val="22"/>
        </w:rPr>
      </w:pPr>
      <w:r>
        <w:rPr>
          <w:rFonts w:ascii="Arial" w:hAnsi="Arial" w:cs="Arial"/>
          <w:sz w:val="22"/>
          <w:szCs w:val="22"/>
        </w:rPr>
        <w:t>F</w:t>
      </w:r>
      <w:r w:rsidR="00A13B3E">
        <w:rPr>
          <w:rFonts w:ascii="Arial" w:hAnsi="Arial" w:cs="Arial"/>
          <w:sz w:val="22"/>
          <w:szCs w:val="22"/>
        </w:rPr>
        <w:t xml:space="preserve">or the period of this clearance, it is expected that </w:t>
      </w:r>
      <w:r w:rsidR="00166854">
        <w:rPr>
          <w:rFonts w:ascii="Arial" w:hAnsi="Arial" w:cs="Arial"/>
          <w:sz w:val="22"/>
          <w:szCs w:val="22"/>
        </w:rPr>
        <w:t xml:space="preserve">four </w:t>
      </w:r>
      <w:r w:rsidR="00A13B3E">
        <w:rPr>
          <w:rFonts w:ascii="Arial" w:hAnsi="Arial" w:cs="Arial"/>
          <w:sz w:val="22"/>
          <w:szCs w:val="22"/>
        </w:rPr>
        <w:t xml:space="preserve">nuclear plants will be under active construction under 10 CFR Part 52 </w:t>
      </w:r>
      <w:r w:rsidR="00166854">
        <w:rPr>
          <w:rFonts w:ascii="Arial" w:hAnsi="Arial" w:cs="Arial"/>
          <w:sz w:val="22"/>
          <w:szCs w:val="22"/>
        </w:rPr>
        <w:t xml:space="preserve">and one plant under active construction </w:t>
      </w:r>
      <w:proofErr w:type="gramStart"/>
      <w:r w:rsidR="00166854">
        <w:rPr>
          <w:rFonts w:ascii="Arial" w:hAnsi="Arial" w:cs="Arial"/>
          <w:sz w:val="22"/>
          <w:szCs w:val="22"/>
        </w:rPr>
        <w:t>under</w:t>
      </w:r>
      <w:proofErr w:type="gramEnd"/>
      <w:r w:rsidR="00FB33D3">
        <w:rPr>
          <w:rFonts w:ascii="Arial" w:hAnsi="Arial" w:cs="Arial"/>
          <w:sz w:val="22"/>
          <w:szCs w:val="22"/>
        </w:rPr>
        <w:t xml:space="preserve"> </w:t>
      </w:r>
      <w:r w:rsidR="00166854">
        <w:rPr>
          <w:rFonts w:ascii="Arial" w:hAnsi="Arial" w:cs="Arial"/>
          <w:sz w:val="22"/>
          <w:szCs w:val="22"/>
        </w:rPr>
        <w:t>10 CFR Part 50</w:t>
      </w:r>
      <w:r w:rsidR="00A13B3E">
        <w:rPr>
          <w:rFonts w:ascii="Arial" w:hAnsi="Arial" w:cs="Arial"/>
          <w:sz w:val="22"/>
          <w:szCs w:val="22"/>
        </w:rPr>
        <w:t xml:space="preserve">.  </w:t>
      </w:r>
      <w:r w:rsidR="00166854">
        <w:rPr>
          <w:rFonts w:ascii="Arial" w:hAnsi="Arial" w:cs="Arial"/>
          <w:sz w:val="22"/>
          <w:szCs w:val="22"/>
        </w:rPr>
        <w:t>B</w:t>
      </w:r>
      <w:r w:rsidR="00A13B3E">
        <w:rPr>
          <w:rFonts w:ascii="Arial" w:hAnsi="Arial" w:cs="Arial"/>
          <w:sz w:val="22"/>
          <w:szCs w:val="22"/>
        </w:rPr>
        <w:t xml:space="preserve">ased on the number of 50.55(e) reports received (one) under any subpart of Part 52, </w:t>
      </w:r>
      <w:r w:rsidR="00166854">
        <w:rPr>
          <w:rFonts w:ascii="Arial" w:hAnsi="Arial" w:cs="Arial"/>
          <w:sz w:val="22"/>
          <w:szCs w:val="22"/>
        </w:rPr>
        <w:t>it is expected that one</w:t>
      </w:r>
      <w:r w:rsidR="00A13B3E">
        <w:rPr>
          <w:rFonts w:ascii="Arial" w:hAnsi="Arial" w:cs="Arial"/>
          <w:sz w:val="22"/>
          <w:szCs w:val="22"/>
        </w:rPr>
        <w:t xml:space="preserve"> 50.55(e) reports of deficiencies in design or construction will be submitted</w:t>
      </w:r>
      <w:r w:rsidR="00166854">
        <w:rPr>
          <w:rFonts w:ascii="Arial" w:hAnsi="Arial" w:cs="Arial"/>
          <w:sz w:val="22"/>
          <w:szCs w:val="22"/>
        </w:rPr>
        <w:t xml:space="preserve"> per plant under construction per year</w:t>
      </w:r>
      <w:r w:rsidR="00A13B3E">
        <w:rPr>
          <w:rFonts w:ascii="Arial" w:hAnsi="Arial" w:cs="Arial"/>
          <w:sz w:val="22"/>
          <w:szCs w:val="22"/>
        </w:rPr>
        <w:t xml:space="preserve"> over the period of the clearance.  If a report were submitted, the NRC staff estimates that each 48-hour notification would require 10 hours to prepare and the 30-day follow-up report would require 70 hours</w:t>
      </w:r>
      <w:r w:rsidR="00FB33D3">
        <w:rPr>
          <w:rFonts w:ascii="Arial" w:hAnsi="Arial" w:cs="Arial"/>
          <w:sz w:val="22"/>
          <w:szCs w:val="22"/>
        </w:rPr>
        <w:t xml:space="preserve"> for a total of 80 hours per report</w:t>
      </w:r>
      <w:r w:rsidR="00A13B3E">
        <w:rPr>
          <w:rFonts w:ascii="Arial" w:hAnsi="Arial" w:cs="Arial"/>
          <w:sz w:val="22"/>
          <w:szCs w:val="22"/>
        </w:rPr>
        <w:t xml:space="preserve">. </w:t>
      </w:r>
      <w:r w:rsidR="00166854">
        <w:rPr>
          <w:rFonts w:ascii="Arial" w:hAnsi="Arial" w:cs="Arial"/>
          <w:sz w:val="22"/>
          <w:szCs w:val="22"/>
        </w:rPr>
        <w:t xml:space="preserve"> </w:t>
      </w:r>
      <w:r w:rsidR="00FB33D3">
        <w:rPr>
          <w:rFonts w:ascii="Arial" w:hAnsi="Arial" w:cs="Arial"/>
          <w:sz w:val="22"/>
          <w:szCs w:val="22"/>
        </w:rPr>
        <w:br w:type="page"/>
      </w:r>
    </w:p>
    <w:p w:rsidR="00E61B05" w:rsidRDefault="00E61B05" w:rsidP="00117F80">
      <w:pPr>
        <w:ind w:left="1440"/>
        <w:rPr>
          <w:rFonts w:ascii="Arial" w:hAnsi="Arial" w:cs="Arial"/>
          <w:sz w:val="22"/>
          <w:szCs w:val="22"/>
        </w:rPr>
      </w:pPr>
    </w:p>
    <w:p w:rsidR="00FB33D3" w:rsidRDefault="00FB33D3" w:rsidP="00117F80">
      <w:pPr>
        <w:ind w:left="1440"/>
        <w:rPr>
          <w:rFonts w:ascii="Arial" w:hAnsi="Arial" w:cs="Arial"/>
          <w:sz w:val="22"/>
          <w:szCs w:val="22"/>
        </w:rPr>
      </w:pPr>
    </w:p>
    <w:tbl>
      <w:tblPr>
        <w:tblStyle w:val="TableGrid"/>
        <w:tblW w:w="0" w:type="auto"/>
        <w:tblInd w:w="1440" w:type="dxa"/>
        <w:tblLook w:val="04A0" w:firstRow="1" w:lastRow="0" w:firstColumn="1" w:lastColumn="0" w:noHBand="0" w:noVBand="1"/>
      </w:tblPr>
      <w:tblGrid>
        <w:gridCol w:w="1627"/>
        <w:gridCol w:w="1627"/>
        <w:gridCol w:w="1627"/>
        <w:gridCol w:w="1627"/>
        <w:gridCol w:w="1628"/>
      </w:tblGrid>
      <w:tr w:rsidR="00FB33D3" w:rsidRPr="002E40EC" w:rsidTr="002E40EC">
        <w:tc>
          <w:tcPr>
            <w:tcW w:w="8136" w:type="dxa"/>
            <w:gridSpan w:val="5"/>
          </w:tcPr>
          <w:p w:rsidR="00FB33D3" w:rsidRPr="002E40EC" w:rsidRDefault="00FB33D3" w:rsidP="00FB33D3">
            <w:pPr>
              <w:jc w:val="center"/>
              <w:rPr>
                <w:rFonts w:ascii="Arial" w:hAnsi="Arial" w:cs="Arial"/>
              </w:rPr>
            </w:pPr>
            <w:r w:rsidRPr="002E40EC">
              <w:rPr>
                <w:rFonts w:ascii="Arial" w:hAnsi="Arial" w:cs="Arial"/>
              </w:rPr>
              <w:t>ANNUAL REPORTING BURDEN</w:t>
            </w:r>
          </w:p>
          <w:p w:rsidR="002E40EC" w:rsidRPr="002E40EC" w:rsidRDefault="002E40EC" w:rsidP="00FB33D3">
            <w:pPr>
              <w:jc w:val="center"/>
              <w:rPr>
                <w:rFonts w:ascii="Arial" w:hAnsi="Arial" w:cs="Arial"/>
              </w:rPr>
            </w:pPr>
            <w:r w:rsidRPr="002E40EC">
              <w:rPr>
                <w:rFonts w:ascii="Arial" w:hAnsi="Arial" w:cs="Arial"/>
              </w:rPr>
              <w:t>50.55(e) reports of deficiencies in design or construction</w:t>
            </w:r>
          </w:p>
        </w:tc>
      </w:tr>
      <w:tr w:rsidR="00FB33D3" w:rsidRPr="002E40EC" w:rsidTr="00FB33D3">
        <w:tc>
          <w:tcPr>
            <w:tcW w:w="1627" w:type="dxa"/>
          </w:tcPr>
          <w:p w:rsidR="00FB33D3" w:rsidRPr="002E40EC" w:rsidRDefault="00FB33D3" w:rsidP="00FB33D3">
            <w:pPr>
              <w:jc w:val="center"/>
              <w:rPr>
                <w:rFonts w:ascii="Arial" w:hAnsi="Arial" w:cs="Arial"/>
              </w:rPr>
            </w:pPr>
          </w:p>
        </w:tc>
        <w:tc>
          <w:tcPr>
            <w:tcW w:w="1627" w:type="dxa"/>
          </w:tcPr>
          <w:p w:rsidR="00FB33D3" w:rsidRPr="002E40EC" w:rsidRDefault="00FB33D3" w:rsidP="00FB33D3">
            <w:pPr>
              <w:jc w:val="center"/>
              <w:rPr>
                <w:rFonts w:ascii="Arial" w:hAnsi="Arial" w:cs="Arial"/>
              </w:rPr>
            </w:pPr>
          </w:p>
          <w:p w:rsidR="00FB33D3" w:rsidRPr="002E40EC" w:rsidRDefault="00672577" w:rsidP="002E40EC">
            <w:pPr>
              <w:jc w:val="center"/>
              <w:rPr>
                <w:rFonts w:ascii="Arial" w:hAnsi="Arial" w:cs="Arial"/>
              </w:rPr>
            </w:pPr>
            <w:r>
              <w:rPr>
                <w:rFonts w:ascii="Arial" w:hAnsi="Arial" w:cs="Arial"/>
              </w:rPr>
              <w:t>Responses</w:t>
            </w:r>
          </w:p>
        </w:tc>
        <w:tc>
          <w:tcPr>
            <w:tcW w:w="1627" w:type="dxa"/>
          </w:tcPr>
          <w:p w:rsidR="00FB33D3" w:rsidRPr="002E40EC" w:rsidRDefault="00FB33D3" w:rsidP="00FB33D3">
            <w:pPr>
              <w:jc w:val="center"/>
              <w:rPr>
                <w:rFonts w:ascii="Arial" w:hAnsi="Arial" w:cs="Arial"/>
              </w:rPr>
            </w:pPr>
          </w:p>
          <w:p w:rsidR="00FB33D3" w:rsidRPr="002E40EC" w:rsidRDefault="002E40EC" w:rsidP="00FB33D3">
            <w:pPr>
              <w:jc w:val="center"/>
              <w:rPr>
                <w:rFonts w:ascii="Arial" w:hAnsi="Arial" w:cs="Arial"/>
              </w:rPr>
            </w:pPr>
            <w:r>
              <w:rPr>
                <w:rFonts w:ascii="Arial" w:hAnsi="Arial" w:cs="Arial"/>
              </w:rPr>
              <w:t>Burden per Response</w:t>
            </w:r>
          </w:p>
        </w:tc>
        <w:tc>
          <w:tcPr>
            <w:tcW w:w="1627" w:type="dxa"/>
          </w:tcPr>
          <w:p w:rsidR="00FB33D3" w:rsidRPr="002E40EC" w:rsidRDefault="00FB33D3" w:rsidP="00FB33D3">
            <w:pPr>
              <w:jc w:val="center"/>
              <w:rPr>
                <w:rFonts w:ascii="Arial" w:hAnsi="Arial" w:cs="Arial"/>
              </w:rPr>
            </w:pPr>
          </w:p>
          <w:p w:rsidR="00FB33D3" w:rsidRPr="002E40EC" w:rsidRDefault="00FB33D3" w:rsidP="002E40EC">
            <w:pPr>
              <w:spacing w:after="58"/>
              <w:jc w:val="center"/>
              <w:rPr>
                <w:rFonts w:ascii="Arial" w:hAnsi="Arial" w:cs="Arial"/>
              </w:rPr>
            </w:pPr>
            <w:r w:rsidRPr="002E40EC">
              <w:rPr>
                <w:rFonts w:ascii="Arial" w:hAnsi="Arial" w:cs="Arial"/>
              </w:rPr>
              <w:t>Total Burden</w:t>
            </w:r>
            <w:r w:rsidR="002E40EC">
              <w:rPr>
                <w:rFonts w:ascii="Arial" w:hAnsi="Arial" w:cs="Arial"/>
              </w:rPr>
              <w:t xml:space="preserve"> Hours</w:t>
            </w:r>
          </w:p>
        </w:tc>
        <w:tc>
          <w:tcPr>
            <w:tcW w:w="1628" w:type="dxa"/>
          </w:tcPr>
          <w:p w:rsidR="00FB33D3" w:rsidRPr="002E40EC" w:rsidRDefault="00FB33D3" w:rsidP="00FB33D3">
            <w:pPr>
              <w:jc w:val="center"/>
              <w:rPr>
                <w:rFonts w:ascii="Arial" w:hAnsi="Arial" w:cs="Arial"/>
              </w:rPr>
            </w:pPr>
          </w:p>
          <w:p w:rsidR="00FB33D3" w:rsidRPr="002E40EC" w:rsidRDefault="00FB33D3" w:rsidP="00FB33D3">
            <w:pPr>
              <w:spacing w:after="58"/>
              <w:jc w:val="center"/>
              <w:rPr>
                <w:rFonts w:ascii="Arial" w:hAnsi="Arial" w:cs="Arial"/>
              </w:rPr>
            </w:pPr>
            <w:r w:rsidRPr="002E40EC">
              <w:rPr>
                <w:rFonts w:ascii="Arial" w:hAnsi="Arial" w:cs="Arial"/>
              </w:rPr>
              <w:t>Total Cost</w:t>
            </w:r>
          </w:p>
          <w:p w:rsidR="00FB33D3" w:rsidRPr="002E40EC" w:rsidRDefault="00FB33D3" w:rsidP="00FB33D3">
            <w:pPr>
              <w:jc w:val="center"/>
              <w:rPr>
                <w:rFonts w:ascii="Arial" w:hAnsi="Arial" w:cs="Arial"/>
              </w:rPr>
            </w:pPr>
            <w:r w:rsidRPr="002E40EC">
              <w:rPr>
                <w:rFonts w:ascii="Arial" w:hAnsi="Arial" w:cs="Arial"/>
              </w:rPr>
              <w:t>$274/Hour</w:t>
            </w:r>
          </w:p>
        </w:tc>
      </w:tr>
      <w:tr w:rsidR="00FB33D3" w:rsidRPr="002E40EC" w:rsidTr="00FB33D3">
        <w:tc>
          <w:tcPr>
            <w:tcW w:w="1627" w:type="dxa"/>
          </w:tcPr>
          <w:p w:rsidR="00FB33D3" w:rsidRPr="002E40EC" w:rsidRDefault="002E40EC" w:rsidP="00FB33D3">
            <w:pPr>
              <w:rPr>
                <w:rFonts w:ascii="Arial" w:hAnsi="Arial" w:cs="Arial"/>
              </w:rPr>
            </w:pPr>
            <w:r w:rsidRPr="002E40EC">
              <w:rPr>
                <w:rFonts w:ascii="Arial" w:hAnsi="Arial" w:cs="Arial"/>
              </w:rPr>
              <w:t>48 hour notification</w:t>
            </w:r>
          </w:p>
        </w:tc>
        <w:tc>
          <w:tcPr>
            <w:tcW w:w="1627" w:type="dxa"/>
          </w:tcPr>
          <w:p w:rsidR="00FB33D3" w:rsidRPr="002E40EC" w:rsidRDefault="00FB33D3" w:rsidP="00FB33D3">
            <w:pPr>
              <w:jc w:val="center"/>
              <w:rPr>
                <w:rFonts w:ascii="Arial" w:hAnsi="Arial" w:cs="Arial"/>
              </w:rPr>
            </w:pPr>
            <w:r w:rsidRPr="002E40EC">
              <w:rPr>
                <w:rFonts w:ascii="Arial" w:hAnsi="Arial" w:cs="Arial"/>
              </w:rPr>
              <w:t>5</w:t>
            </w:r>
          </w:p>
        </w:tc>
        <w:tc>
          <w:tcPr>
            <w:tcW w:w="1627" w:type="dxa"/>
          </w:tcPr>
          <w:p w:rsidR="00FB33D3" w:rsidRPr="002E40EC" w:rsidRDefault="002E40EC" w:rsidP="00FB33D3">
            <w:pPr>
              <w:jc w:val="center"/>
              <w:rPr>
                <w:rFonts w:ascii="Arial" w:hAnsi="Arial" w:cs="Arial"/>
              </w:rPr>
            </w:pPr>
            <w:r w:rsidRPr="002E40EC">
              <w:rPr>
                <w:rFonts w:ascii="Arial" w:hAnsi="Arial" w:cs="Arial"/>
              </w:rPr>
              <w:t>10</w:t>
            </w:r>
          </w:p>
        </w:tc>
        <w:tc>
          <w:tcPr>
            <w:tcW w:w="1627" w:type="dxa"/>
          </w:tcPr>
          <w:p w:rsidR="00FB33D3" w:rsidRPr="002E40EC" w:rsidRDefault="002E40EC" w:rsidP="00FB33D3">
            <w:pPr>
              <w:jc w:val="center"/>
              <w:rPr>
                <w:rFonts w:ascii="Arial" w:hAnsi="Arial" w:cs="Arial"/>
              </w:rPr>
            </w:pPr>
            <w:r w:rsidRPr="002E40EC">
              <w:rPr>
                <w:rFonts w:ascii="Arial" w:hAnsi="Arial" w:cs="Arial"/>
              </w:rPr>
              <w:t>5</w:t>
            </w:r>
            <w:r w:rsidR="00FB33D3" w:rsidRPr="002E40EC">
              <w:rPr>
                <w:rFonts w:ascii="Arial" w:hAnsi="Arial" w:cs="Arial"/>
              </w:rPr>
              <w:t>0</w:t>
            </w:r>
          </w:p>
        </w:tc>
        <w:tc>
          <w:tcPr>
            <w:tcW w:w="1628" w:type="dxa"/>
          </w:tcPr>
          <w:p w:rsidR="00FB33D3" w:rsidRPr="002E40EC" w:rsidRDefault="00FB33D3" w:rsidP="00FB33D3">
            <w:pPr>
              <w:jc w:val="center"/>
              <w:rPr>
                <w:rFonts w:ascii="Arial" w:hAnsi="Arial" w:cs="Arial"/>
              </w:rPr>
            </w:pPr>
            <w:r w:rsidRPr="002E40EC">
              <w:rPr>
                <w:rFonts w:ascii="Arial" w:hAnsi="Arial" w:cs="Arial"/>
              </w:rPr>
              <w:t>$</w:t>
            </w:r>
            <w:r w:rsidR="002E40EC" w:rsidRPr="002E40EC">
              <w:rPr>
                <w:rFonts w:ascii="Arial" w:hAnsi="Arial" w:cs="Arial"/>
              </w:rPr>
              <w:t>13,700</w:t>
            </w:r>
          </w:p>
        </w:tc>
      </w:tr>
      <w:tr w:rsidR="002E40EC" w:rsidRPr="002E40EC" w:rsidTr="00FB33D3">
        <w:tc>
          <w:tcPr>
            <w:tcW w:w="1627" w:type="dxa"/>
          </w:tcPr>
          <w:p w:rsidR="002E40EC" w:rsidRPr="002E40EC" w:rsidRDefault="002E40EC" w:rsidP="00FB33D3">
            <w:pPr>
              <w:spacing w:after="58"/>
              <w:rPr>
                <w:rFonts w:ascii="Arial" w:hAnsi="Arial" w:cs="Arial"/>
              </w:rPr>
            </w:pPr>
            <w:r w:rsidRPr="002E40EC">
              <w:rPr>
                <w:rFonts w:ascii="Arial" w:hAnsi="Arial" w:cs="Arial"/>
              </w:rPr>
              <w:t>30-day follow-up report</w:t>
            </w:r>
          </w:p>
        </w:tc>
        <w:tc>
          <w:tcPr>
            <w:tcW w:w="1627" w:type="dxa"/>
          </w:tcPr>
          <w:p w:rsidR="002E40EC" w:rsidRPr="002E40EC" w:rsidRDefault="002E40EC" w:rsidP="00FB33D3">
            <w:pPr>
              <w:jc w:val="center"/>
              <w:rPr>
                <w:rFonts w:ascii="Arial" w:hAnsi="Arial" w:cs="Arial"/>
              </w:rPr>
            </w:pPr>
            <w:r w:rsidRPr="002E40EC">
              <w:rPr>
                <w:rFonts w:ascii="Arial" w:hAnsi="Arial" w:cs="Arial"/>
              </w:rPr>
              <w:t>5</w:t>
            </w:r>
          </w:p>
        </w:tc>
        <w:tc>
          <w:tcPr>
            <w:tcW w:w="1627" w:type="dxa"/>
          </w:tcPr>
          <w:p w:rsidR="002E40EC" w:rsidRPr="002E40EC" w:rsidRDefault="002E40EC" w:rsidP="00FB33D3">
            <w:pPr>
              <w:jc w:val="center"/>
              <w:rPr>
                <w:rFonts w:ascii="Arial" w:hAnsi="Arial" w:cs="Arial"/>
              </w:rPr>
            </w:pPr>
            <w:r w:rsidRPr="002E40EC">
              <w:rPr>
                <w:rFonts w:ascii="Arial" w:hAnsi="Arial" w:cs="Arial"/>
              </w:rPr>
              <w:t>70</w:t>
            </w:r>
          </w:p>
        </w:tc>
        <w:tc>
          <w:tcPr>
            <w:tcW w:w="1627" w:type="dxa"/>
          </w:tcPr>
          <w:p w:rsidR="002E40EC" w:rsidRPr="002E40EC" w:rsidRDefault="002E40EC" w:rsidP="00FB33D3">
            <w:pPr>
              <w:jc w:val="center"/>
              <w:rPr>
                <w:rFonts w:ascii="Arial" w:hAnsi="Arial" w:cs="Arial"/>
              </w:rPr>
            </w:pPr>
            <w:r w:rsidRPr="002E40EC">
              <w:rPr>
                <w:rFonts w:ascii="Arial" w:hAnsi="Arial" w:cs="Arial"/>
              </w:rPr>
              <w:t>350</w:t>
            </w:r>
          </w:p>
        </w:tc>
        <w:tc>
          <w:tcPr>
            <w:tcW w:w="1628" w:type="dxa"/>
          </w:tcPr>
          <w:p w:rsidR="002E40EC" w:rsidRPr="002E40EC" w:rsidRDefault="002E40EC" w:rsidP="00FB33D3">
            <w:pPr>
              <w:jc w:val="center"/>
              <w:rPr>
                <w:rFonts w:ascii="Arial" w:hAnsi="Arial" w:cs="Arial"/>
              </w:rPr>
            </w:pPr>
            <w:r w:rsidRPr="002E40EC">
              <w:rPr>
                <w:rFonts w:ascii="Arial" w:hAnsi="Arial" w:cs="Arial"/>
              </w:rPr>
              <w:t>$95,900</w:t>
            </w:r>
          </w:p>
        </w:tc>
      </w:tr>
      <w:tr w:rsidR="002E40EC" w:rsidRPr="002E40EC" w:rsidTr="00FB33D3">
        <w:tc>
          <w:tcPr>
            <w:tcW w:w="1627" w:type="dxa"/>
          </w:tcPr>
          <w:p w:rsidR="002E40EC" w:rsidRPr="002E40EC" w:rsidRDefault="002E40EC" w:rsidP="00FB33D3">
            <w:pPr>
              <w:spacing w:after="58"/>
              <w:rPr>
                <w:rFonts w:ascii="Arial" w:hAnsi="Arial" w:cs="Arial"/>
              </w:rPr>
            </w:pPr>
            <w:r w:rsidRPr="002E40EC">
              <w:rPr>
                <w:rFonts w:ascii="Arial" w:hAnsi="Arial" w:cs="Arial"/>
              </w:rPr>
              <w:t>TOTAL</w:t>
            </w:r>
          </w:p>
        </w:tc>
        <w:tc>
          <w:tcPr>
            <w:tcW w:w="1627" w:type="dxa"/>
          </w:tcPr>
          <w:p w:rsidR="002E40EC" w:rsidRPr="002E40EC" w:rsidRDefault="002E40EC" w:rsidP="00FB33D3">
            <w:pPr>
              <w:jc w:val="center"/>
              <w:rPr>
                <w:rFonts w:ascii="Arial" w:hAnsi="Arial" w:cs="Arial"/>
              </w:rPr>
            </w:pPr>
            <w:r w:rsidRPr="002E40EC">
              <w:rPr>
                <w:rFonts w:ascii="Arial" w:hAnsi="Arial" w:cs="Arial"/>
              </w:rPr>
              <w:t>10</w:t>
            </w:r>
          </w:p>
        </w:tc>
        <w:tc>
          <w:tcPr>
            <w:tcW w:w="1627" w:type="dxa"/>
          </w:tcPr>
          <w:p w:rsidR="002E40EC" w:rsidRPr="002E40EC" w:rsidRDefault="002E40EC" w:rsidP="00FB33D3">
            <w:pPr>
              <w:jc w:val="center"/>
              <w:rPr>
                <w:rFonts w:ascii="Arial" w:hAnsi="Arial" w:cs="Arial"/>
              </w:rPr>
            </w:pPr>
            <w:r w:rsidRPr="002E40EC">
              <w:rPr>
                <w:rFonts w:ascii="Arial" w:hAnsi="Arial" w:cs="Arial"/>
              </w:rPr>
              <w:t>-</w:t>
            </w:r>
          </w:p>
        </w:tc>
        <w:tc>
          <w:tcPr>
            <w:tcW w:w="1627" w:type="dxa"/>
          </w:tcPr>
          <w:p w:rsidR="002E40EC" w:rsidRPr="002E40EC" w:rsidRDefault="002E40EC" w:rsidP="00FB33D3">
            <w:pPr>
              <w:jc w:val="center"/>
              <w:rPr>
                <w:rFonts w:ascii="Arial" w:hAnsi="Arial" w:cs="Arial"/>
              </w:rPr>
            </w:pPr>
            <w:r w:rsidRPr="002E40EC">
              <w:rPr>
                <w:rFonts w:ascii="Arial" w:hAnsi="Arial" w:cs="Arial"/>
              </w:rPr>
              <w:t>400</w:t>
            </w:r>
          </w:p>
        </w:tc>
        <w:tc>
          <w:tcPr>
            <w:tcW w:w="1628" w:type="dxa"/>
          </w:tcPr>
          <w:p w:rsidR="002E40EC" w:rsidRPr="002E40EC" w:rsidRDefault="002E40EC" w:rsidP="00FB33D3">
            <w:pPr>
              <w:jc w:val="center"/>
              <w:rPr>
                <w:rFonts w:ascii="Arial" w:hAnsi="Arial" w:cs="Arial"/>
              </w:rPr>
            </w:pPr>
            <w:r w:rsidRPr="002E40EC">
              <w:rPr>
                <w:rFonts w:ascii="Arial" w:hAnsi="Arial" w:cs="Arial"/>
              </w:rPr>
              <w:t>$109,600</w:t>
            </w:r>
          </w:p>
        </w:tc>
      </w:tr>
    </w:tbl>
    <w:p w:rsidR="00117F80" w:rsidRPr="005328D9" w:rsidRDefault="00117F80" w:rsidP="00117F80">
      <w:pPr>
        <w:rPr>
          <w:rFonts w:ascii="Arial" w:hAnsi="Arial" w:cs="Arial"/>
          <w:sz w:val="22"/>
          <w:szCs w:val="22"/>
        </w:rPr>
      </w:pPr>
    </w:p>
    <w:p w:rsidR="00297A32" w:rsidRDefault="00A13B3E">
      <w:pPr>
        <w:ind w:left="1440"/>
        <w:rPr>
          <w:rFonts w:ascii="Arial" w:hAnsi="Arial" w:cs="Arial"/>
          <w:sz w:val="22"/>
          <w:szCs w:val="22"/>
        </w:rPr>
      </w:pPr>
      <w:r>
        <w:rPr>
          <w:rFonts w:ascii="Arial" w:hAnsi="Arial" w:cs="Arial"/>
          <w:sz w:val="22"/>
          <w:szCs w:val="22"/>
        </w:rPr>
        <w:t>The following table has been confined to the annual recordkeeping burden associated with the regulation at 10 CFR 50.55(e</w:t>
      </w:r>
      <w:proofErr w:type="gramStart"/>
      <w:r>
        <w:rPr>
          <w:rFonts w:ascii="Arial" w:hAnsi="Arial" w:cs="Arial"/>
          <w:sz w:val="22"/>
          <w:szCs w:val="22"/>
        </w:rPr>
        <w:t>)(</w:t>
      </w:r>
      <w:proofErr w:type="gramEnd"/>
      <w:r>
        <w:rPr>
          <w:rFonts w:ascii="Arial" w:hAnsi="Arial" w:cs="Arial"/>
          <w:sz w:val="22"/>
          <w:szCs w:val="22"/>
        </w:rPr>
        <w:t>9)(ii).  Procedures, addressed under 10 CFR 50.55(e</w:t>
      </w:r>
      <w:proofErr w:type="gramStart"/>
      <w:r>
        <w:rPr>
          <w:rFonts w:ascii="Arial" w:hAnsi="Arial" w:cs="Arial"/>
          <w:sz w:val="22"/>
          <w:szCs w:val="22"/>
        </w:rPr>
        <w:t>)(</w:t>
      </w:r>
      <w:proofErr w:type="gramEnd"/>
      <w:r>
        <w:rPr>
          <w:rFonts w:ascii="Arial" w:hAnsi="Arial" w:cs="Arial"/>
          <w:sz w:val="22"/>
          <w:szCs w:val="22"/>
        </w:rPr>
        <w:t>1)(</w:t>
      </w:r>
      <w:proofErr w:type="spellStart"/>
      <w:r>
        <w:rPr>
          <w:rFonts w:ascii="Arial" w:hAnsi="Arial" w:cs="Arial"/>
          <w:sz w:val="22"/>
          <w:szCs w:val="22"/>
        </w:rPr>
        <w:t>i</w:t>
      </w:r>
      <w:proofErr w:type="spellEnd"/>
      <w:r>
        <w:rPr>
          <w:rFonts w:ascii="Arial" w:hAnsi="Arial" w:cs="Arial"/>
          <w:sz w:val="22"/>
          <w:szCs w:val="22"/>
        </w:rPr>
        <w:t>), are developed and retained as part of the application by holders of permits, certifications, and licenses and are not included in the recordkeeping burden associated with 10 CFR 50.55(e).  As discussed under item 7 above, procurement documents addressed under 10 CFR 50.55(e)(9)(</w:t>
      </w:r>
      <w:proofErr w:type="spellStart"/>
      <w:r>
        <w:rPr>
          <w:rFonts w:ascii="Arial" w:hAnsi="Arial" w:cs="Arial"/>
          <w:sz w:val="22"/>
          <w:szCs w:val="22"/>
        </w:rPr>
        <w:t>i</w:t>
      </w:r>
      <w:proofErr w:type="spellEnd"/>
      <w:r>
        <w:rPr>
          <w:rFonts w:ascii="Arial" w:hAnsi="Arial" w:cs="Arial"/>
          <w:sz w:val="22"/>
          <w:szCs w:val="22"/>
        </w:rPr>
        <w:t xml:space="preserve">), are retained in accordance with standard industry practice and, therefore, are not included in the recordkeeping burden associated with 10 CFR 50.55(e).  </w:t>
      </w:r>
    </w:p>
    <w:p w:rsidR="00117F80" w:rsidRPr="005328D9" w:rsidRDefault="00117F80" w:rsidP="00117F80">
      <w:pPr>
        <w:rPr>
          <w:rFonts w:ascii="Arial" w:hAnsi="Arial" w:cs="Arial"/>
          <w:sz w:val="22"/>
          <w:szCs w:val="22"/>
        </w:rPr>
      </w:pPr>
    </w:p>
    <w:tbl>
      <w:tblPr>
        <w:tblW w:w="8910" w:type="dxa"/>
        <w:tblInd w:w="840" w:type="dxa"/>
        <w:tblLayout w:type="fixed"/>
        <w:tblCellMar>
          <w:left w:w="120" w:type="dxa"/>
          <w:right w:w="120" w:type="dxa"/>
        </w:tblCellMar>
        <w:tblLook w:val="0000" w:firstRow="0" w:lastRow="0" w:firstColumn="0" w:lastColumn="0" w:noHBand="0" w:noVBand="0"/>
      </w:tblPr>
      <w:tblGrid>
        <w:gridCol w:w="1620"/>
        <w:gridCol w:w="1890"/>
        <w:gridCol w:w="1710"/>
        <w:gridCol w:w="1080"/>
        <w:gridCol w:w="1272"/>
        <w:gridCol w:w="1338"/>
      </w:tblGrid>
      <w:tr w:rsidR="00117F80" w:rsidRPr="005328D9" w:rsidTr="00CA6925">
        <w:tc>
          <w:tcPr>
            <w:tcW w:w="8910" w:type="dxa"/>
            <w:gridSpan w:val="6"/>
            <w:tcBorders>
              <w:top w:val="single" w:sz="6" w:space="0" w:color="000000"/>
              <w:left w:val="single" w:sz="6" w:space="0" w:color="000000"/>
              <w:bottom w:val="single" w:sz="6" w:space="0" w:color="000000"/>
              <w:right w:val="single" w:sz="6" w:space="0" w:color="000000"/>
            </w:tcBorders>
            <w:vAlign w:val="center"/>
          </w:tcPr>
          <w:p w:rsidR="00117F80" w:rsidRPr="00805CB6" w:rsidRDefault="00A13B3E" w:rsidP="00CA6925">
            <w:pPr>
              <w:jc w:val="center"/>
              <w:rPr>
                <w:rFonts w:ascii="Arial" w:hAnsi="Arial" w:cs="Arial"/>
              </w:rPr>
            </w:pPr>
            <w:r w:rsidRPr="00805CB6">
              <w:rPr>
                <w:rFonts w:ascii="Arial" w:hAnsi="Arial" w:cs="Arial"/>
                <w:sz w:val="22"/>
                <w:szCs w:val="22"/>
              </w:rPr>
              <w:t>ANNUAL RECORDKEEPING BURDEN</w:t>
            </w:r>
          </w:p>
        </w:tc>
      </w:tr>
      <w:tr w:rsidR="00117F80" w:rsidRPr="005328D9" w:rsidTr="00805CB6">
        <w:tc>
          <w:tcPr>
            <w:tcW w:w="1620" w:type="dxa"/>
            <w:tcBorders>
              <w:top w:val="single" w:sz="6" w:space="0" w:color="000000"/>
              <w:left w:val="single" w:sz="6" w:space="0" w:color="000000"/>
              <w:bottom w:val="single" w:sz="6" w:space="0" w:color="000000"/>
              <w:right w:val="single" w:sz="6" w:space="0" w:color="000000"/>
            </w:tcBorders>
            <w:vAlign w:val="bottom"/>
          </w:tcPr>
          <w:p w:rsidR="00117F80" w:rsidRPr="005328D9" w:rsidRDefault="00117F80" w:rsidP="00CA6925">
            <w:pPr>
              <w:spacing w:line="120" w:lineRule="exact"/>
              <w:rPr>
                <w:rFonts w:ascii="Arial" w:hAnsi="Arial" w:cs="Arial"/>
                <w:sz w:val="18"/>
                <w:szCs w:val="18"/>
              </w:rPr>
            </w:pPr>
          </w:p>
          <w:p w:rsidR="00117F80" w:rsidRPr="005328D9" w:rsidRDefault="00117F80" w:rsidP="00CA6925">
            <w:pPr>
              <w:spacing w:after="58"/>
              <w:rPr>
                <w:rFonts w:ascii="Arial" w:hAnsi="Arial" w:cs="Arial"/>
                <w:sz w:val="18"/>
                <w:szCs w:val="18"/>
              </w:rPr>
            </w:pPr>
          </w:p>
        </w:tc>
        <w:tc>
          <w:tcPr>
            <w:tcW w:w="189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jc w:val="center"/>
              <w:rPr>
                <w:rFonts w:ascii="Arial" w:hAnsi="Arial" w:cs="Arial"/>
              </w:rPr>
            </w:pPr>
          </w:p>
          <w:p w:rsidR="00117F80" w:rsidRPr="00805CB6" w:rsidRDefault="00A13B3E" w:rsidP="00CA6925">
            <w:pPr>
              <w:jc w:val="center"/>
              <w:rPr>
                <w:rFonts w:ascii="Arial" w:hAnsi="Arial" w:cs="Arial"/>
              </w:rPr>
            </w:pPr>
            <w:r w:rsidRPr="00805CB6">
              <w:rPr>
                <w:rFonts w:ascii="Arial" w:hAnsi="Arial" w:cs="Arial"/>
                <w:sz w:val="22"/>
                <w:szCs w:val="22"/>
              </w:rPr>
              <w:t>Number of</w:t>
            </w:r>
          </w:p>
          <w:p w:rsidR="00117F80" w:rsidRPr="00805CB6" w:rsidRDefault="00A13B3E" w:rsidP="00CA6925">
            <w:pPr>
              <w:rPr>
                <w:rFonts w:ascii="Arial" w:hAnsi="Arial" w:cs="Arial"/>
              </w:rPr>
            </w:pPr>
            <w:proofErr w:type="spellStart"/>
            <w:r w:rsidRPr="00805CB6">
              <w:rPr>
                <w:rFonts w:ascii="Arial" w:hAnsi="Arial" w:cs="Arial"/>
                <w:sz w:val="22"/>
                <w:szCs w:val="22"/>
              </w:rPr>
              <w:t>Recordkeepers</w:t>
            </w:r>
            <w:proofErr w:type="spellEnd"/>
            <w:r w:rsidRPr="00805CB6">
              <w:rPr>
                <w:rFonts w:ascii="Arial" w:hAnsi="Arial" w:cs="Arial"/>
                <w:sz w:val="22"/>
                <w:szCs w:val="22"/>
              </w:rPr>
              <w:t>*</w:t>
            </w:r>
          </w:p>
        </w:tc>
        <w:tc>
          <w:tcPr>
            <w:tcW w:w="171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rPr>
                <w:rFonts w:ascii="Arial" w:hAnsi="Arial" w:cs="Arial"/>
              </w:rPr>
            </w:pPr>
          </w:p>
          <w:p w:rsidR="00117F80" w:rsidRPr="00805CB6" w:rsidRDefault="00A13B3E" w:rsidP="00CA6925">
            <w:pPr>
              <w:spacing w:after="58"/>
              <w:jc w:val="center"/>
              <w:rPr>
                <w:rFonts w:ascii="Arial" w:hAnsi="Arial" w:cs="Arial"/>
              </w:rPr>
            </w:pPr>
            <w:r w:rsidRPr="00805CB6">
              <w:rPr>
                <w:rFonts w:ascii="Arial" w:hAnsi="Arial" w:cs="Arial"/>
                <w:sz w:val="22"/>
                <w:szCs w:val="22"/>
              </w:rPr>
              <w:t xml:space="preserve">Burden Hours per </w:t>
            </w:r>
            <w:proofErr w:type="spellStart"/>
            <w:r w:rsidRPr="00805CB6">
              <w:rPr>
                <w:rFonts w:ascii="Arial" w:hAnsi="Arial" w:cs="Arial"/>
                <w:sz w:val="22"/>
                <w:szCs w:val="22"/>
              </w:rPr>
              <w:t>Recordkeeper</w:t>
            </w:r>
            <w:proofErr w:type="spellEnd"/>
          </w:p>
        </w:tc>
        <w:tc>
          <w:tcPr>
            <w:tcW w:w="108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rPr>
                <w:rFonts w:ascii="Arial" w:hAnsi="Arial" w:cs="Arial"/>
              </w:rPr>
            </w:pPr>
          </w:p>
          <w:p w:rsidR="00117F80" w:rsidRPr="00805CB6" w:rsidRDefault="00A13B3E" w:rsidP="00CA6925">
            <w:pPr>
              <w:spacing w:after="58"/>
              <w:jc w:val="center"/>
              <w:rPr>
                <w:rFonts w:ascii="Arial" w:hAnsi="Arial" w:cs="Arial"/>
              </w:rPr>
            </w:pPr>
            <w:r w:rsidRPr="00805CB6">
              <w:rPr>
                <w:rFonts w:ascii="Arial" w:hAnsi="Arial" w:cs="Arial"/>
                <w:sz w:val="22"/>
                <w:szCs w:val="22"/>
              </w:rPr>
              <w:t>Total Annual Burden Hours</w:t>
            </w:r>
          </w:p>
        </w:tc>
        <w:tc>
          <w:tcPr>
            <w:tcW w:w="1272"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rPr>
                <w:rFonts w:ascii="Arial" w:hAnsi="Arial" w:cs="Arial"/>
              </w:rPr>
            </w:pPr>
          </w:p>
          <w:p w:rsidR="00117F80" w:rsidRPr="00805CB6" w:rsidRDefault="00A13B3E" w:rsidP="00CA6925">
            <w:pPr>
              <w:spacing w:after="58"/>
              <w:jc w:val="center"/>
              <w:rPr>
                <w:rFonts w:ascii="Arial" w:hAnsi="Arial" w:cs="Arial"/>
              </w:rPr>
            </w:pPr>
            <w:r w:rsidRPr="00805CB6">
              <w:rPr>
                <w:rFonts w:ascii="Arial" w:hAnsi="Arial" w:cs="Arial"/>
                <w:sz w:val="22"/>
                <w:szCs w:val="22"/>
              </w:rPr>
              <w:t>Retention Period</w:t>
            </w:r>
          </w:p>
        </w:tc>
        <w:tc>
          <w:tcPr>
            <w:tcW w:w="1338"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rPr>
                <w:rFonts w:ascii="Arial" w:hAnsi="Arial" w:cs="Arial"/>
              </w:rPr>
            </w:pPr>
          </w:p>
          <w:p w:rsidR="00117F80" w:rsidRPr="00805CB6" w:rsidRDefault="00A13B3E" w:rsidP="00CA6925">
            <w:pPr>
              <w:spacing w:after="58"/>
              <w:jc w:val="center"/>
              <w:rPr>
                <w:rFonts w:ascii="Arial" w:hAnsi="Arial" w:cs="Arial"/>
              </w:rPr>
            </w:pPr>
            <w:r w:rsidRPr="00805CB6">
              <w:rPr>
                <w:rFonts w:ascii="Arial" w:hAnsi="Arial" w:cs="Arial"/>
                <w:sz w:val="22"/>
                <w:szCs w:val="22"/>
              </w:rPr>
              <w:t>Cost</w:t>
            </w:r>
          </w:p>
          <w:p w:rsidR="00117F80" w:rsidRPr="00805CB6" w:rsidRDefault="00A13B3E" w:rsidP="008F4E33">
            <w:pPr>
              <w:spacing w:after="58"/>
              <w:jc w:val="center"/>
              <w:rPr>
                <w:rFonts w:ascii="Arial" w:hAnsi="Arial" w:cs="Arial"/>
              </w:rPr>
            </w:pPr>
            <w:r w:rsidRPr="00805CB6">
              <w:rPr>
                <w:rFonts w:ascii="Arial" w:hAnsi="Arial" w:cs="Arial"/>
                <w:sz w:val="22"/>
                <w:szCs w:val="22"/>
              </w:rPr>
              <w:t>$</w:t>
            </w:r>
            <w:r w:rsidR="008F4E33" w:rsidRPr="00805CB6">
              <w:rPr>
                <w:rFonts w:ascii="Arial" w:hAnsi="Arial" w:cs="Arial"/>
                <w:sz w:val="22"/>
                <w:szCs w:val="22"/>
              </w:rPr>
              <w:t>274</w:t>
            </w:r>
            <w:r w:rsidRPr="00805CB6">
              <w:rPr>
                <w:rFonts w:ascii="Arial" w:hAnsi="Arial" w:cs="Arial"/>
                <w:sz w:val="22"/>
                <w:szCs w:val="22"/>
              </w:rPr>
              <w:t>/Hour</w:t>
            </w:r>
          </w:p>
        </w:tc>
      </w:tr>
      <w:tr w:rsidR="00117F80" w:rsidRPr="005328D9" w:rsidTr="00805CB6">
        <w:tc>
          <w:tcPr>
            <w:tcW w:w="162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spacing w:line="120" w:lineRule="exact"/>
              <w:rPr>
                <w:rFonts w:ascii="Arial" w:hAnsi="Arial" w:cs="Arial"/>
              </w:rPr>
            </w:pPr>
          </w:p>
          <w:p w:rsidR="00117F80" w:rsidRPr="00805CB6" w:rsidRDefault="00A13B3E" w:rsidP="00CA6925">
            <w:pPr>
              <w:rPr>
                <w:rFonts w:ascii="Arial" w:hAnsi="Arial" w:cs="Arial"/>
              </w:rPr>
            </w:pPr>
            <w:r w:rsidRPr="00805CB6">
              <w:rPr>
                <w:rFonts w:ascii="Arial" w:hAnsi="Arial" w:cs="Arial"/>
                <w:sz w:val="22"/>
                <w:szCs w:val="22"/>
              </w:rPr>
              <w:t>Retention of evaluations:</w:t>
            </w:r>
          </w:p>
          <w:p w:rsidR="00117F80" w:rsidRPr="00805CB6" w:rsidRDefault="00A13B3E" w:rsidP="00CA6925">
            <w:pPr>
              <w:spacing w:after="58"/>
              <w:rPr>
                <w:rFonts w:ascii="Arial" w:hAnsi="Arial" w:cs="Arial"/>
              </w:rPr>
            </w:pPr>
            <w:r w:rsidRPr="00805CB6">
              <w:rPr>
                <w:rFonts w:ascii="Arial" w:hAnsi="Arial" w:cs="Arial"/>
                <w:sz w:val="22"/>
                <w:szCs w:val="22"/>
              </w:rPr>
              <w:t xml:space="preserve">   50.55(e)(9)(ii)</w:t>
            </w:r>
          </w:p>
        </w:tc>
        <w:tc>
          <w:tcPr>
            <w:tcW w:w="189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jc w:val="center"/>
              <w:rPr>
                <w:rFonts w:ascii="Arial" w:hAnsi="Arial" w:cs="Arial"/>
              </w:rPr>
            </w:pPr>
          </w:p>
          <w:p w:rsidR="00117F80" w:rsidRPr="00805CB6" w:rsidRDefault="00A37553" w:rsidP="00CA6925">
            <w:pPr>
              <w:jc w:val="center"/>
              <w:rPr>
                <w:rFonts w:ascii="Arial" w:hAnsi="Arial" w:cs="Arial"/>
              </w:rPr>
            </w:pPr>
            <w:r w:rsidRPr="00805CB6">
              <w:rPr>
                <w:rFonts w:ascii="Arial" w:hAnsi="Arial" w:cs="Arial"/>
                <w:sz w:val="22"/>
                <w:szCs w:val="22"/>
              </w:rPr>
              <w:t>25</w:t>
            </w:r>
          </w:p>
        </w:tc>
        <w:tc>
          <w:tcPr>
            <w:tcW w:w="171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jc w:val="center"/>
              <w:rPr>
                <w:rFonts w:ascii="Arial" w:hAnsi="Arial" w:cs="Arial"/>
              </w:rPr>
            </w:pPr>
          </w:p>
          <w:p w:rsidR="00117F80" w:rsidRPr="00805CB6" w:rsidRDefault="00A13B3E" w:rsidP="00CA6925">
            <w:pPr>
              <w:spacing w:after="58"/>
              <w:jc w:val="center"/>
              <w:rPr>
                <w:rFonts w:ascii="Arial" w:hAnsi="Arial" w:cs="Arial"/>
              </w:rPr>
            </w:pPr>
            <w:r w:rsidRPr="00805CB6">
              <w:rPr>
                <w:rFonts w:ascii="Arial" w:hAnsi="Arial" w:cs="Arial"/>
                <w:sz w:val="22"/>
                <w:szCs w:val="22"/>
              </w:rPr>
              <w:t>2</w:t>
            </w:r>
          </w:p>
        </w:tc>
        <w:tc>
          <w:tcPr>
            <w:tcW w:w="1080"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jc w:val="center"/>
              <w:rPr>
                <w:rFonts w:ascii="Arial" w:hAnsi="Arial" w:cs="Arial"/>
              </w:rPr>
            </w:pPr>
          </w:p>
          <w:p w:rsidR="00117F80" w:rsidRPr="00805CB6" w:rsidRDefault="00A37553" w:rsidP="00CA6925">
            <w:pPr>
              <w:spacing w:after="58"/>
              <w:jc w:val="center"/>
              <w:rPr>
                <w:rFonts w:ascii="Arial" w:hAnsi="Arial" w:cs="Arial"/>
              </w:rPr>
            </w:pPr>
            <w:r w:rsidRPr="00805CB6">
              <w:rPr>
                <w:rFonts w:ascii="Arial" w:hAnsi="Arial" w:cs="Arial"/>
                <w:sz w:val="22"/>
                <w:szCs w:val="22"/>
              </w:rPr>
              <w:t>50</w:t>
            </w:r>
          </w:p>
        </w:tc>
        <w:tc>
          <w:tcPr>
            <w:tcW w:w="1272"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jc w:val="center"/>
              <w:rPr>
                <w:rFonts w:ascii="Arial" w:hAnsi="Arial" w:cs="Arial"/>
              </w:rPr>
            </w:pPr>
          </w:p>
          <w:p w:rsidR="00117F80" w:rsidRPr="00805CB6" w:rsidRDefault="00A37553" w:rsidP="00CA6925">
            <w:pPr>
              <w:spacing w:after="58"/>
              <w:jc w:val="center"/>
              <w:rPr>
                <w:rFonts w:ascii="Arial" w:hAnsi="Arial" w:cs="Arial"/>
              </w:rPr>
            </w:pPr>
            <w:r w:rsidRPr="00805CB6">
              <w:rPr>
                <w:rFonts w:ascii="Arial" w:hAnsi="Arial" w:cs="Arial"/>
                <w:sz w:val="22"/>
                <w:szCs w:val="22"/>
              </w:rPr>
              <w:t>10</w:t>
            </w:r>
            <w:r w:rsidR="00A13B3E" w:rsidRPr="00805CB6">
              <w:rPr>
                <w:rFonts w:ascii="Arial" w:hAnsi="Arial" w:cs="Arial"/>
                <w:sz w:val="22"/>
                <w:szCs w:val="22"/>
              </w:rPr>
              <w:t xml:space="preserve"> years</w:t>
            </w:r>
          </w:p>
        </w:tc>
        <w:tc>
          <w:tcPr>
            <w:tcW w:w="1338" w:type="dxa"/>
            <w:tcBorders>
              <w:top w:val="single" w:sz="6" w:space="0" w:color="000000"/>
              <w:left w:val="single" w:sz="6" w:space="0" w:color="000000"/>
              <w:bottom w:val="single" w:sz="6" w:space="0" w:color="000000"/>
              <w:right w:val="single" w:sz="6" w:space="0" w:color="000000"/>
            </w:tcBorders>
          </w:tcPr>
          <w:p w:rsidR="00117F80" w:rsidRPr="00805CB6" w:rsidRDefault="00117F80" w:rsidP="00CA6925">
            <w:pPr>
              <w:rPr>
                <w:rFonts w:ascii="Arial" w:hAnsi="Arial" w:cs="Arial"/>
              </w:rPr>
            </w:pPr>
          </w:p>
          <w:p w:rsidR="00117F80" w:rsidRPr="00805CB6" w:rsidRDefault="00A13B3E" w:rsidP="00CA6925">
            <w:pPr>
              <w:jc w:val="center"/>
              <w:rPr>
                <w:rFonts w:ascii="Arial" w:hAnsi="Arial" w:cs="Arial"/>
              </w:rPr>
            </w:pPr>
            <w:r w:rsidRPr="00805CB6">
              <w:rPr>
                <w:rFonts w:ascii="Arial" w:hAnsi="Arial" w:cs="Arial"/>
                <w:sz w:val="22"/>
                <w:szCs w:val="22"/>
              </w:rPr>
              <w:t>$</w:t>
            </w:r>
            <w:r w:rsidR="00A37553" w:rsidRPr="00805CB6">
              <w:rPr>
                <w:rFonts w:ascii="Arial" w:hAnsi="Arial" w:cs="Arial"/>
                <w:sz w:val="22"/>
                <w:szCs w:val="22"/>
              </w:rPr>
              <w:t>13,700</w:t>
            </w:r>
          </w:p>
          <w:p w:rsidR="00117F80" w:rsidRPr="00805CB6" w:rsidRDefault="00117F80" w:rsidP="00CA6925">
            <w:pPr>
              <w:spacing w:after="58"/>
              <w:jc w:val="center"/>
              <w:rPr>
                <w:rFonts w:ascii="Arial" w:hAnsi="Arial" w:cs="Arial"/>
              </w:rPr>
            </w:pPr>
          </w:p>
        </w:tc>
      </w:tr>
    </w:tbl>
    <w:p w:rsidR="00117F80" w:rsidRPr="005328D9" w:rsidRDefault="00117F80" w:rsidP="00117F80">
      <w:pPr>
        <w:ind w:left="720"/>
        <w:rPr>
          <w:rFonts w:ascii="Arial" w:hAnsi="Arial" w:cs="Arial"/>
          <w:sz w:val="18"/>
          <w:szCs w:val="18"/>
        </w:rPr>
      </w:pPr>
      <w:r w:rsidRPr="005328D9">
        <w:rPr>
          <w:rFonts w:ascii="Arial" w:hAnsi="Arial" w:cs="Arial"/>
          <w:sz w:val="18"/>
          <w:szCs w:val="18"/>
        </w:rPr>
        <w:t>*</w:t>
      </w:r>
      <w:r w:rsidR="008F4E33">
        <w:rPr>
          <w:rFonts w:ascii="Arial" w:hAnsi="Arial" w:cs="Arial"/>
          <w:sz w:val="18"/>
          <w:szCs w:val="18"/>
        </w:rPr>
        <w:t>21 (16 + 5 new)</w:t>
      </w:r>
      <w:r w:rsidR="00805CB6">
        <w:rPr>
          <w:rFonts w:ascii="Arial" w:hAnsi="Arial" w:cs="Arial"/>
          <w:sz w:val="18"/>
          <w:szCs w:val="18"/>
        </w:rPr>
        <w:t xml:space="preserve"> </w:t>
      </w:r>
      <w:r w:rsidRPr="005328D9">
        <w:rPr>
          <w:rFonts w:ascii="Arial" w:hAnsi="Arial" w:cs="Arial"/>
          <w:sz w:val="18"/>
          <w:szCs w:val="18"/>
        </w:rPr>
        <w:t xml:space="preserve">in year 1 + </w:t>
      </w:r>
      <w:r w:rsidR="008F4E33">
        <w:rPr>
          <w:rFonts w:ascii="Arial" w:hAnsi="Arial" w:cs="Arial"/>
          <w:sz w:val="18"/>
          <w:szCs w:val="18"/>
        </w:rPr>
        <w:t>26</w:t>
      </w:r>
      <w:r w:rsidR="00805CB6">
        <w:rPr>
          <w:rFonts w:ascii="Arial" w:hAnsi="Arial" w:cs="Arial"/>
          <w:sz w:val="18"/>
          <w:szCs w:val="18"/>
        </w:rPr>
        <w:t xml:space="preserve"> </w:t>
      </w:r>
      <w:r w:rsidRPr="005328D9">
        <w:rPr>
          <w:rFonts w:ascii="Arial" w:hAnsi="Arial" w:cs="Arial"/>
          <w:sz w:val="18"/>
          <w:szCs w:val="18"/>
        </w:rPr>
        <w:t>(</w:t>
      </w:r>
      <w:r w:rsidR="008F4E33">
        <w:rPr>
          <w:rFonts w:ascii="Arial" w:hAnsi="Arial" w:cs="Arial"/>
          <w:sz w:val="18"/>
          <w:szCs w:val="18"/>
        </w:rPr>
        <w:t>5 new</w:t>
      </w:r>
      <w:r w:rsidRPr="005328D9">
        <w:rPr>
          <w:rFonts w:ascii="Arial" w:hAnsi="Arial" w:cs="Arial"/>
          <w:sz w:val="18"/>
          <w:szCs w:val="18"/>
        </w:rPr>
        <w:t xml:space="preserve">) in year 2 + </w:t>
      </w:r>
      <w:r w:rsidR="008F4E33">
        <w:rPr>
          <w:rFonts w:ascii="Arial" w:hAnsi="Arial" w:cs="Arial"/>
          <w:sz w:val="18"/>
          <w:szCs w:val="18"/>
        </w:rPr>
        <w:t>28</w:t>
      </w:r>
      <w:r w:rsidR="00805CB6">
        <w:rPr>
          <w:rFonts w:ascii="Arial" w:hAnsi="Arial" w:cs="Arial"/>
          <w:sz w:val="18"/>
          <w:szCs w:val="18"/>
        </w:rPr>
        <w:t xml:space="preserve"> </w:t>
      </w:r>
      <w:r w:rsidRPr="005328D9">
        <w:rPr>
          <w:rFonts w:ascii="Arial" w:hAnsi="Arial" w:cs="Arial"/>
          <w:sz w:val="18"/>
          <w:szCs w:val="18"/>
        </w:rPr>
        <w:t>(</w:t>
      </w:r>
      <w:r w:rsidR="008F4E33">
        <w:rPr>
          <w:rFonts w:ascii="Arial" w:hAnsi="Arial" w:cs="Arial"/>
          <w:sz w:val="18"/>
          <w:szCs w:val="18"/>
        </w:rPr>
        <w:t>26+5 new -</w:t>
      </w:r>
      <w:r w:rsidRPr="005328D9">
        <w:rPr>
          <w:rFonts w:ascii="Arial" w:hAnsi="Arial" w:cs="Arial"/>
          <w:sz w:val="18"/>
          <w:szCs w:val="18"/>
        </w:rPr>
        <w:t xml:space="preserve"> loss of </w:t>
      </w:r>
      <w:r w:rsidR="008F4E33">
        <w:rPr>
          <w:rFonts w:ascii="Arial" w:hAnsi="Arial" w:cs="Arial"/>
          <w:sz w:val="18"/>
          <w:szCs w:val="18"/>
        </w:rPr>
        <w:t>3</w:t>
      </w:r>
      <w:r w:rsidRPr="005328D9">
        <w:rPr>
          <w:rFonts w:ascii="Arial" w:hAnsi="Arial" w:cs="Arial"/>
          <w:sz w:val="18"/>
          <w:szCs w:val="18"/>
        </w:rPr>
        <w:t xml:space="preserve"> from previous clearance period) </w:t>
      </w:r>
    </w:p>
    <w:p w:rsidR="00117F80" w:rsidRPr="005328D9" w:rsidRDefault="00117F80" w:rsidP="00117F80">
      <w:pPr>
        <w:ind w:left="720"/>
        <w:rPr>
          <w:rFonts w:ascii="Arial" w:hAnsi="Arial" w:cs="Arial"/>
          <w:sz w:val="18"/>
          <w:szCs w:val="18"/>
        </w:rPr>
      </w:pPr>
      <w:proofErr w:type="gramStart"/>
      <w:r w:rsidRPr="005328D9">
        <w:rPr>
          <w:rFonts w:ascii="Arial" w:hAnsi="Arial" w:cs="Arial"/>
          <w:sz w:val="18"/>
          <w:szCs w:val="18"/>
        </w:rPr>
        <w:t>in</w:t>
      </w:r>
      <w:proofErr w:type="gramEnd"/>
      <w:r w:rsidRPr="005328D9">
        <w:rPr>
          <w:rFonts w:ascii="Arial" w:hAnsi="Arial" w:cs="Arial"/>
          <w:sz w:val="18"/>
          <w:szCs w:val="18"/>
        </w:rPr>
        <w:t xml:space="preserve"> year 3 = </w:t>
      </w:r>
      <w:r w:rsidR="00A37553">
        <w:rPr>
          <w:rFonts w:ascii="Arial" w:hAnsi="Arial" w:cs="Arial"/>
          <w:sz w:val="18"/>
          <w:szCs w:val="18"/>
        </w:rPr>
        <w:t>75</w:t>
      </w:r>
      <w:r w:rsidRPr="005328D9">
        <w:rPr>
          <w:rFonts w:ascii="Arial" w:hAnsi="Arial" w:cs="Arial"/>
          <w:sz w:val="18"/>
          <w:szCs w:val="18"/>
        </w:rPr>
        <w:t xml:space="preserve">; </w:t>
      </w:r>
      <w:r w:rsidR="00A37553">
        <w:rPr>
          <w:rFonts w:ascii="Arial" w:hAnsi="Arial" w:cs="Arial"/>
          <w:sz w:val="18"/>
          <w:szCs w:val="18"/>
        </w:rPr>
        <w:t>75</w:t>
      </w:r>
      <w:r w:rsidRPr="005328D9">
        <w:rPr>
          <w:rFonts w:ascii="Arial" w:hAnsi="Arial" w:cs="Arial"/>
          <w:sz w:val="18"/>
          <w:szCs w:val="18"/>
        </w:rPr>
        <w:t xml:space="preserve">/3 = </w:t>
      </w:r>
      <w:r w:rsidR="00A37553">
        <w:rPr>
          <w:rFonts w:ascii="Arial" w:hAnsi="Arial" w:cs="Arial"/>
          <w:sz w:val="18"/>
          <w:szCs w:val="18"/>
        </w:rPr>
        <w:t>25</w:t>
      </w:r>
      <w:r w:rsidRPr="005328D9">
        <w:rPr>
          <w:rFonts w:ascii="Arial" w:hAnsi="Arial" w:cs="Arial"/>
          <w:sz w:val="18"/>
          <w:szCs w:val="18"/>
        </w:rPr>
        <w:t xml:space="preserve"> annually</w:t>
      </w:r>
    </w:p>
    <w:p w:rsidR="00CA6925" w:rsidRDefault="00CA6925">
      <w:pPr>
        <w:ind w:left="720" w:firstLine="720"/>
        <w:rPr>
          <w:rFonts w:ascii="Arial" w:hAnsi="Arial" w:cs="Arial"/>
          <w:sz w:val="22"/>
          <w:szCs w:val="22"/>
        </w:rPr>
      </w:pPr>
    </w:p>
    <w:p w:rsidR="002E40EC" w:rsidRDefault="002E40EC" w:rsidP="002E40EC">
      <w:pPr>
        <w:tabs>
          <w:tab w:val="left" w:pos="-1440"/>
        </w:tabs>
        <w:ind w:left="1440"/>
        <w:rPr>
          <w:rFonts w:ascii="Arial" w:hAnsi="Arial" w:cs="Arial"/>
          <w:sz w:val="22"/>
          <w:szCs w:val="22"/>
        </w:rPr>
      </w:pPr>
      <w:r w:rsidRPr="002E40EC">
        <w:rPr>
          <w:rFonts w:ascii="Arial" w:hAnsi="Arial" w:cs="Arial"/>
          <w:sz w:val="22"/>
          <w:szCs w:val="22"/>
          <w:u w:val="single"/>
        </w:rPr>
        <w:t>Burden</w:t>
      </w:r>
      <w:r>
        <w:rPr>
          <w:rFonts w:ascii="Arial" w:hAnsi="Arial" w:cs="Arial"/>
          <w:sz w:val="22"/>
          <w:szCs w:val="22"/>
        </w:rPr>
        <w:t>:  450 hours (400 hours reporting + 50 hours recordkeeping)</w:t>
      </w:r>
    </w:p>
    <w:p w:rsidR="002E40EC" w:rsidRDefault="002E40EC" w:rsidP="002E40EC">
      <w:pPr>
        <w:tabs>
          <w:tab w:val="left" w:pos="-1440"/>
        </w:tabs>
        <w:ind w:left="1440"/>
        <w:rPr>
          <w:rFonts w:ascii="Arial" w:hAnsi="Arial" w:cs="Arial"/>
          <w:sz w:val="22"/>
          <w:szCs w:val="22"/>
        </w:rPr>
      </w:pPr>
      <w:r w:rsidRPr="002E40EC">
        <w:rPr>
          <w:rFonts w:ascii="Arial" w:hAnsi="Arial" w:cs="Arial"/>
          <w:sz w:val="22"/>
          <w:szCs w:val="22"/>
          <w:u w:val="single"/>
        </w:rPr>
        <w:t>Respondents</w:t>
      </w:r>
      <w:r>
        <w:rPr>
          <w:rFonts w:ascii="Arial" w:hAnsi="Arial" w:cs="Arial"/>
          <w:sz w:val="22"/>
          <w:szCs w:val="22"/>
        </w:rPr>
        <w:t>:  25</w:t>
      </w:r>
      <w:r w:rsidR="00672577">
        <w:rPr>
          <w:rStyle w:val="FootnoteReference"/>
          <w:rFonts w:ascii="Arial" w:hAnsi="Arial" w:cs="Arial"/>
          <w:sz w:val="22"/>
          <w:szCs w:val="22"/>
        </w:rPr>
        <w:footnoteReference w:id="1"/>
      </w:r>
    </w:p>
    <w:p w:rsidR="002E40EC" w:rsidRDefault="002E40EC" w:rsidP="002E40EC">
      <w:pPr>
        <w:tabs>
          <w:tab w:val="left" w:pos="-1440"/>
        </w:tabs>
        <w:ind w:left="1440"/>
        <w:rPr>
          <w:rFonts w:ascii="Arial" w:hAnsi="Arial" w:cs="Arial"/>
          <w:sz w:val="22"/>
          <w:szCs w:val="22"/>
        </w:rPr>
      </w:pPr>
      <w:r w:rsidRPr="002E40EC">
        <w:rPr>
          <w:rFonts w:ascii="Arial" w:hAnsi="Arial" w:cs="Arial"/>
          <w:sz w:val="22"/>
          <w:szCs w:val="22"/>
          <w:u w:val="single"/>
        </w:rPr>
        <w:t>Responses</w:t>
      </w:r>
      <w:r>
        <w:rPr>
          <w:rFonts w:ascii="Arial" w:hAnsi="Arial" w:cs="Arial"/>
          <w:sz w:val="22"/>
          <w:szCs w:val="22"/>
        </w:rPr>
        <w:t xml:space="preserve">:  </w:t>
      </w:r>
      <w:r w:rsidR="00661E59">
        <w:rPr>
          <w:rFonts w:ascii="Arial" w:hAnsi="Arial" w:cs="Arial"/>
          <w:sz w:val="22"/>
          <w:szCs w:val="22"/>
        </w:rPr>
        <w:t xml:space="preserve">35 (10 reporting responses + 25 </w:t>
      </w:r>
      <w:proofErr w:type="spellStart"/>
      <w:r w:rsidR="00661E59">
        <w:rPr>
          <w:rFonts w:ascii="Arial" w:hAnsi="Arial" w:cs="Arial"/>
          <w:sz w:val="22"/>
          <w:szCs w:val="22"/>
        </w:rPr>
        <w:t>recordkeepers</w:t>
      </w:r>
      <w:proofErr w:type="spellEnd"/>
      <w:r w:rsidR="00661E59">
        <w:rPr>
          <w:rFonts w:ascii="Arial" w:hAnsi="Arial" w:cs="Arial"/>
          <w:sz w:val="22"/>
          <w:szCs w:val="22"/>
        </w:rPr>
        <w:t>)</w:t>
      </w:r>
    </w:p>
    <w:p w:rsidR="002E40EC" w:rsidRDefault="002E40EC" w:rsidP="00117F80">
      <w:pPr>
        <w:tabs>
          <w:tab w:val="left" w:pos="-1440"/>
        </w:tabs>
        <w:ind w:left="1440"/>
        <w:rPr>
          <w:rFonts w:ascii="Arial" w:hAnsi="Arial" w:cs="Arial"/>
          <w:sz w:val="22"/>
          <w:szCs w:val="22"/>
        </w:rPr>
      </w:pPr>
    </w:p>
    <w:p w:rsidR="00117F80" w:rsidRPr="005328D9" w:rsidRDefault="00117F80" w:rsidP="00117F80">
      <w:pPr>
        <w:tabs>
          <w:tab w:val="left" w:pos="-1440"/>
        </w:tabs>
        <w:ind w:left="1440"/>
        <w:rPr>
          <w:rFonts w:ascii="Arial" w:hAnsi="Arial" w:cs="Arial"/>
          <w:sz w:val="22"/>
          <w:szCs w:val="22"/>
        </w:rPr>
      </w:pPr>
      <w:r w:rsidRPr="005328D9">
        <w:rPr>
          <w:rFonts w:ascii="Arial" w:hAnsi="Arial" w:cs="Arial"/>
          <w:sz w:val="22"/>
          <w:szCs w:val="22"/>
        </w:rPr>
        <w:t>The estimated cost per burden hour is based upon NRC</w:t>
      </w:r>
      <w:r w:rsidR="00CE786B" w:rsidRPr="005328D9">
        <w:rPr>
          <w:rFonts w:ascii="Arial" w:hAnsi="Arial" w:cs="Arial"/>
          <w:sz w:val="22"/>
          <w:szCs w:val="22"/>
        </w:rPr>
        <w:t>’</w:t>
      </w:r>
      <w:r w:rsidRPr="005328D9">
        <w:rPr>
          <w:rFonts w:ascii="Arial" w:hAnsi="Arial" w:cs="Arial"/>
          <w:sz w:val="22"/>
          <w:szCs w:val="22"/>
        </w:rPr>
        <w:t>s annual fee recovery rate, as published in NRC</w:t>
      </w:r>
      <w:r w:rsidR="00CE786B" w:rsidRPr="005328D9">
        <w:rPr>
          <w:rFonts w:ascii="Arial" w:hAnsi="Arial" w:cs="Arial"/>
          <w:sz w:val="22"/>
          <w:szCs w:val="22"/>
        </w:rPr>
        <w:t>’</w:t>
      </w:r>
      <w:r w:rsidRPr="005328D9">
        <w:rPr>
          <w:rFonts w:ascii="Arial" w:hAnsi="Arial" w:cs="Arial"/>
          <w:sz w:val="22"/>
          <w:szCs w:val="22"/>
        </w:rPr>
        <w:t>s annual fee recovery rule.</w:t>
      </w:r>
    </w:p>
    <w:p w:rsidR="00117F80" w:rsidRPr="005328D9" w:rsidRDefault="00117F80" w:rsidP="00117F80">
      <w:pPr>
        <w:tabs>
          <w:tab w:val="left" w:pos="-1440"/>
        </w:tabs>
        <w:ind w:left="1440"/>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117F80" w:rsidRPr="005328D9" w:rsidRDefault="00117F80" w:rsidP="00117F80">
      <w:pPr>
        <w:rPr>
          <w:rFonts w:ascii="Arial" w:hAnsi="Arial" w:cs="Arial"/>
          <w:sz w:val="22"/>
          <w:szCs w:val="22"/>
        </w:rPr>
      </w:pPr>
    </w:p>
    <w:p w:rsidR="00117F80" w:rsidRDefault="00A13B3E" w:rsidP="00117F80">
      <w:pPr>
        <w:ind w:left="1440"/>
        <w:rPr>
          <w:rFonts w:ascii="Arial" w:hAnsi="Arial" w:cs="Arial"/>
          <w:sz w:val="22"/>
          <w:szCs w:val="22"/>
        </w:rPr>
      </w:pPr>
      <w:r>
        <w:rPr>
          <w:rFonts w:ascii="Arial" w:hAnsi="Arial" w:cs="Arial"/>
          <w:sz w:val="22"/>
          <w:szCs w:val="22"/>
        </w:rPr>
        <w:t xml:space="preserve">The NRC has determined that the quantity of records to be maintained is roughly </w:t>
      </w:r>
      <w:r>
        <w:rPr>
          <w:rFonts w:ascii="Arial" w:hAnsi="Arial" w:cs="Arial"/>
          <w:sz w:val="22"/>
          <w:szCs w:val="22"/>
        </w:rPr>
        <w:lastRenderedPageBreak/>
        <w:t xml:space="preserve">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A37553">
        <w:rPr>
          <w:rFonts w:ascii="Arial" w:hAnsi="Arial" w:cs="Arial"/>
          <w:sz w:val="22"/>
          <w:szCs w:val="22"/>
        </w:rPr>
        <w:t xml:space="preserve">50 </w:t>
      </w:r>
      <w:r>
        <w:rPr>
          <w:rFonts w:ascii="Arial" w:hAnsi="Arial" w:cs="Arial"/>
          <w:sz w:val="22"/>
          <w:szCs w:val="22"/>
        </w:rPr>
        <w:t>hours, the storage cost for this clearance is $</w:t>
      </w:r>
      <w:r w:rsidR="00661E59">
        <w:rPr>
          <w:rFonts w:ascii="Arial" w:hAnsi="Arial" w:cs="Arial"/>
          <w:sz w:val="22"/>
          <w:szCs w:val="22"/>
        </w:rPr>
        <w:t>5</w:t>
      </w:r>
      <w:r w:rsidR="008F3B87">
        <w:rPr>
          <w:rFonts w:ascii="Arial" w:hAnsi="Arial" w:cs="Arial"/>
          <w:sz w:val="22"/>
          <w:szCs w:val="22"/>
        </w:rPr>
        <w:t xml:space="preserve"> </w:t>
      </w:r>
      <w:r>
        <w:rPr>
          <w:rFonts w:ascii="Arial" w:hAnsi="Arial" w:cs="Arial"/>
          <w:sz w:val="22"/>
          <w:szCs w:val="22"/>
        </w:rPr>
        <w:t>(</w:t>
      </w:r>
      <w:r w:rsidR="00A37553">
        <w:rPr>
          <w:rFonts w:ascii="Arial" w:hAnsi="Arial" w:cs="Arial"/>
          <w:sz w:val="22"/>
          <w:szCs w:val="22"/>
        </w:rPr>
        <w:t xml:space="preserve">50 </w:t>
      </w:r>
      <w:r>
        <w:rPr>
          <w:rFonts w:ascii="Arial" w:hAnsi="Arial" w:cs="Arial"/>
          <w:sz w:val="22"/>
          <w:szCs w:val="22"/>
        </w:rPr>
        <w:t>hours x 0.0004 x $2</w:t>
      </w:r>
      <w:r w:rsidR="00A37553">
        <w:rPr>
          <w:rFonts w:ascii="Arial" w:hAnsi="Arial" w:cs="Arial"/>
          <w:sz w:val="22"/>
          <w:szCs w:val="22"/>
        </w:rPr>
        <w:t>74</w:t>
      </w:r>
      <w:r>
        <w:rPr>
          <w:rFonts w:ascii="Arial" w:hAnsi="Arial" w:cs="Arial"/>
          <w:sz w:val="22"/>
          <w:szCs w:val="22"/>
        </w:rPr>
        <w:t>/hour).</w:t>
      </w:r>
    </w:p>
    <w:p w:rsidR="008F3B87" w:rsidRDefault="008F3B87">
      <w:pPr>
        <w:widowControl/>
        <w:autoSpaceDE/>
        <w:autoSpaceDN/>
        <w:adjustRightInd/>
        <w:spacing w:line="276" w:lineRule="auto"/>
        <w:rPr>
          <w:rFonts w:ascii="Arial" w:hAnsi="Arial" w:cs="Arial"/>
          <w:sz w:val="22"/>
          <w:szCs w:val="22"/>
        </w:rPr>
      </w:pPr>
    </w:p>
    <w:p w:rsidR="00894C24" w:rsidRPr="00661E59" w:rsidRDefault="008F3B87">
      <w:pPr>
        <w:tabs>
          <w:tab w:val="left" w:pos="-1440"/>
        </w:tabs>
        <w:rPr>
          <w:rFonts w:ascii="Arial" w:hAnsi="Arial" w:cs="Arial"/>
          <w:sz w:val="22"/>
          <w:szCs w:val="22"/>
        </w:rPr>
      </w:pPr>
      <w:r>
        <w:rPr>
          <w:rFonts w:ascii="Arial" w:hAnsi="Arial" w:cs="Arial"/>
          <w:sz w:val="22"/>
          <w:szCs w:val="22"/>
        </w:rPr>
        <w:tab/>
      </w:r>
      <w:r w:rsidR="00A13B3E">
        <w:rPr>
          <w:rFonts w:ascii="Arial" w:hAnsi="Arial" w:cs="Arial"/>
          <w:sz w:val="22"/>
          <w:szCs w:val="22"/>
        </w:rPr>
        <w:t>14.</w:t>
      </w:r>
      <w:r w:rsidR="00A13B3E">
        <w:rPr>
          <w:rFonts w:ascii="Arial" w:hAnsi="Arial" w:cs="Arial"/>
          <w:sz w:val="22"/>
          <w:szCs w:val="22"/>
        </w:rPr>
        <w:tab/>
      </w:r>
      <w:r w:rsidR="00A13B3E" w:rsidRPr="00661E59">
        <w:rPr>
          <w:rFonts w:ascii="Arial" w:hAnsi="Arial" w:cs="Arial"/>
          <w:sz w:val="22"/>
          <w:szCs w:val="22"/>
          <w:u w:val="single"/>
        </w:rPr>
        <w:t>Estimated Annualized Cost to the Federal Government</w:t>
      </w:r>
    </w:p>
    <w:p w:rsidR="00117F80" w:rsidRPr="00661E59" w:rsidRDefault="00117F80" w:rsidP="00117F80">
      <w:pPr>
        <w:rPr>
          <w:rFonts w:ascii="Arial" w:hAnsi="Arial" w:cs="Arial"/>
          <w:sz w:val="22"/>
          <w:szCs w:val="22"/>
        </w:rPr>
      </w:pPr>
    </w:p>
    <w:p w:rsidR="003478F3" w:rsidRDefault="003478F3" w:rsidP="00117F80">
      <w:pPr>
        <w:ind w:left="1440"/>
        <w:rPr>
          <w:rFonts w:ascii="Arial" w:hAnsi="Arial" w:cs="Arial"/>
          <w:sz w:val="22"/>
          <w:szCs w:val="22"/>
        </w:rPr>
      </w:pPr>
      <w:r>
        <w:rPr>
          <w:rFonts w:ascii="Arial" w:hAnsi="Arial" w:cs="Arial"/>
          <w:sz w:val="22"/>
          <w:szCs w:val="22"/>
        </w:rPr>
        <w:t>The NRC staff currently reviews reports by issue, not by the type of report (e.g. initial notification, interim reports, or 30 day written report.  The staff estimates that it may receive one issue per plant</w:t>
      </w:r>
      <w:r w:rsidR="00661E59">
        <w:rPr>
          <w:rFonts w:ascii="Arial" w:hAnsi="Arial" w:cs="Arial"/>
          <w:sz w:val="22"/>
          <w:szCs w:val="22"/>
        </w:rPr>
        <w:t xml:space="preserve"> per year during construction.  The estimated effort is 50 hours per issue.</w:t>
      </w:r>
    </w:p>
    <w:p w:rsidR="00661E59" w:rsidRPr="005328D9" w:rsidRDefault="00661E59" w:rsidP="00661E59">
      <w:pPr>
        <w:rPr>
          <w:rFonts w:ascii="Arial" w:hAnsi="Arial" w:cs="Arial"/>
          <w:sz w:val="22"/>
          <w:szCs w:val="22"/>
        </w:rPr>
      </w:pPr>
    </w:p>
    <w:tbl>
      <w:tblPr>
        <w:tblW w:w="8010" w:type="dxa"/>
        <w:tblInd w:w="1440" w:type="dxa"/>
        <w:tblLayout w:type="fixed"/>
        <w:tblCellMar>
          <w:left w:w="120" w:type="dxa"/>
          <w:right w:w="120" w:type="dxa"/>
        </w:tblCellMar>
        <w:tblLook w:val="0000" w:firstRow="0" w:lastRow="0" w:firstColumn="0" w:lastColumn="0" w:noHBand="0" w:noVBand="0"/>
      </w:tblPr>
      <w:tblGrid>
        <w:gridCol w:w="1620"/>
        <w:gridCol w:w="1620"/>
        <w:gridCol w:w="1620"/>
        <w:gridCol w:w="1620"/>
        <w:gridCol w:w="1530"/>
      </w:tblGrid>
      <w:tr w:rsidR="00661E59" w:rsidRPr="00661E59" w:rsidTr="008103E5">
        <w:tc>
          <w:tcPr>
            <w:tcW w:w="8010" w:type="dxa"/>
            <w:gridSpan w:val="5"/>
            <w:tcBorders>
              <w:top w:val="single" w:sz="6" w:space="0" w:color="000000"/>
              <w:left w:val="single" w:sz="6" w:space="0" w:color="000000"/>
              <w:bottom w:val="single" w:sz="6" w:space="0" w:color="000000"/>
              <w:right w:val="single" w:sz="6" w:space="0" w:color="000000"/>
            </w:tcBorders>
            <w:vAlign w:val="bottom"/>
          </w:tcPr>
          <w:p w:rsidR="00661E59" w:rsidRPr="00661E59" w:rsidRDefault="00661E59" w:rsidP="00661E59">
            <w:pPr>
              <w:jc w:val="center"/>
              <w:rPr>
                <w:rFonts w:ascii="Arial" w:hAnsi="Arial" w:cs="Arial"/>
              </w:rPr>
            </w:pPr>
            <w:r>
              <w:rPr>
                <w:rFonts w:ascii="Arial" w:hAnsi="Arial" w:cs="Arial"/>
                <w:sz w:val="22"/>
                <w:szCs w:val="22"/>
              </w:rPr>
              <w:t>COSTS TO THE NRC</w:t>
            </w:r>
          </w:p>
        </w:tc>
      </w:tr>
      <w:tr w:rsidR="00661E59" w:rsidRPr="00661E59" w:rsidTr="00661E59">
        <w:tc>
          <w:tcPr>
            <w:tcW w:w="1620" w:type="dxa"/>
            <w:tcBorders>
              <w:top w:val="single" w:sz="6" w:space="0" w:color="000000"/>
              <w:left w:val="single" w:sz="6" w:space="0" w:color="000000"/>
              <w:bottom w:val="single" w:sz="6" w:space="0" w:color="000000"/>
              <w:right w:val="single" w:sz="6" w:space="0" w:color="000000"/>
            </w:tcBorders>
            <w:vAlign w:val="bottom"/>
          </w:tcPr>
          <w:p w:rsidR="00661E59" w:rsidRPr="00661E59" w:rsidRDefault="00661E59" w:rsidP="006F5766">
            <w:pPr>
              <w:spacing w:line="120" w:lineRule="exact"/>
              <w:rPr>
                <w:rFonts w:ascii="Arial" w:hAnsi="Arial" w:cs="Arial"/>
              </w:rPr>
            </w:pPr>
          </w:p>
          <w:p w:rsidR="00661E59" w:rsidRPr="00661E59" w:rsidRDefault="00661E59" w:rsidP="006F5766">
            <w:pPr>
              <w:spacing w:after="58"/>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jc w:val="center"/>
              <w:rPr>
                <w:rFonts w:ascii="Arial" w:hAnsi="Arial" w:cs="Arial"/>
              </w:rPr>
            </w:pPr>
          </w:p>
          <w:p w:rsidR="00661E59" w:rsidRPr="00661E59" w:rsidRDefault="00661E59" w:rsidP="00661E59">
            <w:pPr>
              <w:jc w:val="center"/>
              <w:rPr>
                <w:rFonts w:ascii="Arial" w:hAnsi="Arial" w:cs="Arial"/>
              </w:rPr>
            </w:pPr>
            <w:r>
              <w:rPr>
                <w:rFonts w:ascii="Arial" w:hAnsi="Arial" w:cs="Arial"/>
                <w:sz w:val="22"/>
                <w:szCs w:val="22"/>
              </w:rPr>
              <w:t>Issues/</w:t>
            </w:r>
            <w:r w:rsidRPr="00661E59">
              <w:rPr>
                <w:rFonts w:ascii="Arial" w:hAnsi="Arial" w:cs="Arial"/>
                <w:sz w:val="22"/>
                <w:szCs w:val="22"/>
              </w:rPr>
              <w:t>year</w:t>
            </w:r>
          </w:p>
        </w:tc>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rPr>
                <w:rFonts w:ascii="Arial" w:hAnsi="Arial" w:cs="Arial"/>
              </w:rPr>
            </w:pPr>
          </w:p>
          <w:p w:rsidR="00661E59" w:rsidRPr="00661E59" w:rsidRDefault="00661E59" w:rsidP="006F5766">
            <w:pPr>
              <w:spacing w:after="58"/>
              <w:jc w:val="center"/>
              <w:rPr>
                <w:rFonts w:ascii="Arial" w:hAnsi="Arial" w:cs="Arial"/>
              </w:rPr>
            </w:pPr>
            <w:r w:rsidRPr="00661E59">
              <w:rPr>
                <w:rFonts w:ascii="Arial" w:hAnsi="Arial" w:cs="Arial"/>
                <w:sz w:val="22"/>
                <w:szCs w:val="22"/>
              </w:rPr>
              <w:t>Effort</w:t>
            </w:r>
          </w:p>
          <w:p w:rsidR="00661E59" w:rsidRPr="00661E59" w:rsidRDefault="00661E59" w:rsidP="006F5766">
            <w:pPr>
              <w:spacing w:after="58"/>
              <w:jc w:val="center"/>
              <w:rPr>
                <w:rFonts w:ascii="Arial" w:hAnsi="Arial" w:cs="Arial"/>
              </w:rPr>
            </w:pPr>
            <w:r w:rsidRPr="00661E59">
              <w:rPr>
                <w:rFonts w:ascii="Arial" w:hAnsi="Arial" w:cs="Arial"/>
                <w:sz w:val="22"/>
                <w:szCs w:val="22"/>
              </w:rPr>
              <w:t>(hours/issue)</w:t>
            </w:r>
          </w:p>
        </w:tc>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rPr>
                <w:rFonts w:ascii="Arial" w:hAnsi="Arial" w:cs="Arial"/>
              </w:rPr>
            </w:pPr>
          </w:p>
          <w:p w:rsidR="00661E59" w:rsidRPr="00661E59" w:rsidRDefault="00661E59" w:rsidP="006F5766">
            <w:pPr>
              <w:spacing w:after="58"/>
              <w:jc w:val="center"/>
              <w:rPr>
                <w:rFonts w:ascii="Arial" w:hAnsi="Arial" w:cs="Arial"/>
              </w:rPr>
            </w:pPr>
            <w:r w:rsidRPr="00661E59">
              <w:rPr>
                <w:rFonts w:ascii="Arial" w:hAnsi="Arial" w:cs="Arial"/>
                <w:sz w:val="22"/>
                <w:szCs w:val="22"/>
              </w:rPr>
              <w:t xml:space="preserve">Total Burden </w:t>
            </w:r>
          </w:p>
          <w:p w:rsidR="00661E59" w:rsidRPr="00661E59" w:rsidRDefault="00661E59" w:rsidP="006F5766">
            <w:pPr>
              <w:spacing w:after="58"/>
              <w:jc w:val="center"/>
              <w:rPr>
                <w:rFonts w:ascii="Arial" w:hAnsi="Arial" w:cs="Arial"/>
              </w:rPr>
            </w:pPr>
            <w:r w:rsidRPr="00661E59">
              <w:rPr>
                <w:rFonts w:ascii="Arial" w:hAnsi="Arial" w:cs="Arial"/>
                <w:sz w:val="22"/>
                <w:szCs w:val="22"/>
              </w:rPr>
              <w:t>(hours/year)</w:t>
            </w:r>
          </w:p>
        </w:tc>
        <w:tc>
          <w:tcPr>
            <w:tcW w:w="153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rPr>
                <w:rFonts w:ascii="Arial" w:hAnsi="Arial" w:cs="Arial"/>
              </w:rPr>
            </w:pPr>
          </w:p>
          <w:p w:rsidR="00661E59" w:rsidRPr="00661E59" w:rsidRDefault="00661E59" w:rsidP="006F5766">
            <w:pPr>
              <w:spacing w:after="58"/>
              <w:jc w:val="center"/>
              <w:rPr>
                <w:rFonts w:ascii="Arial" w:hAnsi="Arial" w:cs="Arial"/>
              </w:rPr>
            </w:pPr>
            <w:r w:rsidRPr="00661E59">
              <w:rPr>
                <w:rFonts w:ascii="Arial" w:hAnsi="Arial" w:cs="Arial"/>
                <w:sz w:val="22"/>
                <w:szCs w:val="22"/>
              </w:rPr>
              <w:t>Total Cost</w:t>
            </w:r>
          </w:p>
          <w:p w:rsidR="00661E59" w:rsidRPr="00661E59" w:rsidRDefault="00661E59" w:rsidP="006F5766">
            <w:pPr>
              <w:spacing w:after="58"/>
              <w:jc w:val="center"/>
              <w:rPr>
                <w:rFonts w:ascii="Arial" w:hAnsi="Arial" w:cs="Arial"/>
              </w:rPr>
            </w:pPr>
            <w:r w:rsidRPr="00661E59">
              <w:rPr>
                <w:rFonts w:ascii="Arial" w:hAnsi="Arial" w:cs="Arial"/>
                <w:sz w:val="22"/>
                <w:szCs w:val="22"/>
              </w:rPr>
              <w:t>$274/Hour</w:t>
            </w:r>
          </w:p>
        </w:tc>
      </w:tr>
      <w:tr w:rsidR="00661E59" w:rsidRPr="00661E59" w:rsidTr="00661E59">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spacing w:line="120" w:lineRule="exact"/>
              <w:rPr>
                <w:rFonts w:ascii="Arial" w:hAnsi="Arial" w:cs="Arial"/>
              </w:rPr>
            </w:pPr>
          </w:p>
          <w:p w:rsidR="00661E59" w:rsidRPr="00661E59" w:rsidRDefault="00661E59" w:rsidP="006F5766">
            <w:pPr>
              <w:spacing w:after="58"/>
              <w:rPr>
                <w:rFonts w:ascii="Arial" w:hAnsi="Arial" w:cs="Arial"/>
              </w:rPr>
            </w:pPr>
            <w:r w:rsidRPr="00661E59">
              <w:rPr>
                <w:rFonts w:ascii="Arial" w:hAnsi="Arial" w:cs="Arial"/>
                <w:sz w:val="22"/>
                <w:szCs w:val="22"/>
              </w:rPr>
              <w:t>Review of</w:t>
            </w:r>
          </w:p>
          <w:p w:rsidR="00661E59" w:rsidRPr="00661E59" w:rsidRDefault="00661E59" w:rsidP="006F5766">
            <w:pPr>
              <w:spacing w:after="58"/>
              <w:rPr>
                <w:rFonts w:ascii="Arial" w:hAnsi="Arial" w:cs="Arial"/>
              </w:rPr>
            </w:pPr>
            <w:r w:rsidRPr="00661E59">
              <w:rPr>
                <w:rFonts w:ascii="Arial" w:hAnsi="Arial" w:cs="Arial"/>
                <w:sz w:val="22"/>
                <w:szCs w:val="22"/>
              </w:rPr>
              <w:t>50.55(e) issues</w:t>
            </w:r>
          </w:p>
        </w:tc>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jc w:val="center"/>
              <w:rPr>
                <w:rFonts w:ascii="Arial" w:hAnsi="Arial" w:cs="Arial"/>
              </w:rPr>
            </w:pPr>
          </w:p>
          <w:p w:rsidR="00661E59" w:rsidRPr="00661E59" w:rsidRDefault="00661E59" w:rsidP="006F5766">
            <w:pPr>
              <w:jc w:val="center"/>
              <w:rPr>
                <w:rFonts w:ascii="Arial" w:hAnsi="Arial" w:cs="Arial"/>
              </w:rPr>
            </w:pPr>
            <w:r w:rsidRPr="00661E59">
              <w:rPr>
                <w:rFonts w:ascii="Arial" w:hAnsi="Arial" w:cs="Arial"/>
                <w:sz w:val="22"/>
                <w:szCs w:val="22"/>
              </w:rPr>
              <w:t>5</w:t>
            </w:r>
          </w:p>
        </w:tc>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jc w:val="center"/>
              <w:rPr>
                <w:rFonts w:ascii="Arial" w:hAnsi="Arial" w:cs="Arial"/>
              </w:rPr>
            </w:pPr>
          </w:p>
          <w:p w:rsidR="00661E59" w:rsidRPr="00661E59" w:rsidRDefault="00661E59" w:rsidP="006F5766">
            <w:pPr>
              <w:spacing w:after="58"/>
              <w:jc w:val="center"/>
              <w:rPr>
                <w:rFonts w:ascii="Arial" w:hAnsi="Arial" w:cs="Arial"/>
              </w:rPr>
            </w:pPr>
            <w:r w:rsidRPr="00661E59">
              <w:rPr>
                <w:rFonts w:ascii="Arial" w:hAnsi="Arial" w:cs="Arial"/>
                <w:sz w:val="22"/>
                <w:szCs w:val="22"/>
              </w:rPr>
              <w:t>50</w:t>
            </w:r>
          </w:p>
        </w:tc>
        <w:tc>
          <w:tcPr>
            <w:tcW w:w="162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jc w:val="center"/>
              <w:rPr>
                <w:rFonts w:ascii="Arial" w:hAnsi="Arial" w:cs="Arial"/>
              </w:rPr>
            </w:pPr>
          </w:p>
          <w:p w:rsidR="00661E59" w:rsidRPr="00661E59" w:rsidRDefault="00661E59" w:rsidP="006F5766">
            <w:pPr>
              <w:spacing w:after="58"/>
              <w:jc w:val="center"/>
              <w:rPr>
                <w:rFonts w:ascii="Arial" w:hAnsi="Arial" w:cs="Arial"/>
              </w:rPr>
            </w:pPr>
            <w:r w:rsidRPr="00661E59">
              <w:rPr>
                <w:rFonts w:ascii="Arial" w:hAnsi="Arial" w:cs="Arial"/>
                <w:sz w:val="22"/>
                <w:szCs w:val="22"/>
              </w:rPr>
              <w:t>250</w:t>
            </w:r>
          </w:p>
        </w:tc>
        <w:tc>
          <w:tcPr>
            <w:tcW w:w="1530" w:type="dxa"/>
            <w:tcBorders>
              <w:top w:val="single" w:sz="6" w:space="0" w:color="000000"/>
              <w:left w:val="single" w:sz="6" w:space="0" w:color="000000"/>
              <w:bottom w:val="single" w:sz="6" w:space="0" w:color="000000"/>
              <w:right w:val="single" w:sz="6" w:space="0" w:color="000000"/>
            </w:tcBorders>
          </w:tcPr>
          <w:p w:rsidR="00661E59" w:rsidRPr="00661E59" w:rsidRDefault="00661E59" w:rsidP="006F5766">
            <w:pPr>
              <w:rPr>
                <w:rFonts w:ascii="Arial" w:hAnsi="Arial" w:cs="Arial"/>
              </w:rPr>
            </w:pPr>
          </w:p>
          <w:p w:rsidR="00661E59" w:rsidRPr="00661E59" w:rsidRDefault="00661E59" w:rsidP="006F5766">
            <w:pPr>
              <w:jc w:val="center"/>
              <w:rPr>
                <w:rFonts w:ascii="Arial" w:hAnsi="Arial" w:cs="Arial"/>
              </w:rPr>
            </w:pPr>
            <w:r w:rsidRPr="00661E59">
              <w:rPr>
                <w:rFonts w:ascii="Arial" w:hAnsi="Arial" w:cs="Arial"/>
                <w:sz w:val="22"/>
                <w:szCs w:val="22"/>
              </w:rPr>
              <w:t>$68,500</w:t>
            </w:r>
          </w:p>
          <w:p w:rsidR="00661E59" w:rsidRPr="00661E59" w:rsidRDefault="00661E59" w:rsidP="006F5766">
            <w:pPr>
              <w:spacing w:after="58"/>
              <w:jc w:val="center"/>
              <w:rPr>
                <w:rFonts w:ascii="Arial" w:hAnsi="Arial" w:cs="Arial"/>
              </w:rPr>
            </w:pPr>
          </w:p>
        </w:tc>
      </w:tr>
    </w:tbl>
    <w:p w:rsidR="003478F3" w:rsidRDefault="003478F3" w:rsidP="00117F80">
      <w:pPr>
        <w:ind w:left="1440"/>
        <w:rPr>
          <w:rFonts w:ascii="Arial" w:hAnsi="Arial" w:cs="Arial"/>
          <w:sz w:val="22"/>
          <w:szCs w:val="22"/>
        </w:rPr>
      </w:pPr>
    </w:p>
    <w:p w:rsidR="008F3B87" w:rsidRDefault="003478F3" w:rsidP="00117F80">
      <w:pPr>
        <w:ind w:left="1440"/>
        <w:rPr>
          <w:rFonts w:ascii="Arial" w:hAnsi="Arial" w:cs="Arial"/>
          <w:sz w:val="22"/>
          <w:szCs w:val="22"/>
        </w:rPr>
      </w:pPr>
      <w:r>
        <w:rPr>
          <w:rFonts w:ascii="Arial" w:hAnsi="Arial" w:cs="Arial"/>
          <w:sz w:val="22"/>
          <w:szCs w:val="22"/>
        </w:rPr>
        <w:t>The estimated cost per burden hour is based upon NRC’s annual fee recovery rate as published in N</w:t>
      </w:r>
      <w:r w:rsidR="00180134">
        <w:rPr>
          <w:rFonts w:ascii="Arial" w:hAnsi="Arial" w:cs="Arial"/>
          <w:sz w:val="22"/>
          <w:szCs w:val="22"/>
        </w:rPr>
        <w:t>RC’s annual fee recovery rule.</w:t>
      </w:r>
    </w:p>
    <w:p w:rsidR="008F3B87" w:rsidRDefault="008F3B87" w:rsidP="00117F80">
      <w:pPr>
        <w:ind w:left="1440"/>
        <w:rPr>
          <w:rFonts w:ascii="Arial" w:hAnsi="Arial" w:cs="Arial"/>
          <w:sz w:val="22"/>
          <w:szCs w:val="22"/>
        </w:rPr>
      </w:pPr>
    </w:p>
    <w:p w:rsidR="003478F3" w:rsidRDefault="003478F3" w:rsidP="00117F80">
      <w:pPr>
        <w:ind w:left="1440"/>
        <w:rPr>
          <w:rFonts w:ascii="Arial" w:hAnsi="Arial" w:cs="Arial"/>
          <w:sz w:val="22"/>
          <w:szCs w:val="22"/>
        </w:rPr>
      </w:pPr>
      <w:r>
        <w:rPr>
          <w:rFonts w:ascii="Arial" w:hAnsi="Arial" w:cs="Arial"/>
          <w:sz w:val="22"/>
          <w:szCs w:val="22"/>
        </w:rPr>
        <w:t>Where applicable, this cost is fully recovered by fee assessments to NRC licensees pursuant to 10 CFR 170.  Licensees that are non-profit education institutions or Government agencies are exempt from fee recovery under 10 CFR 170.11.</w:t>
      </w:r>
    </w:p>
    <w:p w:rsidR="00117F80" w:rsidRPr="005328D9" w:rsidRDefault="00117F80" w:rsidP="00117F80">
      <w:pPr>
        <w:ind w:left="1440"/>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 xml:space="preserve">The total burden </w:t>
      </w:r>
      <w:r w:rsidR="00C96952">
        <w:rPr>
          <w:rFonts w:ascii="Arial" w:hAnsi="Arial" w:cs="Arial"/>
          <w:sz w:val="22"/>
          <w:szCs w:val="22"/>
        </w:rPr>
        <w:t>increased</w:t>
      </w:r>
      <w:r>
        <w:rPr>
          <w:rFonts w:ascii="Arial" w:hAnsi="Arial" w:cs="Arial"/>
          <w:sz w:val="22"/>
          <w:szCs w:val="22"/>
        </w:rPr>
        <w:t xml:space="preserve"> from </w:t>
      </w:r>
      <w:r w:rsidR="00C96952">
        <w:rPr>
          <w:rFonts w:ascii="Arial" w:hAnsi="Arial" w:cs="Arial"/>
          <w:sz w:val="22"/>
          <w:szCs w:val="22"/>
        </w:rPr>
        <w:t>32</w:t>
      </w:r>
      <w:r>
        <w:rPr>
          <w:rFonts w:ascii="Arial" w:hAnsi="Arial" w:cs="Arial"/>
          <w:sz w:val="22"/>
          <w:szCs w:val="22"/>
        </w:rPr>
        <w:t xml:space="preserve"> hours to </w:t>
      </w:r>
      <w:r w:rsidR="008F3B87">
        <w:rPr>
          <w:rFonts w:ascii="Arial" w:hAnsi="Arial" w:cs="Arial"/>
          <w:sz w:val="22"/>
          <w:szCs w:val="22"/>
        </w:rPr>
        <w:t>450</w:t>
      </w:r>
      <w:r>
        <w:rPr>
          <w:rFonts w:ascii="Arial" w:hAnsi="Arial" w:cs="Arial"/>
          <w:sz w:val="22"/>
          <w:szCs w:val="22"/>
        </w:rPr>
        <w:t xml:space="preserve"> hours</w:t>
      </w:r>
      <w:r w:rsidR="00180134">
        <w:rPr>
          <w:rFonts w:ascii="Arial" w:hAnsi="Arial" w:cs="Arial"/>
          <w:sz w:val="22"/>
          <w:szCs w:val="22"/>
        </w:rPr>
        <w:t>, an increase of 418 hours</w:t>
      </w:r>
      <w:r>
        <w:rPr>
          <w:rFonts w:ascii="Arial" w:hAnsi="Arial" w:cs="Arial"/>
          <w:sz w:val="22"/>
          <w:szCs w:val="22"/>
        </w:rPr>
        <w:t xml:space="preserve">.  The </w:t>
      </w:r>
      <w:r w:rsidR="00C96952">
        <w:rPr>
          <w:rFonts w:ascii="Arial" w:hAnsi="Arial" w:cs="Arial"/>
          <w:sz w:val="22"/>
          <w:szCs w:val="22"/>
        </w:rPr>
        <w:t>increase</w:t>
      </w:r>
      <w:r>
        <w:rPr>
          <w:rFonts w:ascii="Arial" w:hAnsi="Arial" w:cs="Arial"/>
          <w:sz w:val="22"/>
          <w:szCs w:val="22"/>
        </w:rPr>
        <w:t xml:space="preserve"> is primarily due to </w:t>
      </w:r>
      <w:r w:rsidR="00C96952">
        <w:rPr>
          <w:rFonts w:ascii="Arial" w:hAnsi="Arial" w:cs="Arial"/>
          <w:sz w:val="22"/>
          <w:szCs w:val="22"/>
        </w:rPr>
        <w:t>the current number of plants that are in the construction phase</w:t>
      </w:r>
      <w:r>
        <w:rPr>
          <w:rFonts w:ascii="Arial" w:hAnsi="Arial" w:cs="Arial"/>
          <w:sz w:val="22"/>
          <w:szCs w:val="22"/>
        </w:rPr>
        <w:t xml:space="preserve">.  In the previous clearance, NRC estimated submission of </w:t>
      </w:r>
      <w:r w:rsidR="00544992">
        <w:rPr>
          <w:rFonts w:ascii="Arial" w:hAnsi="Arial" w:cs="Arial"/>
          <w:sz w:val="22"/>
          <w:szCs w:val="22"/>
        </w:rPr>
        <w:t>zero</w:t>
      </w:r>
      <w:r>
        <w:rPr>
          <w:rFonts w:ascii="Arial" w:hAnsi="Arial" w:cs="Arial"/>
          <w:sz w:val="22"/>
          <w:szCs w:val="22"/>
        </w:rPr>
        <w:t xml:space="preserve"> reports under 50.55(e) </w:t>
      </w:r>
      <w:r w:rsidR="00544992">
        <w:rPr>
          <w:rFonts w:ascii="Arial" w:hAnsi="Arial" w:cs="Arial"/>
          <w:sz w:val="22"/>
          <w:szCs w:val="22"/>
        </w:rPr>
        <w:t>because no plants were in the construction phase</w:t>
      </w:r>
      <w:r w:rsidR="008F3B87">
        <w:rPr>
          <w:rFonts w:ascii="Arial" w:hAnsi="Arial" w:cs="Arial"/>
          <w:sz w:val="22"/>
          <w:szCs w:val="22"/>
        </w:rPr>
        <w:t>, therefore, 0 reporting hours</w:t>
      </w:r>
      <w:r>
        <w:rPr>
          <w:rFonts w:ascii="Arial" w:hAnsi="Arial" w:cs="Arial"/>
          <w:sz w:val="22"/>
          <w:szCs w:val="22"/>
        </w:rPr>
        <w:t xml:space="preserve">.  Due to changes in plant statuses, it is expected that </w:t>
      </w:r>
      <w:r w:rsidR="003478F3">
        <w:rPr>
          <w:rFonts w:ascii="Arial" w:hAnsi="Arial" w:cs="Arial"/>
          <w:sz w:val="22"/>
          <w:szCs w:val="22"/>
        </w:rPr>
        <w:t xml:space="preserve">one </w:t>
      </w:r>
      <w:r>
        <w:rPr>
          <w:rFonts w:ascii="Arial" w:hAnsi="Arial" w:cs="Arial"/>
          <w:sz w:val="22"/>
          <w:szCs w:val="22"/>
        </w:rPr>
        <w:t xml:space="preserve">report </w:t>
      </w:r>
      <w:r w:rsidR="003478F3">
        <w:rPr>
          <w:rFonts w:ascii="Arial" w:hAnsi="Arial" w:cs="Arial"/>
          <w:sz w:val="22"/>
          <w:szCs w:val="22"/>
        </w:rPr>
        <w:t xml:space="preserve">per plant under construction </w:t>
      </w:r>
      <w:r>
        <w:rPr>
          <w:rFonts w:ascii="Arial" w:hAnsi="Arial" w:cs="Arial"/>
          <w:sz w:val="22"/>
          <w:szCs w:val="22"/>
        </w:rPr>
        <w:t xml:space="preserve">will be received during this clearance </w:t>
      </w:r>
      <w:r w:rsidR="008F3B87">
        <w:rPr>
          <w:rFonts w:ascii="Arial" w:hAnsi="Arial" w:cs="Arial"/>
          <w:sz w:val="22"/>
          <w:szCs w:val="22"/>
        </w:rPr>
        <w:t>cycle increasing the reporting burden to 450 hours</w:t>
      </w:r>
      <w:r>
        <w:rPr>
          <w:rFonts w:ascii="Arial" w:hAnsi="Arial" w:cs="Arial"/>
          <w:sz w:val="22"/>
          <w:szCs w:val="22"/>
        </w:rPr>
        <w:t>.</w:t>
      </w:r>
    </w:p>
    <w:p w:rsidR="00117F80" w:rsidRPr="005328D9" w:rsidRDefault="00117F80" w:rsidP="00117F80">
      <w:pPr>
        <w:ind w:left="1440"/>
        <w:rPr>
          <w:rFonts w:ascii="Arial" w:hAnsi="Arial" w:cs="Arial"/>
          <w:sz w:val="22"/>
          <w:szCs w:val="22"/>
        </w:rPr>
      </w:pPr>
    </w:p>
    <w:p w:rsidR="00117F80" w:rsidRPr="005328D9" w:rsidRDefault="00117F80" w:rsidP="00117F80">
      <w:pPr>
        <w:ind w:left="1440"/>
        <w:rPr>
          <w:rFonts w:ascii="Arial" w:hAnsi="Arial" w:cs="Arial"/>
          <w:sz w:val="22"/>
          <w:szCs w:val="22"/>
        </w:rPr>
      </w:pPr>
      <w:r w:rsidRPr="005328D9">
        <w:rPr>
          <w:rFonts w:ascii="Arial" w:hAnsi="Arial" w:cs="Arial"/>
          <w:sz w:val="22"/>
          <w:szCs w:val="22"/>
        </w:rPr>
        <w:t xml:space="preserve">Due to 10 CFR 50.55(e)(9)(ii) requirement that a CP holder retain records of evaluations of deviations and failures to comply for </w:t>
      </w:r>
      <w:r w:rsidR="00544992">
        <w:rPr>
          <w:rFonts w:ascii="Arial" w:hAnsi="Arial" w:cs="Arial"/>
          <w:sz w:val="22"/>
          <w:szCs w:val="22"/>
        </w:rPr>
        <w:t>10</w:t>
      </w:r>
      <w:r w:rsidRPr="005328D9">
        <w:rPr>
          <w:rFonts w:ascii="Arial" w:hAnsi="Arial" w:cs="Arial"/>
          <w:sz w:val="22"/>
          <w:szCs w:val="22"/>
        </w:rPr>
        <w:t xml:space="preserve"> years from the date of the evaluation, there is a continued recordkeeping requirement.  T</w:t>
      </w:r>
      <w:r w:rsidR="00A13B3E">
        <w:rPr>
          <w:rFonts w:ascii="Arial" w:hAnsi="Arial" w:cs="Arial"/>
          <w:sz w:val="22"/>
          <w:szCs w:val="22"/>
        </w:rPr>
        <w:t>his requirement annually applied to 12 licensees during the previous clearance period (</w:t>
      </w:r>
      <w:r w:rsidR="00544992">
        <w:rPr>
          <w:rFonts w:ascii="Arial" w:hAnsi="Arial" w:cs="Arial"/>
          <w:sz w:val="22"/>
          <w:szCs w:val="22"/>
        </w:rPr>
        <w:t>18</w:t>
      </w:r>
      <w:r w:rsidR="00A13B3E">
        <w:rPr>
          <w:rFonts w:ascii="Arial" w:hAnsi="Arial" w:cs="Arial"/>
          <w:sz w:val="22"/>
          <w:szCs w:val="22"/>
        </w:rPr>
        <w:t xml:space="preserve"> in year 1, </w:t>
      </w:r>
      <w:r w:rsidR="00544992">
        <w:rPr>
          <w:rFonts w:ascii="Arial" w:hAnsi="Arial" w:cs="Arial"/>
          <w:sz w:val="22"/>
          <w:szCs w:val="22"/>
        </w:rPr>
        <w:t>18</w:t>
      </w:r>
      <w:r w:rsidR="00A13B3E">
        <w:rPr>
          <w:rFonts w:ascii="Arial" w:hAnsi="Arial" w:cs="Arial"/>
          <w:sz w:val="22"/>
          <w:szCs w:val="22"/>
        </w:rPr>
        <w:t xml:space="preserve"> in year 2, and 1</w:t>
      </w:r>
      <w:r w:rsidR="00544992">
        <w:rPr>
          <w:rFonts w:ascii="Arial" w:hAnsi="Arial" w:cs="Arial"/>
          <w:sz w:val="22"/>
          <w:szCs w:val="22"/>
        </w:rPr>
        <w:t>2</w:t>
      </w:r>
      <w:r w:rsidR="00A13B3E">
        <w:rPr>
          <w:rFonts w:ascii="Arial" w:hAnsi="Arial" w:cs="Arial"/>
          <w:sz w:val="22"/>
          <w:szCs w:val="22"/>
        </w:rPr>
        <w:t xml:space="preserve"> in year 3).  During the current clearance period, the NRC estimates that </w:t>
      </w:r>
      <w:r w:rsidR="00544992">
        <w:rPr>
          <w:rFonts w:ascii="Arial" w:hAnsi="Arial" w:cs="Arial"/>
          <w:sz w:val="22"/>
          <w:szCs w:val="22"/>
        </w:rPr>
        <w:t>15</w:t>
      </w:r>
      <w:r w:rsidR="00A13B3E">
        <w:rPr>
          <w:rFonts w:ascii="Arial" w:hAnsi="Arial" w:cs="Arial"/>
          <w:sz w:val="22"/>
          <w:szCs w:val="22"/>
        </w:rPr>
        <w:t xml:space="preserve"> additional </w:t>
      </w:r>
      <w:proofErr w:type="spellStart"/>
      <w:r w:rsidR="00A13B3E">
        <w:rPr>
          <w:rFonts w:ascii="Arial" w:hAnsi="Arial" w:cs="Arial"/>
          <w:sz w:val="22"/>
          <w:szCs w:val="22"/>
        </w:rPr>
        <w:t>recordkeepers</w:t>
      </w:r>
      <w:proofErr w:type="spellEnd"/>
      <w:r w:rsidR="00A13B3E">
        <w:rPr>
          <w:rFonts w:ascii="Arial" w:hAnsi="Arial" w:cs="Arial"/>
          <w:sz w:val="22"/>
          <w:szCs w:val="22"/>
        </w:rPr>
        <w:t xml:space="preserve"> will be added; however, in the 3</w:t>
      </w:r>
      <w:r w:rsidR="00A13B3E">
        <w:rPr>
          <w:rFonts w:ascii="Arial" w:hAnsi="Arial" w:cs="Arial"/>
          <w:sz w:val="22"/>
          <w:szCs w:val="22"/>
          <w:vertAlign w:val="superscript"/>
        </w:rPr>
        <w:t>rd</w:t>
      </w:r>
      <w:r w:rsidR="00A13B3E">
        <w:rPr>
          <w:rFonts w:ascii="Arial" w:hAnsi="Arial" w:cs="Arial"/>
          <w:sz w:val="22"/>
          <w:szCs w:val="22"/>
        </w:rPr>
        <w:t xml:space="preserve"> year of the clearance, the </w:t>
      </w:r>
      <w:r w:rsidR="00544992">
        <w:rPr>
          <w:rFonts w:ascii="Arial" w:hAnsi="Arial" w:cs="Arial"/>
          <w:sz w:val="22"/>
          <w:szCs w:val="22"/>
        </w:rPr>
        <w:t>10</w:t>
      </w:r>
      <w:r w:rsidR="00A13B3E">
        <w:rPr>
          <w:rFonts w:ascii="Arial" w:hAnsi="Arial" w:cs="Arial"/>
          <w:sz w:val="22"/>
          <w:szCs w:val="22"/>
        </w:rPr>
        <w:t xml:space="preserve"> year record retention period will be over for </w:t>
      </w:r>
      <w:r w:rsidR="00544992">
        <w:rPr>
          <w:rFonts w:ascii="Arial" w:hAnsi="Arial" w:cs="Arial"/>
          <w:sz w:val="22"/>
          <w:szCs w:val="22"/>
        </w:rPr>
        <w:t>2</w:t>
      </w:r>
      <w:r w:rsidR="00A13B3E">
        <w:rPr>
          <w:rFonts w:ascii="Arial" w:hAnsi="Arial" w:cs="Arial"/>
          <w:sz w:val="22"/>
          <w:szCs w:val="22"/>
        </w:rPr>
        <w:t xml:space="preserve"> licensees, who will no longer be required to retain the record.  Therefore, this requirement annually applies to </w:t>
      </w:r>
      <w:r w:rsidR="00F87BB5">
        <w:rPr>
          <w:rFonts w:ascii="Arial" w:hAnsi="Arial" w:cs="Arial"/>
          <w:sz w:val="22"/>
          <w:szCs w:val="22"/>
        </w:rPr>
        <w:t>an average of 25</w:t>
      </w:r>
      <w:r w:rsidR="003478F3">
        <w:rPr>
          <w:rFonts w:ascii="Arial" w:hAnsi="Arial" w:cs="Arial"/>
          <w:sz w:val="22"/>
          <w:szCs w:val="22"/>
        </w:rPr>
        <w:t xml:space="preserve"> </w:t>
      </w:r>
      <w:r w:rsidR="00A13B3E">
        <w:rPr>
          <w:rFonts w:ascii="Arial" w:hAnsi="Arial" w:cs="Arial"/>
          <w:sz w:val="22"/>
          <w:szCs w:val="22"/>
        </w:rPr>
        <w:t>licensees (</w:t>
      </w:r>
      <w:r w:rsidR="003478F3">
        <w:rPr>
          <w:rFonts w:ascii="Arial" w:hAnsi="Arial" w:cs="Arial"/>
          <w:sz w:val="22"/>
          <w:szCs w:val="22"/>
        </w:rPr>
        <w:t xml:space="preserve">21 </w:t>
      </w:r>
      <w:r w:rsidR="00A13B3E">
        <w:rPr>
          <w:rFonts w:ascii="Arial" w:hAnsi="Arial" w:cs="Arial"/>
          <w:sz w:val="22"/>
          <w:szCs w:val="22"/>
        </w:rPr>
        <w:t xml:space="preserve">in year one, </w:t>
      </w:r>
      <w:r w:rsidR="003478F3">
        <w:rPr>
          <w:rFonts w:ascii="Arial" w:hAnsi="Arial" w:cs="Arial"/>
          <w:sz w:val="22"/>
          <w:szCs w:val="22"/>
        </w:rPr>
        <w:t>2</w:t>
      </w:r>
      <w:r w:rsidR="00F87BB5">
        <w:rPr>
          <w:rFonts w:ascii="Arial" w:hAnsi="Arial" w:cs="Arial"/>
          <w:sz w:val="22"/>
          <w:szCs w:val="22"/>
        </w:rPr>
        <w:t>6</w:t>
      </w:r>
      <w:r w:rsidR="00A13B3E">
        <w:rPr>
          <w:rFonts w:ascii="Arial" w:hAnsi="Arial" w:cs="Arial"/>
          <w:sz w:val="22"/>
          <w:szCs w:val="22"/>
        </w:rPr>
        <w:t xml:space="preserve"> in year 2, and </w:t>
      </w:r>
      <w:r w:rsidR="00F87BB5">
        <w:rPr>
          <w:rFonts w:ascii="Arial" w:hAnsi="Arial" w:cs="Arial"/>
          <w:sz w:val="22"/>
          <w:szCs w:val="22"/>
        </w:rPr>
        <w:lastRenderedPageBreak/>
        <w:t>28</w:t>
      </w:r>
      <w:r w:rsidR="003478F3">
        <w:rPr>
          <w:rFonts w:ascii="Arial" w:hAnsi="Arial" w:cs="Arial"/>
          <w:sz w:val="22"/>
          <w:szCs w:val="22"/>
        </w:rPr>
        <w:t xml:space="preserve"> </w:t>
      </w:r>
      <w:r w:rsidR="00A13B3E">
        <w:rPr>
          <w:rFonts w:ascii="Arial" w:hAnsi="Arial" w:cs="Arial"/>
          <w:sz w:val="22"/>
          <w:szCs w:val="22"/>
        </w:rPr>
        <w:t xml:space="preserve">in year 3).  This change increased recordkeeping burden from </w:t>
      </w:r>
      <w:r w:rsidR="00544992">
        <w:rPr>
          <w:rFonts w:ascii="Arial" w:hAnsi="Arial" w:cs="Arial"/>
          <w:sz w:val="22"/>
          <w:szCs w:val="22"/>
        </w:rPr>
        <w:t>32</w:t>
      </w:r>
      <w:r w:rsidR="00A13B3E">
        <w:rPr>
          <w:rFonts w:ascii="Arial" w:hAnsi="Arial" w:cs="Arial"/>
          <w:sz w:val="22"/>
          <w:szCs w:val="22"/>
        </w:rPr>
        <w:t xml:space="preserve"> hours to </w:t>
      </w:r>
      <w:r w:rsidR="00544992">
        <w:rPr>
          <w:rFonts w:ascii="Arial" w:hAnsi="Arial" w:cs="Arial"/>
          <w:sz w:val="22"/>
          <w:szCs w:val="22"/>
        </w:rPr>
        <w:t>50</w:t>
      </w:r>
      <w:r w:rsidR="00A13B3E">
        <w:rPr>
          <w:rFonts w:ascii="Arial" w:hAnsi="Arial" w:cs="Arial"/>
          <w:sz w:val="22"/>
          <w:szCs w:val="22"/>
        </w:rPr>
        <w:t xml:space="preserve"> hours annually.</w:t>
      </w:r>
    </w:p>
    <w:p w:rsidR="00117F80" w:rsidRPr="005328D9" w:rsidRDefault="00117F80" w:rsidP="00117F80">
      <w:pPr>
        <w:ind w:left="1440"/>
        <w:rPr>
          <w:rFonts w:ascii="Arial" w:hAnsi="Arial" w:cs="Arial"/>
          <w:sz w:val="22"/>
          <w:szCs w:val="22"/>
        </w:rPr>
      </w:pPr>
    </w:p>
    <w:p w:rsidR="00BE4BFC" w:rsidRDefault="00A13B3E">
      <w:pPr>
        <w:ind w:left="1440"/>
        <w:rPr>
          <w:rFonts w:ascii="Arial" w:hAnsi="Arial" w:cs="Arial"/>
          <w:sz w:val="22"/>
          <w:szCs w:val="22"/>
        </w:rPr>
      </w:pPr>
      <w:r>
        <w:rPr>
          <w:rFonts w:ascii="Arial" w:hAnsi="Arial" w:cs="Arial"/>
          <w:sz w:val="22"/>
          <w:szCs w:val="22"/>
        </w:rPr>
        <w:t>The cost estimates reflect an increase in base burden rates from $2</w:t>
      </w:r>
      <w:r w:rsidR="005328D9">
        <w:rPr>
          <w:rFonts w:ascii="Arial" w:hAnsi="Arial" w:cs="Arial"/>
          <w:sz w:val="22"/>
          <w:szCs w:val="22"/>
        </w:rPr>
        <w:t>5</w:t>
      </w:r>
      <w:r w:rsidR="005328D9" w:rsidRPr="005328D9">
        <w:rPr>
          <w:rFonts w:ascii="Arial" w:hAnsi="Arial" w:cs="Arial"/>
          <w:sz w:val="22"/>
          <w:szCs w:val="22"/>
        </w:rPr>
        <w:t xml:space="preserve">7 </w:t>
      </w:r>
      <w:r w:rsidR="00117F80" w:rsidRPr="005328D9">
        <w:rPr>
          <w:rFonts w:ascii="Arial" w:hAnsi="Arial" w:cs="Arial"/>
          <w:sz w:val="22"/>
          <w:szCs w:val="22"/>
        </w:rPr>
        <w:t>to $</w:t>
      </w:r>
      <w:r>
        <w:rPr>
          <w:rFonts w:ascii="Arial" w:hAnsi="Arial" w:cs="Arial"/>
          <w:sz w:val="22"/>
          <w:szCs w:val="22"/>
        </w:rPr>
        <w:t>2</w:t>
      </w:r>
      <w:r w:rsidR="005328D9">
        <w:rPr>
          <w:rFonts w:ascii="Arial" w:hAnsi="Arial" w:cs="Arial"/>
          <w:sz w:val="22"/>
          <w:szCs w:val="22"/>
        </w:rPr>
        <w:t>74</w:t>
      </w:r>
      <w:r w:rsidR="00180134">
        <w:rPr>
          <w:rFonts w:ascii="Arial" w:hAnsi="Arial" w:cs="Arial"/>
          <w:sz w:val="22"/>
          <w:szCs w:val="22"/>
        </w:rPr>
        <w:t>/hour.</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The collected information is not published for statistical purposes.</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r>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117F80" w:rsidRPr="005328D9" w:rsidRDefault="00117F80" w:rsidP="00117F80">
      <w:pPr>
        <w:rPr>
          <w:rFonts w:ascii="Arial" w:hAnsi="Arial" w:cs="Arial"/>
          <w:sz w:val="22"/>
          <w:szCs w:val="22"/>
        </w:rPr>
      </w:pPr>
    </w:p>
    <w:p w:rsidR="00117F80" w:rsidRPr="005328D9" w:rsidRDefault="00A13B3E" w:rsidP="00117F80">
      <w:pPr>
        <w:tabs>
          <w:tab w:val="left" w:pos="-1440"/>
        </w:tabs>
        <w:ind w:left="1440" w:hanging="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117F80" w:rsidRPr="005328D9" w:rsidRDefault="00117F80" w:rsidP="00117F80">
      <w:pPr>
        <w:rPr>
          <w:rFonts w:ascii="Arial" w:hAnsi="Arial" w:cs="Arial"/>
          <w:sz w:val="22"/>
          <w:szCs w:val="22"/>
        </w:rPr>
      </w:pPr>
    </w:p>
    <w:p w:rsidR="00117F80" w:rsidRPr="005328D9" w:rsidRDefault="00A13B3E" w:rsidP="00117F80">
      <w:pPr>
        <w:ind w:left="1440"/>
        <w:rPr>
          <w:rFonts w:ascii="Arial" w:hAnsi="Arial" w:cs="Arial"/>
          <w:sz w:val="22"/>
          <w:szCs w:val="22"/>
        </w:rPr>
      </w:pPr>
      <w:proofErr w:type="gramStart"/>
      <w:r>
        <w:rPr>
          <w:rFonts w:ascii="Arial" w:hAnsi="Arial" w:cs="Arial"/>
          <w:sz w:val="22"/>
          <w:szCs w:val="22"/>
        </w:rPr>
        <w:t>None.</w:t>
      </w:r>
      <w:proofErr w:type="gramEnd"/>
    </w:p>
    <w:p w:rsidR="00117F80" w:rsidRPr="005328D9" w:rsidRDefault="00117F80" w:rsidP="00117F80">
      <w:pPr>
        <w:rPr>
          <w:rFonts w:ascii="Arial" w:hAnsi="Arial" w:cs="Arial"/>
          <w:sz w:val="22"/>
          <w:szCs w:val="22"/>
        </w:rPr>
      </w:pPr>
    </w:p>
    <w:p w:rsidR="00117F80" w:rsidRPr="005328D9" w:rsidRDefault="00A13B3E" w:rsidP="00117F80">
      <w:pPr>
        <w:numPr>
          <w:ilvl w:val="0"/>
          <w:numId w:val="3"/>
        </w:numPr>
        <w:tabs>
          <w:tab w:val="left" w:pos="-1440"/>
          <w:tab w:val="num" w:pos="720"/>
        </w:tabs>
        <w:ind w:left="720" w:hanging="720"/>
        <w:outlineLvl w:val="0"/>
        <w:rPr>
          <w:rFonts w:ascii="Arial" w:hAnsi="Arial" w:cs="Arial"/>
          <w:sz w:val="22"/>
          <w:szCs w:val="22"/>
        </w:rPr>
      </w:pPr>
      <w:r>
        <w:rPr>
          <w:rFonts w:ascii="Arial" w:hAnsi="Arial" w:cs="Arial"/>
          <w:sz w:val="22"/>
          <w:szCs w:val="22"/>
          <w:u w:val="single"/>
        </w:rPr>
        <w:t>COLLECTIONS OF INFORMATION EMPLOYING STATISTICAL METHODS</w:t>
      </w:r>
    </w:p>
    <w:p w:rsidR="00117F80" w:rsidRPr="005328D9" w:rsidRDefault="00117F80" w:rsidP="00117F80">
      <w:pPr>
        <w:rPr>
          <w:rFonts w:ascii="Arial" w:hAnsi="Arial" w:cs="Arial"/>
          <w:sz w:val="22"/>
          <w:szCs w:val="22"/>
        </w:rPr>
      </w:pPr>
    </w:p>
    <w:p w:rsidR="00886A5E" w:rsidRDefault="00A13B3E">
      <w:pPr>
        <w:ind w:left="720"/>
        <w:rPr>
          <w:rFonts w:ascii="Arial" w:hAnsi="Arial" w:cs="Arial"/>
        </w:rPr>
      </w:pPr>
      <w:r>
        <w:rPr>
          <w:rFonts w:ascii="Arial" w:hAnsi="Arial" w:cs="Arial"/>
          <w:sz w:val="22"/>
          <w:szCs w:val="22"/>
        </w:rPr>
        <w:t>Not applicable</w:t>
      </w:r>
    </w:p>
    <w:sectPr w:rsidR="00886A5E" w:rsidSect="004A3F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FA" w:rsidRDefault="00F43BFA" w:rsidP="00786041">
      <w:r>
        <w:separator/>
      </w:r>
    </w:p>
  </w:endnote>
  <w:endnote w:type="continuationSeparator" w:id="0">
    <w:p w:rsidR="00F43BFA" w:rsidRDefault="00F43BFA" w:rsidP="0078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EC" w:rsidRDefault="002E4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EC" w:rsidRDefault="002E40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EC" w:rsidRDefault="002E4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FA" w:rsidRDefault="00F43BFA" w:rsidP="00786041">
      <w:r>
        <w:separator/>
      </w:r>
    </w:p>
  </w:footnote>
  <w:footnote w:type="continuationSeparator" w:id="0">
    <w:p w:rsidR="00F43BFA" w:rsidRDefault="00F43BFA" w:rsidP="00786041">
      <w:r>
        <w:continuationSeparator/>
      </w:r>
    </w:p>
  </w:footnote>
  <w:footnote w:id="1">
    <w:p w:rsidR="00672577" w:rsidRPr="00672577" w:rsidRDefault="00672577">
      <w:pPr>
        <w:pStyle w:val="FootnoteText"/>
        <w:rPr>
          <w:rFonts w:ascii="Arial" w:hAnsi="Arial" w:cs="Arial"/>
          <w:sz w:val="16"/>
          <w:szCs w:val="16"/>
        </w:rPr>
      </w:pPr>
      <w:r w:rsidRPr="00672577">
        <w:rPr>
          <w:rStyle w:val="FootnoteReference"/>
          <w:rFonts w:ascii="Arial" w:hAnsi="Arial" w:cs="Arial"/>
          <w:sz w:val="16"/>
          <w:szCs w:val="16"/>
        </w:rPr>
        <w:footnoteRef/>
      </w:r>
      <w:r>
        <w:rPr>
          <w:rFonts w:ascii="Arial" w:hAnsi="Arial" w:cs="Arial"/>
          <w:sz w:val="16"/>
          <w:szCs w:val="16"/>
        </w:rPr>
        <w:t xml:space="preserve"> The </w:t>
      </w:r>
      <w:r w:rsidR="006855AB">
        <w:rPr>
          <w:rFonts w:ascii="Arial" w:hAnsi="Arial" w:cs="Arial"/>
          <w:sz w:val="16"/>
          <w:szCs w:val="16"/>
        </w:rPr>
        <w:t>unduplicated count</w:t>
      </w:r>
      <w:r>
        <w:rPr>
          <w:rFonts w:ascii="Arial" w:hAnsi="Arial" w:cs="Arial"/>
          <w:sz w:val="16"/>
          <w:szCs w:val="16"/>
        </w:rPr>
        <w:t xml:space="preserve"> of respondents for this collection is 25.  </w:t>
      </w:r>
      <w:r w:rsidR="006855AB">
        <w:rPr>
          <w:rFonts w:ascii="Arial" w:hAnsi="Arial" w:cs="Arial"/>
          <w:sz w:val="16"/>
          <w:szCs w:val="16"/>
        </w:rPr>
        <w:t>Twenty licensees have recordkeeping responsibilities under this collection, and five licensees have both reporting and recordkeeping responsibilities.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EC" w:rsidRDefault="002E40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EC" w:rsidRDefault="002E40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EC" w:rsidRDefault="002E4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nsid w:val="3C0678E1"/>
    <w:multiLevelType w:val="hybridMultilevel"/>
    <w:tmpl w:val="043A9424"/>
    <w:lvl w:ilvl="0" w:tplc="BD8E8908">
      <w:start w:val="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80"/>
    <w:rsid w:val="00000639"/>
    <w:rsid w:val="00002240"/>
    <w:rsid w:val="00003286"/>
    <w:rsid w:val="00004164"/>
    <w:rsid w:val="00004B59"/>
    <w:rsid w:val="00006AD3"/>
    <w:rsid w:val="00006BD8"/>
    <w:rsid w:val="00010B28"/>
    <w:rsid w:val="0001302B"/>
    <w:rsid w:val="000133DF"/>
    <w:rsid w:val="00014166"/>
    <w:rsid w:val="000145F7"/>
    <w:rsid w:val="00014CC3"/>
    <w:rsid w:val="00025308"/>
    <w:rsid w:val="000255CC"/>
    <w:rsid w:val="00025A48"/>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705AC"/>
    <w:rsid w:val="000747A4"/>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B2280"/>
    <w:rsid w:val="000B327C"/>
    <w:rsid w:val="000B56DA"/>
    <w:rsid w:val="000B584A"/>
    <w:rsid w:val="000B6421"/>
    <w:rsid w:val="000B6E0C"/>
    <w:rsid w:val="000C0BEA"/>
    <w:rsid w:val="000C1E5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2180"/>
    <w:rsid w:val="001127AD"/>
    <w:rsid w:val="001128CD"/>
    <w:rsid w:val="0011361B"/>
    <w:rsid w:val="00113716"/>
    <w:rsid w:val="00114130"/>
    <w:rsid w:val="00115539"/>
    <w:rsid w:val="00117F80"/>
    <w:rsid w:val="001205BA"/>
    <w:rsid w:val="001205BC"/>
    <w:rsid w:val="00120CEE"/>
    <w:rsid w:val="0012190A"/>
    <w:rsid w:val="00121AB0"/>
    <w:rsid w:val="00124740"/>
    <w:rsid w:val="001248B8"/>
    <w:rsid w:val="001279AC"/>
    <w:rsid w:val="0013032C"/>
    <w:rsid w:val="00132E21"/>
    <w:rsid w:val="00134239"/>
    <w:rsid w:val="00135BD5"/>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5B3C"/>
    <w:rsid w:val="001662E4"/>
    <w:rsid w:val="00166854"/>
    <w:rsid w:val="00170099"/>
    <w:rsid w:val="00170548"/>
    <w:rsid w:val="00170F08"/>
    <w:rsid w:val="001716A1"/>
    <w:rsid w:val="00171743"/>
    <w:rsid w:val="00171E37"/>
    <w:rsid w:val="0017358F"/>
    <w:rsid w:val="001737A8"/>
    <w:rsid w:val="00174F12"/>
    <w:rsid w:val="00176195"/>
    <w:rsid w:val="001761F8"/>
    <w:rsid w:val="00180134"/>
    <w:rsid w:val="00182BCC"/>
    <w:rsid w:val="00182E85"/>
    <w:rsid w:val="00185EFA"/>
    <w:rsid w:val="001866FA"/>
    <w:rsid w:val="001873E9"/>
    <w:rsid w:val="001904D3"/>
    <w:rsid w:val="0019171D"/>
    <w:rsid w:val="00192C69"/>
    <w:rsid w:val="001934BF"/>
    <w:rsid w:val="0019356A"/>
    <w:rsid w:val="00196D0A"/>
    <w:rsid w:val="001A150F"/>
    <w:rsid w:val="001A2DB5"/>
    <w:rsid w:val="001A3E9F"/>
    <w:rsid w:val="001A7E4E"/>
    <w:rsid w:val="001A7EC8"/>
    <w:rsid w:val="001B1D7E"/>
    <w:rsid w:val="001B2458"/>
    <w:rsid w:val="001B2C3F"/>
    <w:rsid w:val="001B3E04"/>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78AF"/>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7248"/>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A32"/>
    <w:rsid w:val="00297EA8"/>
    <w:rsid w:val="002A0C3D"/>
    <w:rsid w:val="002A2FE6"/>
    <w:rsid w:val="002A32B3"/>
    <w:rsid w:val="002A362E"/>
    <w:rsid w:val="002A3884"/>
    <w:rsid w:val="002A450D"/>
    <w:rsid w:val="002A4E2B"/>
    <w:rsid w:val="002A4F55"/>
    <w:rsid w:val="002A5734"/>
    <w:rsid w:val="002A5A4D"/>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40EC"/>
    <w:rsid w:val="002E5ED2"/>
    <w:rsid w:val="002E7923"/>
    <w:rsid w:val="002E7CC8"/>
    <w:rsid w:val="002E7F12"/>
    <w:rsid w:val="002F0E76"/>
    <w:rsid w:val="002F33B5"/>
    <w:rsid w:val="002F3D9C"/>
    <w:rsid w:val="002F5628"/>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3096"/>
    <w:rsid w:val="00345C66"/>
    <w:rsid w:val="00347239"/>
    <w:rsid w:val="003478F3"/>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6611"/>
    <w:rsid w:val="00390AC2"/>
    <w:rsid w:val="00392BBB"/>
    <w:rsid w:val="00395EF2"/>
    <w:rsid w:val="003970C1"/>
    <w:rsid w:val="003A0803"/>
    <w:rsid w:val="003A308F"/>
    <w:rsid w:val="003A3F02"/>
    <w:rsid w:val="003A4508"/>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1C26"/>
    <w:rsid w:val="003C49D2"/>
    <w:rsid w:val="003C669C"/>
    <w:rsid w:val="003C6779"/>
    <w:rsid w:val="003C78A6"/>
    <w:rsid w:val="003D3F05"/>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9C2"/>
    <w:rsid w:val="00406AFD"/>
    <w:rsid w:val="0040760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7371"/>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181"/>
    <w:rsid w:val="004D347F"/>
    <w:rsid w:val="004D3CAC"/>
    <w:rsid w:val="004D439A"/>
    <w:rsid w:val="004D5A1D"/>
    <w:rsid w:val="004D639E"/>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23DC"/>
    <w:rsid w:val="004F4B43"/>
    <w:rsid w:val="004F5717"/>
    <w:rsid w:val="004F5785"/>
    <w:rsid w:val="004F6936"/>
    <w:rsid w:val="004F6B33"/>
    <w:rsid w:val="004F706D"/>
    <w:rsid w:val="004F755F"/>
    <w:rsid w:val="00501DBB"/>
    <w:rsid w:val="00502B5F"/>
    <w:rsid w:val="00505DAD"/>
    <w:rsid w:val="00506687"/>
    <w:rsid w:val="00507DC7"/>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28D9"/>
    <w:rsid w:val="0053524D"/>
    <w:rsid w:val="005412F2"/>
    <w:rsid w:val="005418F9"/>
    <w:rsid w:val="00541A80"/>
    <w:rsid w:val="00543E37"/>
    <w:rsid w:val="00544992"/>
    <w:rsid w:val="00547089"/>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02C"/>
    <w:rsid w:val="005B1532"/>
    <w:rsid w:val="005B200A"/>
    <w:rsid w:val="005B32DF"/>
    <w:rsid w:val="005B4627"/>
    <w:rsid w:val="005B69C7"/>
    <w:rsid w:val="005C087D"/>
    <w:rsid w:val="005C2069"/>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725"/>
    <w:rsid w:val="0060292C"/>
    <w:rsid w:val="00602D59"/>
    <w:rsid w:val="00604388"/>
    <w:rsid w:val="0060456E"/>
    <w:rsid w:val="006055B1"/>
    <w:rsid w:val="00605DEB"/>
    <w:rsid w:val="00606839"/>
    <w:rsid w:val="00607179"/>
    <w:rsid w:val="006074CF"/>
    <w:rsid w:val="00607BEE"/>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6434"/>
    <w:rsid w:val="00650AFA"/>
    <w:rsid w:val="006517E3"/>
    <w:rsid w:val="00654451"/>
    <w:rsid w:val="006551B0"/>
    <w:rsid w:val="00655377"/>
    <w:rsid w:val="0065626D"/>
    <w:rsid w:val="006570C7"/>
    <w:rsid w:val="00657397"/>
    <w:rsid w:val="006577A1"/>
    <w:rsid w:val="0066013F"/>
    <w:rsid w:val="006606A1"/>
    <w:rsid w:val="006609D4"/>
    <w:rsid w:val="00661E59"/>
    <w:rsid w:val="00665586"/>
    <w:rsid w:val="006656E6"/>
    <w:rsid w:val="006659C0"/>
    <w:rsid w:val="00665DAF"/>
    <w:rsid w:val="00666E8C"/>
    <w:rsid w:val="00670A87"/>
    <w:rsid w:val="00671158"/>
    <w:rsid w:val="00671C1A"/>
    <w:rsid w:val="00672577"/>
    <w:rsid w:val="00673C92"/>
    <w:rsid w:val="0067400B"/>
    <w:rsid w:val="00674654"/>
    <w:rsid w:val="006746D1"/>
    <w:rsid w:val="00675D90"/>
    <w:rsid w:val="0067718A"/>
    <w:rsid w:val="006827A9"/>
    <w:rsid w:val="00683BC1"/>
    <w:rsid w:val="00683DD5"/>
    <w:rsid w:val="00683FF3"/>
    <w:rsid w:val="006855AB"/>
    <w:rsid w:val="00686259"/>
    <w:rsid w:val="00686A7D"/>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D2D"/>
    <w:rsid w:val="006A4040"/>
    <w:rsid w:val="006A4B5F"/>
    <w:rsid w:val="006A6805"/>
    <w:rsid w:val="006A6A65"/>
    <w:rsid w:val="006A73C1"/>
    <w:rsid w:val="006A7806"/>
    <w:rsid w:val="006B179D"/>
    <w:rsid w:val="006B62AB"/>
    <w:rsid w:val="006B66FA"/>
    <w:rsid w:val="006B70E4"/>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696F"/>
    <w:rsid w:val="006D6DE4"/>
    <w:rsid w:val="006D6EDF"/>
    <w:rsid w:val="006D71ED"/>
    <w:rsid w:val="006E0B03"/>
    <w:rsid w:val="006E1043"/>
    <w:rsid w:val="006E26A8"/>
    <w:rsid w:val="006F16DC"/>
    <w:rsid w:val="006F35E8"/>
    <w:rsid w:val="006F4131"/>
    <w:rsid w:val="006F456A"/>
    <w:rsid w:val="006F47DE"/>
    <w:rsid w:val="006F6585"/>
    <w:rsid w:val="006F68EA"/>
    <w:rsid w:val="006F6B26"/>
    <w:rsid w:val="006F6FFD"/>
    <w:rsid w:val="006F7185"/>
    <w:rsid w:val="006F7A0B"/>
    <w:rsid w:val="007003A7"/>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038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BFD"/>
    <w:rsid w:val="00751AE6"/>
    <w:rsid w:val="00752176"/>
    <w:rsid w:val="007557A3"/>
    <w:rsid w:val="007610C7"/>
    <w:rsid w:val="0076141B"/>
    <w:rsid w:val="0076146F"/>
    <w:rsid w:val="00761908"/>
    <w:rsid w:val="00763199"/>
    <w:rsid w:val="00763BD2"/>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6041"/>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CB6"/>
    <w:rsid w:val="00805E48"/>
    <w:rsid w:val="008078AA"/>
    <w:rsid w:val="00810F18"/>
    <w:rsid w:val="00814498"/>
    <w:rsid w:val="00815000"/>
    <w:rsid w:val="0081587C"/>
    <w:rsid w:val="00816071"/>
    <w:rsid w:val="00817D81"/>
    <w:rsid w:val="008210E0"/>
    <w:rsid w:val="008220FD"/>
    <w:rsid w:val="00822233"/>
    <w:rsid w:val="008247D7"/>
    <w:rsid w:val="008249E3"/>
    <w:rsid w:val="008305C3"/>
    <w:rsid w:val="008317FE"/>
    <w:rsid w:val="00832690"/>
    <w:rsid w:val="00832C89"/>
    <w:rsid w:val="00836BB1"/>
    <w:rsid w:val="00836BDB"/>
    <w:rsid w:val="0083758A"/>
    <w:rsid w:val="00843157"/>
    <w:rsid w:val="0084333C"/>
    <w:rsid w:val="008444C4"/>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5456"/>
    <w:rsid w:val="00875A46"/>
    <w:rsid w:val="008775B4"/>
    <w:rsid w:val="008864EE"/>
    <w:rsid w:val="0088680E"/>
    <w:rsid w:val="00886A5E"/>
    <w:rsid w:val="00886CC8"/>
    <w:rsid w:val="0088784E"/>
    <w:rsid w:val="00893B74"/>
    <w:rsid w:val="00894C2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1BBD"/>
    <w:rsid w:val="008E1CD1"/>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3B87"/>
    <w:rsid w:val="008F4145"/>
    <w:rsid w:val="008F4E33"/>
    <w:rsid w:val="008F5537"/>
    <w:rsid w:val="008F58BB"/>
    <w:rsid w:val="008F616C"/>
    <w:rsid w:val="009003CF"/>
    <w:rsid w:val="00901E9D"/>
    <w:rsid w:val="0090240B"/>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1D44"/>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4EE3"/>
    <w:rsid w:val="0098514C"/>
    <w:rsid w:val="009855AD"/>
    <w:rsid w:val="00985AE6"/>
    <w:rsid w:val="00985D14"/>
    <w:rsid w:val="009866A2"/>
    <w:rsid w:val="009869D2"/>
    <w:rsid w:val="009874FC"/>
    <w:rsid w:val="009922D1"/>
    <w:rsid w:val="00992F88"/>
    <w:rsid w:val="00994E26"/>
    <w:rsid w:val="009970F2"/>
    <w:rsid w:val="009971FD"/>
    <w:rsid w:val="009A02A3"/>
    <w:rsid w:val="009A0DE2"/>
    <w:rsid w:val="009A1940"/>
    <w:rsid w:val="009A26F3"/>
    <w:rsid w:val="009A43A3"/>
    <w:rsid w:val="009A5423"/>
    <w:rsid w:val="009A5879"/>
    <w:rsid w:val="009A5C62"/>
    <w:rsid w:val="009A6703"/>
    <w:rsid w:val="009A6C83"/>
    <w:rsid w:val="009B169D"/>
    <w:rsid w:val="009B1CFC"/>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DB1"/>
    <w:rsid w:val="009D5EE6"/>
    <w:rsid w:val="009D6696"/>
    <w:rsid w:val="009D6EC8"/>
    <w:rsid w:val="009D7119"/>
    <w:rsid w:val="009E1463"/>
    <w:rsid w:val="009E2050"/>
    <w:rsid w:val="009E241B"/>
    <w:rsid w:val="009E2F0A"/>
    <w:rsid w:val="009E3136"/>
    <w:rsid w:val="009E4997"/>
    <w:rsid w:val="009E4EDD"/>
    <w:rsid w:val="009E5401"/>
    <w:rsid w:val="009E59E4"/>
    <w:rsid w:val="009E6360"/>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115E8"/>
    <w:rsid w:val="00A13B3E"/>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37553"/>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96A"/>
    <w:rsid w:val="00AA3A95"/>
    <w:rsid w:val="00AA4C78"/>
    <w:rsid w:val="00AA4ED1"/>
    <w:rsid w:val="00AA76C7"/>
    <w:rsid w:val="00AB0C28"/>
    <w:rsid w:val="00AB43E3"/>
    <w:rsid w:val="00AB6583"/>
    <w:rsid w:val="00AB719F"/>
    <w:rsid w:val="00AB74C7"/>
    <w:rsid w:val="00AB7615"/>
    <w:rsid w:val="00AC306B"/>
    <w:rsid w:val="00AC47FD"/>
    <w:rsid w:val="00AC62C6"/>
    <w:rsid w:val="00AD0B10"/>
    <w:rsid w:val="00AD2378"/>
    <w:rsid w:val="00AD2C8A"/>
    <w:rsid w:val="00AD3415"/>
    <w:rsid w:val="00AD46BA"/>
    <w:rsid w:val="00AD591A"/>
    <w:rsid w:val="00AD5A29"/>
    <w:rsid w:val="00AD6A21"/>
    <w:rsid w:val="00AE07FD"/>
    <w:rsid w:val="00AE4816"/>
    <w:rsid w:val="00AE5FB3"/>
    <w:rsid w:val="00AE7733"/>
    <w:rsid w:val="00AE7F5D"/>
    <w:rsid w:val="00AF0AE7"/>
    <w:rsid w:val="00AF0C20"/>
    <w:rsid w:val="00AF17FA"/>
    <w:rsid w:val="00AF37D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9F8"/>
    <w:rsid w:val="00B24CF7"/>
    <w:rsid w:val="00B24EF5"/>
    <w:rsid w:val="00B273DB"/>
    <w:rsid w:val="00B2752C"/>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5A2"/>
    <w:rsid w:val="00B529F5"/>
    <w:rsid w:val="00B531BA"/>
    <w:rsid w:val="00B54964"/>
    <w:rsid w:val="00B5571A"/>
    <w:rsid w:val="00B5656C"/>
    <w:rsid w:val="00B60982"/>
    <w:rsid w:val="00B624AD"/>
    <w:rsid w:val="00B63090"/>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A5F"/>
    <w:rsid w:val="00BE29AA"/>
    <w:rsid w:val="00BE4BFC"/>
    <w:rsid w:val="00BE5739"/>
    <w:rsid w:val="00BE63DA"/>
    <w:rsid w:val="00BE769A"/>
    <w:rsid w:val="00BE7E0C"/>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1436"/>
    <w:rsid w:val="00C32C5B"/>
    <w:rsid w:val="00C32CB1"/>
    <w:rsid w:val="00C33444"/>
    <w:rsid w:val="00C3382A"/>
    <w:rsid w:val="00C379E9"/>
    <w:rsid w:val="00C4007B"/>
    <w:rsid w:val="00C42F15"/>
    <w:rsid w:val="00C433B6"/>
    <w:rsid w:val="00C43E58"/>
    <w:rsid w:val="00C45554"/>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8109E"/>
    <w:rsid w:val="00C81C1C"/>
    <w:rsid w:val="00C82D6F"/>
    <w:rsid w:val="00C845D3"/>
    <w:rsid w:val="00C857B3"/>
    <w:rsid w:val="00C865A3"/>
    <w:rsid w:val="00C90527"/>
    <w:rsid w:val="00C90E86"/>
    <w:rsid w:val="00C91CD5"/>
    <w:rsid w:val="00C9322F"/>
    <w:rsid w:val="00C9426B"/>
    <w:rsid w:val="00C949ED"/>
    <w:rsid w:val="00C95523"/>
    <w:rsid w:val="00C95BC7"/>
    <w:rsid w:val="00C96952"/>
    <w:rsid w:val="00C96B2D"/>
    <w:rsid w:val="00C97E7A"/>
    <w:rsid w:val="00CA02BB"/>
    <w:rsid w:val="00CA09E3"/>
    <w:rsid w:val="00CA1009"/>
    <w:rsid w:val="00CA3B6E"/>
    <w:rsid w:val="00CA3FC0"/>
    <w:rsid w:val="00CA4735"/>
    <w:rsid w:val="00CA4CE5"/>
    <w:rsid w:val="00CA4F2B"/>
    <w:rsid w:val="00CA5E1E"/>
    <w:rsid w:val="00CA613C"/>
    <w:rsid w:val="00CA614B"/>
    <w:rsid w:val="00CA6310"/>
    <w:rsid w:val="00CA6925"/>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6380"/>
    <w:rsid w:val="00CD77A3"/>
    <w:rsid w:val="00CE0063"/>
    <w:rsid w:val="00CE02A2"/>
    <w:rsid w:val="00CE0C2A"/>
    <w:rsid w:val="00CE142A"/>
    <w:rsid w:val="00CE3797"/>
    <w:rsid w:val="00CE50F6"/>
    <w:rsid w:val="00CE5453"/>
    <w:rsid w:val="00CE5A57"/>
    <w:rsid w:val="00CE786B"/>
    <w:rsid w:val="00CE7DFE"/>
    <w:rsid w:val="00CF0442"/>
    <w:rsid w:val="00CF2681"/>
    <w:rsid w:val="00CF359E"/>
    <w:rsid w:val="00CF382E"/>
    <w:rsid w:val="00CF388C"/>
    <w:rsid w:val="00CF6D29"/>
    <w:rsid w:val="00D00DC5"/>
    <w:rsid w:val="00D029E2"/>
    <w:rsid w:val="00D02F2A"/>
    <w:rsid w:val="00D03498"/>
    <w:rsid w:val="00D049FD"/>
    <w:rsid w:val="00D0594A"/>
    <w:rsid w:val="00D05CD8"/>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18CA"/>
    <w:rsid w:val="00D33200"/>
    <w:rsid w:val="00D3425E"/>
    <w:rsid w:val="00D36041"/>
    <w:rsid w:val="00D40203"/>
    <w:rsid w:val="00D41380"/>
    <w:rsid w:val="00D427BD"/>
    <w:rsid w:val="00D42C6B"/>
    <w:rsid w:val="00D43C0D"/>
    <w:rsid w:val="00D441DA"/>
    <w:rsid w:val="00D44DA6"/>
    <w:rsid w:val="00D45190"/>
    <w:rsid w:val="00D45D26"/>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B62F4"/>
    <w:rsid w:val="00DB6E20"/>
    <w:rsid w:val="00DC2C21"/>
    <w:rsid w:val="00DC5789"/>
    <w:rsid w:val="00DC6765"/>
    <w:rsid w:val="00DC67CE"/>
    <w:rsid w:val="00DC6D8A"/>
    <w:rsid w:val="00DD11D0"/>
    <w:rsid w:val="00DD1A37"/>
    <w:rsid w:val="00DD47EE"/>
    <w:rsid w:val="00DD4DF8"/>
    <w:rsid w:val="00DD50D4"/>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28F6"/>
    <w:rsid w:val="00E12C3D"/>
    <w:rsid w:val="00E130E0"/>
    <w:rsid w:val="00E139DC"/>
    <w:rsid w:val="00E144A1"/>
    <w:rsid w:val="00E150AE"/>
    <w:rsid w:val="00E15A7B"/>
    <w:rsid w:val="00E15BC1"/>
    <w:rsid w:val="00E16EC5"/>
    <w:rsid w:val="00E2018B"/>
    <w:rsid w:val="00E209FB"/>
    <w:rsid w:val="00E22586"/>
    <w:rsid w:val="00E23C66"/>
    <w:rsid w:val="00E24A90"/>
    <w:rsid w:val="00E2510D"/>
    <w:rsid w:val="00E25372"/>
    <w:rsid w:val="00E3091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1B05"/>
    <w:rsid w:val="00E6613C"/>
    <w:rsid w:val="00E66661"/>
    <w:rsid w:val="00E66A58"/>
    <w:rsid w:val="00E677ED"/>
    <w:rsid w:val="00E7046B"/>
    <w:rsid w:val="00E72470"/>
    <w:rsid w:val="00E72C92"/>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7B9"/>
    <w:rsid w:val="00EB5DEF"/>
    <w:rsid w:val="00EC0517"/>
    <w:rsid w:val="00EC0E95"/>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3BFA"/>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DBB"/>
    <w:rsid w:val="00F64F54"/>
    <w:rsid w:val="00F66017"/>
    <w:rsid w:val="00F66934"/>
    <w:rsid w:val="00F7006E"/>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87BB5"/>
    <w:rsid w:val="00F91252"/>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33D3"/>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80"/>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786B"/>
    <w:rPr>
      <w:sz w:val="16"/>
      <w:szCs w:val="16"/>
    </w:rPr>
  </w:style>
  <w:style w:type="paragraph" w:styleId="CommentText">
    <w:name w:val="annotation text"/>
    <w:basedOn w:val="Normal"/>
    <w:link w:val="CommentTextChar"/>
    <w:uiPriority w:val="99"/>
    <w:semiHidden/>
    <w:unhideWhenUsed/>
    <w:rsid w:val="00CE786B"/>
    <w:rPr>
      <w:sz w:val="20"/>
      <w:szCs w:val="20"/>
    </w:rPr>
  </w:style>
  <w:style w:type="character" w:customStyle="1" w:styleId="CommentTextChar">
    <w:name w:val="Comment Text Char"/>
    <w:basedOn w:val="DefaultParagraphFont"/>
    <w:link w:val="CommentText"/>
    <w:uiPriority w:val="99"/>
    <w:semiHidden/>
    <w:rsid w:val="00CE786B"/>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CE786B"/>
    <w:rPr>
      <w:b/>
      <w:bCs/>
    </w:rPr>
  </w:style>
  <w:style w:type="character" w:customStyle="1" w:styleId="CommentSubjectChar">
    <w:name w:val="Comment Subject Char"/>
    <w:basedOn w:val="CommentTextChar"/>
    <w:link w:val="CommentSubject"/>
    <w:uiPriority w:val="99"/>
    <w:semiHidden/>
    <w:rsid w:val="00CE786B"/>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CE786B"/>
    <w:rPr>
      <w:rFonts w:ascii="Tahoma" w:hAnsi="Tahoma" w:cs="Tahoma"/>
      <w:sz w:val="16"/>
      <w:szCs w:val="16"/>
    </w:rPr>
  </w:style>
  <w:style w:type="character" w:customStyle="1" w:styleId="BalloonTextChar">
    <w:name w:val="Balloon Text Char"/>
    <w:basedOn w:val="DefaultParagraphFont"/>
    <w:link w:val="BalloonText"/>
    <w:uiPriority w:val="99"/>
    <w:semiHidden/>
    <w:rsid w:val="00CE786B"/>
    <w:rPr>
      <w:rFonts w:ascii="Tahoma" w:eastAsia="Times New Roman" w:hAnsi="Tahoma" w:cs="Tahoma"/>
      <w:sz w:val="16"/>
      <w:szCs w:val="16"/>
    </w:rPr>
  </w:style>
  <w:style w:type="paragraph" w:styleId="ListParagraph">
    <w:name w:val="List Paragraph"/>
    <w:basedOn w:val="Normal"/>
    <w:uiPriority w:val="34"/>
    <w:qFormat/>
    <w:rsid w:val="00CE786B"/>
    <w:pPr>
      <w:ind w:left="720"/>
      <w:contextualSpacing/>
    </w:pPr>
  </w:style>
  <w:style w:type="table" w:styleId="TableGrid">
    <w:name w:val="Table Grid"/>
    <w:basedOn w:val="TableNormal"/>
    <w:uiPriority w:val="59"/>
    <w:rsid w:val="00FB33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6041"/>
    <w:pPr>
      <w:tabs>
        <w:tab w:val="center" w:pos="4680"/>
        <w:tab w:val="right" w:pos="9360"/>
      </w:tabs>
    </w:pPr>
  </w:style>
  <w:style w:type="character" w:customStyle="1" w:styleId="HeaderChar">
    <w:name w:val="Header Char"/>
    <w:basedOn w:val="DefaultParagraphFont"/>
    <w:link w:val="Header"/>
    <w:uiPriority w:val="99"/>
    <w:semiHidden/>
    <w:rsid w:val="00786041"/>
    <w:rPr>
      <w:rFonts w:ascii="Mona Lisa Recut" w:eastAsia="Times New Roman" w:hAnsi="Mona Lisa Recut" w:cs="Times New Roman"/>
      <w:sz w:val="24"/>
      <w:szCs w:val="24"/>
    </w:rPr>
  </w:style>
  <w:style w:type="paragraph" w:styleId="Footer">
    <w:name w:val="footer"/>
    <w:basedOn w:val="Normal"/>
    <w:link w:val="FooterChar"/>
    <w:uiPriority w:val="99"/>
    <w:semiHidden/>
    <w:unhideWhenUsed/>
    <w:rsid w:val="00786041"/>
    <w:pPr>
      <w:tabs>
        <w:tab w:val="center" w:pos="4680"/>
        <w:tab w:val="right" w:pos="9360"/>
      </w:tabs>
    </w:pPr>
  </w:style>
  <w:style w:type="character" w:customStyle="1" w:styleId="FooterChar">
    <w:name w:val="Footer Char"/>
    <w:basedOn w:val="DefaultParagraphFont"/>
    <w:link w:val="Footer"/>
    <w:uiPriority w:val="99"/>
    <w:semiHidden/>
    <w:rsid w:val="00786041"/>
    <w:rPr>
      <w:rFonts w:ascii="Mona Lisa Recut" w:eastAsia="Times New Roman" w:hAnsi="Mona Lisa Recut" w:cs="Times New Roman"/>
      <w:sz w:val="24"/>
      <w:szCs w:val="24"/>
    </w:rPr>
  </w:style>
  <w:style w:type="paragraph" w:styleId="FootnoteText">
    <w:name w:val="footnote text"/>
    <w:basedOn w:val="Normal"/>
    <w:link w:val="FootnoteTextChar"/>
    <w:uiPriority w:val="99"/>
    <w:semiHidden/>
    <w:unhideWhenUsed/>
    <w:rsid w:val="00672577"/>
    <w:rPr>
      <w:sz w:val="20"/>
      <w:szCs w:val="20"/>
    </w:rPr>
  </w:style>
  <w:style w:type="character" w:customStyle="1" w:styleId="FootnoteTextChar">
    <w:name w:val="Footnote Text Char"/>
    <w:basedOn w:val="DefaultParagraphFont"/>
    <w:link w:val="FootnoteText"/>
    <w:uiPriority w:val="99"/>
    <w:semiHidden/>
    <w:rsid w:val="00672577"/>
    <w:rPr>
      <w:rFonts w:ascii="Mona Lisa Recut" w:eastAsia="Times New Roman" w:hAnsi="Mona Lisa Recut" w:cs="Times New Roman"/>
      <w:sz w:val="20"/>
      <w:szCs w:val="20"/>
    </w:rPr>
  </w:style>
  <w:style w:type="character" w:styleId="FootnoteReference">
    <w:name w:val="footnote reference"/>
    <w:basedOn w:val="DefaultParagraphFont"/>
    <w:uiPriority w:val="99"/>
    <w:semiHidden/>
    <w:unhideWhenUsed/>
    <w:rsid w:val="006725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80"/>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786B"/>
    <w:rPr>
      <w:sz w:val="16"/>
      <w:szCs w:val="16"/>
    </w:rPr>
  </w:style>
  <w:style w:type="paragraph" w:styleId="CommentText">
    <w:name w:val="annotation text"/>
    <w:basedOn w:val="Normal"/>
    <w:link w:val="CommentTextChar"/>
    <w:uiPriority w:val="99"/>
    <w:semiHidden/>
    <w:unhideWhenUsed/>
    <w:rsid w:val="00CE786B"/>
    <w:rPr>
      <w:sz w:val="20"/>
      <w:szCs w:val="20"/>
    </w:rPr>
  </w:style>
  <w:style w:type="character" w:customStyle="1" w:styleId="CommentTextChar">
    <w:name w:val="Comment Text Char"/>
    <w:basedOn w:val="DefaultParagraphFont"/>
    <w:link w:val="CommentText"/>
    <w:uiPriority w:val="99"/>
    <w:semiHidden/>
    <w:rsid w:val="00CE786B"/>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CE786B"/>
    <w:rPr>
      <w:b/>
      <w:bCs/>
    </w:rPr>
  </w:style>
  <w:style w:type="character" w:customStyle="1" w:styleId="CommentSubjectChar">
    <w:name w:val="Comment Subject Char"/>
    <w:basedOn w:val="CommentTextChar"/>
    <w:link w:val="CommentSubject"/>
    <w:uiPriority w:val="99"/>
    <w:semiHidden/>
    <w:rsid w:val="00CE786B"/>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CE786B"/>
    <w:rPr>
      <w:rFonts w:ascii="Tahoma" w:hAnsi="Tahoma" w:cs="Tahoma"/>
      <w:sz w:val="16"/>
      <w:szCs w:val="16"/>
    </w:rPr>
  </w:style>
  <w:style w:type="character" w:customStyle="1" w:styleId="BalloonTextChar">
    <w:name w:val="Balloon Text Char"/>
    <w:basedOn w:val="DefaultParagraphFont"/>
    <w:link w:val="BalloonText"/>
    <w:uiPriority w:val="99"/>
    <w:semiHidden/>
    <w:rsid w:val="00CE786B"/>
    <w:rPr>
      <w:rFonts w:ascii="Tahoma" w:eastAsia="Times New Roman" w:hAnsi="Tahoma" w:cs="Tahoma"/>
      <w:sz w:val="16"/>
      <w:szCs w:val="16"/>
    </w:rPr>
  </w:style>
  <w:style w:type="paragraph" w:styleId="ListParagraph">
    <w:name w:val="List Paragraph"/>
    <w:basedOn w:val="Normal"/>
    <w:uiPriority w:val="34"/>
    <w:qFormat/>
    <w:rsid w:val="00CE786B"/>
    <w:pPr>
      <w:ind w:left="720"/>
      <w:contextualSpacing/>
    </w:pPr>
  </w:style>
  <w:style w:type="table" w:styleId="TableGrid">
    <w:name w:val="Table Grid"/>
    <w:basedOn w:val="TableNormal"/>
    <w:uiPriority w:val="59"/>
    <w:rsid w:val="00FB33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6041"/>
    <w:pPr>
      <w:tabs>
        <w:tab w:val="center" w:pos="4680"/>
        <w:tab w:val="right" w:pos="9360"/>
      </w:tabs>
    </w:pPr>
  </w:style>
  <w:style w:type="character" w:customStyle="1" w:styleId="HeaderChar">
    <w:name w:val="Header Char"/>
    <w:basedOn w:val="DefaultParagraphFont"/>
    <w:link w:val="Header"/>
    <w:uiPriority w:val="99"/>
    <w:semiHidden/>
    <w:rsid w:val="00786041"/>
    <w:rPr>
      <w:rFonts w:ascii="Mona Lisa Recut" w:eastAsia="Times New Roman" w:hAnsi="Mona Lisa Recut" w:cs="Times New Roman"/>
      <w:sz w:val="24"/>
      <w:szCs w:val="24"/>
    </w:rPr>
  </w:style>
  <w:style w:type="paragraph" w:styleId="Footer">
    <w:name w:val="footer"/>
    <w:basedOn w:val="Normal"/>
    <w:link w:val="FooterChar"/>
    <w:uiPriority w:val="99"/>
    <w:semiHidden/>
    <w:unhideWhenUsed/>
    <w:rsid w:val="00786041"/>
    <w:pPr>
      <w:tabs>
        <w:tab w:val="center" w:pos="4680"/>
        <w:tab w:val="right" w:pos="9360"/>
      </w:tabs>
    </w:pPr>
  </w:style>
  <w:style w:type="character" w:customStyle="1" w:styleId="FooterChar">
    <w:name w:val="Footer Char"/>
    <w:basedOn w:val="DefaultParagraphFont"/>
    <w:link w:val="Footer"/>
    <w:uiPriority w:val="99"/>
    <w:semiHidden/>
    <w:rsid w:val="00786041"/>
    <w:rPr>
      <w:rFonts w:ascii="Mona Lisa Recut" w:eastAsia="Times New Roman" w:hAnsi="Mona Lisa Recut" w:cs="Times New Roman"/>
      <w:sz w:val="24"/>
      <w:szCs w:val="24"/>
    </w:rPr>
  </w:style>
  <w:style w:type="paragraph" w:styleId="FootnoteText">
    <w:name w:val="footnote text"/>
    <w:basedOn w:val="Normal"/>
    <w:link w:val="FootnoteTextChar"/>
    <w:uiPriority w:val="99"/>
    <w:semiHidden/>
    <w:unhideWhenUsed/>
    <w:rsid w:val="00672577"/>
    <w:rPr>
      <w:sz w:val="20"/>
      <w:szCs w:val="20"/>
    </w:rPr>
  </w:style>
  <w:style w:type="character" w:customStyle="1" w:styleId="FootnoteTextChar">
    <w:name w:val="Footnote Text Char"/>
    <w:basedOn w:val="DefaultParagraphFont"/>
    <w:link w:val="FootnoteText"/>
    <w:uiPriority w:val="99"/>
    <w:semiHidden/>
    <w:rsid w:val="00672577"/>
    <w:rPr>
      <w:rFonts w:ascii="Mona Lisa Recut" w:eastAsia="Times New Roman" w:hAnsi="Mona Lisa Recut" w:cs="Times New Roman"/>
      <w:sz w:val="20"/>
      <w:szCs w:val="20"/>
    </w:rPr>
  </w:style>
  <w:style w:type="character" w:styleId="FootnoteReference">
    <w:name w:val="footnote reference"/>
    <w:basedOn w:val="DefaultParagraphFont"/>
    <w:uiPriority w:val="99"/>
    <w:semiHidden/>
    <w:unhideWhenUsed/>
    <w:rsid w:val="00672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FB97-87C0-4BB9-B186-95853712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2369</Words>
  <Characters>13507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2014-10-14T21:04:00Z</dcterms:created>
  <dcterms:modified xsi:type="dcterms:W3CDTF">2014-10-14T21:04:00Z</dcterms:modified>
</cp:coreProperties>
</file>