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095" w:rsidRDefault="000C0A7E">
      <w:pPr>
        <w:spacing w:after="0" w:line="240" w:lineRule="auto"/>
        <w:jc w:val="center"/>
        <w:rPr>
          <w:b/>
          <w:sz w:val="24"/>
          <w:szCs w:val="24"/>
        </w:rPr>
      </w:pPr>
      <w:r>
        <w:rPr>
          <w:b/>
          <w:sz w:val="24"/>
          <w:szCs w:val="24"/>
        </w:rPr>
        <w:t xml:space="preserve">Supporting Statement for Paperwork Reduction Act Generic Information Collection Submissions for </w:t>
      </w:r>
    </w:p>
    <w:p w:rsidR="00982095" w:rsidRDefault="000C0A7E">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352779">
        <w:t>the National Endowment for the Arts</w:t>
      </w:r>
      <w:r w:rsidR="000C0A7E">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 xml:space="preserve">our commitment to improving </w:t>
      </w:r>
      <w:r>
        <w:t xml:space="preserve"> </w:t>
      </w:r>
      <w:r w:rsidR="000A410F">
        <w:t>service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in </w:t>
      </w:r>
      <w:r w:rsidR="00EB2D61">
        <w:t xml:space="preserve"> </w:t>
      </w:r>
      <w:r>
        <w:t xml:space="preserve">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rsidRDefault="000C0A7E">
      <w:pPr>
        <w:spacing w:after="0" w:line="240" w:lineRule="auto"/>
      </w:pPr>
      <w:r>
        <w:t xml:space="preserve"> </w:t>
      </w:r>
    </w:p>
    <w:p w:rsidR="00CC67E2" w:rsidRDefault="00CC67E2">
      <w:pPr>
        <w:spacing w:after="0" w:line="240" w:lineRule="auto"/>
        <w:jc w:val="center"/>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 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pPr>
        <w:spacing w:after="0" w:line="240" w:lineRule="auto"/>
      </w:pPr>
    </w:p>
    <w:p w:rsidR="00EB2D61" w:rsidRDefault="00EB2D61">
      <w:pPr>
        <w:spacing w:after="0" w:line="240" w:lineRule="auto"/>
      </w:pPr>
      <w:r>
        <w:t xml:space="preserve">The Agency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lastRenderedPageBreak/>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 be followed)</w:t>
      </w:r>
      <w:r w:rsidR="00FA1D10">
        <w:t>;</w:t>
      </w:r>
    </w:p>
    <w:p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pPr>
        <w:spacing w:after="0" w:line="240" w:lineRule="auto"/>
      </w:pPr>
    </w:p>
    <w:p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CC2FDD" w:rsidRDefault="00CC2FDD">
      <w:pPr>
        <w:spacing w:after="0" w:line="240" w:lineRule="auto"/>
      </w:pPr>
    </w:p>
    <w:p w:rsidR="00982095" w:rsidRDefault="000C0A7E">
      <w:pPr>
        <w:pStyle w:val="ListParagraph"/>
        <w:numPr>
          <w:ilvl w:val="0"/>
          <w:numId w:val="2"/>
        </w:numPr>
        <w:spacing w:after="0" w:line="240" w:lineRule="auto"/>
        <w:ind w:left="0"/>
        <w:rPr>
          <w:b/>
        </w:rPr>
      </w:pPr>
      <w:r>
        <w:rPr>
          <w:b/>
        </w:rPr>
        <w:lastRenderedPageBreak/>
        <w:t>Consideration Given to Information Technology</w:t>
      </w:r>
    </w:p>
    <w:p w:rsidR="00982095" w:rsidRDefault="00982095">
      <w:pPr>
        <w:spacing w:after="0" w:line="240" w:lineRule="auto"/>
        <w:rPr>
          <w:highlight w:val="yellow"/>
        </w:rPr>
      </w:pPr>
    </w:p>
    <w:p w:rsidR="00982095" w:rsidRDefault="000C0A7E">
      <w:pPr>
        <w:spacing w:after="0" w:line="240" w:lineRule="auto"/>
      </w:pPr>
      <w:r>
        <w:t>If appropriate, agencies will collect information electronically and/or use online collaboration tools to reduce burden.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The information collected will be voluntary and will not be used for statistical purposes.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pPr>
        <w:pStyle w:val="ListParagraph"/>
        <w:spacing w:after="0" w:line="240" w:lineRule="auto"/>
        <w:ind w:left="0"/>
        <w:rPr>
          <w:b/>
        </w:rPr>
      </w:pPr>
    </w:p>
    <w:p w:rsidR="00982095" w:rsidRDefault="000C0A7E">
      <w:pPr>
        <w:spacing w:after="0" w:line="240" w:lineRule="auto"/>
      </w:pPr>
      <w:r>
        <w:t>In accordance with 5 CFR 1320.8(d</w:t>
      </w:r>
      <w:r w:rsidRPr="001E44AB">
        <w:t xml:space="preserve">), [Insert date], a 60-day notice for public comment was published in the </w:t>
      </w:r>
      <w:r w:rsidR="00982095" w:rsidRPr="001E44AB">
        <w:rPr>
          <w:i/>
        </w:rPr>
        <w:t>Federal Register</w:t>
      </w:r>
      <w:r w:rsidRPr="001E44AB">
        <w:t>.  [Depending on comments received, this section will change]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p>
    <w:p w:rsidR="00982095" w:rsidRDefault="00AC249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rsidRDefault="000C0A7E">
      <w:pPr>
        <w:spacing w:after="0" w:line="240" w:lineRule="auto"/>
      </w:pPr>
      <w:r>
        <w:t xml:space="preserve"> </w:t>
      </w:r>
    </w:p>
    <w:p w:rsidR="00982095" w:rsidRDefault="000C0A7E">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w:t>
      </w:r>
      <w:r w:rsidR="00DE07E7">
        <w:lastRenderedPageBreak/>
        <w:t xml:space="preserve">Agency </w:t>
      </w:r>
      <w:r>
        <w:t>will provide OMB with additional justifications in the request for clearance of these specific activities.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0C0A7E">
      <w:pPr>
        <w:spacing w:after="0" w:line="240" w:lineRule="auto"/>
      </w:pPr>
      <w:r>
        <w:t xml:space="preserve"> </w:t>
      </w:r>
      <w:r w:rsidR="00AC2497" w:rsidRPr="00AC2497">
        <w:t xml:space="preserve">If a confidentiality pledge is deemed useful and feasible, </w:t>
      </w:r>
      <w:r w:rsidR="00DE07E7">
        <w:t>the Agency</w:t>
      </w:r>
      <w:r w:rsidR="00AC2497"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pPr>
        <w:spacing w:after="0" w:line="240" w:lineRule="auto"/>
      </w:pPr>
      <w:bookmarkStart w:id="0" w:name="_GoBack"/>
    </w:p>
    <w:bookmarkEnd w:id="0"/>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0C0A7E">
      <w:pPr>
        <w:spacing w:after="0" w:line="240" w:lineRule="auto"/>
      </w:pPr>
      <w:r>
        <w:t>No questions will be asked that are of a personal or sensitive nature.</w:t>
      </w:r>
    </w:p>
    <w:p w:rsidR="00982095" w:rsidRDefault="00982095">
      <w:pPr>
        <w:spacing w:after="0" w:line="240" w:lineRule="auto"/>
      </w:pPr>
    </w:p>
    <w:p w:rsidR="00982095" w:rsidRDefault="00982095">
      <w:pPr>
        <w:spacing w:after="0" w:line="240" w:lineRule="auto"/>
      </w:pPr>
    </w:p>
    <w:p w:rsidR="00982095" w:rsidRPr="00CD2746" w:rsidRDefault="001E7ED1">
      <w:pPr>
        <w:pStyle w:val="ListParagraph"/>
        <w:numPr>
          <w:ilvl w:val="0"/>
          <w:numId w:val="2"/>
        </w:numPr>
        <w:spacing w:after="0" w:line="240" w:lineRule="auto"/>
        <w:ind w:left="0"/>
        <w:rPr>
          <w:b/>
        </w:rPr>
      </w:pPr>
      <w:r w:rsidRPr="001E7ED1">
        <w:rPr>
          <w:b/>
        </w:rPr>
        <w:t>Burden of Information Collection</w:t>
      </w:r>
    </w:p>
    <w:p w:rsidR="00982095" w:rsidRPr="00CD2746" w:rsidRDefault="00982095">
      <w:pPr>
        <w:spacing w:after="0" w:line="240" w:lineRule="auto"/>
      </w:pPr>
    </w:p>
    <w:p w:rsidR="00982095" w:rsidRPr="00CD2746" w:rsidRDefault="001E7ED1">
      <w:pPr>
        <w:tabs>
          <w:tab w:val="left" w:pos="-1080"/>
          <w:tab w:val="left" w:pos="-720"/>
          <w:tab w:val="left" w:pos="0"/>
          <w:tab w:val="left" w:pos="450"/>
          <w:tab w:val="left" w:pos="720"/>
          <w:tab w:val="left" w:pos="2160"/>
        </w:tabs>
        <w:spacing w:after="0" w:line="240" w:lineRule="auto"/>
      </w:pPr>
      <w:r w:rsidRPr="001E7ED1">
        <w:t>A variety of instruments and platforms will be used to collect information from respondents.  The annual burden hours requested (FY 2011</w:t>
      </w:r>
      <w:r w:rsidR="00CD1346">
        <w:t xml:space="preserve">: 1,139.6; </w:t>
      </w:r>
      <w:r w:rsidRPr="001E7ED1">
        <w:t>FY 2012: 1,3</w:t>
      </w:r>
      <w:r w:rsidR="00CD1346">
        <w:t xml:space="preserve">09.6; FY 2013: </w:t>
      </w:r>
      <w:r w:rsidR="00C6032D">
        <w:t>68</w:t>
      </w:r>
      <w:r w:rsidR="00CD1346">
        <w:t>,109.6</w:t>
      </w:r>
      <w:r w:rsidRPr="001E7ED1">
        <w:t>) are based on the number of collections we expect to conduct over the requested period for this clearance</w:t>
      </w:r>
      <w:r w:rsidR="003B755C">
        <w:t xml:space="preserve">, which extends from FY 2011 through 2013. </w:t>
      </w:r>
    </w:p>
    <w:p w:rsidR="00982095" w:rsidRDefault="00982095">
      <w:pPr>
        <w:spacing w:after="0" w:line="240" w:lineRule="auto"/>
      </w:pPr>
    </w:p>
    <w:tbl>
      <w:tblPr>
        <w:tblW w:w="0" w:type="auto"/>
        <w:tblInd w:w="87" w:type="dxa"/>
        <w:tblLayout w:type="fixed"/>
        <w:tblCellMar>
          <w:left w:w="102" w:type="dxa"/>
          <w:right w:w="102" w:type="dxa"/>
        </w:tblCellMar>
        <w:tblLook w:val="0000"/>
      </w:tblPr>
      <w:tblGrid>
        <w:gridCol w:w="15"/>
        <w:gridCol w:w="4140"/>
        <w:gridCol w:w="1350"/>
        <w:gridCol w:w="1350"/>
        <w:gridCol w:w="1170"/>
        <w:gridCol w:w="1248"/>
        <w:gridCol w:w="12"/>
      </w:tblGrid>
      <w:tr w:rsidR="00CD1346" w:rsidRPr="00CD1346" w:rsidTr="00CD1346">
        <w:trPr>
          <w:gridBefore w:val="1"/>
          <w:gridAfter w:val="1"/>
          <w:wBefore w:w="15" w:type="dxa"/>
          <w:wAfter w:w="12" w:type="dxa"/>
          <w:trHeight w:val="144"/>
          <w:tblHeader/>
        </w:trPr>
        <w:tc>
          <w:tcPr>
            <w:tcW w:w="9258" w:type="dxa"/>
            <w:gridSpan w:val="5"/>
            <w:tcBorders>
              <w:top w:val="single" w:sz="7" w:space="0" w:color="000000"/>
              <w:left w:val="single" w:sz="7" w:space="0" w:color="000000"/>
              <w:bottom w:val="single" w:sz="4" w:space="0" w:color="auto"/>
              <w:right w:val="single" w:sz="7" w:space="0" w:color="000000"/>
            </w:tcBorders>
            <w:shd w:val="clear" w:color="auto" w:fill="auto"/>
          </w:tcPr>
          <w:p w:rsidR="00CD1346" w:rsidRPr="00CD1346" w:rsidRDefault="00CD1346" w:rsidP="00CD1346">
            <w:pPr>
              <w:tabs>
                <w:tab w:val="left" w:pos="-1080"/>
                <w:tab w:val="left" w:pos="-720"/>
                <w:tab w:val="left" w:pos="0"/>
                <w:tab w:val="left" w:pos="450"/>
                <w:tab w:val="left" w:pos="720"/>
                <w:tab w:val="left" w:pos="2160"/>
              </w:tabs>
              <w:spacing w:after="0" w:line="240" w:lineRule="auto"/>
              <w:rPr>
                <w:sz w:val="20"/>
                <w:szCs w:val="20"/>
              </w:rPr>
            </w:pPr>
            <w:r w:rsidRPr="00CD1346">
              <w:rPr>
                <w:sz w:val="20"/>
                <w:szCs w:val="20"/>
              </w:rPr>
              <w:t>Estimated Annual Reporting Burden</w:t>
            </w:r>
          </w:p>
        </w:tc>
      </w:tr>
      <w:tr w:rsidR="00CD1346" w:rsidRPr="00CD1346" w:rsidTr="00CD1346">
        <w:tblPrEx>
          <w:tblCellMar>
            <w:left w:w="108" w:type="dxa"/>
            <w:right w:w="108" w:type="dxa"/>
          </w:tblCellMar>
          <w:tblLook w:val="04A0"/>
        </w:tblPrEx>
        <w:trPr>
          <w:trHeight w:val="1050"/>
        </w:trPr>
        <w:tc>
          <w:tcPr>
            <w:tcW w:w="4155" w:type="dxa"/>
            <w:gridSpan w:val="2"/>
            <w:tcBorders>
              <w:top w:val="nil"/>
              <w:left w:val="single" w:sz="8" w:space="0" w:color="auto"/>
              <w:bottom w:val="single" w:sz="8" w:space="0" w:color="auto"/>
              <w:right w:val="single" w:sz="8" w:space="0" w:color="auto"/>
            </w:tcBorders>
            <w:shd w:val="clear" w:color="auto" w:fill="auto"/>
            <w:vAlign w:val="bottom"/>
            <w:hideMark/>
          </w:tcPr>
          <w:p w:rsidR="00CD1346" w:rsidRPr="00CD1346" w:rsidRDefault="00CD1346" w:rsidP="00CD1346">
            <w:pPr>
              <w:spacing w:after="0" w:line="240" w:lineRule="auto"/>
              <w:rPr>
                <w:rFonts w:ascii="Calibri" w:eastAsia="Times New Roman" w:hAnsi="Calibri" w:cs="Times New Roman"/>
                <w:color w:val="000000"/>
                <w:sz w:val="20"/>
                <w:szCs w:val="20"/>
              </w:rPr>
            </w:pPr>
            <w:r w:rsidRPr="00CD1346">
              <w:rPr>
                <w:rFonts w:ascii="Calibri" w:eastAsia="Times New Roman" w:hAnsi="Calibri" w:cs="Times New Roman"/>
                <w:color w:val="000000"/>
                <w:sz w:val="20"/>
                <w:szCs w:val="20"/>
              </w:rPr>
              <w:t>Type of Collection</w:t>
            </w:r>
          </w:p>
        </w:tc>
        <w:tc>
          <w:tcPr>
            <w:tcW w:w="1350" w:type="dxa"/>
            <w:tcBorders>
              <w:top w:val="nil"/>
              <w:left w:val="nil"/>
              <w:bottom w:val="single" w:sz="8" w:space="0" w:color="auto"/>
              <w:right w:val="single" w:sz="8" w:space="0" w:color="auto"/>
            </w:tcBorders>
            <w:shd w:val="clear" w:color="auto" w:fill="auto"/>
            <w:vAlign w:val="bottom"/>
            <w:hideMark/>
          </w:tcPr>
          <w:p w:rsidR="00CD1346" w:rsidRPr="00CD1346" w:rsidRDefault="00CD1346" w:rsidP="00CD1346">
            <w:pPr>
              <w:spacing w:after="0" w:line="240" w:lineRule="auto"/>
              <w:rPr>
                <w:rFonts w:ascii="Calibri" w:eastAsia="Times New Roman" w:hAnsi="Calibri" w:cs="Times New Roman"/>
                <w:color w:val="000000"/>
                <w:sz w:val="20"/>
                <w:szCs w:val="20"/>
              </w:rPr>
            </w:pPr>
            <w:r w:rsidRPr="00CD1346">
              <w:rPr>
                <w:rFonts w:ascii="Calibri" w:eastAsia="Times New Roman" w:hAnsi="Calibri" w:cs="Times New Roman"/>
                <w:color w:val="000000"/>
                <w:sz w:val="20"/>
                <w:szCs w:val="20"/>
              </w:rPr>
              <w:t>No. of Respondents</w:t>
            </w:r>
          </w:p>
        </w:tc>
        <w:tc>
          <w:tcPr>
            <w:tcW w:w="1350" w:type="dxa"/>
            <w:tcBorders>
              <w:top w:val="nil"/>
              <w:left w:val="nil"/>
              <w:bottom w:val="single" w:sz="8" w:space="0" w:color="auto"/>
              <w:right w:val="single" w:sz="8" w:space="0" w:color="auto"/>
            </w:tcBorders>
            <w:shd w:val="clear" w:color="auto" w:fill="auto"/>
            <w:vAlign w:val="bottom"/>
            <w:hideMark/>
          </w:tcPr>
          <w:p w:rsidR="00CD1346" w:rsidRPr="00CD1346" w:rsidRDefault="00CD1346" w:rsidP="00CD1346">
            <w:pPr>
              <w:spacing w:after="0" w:line="240" w:lineRule="auto"/>
              <w:rPr>
                <w:rFonts w:ascii="Calibri" w:eastAsia="Times New Roman" w:hAnsi="Calibri" w:cs="Times New Roman"/>
                <w:color w:val="000000"/>
                <w:sz w:val="20"/>
                <w:szCs w:val="20"/>
              </w:rPr>
            </w:pPr>
            <w:r w:rsidRPr="00CD1346">
              <w:rPr>
                <w:rFonts w:ascii="Calibri" w:eastAsia="Times New Roman" w:hAnsi="Calibri" w:cs="Times New Roman"/>
                <w:color w:val="000000"/>
                <w:sz w:val="20"/>
                <w:szCs w:val="20"/>
              </w:rPr>
              <w:t>Annual Frequency per Response</w:t>
            </w:r>
          </w:p>
        </w:tc>
        <w:tc>
          <w:tcPr>
            <w:tcW w:w="1170" w:type="dxa"/>
            <w:tcBorders>
              <w:top w:val="nil"/>
              <w:left w:val="nil"/>
              <w:bottom w:val="single" w:sz="8" w:space="0" w:color="auto"/>
              <w:right w:val="single" w:sz="8" w:space="0" w:color="auto"/>
            </w:tcBorders>
            <w:shd w:val="clear" w:color="auto" w:fill="auto"/>
            <w:vAlign w:val="bottom"/>
            <w:hideMark/>
          </w:tcPr>
          <w:p w:rsidR="00CD1346" w:rsidRPr="00CD1346" w:rsidRDefault="00CD1346" w:rsidP="00CD1346">
            <w:pPr>
              <w:spacing w:after="0" w:line="240" w:lineRule="auto"/>
              <w:rPr>
                <w:rFonts w:ascii="Calibri" w:eastAsia="Times New Roman" w:hAnsi="Calibri" w:cs="Times New Roman"/>
                <w:color w:val="000000"/>
                <w:sz w:val="20"/>
                <w:szCs w:val="20"/>
              </w:rPr>
            </w:pPr>
            <w:r w:rsidRPr="00CD1346">
              <w:rPr>
                <w:rFonts w:ascii="Calibri" w:eastAsia="Times New Roman" w:hAnsi="Calibri" w:cs="Times New Roman"/>
                <w:color w:val="000000"/>
                <w:sz w:val="20"/>
                <w:szCs w:val="20"/>
              </w:rPr>
              <w:t>Hours per Response</w:t>
            </w:r>
          </w:p>
        </w:tc>
        <w:tc>
          <w:tcPr>
            <w:tcW w:w="1260" w:type="dxa"/>
            <w:gridSpan w:val="2"/>
            <w:tcBorders>
              <w:top w:val="nil"/>
              <w:left w:val="nil"/>
              <w:bottom w:val="single" w:sz="8" w:space="0" w:color="auto"/>
              <w:right w:val="single" w:sz="8" w:space="0" w:color="auto"/>
            </w:tcBorders>
            <w:shd w:val="clear" w:color="auto" w:fill="auto"/>
            <w:vAlign w:val="bottom"/>
            <w:hideMark/>
          </w:tcPr>
          <w:p w:rsidR="00CD1346" w:rsidRPr="00CD1346" w:rsidRDefault="00CD1346" w:rsidP="00CD1346">
            <w:pPr>
              <w:spacing w:after="0" w:line="240" w:lineRule="auto"/>
              <w:rPr>
                <w:rFonts w:ascii="Calibri" w:eastAsia="Times New Roman" w:hAnsi="Calibri" w:cs="Times New Roman"/>
                <w:color w:val="000000"/>
                <w:sz w:val="20"/>
                <w:szCs w:val="20"/>
              </w:rPr>
            </w:pPr>
            <w:r w:rsidRPr="00CD1346">
              <w:rPr>
                <w:rFonts w:ascii="Calibri" w:eastAsia="Times New Roman" w:hAnsi="Calibri" w:cs="Times New Roman"/>
                <w:color w:val="000000"/>
                <w:sz w:val="20"/>
                <w:szCs w:val="20"/>
              </w:rPr>
              <w:t>Total Hours</w:t>
            </w:r>
          </w:p>
        </w:tc>
      </w:tr>
      <w:tr w:rsidR="00CD1346" w:rsidRPr="00CD1346" w:rsidTr="00CD1346">
        <w:tblPrEx>
          <w:tblCellMar>
            <w:left w:w="108" w:type="dxa"/>
            <w:right w:w="108" w:type="dxa"/>
          </w:tblCellMar>
          <w:tblLook w:val="04A0"/>
        </w:tblPrEx>
        <w:trPr>
          <w:trHeight w:val="763"/>
        </w:trPr>
        <w:tc>
          <w:tcPr>
            <w:tcW w:w="4155" w:type="dxa"/>
            <w:gridSpan w:val="2"/>
            <w:tcBorders>
              <w:top w:val="nil"/>
              <w:left w:val="single" w:sz="8" w:space="0" w:color="auto"/>
              <w:bottom w:val="nil"/>
              <w:right w:val="single" w:sz="8" w:space="0" w:color="auto"/>
            </w:tcBorders>
            <w:shd w:val="clear" w:color="auto" w:fill="auto"/>
            <w:vAlign w:val="center"/>
            <w:hideMark/>
          </w:tcPr>
          <w:p w:rsidR="00CD1346" w:rsidRPr="00CD1346" w:rsidRDefault="00CD1346" w:rsidP="00CD1346">
            <w:pPr>
              <w:spacing w:after="0" w:line="240" w:lineRule="auto"/>
              <w:rPr>
                <w:rFonts w:ascii="Calibri" w:eastAsia="Times New Roman" w:hAnsi="Calibri" w:cs="Times New Roman"/>
                <w:color w:val="000000"/>
                <w:sz w:val="20"/>
                <w:szCs w:val="20"/>
              </w:rPr>
            </w:pPr>
            <w:r w:rsidRPr="00CD1346">
              <w:rPr>
                <w:rFonts w:ascii="Calibri" w:eastAsia="Times New Roman" w:hAnsi="Calibri" w:cs="Times New Roman"/>
                <w:color w:val="000000"/>
                <w:sz w:val="20"/>
                <w:szCs w:val="20"/>
              </w:rPr>
              <w:t>Pilot Study for Supplement to General Social Survey (FY 2011 only)</w:t>
            </w:r>
          </w:p>
        </w:tc>
        <w:tc>
          <w:tcPr>
            <w:tcW w:w="1350" w:type="dxa"/>
            <w:tcBorders>
              <w:top w:val="nil"/>
              <w:left w:val="nil"/>
              <w:bottom w:val="nil"/>
              <w:right w:val="single" w:sz="8" w:space="0" w:color="auto"/>
            </w:tcBorders>
            <w:shd w:val="clear" w:color="auto" w:fill="auto"/>
            <w:vAlign w:val="center"/>
            <w:hideMark/>
          </w:tcPr>
          <w:p w:rsidR="00CD1346" w:rsidRPr="00CD1346" w:rsidRDefault="00CD1346" w:rsidP="00CD1346">
            <w:pPr>
              <w:spacing w:after="0" w:line="240" w:lineRule="auto"/>
              <w:jc w:val="right"/>
              <w:rPr>
                <w:rFonts w:ascii="Calibri" w:eastAsia="Times New Roman" w:hAnsi="Calibri" w:cs="Times New Roman"/>
                <w:color w:val="000000"/>
                <w:sz w:val="20"/>
                <w:szCs w:val="20"/>
              </w:rPr>
            </w:pPr>
            <w:r w:rsidRPr="00CD1346">
              <w:rPr>
                <w:rFonts w:ascii="Calibri" w:eastAsia="Times New Roman" w:hAnsi="Calibri" w:cs="Times New Roman"/>
                <w:color w:val="000000"/>
                <w:sz w:val="20"/>
                <w:szCs w:val="20"/>
              </w:rPr>
              <w:t>300</w:t>
            </w:r>
          </w:p>
        </w:tc>
        <w:tc>
          <w:tcPr>
            <w:tcW w:w="1350" w:type="dxa"/>
            <w:tcBorders>
              <w:top w:val="nil"/>
              <w:left w:val="nil"/>
              <w:bottom w:val="nil"/>
              <w:right w:val="single" w:sz="8" w:space="0" w:color="auto"/>
            </w:tcBorders>
            <w:shd w:val="clear" w:color="auto" w:fill="auto"/>
            <w:vAlign w:val="center"/>
            <w:hideMark/>
          </w:tcPr>
          <w:p w:rsidR="00CD1346" w:rsidRPr="00CD1346" w:rsidRDefault="00CD1346" w:rsidP="00CD1346">
            <w:pPr>
              <w:spacing w:after="0" w:line="240" w:lineRule="auto"/>
              <w:jc w:val="right"/>
              <w:rPr>
                <w:rFonts w:ascii="Calibri" w:eastAsia="Times New Roman" w:hAnsi="Calibri" w:cs="Times New Roman"/>
                <w:color w:val="000000"/>
                <w:sz w:val="20"/>
                <w:szCs w:val="20"/>
              </w:rPr>
            </w:pPr>
            <w:r w:rsidRPr="00CD1346">
              <w:rPr>
                <w:rFonts w:ascii="Calibri" w:eastAsia="Times New Roman" w:hAnsi="Calibri" w:cs="Times New Roman"/>
                <w:color w:val="000000"/>
                <w:sz w:val="20"/>
                <w:szCs w:val="20"/>
              </w:rPr>
              <w:t>1</w:t>
            </w:r>
          </w:p>
        </w:tc>
        <w:tc>
          <w:tcPr>
            <w:tcW w:w="1170" w:type="dxa"/>
            <w:tcBorders>
              <w:top w:val="nil"/>
              <w:left w:val="nil"/>
              <w:bottom w:val="nil"/>
              <w:right w:val="single" w:sz="8" w:space="0" w:color="auto"/>
            </w:tcBorders>
            <w:shd w:val="clear" w:color="auto" w:fill="auto"/>
            <w:vAlign w:val="center"/>
            <w:hideMark/>
          </w:tcPr>
          <w:p w:rsidR="00CD1346" w:rsidRPr="00CD1346" w:rsidRDefault="00CD1346" w:rsidP="00CD1346">
            <w:pPr>
              <w:spacing w:after="0" w:line="240" w:lineRule="auto"/>
              <w:jc w:val="right"/>
              <w:rPr>
                <w:rFonts w:ascii="Calibri" w:eastAsia="Times New Roman" w:hAnsi="Calibri" w:cs="Times New Roman"/>
                <w:color w:val="000000"/>
                <w:sz w:val="20"/>
                <w:szCs w:val="20"/>
              </w:rPr>
            </w:pPr>
            <w:r w:rsidRPr="00CD1346">
              <w:rPr>
                <w:rFonts w:ascii="Calibri" w:eastAsia="Times New Roman" w:hAnsi="Calibri" w:cs="Times New Roman"/>
                <w:color w:val="000000"/>
                <w:sz w:val="20"/>
                <w:szCs w:val="20"/>
              </w:rPr>
              <w:t>0.1</w:t>
            </w:r>
          </w:p>
        </w:tc>
        <w:tc>
          <w:tcPr>
            <w:tcW w:w="1260" w:type="dxa"/>
            <w:gridSpan w:val="2"/>
            <w:tcBorders>
              <w:top w:val="nil"/>
              <w:left w:val="nil"/>
              <w:bottom w:val="nil"/>
              <w:right w:val="single" w:sz="8" w:space="0" w:color="auto"/>
            </w:tcBorders>
            <w:shd w:val="clear" w:color="auto" w:fill="auto"/>
            <w:vAlign w:val="center"/>
            <w:hideMark/>
          </w:tcPr>
          <w:p w:rsidR="00CD1346" w:rsidRPr="00CD1346" w:rsidRDefault="00CD1346" w:rsidP="00CD1346">
            <w:pPr>
              <w:spacing w:after="0" w:line="240" w:lineRule="auto"/>
              <w:jc w:val="right"/>
              <w:rPr>
                <w:rFonts w:ascii="Calibri" w:eastAsia="Times New Roman" w:hAnsi="Calibri" w:cs="Times New Roman"/>
                <w:color w:val="000000"/>
                <w:sz w:val="20"/>
                <w:szCs w:val="20"/>
              </w:rPr>
            </w:pPr>
            <w:r w:rsidRPr="00CD1346">
              <w:rPr>
                <w:rFonts w:ascii="Calibri" w:eastAsia="Times New Roman" w:hAnsi="Calibri" w:cs="Times New Roman"/>
                <w:color w:val="000000"/>
                <w:sz w:val="20"/>
                <w:szCs w:val="20"/>
              </w:rPr>
              <w:t>30</w:t>
            </w:r>
          </w:p>
        </w:tc>
      </w:tr>
      <w:tr w:rsidR="00CD1346" w:rsidRPr="00CD1346" w:rsidTr="00CD1346">
        <w:tblPrEx>
          <w:tblCellMar>
            <w:left w:w="108" w:type="dxa"/>
            <w:right w:w="108" w:type="dxa"/>
          </w:tblCellMar>
          <w:tblLook w:val="04A0"/>
        </w:tblPrEx>
        <w:trPr>
          <w:trHeight w:val="700"/>
        </w:trPr>
        <w:tc>
          <w:tcPr>
            <w:tcW w:w="4155"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CD1346" w:rsidRPr="00CD1346" w:rsidRDefault="00CD1346" w:rsidP="00CD1346">
            <w:pPr>
              <w:spacing w:after="0" w:line="240" w:lineRule="auto"/>
              <w:rPr>
                <w:rFonts w:ascii="Calibri" w:eastAsia="Times New Roman" w:hAnsi="Calibri" w:cs="Times New Roman"/>
                <w:color w:val="000000"/>
                <w:sz w:val="20"/>
                <w:szCs w:val="20"/>
              </w:rPr>
            </w:pPr>
            <w:r w:rsidRPr="00CD1346">
              <w:rPr>
                <w:rFonts w:ascii="Calibri" w:eastAsia="Times New Roman" w:hAnsi="Calibri" w:cs="Times New Roman"/>
                <w:color w:val="000000"/>
                <w:sz w:val="20"/>
                <w:szCs w:val="20"/>
              </w:rPr>
              <w:t>Pilot Study of Grantee Audience Survey  (FY 2012 only)</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rsidR="00CD1346" w:rsidRPr="00CD1346" w:rsidRDefault="00CD1346" w:rsidP="00CD1346">
            <w:pPr>
              <w:spacing w:after="0" w:line="240" w:lineRule="auto"/>
              <w:jc w:val="right"/>
              <w:rPr>
                <w:rFonts w:ascii="Calibri" w:eastAsia="Times New Roman" w:hAnsi="Calibri" w:cs="Times New Roman"/>
                <w:color w:val="000000"/>
                <w:sz w:val="20"/>
                <w:szCs w:val="20"/>
              </w:rPr>
            </w:pPr>
            <w:r w:rsidRPr="00CD1346">
              <w:rPr>
                <w:rFonts w:ascii="Calibri" w:eastAsia="Times New Roman" w:hAnsi="Calibri" w:cs="Times New Roman"/>
                <w:color w:val="000000"/>
                <w:sz w:val="20"/>
                <w:szCs w:val="20"/>
              </w:rPr>
              <w:t>800</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rsidR="00CD1346" w:rsidRPr="00CD1346" w:rsidRDefault="00CD1346" w:rsidP="00CD1346">
            <w:pPr>
              <w:spacing w:after="0" w:line="240" w:lineRule="auto"/>
              <w:jc w:val="right"/>
              <w:rPr>
                <w:rFonts w:ascii="Calibri" w:eastAsia="Times New Roman" w:hAnsi="Calibri" w:cs="Times New Roman"/>
                <w:color w:val="000000"/>
                <w:sz w:val="20"/>
                <w:szCs w:val="20"/>
              </w:rPr>
            </w:pPr>
            <w:r w:rsidRPr="00CD1346">
              <w:rPr>
                <w:rFonts w:ascii="Calibri" w:eastAsia="Times New Roman" w:hAnsi="Calibri" w:cs="Times New Roman"/>
                <w:color w:val="000000"/>
                <w:sz w:val="20"/>
                <w:szCs w:val="20"/>
              </w:rPr>
              <w:t>1</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rsidR="00CD1346" w:rsidRPr="00CD1346" w:rsidRDefault="00CD1346" w:rsidP="00CD1346">
            <w:pPr>
              <w:spacing w:after="0" w:line="240" w:lineRule="auto"/>
              <w:jc w:val="right"/>
              <w:rPr>
                <w:rFonts w:ascii="Calibri" w:eastAsia="Times New Roman" w:hAnsi="Calibri" w:cs="Times New Roman"/>
                <w:color w:val="000000"/>
                <w:sz w:val="20"/>
                <w:szCs w:val="20"/>
              </w:rPr>
            </w:pPr>
            <w:r w:rsidRPr="00CD1346">
              <w:rPr>
                <w:rFonts w:ascii="Calibri" w:eastAsia="Times New Roman" w:hAnsi="Calibri" w:cs="Times New Roman"/>
                <w:color w:val="000000"/>
                <w:sz w:val="20"/>
                <w:szCs w:val="20"/>
              </w:rPr>
              <w:t>0.25</w:t>
            </w:r>
          </w:p>
        </w:tc>
        <w:tc>
          <w:tcPr>
            <w:tcW w:w="1260" w:type="dxa"/>
            <w:gridSpan w:val="2"/>
            <w:tcBorders>
              <w:top w:val="single" w:sz="8" w:space="0" w:color="auto"/>
              <w:left w:val="nil"/>
              <w:bottom w:val="single" w:sz="8" w:space="0" w:color="auto"/>
              <w:right w:val="single" w:sz="8" w:space="0" w:color="auto"/>
            </w:tcBorders>
            <w:shd w:val="clear" w:color="auto" w:fill="auto"/>
            <w:vAlign w:val="center"/>
            <w:hideMark/>
          </w:tcPr>
          <w:p w:rsidR="00CD1346" w:rsidRPr="00CD1346" w:rsidRDefault="00CD1346" w:rsidP="00CD1346">
            <w:pPr>
              <w:spacing w:after="0" w:line="240" w:lineRule="auto"/>
              <w:jc w:val="right"/>
              <w:rPr>
                <w:rFonts w:ascii="Calibri" w:eastAsia="Times New Roman" w:hAnsi="Calibri" w:cs="Times New Roman"/>
                <w:color w:val="000000"/>
                <w:sz w:val="20"/>
                <w:szCs w:val="20"/>
              </w:rPr>
            </w:pPr>
            <w:r w:rsidRPr="00CD1346">
              <w:rPr>
                <w:rFonts w:ascii="Calibri" w:eastAsia="Times New Roman" w:hAnsi="Calibri" w:cs="Times New Roman"/>
                <w:color w:val="000000"/>
                <w:sz w:val="20"/>
                <w:szCs w:val="20"/>
              </w:rPr>
              <w:t>200</w:t>
            </w:r>
          </w:p>
        </w:tc>
      </w:tr>
      <w:tr w:rsidR="00CD1346" w:rsidRPr="00CD1346" w:rsidTr="00CD1346">
        <w:tblPrEx>
          <w:tblCellMar>
            <w:left w:w="108" w:type="dxa"/>
            <w:right w:w="108" w:type="dxa"/>
          </w:tblCellMar>
          <w:tblLook w:val="04A0"/>
        </w:tblPrEx>
        <w:trPr>
          <w:trHeight w:val="430"/>
        </w:trPr>
        <w:tc>
          <w:tcPr>
            <w:tcW w:w="4155" w:type="dxa"/>
            <w:gridSpan w:val="2"/>
            <w:tcBorders>
              <w:top w:val="nil"/>
              <w:left w:val="single" w:sz="8" w:space="0" w:color="auto"/>
              <w:bottom w:val="single" w:sz="8" w:space="0" w:color="auto"/>
              <w:right w:val="single" w:sz="8" w:space="0" w:color="auto"/>
            </w:tcBorders>
            <w:shd w:val="clear" w:color="auto" w:fill="auto"/>
            <w:vAlign w:val="center"/>
            <w:hideMark/>
          </w:tcPr>
          <w:p w:rsidR="00CD1346" w:rsidRPr="00CD1346" w:rsidRDefault="00CD1346" w:rsidP="00CD1346">
            <w:pPr>
              <w:spacing w:after="0" w:line="240" w:lineRule="auto"/>
              <w:rPr>
                <w:rFonts w:ascii="Calibri" w:eastAsia="Times New Roman" w:hAnsi="Calibri" w:cs="Times New Roman"/>
                <w:color w:val="000000"/>
                <w:sz w:val="20"/>
                <w:szCs w:val="20"/>
              </w:rPr>
            </w:pPr>
            <w:r w:rsidRPr="00CD1346">
              <w:rPr>
                <w:rFonts w:ascii="Calibri" w:eastAsia="Times New Roman" w:hAnsi="Calibri" w:cs="Times New Roman"/>
                <w:color w:val="000000"/>
                <w:sz w:val="20"/>
                <w:szCs w:val="20"/>
              </w:rPr>
              <w:t>Grant Applicant Satisfaction Survey (all years)</w:t>
            </w:r>
          </w:p>
        </w:tc>
        <w:tc>
          <w:tcPr>
            <w:tcW w:w="1350" w:type="dxa"/>
            <w:tcBorders>
              <w:top w:val="nil"/>
              <w:left w:val="nil"/>
              <w:bottom w:val="single" w:sz="8" w:space="0" w:color="auto"/>
              <w:right w:val="single" w:sz="8" w:space="0" w:color="auto"/>
            </w:tcBorders>
            <w:shd w:val="clear" w:color="auto" w:fill="auto"/>
            <w:vAlign w:val="center"/>
            <w:hideMark/>
          </w:tcPr>
          <w:p w:rsidR="00CD1346" w:rsidRPr="00CD1346" w:rsidRDefault="00CD1346" w:rsidP="00CD1346">
            <w:pPr>
              <w:spacing w:after="0" w:line="240" w:lineRule="auto"/>
              <w:jc w:val="right"/>
              <w:rPr>
                <w:rFonts w:ascii="Calibri" w:eastAsia="Times New Roman" w:hAnsi="Calibri" w:cs="Times New Roman"/>
                <w:color w:val="000000"/>
                <w:sz w:val="20"/>
                <w:szCs w:val="20"/>
              </w:rPr>
            </w:pPr>
            <w:r w:rsidRPr="00CD1346">
              <w:rPr>
                <w:rFonts w:ascii="Calibri" w:eastAsia="Times New Roman" w:hAnsi="Calibri" w:cs="Times New Roman"/>
                <w:color w:val="000000"/>
                <w:sz w:val="20"/>
                <w:szCs w:val="20"/>
              </w:rPr>
              <w:t>5,714</w:t>
            </w:r>
          </w:p>
        </w:tc>
        <w:tc>
          <w:tcPr>
            <w:tcW w:w="1350" w:type="dxa"/>
            <w:tcBorders>
              <w:top w:val="nil"/>
              <w:left w:val="nil"/>
              <w:bottom w:val="single" w:sz="8" w:space="0" w:color="auto"/>
              <w:right w:val="single" w:sz="8" w:space="0" w:color="auto"/>
            </w:tcBorders>
            <w:shd w:val="clear" w:color="auto" w:fill="auto"/>
            <w:vAlign w:val="center"/>
            <w:hideMark/>
          </w:tcPr>
          <w:p w:rsidR="00CD1346" w:rsidRPr="00CD1346" w:rsidRDefault="00CD1346" w:rsidP="00CD1346">
            <w:pPr>
              <w:spacing w:after="0" w:line="240" w:lineRule="auto"/>
              <w:jc w:val="right"/>
              <w:rPr>
                <w:rFonts w:ascii="Calibri" w:eastAsia="Times New Roman" w:hAnsi="Calibri" w:cs="Times New Roman"/>
                <w:color w:val="000000"/>
                <w:sz w:val="20"/>
                <w:szCs w:val="20"/>
              </w:rPr>
            </w:pPr>
            <w:r w:rsidRPr="00CD1346">
              <w:rPr>
                <w:rFonts w:ascii="Calibri" w:eastAsia="Times New Roman" w:hAnsi="Calibri" w:cs="Times New Roman"/>
                <w:color w:val="000000"/>
                <w:sz w:val="20"/>
                <w:szCs w:val="20"/>
              </w:rPr>
              <w:t>1</w:t>
            </w:r>
          </w:p>
        </w:tc>
        <w:tc>
          <w:tcPr>
            <w:tcW w:w="1170" w:type="dxa"/>
            <w:tcBorders>
              <w:top w:val="nil"/>
              <w:left w:val="nil"/>
              <w:bottom w:val="single" w:sz="8" w:space="0" w:color="auto"/>
              <w:right w:val="single" w:sz="8" w:space="0" w:color="auto"/>
            </w:tcBorders>
            <w:shd w:val="clear" w:color="auto" w:fill="auto"/>
            <w:vAlign w:val="center"/>
            <w:hideMark/>
          </w:tcPr>
          <w:p w:rsidR="00CD1346" w:rsidRPr="00CD1346" w:rsidRDefault="00CD1346" w:rsidP="00CD1346">
            <w:pPr>
              <w:spacing w:after="0" w:line="240" w:lineRule="auto"/>
              <w:jc w:val="right"/>
              <w:rPr>
                <w:rFonts w:ascii="Calibri" w:eastAsia="Times New Roman" w:hAnsi="Calibri" w:cs="Times New Roman"/>
                <w:color w:val="000000"/>
                <w:sz w:val="20"/>
                <w:szCs w:val="20"/>
              </w:rPr>
            </w:pPr>
            <w:r w:rsidRPr="00CD1346">
              <w:rPr>
                <w:rFonts w:ascii="Calibri" w:eastAsia="Times New Roman" w:hAnsi="Calibri" w:cs="Times New Roman"/>
                <w:color w:val="000000"/>
                <w:sz w:val="20"/>
                <w:szCs w:val="20"/>
              </w:rPr>
              <w:t>0.15</w:t>
            </w:r>
          </w:p>
        </w:tc>
        <w:tc>
          <w:tcPr>
            <w:tcW w:w="1260" w:type="dxa"/>
            <w:gridSpan w:val="2"/>
            <w:tcBorders>
              <w:top w:val="nil"/>
              <w:left w:val="nil"/>
              <w:bottom w:val="single" w:sz="8" w:space="0" w:color="auto"/>
              <w:right w:val="single" w:sz="8" w:space="0" w:color="auto"/>
            </w:tcBorders>
            <w:shd w:val="clear" w:color="auto" w:fill="auto"/>
            <w:vAlign w:val="center"/>
            <w:hideMark/>
          </w:tcPr>
          <w:p w:rsidR="00CD1346" w:rsidRPr="00CD1346" w:rsidRDefault="00CD1346" w:rsidP="00CD1346">
            <w:pPr>
              <w:spacing w:after="0" w:line="240" w:lineRule="auto"/>
              <w:jc w:val="right"/>
              <w:rPr>
                <w:rFonts w:ascii="Calibri" w:eastAsia="Times New Roman" w:hAnsi="Calibri" w:cs="Times New Roman"/>
                <w:color w:val="000000"/>
                <w:sz w:val="20"/>
                <w:szCs w:val="20"/>
              </w:rPr>
            </w:pPr>
            <w:r w:rsidRPr="00CD1346">
              <w:rPr>
                <w:rFonts w:ascii="Calibri" w:eastAsia="Times New Roman" w:hAnsi="Calibri" w:cs="Times New Roman"/>
                <w:color w:val="000000"/>
                <w:sz w:val="20"/>
                <w:szCs w:val="20"/>
              </w:rPr>
              <w:t>857.1</w:t>
            </w:r>
          </w:p>
        </w:tc>
      </w:tr>
      <w:tr w:rsidR="00CD1346" w:rsidRPr="00CD1346" w:rsidTr="00C6032D">
        <w:tblPrEx>
          <w:tblCellMar>
            <w:left w:w="108" w:type="dxa"/>
            <w:right w:w="108" w:type="dxa"/>
          </w:tblCellMar>
          <w:tblLook w:val="04A0"/>
        </w:tblPrEx>
        <w:trPr>
          <w:trHeight w:val="430"/>
        </w:trPr>
        <w:tc>
          <w:tcPr>
            <w:tcW w:w="4155" w:type="dxa"/>
            <w:gridSpan w:val="2"/>
            <w:tcBorders>
              <w:top w:val="nil"/>
              <w:left w:val="single" w:sz="8" w:space="0" w:color="auto"/>
              <w:bottom w:val="nil"/>
              <w:right w:val="single" w:sz="8" w:space="0" w:color="auto"/>
            </w:tcBorders>
            <w:shd w:val="clear" w:color="auto" w:fill="auto"/>
            <w:vAlign w:val="center"/>
            <w:hideMark/>
          </w:tcPr>
          <w:p w:rsidR="00CD1346" w:rsidRPr="00CD1346" w:rsidRDefault="00CD1346" w:rsidP="00CD1346">
            <w:pPr>
              <w:spacing w:after="0" w:line="240" w:lineRule="auto"/>
              <w:rPr>
                <w:rFonts w:ascii="Calibri" w:eastAsia="Times New Roman" w:hAnsi="Calibri" w:cs="Times New Roman"/>
                <w:color w:val="000000"/>
                <w:sz w:val="20"/>
                <w:szCs w:val="20"/>
              </w:rPr>
            </w:pPr>
            <w:r w:rsidRPr="00CD1346">
              <w:rPr>
                <w:rFonts w:ascii="Calibri" w:eastAsia="Times New Roman" w:hAnsi="Calibri" w:cs="Times New Roman"/>
                <w:color w:val="000000"/>
                <w:sz w:val="20"/>
                <w:szCs w:val="20"/>
              </w:rPr>
              <w:t>Program Satisfaction Surveys (all years)</w:t>
            </w:r>
          </w:p>
        </w:tc>
        <w:tc>
          <w:tcPr>
            <w:tcW w:w="1350" w:type="dxa"/>
            <w:tcBorders>
              <w:top w:val="nil"/>
              <w:left w:val="nil"/>
              <w:bottom w:val="nil"/>
              <w:right w:val="single" w:sz="8" w:space="0" w:color="auto"/>
            </w:tcBorders>
            <w:shd w:val="clear" w:color="auto" w:fill="auto"/>
            <w:vAlign w:val="center"/>
            <w:hideMark/>
          </w:tcPr>
          <w:p w:rsidR="00CD1346" w:rsidRPr="00CD1346" w:rsidRDefault="00CD1346" w:rsidP="00CD1346">
            <w:pPr>
              <w:spacing w:after="0" w:line="240" w:lineRule="auto"/>
              <w:jc w:val="right"/>
              <w:rPr>
                <w:rFonts w:ascii="Calibri" w:eastAsia="Times New Roman" w:hAnsi="Calibri" w:cs="Times New Roman"/>
                <w:color w:val="000000"/>
                <w:sz w:val="20"/>
                <w:szCs w:val="20"/>
              </w:rPr>
            </w:pPr>
            <w:r w:rsidRPr="00CD1346">
              <w:rPr>
                <w:rFonts w:ascii="Calibri" w:eastAsia="Times New Roman" w:hAnsi="Calibri" w:cs="Times New Roman"/>
                <w:color w:val="000000"/>
                <w:sz w:val="20"/>
                <w:szCs w:val="20"/>
              </w:rPr>
              <w:t>1,010</w:t>
            </w:r>
          </w:p>
        </w:tc>
        <w:tc>
          <w:tcPr>
            <w:tcW w:w="1350" w:type="dxa"/>
            <w:tcBorders>
              <w:top w:val="nil"/>
              <w:left w:val="nil"/>
              <w:bottom w:val="nil"/>
              <w:right w:val="single" w:sz="8" w:space="0" w:color="auto"/>
            </w:tcBorders>
            <w:shd w:val="clear" w:color="auto" w:fill="auto"/>
            <w:vAlign w:val="center"/>
            <w:hideMark/>
          </w:tcPr>
          <w:p w:rsidR="00CD1346" w:rsidRPr="00CD1346" w:rsidRDefault="00CD1346" w:rsidP="00CD1346">
            <w:pPr>
              <w:spacing w:after="0" w:line="240" w:lineRule="auto"/>
              <w:jc w:val="right"/>
              <w:rPr>
                <w:rFonts w:ascii="Calibri" w:eastAsia="Times New Roman" w:hAnsi="Calibri" w:cs="Times New Roman"/>
                <w:color w:val="000000"/>
                <w:sz w:val="20"/>
                <w:szCs w:val="20"/>
              </w:rPr>
            </w:pPr>
            <w:r w:rsidRPr="00CD1346">
              <w:rPr>
                <w:rFonts w:ascii="Calibri" w:eastAsia="Times New Roman" w:hAnsi="Calibri" w:cs="Times New Roman"/>
                <w:color w:val="000000"/>
                <w:sz w:val="20"/>
                <w:szCs w:val="20"/>
              </w:rPr>
              <w:t>1</w:t>
            </w:r>
          </w:p>
        </w:tc>
        <w:tc>
          <w:tcPr>
            <w:tcW w:w="1170" w:type="dxa"/>
            <w:tcBorders>
              <w:top w:val="nil"/>
              <w:left w:val="nil"/>
              <w:bottom w:val="nil"/>
              <w:right w:val="single" w:sz="8" w:space="0" w:color="auto"/>
            </w:tcBorders>
            <w:shd w:val="clear" w:color="auto" w:fill="auto"/>
            <w:vAlign w:val="center"/>
            <w:hideMark/>
          </w:tcPr>
          <w:p w:rsidR="00CD1346" w:rsidRPr="00CD1346" w:rsidRDefault="00CD1346" w:rsidP="00CD1346">
            <w:pPr>
              <w:spacing w:after="0" w:line="240" w:lineRule="auto"/>
              <w:jc w:val="right"/>
              <w:rPr>
                <w:rFonts w:ascii="Calibri" w:eastAsia="Times New Roman" w:hAnsi="Calibri" w:cs="Times New Roman"/>
                <w:color w:val="000000"/>
                <w:sz w:val="20"/>
                <w:szCs w:val="20"/>
              </w:rPr>
            </w:pPr>
            <w:r w:rsidRPr="00CD1346">
              <w:rPr>
                <w:rFonts w:ascii="Calibri" w:eastAsia="Times New Roman" w:hAnsi="Calibri" w:cs="Times New Roman"/>
                <w:color w:val="000000"/>
                <w:sz w:val="20"/>
                <w:szCs w:val="20"/>
              </w:rPr>
              <w:t>0.25</w:t>
            </w:r>
          </w:p>
        </w:tc>
        <w:tc>
          <w:tcPr>
            <w:tcW w:w="1260" w:type="dxa"/>
            <w:gridSpan w:val="2"/>
            <w:tcBorders>
              <w:top w:val="nil"/>
              <w:left w:val="nil"/>
              <w:bottom w:val="nil"/>
              <w:right w:val="single" w:sz="8" w:space="0" w:color="auto"/>
            </w:tcBorders>
            <w:shd w:val="clear" w:color="auto" w:fill="auto"/>
            <w:vAlign w:val="center"/>
            <w:hideMark/>
          </w:tcPr>
          <w:p w:rsidR="00CD1346" w:rsidRPr="00CD1346" w:rsidRDefault="00CD1346" w:rsidP="00CD1346">
            <w:pPr>
              <w:spacing w:after="0" w:line="240" w:lineRule="auto"/>
              <w:jc w:val="right"/>
              <w:rPr>
                <w:rFonts w:ascii="Calibri" w:eastAsia="Times New Roman" w:hAnsi="Calibri" w:cs="Times New Roman"/>
                <w:color w:val="000000"/>
                <w:sz w:val="20"/>
                <w:szCs w:val="20"/>
              </w:rPr>
            </w:pPr>
            <w:r w:rsidRPr="00CD1346">
              <w:rPr>
                <w:rFonts w:ascii="Calibri" w:eastAsia="Times New Roman" w:hAnsi="Calibri" w:cs="Times New Roman"/>
                <w:color w:val="000000"/>
                <w:sz w:val="20"/>
                <w:szCs w:val="20"/>
              </w:rPr>
              <w:t>252.5</w:t>
            </w:r>
          </w:p>
        </w:tc>
      </w:tr>
      <w:tr w:rsidR="00C6032D" w:rsidRPr="00CD1346" w:rsidTr="00C6032D">
        <w:tblPrEx>
          <w:tblCellMar>
            <w:left w:w="108" w:type="dxa"/>
            <w:right w:w="108" w:type="dxa"/>
          </w:tblCellMar>
          <w:tblLook w:val="04A0"/>
        </w:tblPrEx>
        <w:trPr>
          <w:trHeight w:val="430"/>
        </w:trPr>
        <w:tc>
          <w:tcPr>
            <w:tcW w:w="4155" w:type="dxa"/>
            <w:gridSpan w:val="2"/>
            <w:tcBorders>
              <w:top w:val="nil"/>
              <w:left w:val="single" w:sz="8" w:space="0" w:color="auto"/>
              <w:bottom w:val="nil"/>
              <w:right w:val="single" w:sz="8" w:space="0" w:color="auto"/>
            </w:tcBorders>
            <w:shd w:val="clear" w:color="auto" w:fill="auto"/>
            <w:vAlign w:val="center"/>
            <w:hideMark/>
          </w:tcPr>
          <w:p w:rsidR="00C6032D" w:rsidRPr="00CD1346" w:rsidRDefault="00C6032D" w:rsidP="00CD1346">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Blue Star Museum Survey (FY 2013)</w:t>
            </w:r>
          </w:p>
        </w:tc>
        <w:tc>
          <w:tcPr>
            <w:tcW w:w="1350" w:type="dxa"/>
            <w:tcBorders>
              <w:top w:val="nil"/>
              <w:left w:val="nil"/>
              <w:bottom w:val="nil"/>
              <w:right w:val="single" w:sz="8" w:space="0" w:color="auto"/>
            </w:tcBorders>
            <w:shd w:val="clear" w:color="auto" w:fill="auto"/>
            <w:vAlign w:val="center"/>
            <w:hideMark/>
          </w:tcPr>
          <w:p w:rsidR="00C6032D" w:rsidRPr="00CD1346" w:rsidRDefault="00C6032D" w:rsidP="00CD1346">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2,000</w:t>
            </w:r>
          </w:p>
        </w:tc>
        <w:tc>
          <w:tcPr>
            <w:tcW w:w="1350" w:type="dxa"/>
            <w:tcBorders>
              <w:top w:val="nil"/>
              <w:left w:val="nil"/>
              <w:bottom w:val="nil"/>
              <w:right w:val="single" w:sz="8" w:space="0" w:color="auto"/>
            </w:tcBorders>
            <w:shd w:val="clear" w:color="auto" w:fill="auto"/>
            <w:vAlign w:val="center"/>
            <w:hideMark/>
          </w:tcPr>
          <w:p w:rsidR="00C6032D" w:rsidRPr="00CD1346" w:rsidRDefault="00C6032D" w:rsidP="00CD1346">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1</w:t>
            </w:r>
          </w:p>
        </w:tc>
        <w:tc>
          <w:tcPr>
            <w:tcW w:w="1170" w:type="dxa"/>
            <w:tcBorders>
              <w:top w:val="nil"/>
              <w:left w:val="nil"/>
              <w:bottom w:val="nil"/>
              <w:right w:val="single" w:sz="8" w:space="0" w:color="auto"/>
            </w:tcBorders>
            <w:shd w:val="clear" w:color="auto" w:fill="auto"/>
            <w:vAlign w:val="center"/>
            <w:hideMark/>
          </w:tcPr>
          <w:p w:rsidR="00C6032D" w:rsidRPr="00CD1346" w:rsidRDefault="00C6032D" w:rsidP="00CD1346">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.25</w:t>
            </w:r>
          </w:p>
        </w:tc>
        <w:tc>
          <w:tcPr>
            <w:tcW w:w="1260" w:type="dxa"/>
            <w:gridSpan w:val="2"/>
            <w:tcBorders>
              <w:top w:val="nil"/>
              <w:left w:val="nil"/>
              <w:bottom w:val="nil"/>
              <w:right w:val="single" w:sz="8" w:space="0" w:color="auto"/>
            </w:tcBorders>
            <w:shd w:val="clear" w:color="auto" w:fill="auto"/>
            <w:vAlign w:val="center"/>
            <w:hideMark/>
          </w:tcPr>
          <w:p w:rsidR="00C6032D" w:rsidRPr="00CD1346" w:rsidRDefault="00C6032D" w:rsidP="00CD1346">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500</w:t>
            </w:r>
          </w:p>
        </w:tc>
      </w:tr>
      <w:tr w:rsidR="00C6032D" w:rsidRPr="00CD1346" w:rsidTr="00CD1346">
        <w:tblPrEx>
          <w:tblCellMar>
            <w:left w:w="108" w:type="dxa"/>
            <w:right w:w="108" w:type="dxa"/>
          </w:tblCellMar>
          <w:tblLook w:val="04A0"/>
        </w:tblPrEx>
        <w:trPr>
          <w:trHeight w:val="430"/>
        </w:trPr>
        <w:tc>
          <w:tcPr>
            <w:tcW w:w="4155" w:type="dxa"/>
            <w:gridSpan w:val="2"/>
            <w:tcBorders>
              <w:top w:val="nil"/>
              <w:left w:val="single" w:sz="8" w:space="0" w:color="auto"/>
              <w:bottom w:val="single" w:sz="8" w:space="0" w:color="auto"/>
              <w:right w:val="single" w:sz="8" w:space="0" w:color="auto"/>
            </w:tcBorders>
            <w:shd w:val="clear" w:color="auto" w:fill="auto"/>
            <w:vAlign w:val="center"/>
            <w:hideMark/>
          </w:tcPr>
          <w:p w:rsidR="00C6032D" w:rsidRPr="00CD1346" w:rsidRDefault="00C6032D" w:rsidP="00CD1346">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Pilot Study of Audience Survey Phase II (FY 2013)</w:t>
            </w:r>
          </w:p>
        </w:tc>
        <w:tc>
          <w:tcPr>
            <w:tcW w:w="1350" w:type="dxa"/>
            <w:tcBorders>
              <w:top w:val="nil"/>
              <w:left w:val="nil"/>
              <w:bottom w:val="single" w:sz="8" w:space="0" w:color="auto"/>
              <w:right w:val="single" w:sz="8" w:space="0" w:color="auto"/>
            </w:tcBorders>
            <w:shd w:val="clear" w:color="auto" w:fill="auto"/>
            <w:vAlign w:val="center"/>
            <w:hideMark/>
          </w:tcPr>
          <w:p w:rsidR="00C6032D" w:rsidRPr="00CD1346" w:rsidRDefault="00C6032D" w:rsidP="00CD1346">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65000</w:t>
            </w:r>
          </w:p>
        </w:tc>
        <w:tc>
          <w:tcPr>
            <w:tcW w:w="1350" w:type="dxa"/>
            <w:tcBorders>
              <w:top w:val="nil"/>
              <w:left w:val="nil"/>
              <w:bottom w:val="single" w:sz="8" w:space="0" w:color="auto"/>
              <w:right w:val="single" w:sz="8" w:space="0" w:color="auto"/>
            </w:tcBorders>
            <w:shd w:val="clear" w:color="auto" w:fill="auto"/>
            <w:vAlign w:val="center"/>
            <w:hideMark/>
          </w:tcPr>
          <w:p w:rsidR="00C6032D" w:rsidRPr="00CD1346" w:rsidRDefault="00C6032D" w:rsidP="00CD1346">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1</w:t>
            </w:r>
          </w:p>
        </w:tc>
        <w:tc>
          <w:tcPr>
            <w:tcW w:w="1170" w:type="dxa"/>
            <w:tcBorders>
              <w:top w:val="nil"/>
              <w:left w:val="nil"/>
              <w:bottom w:val="single" w:sz="8" w:space="0" w:color="auto"/>
              <w:right w:val="single" w:sz="8" w:space="0" w:color="auto"/>
            </w:tcBorders>
            <w:shd w:val="clear" w:color="auto" w:fill="auto"/>
            <w:vAlign w:val="center"/>
            <w:hideMark/>
          </w:tcPr>
          <w:p w:rsidR="00C6032D" w:rsidRPr="00CD1346" w:rsidRDefault="00C6032D" w:rsidP="00CD1346">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.067</w:t>
            </w:r>
          </w:p>
        </w:tc>
        <w:tc>
          <w:tcPr>
            <w:tcW w:w="1260" w:type="dxa"/>
            <w:gridSpan w:val="2"/>
            <w:tcBorders>
              <w:top w:val="nil"/>
              <w:left w:val="nil"/>
              <w:bottom w:val="single" w:sz="8" w:space="0" w:color="auto"/>
              <w:right w:val="single" w:sz="8" w:space="0" w:color="auto"/>
            </w:tcBorders>
            <w:shd w:val="clear" w:color="auto" w:fill="auto"/>
            <w:vAlign w:val="center"/>
            <w:hideMark/>
          </w:tcPr>
          <w:p w:rsidR="00C6032D" w:rsidRPr="00CD1346" w:rsidRDefault="00C6032D" w:rsidP="00CD1346">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rPr>
              <w:t>4,333</w:t>
            </w:r>
          </w:p>
        </w:tc>
      </w:tr>
    </w:tbl>
    <w:p w:rsidR="00982095" w:rsidRPr="0090570B" w:rsidRDefault="00982095">
      <w:pPr>
        <w:tabs>
          <w:tab w:val="left" w:pos="-1080"/>
          <w:tab w:val="left" w:pos="-720"/>
          <w:tab w:val="left" w:pos="0"/>
          <w:tab w:val="left" w:pos="450"/>
          <w:tab w:val="left" w:pos="720"/>
          <w:tab w:val="left" w:pos="2160"/>
        </w:tabs>
        <w:spacing w:after="0" w:line="240" w:lineRule="auto"/>
        <w:rPr>
          <w:highlight w:val="yellow"/>
        </w:rPr>
      </w:pPr>
    </w:p>
    <w:p w:rsidR="00982095" w:rsidRPr="0090570B" w:rsidRDefault="00982095">
      <w:pPr>
        <w:tabs>
          <w:tab w:val="left" w:pos="-1080"/>
          <w:tab w:val="left" w:pos="-720"/>
          <w:tab w:val="left" w:pos="0"/>
          <w:tab w:val="left" w:pos="450"/>
          <w:tab w:val="left" w:pos="720"/>
          <w:tab w:val="left" w:pos="2160"/>
        </w:tabs>
        <w:spacing w:after="0" w:line="240" w:lineRule="auto"/>
        <w:rPr>
          <w:highlight w:val="yellow"/>
        </w:rPr>
      </w:pPr>
    </w:p>
    <w:p w:rsidR="00982095" w:rsidRPr="0032432E" w:rsidRDefault="00B01671">
      <w:pPr>
        <w:pStyle w:val="ListParagraph"/>
        <w:numPr>
          <w:ilvl w:val="0"/>
          <w:numId w:val="2"/>
        </w:numPr>
        <w:spacing w:after="0" w:line="240" w:lineRule="auto"/>
        <w:ind w:left="0"/>
        <w:rPr>
          <w:b/>
        </w:rPr>
      </w:pPr>
      <w:r w:rsidRPr="0032432E">
        <w:rPr>
          <w:b/>
        </w:rPr>
        <w:t>Costs to Respondents</w:t>
      </w:r>
    </w:p>
    <w:p w:rsidR="00982095" w:rsidRPr="0032432E" w:rsidRDefault="00982095">
      <w:pPr>
        <w:pStyle w:val="ListParagraph"/>
        <w:spacing w:after="0" w:line="240" w:lineRule="auto"/>
        <w:ind w:left="0"/>
        <w:rPr>
          <w:b/>
        </w:rPr>
      </w:pPr>
    </w:p>
    <w:p w:rsidR="00982095" w:rsidRPr="0032432E" w:rsidRDefault="00B01671">
      <w:pPr>
        <w:spacing w:after="0" w:line="240" w:lineRule="auto"/>
      </w:pPr>
      <w:r w:rsidRPr="0032432E">
        <w:t xml:space="preserve">No costs are anticipated.  </w:t>
      </w:r>
    </w:p>
    <w:p w:rsidR="00982095" w:rsidRPr="0090570B" w:rsidRDefault="00982095">
      <w:pPr>
        <w:spacing w:after="0" w:line="240" w:lineRule="auto"/>
        <w:rPr>
          <w:highlight w:val="yellow"/>
        </w:rPr>
      </w:pPr>
    </w:p>
    <w:p w:rsidR="00982095" w:rsidRPr="0090570B" w:rsidRDefault="00982095">
      <w:pPr>
        <w:spacing w:after="0" w:line="240" w:lineRule="auto"/>
        <w:rPr>
          <w:highlight w:val="yellow"/>
        </w:rPr>
      </w:pPr>
    </w:p>
    <w:p w:rsidR="00982095" w:rsidRPr="00CD1346" w:rsidRDefault="001E7ED1" w:rsidP="000471DC">
      <w:pPr>
        <w:pStyle w:val="ListParagraph"/>
        <w:keepNext/>
        <w:keepLines/>
        <w:widowControl w:val="0"/>
        <w:numPr>
          <w:ilvl w:val="0"/>
          <w:numId w:val="2"/>
        </w:numPr>
        <w:spacing w:after="0" w:line="240" w:lineRule="auto"/>
        <w:ind w:left="0"/>
        <w:rPr>
          <w:b/>
        </w:rPr>
      </w:pPr>
      <w:r w:rsidRPr="001E7ED1">
        <w:rPr>
          <w:b/>
        </w:rPr>
        <w:t>Costs to Federal Government</w:t>
      </w:r>
    </w:p>
    <w:p w:rsidR="00982095" w:rsidRPr="0090570B" w:rsidRDefault="00982095" w:rsidP="000471DC">
      <w:pPr>
        <w:pStyle w:val="ListParagraph"/>
        <w:keepNext/>
        <w:keepLines/>
        <w:widowControl w:val="0"/>
        <w:spacing w:after="0" w:line="240" w:lineRule="auto"/>
        <w:ind w:left="0"/>
        <w:rPr>
          <w:b/>
          <w:highlight w:val="yellow"/>
        </w:rPr>
      </w:pPr>
    </w:p>
    <w:p w:rsidR="00CC67E2" w:rsidRDefault="001E7ED1" w:rsidP="000471DC">
      <w:pPr>
        <w:pStyle w:val="ListParagraph"/>
        <w:keepNext/>
        <w:keepLines/>
        <w:widowControl w:val="0"/>
        <w:spacing w:after="0" w:line="240" w:lineRule="auto"/>
        <w:ind w:left="0"/>
      </w:pPr>
      <w:r w:rsidRPr="001E7ED1">
        <w:t>The anticipated cost to the Federal Government is approximately $40,500 in FY 2011, $125,000 in FY 2012, and under $500 in FY2013. These costs are comprised of: contractor costs associated with the pilot survey development, administration, collection, reporting, and analysis for the Grantee Audience Survey and Supplement to the General Social Survey, the online survey software subscription, and other costs necessary to collect the information approved under this generic clearance.</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Reason for Change</w:t>
      </w:r>
    </w:p>
    <w:p w:rsidR="00982095" w:rsidRDefault="00982095">
      <w:pPr>
        <w:pStyle w:val="ListParagraph"/>
        <w:spacing w:after="0" w:line="240" w:lineRule="auto"/>
        <w:ind w:left="0"/>
        <w:rPr>
          <w:b/>
        </w:rPr>
      </w:pPr>
    </w:p>
    <w:p w:rsidR="002A02F0" w:rsidRDefault="002A02F0" w:rsidP="002A02F0">
      <w:pPr>
        <w:spacing w:after="0" w:line="240" w:lineRule="auto"/>
      </w:pPr>
      <w:r w:rsidRPr="002A02F0">
        <w:t xml:space="preserve">This change is being submitted through ROCIS to reflect additional information collection requests that will be submitted under this Generic ICR due to changes in NEA programming. These additional information collections include one participant survey (Blue Star Museum Participant Survey) and one survey associated with the second phase of a pilot test for the Audience Impact project. Neither of these additions was anticipated at the time of the original Generic ICR submission. </w:t>
      </w:r>
    </w:p>
    <w:p w:rsidR="002A02F0" w:rsidRPr="002A02F0" w:rsidRDefault="002A02F0" w:rsidP="002A02F0">
      <w:pPr>
        <w:spacing w:after="0" w:line="240" w:lineRule="auto"/>
      </w:pPr>
    </w:p>
    <w:p w:rsidR="002A02F0" w:rsidRDefault="002A02F0" w:rsidP="002A02F0">
      <w:pPr>
        <w:spacing w:after="0" w:line="240" w:lineRule="auto"/>
      </w:pPr>
      <w:r w:rsidRPr="002A02F0">
        <w:t xml:space="preserve">Note that all the surveys included in this non-substantive change are voluntary. </w:t>
      </w:r>
    </w:p>
    <w:p w:rsidR="002A02F0" w:rsidRPr="002A02F0" w:rsidRDefault="002A02F0" w:rsidP="002A02F0">
      <w:pPr>
        <w:spacing w:after="0" w:line="240" w:lineRule="auto"/>
      </w:pPr>
    </w:p>
    <w:p w:rsidR="002A02F0" w:rsidRDefault="002A02F0" w:rsidP="002A02F0">
      <w:pPr>
        <w:spacing w:after="0" w:line="240" w:lineRule="auto"/>
      </w:pPr>
      <w:r w:rsidRPr="002A02F0">
        <w:t xml:space="preserve">The Blue Star Museum Participant Survey that is included in this non-substantive change is conducted annually. Its purpose is to solicit opinions from individuals who participate in the Blue Star Museums program so that the NEA can identify the number of program attendees and improve future implementation of the program. The additional burden in this non-substantive change (2,000 responses; 15 minutes per response; total burden of 500 minutes) is based on the actual burden realized in previous years of the survey. </w:t>
      </w:r>
    </w:p>
    <w:p w:rsidR="002A02F0" w:rsidRPr="002A02F0" w:rsidRDefault="002A02F0" w:rsidP="002A02F0">
      <w:pPr>
        <w:spacing w:after="0" w:line="240" w:lineRule="auto"/>
      </w:pPr>
    </w:p>
    <w:p w:rsidR="002A02F0" w:rsidRDefault="002A02F0" w:rsidP="002A02F0">
      <w:pPr>
        <w:spacing w:after="0" w:line="240" w:lineRule="auto"/>
      </w:pPr>
      <w:r w:rsidRPr="002A02F0">
        <w:t xml:space="preserve">The second phase of the pilot test of the Audience Impact project involves testing a survey instrument with audience members of three grantees from each of our disciplines that put on live events (a total of approximately 30 grantees). Grantees who participate will be give materials to publicize a web-based survey to their audience members. The survey is very similar to a customer satisfaction survey. It is voluntary both for the grantees to participate and for the audience members to respond to the survey. We estimate that the survey will take approximately 5 minutes complete. </w:t>
      </w:r>
    </w:p>
    <w:p w:rsidR="002A02F0" w:rsidRPr="002A02F0" w:rsidRDefault="002A02F0" w:rsidP="002A02F0">
      <w:pPr>
        <w:spacing w:after="0" w:line="240" w:lineRule="auto"/>
      </w:pPr>
    </w:p>
    <w:p w:rsidR="002A02F0" w:rsidRDefault="002A02F0" w:rsidP="002A02F0">
      <w:pPr>
        <w:spacing w:after="0" w:line="240" w:lineRule="auto"/>
      </w:pPr>
      <w:r w:rsidRPr="002A02F0">
        <w:t xml:space="preserve">The publicity materials for the survey will be inserted in playbills and/or printed on posters that are displayed in the performance venues. This means that the potential respondent pool is every individual who attends the event. Again, the survey is very similar to a customer satisfaction survey. Our calculations about expected responses are based on the following calculation: </w:t>
      </w:r>
    </w:p>
    <w:p w:rsidR="002A02F0" w:rsidRPr="002A02F0" w:rsidRDefault="002A02F0" w:rsidP="002A02F0">
      <w:pPr>
        <w:spacing w:after="0" w:line="240" w:lineRule="auto"/>
      </w:pPr>
    </w:p>
    <w:p w:rsidR="002A02F0" w:rsidRPr="002A02F0" w:rsidRDefault="002A02F0" w:rsidP="002A02F0">
      <w:pPr>
        <w:numPr>
          <w:ilvl w:val="0"/>
          <w:numId w:val="17"/>
        </w:numPr>
        <w:spacing w:after="0" w:line="240" w:lineRule="auto"/>
      </w:pPr>
      <w:r w:rsidRPr="002A02F0">
        <w:t xml:space="preserve">We calculate the average estimated number of projected audience members using data from grant applications; </w:t>
      </w:r>
    </w:p>
    <w:p w:rsidR="002A02F0" w:rsidRPr="002A02F0" w:rsidRDefault="002A02F0" w:rsidP="002A02F0">
      <w:pPr>
        <w:numPr>
          <w:ilvl w:val="0"/>
          <w:numId w:val="17"/>
        </w:numPr>
        <w:spacing w:after="0" w:line="240" w:lineRule="auto"/>
      </w:pPr>
      <w:r w:rsidRPr="002A02F0">
        <w:t>We estimate a 10% response rate for live performances and a 3% response rate for museum attendees;</w:t>
      </w:r>
    </w:p>
    <w:p w:rsidR="002A02F0" w:rsidRPr="002A02F0" w:rsidRDefault="002A02F0" w:rsidP="002A02F0">
      <w:pPr>
        <w:numPr>
          <w:ilvl w:val="0"/>
          <w:numId w:val="17"/>
        </w:numPr>
        <w:spacing w:after="0" w:line="240" w:lineRule="auto"/>
      </w:pPr>
      <w:r w:rsidRPr="002A02F0">
        <w:t xml:space="preserve">We calculate the number of responses based on our expectation of 30 participating organizations for the entire pilot test. </w:t>
      </w:r>
    </w:p>
    <w:p w:rsidR="002A02F0" w:rsidRDefault="002A02F0" w:rsidP="002A02F0">
      <w:pPr>
        <w:spacing w:after="0" w:line="240" w:lineRule="auto"/>
      </w:pPr>
    </w:p>
    <w:p w:rsidR="002A02F0" w:rsidRDefault="002A02F0" w:rsidP="002A02F0">
      <w:pPr>
        <w:spacing w:after="0" w:line="240" w:lineRule="auto"/>
      </w:pPr>
      <w:r w:rsidRPr="002A02F0">
        <w:t xml:space="preserve">This method leads to an estimate of 65,000 responses and, at 4 minutes per response, a total burden of 4,333 hours. </w:t>
      </w:r>
    </w:p>
    <w:p w:rsidR="002A02F0" w:rsidRPr="002A02F0" w:rsidRDefault="002A02F0" w:rsidP="002A02F0">
      <w:pPr>
        <w:spacing w:after="0" w:line="240" w:lineRule="auto"/>
      </w:pPr>
    </w:p>
    <w:p w:rsidR="002A02F0" w:rsidRPr="002A02F0" w:rsidRDefault="002A02F0" w:rsidP="002A02F0">
      <w:pPr>
        <w:spacing w:after="0" w:line="240" w:lineRule="auto"/>
      </w:pPr>
      <w:r w:rsidRPr="002A02F0">
        <w:t xml:space="preserve">If this approach to collecting audience impact data proves fruitful, NEA plans to implement the project on a more comprehensive basis in future years as part of our performance measurement activities under our strategic plan. </w:t>
      </w: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982095" w:rsidRDefault="000C0A7E">
      <w:pPr>
        <w:spacing w:after="0" w:line="240" w:lineRule="auto"/>
      </w:pPr>
      <w:r>
        <w:t>These activities comply with the requirements in 5 CFR 1320.9.</w:t>
      </w:r>
    </w:p>
    <w:p w:rsidR="00982095" w:rsidRDefault="00982095">
      <w:pPr>
        <w:pStyle w:val="BodyTextIndent3"/>
        <w:tabs>
          <w:tab w:val="clear" w:pos="360"/>
        </w:tabs>
        <w:ind w:left="0"/>
        <w:rPr>
          <w:b/>
        </w:rPr>
      </w:pPr>
    </w:p>
    <w:p w:rsidR="00982095" w:rsidRDefault="00982095">
      <w:pPr>
        <w:pStyle w:val="BodyTextIndent3"/>
        <w:tabs>
          <w:tab w:val="clear" w:pos="360"/>
        </w:tabs>
        <w:ind w:left="0"/>
        <w:rPr>
          <w:b/>
        </w:rPr>
      </w:pPr>
    </w:p>
    <w:p w:rsidR="00982095" w:rsidRDefault="00982095">
      <w:pPr>
        <w:pStyle w:val="BodyTextIndent3"/>
        <w:tabs>
          <w:tab w:val="clear" w:pos="360"/>
        </w:tabs>
        <w:ind w:left="0"/>
        <w:rPr>
          <w:b/>
        </w:rPr>
      </w:pPr>
    </w:p>
    <w:p w:rsidR="001E44AB" w:rsidRDefault="001E44AB">
      <w:pPr>
        <w:rPr>
          <w:rFonts w:ascii="Tahoma" w:eastAsia="Times New Roman" w:hAnsi="Tahoma" w:cs="Times New Roman"/>
          <w:b/>
          <w:sz w:val="20"/>
          <w:szCs w:val="20"/>
        </w:rPr>
      </w:pPr>
      <w:r>
        <w:rPr>
          <w:b/>
        </w:rPr>
        <w:br w:type="page"/>
      </w:r>
    </w:p>
    <w:p w:rsidR="00982095" w:rsidRDefault="000C0A7E">
      <w:pPr>
        <w:pStyle w:val="BodyTextIndent3"/>
        <w:tabs>
          <w:tab w:val="clear" w:pos="360"/>
        </w:tabs>
        <w:ind w:left="0"/>
        <w:rPr>
          <w:b/>
        </w:rPr>
      </w:pPr>
      <w:r>
        <w:rPr>
          <w:b/>
        </w:rPr>
        <w:lastRenderedPageBreak/>
        <w:t>B.</w:t>
      </w:r>
      <w:r>
        <w:rPr>
          <w:b/>
        </w:rPr>
        <w:tab/>
        <w:t>STATISTICAL METHODS</w:t>
      </w:r>
    </w:p>
    <w:p w:rsidR="00982095" w:rsidRDefault="00982095">
      <w:pPr>
        <w:pStyle w:val="BodyTextIndent3"/>
        <w:ind w:left="0"/>
        <w:rPr>
          <w:b/>
        </w:rPr>
      </w:pPr>
    </w:p>
    <w:p w:rsidR="00982095" w:rsidRDefault="000C0A7E">
      <w:pPr>
        <w:spacing w:after="0" w:line="240" w:lineRule="auto"/>
        <w:rPr>
          <w:b/>
        </w:rPr>
      </w:pPr>
      <w:r>
        <w:t>Data collection methods and procedures will vary; however, the primary purpose of these collections will be for internal management purposes; there are no plans to publish or otherwise release this information.</w:t>
      </w:r>
      <w:r w:rsidR="00914716">
        <w:t xml:space="preserve"> </w:t>
      </w:r>
      <w:r w:rsidR="00571BDB">
        <w:t xml:space="preserve"> </w:t>
      </w:r>
    </w:p>
    <w:p w:rsidR="006C068A" w:rsidRDefault="006C068A">
      <w:pPr>
        <w:spacing w:after="0" w:line="240" w:lineRule="auto"/>
        <w:rPr>
          <w:b/>
        </w:rPr>
      </w:pPr>
    </w:p>
    <w:p w:rsidR="00982095" w:rsidRDefault="000C0A7E">
      <w:pPr>
        <w:pStyle w:val="ListParagraph"/>
        <w:numPr>
          <w:ilvl w:val="0"/>
          <w:numId w:val="12"/>
        </w:numPr>
        <w:spacing w:after="0" w:line="240" w:lineRule="auto"/>
        <w:rPr>
          <w:b/>
        </w:rPr>
      </w:pPr>
      <w:r>
        <w:rPr>
          <w:b/>
        </w:rPr>
        <w:t>Universe and Respondent Selection</w:t>
      </w:r>
    </w:p>
    <w:p w:rsidR="00982095" w:rsidRDefault="00982095">
      <w:pPr>
        <w:pStyle w:val="ListParagraph"/>
        <w:spacing w:after="0" w:line="240" w:lineRule="auto"/>
        <w:ind w:left="360"/>
        <w:rPr>
          <w:b/>
        </w:rPr>
      </w:pPr>
    </w:p>
    <w:p w:rsidR="00982095" w:rsidRDefault="000C0A7E">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982095" w:rsidRDefault="00982095">
      <w:pPr>
        <w:pStyle w:val="ListParagraph"/>
        <w:spacing w:after="0" w:line="240" w:lineRule="auto"/>
        <w:ind w:left="360"/>
      </w:pPr>
    </w:p>
    <w:p w:rsidR="00982095" w:rsidRDefault="000C0A7E">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982095" w:rsidRDefault="00982095">
      <w:pPr>
        <w:pStyle w:val="ListParagraph"/>
        <w:spacing w:after="0" w:line="240" w:lineRule="auto"/>
        <w:ind w:left="360"/>
      </w:pPr>
    </w:p>
    <w:p w:rsidR="00982095" w:rsidRDefault="002B0B32">
      <w:pPr>
        <w:pStyle w:val="ListParagraph"/>
        <w:spacing w:after="0" w:line="240" w:lineRule="auto"/>
        <w:ind w:left="360"/>
      </w:pPr>
      <w:r>
        <w:t xml:space="preserve">The </w:t>
      </w:r>
      <w:r w:rsidR="000C0A7E">
        <w:t xml:space="preserve">samples </w:t>
      </w:r>
      <w:r>
        <w:t xml:space="preserve">associated with this collection </w:t>
      </w:r>
      <w:r w:rsidR="000C0A7E">
        <w:t>are not subjected to the same scrutiny as scientifically drawn samples where estimates</w:t>
      </w:r>
      <w:r w:rsidR="006C068A">
        <w:t xml:space="preserve"> </w:t>
      </w:r>
      <w:r w:rsidR="000C0A7E">
        <w:t>are published or otherwise released</w:t>
      </w:r>
      <w:r w:rsidR="00BE0599">
        <w:t xml:space="preserve"> to the public</w:t>
      </w:r>
      <w:r w:rsidR="000C0A7E">
        <w:t xml:space="preserve">.  </w:t>
      </w:r>
      <w:r w:rsidR="000C0A7E">
        <w:tab/>
      </w:r>
    </w:p>
    <w:p w:rsidR="00982095" w:rsidRDefault="00982095">
      <w:pPr>
        <w:pStyle w:val="ListParagraph"/>
        <w:spacing w:after="0" w:line="240" w:lineRule="auto"/>
        <w:ind w:left="360"/>
      </w:pP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Procedures for Collecting Information</w:t>
      </w:r>
    </w:p>
    <w:p w:rsidR="00982095" w:rsidRDefault="00982095">
      <w:pPr>
        <w:pStyle w:val="ListParagraph"/>
        <w:spacing w:after="0" w:line="240" w:lineRule="auto"/>
        <w:ind w:left="360"/>
        <w:rPr>
          <w:b/>
        </w:rPr>
      </w:pPr>
    </w:p>
    <w:p w:rsidR="00982095" w:rsidRDefault="000C0A7E">
      <w:pPr>
        <w:pStyle w:val="ListParagraph"/>
        <w:spacing w:after="0" w:line="240" w:lineRule="auto"/>
        <w:ind w:left="360"/>
      </w:pPr>
      <w:r>
        <w:t xml:space="preserve">Data collection methods and procedures will vary and the specifics of these will be provided with each collection request. </w:t>
      </w:r>
      <w:r w:rsidR="005362FC">
        <w:t xml:space="preserve">The Agency </w:t>
      </w:r>
      <w:r w:rsidR="001628A1" w:rsidRPr="00BE0599">
        <w:t>expects to use a variety of methodologies for these collections</w:t>
      </w:r>
      <w:r w:rsidR="00BE0599">
        <w:t xml:space="preserve">. </w:t>
      </w:r>
      <w:r w:rsidR="00D64AAF" w:rsidRPr="00D64AAF">
        <w:t>For example,</w:t>
      </w:r>
      <w:r w:rsidR="004A1CF9">
        <w:t xml:space="preserve"> </w:t>
      </w:r>
      <w:r w:rsidR="00513A34">
        <w:t xml:space="preserve">the Agency </w:t>
      </w:r>
      <w:r>
        <w:t>or its contractors may use commercial survey-specific software to automate its collection and analysis of feedback.  In addition to physical copies, information collection instruments may be electronically disseminated and/or posted on target pages of the</w:t>
      </w:r>
      <w:r w:rsidR="005362FC">
        <w:t xml:space="preserve"> Agency’</w:t>
      </w:r>
      <w:r>
        <w:t xml:space="preserve">s </w:t>
      </w:r>
      <w:r w:rsidR="004A1CF9">
        <w:t xml:space="preserve">web </w:t>
      </w:r>
      <w:r>
        <w:t>site.  Telephone scripts, personal interviews, and focus groups with professional guidance and moderation may also be used.</w:t>
      </w:r>
    </w:p>
    <w:p w:rsidR="00982095" w:rsidRDefault="00982095">
      <w:pPr>
        <w:pStyle w:val="ListParagraph"/>
        <w:spacing w:after="0" w:line="240" w:lineRule="auto"/>
        <w:ind w:left="360"/>
        <w:rPr>
          <w:b/>
        </w:rPr>
      </w:pP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Methods to Maximize Response</w:t>
      </w:r>
    </w:p>
    <w:p w:rsidR="00982095" w:rsidRDefault="00982095">
      <w:pPr>
        <w:pStyle w:val="ListParagraph"/>
        <w:spacing w:after="0" w:line="240" w:lineRule="auto"/>
        <w:ind w:left="360"/>
      </w:pPr>
    </w:p>
    <w:p w:rsidR="00982095" w:rsidRDefault="000C0A7E">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Testing of Procedures</w:t>
      </w:r>
    </w:p>
    <w:p w:rsidR="00982095" w:rsidRDefault="000C0A7E">
      <w:pPr>
        <w:pStyle w:val="ListParagraph"/>
        <w:spacing w:after="0" w:line="240" w:lineRule="auto"/>
        <w:ind w:left="360"/>
        <w:rPr>
          <w:b/>
        </w:rPr>
      </w:pPr>
      <w:r>
        <w:rPr>
          <w:b/>
        </w:rPr>
        <w:t xml:space="preserve"> </w:t>
      </w:r>
    </w:p>
    <w:p w:rsidR="00982095" w:rsidRDefault="000C0A7E">
      <w:pPr>
        <w:pStyle w:val="ListParagraph"/>
        <w:spacing w:after="0" w:line="240" w:lineRule="auto"/>
        <w:ind w:left="360"/>
        <w:rPr>
          <w:b/>
        </w:rPr>
      </w:pPr>
      <w:r>
        <w:t xml:space="preserve">Pretesting may be done with internal staff, a limited number of external colleagues, and/or customers who are familiar with the programs and products.  If the number of pretest respondents exceeds nine members of the public, </w:t>
      </w:r>
      <w:r w:rsidR="005362FC">
        <w:t xml:space="preserve">the Agency </w:t>
      </w:r>
      <w:r>
        <w:t>will submit the pretest instruments for review under this generic clearance.</w:t>
      </w:r>
    </w:p>
    <w:p w:rsidR="00982095" w:rsidRDefault="00982095">
      <w:pPr>
        <w:pStyle w:val="ListParagraph"/>
        <w:spacing w:after="0" w:line="240" w:lineRule="auto"/>
        <w:ind w:left="360"/>
        <w:rPr>
          <w:b/>
        </w:rPr>
      </w:pP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Contacts for Statistical Aspects and Data Collection</w:t>
      </w:r>
    </w:p>
    <w:p w:rsidR="00982095" w:rsidRDefault="00982095">
      <w:pPr>
        <w:pStyle w:val="ListParagraph"/>
        <w:spacing w:after="0" w:line="240" w:lineRule="auto"/>
        <w:ind w:left="360"/>
        <w:rPr>
          <w:b/>
        </w:rPr>
      </w:pPr>
    </w:p>
    <w:p w:rsidR="00982095" w:rsidRDefault="000C0A7E">
      <w:pPr>
        <w:pStyle w:val="ListParagraph"/>
        <w:spacing w:after="0" w:line="240" w:lineRule="auto"/>
        <w:ind w:left="360"/>
      </w:pPr>
      <w:r>
        <w:t>Each program will obtain information from statisticians in the development, design, conduct, and analysis of customer/partner service surveys</w:t>
      </w:r>
      <w:r w:rsidR="00172EEC">
        <w:t>, when appropriate</w:t>
      </w:r>
      <w:r>
        <w:t>.  This statistical expertise will be available from agency statisticians or from contractors and</w:t>
      </w:r>
      <w:r w:rsidR="005362FC">
        <w:t xml:space="preserve"> the Agency </w:t>
      </w:r>
      <w:r>
        <w:t xml:space="preserve">will include the names and contact information of persons consulted in the specific information collection requests submitted under this generic clearance.  </w:t>
      </w:r>
    </w:p>
    <w:p w:rsidR="00982095" w:rsidRDefault="00982095">
      <w:pPr>
        <w:spacing w:after="0" w:line="240" w:lineRule="auto"/>
        <w:ind w:left="360"/>
      </w:pPr>
    </w:p>
    <w:sectPr w:rsidR="00982095"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755C" w:rsidRDefault="003B755C">
      <w:pPr>
        <w:spacing w:after="0" w:line="240" w:lineRule="auto"/>
      </w:pPr>
      <w:r>
        <w:separator/>
      </w:r>
    </w:p>
  </w:endnote>
  <w:endnote w:type="continuationSeparator" w:id="0">
    <w:p w:rsidR="003B755C" w:rsidRDefault="003B75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755C" w:rsidRDefault="003B755C">
      <w:pPr>
        <w:spacing w:after="0" w:line="240" w:lineRule="auto"/>
      </w:pPr>
      <w:r>
        <w:separator/>
      </w:r>
    </w:p>
  </w:footnote>
  <w:footnote w:type="continuationSeparator" w:id="0">
    <w:p w:rsidR="003B755C" w:rsidRDefault="003B755C">
      <w:pPr>
        <w:spacing w:after="0" w:line="240" w:lineRule="auto"/>
      </w:pPr>
      <w:r>
        <w:continuationSeparator/>
      </w:r>
    </w:p>
  </w:footnote>
  <w:footnote w:id="1">
    <w:p w:rsidR="003B755C" w:rsidRDefault="003B755C"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55C" w:rsidRDefault="003B755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55C" w:rsidRDefault="003B755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55C" w:rsidRDefault="003B755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7EF42B5"/>
    <w:multiLevelType w:val="hybridMultilevel"/>
    <w:tmpl w:val="C1F21BE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4"/>
  </w:num>
  <w:num w:numId="3">
    <w:abstractNumId w:val="0"/>
  </w:num>
  <w:num w:numId="4">
    <w:abstractNumId w:val="2"/>
  </w:num>
  <w:num w:numId="5">
    <w:abstractNumId w:val="13"/>
  </w:num>
  <w:num w:numId="6">
    <w:abstractNumId w:val="9"/>
  </w:num>
  <w:num w:numId="7">
    <w:abstractNumId w:val="12"/>
  </w:num>
  <w:num w:numId="8">
    <w:abstractNumId w:val="8"/>
  </w:num>
  <w:num w:numId="9">
    <w:abstractNumId w:val="11"/>
  </w:num>
  <w:num w:numId="10">
    <w:abstractNumId w:val="4"/>
  </w:num>
  <w:num w:numId="11">
    <w:abstractNumId w:val="15"/>
  </w:num>
  <w:num w:numId="12">
    <w:abstractNumId w:val="5"/>
  </w:num>
  <w:num w:numId="13">
    <w:abstractNumId w:val="1"/>
  </w:num>
  <w:num w:numId="14">
    <w:abstractNumId w:val="16"/>
  </w:num>
  <w:num w:numId="15">
    <w:abstractNumId w:val="3"/>
  </w:num>
  <w:num w:numId="16">
    <w:abstractNumId w:val="7"/>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useFELayout/>
  </w:compat>
  <w:rsids>
    <w:rsidRoot w:val="00982095"/>
    <w:rsid w:val="00043B2E"/>
    <w:rsid w:val="000471DC"/>
    <w:rsid w:val="00066515"/>
    <w:rsid w:val="000A410F"/>
    <w:rsid w:val="000B4026"/>
    <w:rsid w:val="000C0A7E"/>
    <w:rsid w:val="001207A2"/>
    <w:rsid w:val="00120A60"/>
    <w:rsid w:val="00153E20"/>
    <w:rsid w:val="001628A1"/>
    <w:rsid w:val="00172EEC"/>
    <w:rsid w:val="001A13F4"/>
    <w:rsid w:val="001A1E1C"/>
    <w:rsid w:val="001B43EE"/>
    <w:rsid w:val="001B5644"/>
    <w:rsid w:val="001E41E5"/>
    <w:rsid w:val="001E44AB"/>
    <w:rsid w:val="001E7A97"/>
    <w:rsid w:val="001E7ED1"/>
    <w:rsid w:val="001F7BC9"/>
    <w:rsid w:val="00256D0E"/>
    <w:rsid w:val="0029408A"/>
    <w:rsid w:val="002A02F0"/>
    <w:rsid w:val="002A35E6"/>
    <w:rsid w:val="002B0B32"/>
    <w:rsid w:val="0032432E"/>
    <w:rsid w:val="00324AF8"/>
    <w:rsid w:val="00336169"/>
    <w:rsid w:val="00352779"/>
    <w:rsid w:val="00377B51"/>
    <w:rsid w:val="003A2F20"/>
    <w:rsid w:val="003A7A16"/>
    <w:rsid w:val="003B755C"/>
    <w:rsid w:val="003E339C"/>
    <w:rsid w:val="003F5F2D"/>
    <w:rsid w:val="00404071"/>
    <w:rsid w:val="0044553C"/>
    <w:rsid w:val="00460EB1"/>
    <w:rsid w:val="00474C83"/>
    <w:rsid w:val="004970C8"/>
    <w:rsid w:val="004A1CF9"/>
    <w:rsid w:val="00513A34"/>
    <w:rsid w:val="005362FC"/>
    <w:rsid w:val="00562B18"/>
    <w:rsid w:val="0057123E"/>
    <w:rsid w:val="00571BDB"/>
    <w:rsid w:val="00572831"/>
    <w:rsid w:val="005A10E3"/>
    <w:rsid w:val="005E5A3B"/>
    <w:rsid w:val="00607287"/>
    <w:rsid w:val="006656C5"/>
    <w:rsid w:val="0067270D"/>
    <w:rsid w:val="006B2FF7"/>
    <w:rsid w:val="006C068A"/>
    <w:rsid w:val="006F37A4"/>
    <w:rsid w:val="00701CF7"/>
    <w:rsid w:val="00731D48"/>
    <w:rsid w:val="00741F8C"/>
    <w:rsid w:val="0074733F"/>
    <w:rsid w:val="00783842"/>
    <w:rsid w:val="007903D0"/>
    <w:rsid w:val="007A268D"/>
    <w:rsid w:val="007E102D"/>
    <w:rsid w:val="00894356"/>
    <w:rsid w:val="008A6FC5"/>
    <w:rsid w:val="008F21DF"/>
    <w:rsid w:val="0090570B"/>
    <w:rsid w:val="00914716"/>
    <w:rsid w:val="00915BDA"/>
    <w:rsid w:val="00982095"/>
    <w:rsid w:val="009E75C8"/>
    <w:rsid w:val="00A12AC9"/>
    <w:rsid w:val="00A52F7E"/>
    <w:rsid w:val="00A61272"/>
    <w:rsid w:val="00A666FD"/>
    <w:rsid w:val="00A96367"/>
    <w:rsid w:val="00AA39DA"/>
    <w:rsid w:val="00AA3F96"/>
    <w:rsid w:val="00AC207F"/>
    <w:rsid w:val="00AC2497"/>
    <w:rsid w:val="00AF55E9"/>
    <w:rsid w:val="00B01671"/>
    <w:rsid w:val="00BA1806"/>
    <w:rsid w:val="00BC63CD"/>
    <w:rsid w:val="00BD13BB"/>
    <w:rsid w:val="00BE0599"/>
    <w:rsid w:val="00BF2E89"/>
    <w:rsid w:val="00BF7558"/>
    <w:rsid w:val="00C200D1"/>
    <w:rsid w:val="00C6032D"/>
    <w:rsid w:val="00C61970"/>
    <w:rsid w:val="00C62FA2"/>
    <w:rsid w:val="00CC2FDD"/>
    <w:rsid w:val="00CC67E2"/>
    <w:rsid w:val="00CD1346"/>
    <w:rsid w:val="00CD2746"/>
    <w:rsid w:val="00D30F06"/>
    <w:rsid w:val="00D64405"/>
    <w:rsid w:val="00D64AAF"/>
    <w:rsid w:val="00D93FE0"/>
    <w:rsid w:val="00DA3AFF"/>
    <w:rsid w:val="00DC609E"/>
    <w:rsid w:val="00DE07E7"/>
    <w:rsid w:val="00EA6DFD"/>
    <w:rsid w:val="00EB2D61"/>
    <w:rsid w:val="00F15BAA"/>
    <w:rsid w:val="00F31E34"/>
    <w:rsid w:val="00FA1D10"/>
    <w:rsid w:val="00FB11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r="http://schemas.openxmlformats.org/officeDocument/2006/relationships" xmlns:w="http://schemas.openxmlformats.org/wordprocessingml/2006/main">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501388539">
      <w:bodyDiv w:val="1"/>
      <w:marLeft w:val="0"/>
      <w:marRight w:val="0"/>
      <w:marTop w:val="0"/>
      <w:marBottom w:val="0"/>
      <w:divBdr>
        <w:top w:val="none" w:sz="0" w:space="0" w:color="auto"/>
        <w:left w:val="none" w:sz="0" w:space="0" w:color="auto"/>
        <w:bottom w:val="none" w:sz="0" w:space="0" w:color="auto"/>
        <w:right w:val="none" w:sz="0" w:space="0" w:color="auto"/>
      </w:divBdr>
    </w:div>
    <w:div w:id="1949388395">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2543E-58DA-4EFD-AB8F-7D0967240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2476</Words>
  <Characters>14118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16561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Steven Shewfelt</cp:lastModifiedBy>
  <cp:revision>4</cp:revision>
  <cp:lastPrinted>2010-10-14T15:18:00Z</cp:lastPrinted>
  <dcterms:created xsi:type="dcterms:W3CDTF">2013-01-16T17:40:00Z</dcterms:created>
  <dcterms:modified xsi:type="dcterms:W3CDTF">2013-01-16T17:45:00Z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-1566804205</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-461712479</vt:i4>
  </property>
  <property fmtid="{D5CDD505-2E9C-101B-9397-08002B2CF9AE}" pid="8" name="_ReviewingToolsShownOnce">
    <vt:lpwstr/>
  </property>
</Properties>
</file>