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932" w:rsidRPr="00311105" w:rsidRDefault="00BF7932" w:rsidP="00BF7932">
      <w:r>
        <w:rPr>
          <w:b/>
        </w:rPr>
        <w:t>Part B:</w:t>
      </w:r>
      <w:r>
        <w:rPr>
          <w:b/>
        </w:rPr>
        <w:tab/>
        <w:t>Collection of Information Employing Statistical Methods</w:t>
      </w:r>
    </w:p>
    <w:p w:rsidR="00BF7932" w:rsidRDefault="00BF7932" w:rsidP="00BF7932"/>
    <w:p w:rsidR="00BF7932" w:rsidRPr="00747671" w:rsidRDefault="00BF7932" w:rsidP="00BF7932">
      <w:pPr>
        <w:numPr>
          <w:ilvl w:val="0"/>
          <w:numId w:val="1"/>
        </w:numPr>
        <w:rPr>
          <w:b/>
          <w:u w:val="single"/>
        </w:rPr>
      </w:pPr>
      <w:r w:rsidRPr="00747671">
        <w:rPr>
          <w:b/>
          <w:u w:val="single"/>
        </w:rPr>
        <w:t>Description of Universe and Sample Selection</w:t>
      </w:r>
    </w:p>
    <w:p w:rsidR="00BF7932" w:rsidRPr="0090649D" w:rsidRDefault="00BF7932" w:rsidP="00BF7932">
      <w:pPr>
        <w:ind w:left="1440"/>
        <w:rPr>
          <w:highlight w:val="yellow"/>
        </w:rPr>
      </w:pPr>
    </w:p>
    <w:p w:rsidR="00770668" w:rsidRDefault="00770668" w:rsidP="00770668">
      <w:pPr>
        <w:ind w:left="720"/>
      </w:pPr>
      <w:r>
        <w:t xml:space="preserve">The Department of Housing and Urban Development (HUD) has requested that the Census Bureau produce estimates of selected characteristics of existing rental housing properties in the United States.  </w:t>
      </w:r>
    </w:p>
    <w:p w:rsidR="00770668" w:rsidRDefault="00770668" w:rsidP="00770668">
      <w:pPr>
        <w:ind w:left="720"/>
      </w:pPr>
    </w:p>
    <w:p w:rsidR="00770668" w:rsidRDefault="00770668" w:rsidP="00770668">
      <w:pPr>
        <w:ind w:left="720"/>
      </w:pPr>
      <w:r>
        <w:t xml:space="preserve">These estimates will be based on data collected from a representative sample of rental housing structures in the United States in 2015.  These rental structures will be used to construct rental housing properties. </w:t>
      </w:r>
    </w:p>
    <w:p w:rsidR="00770668" w:rsidRDefault="00770668" w:rsidP="00770668">
      <w:pPr>
        <w:ind w:left="720"/>
      </w:pPr>
    </w:p>
    <w:p w:rsidR="00770668" w:rsidRDefault="00770668" w:rsidP="00770668">
      <w:pPr>
        <w:ind w:left="720"/>
      </w:pPr>
      <w:r>
        <w:t xml:space="preserve">The sample universe consists of rental structures from two sources; the 2013 American Housing Survey (AHS) Sample and the January 2014 Master Address File Extract Files (MAFXs) in the same geographic areas. </w:t>
      </w:r>
      <w:r w:rsidR="004B682A">
        <w:t xml:space="preserve"> </w:t>
      </w:r>
      <w:r>
        <w:t xml:space="preserve">The AHS provides a frame of single unit rental structures while the MAFXs provide the frame of multi-unit structures.   </w:t>
      </w:r>
    </w:p>
    <w:p w:rsidR="00770668" w:rsidRDefault="00770668" w:rsidP="00770668">
      <w:pPr>
        <w:ind w:left="720"/>
      </w:pPr>
    </w:p>
    <w:p w:rsidR="00770668" w:rsidRDefault="00770668" w:rsidP="00770668">
      <w:pPr>
        <w:ind w:left="720"/>
        <w:rPr>
          <w:rStyle w:val="Emphasis"/>
          <w:i w:val="0"/>
        </w:rPr>
      </w:pPr>
      <w:r>
        <w:t xml:space="preserve">For the single unit frame, all existing single unit structures were identified from the </w:t>
      </w:r>
      <w:r w:rsidR="001C05D4">
        <w:t xml:space="preserve">2013 </w:t>
      </w:r>
      <w:r>
        <w:t>AHS sample using housing characteristics such as structure type and tenure</w:t>
      </w:r>
      <w:bookmarkStart w:id="0" w:name="_GoBack"/>
      <w:bookmarkEnd w:id="0"/>
      <w:r>
        <w:t xml:space="preserve">.  </w:t>
      </w:r>
      <w:r w:rsidR="0066032F">
        <w:t xml:space="preserve"> </w:t>
      </w:r>
      <w:r>
        <w:t>Next, the public housing units were removed using an administrative list provided by HUD.</w:t>
      </w:r>
      <w:r w:rsidR="0066032F">
        <w:t xml:space="preserve"> </w:t>
      </w:r>
      <w:r>
        <w:t xml:space="preserve"> The in-scope structures include attached and detached single family homes, manufactured homes, and condominiums.  For the multi-unit frame, the public housing units were removed using an administrative list provided by HUD and the remaining </w:t>
      </w:r>
      <w:r>
        <w:rPr>
          <w:rStyle w:val="Emphasis"/>
          <w:i w:val="0"/>
        </w:rPr>
        <w:t>structures were</w:t>
      </w:r>
      <w:r w:rsidRPr="00834FEF">
        <w:rPr>
          <w:rStyle w:val="Emphasis"/>
          <w:i w:val="0"/>
        </w:rPr>
        <w:t xml:space="preserve"> created by combining unit level addresses into a single basic street address based on </w:t>
      </w:r>
      <w:r>
        <w:rPr>
          <w:rStyle w:val="Emphasis"/>
          <w:i w:val="0"/>
        </w:rPr>
        <w:t>either geographic coordinates or house number and street name</w:t>
      </w:r>
      <w:r w:rsidRPr="004B5B8F">
        <w:rPr>
          <w:rStyle w:val="Emphasis"/>
          <w:i w:val="0"/>
        </w:rPr>
        <w:t>.</w:t>
      </w:r>
      <w:r w:rsidR="0066032F">
        <w:rPr>
          <w:rStyle w:val="Emphasis"/>
          <w:i w:val="0"/>
        </w:rPr>
        <w:t xml:space="preserve"> </w:t>
      </w:r>
      <w:r w:rsidRPr="004B5B8F">
        <w:rPr>
          <w:rStyle w:val="Emphasis"/>
          <w:i w:val="0"/>
        </w:rPr>
        <w:t xml:space="preserve"> </w:t>
      </w:r>
      <w:r>
        <w:rPr>
          <w:rStyle w:val="Emphasis"/>
          <w:i w:val="0"/>
        </w:rPr>
        <w:t xml:space="preserve">Next, the out-of-scope structures such as manufactured homes and </w:t>
      </w:r>
      <w:r w:rsidRPr="004B5B8F">
        <w:rPr>
          <w:rStyle w:val="Emphasis"/>
          <w:i w:val="0"/>
        </w:rPr>
        <w:t>group quarters</w:t>
      </w:r>
      <w:r>
        <w:rPr>
          <w:rStyle w:val="Emphasis"/>
          <w:i w:val="0"/>
        </w:rPr>
        <w:t xml:space="preserve"> were removed.   Finally, the two types of structures (single and multi) are combined into a single frame.  </w:t>
      </w:r>
    </w:p>
    <w:p w:rsidR="00770668" w:rsidRDefault="00770668" w:rsidP="00770668">
      <w:pPr>
        <w:ind w:left="720"/>
        <w:rPr>
          <w:rStyle w:val="Emphasis"/>
          <w:i w:val="0"/>
        </w:rPr>
      </w:pPr>
    </w:p>
    <w:p w:rsidR="00770668" w:rsidRDefault="00770668" w:rsidP="00770668">
      <w:pPr>
        <w:ind w:left="720"/>
      </w:pPr>
      <w:r>
        <w:t>A sample of these structures will be selected in several steps.  First, the rental structures will be assigned to one of five strata based on the number of units in the structure</w:t>
      </w:r>
      <w:r w:rsidRPr="004E2C11">
        <w:t>.  The</w:t>
      </w:r>
      <w:r>
        <w:t>se</w:t>
      </w:r>
      <w:r w:rsidRPr="004E2C11">
        <w:t xml:space="preserve"> strata are:  </w:t>
      </w:r>
      <w:r>
        <w:t xml:space="preserve">1 unit, </w:t>
      </w:r>
      <w:r w:rsidRPr="004E2C11">
        <w:t>2-4 units, 5-24 units, 25-49 units, and 50 or more units.  The struc</w:t>
      </w:r>
      <w:r>
        <w:t xml:space="preserve">tures within each stratum will be sorted by geographic variables, including state, urban/rural status, and county.  A representative sample of these ordered structures will then be selected within each stratum.  The within-stratum sampling rates will be determined to result in an expected coefficient of variation of 6% at the national level.  The sample sizes for each </w:t>
      </w:r>
      <w:proofErr w:type="gramStart"/>
      <w:r>
        <w:t>strata</w:t>
      </w:r>
      <w:proofErr w:type="gramEnd"/>
      <w:r>
        <w:t xml:space="preserve"> are as follows:</w:t>
      </w:r>
    </w:p>
    <w:p w:rsidR="00770668" w:rsidRDefault="00770668" w:rsidP="00770668">
      <w:pPr>
        <w:pStyle w:val="BodyTextIndent"/>
        <w:ind w:left="720"/>
      </w:pPr>
    </w:p>
    <w:tbl>
      <w:tblPr>
        <w:tblStyle w:val="TableGrid"/>
        <w:tblW w:w="0" w:type="auto"/>
        <w:tblInd w:w="828" w:type="dxa"/>
        <w:tblLook w:val="04A0" w:firstRow="1" w:lastRow="0" w:firstColumn="1" w:lastColumn="0" w:noHBand="0" w:noVBand="1"/>
      </w:tblPr>
      <w:tblGrid>
        <w:gridCol w:w="2545"/>
        <w:gridCol w:w="1409"/>
        <w:gridCol w:w="1637"/>
        <w:gridCol w:w="1777"/>
        <w:gridCol w:w="1380"/>
      </w:tblGrid>
      <w:tr w:rsidR="00770668" w:rsidTr="00770668">
        <w:tc>
          <w:tcPr>
            <w:tcW w:w="2545" w:type="dxa"/>
          </w:tcPr>
          <w:p w:rsidR="00770668" w:rsidRPr="001F2133" w:rsidRDefault="00770668" w:rsidP="00770668">
            <w:pPr>
              <w:pStyle w:val="BodyTextIndent"/>
              <w:ind w:left="0"/>
              <w:rPr>
                <w:b/>
              </w:rPr>
            </w:pPr>
            <w:r w:rsidRPr="001F2133">
              <w:rPr>
                <w:b/>
              </w:rPr>
              <w:t xml:space="preserve">Strata </w:t>
            </w:r>
          </w:p>
        </w:tc>
        <w:tc>
          <w:tcPr>
            <w:tcW w:w="1409" w:type="dxa"/>
          </w:tcPr>
          <w:p w:rsidR="00770668" w:rsidRPr="001F2133" w:rsidRDefault="00770668" w:rsidP="00770668">
            <w:pPr>
              <w:pStyle w:val="BodyTextIndent"/>
              <w:ind w:left="0"/>
              <w:rPr>
                <w:b/>
              </w:rPr>
            </w:pPr>
            <w:r w:rsidRPr="001F2133">
              <w:rPr>
                <w:b/>
              </w:rPr>
              <w:t>Universe Size</w:t>
            </w:r>
          </w:p>
        </w:tc>
        <w:tc>
          <w:tcPr>
            <w:tcW w:w="1637" w:type="dxa"/>
          </w:tcPr>
          <w:p w:rsidR="00770668" w:rsidRPr="001F2133" w:rsidRDefault="00770668" w:rsidP="00770668">
            <w:pPr>
              <w:pStyle w:val="BodyTextIndent"/>
              <w:ind w:left="0"/>
              <w:rPr>
                <w:b/>
              </w:rPr>
            </w:pPr>
            <w:r>
              <w:rPr>
                <w:b/>
              </w:rPr>
              <w:t>Initial</w:t>
            </w:r>
            <w:r w:rsidRPr="001F2133">
              <w:rPr>
                <w:b/>
              </w:rPr>
              <w:t xml:space="preserve"> Sample Size</w:t>
            </w:r>
          </w:p>
        </w:tc>
        <w:tc>
          <w:tcPr>
            <w:tcW w:w="1777" w:type="dxa"/>
          </w:tcPr>
          <w:p w:rsidR="00770668" w:rsidRPr="001F2133" w:rsidRDefault="00770668" w:rsidP="00770668">
            <w:pPr>
              <w:pStyle w:val="BodyTextIndent"/>
              <w:ind w:left="0"/>
              <w:rPr>
                <w:b/>
              </w:rPr>
            </w:pPr>
            <w:r>
              <w:rPr>
                <w:b/>
              </w:rPr>
              <w:t>Oversample Size</w:t>
            </w:r>
          </w:p>
        </w:tc>
        <w:tc>
          <w:tcPr>
            <w:tcW w:w="1380" w:type="dxa"/>
          </w:tcPr>
          <w:p w:rsidR="00770668" w:rsidRDefault="00770668" w:rsidP="00770668">
            <w:pPr>
              <w:pStyle w:val="BodyTextIndent"/>
              <w:ind w:left="0"/>
              <w:rPr>
                <w:b/>
              </w:rPr>
            </w:pPr>
            <w:r>
              <w:rPr>
                <w:b/>
              </w:rPr>
              <w:t>Total Sample Size</w:t>
            </w:r>
          </w:p>
        </w:tc>
      </w:tr>
      <w:tr w:rsidR="00770668" w:rsidTr="00770668">
        <w:tc>
          <w:tcPr>
            <w:tcW w:w="2545" w:type="dxa"/>
          </w:tcPr>
          <w:p w:rsidR="00770668" w:rsidRDefault="00770668" w:rsidP="00770668">
            <w:pPr>
              <w:pStyle w:val="BodyTextIndent"/>
              <w:ind w:left="0"/>
            </w:pPr>
            <w:r>
              <w:t>1 unit</w:t>
            </w:r>
          </w:p>
        </w:tc>
        <w:tc>
          <w:tcPr>
            <w:tcW w:w="1409" w:type="dxa"/>
          </w:tcPr>
          <w:p w:rsidR="00770668" w:rsidRDefault="00770668" w:rsidP="00770668">
            <w:pPr>
              <w:pStyle w:val="BodyTextIndent"/>
              <w:ind w:left="0"/>
              <w:jc w:val="right"/>
            </w:pPr>
            <w:r>
              <w:t>6,497</w:t>
            </w:r>
          </w:p>
        </w:tc>
        <w:tc>
          <w:tcPr>
            <w:tcW w:w="1637" w:type="dxa"/>
          </w:tcPr>
          <w:p w:rsidR="00770668" w:rsidRDefault="00770668" w:rsidP="00770668">
            <w:pPr>
              <w:pStyle w:val="BodyTextIndent"/>
              <w:ind w:left="0"/>
              <w:jc w:val="right"/>
            </w:pPr>
            <w:r>
              <w:t>1,761</w:t>
            </w:r>
          </w:p>
        </w:tc>
        <w:tc>
          <w:tcPr>
            <w:tcW w:w="1777" w:type="dxa"/>
          </w:tcPr>
          <w:p w:rsidR="00770668" w:rsidRDefault="00770668" w:rsidP="00770668">
            <w:pPr>
              <w:pStyle w:val="BodyTextIndent"/>
              <w:ind w:left="0"/>
              <w:jc w:val="right"/>
            </w:pPr>
            <w:r>
              <w:t>755</w:t>
            </w:r>
          </w:p>
        </w:tc>
        <w:tc>
          <w:tcPr>
            <w:tcW w:w="1380" w:type="dxa"/>
          </w:tcPr>
          <w:p w:rsidR="00770668" w:rsidRDefault="00770668" w:rsidP="00770668">
            <w:pPr>
              <w:pStyle w:val="BodyTextIndent"/>
              <w:ind w:left="0"/>
              <w:jc w:val="right"/>
            </w:pPr>
            <w:r>
              <w:t>2,516</w:t>
            </w:r>
          </w:p>
        </w:tc>
      </w:tr>
      <w:tr w:rsidR="00770668" w:rsidTr="00770668">
        <w:tc>
          <w:tcPr>
            <w:tcW w:w="2545" w:type="dxa"/>
          </w:tcPr>
          <w:p w:rsidR="00770668" w:rsidRDefault="00770668" w:rsidP="00770668">
            <w:pPr>
              <w:pStyle w:val="BodyTextIndent"/>
              <w:ind w:left="0"/>
            </w:pPr>
            <w:r>
              <w:t>2-4 units</w:t>
            </w:r>
          </w:p>
        </w:tc>
        <w:tc>
          <w:tcPr>
            <w:tcW w:w="1409" w:type="dxa"/>
          </w:tcPr>
          <w:p w:rsidR="00770668" w:rsidRDefault="00770668" w:rsidP="00770668">
            <w:pPr>
              <w:pStyle w:val="BodyTextIndent"/>
              <w:ind w:left="0"/>
              <w:jc w:val="right"/>
            </w:pPr>
            <w:r>
              <w:t>3,452,236</w:t>
            </w:r>
          </w:p>
        </w:tc>
        <w:tc>
          <w:tcPr>
            <w:tcW w:w="1637" w:type="dxa"/>
          </w:tcPr>
          <w:p w:rsidR="00770668" w:rsidRDefault="00770668" w:rsidP="00770668">
            <w:pPr>
              <w:pStyle w:val="BodyTextIndent"/>
              <w:ind w:left="0"/>
              <w:jc w:val="right"/>
            </w:pPr>
            <w:r>
              <w:t>491</w:t>
            </w:r>
          </w:p>
        </w:tc>
        <w:tc>
          <w:tcPr>
            <w:tcW w:w="1777" w:type="dxa"/>
          </w:tcPr>
          <w:p w:rsidR="00770668" w:rsidRDefault="00770668" w:rsidP="00770668">
            <w:pPr>
              <w:pStyle w:val="BodyTextIndent"/>
              <w:ind w:left="0"/>
              <w:jc w:val="right"/>
            </w:pPr>
            <w:r>
              <w:t>187</w:t>
            </w:r>
          </w:p>
        </w:tc>
        <w:tc>
          <w:tcPr>
            <w:tcW w:w="1380" w:type="dxa"/>
          </w:tcPr>
          <w:p w:rsidR="00770668" w:rsidRDefault="00770668" w:rsidP="00770668">
            <w:pPr>
              <w:pStyle w:val="BodyTextIndent"/>
              <w:ind w:left="0"/>
              <w:jc w:val="right"/>
            </w:pPr>
            <w:r>
              <w:t>678</w:t>
            </w:r>
          </w:p>
        </w:tc>
      </w:tr>
      <w:tr w:rsidR="00770668" w:rsidTr="00770668">
        <w:tc>
          <w:tcPr>
            <w:tcW w:w="2545" w:type="dxa"/>
          </w:tcPr>
          <w:p w:rsidR="00770668" w:rsidRDefault="00770668" w:rsidP="00770668">
            <w:pPr>
              <w:pStyle w:val="BodyTextIndent"/>
              <w:ind w:left="0"/>
            </w:pPr>
            <w:r>
              <w:t>5-24 units</w:t>
            </w:r>
          </w:p>
        </w:tc>
        <w:tc>
          <w:tcPr>
            <w:tcW w:w="1409" w:type="dxa"/>
          </w:tcPr>
          <w:p w:rsidR="00770668" w:rsidRDefault="00770668" w:rsidP="00770668">
            <w:pPr>
              <w:pStyle w:val="BodyTextIndent"/>
              <w:ind w:left="0"/>
              <w:jc w:val="right"/>
            </w:pPr>
            <w:r>
              <w:t>907,544</w:t>
            </w:r>
          </w:p>
        </w:tc>
        <w:tc>
          <w:tcPr>
            <w:tcW w:w="1637" w:type="dxa"/>
          </w:tcPr>
          <w:p w:rsidR="00770668" w:rsidRDefault="00770668" w:rsidP="00770668">
            <w:pPr>
              <w:pStyle w:val="BodyTextIndent"/>
              <w:ind w:left="0"/>
              <w:jc w:val="right"/>
            </w:pPr>
            <w:r>
              <w:t>1,048</w:t>
            </w:r>
          </w:p>
        </w:tc>
        <w:tc>
          <w:tcPr>
            <w:tcW w:w="1777" w:type="dxa"/>
          </w:tcPr>
          <w:p w:rsidR="00770668" w:rsidRDefault="00770668" w:rsidP="00770668">
            <w:pPr>
              <w:pStyle w:val="BodyTextIndent"/>
              <w:ind w:left="0"/>
              <w:jc w:val="right"/>
            </w:pPr>
            <w:r>
              <w:t>420</w:t>
            </w:r>
          </w:p>
        </w:tc>
        <w:tc>
          <w:tcPr>
            <w:tcW w:w="1380" w:type="dxa"/>
          </w:tcPr>
          <w:p w:rsidR="00770668" w:rsidRDefault="00770668" w:rsidP="00770668">
            <w:pPr>
              <w:pStyle w:val="BodyTextIndent"/>
              <w:ind w:left="0"/>
              <w:jc w:val="right"/>
            </w:pPr>
            <w:r>
              <w:t>1,468</w:t>
            </w:r>
          </w:p>
        </w:tc>
      </w:tr>
      <w:tr w:rsidR="00770668" w:rsidTr="00770668">
        <w:tc>
          <w:tcPr>
            <w:tcW w:w="2545" w:type="dxa"/>
          </w:tcPr>
          <w:p w:rsidR="00770668" w:rsidRDefault="00770668" w:rsidP="00770668">
            <w:pPr>
              <w:pStyle w:val="BodyTextIndent"/>
              <w:ind w:left="0"/>
            </w:pPr>
            <w:r>
              <w:t>25-49 units</w:t>
            </w:r>
          </w:p>
        </w:tc>
        <w:tc>
          <w:tcPr>
            <w:tcW w:w="1409" w:type="dxa"/>
          </w:tcPr>
          <w:p w:rsidR="00770668" w:rsidRDefault="00770668" w:rsidP="00770668">
            <w:pPr>
              <w:pStyle w:val="BodyTextIndent"/>
              <w:ind w:left="0"/>
              <w:jc w:val="right"/>
            </w:pPr>
            <w:r>
              <w:t>82,840</w:t>
            </w:r>
          </w:p>
        </w:tc>
        <w:tc>
          <w:tcPr>
            <w:tcW w:w="1637" w:type="dxa"/>
          </w:tcPr>
          <w:p w:rsidR="00770668" w:rsidRDefault="00770668" w:rsidP="00770668">
            <w:pPr>
              <w:pStyle w:val="BodyTextIndent"/>
              <w:ind w:left="0"/>
              <w:jc w:val="right"/>
            </w:pPr>
            <w:r>
              <w:t>2,432</w:t>
            </w:r>
          </w:p>
        </w:tc>
        <w:tc>
          <w:tcPr>
            <w:tcW w:w="1777" w:type="dxa"/>
          </w:tcPr>
          <w:p w:rsidR="00770668" w:rsidRDefault="00770668" w:rsidP="00770668">
            <w:pPr>
              <w:pStyle w:val="BodyTextIndent"/>
              <w:ind w:left="0"/>
              <w:jc w:val="right"/>
            </w:pPr>
            <w:r>
              <w:t>1,119</w:t>
            </w:r>
          </w:p>
        </w:tc>
        <w:tc>
          <w:tcPr>
            <w:tcW w:w="1380" w:type="dxa"/>
          </w:tcPr>
          <w:p w:rsidR="00770668" w:rsidRDefault="00770668" w:rsidP="00770668">
            <w:pPr>
              <w:pStyle w:val="BodyTextIndent"/>
              <w:ind w:left="0"/>
              <w:jc w:val="right"/>
            </w:pPr>
            <w:r>
              <w:t>3,551</w:t>
            </w:r>
          </w:p>
        </w:tc>
      </w:tr>
      <w:tr w:rsidR="00770668" w:rsidTr="00770668">
        <w:tc>
          <w:tcPr>
            <w:tcW w:w="2545" w:type="dxa"/>
          </w:tcPr>
          <w:p w:rsidR="00770668" w:rsidRDefault="00770668" w:rsidP="00770668">
            <w:pPr>
              <w:pStyle w:val="BodyTextIndent"/>
              <w:ind w:left="0"/>
            </w:pPr>
            <w:r>
              <w:t>50+ units</w:t>
            </w:r>
          </w:p>
        </w:tc>
        <w:tc>
          <w:tcPr>
            <w:tcW w:w="1409" w:type="dxa"/>
          </w:tcPr>
          <w:p w:rsidR="00770668" w:rsidRDefault="00770668" w:rsidP="00770668">
            <w:pPr>
              <w:pStyle w:val="BodyTextIndent"/>
              <w:ind w:left="0"/>
              <w:jc w:val="right"/>
            </w:pPr>
            <w:r>
              <w:t>83,440</w:t>
            </w:r>
          </w:p>
        </w:tc>
        <w:tc>
          <w:tcPr>
            <w:tcW w:w="1637" w:type="dxa"/>
          </w:tcPr>
          <w:p w:rsidR="00770668" w:rsidRDefault="00770668" w:rsidP="00770668">
            <w:pPr>
              <w:pStyle w:val="BodyTextIndent"/>
              <w:ind w:left="0"/>
              <w:jc w:val="right"/>
            </w:pPr>
            <w:r>
              <w:t>754</w:t>
            </w:r>
          </w:p>
        </w:tc>
        <w:tc>
          <w:tcPr>
            <w:tcW w:w="1777" w:type="dxa"/>
          </w:tcPr>
          <w:p w:rsidR="00770668" w:rsidRDefault="00770668" w:rsidP="00770668">
            <w:pPr>
              <w:pStyle w:val="BodyTextIndent"/>
              <w:ind w:left="0"/>
              <w:jc w:val="right"/>
            </w:pPr>
            <w:r>
              <w:t>346</w:t>
            </w:r>
          </w:p>
        </w:tc>
        <w:tc>
          <w:tcPr>
            <w:tcW w:w="1380" w:type="dxa"/>
          </w:tcPr>
          <w:p w:rsidR="00770668" w:rsidRDefault="00770668" w:rsidP="00770668">
            <w:pPr>
              <w:pStyle w:val="BodyTextIndent"/>
              <w:ind w:left="0"/>
              <w:jc w:val="right"/>
            </w:pPr>
            <w:r>
              <w:t>1,100</w:t>
            </w:r>
          </w:p>
        </w:tc>
      </w:tr>
      <w:tr w:rsidR="00770668" w:rsidTr="00770668">
        <w:tc>
          <w:tcPr>
            <w:tcW w:w="2545" w:type="dxa"/>
          </w:tcPr>
          <w:p w:rsidR="00770668" w:rsidRDefault="00770668" w:rsidP="00770668">
            <w:pPr>
              <w:pStyle w:val="BodyTextIndent"/>
              <w:ind w:left="0"/>
            </w:pPr>
            <w:r>
              <w:t>Total</w:t>
            </w:r>
          </w:p>
        </w:tc>
        <w:tc>
          <w:tcPr>
            <w:tcW w:w="1409" w:type="dxa"/>
          </w:tcPr>
          <w:p w:rsidR="00770668" w:rsidRDefault="00770668" w:rsidP="00770668">
            <w:pPr>
              <w:pStyle w:val="BodyTextIndent"/>
              <w:ind w:left="0"/>
              <w:jc w:val="right"/>
            </w:pPr>
            <w:r>
              <w:t>4,532,557</w:t>
            </w:r>
          </w:p>
        </w:tc>
        <w:tc>
          <w:tcPr>
            <w:tcW w:w="1637" w:type="dxa"/>
          </w:tcPr>
          <w:p w:rsidR="00770668" w:rsidRDefault="00770668" w:rsidP="00770668">
            <w:pPr>
              <w:pStyle w:val="BodyTextIndent"/>
              <w:ind w:left="0"/>
              <w:jc w:val="right"/>
            </w:pPr>
            <w:r>
              <w:t>6,486</w:t>
            </w:r>
          </w:p>
        </w:tc>
        <w:tc>
          <w:tcPr>
            <w:tcW w:w="1777" w:type="dxa"/>
          </w:tcPr>
          <w:p w:rsidR="00770668" w:rsidRDefault="00770668" w:rsidP="00770668">
            <w:pPr>
              <w:pStyle w:val="BodyTextIndent"/>
              <w:ind w:left="0"/>
              <w:jc w:val="right"/>
            </w:pPr>
            <w:r>
              <w:t>2,827</w:t>
            </w:r>
          </w:p>
        </w:tc>
        <w:tc>
          <w:tcPr>
            <w:tcW w:w="1380" w:type="dxa"/>
          </w:tcPr>
          <w:p w:rsidR="00770668" w:rsidRDefault="00770668" w:rsidP="00770668">
            <w:pPr>
              <w:pStyle w:val="BodyTextIndent"/>
              <w:ind w:left="0"/>
              <w:jc w:val="right"/>
            </w:pPr>
            <w:r>
              <w:t>9,313</w:t>
            </w:r>
          </w:p>
        </w:tc>
      </w:tr>
    </w:tbl>
    <w:p w:rsidR="00770668" w:rsidRDefault="00770668" w:rsidP="00770668">
      <w:pPr>
        <w:pStyle w:val="BodyTextIndent"/>
        <w:ind w:left="720"/>
      </w:pPr>
      <w:r>
        <w:lastRenderedPageBreak/>
        <w:t>The oversample rates varied by strata and are based on the percentage of non-respondents and ineligible structures from the 2012 iteration of this survey.  These rates are below:</w:t>
      </w:r>
    </w:p>
    <w:p w:rsidR="00770668" w:rsidRDefault="00770668" w:rsidP="00770668">
      <w:pPr>
        <w:pStyle w:val="BodyTextIndent"/>
        <w:ind w:left="720"/>
      </w:pPr>
    </w:p>
    <w:tbl>
      <w:tblPr>
        <w:tblStyle w:val="TableGrid"/>
        <w:tblW w:w="0" w:type="auto"/>
        <w:tblInd w:w="828" w:type="dxa"/>
        <w:tblLook w:val="04A0" w:firstRow="1" w:lastRow="0" w:firstColumn="1" w:lastColumn="0" w:noHBand="0" w:noVBand="1"/>
      </w:tblPr>
      <w:tblGrid>
        <w:gridCol w:w="2545"/>
        <w:gridCol w:w="1456"/>
      </w:tblGrid>
      <w:tr w:rsidR="00770668" w:rsidRPr="001F2133" w:rsidTr="00770668">
        <w:tc>
          <w:tcPr>
            <w:tcW w:w="2545" w:type="dxa"/>
          </w:tcPr>
          <w:p w:rsidR="00770668" w:rsidRPr="001F2133" w:rsidRDefault="00770668" w:rsidP="00770668">
            <w:pPr>
              <w:pStyle w:val="BodyTextIndent"/>
              <w:ind w:left="0"/>
              <w:rPr>
                <w:b/>
              </w:rPr>
            </w:pPr>
            <w:r w:rsidRPr="001F2133">
              <w:rPr>
                <w:b/>
              </w:rPr>
              <w:t xml:space="preserve">Strata </w:t>
            </w:r>
          </w:p>
        </w:tc>
        <w:tc>
          <w:tcPr>
            <w:tcW w:w="1456" w:type="dxa"/>
          </w:tcPr>
          <w:p w:rsidR="00770668" w:rsidRPr="001F2133" w:rsidRDefault="00770668" w:rsidP="00770668">
            <w:pPr>
              <w:pStyle w:val="BodyTextIndent"/>
              <w:ind w:left="0"/>
              <w:rPr>
                <w:b/>
              </w:rPr>
            </w:pPr>
            <w:r>
              <w:rPr>
                <w:b/>
              </w:rPr>
              <w:t>Oversample Rates</w:t>
            </w:r>
          </w:p>
        </w:tc>
      </w:tr>
      <w:tr w:rsidR="00770668" w:rsidTr="00770668">
        <w:tc>
          <w:tcPr>
            <w:tcW w:w="2545" w:type="dxa"/>
          </w:tcPr>
          <w:p w:rsidR="00770668" w:rsidRDefault="00770668" w:rsidP="00770668">
            <w:pPr>
              <w:pStyle w:val="BodyTextIndent"/>
              <w:ind w:left="0"/>
            </w:pPr>
            <w:r>
              <w:t>1 unit</w:t>
            </w:r>
          </w:p>
        </w:tc>
        <w:tc>
          <w:tcPr>
            <w:tcW w:w="1456" w:type="dxa"/>
          </w:tcPr>
          <w:p w:rsidR="00770668" w:rsidRDefault="00770668" w:rsidP="00770668">
            <w:pPr>
              <w:pStyle w:val="BodyTextIndent"/>
              <w:ind w:left="0"/>
              <w:jc w:val="right"/>
            </w:pPr>
            <w:r>
              <w:t>30%</w:t>
            </w:r>
          </w:p>
        </w:tc>
      </w:tr>
      <w:tr w:rsidR="00770668" w:rsidTr="00770668">
        <w:tc>
          <w:tcPr>
            <w:tcW w:w="2545" w:type="dxa"/>
          </w:tcPr>
          <w:p w:rsidR="00770668" w:rsidRDefault="00770668" w:rsidP="00770668">
            <w:pPr>
              <w:pStyle w:val="BodyTextIndent"/>
              <w:ind w:left="0"/>
            </w:pPr>
            <w:r>
              <w:t>2-4 units</w:t>
            </w:r>
          </w:p>
        </w:tc>
        <w:tc>
          <w:tcPr>
            <w:tcW w:w="1456" w:type="dxa"/>
          </w:tcPr>
          <w:p w:rsidR="00770668" w:rsidRDefault="00770668" w:rsidP="00770668">
            <w:pPr>
              <w:pStyle w:val="BodyTextIndent"/>
              <w:ind w:left="0"/>
              <w:jc w:val="right"/>
            </w:pPr>
            <w:r>
              <w:t>37%</w:t>
            </w:r>
          </w:p>
        </w:tc>
      </w:tr>
      <w:tr w:rsidR="00770668" w:rsidTr="00770668">
        <w:tc>
          <w:tcPr>
            <w:tcW w:w="2545" w:type="dxa"/>
          </w:tcPr>
          <w:p w:rsidR="00770668" w:rsidRDefault="00770668" w:rsidP="00770668">
            <w:pPr>
              <w:pStyle w:val="BodyTextIndent"/>
              <w:ind w:left="0"/>
            </w:pPr>
            <w:r>
              <w:t>5-24 units</w:t>
            </w:r>
          </w:p>
        </w:tc>
        <w:tc>
          <w:tcPr>
            <w:tcW w:w="1456" w:type="dxa"/>
          </w:tcPr>
          <w:p w:rsidR="00770668" w:rsidRDefault="00770668" w:rsidP="00770668">
            <w:pPr>
              <w:pStyle w:val="BodyTextIndent"/>
              <w:ind w:left="0"/>
              <w:jc w:val="right"/>
            </w:pPr>
            <w:r>
              <w:t>38%</w:t>
            </w:r>
          </w:p>
        </w:tc>
      </w:tr>
      <w:tr w:rsidR="00770668" w:rsidTr="00770668">
        <w:tc>
          <w:tcPr>
            <w:tcW w:w="2545" w:type="dxa"/>
          </w:tcPr>
          <w:p w:rsidR="00770668" w:rsidRDefault="00770668" w:rsidP="00770668">
            <w:pPr>
              <w:pStyle w:val="BodyTextIndent"/>
              <w:ind w:left="0"/>
            </w:pPr>
            <w:r>
              <w:t>25-49 units</w:t>
            </w:r>
          </w:p>
        </w:tc>
        <w:tc>
          <w:tcPr>
            <w:tcW w:w="1456" w:type="dxa"/>
          </w:tcPr>
          <w:p w:rsidR="00770668" w:rsidRDefault="00770668" w:rsidP="00770668">
            <w:pPr>
              <w:pStyle w:val="BodyTextIndent"/>
              <w:ind w:left="0"/>
              <w:jc w:val="right"/>
            </w:pPr>
            <w:r>
              <w:t>42%</w:t>
            </w:r>
          </w:p>
        </w:tc>
      </w:tr>
      <w:tr w:rsidR="00770668" w:rsidTr="00770668">
        <w:tc>
          <w:tcPr>
            <w:tcW w:w="2545" w:type="dxa"/>
          </w:tcPr>
          <w:p w:rsidR="00770668" w:rsidRDefault="00770668" w:rsidP="00770668">
            <w:pPr>
              <w:pStyle w:val="BodyTextIndent"/>
              <w:ind w:left="0"/>
            </w:pPr>
            <w:r>
              <w:t>50+ units</w:t>
            </w:r>
          </w:p>
        </w:tc>
        <w:tc>
          <w:tcPr>
            <w:tcW w:w="1456" w:type="dxa"/>
          </w:tcPr>
          <w:p w:rsidR="00770668" w:rsidRDefault="00770668" w:rsidP="00770668">
            <w:pPr>
              <w:pStyle w:val="BodyTextIndent"/>
              <w:ind w:left="0"/>
              <w:jc w:val="right"/>
            </w:pPr>
            <w:r>
              <w:t>37%</w:t>
            </w:r>
          </w:p>
        </w:tc>
      </w:tr>
    </w:tbl>
    <w:p w:rsidR="00770668" w:rsidRDefault="00770668" w:rsidP="00770668">
      <w:pPr>
        <w:pStyle w:val="BodyTextIndent"/>
        <w:ind w:left="720"/>
      </w:pPr>
    </w:p>
    <w:p w:rsidR="00770668" w:rsidRDefault="00770668" w:rsidP="00770668">
      <w:pPr>
        <w:pStyle w:val="BodyTextIndent"/>
        <w:ind w:left="720"/>
      </w:pPr>
      <w:r>
        <w:t>This</w:t>
      </w:r>
      <w:r w:rsidRPr="00AC153A">
        <w:t xml:space="preserve"> oversample is needed </w:t>
      </w:r>
      <w:r>
        <w:t>for two reasons; a high non-response rate and a large number of ineligible structures.</w:t>
      </w:r>
      <w:r w:rsidRPr="00AC153A">
        <w:t xml:space="preserve">  The owners and or property managers of the </w:t>
      </w:r>
      <w:r>
        <w:t>structure</w:t>
      </w:r>
      <w:r w:rsidRPr="00AC153A">
        <w:t xml:space="preserve"> will be contacted and asked about specific financing and</w:t>
      </w:r>
      <w:r>
        <w:t xml:space="preserve"> property-related characteristics.</w:t>
      </w:r>
    </w:p>
    <w:p w:rsidR="00770668" w:rsidRDefault="00770668" w:rsidP="00770668"/>
    <w:p w:rsidR="00BF7932" w:rsidRDefault="00BF7932" w:rsidP="00BF7932"/>
    <w:p w:rsidR="00BF7932" w:rsidRDefault="00BF7932" w:rsidP="00BF7932">
      <w:pPr>
        <w:numPr>
          <w:ilvl w:val="0"/>
          <w:numId w:val="1"/>
        </w:numPr>
        <w:ind w:left="720" w:hanging="720"/>
        <w:rPr>
          <w:b/>
          <w:u w:val="single"/>
        </w:rPr>
      </w:pPr>
      <w:r>
        <w:rPr>
          <w:b/>
          <w:u w:val="single"/>
        </w:rPr>
        <w:t>Procedures for Collection of Information and Estimation Procedures</w:t>
      </w:r>
    </w:p>
    <w:p w:rsidR="00BF7932" w:rsidRDefault="00BF7932" w:rsidP="00BF7932">
      <w:pPr>
        <w:ind w:left="1440"/>
      </w:pPr>
    </w:p>
    <w:p w:rsidR="00BF7932" w:rsidRDefault="00A16453" w:rsidP="00BF7932">
      <w:pPr>
        <w:ind w:left="720"/>
      </w:pPr>
      <w:r>
        <w:t>Prior to RHFS data collection, an Owner-Seeker operation to collect the contact information for the rental property owner will be conducted.</w:t>
      </w:r>
    </w:p>
    <w:p w:rsidR="00C64AB6" w:rsidRDefault="00C64AB6" w:rsidP="00BF7932">
      <w:pPr>
        <w:ind w:left="720"/>
      </w:pPr>
    </w:p>
    <w:p w:rsidR="00A16453" w:rsidRDefault="00A16453" w:rsidP="00BF7932">
      <w:pPr>
        <w:ind w:left="720"/>
      </w:pPr>
      <w:r>
        <w:t>The RHFS data collection will begin with an advance letter to the ren</w:t>
      </w:r>
      <w:r w:rsidR="005176FD">
        <w:t>t</w:t>
      </w:r>
      <w:r>
        <w:t>al property owner which invites their participation in the survey using a web-based instrument.</w:t>
      </w:r>
    </w:p>
    <w:p w:rsidR="00A16453" w:rsidRDefault="00A16453" w:rsidP="00BF7932">
      <w:pPr>
        <w:ind w:left="720"/>
      </w:pPr>
    </w:p>
    <w:p w:rsidR="00A16453" w:rsidRDefault="00A16453" w:rsidP="00BF7932">
      <w:pPr>
        <w:ind w:left="720"/>
      </w:pPr>
      <w:r>
        <w:t>Respondents that do not complete their survey after approximately six weeks will continue into the telephone follow-up operation.  The National Processing Center (NPC) clerical staff will call to either remind the responde</w:t>
      </w:r>
      <w:r w:rsidR="002B726A">
        <w:t>n</w:t>
      </w:r>
      <w:r>
        <w:t>ts to complete their survey online or attempt to conduct the interview over the phone.</w:t>
      </w:r>
    </w:p>
    <w:p w:rsidR="00A16453" w:rsidRDefault="00A16453" w:rsidP="00BF7932">
      <w:pPr>
        <w:ind w:left="720"/>
      </w:pPr>
    </w:p>
    <w:p w:rsidR="00A16453" w:rsidRDefault="00A16453" w:rsidP="00BF7932">
      <w:pPr>
        <w:ind w:left="720"/>
      </w:pPr>
      <w:r>
        <w:t>Respondents that do not complete their survey after approximately three months will continue into the field follow-up operation.  Field representatives (FRs) will either call or visit the respondents in an attempt to conduct the interview.</w:t>
      </w:r>
    </w:p>
    <w:p w:rsidR="00A16453" w:rsidRDefault="00A16453" w:rsidP="00BF7932">
      <w:pPr>
        <w:ind w:left="720"/>
      </w:pPr>
    </w:p>
    <w:p w:rsidR="00A16453" w:rsidRDefault="00A16453" w:rsidP="00BF7932">
      <w:pPr>
        <w:ind w:left="720"/>
      </w:pPr>
      <w:r>
        <w:t>Based on the available contact information, the NPC clerical staff and the FRs may be contacting either property owners or managers.  In some instances, the owner will refer staff to the manager (or the manager will refer the staff to the owner) due to one party not having sufficient knowledge to answer certain questions.</w:t>
      </w:r>
    </w:p>
    <w:p w:rsidR="00A16453" w:rsidRPr="004E2C11" w:rsidRDefault="00A16453" w:rsidP="00BF7932">
      <w:pPr>
        <w:ind w:left="720"/>
      </w:pPr>
    </w:p>
    <w:p w:rsidR="00BF7932" w:rsidRDefault="002B726A" w:rsidP="00BF7932">
      <w:pPr>
        <w:ind w:left="720"/>
      </w:pPr>
      <w:r>
        <w:t>During the interview</w:t>
      </w:r>
      <w:r w:rsidR="00BF7932" w:rsidRPr="004E2C11">
        <w:t xml:space="preserve">, respondents </w:t>
      </w:r>
      <w:r>
        <w:t xml:space="preserve">may </w:t>
      </w:r>
      <w:r w:rsidR="00BF7932" w:rsidRPr="004E2C11">
        <w:t xml:space="preserve">provide contact information for an additional respondent (i.e., property manager, owner, or accountant).  This person will be contacted if the </w:t>
      </w:r>
      <w:r>
        <w:t>data already provided</w:t>
      </w:r>
      <w:r w:rsidR="00BF7932" w:rsidRPr="004E2C11">
        <w:t xml:space="preserve"> do not qualify as a sufficient partial interview.  In addition, an effort will be to determine if different questionnaires are being referred to the same owner (which can occur if one individual</w:t>
      </w:r>
      <w:r w:rsidR="00BF7932" w:rsidRPr="00041CE6">
        <w:t xml:space="preserve"> owns multiple properties). </w:t>
      </w:r>
      <w:r w:rsidR="00BF7932">
        <w:t xml:space="preserve"> </w:t>
      </w:r>
      <w:r w:rsidR="00BF7932" w:rsidRPr="00041CE6">
        <w:t xml:space="preserve">In these situations, questionnaires will be consolidated and administered during a single </w:t>
      </w:r>
      <w:r>
        <w:t>follow-up attempt</w:t>
      </w:r>
      <w:r w:rsidR="00BF7932" w:rsidRPr="00041CE6">
        <w:t>.</w:t>
      </w:r>
      <w:r w:rsidR="00BF7932">
        <w:t xml:space="preserve"> </w:t>
      </w:r>
    </w:p>
    <w:p w:rsidR="00BF7932" w:rsidRDefault="00BF7932" w:rsidP="00BF7932">
      <w:pPr>
        <w:ind w:left="1440"/>
      </w:pPr>
    </w:p>
    <w:p w:rsidR="00D57D7C" w:rsidRDefault="00D57D7C" w:rsidP="00D57D7C">
      <w:pPr>
        <w:ind w:left="720"/>
      </w:pPr>
      <w:r>
        <w:t xml:space="preserve">The survey estimates will be based on weighted data.  The weights for producing these estimates will be calculated using a three step procedure.  First, the base weight (BW), </w:t>
      </w:r>
      <w:r>
        <w:lastRenderedPageBreak/>
        <w:t>which is the inverse of the probability of selecting a structure, will be calculated and assigned to each sample structure in the stratum.  Next, a post-sampling adjustment factor (PSF), the adjustment needed to account for the structure having a different number of units than expected, will be calculated and assigned to each sample case.</w:t>
      </w:r>
    </w:p>
    <w:p w:rsidR="006C67CF" w:rsidRDefault="006C67CF" w:rsidP="00D57D7C">
      <w:pPr>
        <w:ind w:left="720"/>
      </w:pPr>
    </w:p>
    <w:p w:rsidR="00D57D7C" w:rsidRDefault="00D57D7C" w:rsidP="00D57D7C">
      <w:pPr>
        <w:ind w:left="720"/>
      </w:pPr>
      <w:r>
        <w:t>Next, a nonresponse adjustment factor (NRF), which is the ratio of the sample properties divided by the interviewed sample properties, will be calculated and assigned to the interviewed sample properties.  Separate NRFs will be computed for each stratum.  The weight for each interviewed structure will be the product of these factors as expressed by the following formula:</w:t>
      </w:r>
    </w:p>
    <w:p w:rsidR="00D57D7C" w:rsidRDefault="00D57D7C" w:rsidP="00D57D7C">
      <w:pPr>
        <w:ind w:left="720"/>
      </w:pPr>
    </w:p>
    <w:p w:rsidR="00D57D7C" w:rsidRDefault="00D57D7C" w:rsidP="00D57D7C">
      <w:pPr>
        <w:ind w:left="720"/>
      </w:pPr>
      <w:r>
        <w:tab/>
        <w:t xml:space="preserve">Weight = BW * PSF * NRF </w:t>
      </w:r>
    </w:p>
    <w:p w:rsidR="00BF7932" w:rsidRDefault="00BF7932" w:rsidP="00BF7932"/>
    <w:p w:rsidR="00BF7932" w:rsidRDefault="00BF7932" w:rsidP="00BF7932">
      <w:pPr>
        <w:numPr>
          <w:ilvl w:val="0"/>
          <w:numId w:val="1"/>
        </w:numPr>
        <w:ind w:left="720" w:hanging="720"/>
        <w:rPr>
          <w:b/>
          <w:u w:val="single"/>
        </w:rPr>
      </w:pPr>
      <w:r>
        <w:rPr>
          <w:b/>
          <w:u w:val="single"/>
        </w:rPr>
        <w:t>Methods to Maximize Response</w:t>
      </w:r>
    </w:p>
    <w:p w:rsidR="00BF7932" w:rsidRDefault="00BF7932" w:rsidP="00BF7932"/>
    <w:p w:rsidR="00BF7932" w:rsidRPr="00041CE6" w:rsidRDefault="00BF7932" w:rsidP="00BF7932">
      <w:pPr>
        <w:ind w:left="720"/>
      </w:pPr>
      <w:r>
        <w:t xml:space="preserve">We will maintain high levels of data accuracy and response rates through </w:t>
      </w:r>
      <w:r w:rsidR="006372C7">
        <w:t>NPC clerical and FR</w:t>
      </w:r>
      <w:r>
        <w:t xml:space="preserve"> </w:t>
      </w:r>
      <w:r w:rsidRPr="00041CE6">
        <w:t xml:space="preserve">instruction, professional training, and close monitoring of the data. </w:t>
      </w:r>
      <w:r>
        <w:t xml:space="preserve"> </w:t>
      </w:r>
      <w:r w:rsidR="006372C7">
        <w:t>NPC cler</w:t>
      </w:r>
      <w:r w:rsidR="006729EE">
        <w:t>k</w:t>
      </w:r>
      <w:r w:rsidR="006372C7">
        <w:t xml:space="preserve">s and </w:t>
      </w:r>
      <w:r>
        <w:t>FRs</w:t>
      </w:r>
      <w:r w:rsidRPr="00041CE6">
        <w:t xml:space="preserve"> will be educated on proper interviewing techniques as well as methods for dealing with reluctant respondents. </w:t>
      </w:r>
    </w:p>
    <w:p w:rsidR="00BF7932" w:rsidRPr="00041CE6" w:rsidRDefault="00BF7932" w:rsidP="00BF7932">
      <w:pPr>
        <w:ind w:left="720"/>
      </w:pPr>
    </w:p>
    <w:p w:rsidR="00BF7932" w:rsidRDefault="00BF7932" w:rsidP="00BF7932">
      <w:pPr>
        <w:ind w:left="720"/>
      </w:pPr>
      <w:r w:rsidRPr="004E2C11">
        <w:t xml:space="preserve">In addition, respondents who </w:t>
      </w:r>
      <w:r w:rsidR="00833A14">
        <w:t xml:space="preserve">still </w:t>
      </w:r>
      <w:r w:rsidRPr="004E2C11">
        <w:t xml:space="preserve">refuse to participate </w:t>
      </w:r>
      <w:r w:rsidR="00833A14">
        <w:t>during the field follow-up operation may</w:t>
      </w:r>
      <w:r w:rsidRPr="004E2C11">
        <w:t xml:space="preserve"> receive a Refusal Letter.  These letters will be generated at the Regional Office level and sent in order to educate individuals about the importance of our survey and the Census Bureau’s commitment to confidentiality.  </w:t>
      </w:r>
    </w:p>
    <w:p w:rsidR="00C64AB6" w:rsidRPr="004E2C11" w:rsidRDefault="00C64AB6" w:rsidP="00BF7932">
      <w:pPr>
        <w:ind w:left="720"/>
      </w:pPr>
    </w:p>
    <w:p w:rsidR="00BF7932" w:rsidRDefault="00BF7932" w:rsidP="00BF7932">
      <w:pPr>
        <w:ind w:left="720"/>
      </w:pPr>
      <w:r w:rsidRPr="004E2C11">
        <w:t>In addition, Unable to Contact Letters will be sent to respondents whom the FRs are</w:t>
      </w:r>
      <w:r w:rsidRPr="00041CE6">
        <w:t xml:space="preserve"> having trouble reaching. </w:t>
      </w:r>
      <w:r>
        <w:t xml:space="preserve"> </w:t>
      </w:r>
      <w:r w:rsidRPr="00041CE6">
        <w:t>This letter will inform respondents that a Census Bureau representative has been attempting to locate them and will ask them to call a Census Regional Office for further instruction.</w:t>
      </w:r>
      <w:r>
        <w:t xml:space="preserve">  </w:t>
      </w:r>
    </w:p>
    <w:p w:rsidR="00BF7932" w:rsidRPr="00662FA0" w:rsidRDefault="00BF7932" w:rsidP="00BF7932">
      <w:pPr>
        <w:rPr>
          <w:b/>
          <w:u w:val="single"/>
        </w:rPr>
      </w:pPr>
    </w:p>
    <w:p w:rsidR="00BF7932" w:rsidRDefault="00BF7932" w:rsidP="00BF7932">
      <w:pPr>
        <w:rPr>
          <w:b/>
          <w:u w:val="single"/>
        </w:rPr>
      </w:pPr>
    </w:p>
    <w:p w:rsidR="00BF7932" w:rsidRDefault="00BF7932" w:rsidP="00BF7932">
      <w:pPr>
        <w:numPr>
          <w:ilvl w:val="0"/>
          <w:numId w:val="1"/>
        </w:numPr>
        <w:ind w:left="720" w:hanging="720"/>
        <w:rPr>
          <w:b/>
          <w:u w:val="single"/>
        </w:rPr>
      </w:pPr>
      <w:r>
        <w:rPr>
          <w:b/>
          <w:u w:val="single"/>
        </w:rPr>
        <w:t>Testing Procedures</w:t>
      </w:r>
    </w:p>
    <w:p w:rsidR="00BF7932" w:rsidRDefault="00BF7932" w:rsidP="00BF7932"/>
    <w:p w:rsidR="00BF7932" w:rsidRPr="00041CE6" w:rsidRDefault="004E4D2B" w:rsidP="00BF7932">
      <w:pPr>
        <w:pStyle w:val="BodyTextIndent2"/>
        <w:ind w:left="720"/>
      </w:pPr>
      <w:r>
        <w:t>Three</w:t>
      </w:r>
      <w:r w:rsidR="00BF7932" w:rsidRPr="00041CE6">
        <w:t xml:space="preserve"> rounds of cognitive testing </w:t>
      </w:r>
      <w:r w:rsidR="00D57D7C">
        <w:t>will be</w:t>
      </w:r>
      <w:r w:rsidR="00D57D7C" w:rsidRPr="00041CE6">
        <w:t xml:space="preserve"> </w:t>
      </w:r>
      <w:r w:rsidR="00BF7932" w:rsidRPr="00041CE6">
        <w:t xml:space="preserve">performed on the questionnaire. </w:t>
      </w:r>
      <w:r w:rsidR="00BF7932">
        <w:t xml:space="preserve"> Current</w:t>
      </w:r>
      <w:r w:rsidR="00BF7932" w:rsidRPr="00041CE6">
        <w:t xml:space="preserve"> owners and managers of rental properties </w:t>
      </w:r>
      <w:r w:rsidR="00D57D7C">
        <w:t>will be</w:t>
      </w:r>
      <w:r w:rsidR="00BF7932" w:rsidRPr="00041CE6">
        <w:t xml:space="preserve"> selected as participants. </w:t>
      </w:r>
      <w:r w:rsidR="00BF7932">
        <w:t xml:space="preserve"> </w:t>
      </w:r>
      <w:r w:rsidR="00BF7932" w:rsidRPr="00041CE6">
        <w:t xml:space="preserve">The participants </w:t>
      </w:r>
      <w:r w:rsidR="00D57D7C">
        <w:t>will be</w:t>
      </w:r>
      <w:r w:rsidR="00BF7932" w:rsidRPr="00041CE6">
        <w:t xml:space="preserve"> chosen so as to ensure representatives from </w:t>
      </w:r>
      <w:r w:rsidR="00D57D7C">
        <w:t xml:space="preserve">each strata, i.e., 1 unit, </w:t>
      </w:r>
      <w:r w:rsidR="00BF7932" w:rsidRPr="00041CE6">
        <w:t xml:space="preserve">2-4 </w:t>
      </w:r>
      <w:r w:rsidR="00BF7932">
        <w:t>unit</w:t>
      </w:r>
      <w:r w:rsidR="00BF7932" w:rsidRPr="00041CE6">
        <w:t>, 5-24 unit, 25-49 unit and 50 or more unit structures</w:t>
      </w:r>
      <w:r w:rsidR="00D57D7C">
        <w:t>, are</w:t>
      </w:r>
      <w:r w:rsidR="00BF7932" w:rsidRPr="00041CE6">
        <w:t xml:space="preserve"> all included. </w:t>
      </w:r>
    </w:p>
    <w:p w:rsidR="00BF7932" w:rsidRDefault="00BF7932" w:rsidP="00BF7932">
      <w:pPr>
        <w:pStyle w:val="BodyTextIndent2"/>
        <w:ind w:left="720"/>
        <w:rPr>
          <w:highlight w:val="yellow"/>
        </w:rPr>
      </w:pPr>
    </w:p>
    <w:p w:rsidR="00BF7932" w:rsidRPr="00041CE6" w:rsidRDefault="00D57D7C" w:rsidP="00BF7932">
      <w:pPr>
        <w:pStyle w:val="BodyTextIndent2"/>
        <w:ind w:left="720"/>
      </w:pPr>
      <w:r>
        <w:t xml:space="preserve">The first round of cognitive testing is intended to identify issues with the </w:t>
      </w:r>
      <w:r w:rsidR="004E4D2B">
        <w:t>new questions that assist respondents in correctly identifying their property</w:t>
      </w:r>
      <w:r>
        <w:t xml:space="preserve">.  </w:t>
      </w:r>
      <w:r w:rsidR="00BF7932" w:rsidRPr="00041CE6">
        <w:t xml:space="preserve"> </w:t>
      </w:r>
    </w:p>
    <w:p w:rsidR="00BF7932" w:rsidRPr="00041CE6" w:rsidRDefault="00BF7932" w:rsidP="00BF7932">
      <w:pPr>
        <w:pStyle w:val="BodyTextIndent2"/>
        <w:ind w:left="720"/>
      </w:pPr>
    </w:p>
    <w:p w:rsidR="00BF7932" w:rsidRPr="00041CE6" w:rsidRDefault="00D57D7C" w:rsidP="00BF7932">
      <w:pPr>
        <w:pStyle w:val="BodyTextIndent2"/>
        <w:ind w:left="720"/>
      </w:pPr>
      <w:r>
        <w:t>The second</w:t>
      </w:r>
      <w:r w:rsidR="004E4D2B">
        <w:t xml:space="preserve"> and third</w:t>
      </w:r>
      <w:r>
        <w:t xml:space="preserve"> round</w:t>
      </w:r>
      <w:r w:rsidR="004E4D2B">
        <w:t>s</w:t>
      </w:r>
      <w:r>
        <w:t xml:space="preserve"> of cognitive testing will test the </w:t>
      </w:r>
      <w:r w:rsidR="004E4D2B">
        <w:t xml:space="preserve">survey content and the usability of the electronic data collection instrument.  The second round will cover the entire survey and identify issues related to content and usability.  The third round will evaluate the </w:t>
      </w:r>
      <w:r>
        <w:t xml:space="preserve">revisions intended to remedy the issues identified during the first </w:t>
      </w:r>
      <w:r w:rsidR="004E4D2B">
        <w:t xml:space="preserve">and second </w:t>
      </w:r>
      <w:r>
        <w:t>round</w:t>
      </w:r>
      <w:r w:rsidR="004E4D2B">
        <w:t>s</w:t>
      </w:r>
      <w:r>
        <w:t xml:space="preserve"> of cognitive testing.</w:t>
      </w:r>
      <w:r w:rsidR="00BF7932" w:rsidRPr="00041CE6">
        <w:t xml:space="preserve"> </w:t>
      </w:r>
    </w:p>
    <w:p w:rsidR="00BF7932" w:rsidRDefault="00BF7932" w:rsidP="00BF7932">
      <w:pPr>
        <w:ind w:left="1440"/>
      </w:pPr>
    </w:p>
    <w:p w:rsidR="00BF7932" w:rsidRDefault="00BF7932" w:rsidP="00BF7932">
      <w:pPr>
        <w:numPr>
          <w:ilvl w:val="0"/>
          <w:numId w:val="1"/>
        </w:numPr>
        <w:ind w:left="720" w:hanging="720"/>
        <w:rPr>
          <w:b/>
          <w:u w:val="single"/>
        </w:rPr>
      </w:pPr>
      <w:r>
        <w:rPr>
          <w:b/>
          <w:u w:val="single"/>
        </w:rPr>
        <w:t>Contacts for Statistical Aspects and Data Collection</w:t>
      </w:r>
    </w:p>
    <w:p w:rsidR="00BF7932" w:rsidRDefault="00BF7932" w:rsidP="00BF7932"/>
    <w:p w:rsidR="00BF7932" w:rsidRDefault="00BF7932" w:rsidP="00BF7932">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720"/>
        <w:rPr>
          <w:b/>
          <w:bCs/>
        </w:rPr>
      </w:pPr>
      <w:r>
        <w:t>The Census Bureau will collect and process these data.  Within the Census Bureau, the following individuals should be consulted for further information on their area of expertise.</w:t>
      </w:r>
      <w:r>
        <w:rPr>
          <w:b/>
          <w:bCs/>
        </w:rPr>
        <w:t xml:space="preserve">  </w:t>
      </w:r>
    </w:p>
    <w:p w:rsidR="00BF7932" w:rsidRDefault="00BF7932" w:rsidP="00BF793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6C67CF"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t>Statistical Methods:</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r w:rsidR="00D74F6E">
        <w:t>Bonnie Kegan</w:t>
      </w:r>
      <w:r>
        <w:t xml:space="preserve">, Chief, </w:t>
      </w:r>
      <w:r w:rsidR="00D74F6E">
        <w:t xml:space="preserve">Construction Programs Methodology </w:t>
      </w:r>
      <w:r>
        <w:t>Branch</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r w:rsidR="00D74F6E">
        <w:t>Manufacturing Construction</w:t>
      </w:r>
      <w:r>
        <w:t xml:space="preserve"> Division</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U.S. Census Bureau</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(301) 763-</w:t>
      </w:r>
      <w:r w:rsidR="00D74F6E">
        <w:t>7639</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u w:val="single"/>
        </w:rPr>
      </w:pPr>
      <w:r>
        <w:tab/>
      </w:r>
      <w:r>
        <w:tab/>
      </w:r>
      <w:hyperlink r:id="rId8" w:history="1"/>
      <w:r w:rsidR="00D74F6E">
        <w:t>Bonnie.E.Kegan@census.gov</w:t>
      </w:r>
    </w:p>
    <w:p w:rsidR="006729EE"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p>
    <w:p w:rsidR="00BF7932" w:rsidRDefault="006729EE"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rsidR="00BF7932">
        <w:t>Subject Matter Expert:</w:t>
      </w:r>
    </w:p>
    <w:p w:rsidR="00BB1607" w:rsidRDefault="00BF7932" w:rsidP="00BB160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p>
    <w:p w:rsidR="00BB1607" w:rsidRDefault="006729EE" w:rsidP="00BB160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r w:rsidR="00BB1607">
        <w:t>Joe Huesman, Chief, Construction Expenditures Branch</w:t>
      </w:r>
    </w:p>
    <w:p w:rsidR="00BB1607" w:rsidRDefault="00BB1607" w:rsidP="00BB160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Manufacturing and Construction Division</w:t>
      </w:r>
    </w:p>
    <w:p w:rsidR="00BB1607" w:rsidRDefault="00BB1607" w:rsidP="00BB160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U.S. Census Bureau</w:t>
      </w:r>
    </w:p>
    <w:p w:rsidR="00BB1607" w:rsidRDefault="00BB1607" w:rsidP="00BB160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(301) 763-4822</w:t>
      </w:r>
    </w:p>
    <w:p w:rsidR="00BB1607" w:rsidRPr="00733385" w:rsidRDefault="00BB1607" w:rsidP="00BB160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Joseph.John.Huesman@census.gov</w:t>
      </w:r>
    </w:p>
    <w:p w:rsidR="00BF7932" w:rsidRPr="00330890"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BF7932" w:rsidRDefault="00BF7932" w:rsidP="006729EE">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pPr>
      <w:r w:rsidRPr="00330890">
        <w:t>Overall Data Collection:</w:t>
      </w:r>
    </w:p>
    <w:p w:rsidR="00BB1607" w:rsidRDefault="00BF7932" w:rsidP="00BB160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p>
    <w:p w:rsidR="00BB1607" w:rsidRPr="00733385" w:rsidRDefault="00BB1607" w:rsidP="006729EE">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pPr>
      <w:r>
        <w:t>Lisa Chambers</w:t>
      </w:r>
      <w:r w:rsidRPr="00733385">
        <w:t xml:space="preserve">, </w:t>
      </w:r>
      <w:r>
        <w:t xml:space="preserve">Section </w:t>
      </w:r>
      <w:r w:rsidRPr="00733385">
        <w:t xml:space="preserve">Chief, </w:t>
      </w:r>
      <w:r>
        <w:t>Construction Expenditures</w:t>
      </w:r>
      <w:r w:rsidRPr="00733385">
        <w:t xml:space="preserve"> Branch</w:t>
      </w:r>
    </w:p>
    <w:p w:rsidR="00BB1607" w:rsidRPr="00733385" w:rsidRDefault="00BB1607" w:rsidP="00BB160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r>
        <w:t>Manufacturing and Construction Division</w:t>
      </w:r>
    </w:p>
    <w:p w:rsidR="00BB1607" w:rsidRPr="00733385" w:rsidRDefault="00BB1607" w:rsidP="00BB160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U.S. Census Bureau</w:t>
      </w:r>
    </w:p>
    <w:p w:rsidR="00BB1607" w:rsidRPr="00733385" w:rsidRDefault="00BB1607" w:rsidP="00BB160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t>(301) 763-</w:t>
      </w:r>
      <w:r>
        <w:t>3825</w:t>
      </w:r>
    </w:p>
    <w:p w:rsidR="00BB1607" w:rsidRPr="00733385" w:rsidRDefault="00BB1607" w:rsidP="00BB1607">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733385">
        <w:tab/>
      </w:r>
      <w:r w:rsidRPr="00733385">
        <w:tab/>
      </w:r>
      <w:r w:rsidRPr="006729EE">
        <w:t>lisa.marie.chambers@census.gov</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B0022B" w:rsidRDefault="00BF7932">
      <w:r>
        <w:t>Attachments</w:t>
      </w:r>
    </w:p>
    <w:sectPr w:rsidR="00B0022B" w:rsidSect="004A2864">
      <w:headerReference w:type="even" r:id="rId9"/>
      <w:headerReference w:type="default" r:id="rId10"/>
      <w:footerReference w:type="default" r:id="rId11"/>
      <w:pgSz w:w="12240" w:h="15840" w:code="1"/>
      <w:pgMar w:top="1440" w:right="1440" w:bottom="1152"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32F" w:rsidRDefault="0066032F" w:rsidP="009C01D0">
      <w:r>
        <w:separator/>
      </w:r>
    </w:p>
  </w:endnote>
  <w:endnote w:type="continuationSeparator" w:id="0">
    <w:p w:rsidR="0066032F" w:rsidRDefault="0066032F" w:rsidP="009C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32F" w:rsidRDefault="00660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32F" w:rsidRDefault="0066032F" w:rsidP="009C01D0">
      <w:r>
        <w:separator/>
      </w:r>
    </w:p>
  </w:footnote>
  <w:footnote w:type="continuationSeparator" w:id="0">
    <w:p w:rsidR="0066032F" w:rsidRDefault="0066032F" w:rsidP="009C0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32F" w:rsidRDefault="006603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6032F" w:rsidRDefault="0066032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32F" w:rsidRDefault="006603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05D4">
      <w:rPr>
        <w:rStyle w:val="PageNumber"/>
        <w:noProof/>
      </w:rPr>
      <w:t>2</w:t>
    </w:r>
    <w:r>
      <w:rPr>
        <w:rStyle w:val="PageNumber"/>
      </w:rPr>
      <w:fldChar w:fldCharType="end"/>
    </w:r>
  </w:p>
  <w:p w:rsidR="0066032F" w:rsidRDefault="0066032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B33DD"/>
    <w:multiLevelType w:val="hybridMultilevel"/>
    <w:tmpl w:val="55E0C402"/>
    <w:lvl w:ilvl="0" w:tplc="45DC6B22">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932"/>
    <w:rsid w:val="0015068C"/>
    <w:rsid w:val="001C05D4"/>
    <w:rsid w:val="001F2133"/>
    <w:rsid w:val="00255AF5"/>
    <w:rsid w:val="002B726A"/>
    <w:rsid w:val="00364B39"/>
    <w:rsid w:val="003A1B5B"/>
    <w:rsid w:val="003A54D8"/>
    <w:rsid w:val="0047141F"/>
    <w:rsid w:val="004A2864"/>
    <w:rsid w:val="004B5B8F"/>
    <w:rsid w:val="004B682A"/>
    <w:rsid w:val="004E4D2B"/>
    <w:rsid w:val="005176FD"/>
    <w:rsid w:val="00544FA8"/>
    <w:rsid w:val="00555E14"/>
    <w:rsid w:val="0060029F"/>
    <w:rsid w:val="0062675F"/>
    <w:rsid w:val="006372C7"/>
    <w:rsid w:val="0066032F"/>
    <w:rsid w:val="00662FA0"/>
    <w:rsid w:val="006729EE"/>
    <w:rsid w:val="006C67CF"/>
    <w:rsid w:val="00747671"/>
    <w:rsid w:val="00770668"/>
    <w:rsid w:val="00833A14"/>
    <w:rsid w:val="00834FEF"/>
    <w:rsid w:val="00837371"/>
    <w:rsid w:val="0087002D"/>
    <w:rsid w:val="00872F55"/>
    <w:rsid w:val="0090649D"/>
    <w:rsid w:val="009C01D0"/>
    <w:rsid w:val="00A16453"/>
    <w:rsid w:val="00B0022B"/>
    <w:rsid w:val="00B10E62"/>
    <w:rsid w:val="00BB1607"/>
    <w:rsid w:val="00BF7932"/>
    <w:rsid w:val="00C64AB6"/>
    <w:rsid w:val="00CD036B"/>
    <w:rsid w:val="00CD57B9"/>
    <w:rsid w:val="00CE36D9"/>
    <w:rsid w:val="00D57D7C"/>
    <w:rsid w:val="00D74F6E"/>
    <w:rsid w:val="00E51AAE"/>
    <w:rsid w:val="00ED6B2E"/>
    <w:rsid w:val="00EF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9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F7932"/>
    <w:rPr>
      <w:color w:val="0000FF"/>
      <w:u w:val="single"/>
    </w:rPr>
  </w:style>
  <w:style w:type="paragraph" w:styleId="BodyTextIndent">
    <w:name w:val="Body Text Indent"/>
    <w:basedOn w:val="Normal"/>
    <w:link w:val="BodyTextIndentChar"/>
    <w:semiHidden/>
    <w:rsid w:val="00BF7932"/>
    <w:pPr>
      <w:numPr>
        <w:ilvl w:val="12"/>
      </w:numPr>
      <w:tabs>
        <w:tab w:val="left" w:pos="432"/>
        <w:tab w:val="left" w:pos="720"/>
        <w:tab w:val="left" w:pos="864"/>
        <w:tab w:val="left" w:pos="1022"/>
        <w:tab w:val="left" w:pos="1296"/>
        <w:tab w:val="left" w:pos="1728"/>
        <w:tab w:val="left" w:pos="2160"/>
      </w:tabs>
      <w:ind w:left="1022"/>
    </w:pPr>
  </w:style>
  <w:style w:type="character" w:customStyle="1" w:styleId="BodyTextIndentChar">
    <w:name w:val="Body Text Indent Char"/>
    <w:basedOn w:val="DefaultParagraphFont"/>
    <w:link w:val="BodyTextIndent"/>
    <w:semiHidden/>
    <w:rsid w:val="00BF793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F7932"/>
    <w:pPr>
      <w:ind w:left="1008"/>
    </w:pPr>
  </w:style>
  <w:style w:type="character" w:customStyle="1" w:styleId="BodyTextIndent2Char">
    <w:name w:val="Body Text Indent 2 Char"/>
    <w:basedOn w:val="DefaultParagraphFont"/>
    <w:link w:val="BodyTextIndent2"/>
    <w:semiHidden/>
    <w:rsid w:val="00BF7932"/>
    <w:rPr>
      <w:rFonts w:ascii="Times New Roman" w:eastAsia="Times New Roman" w:hAnsi="Times New Roman" w:cs="Times New Roman"/>
      <w:sz w:val="24"/>
      <w:szCs w:val="24"/>
    </w:rPr>
  </w:style>
  <w:style w:type="paragraph" w:styleId="Header">
    <w:name w:val="header"/>
    <w:basedOn w:val="Normal"/>
    <w:link w:val="HeaderChar"/>
    <w:semiHidden/>
    <w:rsid w:val="00BF7932"/>
    <w:pPr>
      <w:tabs>
        <w:tab w:val="center" w:pos="4320"/>
        <w:tab w:val="right" w:pos="8640"/>
      </w:tabs>
    </w:pPr>
  </w:style>
  <w:style w:type="character" w:customStyle="1" w:styleId="HeaderChar">
    <w:name w:val="Header Char"/>
    <w:basedOn w:val="DefaultParagraphFont"/>
    <w:link w:val="Header"/>
    <w:semiHidden/>
    <w:rsid w:val="00BF7932"/>
    <w:rPr>
      <w:rFonts w:ascii="Times New Roman" w:eastAsia="Times New Roman" w:hAnsi="Times New Roman" w:cs="Times New Roman"/>
      <w:sz w:val="24"/>
      <w:szCs w:val="24"/>
    </w:rPr>
  </w:style>
  <w:style w:type="character" w:styleId="PageNumber">
    <w:name w:val="page number"/>
    <w:basedOn w:val="DefaultParagraphFont"/>
    <w:semiHidden/>
    <w:rsid w:val="00BF7932"/>
  </w:style>
  <w:style w:type="character" w:styleId="Emphasis">
    <w:name w:val="Emphasis"/>
    <w:basedOn w:val="DefaultParagraphFont"/>
    <w:uiPriority w:val="20"/>
    <w:qFormat/>
    <w:rsid w:val="00834FEF"/>
    <w:rPr>
      <w:i/>
      <w:iCs/>
    </w:rPr>
  </w:style>
  <w:style w:type="paragraph" w:styleId="BalloonText">
    <w:name w:val="Balloon Text"/>
    <w:basedOn w:val="Normal"/>
    <w:link w:val="BalloonTextChar"/>
    <w:uiPriority w:val="99"/>
    <w:semiHidden/>
    <w:unhideWhenUsed/>
    <w:rsid w:val="00834FEF"/>
    <w:rPr>
      <w:rFonts w:ascii="Tahoma" w:hAnsi="Tahoma" w:cs="Tahoma"/>
      <w:sz w:val="16"/>
      <w:szCs w:val="16"/>
    </w:rPr>
  </w:style>
  <w:style w:type="character" w:customStyle="1" w:styleId="BalloonTextChar">
    <w:name w:val="Balloon Text Char"/>
    <w:basedOn w:val="DefaultParagraphFont"/>
    <w:link w:val="BalloonText"/>
    <w:uiPriority w:val="99"/>
    <w:semiHidden/>
    <w:rsid w:val="00834FEF"/>
    <w:rPr>
      <w:rFonts w:ascii="Tahoma" w:eastAsia="Times New Roman" w:hAnsi="Tahoma" w:cs="Tahoma"/>
      <w:sz w:val="16"/>
      <w:szCs w:val="16"/>
    </w:rPr>
  </w:style>
  <w:style w:type="paragraph" w:styleId="ListParagraph">
    <w:name w:val="List Paragraph"/>
    <w:basedOn w:val="Normal"/>
    <w:uiPriority w:val="34"/>
    <w:qFormat/>
    <w:rsid w:val="00834FEF"/>
    <w:pPr>
      <w:spacing w:before="100" w:beforeAutospacing="1" w:after="100" w:afterAutospacing="1"/>
    </w:pPr>
    <w:rPr>
      <w:rFonts w:eastAsiaTheme="minorHAnsi"/>
    </w:rPr>
  </w:style>
  <w:style w:type="table" w:styleId="TableGrid">
    <w:name w:val="Table Grid"/>
    <w:basedOn w:val="TableNormal"/>
    <w:uiPriority w:val="59"/>
    <w:rsid w:val="001F2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E51AAE"/>
    <w:pPr>
      <w:tabs>
        <w:tab w:val="center" w:pos="4680"/>
        <w:tab w:val="right" w:pos="9360"/>
      </w:tabs>
    </w:pPr>
  </w:style>
  <w:style w:type="character" w:customStyle="1" w:styleId="FooterChar">
    <w:name w:val="Footer Char"/>
    <w:basedOn w:val="DefaultParagraphFont"/>
    <w:link w:val="Footer"/>
    <w:uiPriority w:val="99"/>
    <w:semiHidden/>
    <w:rsid w:val="00E51AAE"/>
    <w:rPr>
      <w:rFonts w:ascii="Times New Roman" w:eastAsia="Times New Roman" w:hAnsi="Times New Roman" w:cs="Times New Roman"/>
      <w:sz w:val="24"/>
      <w:szCs w:val="24"/>
    </w:rPr>
  </w:style>
  <w:style w:type="paragraph" w:styleId="Revision">
    <w:name w:val="Revision"/>
    <w:hidden/>
    <w:uiPriority w:val="99"/>
    <w:semiHidden/>
    <w:rsid w:val="00872F55"/>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9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F7932"/>
    <w:rPr>
      <w:color w:val="0000FF"/>
      <w:u w:val="single"/>
    </w:rPr>
  </w:style>
  <w:style w:type="paragraph" w:styleId="BodyTextIndent">
    <w:name w:val="Body Text Indent"/>
    <w:basedOn w:val="Normal"/>
    <w:link w:val="BodyTextIndentChar"/>
    <w:semiHidden/>
    <w:rsid w:val="00BF7932"/>
    <w:pPr>
      <w:numPr>
        <w:ilvl w:val="12"/>
      </w:numPr>
      <w:tabs>
        <w:tab w:val="left" w:pos="432"/>
        <w:tab w:val="left" w:pos="720"/>
        <w:tab w:val="left" w:pos="864"/>
        <w:tab w:val="left" w:pos="1022"/>
        <w:tab w:val="left" w:pos="1296"/>
        <w:tab w:val="left" w:pos="1728"/>
        <w:tab w:val="left" w:pos="2160"/>
      </w:tabs>
      <w:ind w:left="1022"/>
    </w:pPr>
  </w:style>
  <w:style w:type="character" w:customStyle="1" w:styleId="BodyTextIndentChar">
    <w:name w:val="Body Text Indent Char"/>
    <w:basedOn w:val="DefaultParagraphFont"/>
    <w:link w:val="BodyTextIndent"/>
    <w:semiHidden/>
    <w:rsid w:val="00BF793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F7932"/>
    <w:pPr>
      <w:ind w:left="1008"/>
    </w:pPr>
  </w:style>
  <w:style w:type="character" w:customStyle="1" w:styleId="BodyTextIndent2Char">
    <w:name w:val="Body Text Indent 2 Char"/>
    <w:basedOn w:val="DefaultParagraphFont"/>
    <w:link w:val="BodyTextIndent2"/>
    <w:semiHidden/>
    <w:rsid w:val="00BF7932"/>
    <w:rPr>
      <w:rFonts w:ascii="Times New Roman" w:eastAsia="Times New Roman" w:hAnsi="Times New Roman" w:cs="Times New Roman"/>
      <w:sz w:val="24"/>
      <w:szCs w:val="24"/>
    </w:rPr>
  </w:style>
  <w:style w:type="paragraph" w:styleId="Header">
    <w:name w:val="header"/>
    <w:basedOn w:val="Normal"/>
    <w:link w:val="HeaderChar"/>
    <w:semiHidden/>
    <w:rsid w:val="00BF7932"/>
    <w:pPr>
      <w:tabs>
        <w:tab w:val="center" w:pos="4320"/>
        <w:tab w:val="right" w:pos="8640"/>
      </w:tabs>
    </w:pPr>
  </w:style>
  <w:style w:type="character" w:customStyle="1" w:styleId="HeaderChar">
    <w:name w:val="Header Char"/>
    <w:basedOn w:val="DefaultParagraphFont"/>
    <w:link w:val="Header"/>
    <w:semiHidden/>
    <w:rsid w:val="00BF7932"/>
    <w:rPr>
      <w:rFonts w:ascii="Times New Roman" w:eastAsia="Times New Roman" w:hAnsi="Times New Roman" w:cs="Times New Roman"/>
      <w:sz w:val="24"/>
      <w:szCs w:val="24"/>
    </w:rPr>
  </w:style>
  <w:style w:type="character" w:styleId="PageNumber">
    <w:name w:val="page number"/>
    <w:basedOn w:val="DefaultParagraphFont"/>
    <w:semiHidden/>
    <w:rsid w:val="00BF7932"/>
  </w:style>
  <w:style w:type="character" w:styleId="Emphasis">
    <w:name w:val="Emphasis"/>
    <w:basedOn w:val="DefaultParagraphFont"/>
    <w:uiPriority w:val="20"/>
    <w:qFormat/>
    <w:rsid w:val="00834FEF"/>
    <w:rPr>
      <w:i/>
      <w:iCs/>
    </w:rPr>
  </w:style>
  <w:style w:type="paragraph" w:styleId="BalloonText">
    <w:name w:val="Balloon Text"/>
    <w:basedOn w:val="Normal"/>
    <w:link w:val="BalloonTextChar"/>
    <w:uiPriority w:val="99"/>
    <w:semiHidden/>
    <w:unhideWhenUsed/>
    <w:rsid w:val="00834FEF"/>
    <w:rPr>
      <w:rFonts w:ascii="Tahoma" w:hAnsi="Tahoma" w:cs="Tahoma"/>
      <w:sz w:val="16"/>
      <w:szCs w:val="16"/>
    </w:rPr>
  </w:style>
  <w:style w:type="character" w:customStyle="1" w:styleId="BalloonTextChar">
    <w:name w:val="Balloon Text Char"/>
    <w:basedOn w:val="DefaultParagraphFont"/>
    <w:link w:val="BalloonText"/>
    <w:uiPriority w:val="99"/>
    <w:semiHidden/>
    <w:rsid w:val="00834FEF"/>
    <w:rPr>
      <w:rFonts w:ascii="Tahoma" w:eastAsia="Times New Roman" w:hAnsi="Tahoma" w:cs="Tahoma"/>
      <w:sz w:val="16"/>
      <w:szCs w:val="16"/>
    </w:rPr>
  </w:style>
  <w:style w:type="paragraph" w:styleId="ListParagraph">
    <w:name w:val="List Paragraph"/>
    <w:basedOn w:val="Normal"/>
    <w:uiPriority w:val="34"/>
    <w:qFormat/>
    <w:rsid w:val="00834FEF"/>
    <w:pPr>
      <w:spacing w:before="100" w:beforeAutospacing="1" w:after="100" w:afterAutospacing="1"/>
    </w:pPr>
    <w:rPr>
      <w:rFonts w:eastAsiaTheme="minorHAnsi"/>
    </w:rPr>
  </w:style>
  <w:style w:type="table" w:styleId="TableGrid">
    <w:name w:val="Table Grid"/>
    <w:basedOn w:val="TableNormal"/>
    <w:uiPriority w:val="59"/>
    <w:rsid w:val="001F2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E51AAE"/>
    <w:pPr>
      <w:tabs>
        <w:tab w:val="center" w:pos="4680"/>
        <w:tab w:val="right" w:pos="9360"/>
      </w:tabs>
    </w:pPr>
  </w:style>
  <w:style w:type="character" w:customStyle="1" w:styleId="FooterChar">
    <w:name w:val="Footer Char"/>
    <w:basedOn w:val="DefaultParagraphFont"/>
    <w:link w:val="Footer"/>
    <w:uiPriority w:val="99"/>
    <w:semiHidden/>
    <w:rsid w:val="00E51AAE"/>
    <w:rPr>
      <w:rFonts w:ascii="Times New Roman" w:eastAsia="Times New Roman" w:hAnsi="Times New Roman" w:cs="Times New Roman"/>
      <w:sz w:val="24"/>
      <w:szCs w:val="24"/>
    </w:rPr>
  </w:style>
  <w:style w:type="paragraph" w:styleId="Revision">
    <w:name w:val="Revision"/>
    <w:hidden/>
    <w:uiPriority w:val="99"/>
    <w:semiHidden/>
    <w:rsid w:val="00872F5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Shawn Bucholtz</cp:lastModifiedBy>
  <cp:revision>9</cp:revision>
  <cp:lastPrinted>2014-07-31T12:46:00Z</cp:lastPrinted>
  <dcterms:created xsi:type="dcterms:W3CDTF">2014-07-29T16:36:00Z</dcterms:created>
  <dcterms:modified xsi:type="dcterms:W3CDTF">2014-10-23T18:20:00Z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-1727842339</vt:i4>
  </property>
  <property fmtid="{D5CDD505-2E9C-101B-9397-08002B2CF9AE}" pid="3" name="_NewReviewCycle">
    <vt:lpwstr/>
  </property>
  <property fmtid="{D5CDD505-2E9C-101B-9397-08002B2CF9AE}" pid="4" name="_EmailSubject">
    <vt:lpwstr>30-day for RHFS</vt:lpwstr>
  </property>
  <property fmtid="{D5CDD505-2E9C-101B-9397-08002B2CF9AE}" pid="5" name="_AuthorEmail">
    <vt:lpwstr>Shawn.J.Bucholtz@hud.gov</vt:lpwstr>
  </property>
  <property fmtid="{D5CDD505-2E9C-101B-9397-08002B2CF9AE}" pid="6" name="_AuthorEmailDisplayName">
    <vt:lpwstr>Bucholtz, Shawn J</vt:lpwstr>
  </property>
  <property fmtid="{D5CDD505-2E9C-101B-9397-08002B2CF9AE}" pid="8" name="_PreviousAdHocReviewCycleID">
    <vt:i4>439339024</vt:i4>
  </property>
</Properties>
</file>