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B1" w:rsidRDefault="00C71131" w:rsidP="00C71131">
      <w:pPr>
        <w:jc w:val="center"/>
        <w:rPr>
          <w:b/>
          <w:sz w:val="48"/>
          <w:szCs w:val="48"/>
        </w:rPr>
      </w:pPr>
      <w:bookmarkStart w:id="0" w:name="_Toc246327218"/>
      <w:bookmarkStart w:id="1" w:name="_Toc390342963"/>
      <w:r>
        <w:br/>
      </w:r>
    </w:p>
    <w:p w:rsidR="000A4CB1" w:rsidRDefault="000A4CB1" w:rsidP="00C71131">
      <w:pPr>
        <w:jc w:val="center"/>
        <w:rPr>
          <w:b/>
          <w:sz w:val="48"/>
          <w:szCs w:val="48"/>
        </w:rPr>
      </w:pPr>
    </w:p>
    <w:p w:rsidR="00C71131" w:rsidRPr="00C71131" w:rsidRDefault="00C71131" w:rsidP="00C71131">
      <w:pPr>
        <w:jc w:val="center"/>
        <w:rPr>
          <w:b/>
          <w:sz w:val="48"/>
          <w:szCs w:val="48"/>
        </w:rPr>
      </w:pPr>
      <w:r w:rsidRPr="00C71131">
        <w:rPr>
          <w:b/>
          <w:sz w:val="48"/>
          <w:szCs w:val="48"/>
        </w:rPr>
        <w:t>Evaluation of the Rental Assistance Demonstration (RAD) Program, Phase 1</w:t>
      </w:r>
    </w:p>
    <w:p w:rsidR="00C71131" w:rsidRPr="00C71131" w:rsidRDefault="00C71131" w:rsidP="00C71131">
      <w:pPr>
        <w:jc w:val="center"/>
        <w:rPr>
          <w:b/>
          <w:sz w:val="48"/>
          <w:szCs w:val="48"/>
        </w:rPr>
      </w:pPr>
    </w:p>
    <w:p w:rsidR="00C71131" w:rsidRDefault="00C71131" w:rsidP="00C71131">
      <w:pPr>
        <w:jc w:val="center"/>
        <w:rPr>
          <w:b/>
          <w:sz w:val="44"/>
          <w:szCs w:val="44"/>
        </w:rPr>
      </w:pPr>
    </w:p>
    <w:p w:rsidR="00C71131" w:rsidRDefault="00C71131" w:rsidP="00C71131">
      <w:pPr>
        <w:jc w:val="center"/>
        <w:rPr>
          <w:b/>
          <w:sz w:val="44"/>
          <w:szCs w:val="44"/>
        </w:rPr>
      </w:pPr>
    </w:p>
    <w:p w:rsidR="00C71131" w:rsidRPr="00C71131" w:rsidRDefault="00C71131" w:rsidP="00C71131">
      <w:pPr>
        <w:jc w:val="center"/>
        <w:rPr>
          <w:b/>
          <w:sz w:val="44"/>
          <w:szCs w:val="44"/>
        </w:rPr>
      </w:pPr>
      <w:r w:rsidRPr="00C71131">
        <w:rPr>
          <w:b/>
          <w:sz w:val="44"/>
          <w:szCs w:val="44"/>
        </w:rPr>
        <w:t>Supporting Statement for Paperwork Reduction Act Submission, Part A</w:t>
      </w:r>
    </w:p>
    <w:p w:rsidR="00C71131" w:rsidRDefault="00C71131" w:rsidP="00C71131">
      <w:pPr>
        <w:jc w:val="center"/>
        <w:rPr>
          <w:b/>
          <w:sz w:val="32"/>
          <w:szCs w:val="32"/>
        </w:rPr>
      </w:pPr>
    </w:p>
    <w:p w:rsidR="00C71131" w:rsidRDefault="00C71131"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C71131" w:rsidRDefault="001C697F" w:rsidP="00C71131">
      <w:pPr>
        <w:jc w:val="center"/>
        <w:rPr>
          <w:b/>
          <w:sz w:val="32"/>
          <w:szCs w:val="32"/>
        </w:rPr>
      </w:pPr>
      <w:r>
        <w:rPr>
          <w:b/>
          <w:sz w:val="32"/>
          <w:szCs w:val="32"/>
        </w:rPr>
        <w:t>U.S. Department of Housing &amp; Urban Development (HUD)</w:t>
      </w:r>
    </w:p>
    <w:p w:rsidR="001C697F" w:rsidRDefault="001C697F" w:rsidP="00C71131">
      <w:pPr>
        <w:jc w:val="center"/>
        <w:rPr>
          <w:b/>
          <w:sz w:val="32"/>
          <w:szCs w:val="32"/>
        </w:rPr>
      </w:pPr>
      <w:r>
        <w:rPr>
          <w:b/>
          <w:sz w:val="32"/>
          <w:szCs w:val="32"/>
        </w:rPr>
        <w:t>Office of Policy Development &amp; Research (PD&amp;R)</w:t>
      </w:r>
    </w:p>
    <w:p w:rsidR="00C71131" w:rsidRDefault="00C71131" w:rsidP="00C71131">
      <w:pPr>
        <w:jc w:val="center"/>
        <w:rPr>
          <w:b/>
          <w:sz w:val="32"/>
          <w:szCs w:val="32"/>
        </w:rPr>
      </w:pPr>
    </w:p>
    <w:p w:rsidR="001C697F" w:rsidRDefault="001C697F" w:rsidP="00C71131">
      <w:pPr>
        <w:jc w:val="center"/>
        <w:rPr>
          <w:b/>
          <w:sz w:val="32"/>
          <w:szCs w:val="32"/>
        </w:rPr>
      </w:pPr>
    </w:p>
    <w:p w:rsidR="00C71131" w:rsidRDefault="00510A25" w:rsidP="00C71131">
      <w:pPr>
        <w:jc w:val="center"/>
        <w:rPr>
          <w:b/>
          <w:sz w:val="32"/>
          <w:szCs w:val="32"/>
        </w:rPr>
      </w:pPr>
      <w:r>
        <w:rPr>
          <w:b/>
          <w:sz w:val="32"/>
          <w:szCs w:val="32"/>
        </w:rPr>
        <w:t xml:space="preserve">September </w:t>
      </w:r>
      <w:r w:rsidR="001C697F">
        <w:rPr>
          <w:b/>
          <w:sz w:val="32"/>
          <w:szCs w:val="32"/>
        </w:rPr>
        <w:t>22</w:t>
      </w:r>
      <w:r w:rsidR="00C71131">
        <w:rPr>
          <w:b/>
          <w:sz w:val="32"/>
          <w:szCs w:val="32"/>
        </w:rPr>
        <w:t>, 2014</w:t>
      </w:r>
    </w:p>
    <w:p w:rsidR="00C71131" w:rsidRDefault="00C71131" w:rsidP="00C71131">
      <w:pPr>
        <w:jc w:val="center"/>
        <w:rPr>
          <w:b/>
          <w:sz w:val="32"/>
          <w:szCs w:val="32"/>
        </w:rPr>
      </w:pPr>
    </w:p>
    <w:p w:rsidR="00FC5555" w:rsidRPr="00FC5555" w:rsidRDefault="00C71131" w:rsidP="00FC5555">
      <w:pPr>
        <w:jc w:val="center"/>
        <w:rPr>
          <w:b/>
        </w:rPr>
      </w:pPr>
      <w:r>
        <w:br w:type="page"/>
      </w:r>
      <w:bookmarkEnd w:id="0"/>
      <w:bookmarkEnd w:id="1"/>
      <w:r w:rsidR="00FC5555" w:rsidRPr="00FC5555">
        <w:rPr>
          <w:b/>
        </w:rPr>
        <w:lastRenderedPageBreak/>
        <w:t>Supporting Statement for Paperwork Reduction Act Submission, Part A</w:t>
      </w:r>
    </w:p>
    <w:p w:rsidR="00FC5555" w:rsidRPr="00FC5555" w:rsidRDefault="00FC5555" w:rsidP="00FC5555">
      <w:pPr>
        <w:jc w:val="center"/>
        <w:rPr>
          <w:b/>
        </w:rPr>
      </w:pPr>
      <w:r w:rsidRPr="00FC5555">
        <w:rPr>
          <w:b/>
        </w:rPr>
        <w:t>Evaluation of the Rental Assistance Demonstration (RAD) Program, Phase 1</w:t>
      </w:r>
    </w:p>
    <w:p w:rsidR="00C71131" w:rsidRDefault="00C71131" w:rsidP="00C71131"/>
    <w:p w:rsidR="00C71131" w:rsidRPr="004D5244" w:rsidRDefault="00C71131" w:rsidP="00C71131">
      <w:pPr>
        <w:pStyle w:val="Heading2"/>
        <w:numPr>
          <w:ilvl w:val="0"/>
          <w:numId w:val="0"/>
        </w:numPr>
        <w:ind w:left="432" w:hanging="432"/>
        <w:rPr>
          <w:rFonts w:ascii="Times New Roman" w:hAnsi="Times New Roman" w:cs="Times New Roman"/>
          <w:color w:val="auto"/>
          <w:sz w:val="24"/>
        </w:rPr>
      </w:pPr>
      <w:bookmarkStart w:id="2" w:name="_Toc390342964"/>
      <w:r w:rsidRPr="000401D2">
        <w:rPr>
          <w:rFonts w:ascii="Times New Roman" w:hAnsi="Times New Roman" w:cs="Times New Roman"/>
          <w:color w:val="auto"/>
          <w:sz w:val="24"/>
        </w:rPr>
        <w:t>SUMMARY</w:t>
      </w:r>
      <w:bookmarkEnd w:id="2"/>
    </w:p>
    <w:p w:rsidR="00C71131" w:rsidRDefault="00C71131" w:rsidP="00C71131">
      <w:pPr>
        <w:jc w:val="both"/>
      </w:pPr>
      <w:r>
        <w:t xml:space="preserve">The U.S. </w:t>
      </w:r>
      <w:r w:rsidRPr="003A7EF4">
        <w:t xml:space="preserve">Department of Housing and Urban Development’s (HUD) </w:t>
      </w:r>
      <w:r>
        <w:t>Rental Assistance Demonstration (RAD) Program, authorized by the Consolidated and Further Continuing Appropriations Act of 2012 (Public Law 112-55, approved November 18, 2011), is designed to provide affordable rental opportunities, preserve and improve the quality of the affordable housing stock, and expand</w:t>
      </w:r>
      <w:r w:rsidRPr="007E05D8">
        <w:rPr>
          <w:rFonts w:eastAsia="Calibri"/>
        </w:rPr>
        <w:t xml:space="preserve"> </w:t>
      </w:r>
      <w:r w:rsidRPr="00427ADD">
        <w:rPr>
          <w:rFonts w:eastAsia="Calibri"/>
        </w:rPr>
        <w:t>families’ choices of affordable rental homes located in a broad range of communities</w:t>
      </w:r>
      <w:r>
        <w:t xml:space="preserve">. This evaluation concentrates on the first component of the RAD program, which allows </w:t>
      </w:r>
      <w:r w:rsidRPr="00E07D4E">
        <w:t>Public Housing and Moderate Rehabilitation (Mod Rehab) properties to convert to long-term Section 8 rental assistance contracts</w:t>
      </w:r>
      <w:r>
        <w:t>.</w:t>
      </w:r>
    </w:p>
    <w:p w:rsidR="00C71131" w:rsidRDefault="00C71131" w:rsidP="00C71131">
      <w:pPr>
        <w:jc w:val="both"/>
      </w:pPr>
    </w:p>
    <w:p w:rsidR="00C71131" w:rsidRDefault="00C71131" w:rsidP="00C71131">
      <w:pPr>
        <w:jc w:val="both"/>
      </w:pPr>
      <w:r w:rsidRPr="00427ADD">
        <w:rPr>
          <w:rFonts w:eastAsia="Calibri"/>
        </w:rPr>
        <w:t xml:space="preserve">The RAD program is expected to demonstrate that project-based Section 8 HAP contracts will provide a stable, long-term form of public support for affordable housing; that converting public housing to Section 8 HAP contracts will enable affordable housing properties to gain additional access to private capital; and that the combination of stable public funding and flexible private capital will cover the long-term capital needs of the converted properties. </w:t>
      </w:r>
      <w:r>
        <w:rPr>
          <w:rFonts w:eastAsia="Calibri"/>
        </w:rPr>
        <w:t>In addition,</w:t>
      </w:r>
      <w:r w:rsidRPr="00427ADD">
        <w:rPr>
          <w:rFonts w:eastAsia="Calibri"/>
        </w:rPr>
        <w:t xml:space="preserve"> the program’s results are expected to show that the converted </w:t>
      </w:r>
      <w:r w:rsidRPr="00427ADD">
        <w:rPr>
          <w:lang w:val="en"/>
        </w:rPr>
        <w:t>public housing properties will remain affordable, meeting the needs of low-income residents and ensuring that public ownership or control is maintained through long-term, renewable contracts and coterminous use agreements</w:t>
      </w:r>
      <w:r>
        <w:rPr>
          <w:lang w:val="en"/>
        </w:rPr>
        <w:t>.</w:t>
      </w:r>
    </w:p>
    <w:p w:rsidR="00C71131" w:rsidRPr="00BA3194" w:rsidRDefault="00C71131" w:rsidP="00C71131"/>
    <w:p w:rsidR="001D2E80" w:rsidRDefault="00837628" w:rsidP="003257AB">
      <w:pPr>
        <w:keepNext/>
        <w:jc w:val="both"/>
        <w:rPr>
          <w:szCs w:val="22"/>
        </w:rPr>
      </w:pPr>
      <w:r>
        <w:t>The evaluation contract was awarded by HUD to Econometrica, Inc., a small business located in Bethesda, MD, that has conducted evaluation research for the past 10 years for various federal government agencies</w:t>
      </w:r>
      <w:r w:rsidR="00D5187D">
        <w:t xml:space="preserve">. </w:t>
      </w:r>
      <w:r w:rsidR="00C71131">
        <w:rPr>
          <w:szCs w:val="22"/>
        </w:rPr>
        <w:t>The results of th</w:t>
      </w:r>
      <w:r w:rsidR="00B64BC6">
        <w:rPr>
          <w:szCs w:val="22"/>
        </w:rPr>
        <w:t>is e</w:t>
      </w:r>
      <w:r w:rsidR="00C71131">
        <w:rPr>
          <w:szCs w:val="22"/>
        </w:rPr>
        <w:t>valuation</w:t>
      </w:r>
      <w:r w:rsidR="00C71131" w:rsidRPr="00BA3194">
        <w:rPr>
          <w:szCs w:val="22"/>
        </w:rPr>
        <w:t xml:space="preserve"> </w:t>
      </w:r>
      <w:r w:rsidR="00C71131">
        <w:rPr>
          <w:szCs w:val="22"/>
        </w:rPr>
        <w:t xml:space="preserve">will allow HUD </w:t>
      </w:r>
      <w:r w:rsidR="00C71131" w:rsidRPr="00BA3194">
        <w:rPr>
          <w:szCs w:val="22"/>
        </w:rPr>
        <w:t xml:space="preserve">to </w:t>
      </w:r>
      <w:r w:rsidR="00C71131">
        <w:rPr>
          <w:szCs w:val="22"/>
        </w:rPr>
        <w:t xml:space="preserve">determine whether the program objectives </w:t>
      </w:r>
      <w:r w:rsidR="00B64BC6">
        <w:rPr>
          <w:szCs w:val="22"/>
        </w:rPr>
        <w:t xml:space="preserve">were </w:t>
      </w:r>
      <w:r w:rsidR="00C71131">
        <w:rPr>
          <w:szCs w:val="22"/>
        </w:rPr>
        <w:t>met</w:t>
      </w:r>
      <w:r w:rsidR="00D5187D">
        <w:rPr>
          <w:szCs w:val="22"/>
        </w:rPr>
        <w:t>.</w:t>
      </w:r>
      <w:r w:rsidR="003257AB">
        <w:rPr>
          <w:szCs w:val="22"/>
        </w:rPr>
        <w:t xml:space="preserve"> </w:t>
      </w:r>
    </w:p>
    <w:p w:rsidR="001D2E80" w:rsidRDefault="001D2E80" w:rsidP="003257AB">
      <w:pPr>
        <w:keepNext/>
        <w:jc w:val="both"/>
        <w:rPr>
          <w:szCs w:val="22"/>
        </w:rPr>
      </w:pPr>
    </w:p>
    <w:p w:rsidR="008A7B4D" w:rsidRPr="001D2E80" w:rsidRDefault="001D2E80" w:rsidP="003257AB">
      <w:pPr>
        <w:keepNext/>
        <w:jc w:val="both"/>
        <w:rPr>
          <w:szCs w:val="22"/>
        </w:rPr>
      </w:pPr>
      <w:r>
        <w:rPr>
          <w:szCs w:val="22"/>
        </w:rPr>
        <w:t>This evaluation will take place in two phases</w:t>
      </w:r>
      <w:r>
        <w:t>.</w:t>
      </w:r>
      <w:r w:rsidR="008A7B4D" w:rsidRPr="008A7B4D">
        <w:rPr>
          <w:vertAlign w:val="superscript"/>
        </w:rPr>
        <w:footnoteReference w:id="1"/>
      </w:r>
      <w:r w:rsidR="008A7B4D" w:rsidRPr="008A7B4D">
        <w:t xml:space="preserve"> </w:t>
      </w:r>
      <w:r>
        <w:t xml:space="preserve">The first phase of the evaluation will include an assessment of </w:t>
      </w:r>
      <w:r w:rsidR="00EB45D0">
        <w:t>the physical and financial condition of the RAD properties</w:t>
      </w:r>
      <w:r>
        <w:t xml:space="preserve"> and a study of the </w:t>
      </w:r>
      <w:r w:rsidR="008A7B4D" w:rsidRPr="008A7B4D">
        <w:t>implementation of the RAD program</w:t>
      </w:r>
      <w:r w:rsidR="00D5187D">
        <w:t xml:space="preserve">. </w:t>
      </w:r>
      <w:r>
        <w:t xml:space="preserve">This first phase also includes enrolling </w:t>
      </w:r>
      <w:r w:rsidR="008A7B4D" w:rsidRPr="008A7B4D">
        <w:t>residents</w:t>
      </w:r>
      <w:r w:rsidR="00EB45D0">
        <w:t xml:space="preserve"> </w:t>
      </w:r>
      <w:r>
        <w:t xml:space="preserve">into a resident outcomes </w:t>
      </w:r>
      <w:r w:rsidR="00EB45D0">
        <w:t xml:space="preserve">study </w:t>
      </w:r>
      <w:r>
        <w:t xml:space="preserve">that will be supported in the second phase of the evaluation.  During this first </w:t>
      </w:r>
      <w:r w:rsidR="00EB45D0">
        <w:t>phase of the study</w:t>
      </w:r>
      <w:r w:rsidR="008A7B4D" w:rsidRPr="008A7B4D">
        <w:t xml:space="preserve">, </w:t>
      </w:r>
      <w:r w:rsidR="00EB45D0">
        <w:t>Econometrica</w:t>
      </w:r>
      <w:r w:rsidR="008A7B4D" w:rsidRPr="008A7B4D">
        <w:t xml:space="preserve"> will assess the impact of the </w:t>
      </w:r>
      <w:r>
        <w:t xml:space="preserve">RAD </w:t>
      </w:r>
      <w:r w:rsidR="008A7B4D" w:rsidRPr="008A7B4D">
        <w:t>program in two areas:</w:t>
      </w:r>
    </w:p>
    <w:p w:rsidR="008A7B4D" w:rsidRPr="008A7B4D" w:rsidRDefault="008A7B4D" w:rsidP="008A7B4D">
      <w:pPr>
        <w:keepNext/>
        <w:numPr>
          <w:ilvl w:val="0"/>
          <w:numId w:val="13"/>
        </w:numPr>
        <w:spacing w:before="120"/>
        <w:jc w:val="both"/>
        <w:rPr>
          <w:i/>
        </w:rPr>
      </w:pPr>
      <w:r w:rsidRPr="008A7B4D">
        <w:rPr>
          <w:i/>
        </w:rPr>
        <w:t>The preservation and improvement of former public housing units.</w:t>
      </w:r>
    </w:p>
    <w:p w:rsidR="00EF5372" w:rsidRPr="00567B10" w:rsidRDefault="008A7B4D" w:rsidP="00EF5372">
      <w:pPr>
        <w:keepNext/>
        <w:numPr>
          <w:ilvl w:val="0"/>
          <w:numId w:val="13"/>
        </w:numPr>
        <w:jc w:val="both"/>
      </w:pPr>
      <w:r w:rsidRPr="008A7B4D">
        <w:rPr>
          <w:i/>
        </w:rPr>
        <w:t>The amount of private capital leveraged as a result of such conversions.</w:t>
      </w:r>
    </w:p>
    <w:p w:rsidR="008A7B4D" w:rsidRDefault="008A7B4D" w:rsidP="008A7B4D">
      <w:pPr>
        <w:jc w:val="both"/>
        <w:rPr>
          <w:rFonts w:eastAsia="Calibri"/>
        </w:rPr>
      </w:pPr>
    </w:p>
    <w:p w:rsidR="001D2E80" w:rsidRPr="008A7B4D" w:rsidRDefault="001D2E80" w:rsidP="008A7B4D">
      <w:pPr>
        <w:jc w:val="both"/>
        <w:rPr>
          <w:rFonts w:eastAsia="Calibri"/>
        </w:rPr>
      </w:pPr>
      <w:r>
        <w:rPr>
          <w:rFonts w:eastAsia="Calibri"/>
        </w:rPr>
        <w:t xml:space="preserve">This </w:t>
      </w:r>
      <w:r w:rsidR="00EF5372">
        <w:rPr>
          <w:rFonts w:eastAsia="Calibri"/>
        </w:rPr>
        <w:t>Paperwork Reduction Act (</w:t>
      </w:r>
      <w:r>
        <w:rPr>
          <w:rFonts w:eastAsia="Calibri"/>
        </w:rPr>
        <w:t>PRA</w:t>
      </w:r>
      <w:r w:rsidR="00EF5372">
        <w:rPr>
          <w:rFonts w:eastAsia="Calibri"/>
        </w:rPr>
        <w:t>)</w:t>
      </w:r>
      <w:r>
        <w:rPr>
          <w:rFonts w:eastAsia="Calibri"/>
        </w:rPr>
        <w:t xml:space="preserve"> submission includes only the instrumentation required for use under the first phase of the RAD evaluation.  It is expected that a second PRA package will be developed for the second phase of the RAD evaluation, including the instrumentation developed for the resident outcomes study to be conducted under phase 2, and will be submitted to OMB at a later date, </w:t>
      </w:r>
    </w:p>
    <w:p w:rsidR="00C71131" w:rsidRPr="004D5244" w:rsidRDefault="00C71131" w:rsidP="00C71131">
      <w:pPr>
        <w:pStyle w:val="Heading2"/>
        <w:numPr>
          <w:ilvl w:val="4"/>
          <w:numId w:val="9"/>
        </w:numPr>
        <w:ind w:left="360"/>
        <w:rPr>
          <w:rFonts w:ascii="Times New Roman" w:hAnsi="Times New Roman" w:cs="Times New Roman"/>
          <w:color w:val="auto"/>
          <w:sz w:val="24"/>
        </w:rPr>
      </w:pPr>
      <w:bookmarkStart w:id="3" w:name="_Toc390342965"/>
      <w:r w:rsidRPr="004D5244">
        <w:rPr>
          <w:rFonts w:ascii="Times New Roman" w:hAnsi="Times New Roman" w:cs="Times New Roman"/>
          <w:color w:val="auto"/>
          <w:sz w:val="24"/>
        </w:rPr>
        <w:lastRenderedPageBreak/>
        <w:t>JUSTIFICATION</w:t>
      </w:r>
      <w:bookmarkEnd w:id="3"/>
    </w:p>
    <w:p w:rsidR="00C71131" w:rsidRDefault="00D80C21" w:rsidP="00C71131">
      <w:pPr>
        <w:numPr>
          <w:ilvl w:val="0"/>
          <w:numId w:val="7"/>
        </w:numPr>
        <w:ind w:left="360"/>
      </w:pPr>
      <w:r>
        <w:rPr>
          <w:b/>
          <w:bCs/>
          <w:u w:val="single"/>
        </w:rPr>
        <w:t>C</w:t>
      </w:r>
      <w:r w:rsidR="00C71131">
        <w:rPr>
          <w:b/>
          <w:bCs/>
          <w:u w:val="single"/>
        </w:rPr>
        <w:t>ircumstances that make the collection of information necessary.</w:t>
      </w:r>
    </w:p>
    <w:p w:rsidR="00C71131" w:rsidRDefault="00C71131" w:rsidP="00C71131">
      <w:pPr>
        <w:jc w:val="both"/>
      </w:pPr>
    </w:p>
    <w:p w:rsidR="00837628" w:rsidRPr="00163579" w:rsidRDefault="00837628" w:rsidP="003257AB">
      <w:pPr>
        <w:tabs>
          <w:tab w:val="left" w:pos="360"/>
        </w:tabs>
        <w:autoSpaceDE w:val="0"/>
        <w:autoSpaceDN w:val="0"/>
        <w:adjustRightInd w:val="0"/>
        <w:jc w:val="both"/>
      </w:pPr>
      <w:r w:rsidRPr="00163579">
        <w:t xml:space="preserve">RAD </w:t>
      </w:r>
      <w:r>
        <w:t xml:space="preserve">allows PHAs and owners to convert public housing and other HUD-assisted properties to long-term project-based Section 8 rental assistance and enables them to access private debt and equity to address immediate and long-term capital needs of the projects. </w:t>
      </w:r>
      <w:r w:rsidRPr="00163579">
        <w:t>The RAD pro</w:t>
      </w:r>
      <w:r>
        <w:t>gram consists of two components, only the first of which is the subject of this evaluation.</w:t>
      </w:r>
      <w:r w:rsidRPr="00163579">
        <w:t xml:space="preserve"> The first component involves a competitive application process through which up to 60,000 public housing and Section 8 Moderate Rehabilitation units will be selected to convert to two different forms of project-based Section 8 Housing Assistance Payments (HAP) contracts—either project-based vouchers (PBV) or project-based rental assistance (PBRA).</w:t>
      </w:r>
      <w:r w:rsidRPr="00163579">
        <w:rPr>
          <w:lang w:val="en"/>
        </w:rPr>
        <w:t xml:space="preserve"> </w:t>
      </w:r>
      <w:r w:rsidRPr="00163579">
        <w:t>The RAD authorizing statute requires that HUD assess three particular aspects of the program:</w:t>
      </w:r>
    </w:p>
    <w:p w:rsidR="00837628" w:rsidRPr="00163579" w:rsidRDefault="00837628" w:rsidP="00F81F5F">
      <w:pPr>
        <w:pStyle w:val="ListParagraph"/>
        <w:numPr>
          <w:ilvl w:val="0"/>
          <w:numId w:val="11"/>
        </w:numPr>
        <w:tabs>
          <w:tab w:val="left" w:pos="720"/>
        </w:tabs>
        <w:autoSpaceDE w:val="0"/>
        <w:autoSpaceDN w:val="0"/>
        <w:adjustRightInd w:val="0"/>
        <w:spacing w:before="120"/>
        <w:contextualSpacing w:val="0"/>
        <w:jc w:val="both"/>
        <w:rPr>
          <w:rFonts w:cs="Times New Roman"/>
          <w:szCs w:val="24"/>
        </w:rPr>
      </w:pPr>
      <w:r w:rsidRPr="00163579">
        <w:rPr>
          <w:rFonts w:cs="Times New Roman"/>
          <w:szCs w:val="24"/>
        </w:rPr>
        <w:t>The preservation and improvement of former public housing units.</w:t>
      </w:r>
    </w:p>
    <w:p w:rsidR="00837628" w:rsidRPr="00163579" w:rsidRDefault="00837628" w:rsidP="00F81F5F">
      <w:pPr>
        <w:pStyle w:val="ListParagraph"/>
        <w:numPr>
          <w:ilvl w:val="0"/>
          <w:numId w:val="11"/>
        </w:numPr>
        <w:tabs>
          <w:tab w:val="left" w:pos="720"/>
        </w:tabs>
        <w:autoSpaceDE w:val="0"/>
        <w:autoSpaceDN w:val="0"/>
        <w:adjustRightInd w:val="0"/>
        <w:jc w:val="both"/>
        <w:rPr>
          <w:rFonts w:cs="Times New Roman"/>
          <w:szCs w:val="24"/>
        </w:rPr>
      </w:pPr>
      <w:r w:rsidRPr="00163579">
        <w:rPr>
          <w:rFonts w:cs="Times New Roman"/>
          <w:szCs w:val="24"/>
        </w:rPr>
        <w:t>The amount of private capital leveraged as a result of such conversions.</w:t>
      </w:r>
    </w:p>
    <w:p w:rsidR="00837628" w:rsidRPr="00163579" w:rsidRDefault="00837628" w:rsidP="00F81F5F">
      <w:pPr>
        <w:pStyle w:val="ListParagraph"/>
        <w:numPr>
          <w:ilvl w:val="0"/>
          <w:numId w:val="11"/>
        </w:numPr>
        <w:tabs>
          <w:tab w:val="left" w:pos="720"/>
        </w:tabs>
        <w:autoSpaceDE w:val="0"/>
        <w:autoSpaceDN w:val="0"/>
        <w:adjustRightInd w:val="0"/>
        <w:jc w:val="both"/>
        <w:rPr>
          <w:rFonts w:cs="Times New Roman"/>
          <w:szCs w:val="24"/>
        </w:rPr>
      </w:pPr>
      <w:r w:rsidRPr="00163579">
        <w:rPr>
          <w:rFonts w:cs="Times New Roman"/>
          <w:szCs w:val="24"/>
        </w:rPr>
        <w:t>The effect of conversion on residents.</w:t>
      </w:r>
    </w:p>
    <w:p w:rsidR="00837628" w:rsidRDefault="00837628" w:rsidP="003257AB">
      <w:pPr>
        <w:jc w:val="both"/>
      </w:pPr>
    </w:p>
    <w:p w:rsidR="00025663" w:rsidRDefault="00396383" w:rsidP="003257AB">
      <w:pPr>
        <w:jc w:val="both"/>
      </w:pPr>
      <w:r>
        <w:t xml:space="preserve">The first phase of the evaluation will address items one and two from the list above, and are described in detail in this PRA submission. The third item above, the </w:t>
      </w:r>
      <w:r w:rsidR="00025663">
        <w:t>effect of the conversion on residents</w:t>
      </w:r>
      <w:r>
        <w:t xml:space="preserve">, will be implemented during the second phase of the evaluation.  However, during the first phase, residents will be administered informed consent and enrolled into the outcomes study in order to enable the research team to begin tracking the study households.  </w:t>
      </w:r>
    </w:p>
    <w:p w:rsidR="00D5187D" w:rsidRDefault="00D5187D" w:rsidP="00C71131">
      <w:pPr>
        <w:jc w:val="both"/>
      </w:pPr>
    </w:p>
    <w:p w:rsidR="00D02BBA" w:rsidRPr="00B20C84" w:rsidRDefault="00D80C21" w:rsidP="00B20C84">
      <w:pPr>
        <w:jc w:val="both"/>
      </w:pPr>
      <w:r>
        <w:t xml:space="preserve">This Information Collection Request (ICR) includes three data collection instruments: </w:t>
      </w:r>
      <w:r w:rsidR="00D5187D">
        <w:t>(</w:t>
      </w:r>
      <w:r>
        <w:t xml:space="preserve">1) a </w:t>
      </w:r>
      <w:r w:rsidRPr="00B20C84">
        <w:t>Physical and Financial Conditions Web Survey</w:t>
      </w:r>
      <w:r>
        <w:t xml:space="preserve"> to be administered to 24 PHAs currently administering RAD, and a control group of 48 PHAs not implementing RAD (instrument included as Appendix A); </w:t>
      </w:r>
      <w:r w:rsidR="00D5187D">
        <w:t>(</w:t>
      </w:r>
      <w:r>
        <w:t>2) a RAD Implementation telephone survey to be administered to 100 entities engaged in RAD implementation</w:t>
      </w:r>
      <w:r w:rsidR="003E3BCB">
        <w:t xml:space="preserve"> or in the control group</w:t>
      </w:r>
      <w:r>
        <w:t>, including PHAs, stakeholders, implementation consultants</w:t>
      </w:r>
      <w:r w:rsidR="00D5187D">
        <w:t>,</w:t>
      </w:r>
      <w:r>
        <w:t xml:space="preserve"> and/or project managers (instrument included as Appendix B); and </w:t>
      </w:r>
      <w:r w:rsidR="00D5187D">
        <w:t>(</w:t>
      </w:r>
      <w:r>
        <w:t xml:space="preserve">3) a </w:t>
      </w:r>
      <w:r w:rsidR="00091B0C">
        <w:t>Resident Intake Study Correspondence and Intake Form</w:t>
      </w:r>
      <w:r>
        <w:t>, which will be administered to 400 tenants of RAD projects to enable tracking of residents for a future tenant-level impact evaluation (form included as Appendix C</w:t>
      </w:r>
      <w:r w:rsidRPr="00D02BBA">
        <w:t>)</w:t>
      </w:r>
      <w:r w:rsidR="00EF5372" w:rsidRPr="00D02BBA">
        <w:t>.</w:t>
      </w:r>
      <w:r w:rsidRPr="00D02BBA">
        <w:t xml:space="preserve"> </w:t>
      </w:r>
      <w:r w:rsidR="00D02BBA" w:rsidRPr="00D02BBA">
        <w:t xml:space="preserve"> This ICR also includes five communications to survey respondents, including: </w:t>
      </w:r>
      <w:r w:rsidR="00D02BBA" w:rsidRPr="00B20C84">
        <w:t>Proposed Pre-Notification Email from HUD for PHA and Lender Web Survey, Proposed Email Survey Invitation for PHA and Lender Web Survey, Proposed Follow-Up Message for Non-respondents for PHA and Lender Web Survey, Proposed Web Survey Instructions, Proposed Resident Enrollment Cover Letter</w:t>
      </w:r>
      <w:r w:rsidR="00FC41A5" w:rsidRPr="00B20C84">
        <w:t xml:space="preserve">.  These communications introduce the evaluation to the survey respondents, and request their participation in the study.  </w:t>
      </w:r>
    </w:p>
    <w:p w:rsidR="00D80C21" w:rsidRDefault="00D80C21" w:rsidP="00C71131">
      <w:pPr>
        <w:jc w:val="both"/>
      </w:pPr>
    </w:p>
    <w:p w:rsidR="00C71131" w:rsidRDefault="00C71131" w:rsidP="00C71131">
      <w:pPr>
        <w:jc w:val="both"/>
      </w:pPr>
      <w:r>
        <w:t>The information sought through the</w:t>
      </w:r>
      <w:r w:rsidR="00E10FA1">
        <w:t>se</w:t>
      </w:r>
      <w:r w:rsidR="00B64BC6">
        <w:t xml:space="preserve"> data collection instruments </w:t>
      </w:r>
      <w:r>
        <w:t xml:space="preserve">not only supports HUD’s Congressional mandate, but also </w:t>
      </w:r>
      <w:r w:rsidRPr="00AD38D7">
        <w:t>support</w:t>
      </w:r>
      <w:r>
        <w:t>s</w:t>
      </w:r>
      <w:r w:rsidRPr="00AD38D7">
        <w:t xml:space="preserve"> </w:t>
      </w:r>
      <w:r>
        <w:t>two of HUD’s Strategic Goals: Meet the Need for Quality Affordable Rental Homes and Utilize Housing as a Platform for Improving Quality of Life.</w:t>
      </w:r>
    </w:p>
    <w:p w:rsidR="00C71131" w:rsidRDefault="00C71131" w:rsidP="00C71131"/>
    <w:p w:rsidR="00C71131" w:rsidRPr="004D5244" w:rsidRDefault="00C71131" w:rsidP="00C71131">
      <w:pPr>
        <w:numPr>
          <w:ilvl w:val="0"/>
          <w:numId w:val="7"/>
        </w:numPr>
        <w:ind w:left="360"/>
        <w:jc w:val="both"/>
        <w:rPr>
          <w:b/>
          <w:bCs/>
          <w:u w:val="single"/>
        </w:rPr>
      </w:pPr>
      <w:r w:rsidRPr="004D5244">
        <w:rPr>
          <w:b/>
          <w:bCs/>
          <w:u w:val="single"/>
        </w:rPr>
        <w:fldChar w:fldCharType="begin"/>
      </w:r>
      <w:r w:rsidRPr="004D5244">
        <w:rPr>
          <w:b/>
          <w:bCs/>
          <w:u w:val="single"/>
        </w:rPr>
        <w:instrText xml:space="preserve"> SEQ CHAPTER \h \r 1</w:instrText>
      </w:r>
      <w:r w:rsidRPr="004D5244">
        <w:rPr>
          <w:b/>
          <w:bCs/>
          <w:u w:val="single"/>
        </w:rPr>
        <w:fldChar w:fldCharType="end"/>
      </w:r>
      <w:r w:rsidR="00D80C21">
        <w:rPr>
          <w:b/>
          <w:bCs/>
          <w:u w:val="single"/>
        </w:rPr>
        <w:t>Purpose of the Information Collection</w:t>
      </w:r>
      <w:r w:rsidR="0048556C">
        <w:rPr>
          <w:b/>
          <w:bCs/>
          <w:u w:val="single"/>
        </w:rPr>
        <w:t>.</w:t>
      </w:r>
    </w:p>
    <w:p w:rsidR="00C71131" w:rsidRDefault="00C71131" w:rsidP="00C71131">
      <w:pPr>
        <w:jc w:val="both"/>
      </w:pPr>
    </w:p>
    <w:p w:rsidR="00C71131" w:rsidRDefault="00C71131" w:rsidP="00C71131">
      <w:pPr>
        <w:jc w:val="both"/>
        <w:rPr>
          <w:rFonts w:eastAsia="Calibri"/>
        </w:rPr>
      </w:pPr>
      <w:r w:rsidRPr="00607001">
        <w:t xml:space="preserve">The information will be used by HUD </w:t>
      </w:r>
      <w:r w:rsidR="006C20B0">
        <w:t xml:space="preserve">to: </w:t>
      </w:r>
      <w:r w:rsidRPr="00427ADD">
        <w:rPr>
          <w:rFonts w:eastAsia="Calibri"/>
        </w:rPr>
        <w:t>(1) measure how the physical conditions and capital needs of RAD study sites change as a result of conversion and to compare those measures</w:t>
      </w:r>
      <w:r>
        <w:rPr>
          <w:rFonts w:eastAsia="Calibri"/>
        </w:rPr>
        <w:t xml:space="preserve"> and </w:t>
      </w:r>
      <w:r>
        <w:rPr>
          <w:rFonts w:eastAsia="Calibri"/>
        </w:rPr>
        <w:lastRenderedPageBreak/>
        <w:t xml:space="preserve">experience </w:t>
      </w:r>
      <w:r w:rsidRPr="00427ADD">
        <w:rPr>
          <w:rFonts w:eastAsia="Calibri"/>
        </w:rPr>
        <w:t>to non-RAD sites</w:t>
      </w:r>
      <w:r>
        <w:rPr>
          <w:rFonts w:eastAsia="Calibri"/>
        </w:rPr>
        <w:t xml:space="preserve"> and</w:t>
      </w:r>
      <w:r w:rsidRPr="00427ADD">
        <w:rPr>
          <w:rFonts w:eastAsia="Calibri"/>
        </w:rPr>
        <w:t xml:space="preserve"> (2) examine the long-term financial viability of the converted public housing projects compared to non-RAD comparison sites</w:t>
      </w:r>
      <w:r>
        <w:rPr>
          <w:rFonts w:eastAsia="Calibri"/>
        </w:rPr>
        <w:t>.</w:t>
      </w:r>
      <w:r w:rsidRPr="00427ADD">
        <w:rPr>
          <w:rFonts w:eastAsia="Calibri"/>
        </w:rPr>
        <w:t xml:space="preserve"> In addition, since RAD is a new demonstration program, </w:t>
      </w:r>
      <w:r w:rsidR="00E638A8">
        <w:rPr>
          <w:rFonts w:eastAsia="Calibri"/>
        </w:rPr>
        <w:t>the telephone survey</w:t>
      </w:r>
      <w:r>
        <w:rPr>
          <w:rFonts w:eastAsia="Calibri"/>
        </w:rPr>
        <w:t xml:space="preserve"> </w:t>
      </w:r>
      <w:r w:rsidR="00E638A8">
        <w:rPr>
          <w:rFonts w:eastAsia="Calibri"/>
        </w:rPr>
        <w:t>will capture</w:t>
      </w:r>
      <w:r w:rsidR="008A7B4D">
        <w:rPr>
          <w:rFonts w:eastAsia="Calibri"/>
        </w:rPr>
        <w:t xml:space="preserve"> </w:t>
      </w:r>
      <w:r w:rsidRPr="00427ADD">
        <w:rPr>
          <w:rFonts w:eastAsia="Calibri"/>
        </w:rPr>
        <w:t>the experience</w:t>
      </w:r>
      <w:r>
        <w:rPr>
          <w:rFonts w:eastAsia="Calibri"/>
        </w:rPr>
        <w:t>s</w:t>
      </w:r>
      <w:r w:rsidRPr="00427ADD">
        <w:rPr>
          <w:rFonts w:eastAsia="Calibri"/>
        </w:rPr>
        <w:t xml:space="preserve"> of the individuals and organizations implementing the program</w:t>
      </w:r>
      <w:r>
        <w:rPr>
          <w:rFonts w:eastAsia="Calibri"/>
        </w:rPr>
        <w:t xml:space="preserve"> and </w:t>
      </w:r>
      <w:r w:rsidR="009A11BC">
        <w:rPr>
          <w:rFonts w:eastAsia="Calibri"/>
        </w:rPr>
        <w:t xml:space="preserve">explore the implications of </w:t>
      </w:r>
      <w:r>
        <w:rPr>
          <w:rFonts w:eastAsia="Calibri"/>
        </w:rPr>
        <w:t>a broader implementation of the program.</w:t>
      </w:r>
    </w:p>
    <w:p w:rsidR="00C71131" w:rsidRDefault="00C71131" w:rsidP="00C71131">
      <w:pPr>
        <w:jc w:val="both"/>
        <w:rPr>
          <w:rFonts w:eastAsia="Calibri"/>
        </w:rPr>
      </w:pPr>
    </w:p>
    <w:p w:rsidR="00D148C5" w:rsidRPr="00BC443C" w:rsidRDefault="007E70E7" w:rsidP="00D148C5">
      <w:pPr>
        <w:jc w:val="both"/>
        <w:rPr>
          <w:szCs w:val="20"/>
        </w:rPr>
      </w:pPr>
      <w:r>
        <w:rPr>
          <w:rFonts w:eastAsia="Calibri"/>
          <w:bCs/>
        </w:rPr>
        <w:t>HUD is seeking onetime approval for the administration of the three instruments within this ICR, including the P</w:t>
      </w:r>
      <w:r w:rsidRPr="004E0589">
        <w:rPr>
          <w:rFonts w:eastAsia="Calibri"/>
          <w:bCs/>
        </w:rPr>
        <w:t xml:space="preserve">hysical and Financial Conditions </w:t>
      </w:r>
      <w:r>
        <w:rPr>
          <w:rFonts w:eastAsia="Calibri"/>
          <w:bCs/>
        </w:rPr>
        <w:t xml:space="preserve">Web </w:t>
      </w:r>
      <w:r w:rsidRPr="004E0589">
        <w:rPr>
          <w:rFonts w:eastAsia="Calibri"/>
          <w:bCs/>
        </w:rPr>
        <w:t>Survey</w:t>
      </w:r>
      <w:r>
        <w:rPr>
          <w:rFonts w:eastAsia="Calibri"/>
          <w:bCs/>
        </w:rPr>
        <w:t xml:space="preserve">, the </w:t>
      </w:r>
      <w:r>
        <w:t xml:space="preserve">RAD Implementation telephone survey, and the </w:t>
      </w:r>
      <w:r w:rsidR="00602B5A" w:rsidRPr="007E70E7">
        <w:t>Resident Intake Study Correspondence</w:t>
      </w:r>
      <w:r w:rsidRPr="007E70E7">
        <w:t xml:space="preserve"> and </w:t>
      </w:r>
      <w:r w:rsidR="00602B5A" w:rsidRPr="00602B5A">
        <w:t>Intake Form</w:t>
      </w:r>
      <w:r w:rsidR="00D5187D">
        <w:t xml:space="preserve">. </w:t>
      </w:r>
      <w:r w:rsidR="00C71131" w:rsidRPr="00607001">
        <w:rPr>
          <w:color w:val="000000"/>
        </w:rPr>
        <w:t xml:space="preserve">The </w:t>
      </w:r>
      <w:r w:rsidR="00C71131">
        <w:rPr>
          <w:color w:val="000000"/>
        </w:rPr>
        <w:t xml:space="preserve">responses to the </w:t>
      </w:r>
      <w:r w:rsidR="003E3BCB">
        <w:rPr>
          <w:color w:val="000000"/>
        </w:rPr>
        <w:t>W</w:t>
      </w:r>
      <w:r>
        <w:rPr>
          <w:color w:val="000000"/>
        </w:rPr>
        <w:t xml:space="preserve">eb </w:t>
      </w:r>
      <w:r w:rsidR="00C71131">
        <w:rPr>
          <w:color w:val="000000"/>
        </w:rPr>
        <w:t xml:space="preserve">survey </w:t>
      </w:r>
      <w:r w:rsidR="00C71131" w:rsidRPr="00607001">
        <w:rPr>
          <w:color w:val="000000"/>
        </w:rPr>
        <w:t>questions are expected to explain</w:t>
      </w:r>
      <w:r w:rsidR="00C71131">
        <w:rPr>
          <w:color w:val="000000"/>
        </w:rPr>
        <w:t xml:space="preserve"> how and to what extent the physical condition of the properties in the study were improved, explain what would have happened to the properties if they had not been in the program, categorize financing mechanisms, and link outcomes to viability. The information from the </w:t>
      </w:r>
      <w:r>
        <w:rPr>
          <w:color w:val="000000"/>
        </w:rPr>
        <w:t xml:space="preserve">telephone </w:t>
      </w:r>
      <w:r w:rsidR="00C71131">
        <w:rPr>
          <w:color w:val="000000"/>
        </w:rPr>
        <w:t xml:space="preserve">interviews will explore the </w:t>
      </w:r>
      <w:r>
        <w:rPr>
          <w:color w:val="000000"/>
        </w:rPr>
        <w:t xml:space="preserve">process of implementing RAD, as well as PHAs’ rationale </w:t>
      </w:r>
      <w:r w:rsidR="00C71131">
        <w:rPr>
          <w:color w:val="000000"/>
        </w:rPr>
        <w:t>for opting into the program</w:t>
      </w:r>
      <w:r>
        <w:rPr>
          <w:color w:val="000000"/>
        </w:rPr>
        <w:t>, or not</w:t>
      </w:r>
      <w:r w:rsidR="00C71131" w:rsidRPr="00607001">
        <w:t>.</w:t>
      </w:r>
      <w:r w:rsidR="00C71131">
        <w:t xml:space="preserve"> </w:t>
      </w:r>
      <w:r w:rsidR="00D148C5" w:rsidRPr="00BC443C">
        <w:rPr>
          <w:szCs w:val="20"/>
        </w:rPr>
        <w:t xml:space="preserve">Although the resident survey will be developed and administered under </w:t>
      </w:r>
      <w:r w:rsidR="005D31DC">
        <w:rPr>
          <w:szCs w:val="20"/>
        </w:rPr>
        <w:t>the second phase of this evaluation</w:t>
      </w:r>
      <w:r w:rsidR="00D148C5">
        <w:rPr>
          <w:szCs w:val="20"/>
        </w:rPr>
        <w:t>, pending funding availability, d</w:t>
      </w:r>
      <w:r w:rsidR="00D148C5" w:rsidRPr="00BC443C">
        <w:rPr>
          <w:szCs w:val="20"/>
        </w:rPr>
        <w:t>ata collection associated with e</w:t>
      </w:r>
      <w:r w:rsidR="00D148C5" w:rsidRPr="00BC443C">
        <w:t>nrollment and tracking of residents will occur during th</w:t>
      </w:r>
      <w:r w:rsidR="00D148C5">
        <w:t>is first phase of the evaluation</w:t>
      </w:r>
      <w:r w:rsidR="00D5187D">
        <w:t xml:space="preserve">. </w:t>
      </w:r>
      <w:r w:rsidR="00D148C5" w:rsidRPr="00BC443C">
        <w:rPr>
          <w:szCs w:val="20"/>
        </w:rPr>
        <w:t xml:space="preserve">Because a successful analysis of resident outcomes requires inclusion of former residents who do not return to converted units, enrollment and tracking </w:t>
      </w:r>
      <w:r w:rsidR="00D148C5">
        <w:rPr>
          <w:szCs w:val="20"/>
        </w:rPr>
        <w:t xml:space="preserve">of residents </w:t>
      </w:r>
      <w:r w:rsidR="00D148C5" w:rsidRPr="00BC443C">
        <w:rPr>
          <w:szCs w:val="20"/>
        </w:rPr>
        <w:t>need</w:t>
      </w:r>
      <w:r w:rsidR="00D148C5">
        <w:rPr>
          <w:szCs w:val="20"/>
        </w:rPr>
        <w:t>s</w:t>
      </w:r>
      <w:r w:rsidR="00D148C5" w:rsidRPr="00BC443C">
        <w:rPr>
          <w:szCs w:val="20"/>
        </w:rPr>
        <w:t xml:space="preserve"> to begin as early as possible after properties begin the RAD process </w:t>
      </w:r>
      <w:r w:rsidR="00D148C5">
        <w:rPr>
          <w:szCs w:val="20"/>
        </w:rPr>
        <w:t xml:space="preserve">in order </w:t>
      </w:r>
      <w:r w:rsidR="00D148C5" w:rsidRPr="00BC443C">
        <w:rPr>
          <w:szCs w:val="20"/>
        </w:rPr>
        <w:t>to ensure residents</w:t>
      </w:r>
      <w:r w:rsidR="00D148C5">
        <w:rPr>
          <w:szCs w:val="20"/>
        </w:rPr>
        <w:t>’</w:t>
      </w:r>
      <w:r w:rsidR="00D148C5" w:rsidRPr="00BC443C">
        <w:rPr>
          <w:szCs w:val="20"/>
        </w:rPr>
        <w:t xml:space="preserve"> contact information is obtained before they leave the RAD property. </w:t>
      </w:r>
    </w:p>
    <w:p w:rsidR="00C71131" w:rsidRDefault="00C71131" w:rsidP="00C71131">
      <w:pPr>
        <w:autoSpaceDE w:val="0"/>
        <w:autoSpaceDN w:val="0"/>
        <w:adjustRightInd w:val="0"/>
        <w:jc w:val="both"/>
      </w:pPr>
    </w:p>
    <w:p w:rsidR="00C71131" w:rsidRDefault="00C71131" w:rsidP="00C71131">
      <w:pPr>
        <w:jc w:val="both"/>
      </w:pPr>
      <w:r w:rsidRPr="00050CB9">
        <w:t>Th</w:t>
      </w:r>
      <w:r>
        <w:t>e</w:t>
      </w:r>
      <w:r w:rsidRPr="00050CB9">
        <w:t xml:space="preserve"> </w:t>
      </w:r>
      <w:r>
        <w:t xml:space="preserve">findings resulting from this </w:t>
      </w:r>
      <w:r w:rsidR="007E70E7">
        <w:t>first phase of the</w:t>
      </w:r>
      <w:r>
        <w:t xml:space="preserve"> evaluation will be presented in an interim report to </w:t>
      </w:r>
      <w:r w:rsidR="00D61861">
        <w:t>the Office of Policy Development and Research (</w:t>
      </w:r>
      <w:r>
        <w:t>PD&amp;R</w:t>
      </w:r>
      <w:r w:rsidR="00D61861">
        <w:t>)</w:t>
      </w:r>
      <w:r w:rsidRPr="00050CB9">
        <w:t xml:space="preserve">. </w:t>
      </w:r>
      <w:r>
        <w:t>PD&amp;R</w:t>
      </w:r>
      <w:r w:rsidRPr="00BE055D">
        <w:t xml:space="preserve"> disseminates studies and publications through </w:t>
      </w:r>
      <w:r w:rsidR="007E70E7">
        <w:t xml:space="preserve">their </w:t>
      </w:r>
      <w:r w:rsidR="00D5187D">
        <w:t>W</w:t>
      </w:r>
      <w:r w:rsidR="007E70E7">
        <w:t>eb</w:t>
      </w:r>
      <w:r w:rsidR="00D5187D">
        <w:t xml:space="preserve"> </w:t>
      </w:r>
      <w:r w:rsidR="007E70E7">
        <w:t xml:space="preserve">site at </w:t>
      </w:r>
      <w:hyperlink r:id="rId9" w:history="1">
        <w:r w:rsidR="007E70E7" w:rsidRPr="00244A3A">
          <w:rPr>
            <w:rStyle w:val="Hyperlink"/>
          </w:rPr>
          <w:t>www.huduser.org</w:t>
        </w:r>
      </w:hyperlink>
      <w:r w:rsidR="00D5187D">
        <w:t xml:space="preserve">. </w:t>
      </w:r>
      <w:r w:rsidR="007E70E7">
        <w:t>HUD publication</w:t>
      </w:r>
      <w:r>
        <w:t xml:space="preserve"> policies and procedures comply with all applicable Information Quality Guidelines.</w:t>
      </w:r>
      <w:r>
        <w:rPr>
          <w:rStyle w:val="FootnoteReference"/>
        </w:rPr>
        <w:footnoteReference w:id="2"/>
      </w:r>
    </w:p>
    <w:p w:rsidR="00C71131" w:rsidRPr="00BC443C" w:rsidRDefault="00C71131" w:rsidP="00C71131">
      <w:pPr>
        <w:jc w:val="both"/>
        <w:rPr>
          <w:szCs w:val="20"/>
        </w:rPr>
      </w:pPr>
    </w:p>
    <w:p w:rsidR="00C71131" w:rsidRPr="00BC443C" w:rsidRDefault="00D148C5" w:rsidP="00C71131">
      <w:pPr>
        <w:jc w:val="both"/>
        <w:rPr>
          <w:szCs w:val="20"/>
        </w:rPr>
      </w:pPr>
      <w:r>
        <w:t>Econom</w:t>
      </w:r>
      <w:r w:rsidR="008A7B4D">
        <w:t>e</w:t>
      </w:r>
      <w:r>
        <w:t>trica,</w:t>
      </w:r>
      <w:r w:rsidR="00D5187D">
        <w:t xml:space="preserve"> </w:t>
      </w:r>
      <w:r>
        <w:t xml:space="preserve">as the prime contractor, will administer both the </w:t>
      </w:r>
      <w:r>
        <w:rPr>
          <w:rFonts w:eastAsia="Calibri"/>
          <w:bCs/>
        </w:rPr>
        <w:t>P</w:t>
      </w:r>
      <w:r w:rsidRPr="004E0589">
        <w:rPr>
          <w:rFonts w:eastAsia="Calibri"/>
          <w:bCs/>
        </w:rPr>
        <w:t xml:space="preserve">hysical and Financial Conditions </w:t>
      </w:r>
      <w:r>
        <w:rPr>
          <w:rFonts w:eastAsia="Calibri"/>
          <w:bCs/>
        </w:rPr>
        <w:t xml:space="preserve">Web </w:t>
      </w:r>
      <w:r w:rsidRPr="004E0589">
        <w:rPr>
          <w:rFonts w:eastAsia="Calibri"/>
          <w:bCs/>
        </w:rPr>
        <w:t>Survey</w:t>
      </w:r>
      <w:r>
        <w:rPr>
          <w:rFonts w:eastAsia="Calibri"/>
          <w:bCs/>
        </w:rPr>
        <w:t xml:space="preserve"> and the </w:t>
      </w:r>
      <w:r>
        <w:t xml:space="preserve">RAD Implementation telephone survey. </w:t>
      </w:r>
      <w:r w:rsidR="00C71131" w:rsidRPr="00BC443C">
        <w:t xml:space="preserve">The Urban </w:t>
      </w:r>
      <w:r w:rsidR="0076621E" w:rsidRPr="00BC443C">
        <w:t>Institute</w:t>
      </w:r>
      <w:r w:rsidR="0076621E">
        <w:t xml:space="preserve"> </w:t>
      </w:r>
      <w:r w:rsidR="00C71131" w:rsidRPr="00BC443C">
        <w:t>and its subcontractor</w:t>
      </w:r>
      <w:r w:rsidR="00C71131">
        <w:t>,</w:t>
      </w:r>
      <w:r w:rsidR="00C71131" w:rsidRPr="00BC443C">
        <w:t xml:space="preserve"> SSRS</w:t>
      </w:r>
      <w:r w:rsidR="00C71131">
        <w:t>,</w:t>
      </w:r>
      <w:r w:rsidR="00C71131" w:rsidRPr="00BC443C">
        <w:t xml:space="preserve"> </w:t>
      </w:r>
      <w:r w:rsidR="0076621E">
        <w:t>will be</w:t>
      </w:r>
      <w:r w:rsidR="0076621E" w:rsidRPr="00BC443C">
        <w:t xml:space="preserve"> </w:t>
      </w:r>
      <w:r w:rsidR="00C71131" w:rsidRPr="00BC443C">
        <w:t xml:space="preserve">responsible for the collection and use of the enrollment and tracking information for the resident survey. Tracking and contact information will serve two purposes. A </w:t>
      </w:r>
      <w:r>
        <w:t>primary</w:t>
      </w:r>
      <w:r w:rsidRPr="00BC443C">
        <w:t xml:space="preserve"> </w:t>
      </w:r>
      <w:r w:rsidR="00C71131" w:rsidRPr="00BC443C">
        <w:t xml:space="preserve">use will be to locate residents enrolled in the resident study </w:t>
      </w:r>
      <w:r w:rsidR="0048556C">
        <w:t xml:space="preserve">in order </w:t>
      </w:r>
      <w:r w:rsidR="00C71131" w:rsidRPr="00BC443C">
        <w:t xml:space="preserve">to administer </w:t>
      </w:r>
      <w:r>
        <w:t>a</w:t>
      </w:r>
      <w:r w:rsidR="00C71131" w:rsidRPr="00BC443C">
        <w:t xml:space="preserve"> resident survey </w:t>
      </w:r>
      <w:r w:rsidR="005D31DC">
        <w:t xml:space="preserve">during the second phase of the evaluation, </w:t>
      </w:r>
      <w:r w:rsidR="00C71131" w:rsidRPr="00BC443C">
        <w:t xml:space="preserve">should HUD </w:t>
      </w:r>
      <w:r w:rsidR="0076621E">
        <w:t xml:space="preserve">choose to pursue this </w:t>
      </w:r>
      <w:r w:rsidR="009A11BC">
        <w:t>option</w:t>
      </w:r>
      <w:r w:rsidR="00C71131" w:rsidRPr="00BC443C">
        <w:t>. I</w:t>
      </w:r>
      <w:r w:rsidR="00C71131" w:rsidRPr="00724B14">
        <w:t xml:space="preserve">n addition, the </w:t>
      </w:r>
      <w:r w:rsidR="00C71131" w:rsidRPr="00F67338">
        <w:rPr>
          <w:szCs w:val="20"/>
        </w:rPr>
        <w:t xml:space="preserve">address information from the enrollment and tracking form will be used to help assess the quality of neighborhoods to which residents temporarily relocated during the conversion process, </w:t>
      </w:r>
      <w:r w:rsidR="0076621E">
        <w:rPr>
          <w:szCs w:val="20"/>
        </w:rPr>
        <w:t>and/</w:t>
      </w:r>
      <w:r w:rsidR="00C71131" w:rsidRPr="00F67338">
        <w:rPr>
          <w:szCs w:val="20"/>
        </w:rPr>
        <w:t>or the quality of neighborhoods to which residents who did not return to the project after conversion relocated</w:t>
      </w:r>
      <w:r w:rsidR="00C71131" w:rsidRPr="009817A5">
        <w:rPr>
          <w:szCs w:val="20"/>
        </w:rPr>
        <w:t xml:space="preserve">. </w:t>
      </w:r>
      <w:r w:rsidR="005D31DC">
        <w:rPr>
          <w:szCs w:val="20"/>
        </w:rPr>
        <w:t>Data on h</w:t>
      </w:r>
      <w:r w:rsidR="00C71131" w:rsidRPr="00BC443C">
        <w:rPr>
          <w:szCs w:val="20"/>
        </w:rPr>
        <w:t xml:space="preserve">ousehold composition will be used to identify changes in household composition of those relocated during the RAD conversion process. </w:t>
      </w:r>
    </w:p>
    <w:p w:rsidR="00C71131" w:rsidRPr="00BE055D" w:rsidRDefault="00C71131" w:rsidP="00C71131"/>
    <w:p w:rsidR="00C71131" w:rsidRPr="004D5244" w:rsidRDefault="003521AC" w:rsidP="00C71131">
      <w:pPr>
        <w:numPr>
          <w:ilvl w:val="0"/>
          <w:numId w:val="7"/>
        </w:numPr>
        <w:ind w:left="360"/>
        <w:jc w:val="both"/>
        <w:rPr>
          <w:b/>
          <w:bCs/>
          <w:u w:val="single"/>
        </w:rPr>
      </w:pPr>
      <w:r>
        <w:rPr>
          <w:b/>
          <w:bCs/>
          <w:u w:val="single"/>
        </w:rPr>
        <w:t xml:space="preserve">Use of </w:t>
      </w:r>
      <w:r w:rsidR="00C71131">
        <w:rPr>
          <w:b/>
          <w:bCs/>
          <w:u w:val="single"/>
        </w:rPr>
        <w:t>information technology</w:t>
      </w:r>
      <w:r w:rsidR="00C71131" w:rsidRPr="004D5244">
        <w:rPr>
          <w:b/>
          <w:bCs/>
          <w:u w:val="single"/>
        </w:rPr>
        <w:t>.</w:t>
      </w:r>
    </w:p>
    <w:p w:rsidR="00C71131" w:rsidRDefault="00C71131" w:rsidP="00C71131"/>
    <w:p w:rsidR="00C71131" w:rsidRDefault="00C71131" w:rsidP="00C71131">
      <w:pPr>
        <w:jc w:val="both"/>
      </w:pPr>
      <w:r>
        <w:t>This</w:t>
      </w:r>
      <w:r w:rsidRPr="008F642C">
        <w:t xml:space="preserve"> collection </w:t>
      </w:r>
      <w:r w:rsidR="00DE04DD">
        <w:t>of information</w:t>
      </w:r>
      <w:r w:rsidR="00DE04DD" w:rsidRPr="008F642C">
        <w:t xml:space="preserve"> </w:t>
      </w:r>
      <w:r w:rsidRPr="008F642C">
        <w:t>i</w:t>
      </w:r>
      <w:r>
        <w:t xml:space="preserve">ncludes </w:t>
      </w:r>
      <w:r w:rsidR="00D5187D">
        <w:t xml:space="preserve">(1) </w:t>
      </w:r>
      <w:r w:rsidRPr="008F642C">
        <w:t xml:space="preserve">a </w:t>
      </w:r>
      <w:r w:rsidRPr="008F642C">
        <w:rPr>
          <w:color w:val="000000"/>
        </w:rPr>
        <w:t xml:space="preserve">self-administered </w:t>
      </w:r>
      <w:r>
        <w:rPr>
          <w:color w:val="000000"/>
        </w:rPr>
        <w:t>Web survey</w:t>
      </w:r>
      <w:r w:rsidR="00213922">
        <w:rPr>
          <w:color w:val="000000"/>
        </w:rPr>
        <w:t>, the</w:t>
      </w:r>
      <w:r w:rsidR="00213922" w:rsidRPr="00213922">
        <w:rPr>
          <w:rFonts w:eastAsia="Calibri"/>
          <w:bCs/>
        </w:rPr>
        <w:t xml:space="preserve"> </w:t>
      </w:r>
      <w:r w:rsidR="00213922" w:rsidRPr="004E0589">
        <w:rPr>
          <w:rFonts w:eastAsia="Calibri"/>
          <w:bCs/>
        </w:rPr>
        <w:t xml:space="preserve">Physical and Financial Conditions </w:t>
      </w:r>
      <w:r w:rsidR="00213922">
        <w:rPr>
          <w:rFonts w:eastAsia="Calibri"/>
          <w:bCs/>
        </w:rPr>
        <w:t xml:space="preserve">Web </w:t>
      </w:r>
      <w:r w:rsidR="00213922" w:rsidRPr="004E0589">
        <w:rPr>
          <w:rFonts w:eastAsia="Calibri"/>
          <w:bCs/>
        </w:rPr>
        <w:t>Survey</w:t>
      </w:r>
      <w:r>
        <w:rPr>
          <w:color w:val="000000"/>
        </w:rPr>
        <w:t xml:space="preserve"> and </w:t>
      </w:r>
      <w:r w:rsidR="00D5187D">
        <w:rPr>
          <w:color w:val="000000"/>
        </w:rPr>
        <w:t xml:space="preserve">(2) </w:t>
      </w:r>
      <w:r>
        <w:rPr>
          <w:color w:val="000000"/>
        </w:rPr>
        <w:t>telephone interviews</w:t>
      </w:r>
      <w:r w:rsidR="00213922">
        <w:rPr>
          <w:color w:val="000000"/>
        </w:rPr>
        <w:t>,</w:t>
      </w:r>
      <w:r w:rsidR="004501DB">
        <w:rPr>
          <w:color w:val="000000"/>
        </w:rPr>
        <w:t xml:space="preserve"> the </w:t>
      </w:r>
      <w:r w:rsidR="00213922">
        <w:t xml:space="preserve">RAD Implementation </w:t>
      </w:r>
      <w:r w:rsidR="00213922">
        <w:lastRenderedPageBreak/>
        <w:t>telephone survey</w:t>
      </w:r>
      <w:r>
        <w:t>. Web-based surveys are now widely used in social science research</w:t>
      </w:r>
      <w:r w:rsidR="00DE04DD">
        <w:t>, through which t</w:t>
      </w:r>
      <w:r>
        <w:t xml:space="preserve">he recipients have the ability to complete the survey </w:t>
      </w:r>
      <w:r w:rsidR="00DE04DD">
        <w:t>online</w:t>
      </w:r>
      <w:r>
        <w:t xml:space="preserve"> at their convenience. The </w:t>
      </w:r>
      <w:r w:rsidR="003E3BCB">
        <w:t>W</w:t>
      </w:r>
      <w:r w:rsidR="00DE04DD">
        <w:t xml:space="preserve">eb </w:t>
      </w:r>
      <w:r>
        <w:t xml:space="preserve">survey contains instructions, help screens, definitions, </w:t>
      </w:r>
      <w:r w:rsidR="00DE04DD">
        <w:t>automated skip patterns</w:t>
      </w:r>
      <w:r w:rsidR="004501DB">
        <w:t>,</w:t>
      </w:r>
      <w:r w:rsidR="00DE04DD">
        <w:t xml:space="preserve"> </w:t>
      </w:r>
      <w:r>
        <w:t xml:space="preserve">and other aids that guide respondents through the </w:t>
      </w:r>
      <w:r w:rsidR="00DE04DD">
        <w:t>survey</w:t>
      </w:r>
      <w:r w:rsidR="003E3BCB">
        <w:t xml:space="preserve"> and reduce respondent burden</w:t>
      </w:r>
      <w:r>
        <w:t xml:space="preserve">. </w:t>
      </w:r>
    </w:p>
    <w:p w:rsidR="00C71131" w:rsidRDefault="00C71131" w:rsidP="00C71131">
      <w:pPr>
        <w:jc w:val="both"/>
      </w:pPr>
    </w:p>
    <w:p w:rsidR="00C71131" w:rsidRPr="00B737EA" w:rsidRDefault="00C71131" w:rsidP="00C71131">
      <w:pPr>
        <w:jc w:val="both"/>
      </w:pPr>
      <w:r>
        <w:t xml:space="preserve">The </w:t>
      </w:r>
      <w:r w:rsidR="003E3BCB">
        <w:t>W</w:t>
      </w:r>
      <w:r w:rsidR="00DE04DD">
        <w:t xml:space="preserve">eb </w:t>
      </w:r>
      <w:r w:rsidRPr="00B737EA">
        <w:t>survey</w:t>
      </w:r>
      <w:r>
        <w:t>s</w:t>
      </w:r>
      <w:r w:rsidRPr="00B737EA">
        <w:t xml:space="preserve"> </w:t>
      </w:r>
      <w:r w:rsidR="00DE04DD">
        <w:t xml:space="preserve">will also </w:t>
      </w:r>
      <w:r w:rsidRPr="00B737EA">
        <w:t xml:space="preserve">contain prefilled information </w:t>
      </w:r>
      <w:r>
        <w:t>gathered from HUD administrative and other data, democratized data sets, and program</w:t>
      </w:r>
      <w:r w:rsidRPr="00B737EA">
        <w:t xml:space="preserve"> application</w:t>
      </w:r>
      <w:r>
        <w:t>s</w:t>
      </w:r>
      <w:r w:rsidRPr="00B737EA">
        <w:t xml:space="preserve">. The survey will </w:t>
      </w:r>
      <w:r>
        <w:t xml:space="preserve">include </w:t>
      </w:r>
      <w:r w:rsidRPr="00B737EA">
        <w:t>several features to help the respondents</w:t>
      </w:r>
      <w:r>
        <w:t>,</w:t>
      </w:r>
      <w:r w:rsidRPr="00B737EA">
        <w:t xml:space="preserve"> such as radio buttons, drop-down lists, text boxes</w:t>
      </w:r>
      <w:r>
        <w:t>,</w:t>
      </w:r>
      <w:r w:rsidRPr="00B737EA">
        <w:t xml:space="preserve"> and a help feature that will allow responde</w:t>
      </w:r>
      <w:r>
        <w:t>nt</w:t>
      </w:r>
      <w:r w:rsidRPr="00B737EA">
        <w:t>s to see further explanations and definitions of technical terms referenced in the survey.</w:t>
      </w:r>
    </w:p>
    <w:p w:rsidR="00C71131" w:rsidRDefault="00C71131" w:rsidP="00C71131">
      <w:pPr>
        <w:jc w:val="both"/>
      </w:pPr>
    </w:p>
    <w:p w:rsidR="00C71131" w:rsidRDefault="00C71131" w:rsidP="00C71131">
      <w:pPr>
        <w:keepNext/>
        <w:jc w:val="both"/>
      </w:pPr>
      <w:r>
        <w:t>Additional key features include:</w:t>
      </w:r>
    </w:p>
    <w:p w:rsidR="00C71131" w:rsidRDefault="00C71131" w:rsidP="00C71131">
      <w:pPr>
        <w:keepNext/>
        <w:numPr>
          <w:ilvl w:val="0"/>
          <w:numId w:val="2"/>
        </w:numPr>
        <w:spacing w:before="120"/>
        <w:jc w:val="both"/>
      </w:pPr>
      <w:r>
        <w:t>Secure data entry.</w:t>
      </w:r>
    </w:p>
    <w:p w:rsidR="00C71131" w:rsidRDefault="00C71131" w:rsidP="00C71131">
      <w:pPr>
        <w:keepNext/>
        <w:numPr>
          <w:ilvl w:val="0"/>
          <w:numId w:val="2"/>
        </w:numPr>
        <w:jc w:val="both"/>
      </w:pPr>
      <w:r>
        <w:t>User login save/review and submit capabilities.</w:t>
      </w:r>
    </w:p>
    <w:p w:rsidR="00C71131" w:rsidRDefault="00C71131" w:rsidP="00C71131">
      <w:pPr>
        <w:numPr>
          <w:ilvl w:val="0"/>
          <w:numId w:val="2"/>
        </w:numPr>
        <w:jc w:val="both"/>
      </w:pPr>
      <w:r>
        <w:t>Navigation to access different sections.</w:t>
      </w:r>
    </w:p>
    <w:p w:rsidR="00C71131" w:rsidRDefault="00C71131" w:rsidP="00C71131">
      <w:pPr>
        <w:numPr>
          <w:ilvl w:val="0"/>
          <w:numId w:val="2"/>
        </w:numPr>
        <w:jc w:val="both"/>
      </w:pPr>
      <w:r>
        <w:t>Navigation to access different screens sequentially or non-sequentially.</w:t>
      </w:r>
    </w:p>
    <w:p w:rsidR="00C71131" w:rsidRDefault="00C71131" w:rsidP="00C71131">
      <w:pPr>
        <w:numPr>
          <w:ilvl w:val="0"/>
          <w:numId w:val="2"/>
        </w:numPr>
        <w:jc w:val="both"/>
      </w:pPr>
      <w:r>
        <w:t>Interactive features to address questions.</w:t>
      </w:r>
    </w:p>
    <w:p w:rsidR="00C71131" w:rsidRDefault="00C71131" w:rsidP="00C71131">
      <w:pPr>
        <w:jc w:val="both"/>
      </w:pPr>
    </w:p>
    <w:p w:rsidR="00C71131" w:rsidRDefault="00C71131" w:rsidP="00C71131">
      <w:pPr>
        <w:jc w:val="both"/>
      </w:pPr>
      <w:r>
        <w:t>We will launch the survey via an integrated system capable of sending personalized email cover letters, tracking which of the respondents have not completed the survey, and sending out reminders. The responses will be shared with Econometrica team members only</w:t>
      </w:r>
      <w:r w:rsidR="00D5187D">
        <w:t xml:space="preserve">. </w:t>
      </w:r>
      <w:r w:rsidR="00F56261">
        <w:t>One hundred</w:t>
      </w:r>
      <w:r w:rsidR="00025663">
        <w:t xml:space="preserve"> percent</w:t>
      </w:r>
      <w:r w:rsidR="00DE04DD">
        <w:t xml:space="preserve"> of the data gathered through the </w:t>
      </w:r>
      <w:r w:rsidR="00D5187D">
        <w:t>W</w:t>
      </w:r>
      <w:r w:rsidR="00DE04DD">
        <w:t>eb survey will be collected electronically.</w:t>
      </w:r>
    </w:p>
    <w:p w:rsidR="00C71131" w:rsidRDefault="00C71131" w:rsidP="00C71131">
      <w:pPr>
        <w:jc w:val="both"/>
      </w:pPr>
    </w:p>
    <w:p w:rsidR="00C71131" w:rsidRDefault="00C71131" w:rsidP="00C71131">
      <w:pPr>
        <w:jc w:val="both"/>
      </w:pPr>
      <w:r>
        <w:t xml:space="preserve">The </w:t>
      </w:r>
      <w:r w:rsidR="00DE04DD">
        <w:t xml:space="preserve">telephone </w:t>
      </w:r>
      <w:r>
        <w:t xml:space="preserve">interviews will be conducted by trained Econometrica team members. The interviews will be conducted by a team of two researchers (a senior and a junior member) with the possibility of recording the interview, if the respondent agrees to be recorded. The recording will be shared with Econometrica </w:t>
      </w:r>
      <w:r w:rsidR="004501DB">
        <w:t xml:space="preserve">staff </w:t>
      </w:r>
      <w:r>
        <w:t>only</w:t>
      </w:r>
      <w:r w:rsidR="00D5187D">
        <w:t xml:space="preserve">. </w:t>
      </w:r>
      <w:r w:rsidR="00213922">
        <w:t>The nature of the survey instrument, which includes primarily open</w:t>
      </w:r>
      <w:r w:rsidR="0020579B">
        <w:t>-</w:t>
      </w:r>
      <w:r w:rsidR="00213922">
        <w:t>ended discussion questions, does not lend itself to automated data collection techniques</w:t>
      </w:r>
      <w:r w:rsidR="0020579B">
        <w:t>;</w:t>
      </w:r>
      <w:r w:rsidR="00213922">
        <w:t xml:space="preserve"> therefore, there will be no portion of the telephone survey that will be automated</w:t>
      </w:r>
      <w:r w:rsidR="00D5187D">
        <w:t xml:space="preserve">. </w:t>
      </w:r>
    </w:p>
    <w:p w:rsidR="00707E13" w:rsidRDefault="00707E13" w:rsidP="00C71131">
      <w:pPr>
        <w:jc w:val="both"/>
      </w:pPr>
    </w:p>
    <w:p w:rsidR="00707E13" w:rsidRDefault="00707E13" w:rsidP="00707E13">
      <w:pPr>
        <w:jc w:val="both"/>
      </w:pPr>
      <w:r w:rsidRPr="00707E13">
        <w:t xml:space="preserve">The tracking form is </w:t>
      </w:r>
      <w:r>
        <w:t>used to e</w:t>
      </w:r>
      <w:r w:rsidRPr="00707E13">
        <w:t xml:space="preserve">nroll residents in the outcomes study. </w:t>
      </w:r>
      <w:r>
        <w:t xml:space="preserve">The actual data collection for the outcome study </w:t>
      </w:r>
      <w:r w:rsidRPr="00707E13">
        <w:t xml:space="preserve">will be </w:t>
      </w:r>
      <w:r>
        <w:t>a separate data collection</w:t>
      </w:r>
      <w:r w:rsidRPr="00707E13">
        <w:t xml:space="preserve"> after the option is exercised.</w:t>
      </w:r>
    </w:p>
    <w:p w:rsidR="0020579B" w:rsidRPr="00707E13" w:rsidRDefault="0020579B" w:rsidP="00707E13">
      <w:pPr>
        <w:jc w:val="both"/>
      </w:pPr>
    </w:p>
    <w:p w:rsidR="00707E13" w:rsidRDefault="00707E13" w:rsidP="00C71131">
      <w:pPr>
        <w:jc w:val="both"/>
      </w:pPr>
      <w:r w:rsidRPr="00707E13">
        <w:t xml:space="preserve">The </w:t>
      </w:r>
      <w:r w:rsidR="00602B5A" w:rsidRPr="00602B5A">
        <w:t xml:space="preserve">Resident Intake Study Correspondence </w:t>
      </w:r>
      <w:r w:rsidR="00602B5A">
        <w:t>a</w:t>
      </w:r>
      <w:r w:rsidR="00602B5A" w:rsidRPr="00602B5A">
        <w:t xml:space="preserve">nd Intake Form </w:t>
      </w:r>
      <w:r w:rsidRPr="00707E13">
        <w:t xml:space="preserve">primarily consists of questions seeking different ways to contact residents of RAD properties </w:t>
      </w:r>
      <w:r w:rsidR="00591D4E">
        <w:t xml:space="preserve">who agree to participate in the </w:t>
      </w:r>
      <w:r w:rsidR="00591D4E" w:rsidRPr="00707E13">
        <w:t xml:space="preserve">tenant-level impact evaluation </w:t>
      </w:r>
      <w:r w:rsidR="00591D4E">
        <w:t>to be conducted during phase 2.</w:t>
      </w:r>
      <w:r w:rsidRPr="00707E13">
        <w:t>. Since many PHA residents may not have regular access to electronic communication modes, the primary form of data collection will be a brief written survey to be mailed to a sample of residents selected for the resident study. We expect to use a random sample stratified by age, family status/household size, and race. In some properties, all residents may be chosen for the sample. SSRS will use the same form to conduct telephone interviews to obtain the same types of contact information from residents who do not respond to the written form. SSRS will use address information available from HUD’s PIC/TRACS data system</w:t>
      </w:r>
      <w:r w:rsidR="00FB1D54">
        <w:t>, and will draw upon secondary sources</w:t>
      </w:r>
      <w:r w:rsidR="00EF5372">
        <w:t>, such as the reverse yellow pages,</w:t>
      </w:r>
      <w:r w:rsidR="00FB1D54">
        <w:t xml:space="preserve"> to acquire telephone numbers for sampled addresses</w:t>
      </w:r>
      <w:r w:rsidRPr="00707E13">
        <w:t>. The average time assumed to provide the information sought is 5 minutes, which would not be shortened by use of electronic, mechanical, or other technological collection techniques.</w:t>
      </w:r>
    </w:p>
    <w:p w:rsidR="00C71131" w:rsidRDefault="00C71131" w:rsidP="00C71131">
      <w:pPr>
        <w:jc w:val="both"/>
      </w:pPr>
    </w:p>
    <w:p w:rsidR="00C71131" w:rsidRDefault="00C71131" w:rsidP="00C71131">
      <w:pPr>
        <w:jc w:val="both"/>
      </w:pPr>
      <w:r>
        <w:t xml:space="preserve">All information will be protected and held confidentially. </w:t>
      </w:r>
    </w:p>
    <w:p w:rsidR="00C71131" w:rsidRDefault="00C71131" w:rsidP="00C71131">
      <w:pPr>
        <w:jc w:val="both"/>
      </w:pPr>
    </w:p>
    <w:p w:rsidR="00C71131" w:rsidRPr="004D5244" w:rsidRDefault="00C71131" w:rsidP="003257AB">
      <w:pPr>
        <w:keepNext/>
        <w:numPr>
          <w:ilvl w:val="0"/>
          <w:numId w:val="7"/>
        </w:numPr>
        <w:ind w:left="360"/>
        <w:jc w:val="both"/>
        <w:rPr>
          <w:b/>
          <w:bCs/>
          <w:u w:val="single"/>
        </w:rPr>
      </w:pPr>
      <w:r>
        <w:rPr>
          <w:b/>
          <w:bCs/>
          <w:u w:val="single"/>
        </w:rPr>
        <w:t>Describe efforts to identify duplication</w:t>
      </w:r>
      <w:r w:rsidRPr="004D5244">
        <w:rPr>
          <w:b/>
          <w:bCs/>
          <w:u w:val="single"/>
        </w:rPr>
        <w:t>.</w:t>
      </w:r>
    </w:p>
    <w:p w:rsidR="00C71131" w:rsidRDefault="00213922" w:rsidP="00A02F4D">
      <w:pPr>
        <w:keepNext/>
        <w:spacing w:before="120"/>
        <w:jc w:val="both"/>
      </w:pPr>
      <w:r>
        <w:t xml:space="preserve">There is no existing data source that can readily be analyzed to document the program impact </w:t>
      </w:r>
      <w:r w:rsidR="008551AA">
        <w:t xml:space="preserve">as required under the </w:t>
      </w:r>
      <w:r>
        <w:t>program’s authorizing statute</w:t>
      </w:r>
      <w:r w:rsidR="008551AA">
        <w:t xml:space="preserve">, </w:t>
      </w:r>
      <w:r>
        <w:t xml:space="preserve">namely </w:t>
      </w:r>
      <w:r w:rsidR="000C39CA">
        <w:t>(</w:t>
      </w:r>
      <w:r w:rsidR="008551AA">
        <w:t>1) th</w:t>
      </w:r>
      <w:r w:rsidRPr="004D5244">
        <w:t>e preservation and improvement</w:t>
      </w:r>
      <w:r w:rsidR="008551AA">
        <w:t xml:space="preserve"> of former public housing units, </w:t>
      </w:r>
      <w:r w:rsidR="000C39CA">
        <w:t>(</w:t>
      </w:r>
      <w:r w:rsidR="008551AA">
        <w:t>2) t</w:t>
      </w:r>
      <w:r w:rsidRPr="004D5244">
        <w:t>he amount of private capital leveraged as a result of such conve</w:t>
      </w:r>
      <w:r w:rsidR="008551AA">
        <w:t xml:space="preserve">rsions, and </w:t>
      </w:r>
      <w:r w:rsidR="000C39CA">
        <w:t>(</w:t>
      </w:r>
      <w:r w:rsidR="008551AA">
        <w:t>3) t</w:t>
      </w:r>
      <w:r w:rsidRPr="004D5244">
        <w:t>he effect of conversion on residents</w:t>
      </w:r>
      <w:r w:rsidR="00D5187D">
        <w:t xml:space="preserve">. </w:t>
      </w:r>
      <w:r w:rsidR="00BF3B15">
        <w:t xml:space="preserve">All available </w:t>
      </w:r>
      <w:r w:rsidR="00C71131">
        <w:t>data from HUD administrative sources and RAD applications will be incorporated into the analysis file by the research team.</w:t>
      </w:r>
    </w:p>
    <w:p w:rsidR="00C71131" w:rsidRDefault="00C71131" w:rsidP="00C71131">
      <w:pPr>
        <w:jc w:val="both"/>
      </w:pPr>
    </w:p>
    <w:p w:rsidR="00C71131" w:rsidRPr="00A37991" w:rsidRDefault="00C71131" w:rsidP="00C71131">
      <w:pPr>
        <w:jc w:val="both"/>
      </w:pPr>
      <w:r w:rsidRPr="00A37991">
        <w:t xml:space="preserve">The proposed </w:t>
      </w:r>
      <w:r w:rsidR="00602B5A">
        <w:t>Resident Intake Study Correspondence and Intake Form</w:t>
      </w:r>
      <w:r w:rsidR="00602B5A" w:rsidDel="00DE04DD">
        <w:t xml:space="preserve"> </w:t>
      </w:r>
      <w:r w:rsidRPr="00A37991">
        <w:t>is specific to the resident study component of the RAD evaluation. Residents have not previously been asked to enroll in this study. Additional contact information requested is not reliably available from other sources, such as the PHA.</w:t>
      </w:r>
    </w:p>
    <w:p w:rsidR="00C71131" w:rsidRDefault="00C71131" w:rsidP="00C71131">
      <w:pPr>
        <w:jc w:val="both"/>
        <w:rPr>
          <w:b/>
          <w:bCs/>
        </w:rPr>
      </w:pPr>
    </w:p>
    <w:p w:rsidR="00C71131" w:rsidRPr="004D5244" w:rsidRDefault="00D30C59" w:rsidP="00C71131">
      <w:pPr>
        <w:numPr>
          <w:ilvl w:val="0"/>
          <w:numId w:val="7"/>
        </w:numPr>
        <w:ind w:left="360"/>
        <w:jc w:val="both"/>
        <w:rPr>
          <w:b/>
          <w:bCs/>
          <w:u w:val="single"/>
        </w:rPr>
      </w:pPr>
      <w:r>
        <w:rPr>
          <w:b/>
          <w:bCs/>
          <w:u w:val="single"/>
        </w:rPr>
        <w:t>Impact on</w:t>
      </w:r>
      <w:r w:rsidR="00C71131">
        <w:rPr>
          <w:b/>
          <w:bCs/>
          <w:u w:val="single"/>
        </w:rPr>
        <w:t xml:space="preserve"> small businesses or other small entities</w:t>
      </w:r>
      <w:r w:rsidR="00C71131" w:rsidRPr="004D5244">
        <w:rPr>
          <w:b/>
          <w:bCs/>
          <w:u w:val="single"/>
        </w:rPr>
        <w:t xml:space="preserve">. </w:t>
      </w:r>
    </w:p>
    <w:p w:rsidR="00C71131" w:rsidRDefault="00C71131" w:rsidP="00C71131">
      <w:pPr>
        <w:jc w:val="both"/>
        <w:rPr>
          <w:color w:val="000000"/>
        </w:rPr>
      </w:pPr>
    </w:p>
    <w:p w:rsidR="00C71131" w:rsidRDefault="00C71131" w:rsidP="00C71131">
      <w:pPr>
        <w:jc w:val="both"/>
      </w:pPr>
      <w:r>
        <w:rPr>
          <w:color w:val="000000"/>
        </w:rPr>
        <w:t>Small businesses or other small entities are not part of the target population of th</w:t>
      </w:r>
      <w:r w:rsidR="008551AA">
        <w:rPr>
          <w:color w:val="000000"/>
        </w:rPr>
        <w:t>is</w:t>
      </w:r>
      <w:r>
        <w:rPr>
          <w:color w:val="000000"/>
        </w:rPr>
        <w:t xml:space="preserve"> information collection effort</w:t>
      </w:r>
      <w:r w:rsidRPr="00A10661">
        <w:t>. The</w:t>
      </w:r>
      <w:r>
        <w:t xml:space="preserve"> information collection is limited to RAD program participants, other public housing developments that are similar to the program participants chosen for comparison, PHA representatives, PHA partners, consultants and financial institutions, and residents who will be asked to complete the enrollment form. </w:t>
      </w:r>
    </w:p>
    <w:p w:rsidR="008551AA" w:rsidRDefault="008551AA" w:rsidP="00C71131">
      <w:pPr>
        <w:jc w:val="both"/>
      </w:pPr>
    </w:p>
    <w:p w:rsidR="00C71131" w:rsidRDefault="00D30C59" w:rsidP="00C71131">
      <w:pPr>
        <w:numPr>
          <w:ilvl w:val="0"/>
          <w:numId w:val="7"/>
        </w:numPr>
        <w:ind w:left="360"/>
        <w:jc w:val="both"/>
      </w:pPr>
      <w:r>
        <w:rPr>
          <w:b/>
          <w:bCs/>
          <w:u w:val="single"/>
        </w:rPr>
        <w:t>C</w:t>
      </w:r>
      <w:r w:rsidR="00C71131">
        <w:rPr>
          <w:b/>
          <w:bCs/>
          <w:u w:val="single"/>
        </w:rPr>
        <w:t>onsequences if the collection is not conducted or is conducted less frequently</w:t>
      </w:r>
      <w:r w:rsidR="00C71131">
        <w:rPr>
          <w:b/>
          <w:bCs/>
        </w:rPr>
        <w:t>.</w:t>
      </w:r>
      <w:r w:rsidR="00C71131">
        <w:t xml:space="preserve"> </w:t>
      </w:r>
    </w:p>
    <w:p w:rsidR="00C71131" w:rsidRDefault="00C71131" w:rsidP="00C71131">
      <w:pPr>
        <w:jc w:val="both"/>
      </w:pPr>
    </w:p>
    <w:p w:rsidR="00A02F4D" w:rsidRDefault="008551AA" w:rsidP="003257AB">
      <w:pPr>
        <w:tabs>
          <w:tab w:val="left" w:pos="360"/>
        </w:tabs>
        <w:autoSpaceDE w:val="0"/>
        <w:autoSpaceDN w:val="0"/>
        <w:adjustRightInd w:val="0"/>
        <w:jc w:val="both"/>
      </w:pPr>
      <w:r w:rsidRPr="00163579">
        <w:t>The RAD authorizing statute requires that HUD assess three particular aspects of the program:</w:t>
      </w:r>
      <w:r w:rsidRPr="008551AA">
        <w:t xml:space="preserve"> </w:t>
      </w:r>
      <w:r w:rsidR="000C39CA">
        <w:t>(</w:t>
      </w:r>
      <w:r w:rsidRPr="008551AA">
        <w:t xml:space="preserve">1) the preservation and improvement of former public housing units, </w:t>
      </w:r>
      <w:r w:rsidR="000C39CA">
        <w:t>(</w:t>
      </w:r>
      <w:r w:rsidRPr="008551AA">
        <w:t xml:space="preserve">2) the amount of private capital leveraged as a result of such conversions, and </w:t>
      </w:r>
      <w:r w:rsidR="000C39CA">
        <w:t>(</w:t>
      </w:r>
      <w:r w:rsidRPr="008551AA">
        <w:t>3) the effect of conversion on residents</w:t>
      </w:r>
      <w:r w:rsidR="00D5187D">
        <w:t xml:space="preserve">. </w:t>
      </w:r>
      <w:r>
        <w:t>The evaluation described in this ICR represents HUD’s effort to be responsive to this Congressional mandate to document the impact of the program</w:t>
      </w:r>
      <w:r w:rsidR="00D5187D">
        <w:t xml:space="preserve">. </w:t>
      </w:r>
      <w:r w:rsidR="00C71131">
        <w:t>HUD does not have any other means to collect the information Congress is requesting.</w:t>
      </w:r>
    </w:p>
    <w:p w:rsidR="00A02F4D" w:rsidRDefault="00A02F4D" w:rsidP="003257AB">
      <w:pPr>
        <w:tabs>
          <w:tab w:val="left" w:pos="360"/>
        </w:tabs>
        <w:autoSpaceDE w:val="0"/>
        <w:autoSpaceDN w:val="0"/>
        <w:adjustRightInd w:val="0"/>
        <w:jc w:val="both"/>
      </w:pPr>
    </w:p>
    <w:p w:rsidR="00C71131" w:rsidRDefault="00FD3587" w:rsidP="004F6330">
      <w:pPr>
        <w:jc w:val="both"/>
      </w:pPr>
      <w:r w:rsidRPr="00BC443C">
        <w:rPr>
          <w:szCs w:val="20"/>
        </w:rPr>
        <w:t xml:space="preserve">Although the resident survey will be developed and administered under </w:t>
      </w:r>
      <w:r>
        <w:rPr>
          <w:szCs w:val="20"/>
        </w:rPr>
        <w:t>the second phase of this evaluation, pending funding availability, d</w:t>
      </w:r>
      <w:r w:rsidRPr="00BC443C">
        <w:rPr>
          <w:szCs w:val="20"/>
        </w:rPr>
        <w:t>ata collection associated with e</w:t>
      </w:r>
      <w:r w:rsidRPr="00BC443C">
        <w:t>nrollment and tracking of residents will occur during th</w:t>
      </w:r>
      <w:r>
        <w:t xml:space="preserve">is first phase of the evaluation. </w:t>
      </w:r>
      <w:r w:rsidRPr="00BC443C">
        <w:rPr>
          <w:szCs w:val="20"/>
        </w:rPr>
        <w:t xml:space="preserve">Because a successful analysis of resident outcomes requires inclusion of former residents who do not return to converted units, enrollment and tracking </w:t>
      </w:r>
      <w:r>
        <w:rPr>
          <w:szCs w:val="20"/>
        </w:rPr>
        <w:t xml:space="preserve">of residents </w:t>
      </w:r>
      <w:r w:rsidRPr="00BC443C">
        <w:rPr>
          <w:szCs w:val="20"/>
        </w:rPr>
        <w:t>need</w:t>
      </w:r>
      <w:r>
        <w:rPr>
          <w:szCs w:val="20"/>
        </w:rPr>
        <w:t>s</w:t>
      </w:r>
      <w:r w:rsidRPr="00BC443C">
        <w:rPr>
          <w:szCs w:val="20"/>
        </w:rPr>
        <w:t xml:space="preserve"> to begin as early as possible after properties begin the RAD process </w:t>
      </w:r>
      <w:r>
        <w:rPr>
          <w:szCs w:val="20"/>
        </w:rPr>
        <w:t xml:space="preserve">in order </w:t>
      </w:r>
      <w:r w:rsidRPr="00BC443C">
        <w:rPr>
          <w:szCs w:val="20"/>
        </w:rPr>
        <w:t>to ensure residents</w:t>
      </w:r>
      <w:r>
        <w:rPr>
          <w:szCs w:val="20"/>
        </w:rPr>
        <w:t>’</w:t>
      </w:r>
      <w:r w:rsidRPr="00BC443C">
        <w:rPr>
          <w:szCs w:val="20"/>
        </w:rPr>
        <w:t xml:space="preserve"> contact information is obtained before they leave the RAD property.</w:t>
      </w:r>
      <w:r>
        <w:rPr>
          <w:szCs w:val="20"/>
        </w:rPr>
        <w:t xml:space="preserve">  </w:t>
      </w:r>
      <w:r w:rsidR="00A02F4D">
        <w:t xml:space="preserve">Failure to obtain contact information on residents </w:t>
      </w:r>
      <w:r w:rsidR="00EF5372">
        <w:t xml:space="preserve">that is needed </w:t>
      </w:r>
      <w:r w:rsidR="00A02F4D">
        <w:t xml:space="preserve">to help locate </w:t>
      </w:r>
      <w:r>
        <w:t xml:space="preserve">those households </w:t>
      </w:r>
      <w:r w:rsidR="00A02F4D">
        <w:t>who move as a result of RAD conversion and do not return to the converted property may compromise HUD’s ability to obtain adequate response rates for the resident survey</w:t>
      </w:r>
      <w:r>
        <w:t xml:space="preserve">, and limit the Department’s ability to report on the program’s impact on residents.  </w:t>
      </w:r>
      <w:r w:rsidR="008551AA">
        <w:t>This is a onetime data collection effort, and an inability to collect this data will render HUD unable to assess the</w:t>
      </w:r>
      <w:r>
        <w:t xml:space="preserve"> overall</w:t>
      </w:r>
      <w:r w:rsidR="008551AA">
        <w:t xml:space="preserve"> impact of the</w:t>
      </w:r>
      <w:r w:rsidR="00EB45D0">
        <w:t xml:space="preserve"> RAD</w:t>
      </w:r>
      <w:r w:rsidR="008551AA">
        <w:t xml:space="preserve"> program.</w:t>
      </w:r>
    </w:p>
    <w:p w:rsidR="001C697F" w:rsidRDefault="001C697F" w:rsidP="004F6330">
      <w:pPr>
        <w:jc w:val="both"/>
      </w:pPr>
    </w:p>
    <w:p w:rsidR="001C697F" w:rsidRDefault="001C697F" w:rsidP="004F6330">
      <w:pPr>
        <w:jc w:val="both"/>
      </w:pPr>
    </w:p>
    <w:p w:rsidR="00C71131" w:rsidRDefault="00C71131" w:rsidP="00C71131">
      <w:pPr>
        <w:jc w:val="both"/>
      </w:pPr>
    </w:p>
    <w:p w:rsidR="00D30C59" w:rsidRPr="00676160" w:rsidRDefault="00D30C59" w:rsidP="00C71131">
      <w:pPr>
        <w:numPr>
          <w:ilvl w:val="0"/>
          <w:numId w:val="7"/>
        </w:numPr>
        <w:ind w:left="360"/>
        <w:jc w:val="both"/>
        <w:rPr>
          <w:b/>
          <w:bCs/>
          <w:u w:val="single"/>
        </w:rPr>
      </w:pPr>
      <w:r w:rsidRPr="00A02F4D">
        <w:rPr>
          <w:b/>
          <w:bCs/>
          <w:u w:val="single"/>
        </w:rPr>
        <w:t>Special cir</w:t>
      </w:r>
      <w:r w:rsidR="00676160" w:rsidRPr="00A02F4D">
        <w:rPr>
          <w:b/>
          <w:bCs/>
          <w:u w:val="single"/>
        </w:rPr>
        <w:t>c</w:t>
      </w:r>
      <w:r w:rsidRPr="00A02F4D">
        <w:rPr>
          <w:b/>
          <w:bCs/>
          <w:u w:val="single"/>
        </w:rPr>
        <w:t>umstances</w:t>
      </w:r>
      <w:r w:rsidR="00FD2A38">
        <w:rPr>
          <w:b/>
          <w:bCs/>
          <w:u w:val="single"/>
        </w:rPr>
        <w:t>.</w:t>
      </w:r>
    </w:p>
    <w:p w:rsidR="00C71131" w:rsidRDefault="00C71131" w:rsidP="00C71131"/>
    <w:p w:rsidR="00C71131" w:rsidRDefault="00C71131" w:rsidP="00C71131">
      <w:pPr>
        <w:widowControl w:val="0"/>
        <w:ind w:left="40"/>
        <w:jc w:val="both"/>
        <w:rPr>
          <w:color w:val="000000"/>
        </w:rPr>
      </w:pPr>
      <w:r>
        <w:t xml:space="preserve">The proposed data collection activities are consistent with the guidelines set forth in 5 CFR 1320.6 (Controlling Paperwork Burdens on the Public – General Information Collection Guidelines). </w:t>
      </w:r>
      <w:r>
        <w:rPr>
          <w:color w:val="000000"/>
        </w:rPr>
        <w:t xml:space="preserve">There are no special circumstances that would require this information collection to be conducted in </w:t>
      </w:r>
      <w:r w:rsidR="007C29B4">
        <w:rPr>
          <w:color w:val="000000"/>
        </w:rPr>
        <w:t>a</w:t>
      </w:r>
      <w:r w:rsidR="00556CD1">
        <w:rPr>
          <w:color w:val="000000"/>
        </w:rPr>
        <w:t xml:space="preserve"> manner that would be inconsistent with OMB guidelines</w:t>
      </w:r>
      <w:r>
        <w:rPr>
          <w:color w:val="000000"/>
        </w:rPr>
        <w:t>.</w:t>
      </w:r>
    </w:p>
    <w:p w:rsidR="00FD3587" w:rsidRDefault="00FD3587" w:rsidP="00C71131">
      <w:pPr>
        <w:widowControl w:val="0"/>
        <w:ind w:left="40"/>
        <w:jc w:val="both"/>
        <w:rPr>
          <w:color w:val="000000"/>
        </w:rPr>
      </w:pPr>
    </w:p>
    <w:p w:rsidR="00D53D6D" w:rsidRPr="00676160" w:rsidRDefault="00D53D6D" w:rsidP="00C71131">
      <w:pPr>
        <w:keepNext/>
        <w:keepLines/>
        <w:numPr>
          <w:ilvl w:val="0"/>
          <w:numId w:val="7"/>
        </w:numPr>
        <w:ind w:left="360"/>
        <w:jc w:val="both"/>
        <w:rPr>
          <w:b/>
          <w:u w:val="single"/>
        </w:rPr>
      </w:pPr>
      <w:r w:rsidRPr="00A02F4D">
        <w:rPr>
          <w:b/>
          <w:i/>
          <w:u w:val="single"/>
        </w:rPr>
        <w:t>Federal Register</w:t>
      </w:r>
      <w:r w:rsidRPr="00A02F4D">
        <w:rPr>
          <w:b/>
          <w:u w:val="single"/>
        </w:rPr>
        <w:t xml:space="preserve"> Notice/Consultation Outside the Agency</w:t>
      </w:r>
      <w:r w:rsidR="00FD2A38">
        <w:rPr>
          <w:b/>
          <w:u w:val="single"/>
        </w:rPr>
        <w:t>.</w:t>
      </w:r>
    </w:p>
    <w:p w:rsidR="00C71131" w:rsidRDefault="00C71131" w:rsidP="00A02F4D">
      <w:pPr>
        <w:keepNext/>
        <w:keepLines/>
        <w:ind w:left="360"/>
        <w:jc w:val="both"/>
      </w:pPr>
    </w:p>
    <w:p w:rsidR="00556CD1" w:rsidRDefault="00556CD1" w:rsidP="003257AB">
      <w:pPr>
        <w:jc w:val="both"/>
      </w:pPr>
      <w:r w:rsidRPr="00B75F95">
        <w:t xml:space="preserve">In accordance with the Paperwork Reduction Act of 1995, HUD published a </w:t>
      </w:r>
      <w:r w:rsidR="00DE747A">
        <w:t xml:space="preserve">60-Day Notice of Proposed Information Collection </w:t>
      </w:r>
      <w:r w:rsidRPr="00B75F95">
        <w:t xml:space="preserve">in the </w:t>
      </w:r>
      <w:r w:rsidRPr="00B75F95">
        <w:rPr>
          <w:i/>
        </w:rPr>
        <w:t xml:space="preserve">Federal </w:t>
      </w:r>
      <w:r w:rsidRPr="002032BF">
        <w:rPr>
          <w:i/>
        </w:rPr>
        <w:t>Register</w:t>
      </w:r>
      <w:r w:rsidRPr="002032BF">
        <w:t xml:space="preserve"> on </w:t>
      </w:r>
      <w:r>
        <w:t xml:space="preserve">June 25, 2014. </w:t>
      </w:r>
      <w:r w:rsidRPr="002032BF">
        <w:t>The docket number was</w:t>
      </w:r>
      <w:r>
        <w:t xml:space="preserve"> </w:t>
      </w:r>
      <w:r w:rsidRPr="002032BF">
        <w:rPr>
          <w:b/>
        </w:rPr>
        <w:t>FR-5</w:t>
      </w:r>
      <w:r w:rsidR="00DE747A">
        <w:rPr>
          <w:b/>
        </w:rPr>
        <w:t>758</w:t>
      </w:r>
      <w:r w:rsidRPr="002032BF">
        <w:rPr>
          <w:b/>
        </w:rPr>
        <w:t>-N-0</w:t>
      </w:r>
      <w:r w:rsidR="00DE747A">
        <w:rPr>
          <w:b/>
        </w:rPr>
        <w:t>9</w:t>
      </w:r>
      <w:r w:rsidR="00DE747A">
        <w:t xml:space="preserve">, and the </w:t>
      </w:r>
      <w:r w:rsidRPr="00A02F4D">
        <w:rPr>
          <w:iCs/>
        </w:rPr>
        <w:t>notice</w:t>
      </w:r>
      <w:r w:rsidRPr="00DE747A">
        <w:t xml:space="preserve"> </w:t>
      </w:r>
      <w:r w:rsidRPr="00B75F95">
        <w:t xml:space="preserve">appeared on pages </w:t>
      </w:r>
      <w:r w:rsidR="00DE747A">
        <w:t>36086</w:t>
      </w:r>
      <w:r w:rsidR="00144C45">
        <w:t>–</w:t>
      </w:r>
      <w:r w:rsidR="00DE747A">
        <w:t>36087</w:t>
      </w:r>
      <w:r>
        <w:t xml:space="preserve">. </w:t>
      </w:r>
      <w:r w:rsidRPr="00B75F95">
        <w:t xml:space="preserve">The notice provided a 60-day period for public comments, and comments were due by </w:t>
      </w:r>
      <w:r w:rsidR="00DE747A">
        <w:t xml:space="preserve">August 25, </w:t>
      </w:r>
      <w:r w:rsidR="00676160">
        <w:t>2</w:t>
      </w:r>
      <w:r w:rsidR="00DE747A">
        <w:t>014</w:t>
      </w:r>
      <w:r w:rsidR="00D5187D">
        <w:t xml:space="preserve">. </w:t>
      </w:r>
      <w:r w:rsidR="00C44696">
        <w:t xml:space="preserve">No public comments on the proposed information collection were received.  </w:t>
      </w:r>
      <w:r w:rsidRPr="00B9658D">
        <w:t xml:space="preserve">A copy of the notice is </w:t>
      </w:r>
      <w:r w:rsidR="00DE747A">
        <w:t>included as</w:t>
      </w:r>
      <w:r w:rsidRPr="00B9658D">
        <w:t xml:space="preserve"> Appendix </w:t>
      </w:r>
      <w:r w:rsidR="00DE747A">
        <w:t>D</w:t>
      </w:r>
      <w:r w:rsidRPr="00B9658D">
        <w:t>.</w:t>
      </w:r>
    </w:p>
    <w:p w:rsidR="00C71131" w:rsidRDefault="00C71131" w:rsidP="003257AB">
      <w:pPr>
        <w:jc w:val="both"/>
      </w:pPr>
    </w:p>
    <w:p w:rsidR="00C71131" w:rsidRDefault="00C71131" w:rsidP="000C39CA">
      <w:pPr>
        <w:numPr>
          <w:ilvl w:val="0"/>
          <w:numId w:val="7"/>
        </w:numPr>
        <w:ind w:left="360"/>
        <w:jc w:val="both"/>
      </w:pPr>
      <w:r>
        <w:rPr>
          <w:b/>
          <w:bCs/>
          <w:u w:val="single"/>
        </w:rPr>
        <w:t>Explain any decisions to provide payments or gifts to respondents, other than remuneration of contractors or grantees</w:t>
      </w:r>
      <w:r w:rsidRPr="004D5244">
        <w:rPr>
          <w:b/>
          <w:bCs/>
          <w:u w:val="single"/>
        </w:rPr>
        <w:t>.</w:t>
      </w:r>
    </w:p>
    <w:p w:rsidR="00C71131" w:rsidRDefault="00C71131" w:rsidP="003257AB">
      <w:pPr>
        <w:autoSpaceDE w:val="0"/>
        <w:autoSpaceDN w:val="0"/>
        <w:adjustRightInd w:val="0"/>
        <w:jc w:val="both"/>
      </w:pPr>
    </w:p>
    <w:p w:rsidR="00C71131" w:rsidRDefault="007E5A76" w:rsidP="003257AB">
      <w:pPr>
        <w:autoSpaceDE w:val="0"/>
        <w:autoSpaceDN w:val="0"/>
        <w:adjustRightInd w:val="0"/>
        <w:jc w:val="both"/>
      </w:pPr>
      <w:r>
        <w:t xml:space="preserve">No payments or gifts will be provided to respondents of either </w:t>
      </w:r>
      <w:r>
        <w:rPr>
          <w:color w:val="000000"/>
        </w:rPr>
        <w:t>the</w:t>
      </w:r>
      <w:r w:rsidRPr="00213922">
        <w:rPr>
          <w:rFonts w:eastAsia="Calibri"/>
          <w:bCs/>
        </w:rPr>
        <w:t xml:space="preserve"> </w:t>
      </w:r>
      <w:r w:rsidRPr="004E0589">
        <w:rPr>
          <w:rFonts w:eastAsia="Calibri"/>
          <w:bCs/>
        </w:rPr>
        <w:t xml:space="preserve">Physical and Financial Conditions </w:t>
      </w:r>
      <w:r>
        <w:rPr>
          <w:rFonts w:eastAsia="Calibri"/>
          <w:bCs/>
        </w:rPr>
        <w:t xml:space="preserve">Web </w:t>
      </w:r>
      <w:r w:rsidRPr="004E0589">
        <w:rPr>
          <w:rFonts w:eastAsia="Calibri"/>
          <w:bCs/>
        </w:rPr>
        <w:t>Survey</w:t>
      </w:r>
      <w:r>
        <w:rPr>
          <w:rFonts w:eastAsia="Calibri"/>
          <w:bCs/>
        </w:rPr>
        <w:t xml:space="preserve"> or the </w:t>
      </w:r>
      <w:r>
        <w:t>RAD Implementation telephone survey</w:t>
      </w:r>
      <w:r w:rsidR="00676160">
        <w:t>.</w:t>
      </w:r>
      <w:r w:rsidR="00C71131" w:rsidRPr="000E34CF">
        <w:t xml:space="preserve"> </w:t>
      </w:r>
      <w:r>
        <w:t xml:space="preserve">A </w:t>
      </w:r>
      <w:r w:rsidR="00C71131">
        <w:t>$5 gift</w:t>
      </w:r>
      <w:r w:rsidR="00707E13">
        <w:t xml:space="preserve"> card</w:t>
      </w:r>
      <w:r w:rsidR="00C71131">
        <w:t xml:space="preserve"> </w:t>
      </w:r>
      <w:r w:rsidR="00844032">
        <w:t xml:space="preserve">will be provided </w:t>
      </w:r>
      <w:r w:rsidR="00C71131">
        <w:t xml:space="preserve">to tenants that </w:t>
      </w:r>
      <w:r w:rsidR="00844032">
        <w:t xml:space="preserve">complete the </w:t>
      </w:r>
      <w:r w:rsidR="00602B5A" w:rsidRPr="007E70E7">
        <w:t xml:space="preserve">Resident Intake Study Correspondence </w:t>
      </w:r>
      <w:r w:rsidR="00602B5A">
        <w:t>an</w:t>
      </w:r>
      <w:r w:rsidR="00602B5A" w:rsidRPr="007E70E7">
        <w:t>d Intake Form</w:t>
      </w:r>
      <w:r w:rsidR="00844032">
        <w:t>.</w:t>
      </w:r>
    </w:p>
    <w:p w:rsidR="00C71131" w:rsidRDefault="00C71131" w:rsidP="003257AB">
      <w:pPr>
        <w:jc w:val="both"/>
      </w:pPr>
    </w:p>
    <w:p w:rsidR="00C71131" w:rsidRDefault="00844032" w:rsidP="000C39CA">
      <w:pPr>
        <w:numPr>
          <w:ilvl w:val="0"/>
          <w:numId w:val="7"/>
        </w:numPr>
        <w:ind w:left="360"/>
        <w:jc w:val="both"/>
      </w:pPr>
      <w:r>
        <w:rPr>
          <w:b/>
          <w:bCs/>
          <w:u w:val="single"/>
        </w:rPr>
        <w:t>A</w:t>
      </w:r>
      <w:r w:rsidR="00C71131">
        <w:rPr>
          <w:b/>
          <w:bCs/>
          <w:u w:val="single"/>
        </w:rPr>
        <w:t>ssurance of confidentiality</w:t>
      </w:r>
      <w:r w:rsidR="00FD2A38">
        <w:rPr>
          <w:b/>
          <w:bCs/>
          <w:u w:val="single"/>
        </w:rPr>
        <w:t>.</w:t>
      </w:r>
    </w:p>
    <w:p w:rsidR="00C71131" w:rsidRDefault="00C71131" w:rsidP="003257AB">
      <w:pPr>
        <w:pStyle w:val="Title"/>
        <w:jc w:val="both"/>
        <w:rPr>
          <w:color w:val="000000"/>
          <w:sz w:val="24"/>
          <w:szCs w:val="20"/>
        </w:rPr>
      </w:pPr>
    </w:p>
    <w:p w:rsidR="00C71131" w:rsidRDefault="00844032" w:rsidP="000C39CA">
      <w:pPr>
        <w:pStyle w:val="Title"/>
        <w:jc w:val="both"/>
        <w:rPr>
          <w:sz w:val="24"/>
        </w:rPr>
      </w:pPr>
      <w:r>
        <w:rPr>
          <w:color w:val="000000"/>
          <w:sz w:val="24"/>
          <w:szCs w:val="20"/>
        </w:rPr>
        <w:t xml:space="preserve">HUD’s contractor, </w:t>
      </w:r>
      <w:r w:rsidR="00C71131">
        <w:rPr>
          <w:color w:val="000000"/>
          <w:sz w:val="24"/>
          <w:szCs w:val="20"/>
        </w:rPr>
        <w:t>Econometrica</w:t>
      </w:r>
      <w:r>
        <w:rPr>
          <w:color w:val="000000"/>
          <w:sz w:val="24"/>
          <w:szCs w:val="20"/>
        </w:rPr>
        <w:t>,</w:t>
      </w:r>
      <w:r w:rsidR="00676160">
        <w:rPr>
          <w:color w:val="000000"/>
          <w:sz w:val="24"/>
          <w:szCs w:val="20"/>
        </w:rPr>
        <w:t xml:space="preserve"> </w:t>
      </w:r>
      <w:r w:rsidR="00C71131">
        <w:rPr>
          <w:color w:val="000000"/>
          <w:sz w:val="24"/>
          <w:szCs w:val="20"/>
        </w:rPr>
        <w:t>provides</w:t>
      </w:r>
      <w:r>
        <w:rPr>
          <w:color w:val="000000"/>
          <w:sz w:val="24"/>
          <w:szCs w:val="20"/>
        </w:rPr>
        <w:t xml:space="preserve"> written </w:t>
      </w:r>
      <w:r w:rsidR="00C71131">
        <w:rPr>
          <w:color w:val="000000"/>
          <w:sz w:val="24"/>
          <w:szCs w:val="20"/>
        </w:rPr>
        <w:t>assurances of confidentiality</w:t>
      </w:r>
      <w:r>
        <w:rPr>
          <w:color w:val="000000"/>
          <w:sz w:val="24"/>
          <w:szCs w:val="20"/>
        </w:rPr>
        <w:t xml:space="preserve"> to all survey respondents</w:t>
      </w:r>
      <w:r w:rsidR="00C71131">
        <w:rPr>
          <w:color w:val="000000"/>
          <w:sz w:val="24"/>
          <w:szCs w:val="20"/>
        </w:rPr>
        <w:t>. Econometrica has established stringent procedures and safeguards for securing and protecting against inappropriate disclosure or release of confidential information that will be collected during this evaluation.</w:t>
      </w:r>
      <w:r w:rsidR="00C71131">
        <w:rPr>
          <w:color w:val="000000"/>
          <w:szCs w:val="20"/>
        </w:rPr>
        <w:t xml:space="preserve"> </w:t>
      </w:r>
      <w:r w:rsidR="00C71131">
        <w:rPr>
          <w:color w:val="000000"/>
          <w:sz w:val="24"/>
        </w:rPr>
        <w:t>Where opinions are elicited</w:t>
      </w:r>
      <w:r w:rsidR="00A02F4D">
        <w:rPr>
          <w:color w:val="000000"/>
          <w:sz w:val="24"/>
        </w:rPr>
        <w:t xml:space="preserve"> from individuals</w:t>
      </w:r>
      <w:r w:rsidR="00C71131">
        <w:rPr>
          <w:color w:val="000000"/>
          <w:sz w:val="24"/>
        </w:rPr>
        <w:t>, the confidentiality agreement stands; t</w:t>
      </w:r>
      <w:r w:rsidR="00C71131">
        <w:rPr>
          <w:sz w:val="24"/>
        </w:rPr>
        <w:t xml:space="preserve">he data that Econometrica provides to HUD will be purged of information that would enable the Department to identify a specific </w:t>
      </w:r>
      <w:r w:rsidR="00A02F4D">
        <w:rPr>
          <w:sz w:val="24"/>
        </w:rPr>
        <w:t>individual</w:t>
      </w:r>
      <w:r w:rsidR="001E077E">
        <w:rPr>
          <w:sz w:val="24"/>
        </w:rPr>
        <w:t>, including a PHA</w:t>
      </w:r>
      <w:r w:rsidR="00513D0D">
        <w:rPr>
          <w:sz w:val="24"/>
        </w:rPr>
        <w:t xml:space="preserve"> official</w:t>
      </w:r>
      <w:r w:rsidR="001E077E">
        <w:rPr>
          <w:sz w:val="24"/>
        </w:rPr>
        <w:t xml:space="preserve">, </w:t>
      </w:r>
      <w:r w:rsidR="00C71131">
        <w:rPr>
          <w:sz w:val="24"/>
        </w:rPr>
        <w:t xml:space="preserve">offering personal </w:t>
      </w:r>
      <w:r w:rsidR="00513D0D">
        <w:rPr>
          <w:sz w:val="24"/>
        </w:rPr>
        <w:t xml:space="preserve">and confidential </w:t>
      </w:r>
      <w:r w:rsidR="00C71131">
        <w:rPr>
          <w:sz w:val="24"/>
        </w:rPr>
        <w:t>opinions.</w:t>
      </w:r>
      <w:r w:rsidR="00FF15C7">
        <w:rPr>
          <w:sz w:val="24"/>
        </w:rPr>
        <w:t xml:space="preserve">  This will not apply to the bulk of information that is collected, but only to that information that is of a personal and confidential nature as indicated on the survey.</w:t>
      </w:r>
    </w:p>
    <w:p w:rsidR="00C71131" w:rsidRDefault="00C71131" w:rsidP="003257AB">
      <w:pPr>
        <w:pStyle w:val="Title"/>
        <w:jc w:val="both"/>
        <w:rPr>
          <w:sz w:val="24"/>
        </w:rPr>
      </w:pPr>
    </w:p>
    <w:p w:rsidR="00C71131" w:rsidRDefault="00C71131" w:rsidP="000C39CA">
      <w:pPr>
        <w:jc w:val="both"/>
        <w:rPr>
          <w:color w:val="000000"/>
          <w:szCs w:val="20"/>
        </w:rPr>
      </w:pPr>
      <w:r>
        <w:rPr>
          <w:color w:val="000000"/>
          <w:szCs w:val="20"/>
        </w:rPr>
        <w:t>The information gathered during this research effort will be used only for the purposes of this evaluation</w:t>
      </w:r>
      <w:r w:rsidR="00844032">
        <w:rPr>
          <w:color w:val="000000"/>
          <w:szCs w:val="20"/>
        </w:rPr>
        <w:t xml:space="preserve"> and will not be used by HUD for grantee monitoring</w:t>
      </w:r>
      <w:r>
        <w:rPr>
          <w:color w:val="000000"/>
          <w:szCs w:val="20"/>
        </w:rPr>
        <w:t>. All Econometrica team members that will have access to these data will sign “Assurances of Confidentiality” pledges</w:t>
      </w:r>
      <w:r w:rsidR="00D5187D">
        <w:rPr>
          <w:color w:val="000000"/>
          <w:szCs w:val="20"/>
        </w:rPr>
        <w:t xml:space="preserve">. </w:t>
      </w:r>
    </w:p>
    <w:p w:rsidR="00C71131" w:rsidRDefault="00C71131" w:rsidP="00602B5A">
      <w:pPr>
        <w:pStyle w:val="Title"/>
        <w:jc w:val="both"/>
        <w:rPr>
          <w:sz w:val="24"/>
        </w:rPr>
      </w:pPr>
    </w:p>
    <w:p w:rsidR="00C71131" w:rsidRDefault="00C71131" w:rsidP="001403ED">
      <w:pPr>
        <w:pStyle w:val="Title"/>
        <w:jc w:val="both"/>
        <w:rPr>
          <w:sz w:val="24"/>
        </w:rPr>
      </w:pPr>
      <w:r>
        <w:rPr>
          <w:sz w:val="24"/>
        </w:rPr>
        <w:t>The statutory authority related to HUD’s ability to conduct research through a contract with Econometrica</w:t>
      </w:r>
      <w:r w:rsidR="00243411">
        <w:rPr>
          <w:sz w:val="24"/>
        </w:rPr>
        <w:t xml:space="preserve"> </w:t>
      </w:r>
      <w:r>
        <w:rPr>
          <w:sz w:val="24"/>
        </w:rPr>
        <w:t>is summarized below:</w:t>
      </w:r>
    </w:p>
    <w:p w:rsidR="00C71131" w:rsidRPr="004712CA" w:rsidRDefault="00C71131" w:rsidP="001403ED">
      <w:pPr>
        <w:numPr>
          <w:ilvl w:val="1"/>
          <w:numId w:val="8"/>
        </w:numPr>
        <w:autoSpaceDE w:val="0"/>
        <w:autoSpaceDN w:val="0"/>
        <w:adjustRightInd w:val="0"/>
        <w:spacing w:before="120"/>
        <w:ind w:left="720"/>
        <w:jc w:val="both"/>
      </w:pPr>
      <w:r w:rsidRPr="004712CA">
        <w:t xml:space="preserve">Section 3(b) of the Department of Housing and Urban Development Act, as amended, 42 U.S.C. 3532, authorizes the Secretary to “conduct continuing comprehensive studies, and </w:t>
      </w:r>
      <w:r w:rsidRPr="004712CA">
        <w:lastRenderedPageBreak/>
        <w:t>make available findings, with respect to the problems of housing and urban development.”</w:t>
      </w:r>
    </w:p>
    <w:p w:rsidR="00C71131" w:rsidRPr="004712CA" w:rsidRDefault="00C71131" w:rsidP="001403ED">
      <w:pPr>
        <w:numPr>
          <w:ilvl w:val="1"/>
          <w:numId w:val="8"/>
        </w:numPr>
        <w:autoSpaceDE w:val="0"/>
        <w:autoSpaceDN w:val="0"/>
        <w:adjustRightInd w:val="0"/>
        <w:spacing w:before="120"/>
        <w:ind w:left="720"/>
        <w:jc w:val="both"/>
      </w:pPr>
      <w:r w:rsidRPr="004712CA">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rsidR="00C71131" w:rsidRPr="004D5244" w:rsidRDefault="00C71131" w:rsidP="001403ED">
      <w:pPr>
        <w:numPr>
          <w:ilvl w:val="1"/>
          <w:numId w:val="8"/>
        </w:numPr>
        <w:autoSpaceDE w:val="0"/>
        <w:autoSpaceDN w:val="0"/>
        <w:adjustRightInd w:val="0"/>
        <w:spacing w:before="120"/>
        <w:ind w:left="720"/>
        <w:jc w:val="both"/>
      </w:pPr>
      <w:r w:rsidRPr="004D5244">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C71131" w:rsidRDefault="00C71131" w:rsidP="00C71131">
      <w:pPr>
        <w:jc w:val="both"/>
        <w:rPr>
          <w:color w:val="000000"/>
        </w:rPr>
      </w:pPr>
    </w:p>
    <w:p w:rsidR="001131D6" w:rsidRDefault="001131D6" w:rsidP="00C71131">
      <w:pPr>
        <w:jc w:val="both"/>
        <w:rPr>
          <w:color w:val="000000"/>
        </w:rPr>
      </w:pPr>
      <w:r>
        <w:rPr>
          <w:color w:val="000000"/>
        </w:rPr>
        <w:t>Prior to beginning data collection, HUD will consider the applicability of completing a Privacy Impact Assessment (PIA) and/or a System of Records Notice (SORN)</w:t>
      </w:r>
      <w:r w:rsidR="00D5187D">
        <w:rPr>
          <w:color w:val="000000"/>
        </w:rPr>
        <w:t xml:space="preserve">. </w:t>
      </w:r>
      <w:r>
        <w:rPr>
          <w:color w:val="000000"/>
        </w:rPr>
        <w:t>If either of these two steps is found to be necessary, HUD will file the PIA with the Department and publish the SORN in the Federal Register, as required, prior to data collection.</w:t>
      </w:r>
    </w:p>
    <w:p w:rsidR="001131D6" w:rsidRDefault="001131D6" w:rsidP="00C71131">
      <w:pPr>
        <w:jc w:val="both"/>
        <w:rPr>
          <w:color w:val="000000"/>
        </w:rPr>
      </w:pPr>
    </w:p>
    <w:p w:rsidR="00C71131" w:rsidRPr="0029334A" w:rsidRDefault="00C71131" w:rsidP="00C71131">
      <w:pPr>
        <w:jc w:val="both"/>
        <w:rPr>
          <w:color w:val="000000"/>
        </w:rPr>
      </w:pPr>
      <w:r>
        <w:rPr>
          <w:color w:val="000000"/>
        </w:rPr>
        <w:t xml:space="preserve">Some of the information essential for the research is information required by </w:t>
      </w:r>
      <w:r>
        <w:t>r</w:t>
      </w:r>
      <w:r w:rsidRPr="0029334A">
        <w:t xml:space="preserve">egulations governing the </w:t>
      </w:r>
      <w:r>
        <w:t>RAD</w:t>
      </w:r>
      <w:r w:rsidRPr="0029334A">
        <w:t xml:space="preserve"> program</w:t>
      </w:r>
      <w:r>
        <w:t>.</w:t>
      </w:r>
      <w:r w:rsidR="001E077E">
        <w:t xml:space="preserve"> For example, e</w:t>
      </w:r>
      <w:r w:rsidRPr="0029334A">
        <w:t xml:space="preserve">very </w:t>
      </w:r>
      <w:r>
        <w:t>RAD applicant is required to provide information on the RAD application</w:t>
      </w:r>
      <w:r w:rsidR="00A02F4D">
        <w:t xml:space="preserve"> to HUD</w:t>
      </w:r>
      <w:r w:rsidR="00676160">
        <w:t>.</w:t>
      </w:r>
      <w:r w:rsidR="00676160">
        <w:rPr>
          <w:rStyle w:val="FootnoteReference"/>
        </w:rPr>
        <w:footnoteReference w:id="3"/>
      </w:r>
      <w:r>
        <w:t xml:space="preserve"> </w:t>
      </w:r>
      <w:r w:rsidR="00A02F4D">
        <w:t>The HUD program office will supply t</w:t>
      </w:r>
      <w:r w:rsidR="001E077E">
        <w:t xml:space="preserve">hose data to Econometrica. Any information not in the RAD application needed for the </w:t>
      </w:r>
      <w:r w:rsidR="00C44696">
        <w:t>first phase of the evaluation</w:t>
      </w:r>
      <w:r w:rsidR="001E077E">
        <w:t xml:space="preserve"> will be </w:t>
      </w:r>
      <w:r w:rsidR="00C44696">
        <w:t xml:space="preserve">collected by administering the three data collection instruments submitted for review with this ICR.  </w:t>
      </w:r>
    </w:p>
    <w:p w:rsidR="00C71131" w:rsidRDefault="00C71131" w:rsidP="00C71131">
      <w:pPr>
        <w:autoSpaceDE w:val="0"/>
        <w:autoSpaceDN w:val="0"/>
        <w:adjustRightInd w:val="0"/>
        <w:jc w:val="both"/>
      </w:pPr>
    </w:p>
    <w:p w:rsidR="00C71131" w:rsidRDefault="00C71131" w:rsidP="00C71131">
      <w:pPr>
        <w:autoSpaceDE w:val="0"/>
        <w:autoSpaceDN w:val="0"/>
        <w:adjustRightInd w:val="0"/>
        <w:jc w:val="both"/>
      </w:pPr>
      <w:r w:rsidRPr="00C57AA9">
        <w:t xml:space="preserve">Each contact person selected to respond to the </w:t>
      </w:r>
      <w:r>
        <w:t xml:space="preserve">Web </w:t>
      </w:r>
      <w:r w:rsidRPr="00C57AA9">
        <w:t xml:space="preserve">survey will be given a password to access and complete the survey. </w:t>
      </w:r>
      <w:r>
        <w:t xml:space="preserve">For the Web survey respondents and the interviewees, </w:t>
      </w:r>
      <w:r w:rsidRPr="00C57AA9">
        <w:t xml:space="preserve">Econometrica will provide a clear overview of the study’s purpose, </w:t>
      </w:r>
      <w:r>
        <w:t>reasons why it would be in the interest of the program</w:t>
      </w:r>
      <w:r w:rsidRPr="00C57AA9">
        <w:t xml:space="preserve"> to respond</w:t>
      </w:r>
      <w:r>
        <w:t>, an</w:t>
      </w:r>
      <w:r w:rsidRPr="00C57AA9">
        <w:t xml:space="preserve"> assurance as to the legitimacy of the survey</w:t>
      </w:r>
      <w:r>
        <w:t>,</w:t>
      </w:r>
      <w:r w:rsidRPr="00C57AA9">
        <w:t xml:space="preserve"> and the name of a person </w:t>
      </w:r>
      <w:r>
        <w:t xml:space="preserve">the respondent </w:t>
      </w:r>
      <w:r w:rsidRPr="00C57AA9">
        <w:t xml:space="preserve">can contact </w:t>
      </w:r>
      <w:r>
        <w:t xml:space="preserve">directly if the respondent has </w:t>
      </w:r>
      <w:r w:rsidRPr="00C57AA9">
        <w:t>questions.</w:t>
      </w:r>
      <w:r>
        <w:t xml:space="preserve"> </w:t>
      </w:r>
    </w:p>
    <w:p w:rsidR="00C71131" w:rsidRDefault="00C71131" w:rsidP="00C71131">
      <w:pPr>
        <w:autoSpaceDE w:val="0"/>
        <w:autoSpaceDN w:val="0"/>
        <w:adjustRightInd w:val="0"/>
        <w:jc w:val="both"/>
      </w:pPr>
    </w:p>
    <w:p w:rsidR="00C71131" w:rsidRPr="00D91360" w:rsidRDefault="00844032" w:rsidP="00C71131">
      <w:pPr>
        <w:jc w:val="both"/>
      </w:pPr>
      <w:r>
        <w:t xml:space="preserve">Administration of the </w:t>
      </w:r>
      <w:r w:rsidR="00602B5A" w:rsidRPr="007E70E7">
        <w:t xml:space="preserve">Resident Intake Study Correspondence </w:t>
      </w:r>
      <w:r w:rsidR="00602B5A">
        <w:t>a</w:t>
      </w:r>
      <w:r w:rsidR="00602B5A" w:rsidRPr="007E70E7">
        <w:t>nd Intake Form</w:t>
      </w:r>
      <w:r w:rsidR="00602B5A" w:rsidRPr="00D91360">
        <w:t xml:space="preserve"> </w:t>
      </w:r>
      <w:r w:rsidR="00C71131" w:rsidRPr="00D91360">
        <w:t xml:space="preserve">will be </w:t>
      </w:r>
      <w:r>
        <w:t xml:space="preserve">handled </w:t>
      </w:r>
      <w:r w:rsidR="00C71131" w:rsidRPr="00D91360">
        <w:t xml:space="preserve">by SSRS under subcontract to the Urban Institute. The Urban Institute maintains an Institutional Review </w:t>
      </w:r>
      <w:r w:rsidR="00C71131">
        <w:t>B</w:t>
      </w:r>
      <w:r w:rsidR="00C71131" w:rsidRPr="00D91360">
        <w:t>oard (IRB) to ensure that research practices and procedures effectively protect the rights and welfare of human subjects, consistent with the requirements set forth in Title 45, Part 46</w:t>
      </w:r>
      <w:r w:rsidR="00C71131">
        <w:t>,</w:t>
      </w:r>
      <w:r w:rsidR="00C71131" w:rsidRPr="00D91360">
        <w:t xml:space="preserve"> of the </w:t>
      </w:r>
      <w:r w:rsidR="00C71131" w:rsidRPr="00D91360">
        <w:rPr>
          <w:i/>
        </w:rPr>
        <w:t>Code of Federal Regulations</w:t>
      </w:r>
      <w:r w:rsidR="00C71131" w:rsidRPr="00D91360">
        <w:t xml:space="preserve"> (45 </w:t>
      </w:r>
      <w:r w:rsidR="00C71131" w:rsidRPr="004D5244">
        <w:t>CFR</w:t>
      </w:r>
      <w:r w:rsidR="00C71131" w:rsidRPr="00D91360">
        <w:t xml:space="preserve"> 46). The Urban Institute’s policy is that all research involving human subjects must adhere to the following principles, among others: </w:t>
      </w:r>
    </w:p>
    <w:p w:rsidR="00C71131" w:rsidRPr="00D91360" w:rsidRDefault="00C71131" w:rsidP="00C71131">
      <w:pPr>
        <w:numPr>
          <w:ilvl w:val="0"/>
          <w:numId w:val="3"/>
        </w:numPr>
        <w:spacing w:before="120"/>
        <w:jc w:val="both"/>
      </w:pPr>
      <w:r w:rsidRPr="00D91360">
        <w:t>Risks to human subjects from research must be reasonable in r</w:t>
      </w:r>
      <w:r w:rsidR="00ED067B">
        <w:t>elation to anticipated benefits</w:t>
      </w:r>
      <w:r w:rsidRPr="00D91360">
        <w:t xml:space="preserve"> and must be minimized to the extent possible</w:t>
      </w:r>
      <w:r>
        <w:t>.</w:t>
      </w:r>
    </w:p>
    <w:p w:rsidR="00C71131" w:rsidRPr="00D91360" w:rsidRDefault="00C71131" w:rsidP="00C71131">
      <w:pPr>
        <w:numPr>
          <w:ilvl w:val="0"/>
          <w:numId w:val="3"/>
        </w:numPr>
        <w:spacing w:before="120"/>
        <w:jc w:val="both"/>
      </w:pPr>
      <w:r w:rsidRPr="00D91360">
        <w:lastRenderedPageBreak/>
        <w:t>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w:t>
      </w:r>
      <w:r>
        <w:t>.</w:t>
      </w:r>
    </w:p>
    <w:p w:rsidR="00C71131" w:rsidRPr="00D91360" w:rsidRDefault="00C71131" w:rsidP="00C71131">
      <w:pPr>
        <w:numPr>
          <w:ilvl w:val="0"/>
          <w:numId w:val="3"/>
        </w:numPr>
        <w:spacing w:before="120"/>
        <w:jc w:val="both"/>
      </w:pPr>
      <w:r w:rsidRPr="00D91360">
        <w:t>Adequate provision must be made to protect the privacy of human subjects and to maintain the confidentiality of data that are collected, where promised and as appropriate.</w:t>
      </w:r>
    </w:p>
    <w:p w:rsidR="00C71131" w:rsidRPr="00D91360" w:rsidRDefault="00C71131" w:rsidP="00C71131">
      <w:pPr>
        <w:jc w:val="both"/>
      </w:pPr>
    </w:p>
    <w:p w:rsidR="00C71131" w:rsidRPr="00D91360" w:rsidRDefault="00C71131" w:rsidP="00C71131">
      <w:pPr>
        <w:jc w:val="both"/>
      </w:pPr>
      <w:r w:rsidRPr="00D91360">
        <w:t>In accordance with these policies, the Urban Institute and SSRS will maintain the following procedures</w:t>
      </w:r>
      <w:r>
        <w:t>:</w:t>
      </w:r>
    </w:p>
    <w:p w:rsidR="00C71131" w:rsidRPr="00D91360" w:rsidRDefault="00CD2BB7" w:rsidP="00C71131">
      <w:pPr>
        <w:numPr>
          <w:ilvl w:val="0"/>
          <w:numId w:val="4"/>
        </w:numPr>
        <w:spacing w:before="120"/>
        <w:jc w:val="both"/>
      </w:pPr>
      <w:r>
        <w:t>Prior to collecting data from residents</w:t>
      </w:r>
      <w:r w:rsidR="00707E13" w:rsidRPr="00707E13">
        <w:t xml:space="preserve">, </w:t>
      </w:r>
      <w:r w:rsidR="00707E13" w:rsidRPr="00A02F4D">
        <w:rPr>
          <w:b/>
        </w:rPr>
        <w:t>informed consent</w:t>
      </w:r>
      <w:r w:rsidR="00707E13" w:rsidRPr="00707E13">
        <w:t xml:space="preserve"> will be administered to all research subjects (potential resident survey respondents). They will be given a clear overview of the study and its goals, the data security plan, the staff confidentiality agreement, and our methods for safeguarding anonymity in our reports and publications</w:t>
      </w:r>
      <w:r w:rsidR="00A02F4D">
        <w:t xml:space="preserve">. </w:t>
      </w:r>
      <w:r w:rsidR="00C71131" w:rsidRPr="00D91360">
        <w:t>We will stress the voluntary nature of participation and make clear that there are no negative consequences for those who choose not to participate. This information will be provided in a letter accompanying t</w:t>
      </w:r>
      <w:r w:rsidR="00E40343">
        <w:t>he enrollment and tracking form</w:t>
      </w:r>
      <w:r w:rsidR="00C71131" w:rsidRPr="00D91360">
        <w:t xml:space="preserve"> and will be read to residents who are enrolled over the telephone. </w:t>
      </w:r>
    </w:p>
    <w:p w:rsidR="00C71131" w:rsidRPr="00D91360" w:rsidRDefault="00C71131" w:rsidP="00C71131">
      <w:pPr>
        <w:numPr>
          <w:ilvl w:val="0"/>
          <w:numId w:val="4"/>
        </w:numPr>
        <w:spacing w:before="120"/>
        <w:jc w:val="both"/>
      </w:pPr>
      <w:r w:rsidRPr="00D91360">
        <w:t xml:space="preserve">The Urban Institute and SSRS will safeguard the information gathered </w:t>
      </w:r>
      <w:bookmarkStart w:id="4" w:name="_GoBack"/>
      <w:bookmarkEnd w:id="4"/>
      <w:r w:rsidRPr="00D91360">
        <w:t xml:space="preserve">from participants. Data gathered from the tracking forms will be analyzed and discussed exclusively in the aggregate; no published reports using the survey data will single out any particular residents. Information identifying particular respondents will be shared </w:t>
      </w:r>
      <w:r w:rsidR="00EF5372">
        <w:t xml:space="preserve">only </w:t>
      </w:r>
      <w:r w:rsidRPr="00D91360">
        <w:t xml:space="preserve">with staff </w:t>
      </w:r>
      <w:r>
        <w:t xml:space="preserve">members </w:t>
      </w:r>
      <w:r w:rsidRPr="00D91360">
        <w:t xml:space="preserve">who have signed Data Confidentiality Pledges and who need the information for research purposes. All such Urban Institute and SSRS staff </w:t>
      </w:r>
      <w:r>
        <w:t xml:space="preserve">members </w:t>
      </w:r>
      <w:r w:rsidRPr="00D91360">
        <w:t>will sign this pledge. Hard</w:t>
      </w:r>
      <w:r>
        <w:t>-</w:t>
      </w:r>
      <w:r w:rsidRPr="00D91360">
        <w:t xml:space="preserve">copy materials containing respondent identifying information will be locked up when not in use, and electronic materials with identifying information will be stored on a secure server in password-protected and/or encrypted files, where appropriate. </w:t>
      </w:r>
    </w:p>
    <w:p w:rsidR="00C71131" w:rsidRDefault="00C71131" w:rsidP="00C71131"/>
    <w:p w:rsidR="00C71131" w:rsidRDefault="003D1753" w:rsidP="00A02F4D">
      <w:pPr>
        <w:numPr>
          <w:ilvl w:val="0"/>
          <w:numId w:val="7"/>
        </w:numPr>
        <w:ind w:left="360"/>
        <w:jc w:val="both"/>
      </w:pPr>
      <w:r w:rsidRPr="003D1753">
        <w:rPr>
          <w:b/>
          <w:bCs/>
          <w:u w:val="single"/>
        </w:rPr>
        <w:t>Q</w:t>
      </w:r>
      <w:r w:rsidR="00C71131" w:rsidRPr="002B3DF2">
        <w:rPr>
          <w:b/>
          <w:bCs/>
          <w:u w:val="single"/>
        </w:rPr>
        <w:t>uestions of a sensitive nature</w:t>
      </w:r>
      <w:r w:rsidR="00FD2A38">
        <w:rPr>
          <w:b/>
          <w:bCs/>
          <w:u w:val="single"/>
        </w:rPr>
        <w:t>.</w:t>
      </w:r>
    </w:p>
    <w:p w:rsidR="00676160" w:rsidRDefault="00676160" w:rsidP="00C71131"/>
    <w:p w:rsidR="00676160" w:rsidRDefault="002B3DF2" w:rsidP="00C71131">
      <w:r>
        <w:t>No questions of a sensitive nature are included within this information collection request</w:t>
      </w:r>
      <w:r w:rsidR="00D5187D">
        <w:t xml:space="preserve">. </w:t>
      </w:r>
    </w:p>
    <w:p w:rsidR="00C71131" w:rsidRDefault="00C71131" w:rsidP="00C71131"/>
    <w:p w:rsidR="00C71131" w:rsidRDefault="00C71131" w:rsidP="00C71131">
      <w:pPr>
        <w:numPr>
          <w:ilvl w:val="0"/>
          <w:numId w:val="7"/>
        </w:numPr>
        <w:ind w:left="360"/>
        <w:jc w:val="both"/>
      </w:pPr>
      <w:r>
        <w:rPr>
          <w:b/>
          <w:bCs/>
          <w:u w:val="single"/>
        </w:rPr>
        <w:t xml:space="preserve">Provide an estimate </w:t>
      </w:r>
      <w:r w:rsidR="009F7E9B">
        <w:rPr>
          <w:b/>
          <w:bCs/>
          <w:u w:val="single"/>
        </w:rPr>
        <w:t xml:space="preserve">of the burden, </w:t>
      </w:r>
      <w:r>
        <w:rPr>
          <w:b/>
          <w:bCs/>
          <w:u w:val="single"/>
        </w:rPr>
        <w:t>in hours</w:t>
      </w:r>
      <w:r w:rsidR="001978C5">
        <w:rPr>
          <w:b/>
          <w:bCs/>
          <w:u w:val="single"/>
        </w:rPr>
        <w:t xml:space="preserve"> and cost</w:t>
      </w:r>
      <w:r w:rsidR="009F7E9B">
        <w:rPr>
          <w:b/>
          <w:bCs/>
          <w:u w:val="single"/>
        </w:rPr>
        <w:t>,</w:t>
      </w:r>
      <w:r>
        <w:rPr>
          <w:b/>
          <w:bCs/>
          <w:u w:val="single"/>
        </w:rPr>
        <w:t xml:space="preserve"> of the collection of information</w:t>
      </w:r>
      <w:r w:rsidRPr="004D5244">
        <w:rPr>
          <w:b/>
          <w:bCs/>
          <w:u w:val="single"/>
        </w:rPr>
        <w:t>.</w:t>
      </w:r>
    </w:p>
    <w:p w:rsidR="00C71131" w:rsidRDefault="00C71131" w:rsidP="00C71131">
      <w:pPr>
        <w:jc w:val="both"/>
      </w:pPr>
    </w:p>
    <w:p w:rsidR="001978C5" w:rsidRDefault="001978C5" w:rsidP="00C71131">
      <w:pPr>
        <w:jc w:val="both"/>
        <w:rPr>
          <w:i/>
        </w:rPr>
      </w:pPr>
      <w:r>
        <w:rPr>
          <w:i/>
        </w:rPr>
        <w:t>Burden Hours:</w:t>
      </w:r>
    </w:p>
    <w:p w:rsidR="001978C5" w:rsidRPr="00A02F4D" w:rsidRDefault="001978C5" w:rsidP="00C71131">
      <w:pPr>
        <w:jc w:val="both"/>
        <w:rPr>
          <w:i/>
        </w:rPr>
      </w:pPr>
      <w:r>
        <w:rPr>
          <w:i/>
        </w:rPr>
        <w:t xml:space="preserve"> </w:t>
      </w:r>
    </w:p>
    <w:p w:rsidR="00C71131" w:rsidRDefault="00C71131" w:rsidP="00C71131">
      <w:pPr>
        <w:jc w:val="both"/>
      </w:pPr>
      <w:r>
        <w:t xml:space="preserve">Tables </w:t>
      </w:r>
      <w:r w:rsidR="002B3DF2">
        <w:t xml:space="preserve">1, </w:t>
      </w:r>
      <w:r>
        <w:t xml:space="preserve">2, </w:t>
      </w:r>
      <w:r w:rsidR="002B3DF2">
        <w:t xml:space="preserve">and </w:t>
      </w:r>
      <w:r>
        <w:t>3</w:t>
      </w:r>
      <w:r w:rsidR="00676160">
        <w:t xml:space="preserve"> </w:t>
      </w:r>
      <w:r>
        <w:t>demonstrate</w:t>
      </w:r>
      <w:r w:rsidRPr="009267B3">
        <w:t xml:space="preserve"> how the burden hours are calculated for the </w:t>
      </w:r>
      <w:r w:rsidR="002B3DF2">
        <w:t xml:space="preserve">three data collection instruments included under this ICR: the </w:t>
      </w:r>
      <w:r w:rsidR="002B3DF2" w:rsidRPr="007E2B58">
        <w:rPr>
          <w:rFonts w:eastAsia="Calibri"/>
          <w:bCs/>
        </w:rPr>
        <w:t xml:space="preserve">Physical and Financial Conditions </w:t>
      </w:r>
      <w:r w:rsidR="002B3DF2">
        <w:rPr>
          <w:rFonts w:eastAsia="Calibri"/>
          <w:bCs/>
        </w:rPr>
        <w:t xml:space="preserve">Web </w:t>
      </w:r>
      <w:r w:rsidR="002B3DF2" w:rsidRPr="007E2B58">
        <w:rPr>
          <w:rFonts w:eastAsia="Calibri"/>
          <w:bCs/>
        </w:rPr>
        <w:t>Survey</w:t>
      </w:r>
      <w:r w:rsidR="002B3DF2">
        <w:rPr>
          <w:rFonts w:eastAsia="Calibri"/>
          <w:bCs/>
        </w:rPr>
        <w:t xml:space="preserve">, the </w:t>
      </w:r>
      <w:r w:rsidR="002B3DF2">
        <w:t xml:space="preserve">RAD Implementation telephone survey, and the </w:t>
      </w:r>
      <w:r w:rsidR="009A4246">
        <w:t>Resident Intake Study Correspondence and Intake Form</w:t>
      </w:r>
      <w:r w:rsidRPr="009267B3">
        <w:t xml:space="preserve">. The estimates below are based on information from a </w:t>
      </w:r>
      <w:r>
        <w:t>consultant familiar with the RAD application</w:t>
      </w:r>
      <w:r w:rsidR="00D5187D">
        <w:t xml:space="preserve">. </w:t>
      </w:r>
      <w:r w:rsidR="004728BA">
        <w:t xml:space="preserve">Table 4 demonstrates how the burden hours are calculated for the </w:t>
      </w:r>
      <w:r w:rsidR="004728BA" w:rsidRPr="00D02BBA">
        <w:t xml:space="preserve">five </w:t>
      </w:r>
      <w:r w:rsidR="004728BA">
        <w:t xml:space="preserve">planned </w:t>
      </w:r>
      <w:r w:rsidR="004728BA" w:rsidRPr="00D02BBA">
        <w:t>communications to survey respondents</w:t>
      </w:r>
      <w:r w:rsidR="004728BA">
        <w:t>.</w:t>
      </w:r>
      <w:r w:rsidR="004728BA">
        <w:t xml:space="preserve"> </w:t>
      </w:r>
      <w:r>
        <w:t xml:space="preserve">The annual burden is expected to be </w:t>
      </w:r>
      <w:r w:rsidR="00F94518">
        <w:t>a total of 2</w:t>
      </w:r>
      <w:r w:rsidR="004728BA">
        <w:t>51.1</w:t>
      </w:r>
      <w:r>
        <w:t xml:space="preserve"> </w:t>
      </w:r>
      <w:r w:rsidR="0014564D">
        <w:t>(72+100+67</w:t>
      </w:r>
      <w:r w:rsidR="004728BA">
        <w:t>+12.1</w:t>
      </w:r>
      <w:r w:rsidR="0014564D">
        <w:t xml:space="preserve">) </w:t>
      </w:r>
      <w:r>
        <w:t>hours.</w:t>
      </w:r>
      <w:r w:rsidR="00FC41A5">
        <w:t xml:space="preserve">  </w:t>
      </w:r>
    </w:p>
    <w:p w:rsidR="001C697F" w:rsidRDefault="001C697F" w:rsidP="00C71131">
      <w:pPr>
        <w:jc w:val="both"/>
      </w:pPr>
    </w:p>
    <w:p w:rsidR="001C697F" w:rsidRDefault="001C697F" w:rsidP="00C71131">
      <w:pPr>
        <w:jc w:val="both"/>
      </w:pPr>
    </w:p>
    <w:p w:rsidR="00C71131" w:rsidRDefault="00C71131" w:rsidP="003257AB">
      <w:pPr>
        <w:keepNext/>
        <w:ind w:left="990" w:hanging="990"/>
        <w:rPr>
          <w:rFonts w:ascii="Arial" w:hAnsi="Arial" w:cs="Arial"/>
          <w:b/>
        </w:rPr>
      </w:pPr>
      <w:r>
        <w:rPr>
          <w:rFonts w:ascii="Arial" w:hAnsi="Arial" w:cs="Arial"/>
          <w:b/>
        </w:rPr>
        <w:lastRenderedPageBreak/>
        <w:t xml:space="preserve">Table </w:t>
      </w:r>
      <w:r w:rsidR="002B3DF2">
        <w:rPr>
          <w:rFonts w:ascii="Arial" w:hAnsi="Arial" w:cs="Arial"/>
          <w:b/>
        </w:rPr>
        <w:t>1</w:t>
      </w:r>
      <w:r>
        <w:rPr>
          <w:rFonts w:ascii="Arial" w:hAnsi="Arial" w:cs="Arial"/>
          <w:b/>
        </w:rPr>
        <w:t>.</w:t>
      </w:r>
      <w:r w:rsidR="007C29B4">
        <w:rPr>
          <w:rFonts w:ascii="Arial" w:hAnsi="Arial" w:cs="Arial"/>
          <w:b/>
        </w:rPr>
        <w:tab/>
      </w:r>
      <w:r w:rsidRPr="00430C7B">
        <w:rPr>
          <w:rFonts w:ascii="Arial" w:hAnsi="Arial" w:cs="Arial"/>
          <w:b/>
        </w:rPr>
        <w:t>Estimated Total Burden Hours for the</w:t>
      </w:r>
      <w:r w:rsidR="007C29B4">
        <w:rPr>
          <w:rFonts w:ascii="Arial" w:hAnsi="Arial" w:cs="Arial"/>
          <w:b/>
        </w:rPr>
        <w:t xml:space="preserve"> </w:t>
      </w:r>
      <w:r>
        <w:rPr>
          <w:rFonts w:ascii="Arial" w:hAnsi="Arial" w:cs="Arial"/>
          <w:b/>
        </w:rPr>
        <w:t xml:space="preserve">Physical and Financial Condition </w:t>
      </w:r>
      <w:r w:rsidR="002B3DF2">
        <w:rPr>
          <w:rFonts w:ascii="Arial" w:hAnsi="Arial" w:cs="Arial"/>
          <w:b/>
        </w:rPr>
        <w:t>Survey</w:t>
      </w:r>
      <w:r>
        <w:rPr>
          <w:rFonts w:ascii="Arial" w:hAnsi="Arial" w:cs="Arial"/>
          <w:b/>
        </w:rPr>
        <w:t xml:space="preserve"> </w:t>
      </w:r>
      <w:r w:rsidRPr="00430C7B">
        <w:rPr>
          <w:rFonts w:ascii="Arial" w:hAnsi="Arial" w:cs="Arial"/>
          <w:b/>
        </w:rPr>
        <w:t xml:space="preserve">  </w:t>
      </w:r>
    </w:p>
    <w:p w:rsidR="001C697F" w:rsidRPr="00430C7B" w:rsidRDefault="001C697F" w:rsidP="003257AB">
      <w:pPr>
        <w:keepNext/>
        <w:ind w:left="990" w:hanging="990"/>
        <w:rPr>
          <w:rFonts w:ascii="Arial" w:hAnsi="Arial" w:cs="Arial"/>
          <w:b/>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2"/>
        <w:gridCol w:w="1615"/>
        <w:gridCol w:w="2220"/>
        <w:gridCol w:w="1741"/>
        <w:gridCol w:w="2088"/>
      </w:tblGrid>
      <w:tr w:rsidR="00C71131" w:rsidRPr="00FC0C27" w:rsidTr="00567B10">
        <w:trPr>
          <w:tblHeader/>
          <w:jc w:val="center"/>
        </w:trPr>
        <w:tc>
          <w:tcPr>
            <w:tcW w:w="999"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A.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Respondent Category</w:t>
            </w:r>
          </w:p>
        </w:tc>
        <w:tc>
          <w:tcPr>
            <w:tcW w:w="843"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B.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Number of Respondents</w:t>
            </w:r>
          </w:p>
        </w:tc>
        <w:tc>
          <w:tcPr>
            <w:tcW w:w="1159"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C.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Number of Responses Required</w:t>
            </w:r>
          </w:p>
        </w:tc>
        <w:tc>
          <w:tcPr>
            <w:tcW w:w="909" w:type="pct"/>
            <w:shd w:val="clear" w:color="auto" w:fill="99CCFF"/>
            <w:vAlign w:val="bottom"/>
          </w:tcPr>
          <w:p w:rsidR="00C71131" w:rsidRDefault="00C71131" w:rsidP="00556CD1">
            <w:pPr>
              <w:widowControl w:val="0"/>
              <w:autoSpaceDE w:val="0"/>
              <w:autoSpaceDN w:val="0"/>
              <w:adjustRightInd w:val="0"/>
              <w:ind w:left="12"/>
              <w:jc w:val="center"/>
              <w:rPr>
                <w:rFonts w:ascii="Arial" w:hAnsi="Arial" w:cs="Arial"/>
                <w:b/>
                <w:sz w:val="20"/>
                <w:szCs w:val="20"/>
              </w:rPr>
            </w:pPr>
            <w:r w:rsidRPr="00FC0C27">
              <w:rPr>
                <w:rFonts w:ascii="Arial" w:hAnsi="Arial" w:cs="Arial"/>
                <w:b/>
                <w:sz w:val="20"/>
                <w:szCs w:val="20"/>
              </w:rPr>
              <w:t xml:space="preserve">D. </w:t>
            </w:r>
          </w:p>
          <w:p w:rsidR="00C71131" w:rsidRPr="00FC0C27" w:rsidRDefault="00C71131" w:rsidP="00556CD1">
            <w:pPr>
              <w:widowControl w:val="0"/>
              <w:autoSpaceDE w:val="0"/>
              <w:autoSpaceDN w:val="0"/>
              <w:adjustRightInd w:val="0"/>
              <w:ind w:left="12"/>
              <w:jc w:val="center"/>
              <w:rPr>
                <w:rFonts w:ascii="Arial" w:hAnsi="Arial" w:cs="Arial"/>
                <w:b/>
                <w:sz w:val="20"/>
                <w:szCs w:val="20"/>
              </w:rPr>
            </w:pPr>
            <w:r w:rsidRPr="00FC0C27">
              <w:rPr>
                <w:rFonts w:ascii="Arial" w:hAnsi="Arial" w:cs="Arial"/>
                <w:b/>
                <w:sz w:val="20"/>
                <w:szCs w:val="20"/>
              </w:rPr>
              <w:t>Burden per Survey</w:t>
            </w:r>
          </w:p>
        </w:tc>
        <w:tc>
          <w:tcPr>
            <w:tcW w:w="1090"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E.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Burden Hours</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C*D</w:t>
            </w:r>
          </w:p>
        </w:tc>
      </w:tr>
      <w:tr w:rsidR="00C71131" w:rsidRPr="00FC0C27" w:rsidTr="00556CD1">
        <w:trPr>
          <w:jc w:val="center"/>
        </w:trPr>
        <w:tc>
          <w:tcPr>
            <w:tcW w:w="999" w:type="pct"/>
            <w:shd w:val="clear" w:color="auto" w:fill="auto"/>
            <w:vAlign w:val="center"/>
          </w:tcPr>
          <w:p w:rsidR="00C71131" w:rsidRPr="00FC0C27"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RAD</w:t>
            </w:r>
            <w:r w:rsidRPr="00FC0C27">
              <w:rPr>
                <w:rFonts w:ascii="Arial" w:hAnsi="Arial" w:cs="Arial"/>
                <w:sz w:val="20"/>
                <w:szCs w:val="20"/>
              </w:rPr>
              <w:t xml:space="preserve"> </w:t>
            </w:r>
            <w:r w:rsidR="009A4246">
              <w:rPr>
                <w:rFonts w:ascii="Arial" w:hAnsi="Arial" w:cs="Arial"/>
                <w:sz w:val="20"/>
                <w:szCs w:val="20"/>
              </w:rPr>
              <w:t>P</w:t>
            </w:r>
            <w:r w:rsidRPr="00FC0C27">
              <w:rPr>
                <w:rFonts w:ascii="Arial" w:hAnsi="Arial" w:cs="Arial"/>
                <w:sz w:val="20"/>
                <w:szCs w:val="20"/>
              </w:rPr>
              <w:t>rojects</w:t>
            </w:r>
          </w:p>
        </w:tc>
        <w:tc>
          <w:tcPr>
            <w:tcW w:w="843"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24</w:t>
            </w:r>
          </w:p>
        </w:tc>
        <w:tc>
          <w:tcPr>
            <w:tcW w:w="1159"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24</w:t>
            </w:r>
          </w:p>
        </w:tc>
        <w:tc>
          <w:tcPr>
            <w:tcW w:w="909"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2"/>
              <w:jc w:val="center"/>
              <w:rPr>
                <w:rFonts w:ascii="Arial" w:hAnsi="Arial" w:cs="Arial"/>
                <w:sz w:val="20"/>
                <w:szCs w:val="20"/>
              </w:rPr>
            </w:pPr>
            <w:r w:rsidRPr="00B76AFC">
              <w:rPr>
                <w:rFonts w:ascii="Arial" w:hAnsi="Arial" w:cs="Arial"/>
                <w:sz w:val="20"/>
                <w:szCs w:val="20"/>
              </w:rPr>
              <w:t>1 hour</w:t>
            </w:r>
          </w:p>
        </w:tc>
        <w:tc>
          <w:tcPr>
            <w:tcW w:w="1090"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24</w:t>
            </w:r>
          </w:p>
        </w:tc>
      </w:tr>
      <w:tr w:rsidR="00C71131" w:rsidRPr="00FC0C27" w:rsidTr="00556CD1">
        <w:trPr>
          <w:jc w:val="center"/>
        </w:trPr>
        <w:tc>
          <w:tcPr>
            <w:tcW w:w="999" w:type="pct"/>
            <w:shd w:val="clear" w:color="auto" w:fill="auto"/>
            <w:vAlign w:val="center"/>
          </w:tcPr>
          <w:p w:rsidR="00C71131" w:rsidRPr="00FC0C27"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Non-RAD</w:t>
            </w:r>
          </w:p>
        </w:tc>
        <w:tc>
          <w:tcPr>
            <w:tcW w:w="843"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48</w:t>
            </w:r>
          </w:p>
        </w:tc>
        <w:tc>
          <w:tcPr>
            <w:tcW w:w="1159"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48</w:t>
            </w:r>
          </w:p>
        </w:tc>
        <w:tc>
          <w:tcPr>
            <w:tcW w:w="909"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2"/>
              <w:jc w:val="center"/>
              <w:rPr>
                <w:rFonts w:ascii="Arial" w:hAnsi="Arial" w:cs="Arial"/>
                <w:sz w:val="20"/>
                <w:szCs w:val="20"/>
              </w:rPr>
            </w:pPr>
            <w:r w:rsidRPr="00B76AFC">
              <w:rPr>
                <w:rFonts w:ascii="Arial" w:hAnsi="Arial" w:cs="Arial"/>
                <w:sz w:val="20"/>
                <w:szCs w:val="20"/>
              </w:rPr>
              <w:t>1 hour</w:t>
            </w:r>
          </w:p>
        </w:tc>
        <w:tc>
          <w:tcPr>
            <w:tcW w:w="1090"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48</w:t>
            </w:r>
          </w:p>
        </w:tc>
      </w:tr>
      <w:tr w:rsidR="00C71131" w:rsidRPr="00FC0C27" w:rsidTr="00556CD1">
        <w:trPr>
          <w:jc w:val="center"/>
        </w:trPr>
        <w:tc>
          <w:tcPr>
            <w:tcW w:w="999" w:type="pct"/>
            <w:shd w:val="clear" w:color="auto" w:fill="auto"/>
            <w:vAlign w:val="center"/>
          </w:tcPr>
          <w:p w:rsidR="00C71131" w:rsidRPr="00FC0C27"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FC0C27">
              <w:rPr>
                <w:rFonts w:ascii="Arial" w:hAnsi="Arial" w:cs="Arial"/>
                <w:sz w:val="20"/>
                <w:szCs w:val="20"/>
              </w:rPr>
              <w:t>Total</w:t>
            </w:r>
          </w:p>
        </w:tc>
        <w:tc>
          <w:tcPr>
            <w:tcW w:w="843"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72</w:t>
            </w:r>
          </w:p>
        </w:tc>
        <w:tc>
          <w:tcPr>
            <w:tcW w:w="1159"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72</w:t>
            </w:r>
          </w:p>
        </w:tc>
        <w:tc>
          <w:tcPr>
            <w:tcW w:w="909"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2"/>
              <w:jc w:val="center"/>
              <w:rPr>
                <w:rFonts w:ascii="Arial" w:hAnsi="Arial" w:cs="Arial"/>
                <w:sz w:val="20"/>
                <w:szCs w:val="20"/>
              </w:rPr>
            </w:pPr>
            <w:r w:rsidRPr="00B76AFC">
              <w:rPr>
                <w:rFonts w:ascii="Arial" w:hAnsi="Arial" w:cs="Arial"/>
                <w:sz w:val="20"/>
                <w:szCs w:val="20"/>
              </w:rPr>
              <w:t>1 hour</w:t>
            </w:r>
          </w:p>
        </w:tc>
        <w:tc>
          <w:tcPr>
            <w:tcW w:w="1090" w:type="pct"/>
            <w:shd w:val="clear" w:color="auto" w:fill="auto"/>
            <w:vAlign w:val="center"/>
          </w:tcPr>
          <w:p w:rsidR="00C71131" w:rsidRPr="00B76AFC" w:rsidRDefault="00C71131" w:rsidP="00556CD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center"/>
              <w:rPr>
                <w:rFonts w:ascii="Arial" w:hAnsi="Arial" w:cs="Arial"/>
                <w:sz w:val="20"/>
                <w:szCs w:val="20"/>
              </w:rPr>
            </w:pPr>
            <w:r w:rsidRPr="00B76AFC">
              <w:rPr>
                <w:rFonts w:ascii="Arial" w:hAnsi="Arial" w:cs="Arial"/>
                <w:sz w:val="20"/>
                <w:szCs w:val="20"/>
              </w:rPr>
              <w:t>72</w:t>
            </w:r>
          </w:p>
        </w:tc>
      </w:tr>
    </w:tbl>
    <w:p w:rsidR="00C71131" w:rsidRDefault="00C71131" w:rsidP="00C71131">
      <w:pPr>
        <w:jc w:val="both"/>
      </w:pPr>
    </w:p>
    <w:p w:rsidR="00C71131" w:rsidRDefault="00C71131" w:rsidP="009B1730">
      <w:pPr>
        <w:keepNext/>
        <w:rPr>
          <w:rFonts w:ascii="Arial" w:hAnsi="Arial" w:cs="Arial"/>
          <w:b/>
        </w:rPr>
      </w:pPr>
      <w:r>
        <w:rPr>
          <w:rFonts w:ascii="Arial" w:hAnsi="Arial" w:cs="Arial"/>
          <w:b/>
        </w:rPr>
        <w:t xml:space="preserve">Table </w:t>
      </w:r>
      <w:r w:rsidR="002B3DF2">
        <w:rPr>
          <w:rFonts w:ascii="Arial" w:hAnsi="Arial" w:cs="Arial"/>
          <w:b/>
        </w:rPr>
        <w:t>2</w:t>
      </w:r>
      <w:r>
        <w:rPr>
          <w:rFonts w:ascii="Arial" w:hAnsi="Arial" w:cs="Arial"/>
          <w:b/>
        </w:rPr>
        <w:t xml:space="preserve">. </w:t>
      </w:r>
      <w:r w:rsidRPr="00430C7B">
        <w:rPr>
          <w:rFonts w:ascii="Arial" w:hAnsi="Arial" w:cs="Arial"/>
          <w:b/>
        </w:rPr>
        <w:t>Estimated Total Burden Hours for the</w:t>
      </w:r>
      <w:r w:rsidR="007C29B4">
        <w:rPr>
          <w:rFonts w:ascii="Arial" w:hAnsi="Arial" w:cs="Arial"/>
          <w:b/>
        </w:rPr>
        <w:t xml:space="preserve"> </w:t>
      </w:r>
      <w:r>
        <w:rPr>
          <w:rFonts w:ascii="Arial" w:hAnsi="Arial" w:cs="Arial"/>
          <w:b/>
        </w:rPr>
        <w:t xml:space="preserve">Implementation </w:t>
      </w:r>
      <w:r w:rsidR="002B3DF2">
        <w:rPr>
          <w:rFonts w:ascii="Arial" w:hAnsi="Arial" w:cs="Arial"/>
          <w:b/>
        </w:rPr>
        <w:t>Survey</w:t>
      </w:r>
    </w:p>
    <w:p w:rsidR="001C697F" w:rsidRPr="00430C7B" w:rsidRDefault="001C697F" w:rsidP="009B1730">
      <w:pPr>
        <w:keepNext/>
        <w:rPr>
          <w:rFonts w:ascii="Arial" w:hAnsi="Arial" w:cs="Arial"/>
          <w:b/>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1613"/>
        <w:gridCol w:w="2218"/>
        <w:gridCol w:w="1743"/>
        <w:gridCol w:w="2088"/>
      </w:tblGrid>
      <w:tr w:rsidR="00C71131" w:rsidRPr="00FC0C27" w:rsidTr="003257AB">
        <w:trPr>
          <w:cantSplit/>
          <w:tblHeader/>
          <w:jc w:val="center"/>
        </w:trPr>
        <w:tc>
          <w:tcPr>
            <w:tcW w:w="1000" w:type="pct"/>
            <w:shd w:val="clear" w:color="auto" w:fill="99CCFF"/>
            <w:vAlign w:val="bottom"/>
          </w:tcPr>
          <w:p w:rsidR="00C71131"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 xml:space="preserve">A. </w:t>
            </w:r>
          </w:p>
          <w:p w:rsidR="00C71131" w:rsidRPr="00FC0C27"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Respondent Categ</w:t>
            </w:r>
            <w:r w:rsidRPr="004712CA">
              <w:rPr>
                <w:rFonts w:ascii="Arial" w:hAnsi="Arial" w:cs="Arial"/>
                <w:b/>
                <w:sz w:val="20"/>
                <w:szCs w:val="20"/>
              </w:rPr>
              <w:t>o</w:t>
            </w:r>
            <w:r w:rsidRPr="00FC0C27">
              <w:rPr>
                <w:rFonts w:ascii="Arial" w:hAnsi="Arial" w:cs="Arial"/>
                <w:b/>
                <w:sz w:val="20"/>
                <w:szCs w:val="20"/>
              </w:rPr>
              <w:t>ry</w:t>
            </w:r>
          </w:p>
        </w:tc>
        <w:tc>
          <w:tcPr>
            <w:tcW w:w="842" w:type="pct"/>
            <w:shd w:val="clear" w:color="auto" w:fill="99CCFF"/>
            <w:vAlign w:val="bottom"/>
          </w:tcPr>
          <w:p w:rsidR="00C71131"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 xml:space="preserve">B. </w:t>
            </w:r>
          </w:p>
          <w:p w:rsidR="00C71131" w:rsidRPr="00FC0C27"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Number of Respondents</w:t>
            </w:r>
          </w:p>
        </w:tc>
        <w:tc>
          <w:tcPr>
            <w:tcW w:w="1158" w:type="pct"/>
            <w:shd w:val="clear" w:color="auto" w:fill="99CCFF"/>
            <w:vAlign w:val="bottom"/>
          </w:tcPr>
          <w:p w:rsidR="00C71131"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 xml:space="preserve">C. </w:t>
            </w:r>
          </w:p>
          <w:p w:rsidR="00C71131" w:rsidRPr="00FC0C27"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Total Number of Responses Required</w:t>
            </w:r>
          </w:p>
        </w:tc>
        <w:tc>
          <w:tcPr>
            <w:tcW w:w="910" w:type="pct"/>
            <w:shd w:val="clear" w:color="auto" w:fill="99CCFF"/>
            <w:vAlign w:val="bottom"/>
          </w:tcPr>
          <w:p w:rsidR="00C71131" w:rsidRDefault="00C71131" w:rsidP="009B1730">
            <w:pPr>
              <w:keepNext/>
              <w:autoSpaceDE w:val="0"/>
              <w:autoSpaceDN w:val="0"/>
              <w:adjustRightInd w:val="0"/>
              <w:ind w:left="1"/>
              <w:jc w:val="center"/>
              <w:rPr>
                <w:rFonts w:ascii="Arial" w:hAnsi="Arial" w:cs="Arial"/>
                <w:b/>
                <w:sz w:val="20"/>
                <w:szCs w:val="20"/>
              </w:rPr>
            </w:pPr>
            <w:r w:rsidRPr="00FC0C27">
              <w:rPr>
                <w:rFonts w:ascii="Arial" w:hAnsi="Arial" w:cs="Arial"/>
                <w:b/>
                <w:sz w:val="20"/>
                <w:szCs w:val="20"/>
              </w:rPr>
              <w:t xml:space="preserve">D. </w:t>
            </w:r>
          </w:p>
          <w:p w:rsidR="00C71131" w:rsidRPr="00FC0C27" w:rsidRDefault="00C71131" w:rsidP="009B1730">
            <w:pPr>
              <w:keepNext/>
              <w:autoSpaceDE w:val="0"/>
              <w:autoSpaceDN w:val="0"/>
              <w:adjustRightInd w:val="0"/>
              <w:ind w:left="1"/>
              <w:jc w:val="center"/>
              <w:rPr>
                <w:rFonts w:ascii="Arial" w:hAnsi="Arial" w:cs="Arial"/>
                <w:b/>
                <w:sz w:val="20"/>
                <w:szCs w:val="20"/>
              </w:rPr>
            </w:pPr>
            <w:r w:rsidRPr="00FC0C27">
              <w:rPr>
                <w:rFonts w:ascii="Arial" w:hAnsi="Arial" w:cs="Arial"/>
                <w:b/>
                <w:sz w:val="20"/>
                <w:szCs w:val="20"/>
              </w:rPr>
              <w:t>Burden per Survey</w:t>
            </w:r>
          </w:p>
        </w:tc>
        <w:tc>
          <w:tcPr>
            <w:tcW w:w="1090" w:type="pct"/>
            <w:shd w:val="clear" w:color="auto" w:fill="99CCFF"/>
            <w:vAlign w:val="bottom"/>
          </w:tcPr>
          <w:p w:rsidR="00C71131"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 xml:space="preserve">E. </w:t>
            </w:r>
          </w:p>
          <w:p w:rsidR="00C71131" w:rsidRPr="00FC0C27"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Total Burden Hours</w:t>
            </w:r>
          </w:p>
          <w:p w:rsidR="00C71131" w:rsidRPr="00FC0C27" w:rsidRDefault="00C71131" w:rsidP="009B1730">
            <w:pPr>
              <w:keepNext/>
              <w:autoSpaceDE w:val="0"/>
              <w:autoSpaceDN w:val="0"/>
              <w:adjustRightInd w:val="0"/>
              <w:jc w:val="center"/>
              <w:rPr>
                <w:rFonts w:ascii="Arial" w:hAnsi="Arial" w:cs="Arial"/>
                <w:b/>
                <w:sz w:val="20"/>
                <w:szCs w:val="20"/>
              </w:rPr>
            </w:pPr>
            <w:r w:rsidRPr="00FC0C27">
              <w:rPr>
                <w:rFonts w:ascii="Arial" w:hAnsi="Arial" w:cs="Arial"/>
                <w:b/>
                <w:sz w:val="20"/>
                <w:szCs w:val="20"/>
              </w:rPr>
              <w:t>C*D</w:t>
            </w:r>
          </w:p>
        </w:tc>
      </w:tr>
      <w:tr w:rsidR="00C71131" w:rsidRPr="00FC0C27" w:rsidTr="00556CD1">
        <w:trPr>
          <w:jc w:val="center"/>
        </w:trPr>
        <w:tc>
          <w:tcPr>
            <w:tcW w:w="1000" w:type="pct"/>
            <w:shd w:val="clear" w:color="auto" w:fill="auto"/>
            <w:vAlign w:val="center"/>
          </w:tcPr>
          <w:p w:rsidR="00C71131" w:rsidRPr="00B76AFC" w:rsidRDefault="00C71131" w:rsidP="009B1730">
            <w:pPr>
              <w:keepNext/>
              <w:autoSpaceDE w:val="0"/>
              <w:autoSpaceDN w:val="0"/>
              <w:adjustRightInd w:val="0"/>
              <w:rPr>
                <w:rFonts w:ascii="Arial" w:hAnsi="Arial" w:cs="Arial"/>
                <w:sz w:val="20"/>
                <w:szCs w:val="20"/>
              </w:rPr>
            </w:pPr>
            <w:r w:rsidRPr="00B76AFC">
              <w:rPr>
                <w:rFonts w:ascii="Arial" w:hAnsi="Arial" w:cs="Arial"/>
                <w:sz w:val="20"/>
                <w:szCs w:val="20"/>
              </w:rPr>
              <w:t>PHAs, Stakeholders, Implementation Consultants, Project Managers</w:t>
            </w:r>
          </w:p>
        </w:tc>
        <w:tc>
          <w:tcPr>
            <w:tcW w:w="842" w:type="pct"/>
            <w:shd w:val="clear" w:color="auto" w:fill="auto"/>
            <w:vAlign w:val="center"/>
          </w:tcPr>
          <w:p w:rsidR="00C71131" w:rsidRPr="00B76AFC" w:rsidRDefault="00C71131" w:rsidP="009B1730">
            <w:pPr>
              <w:keepNext/>
              <w:autoSpaceDE w:val="0"/>
              <w:autoSpaceDN w:val="0"/>
              <w:adjustRightInd w:val="0"/>
              <w:jc w:val="center"/>
              <w:rPr>
                <w:rFonts w:ascii="Arial" w:hAnsi="Arial" w:cs="Arial"/>
                <w:sz w:val="20"/>
                <w:szCs w:val="20"/>
              </w:rPr>
            </w:pPr>
            <w:r w:rsidRPr="00B76AFC">
              <w:rPr>
                <w:rFonts w:ascii="Arial" w:hAnsi="Arial" w:cs="Arial"/>
                <w:sz w:val="20"/>
                <w:szCs w:val="20"/>
              </w:rPr>
              <w:t>100</w:t>
            </w:r>
          </w:p>
        </w:tc>
        <w:tc>
          <w:tcPr>
            <w:tcW w:w="1158" w:type="pct"/>
            <w:shd w:val="clear" w:color="auto" w:fill="auto"/>
            <w:vAlign w:val="center"/>
          </w:tcPr>
          <w:p w:rsidR="00C71131" w:rsidRPr="00B76AFC" w:rsidRDefault="00C71131" w:rsidP="009B1730">
            <w:pPr>
              <w:keepNext/>
              <w:autoSpaceDE w:val="0"/>
              <w:autoSpaceDN w:val="0"/>
              <w:adjustRightInd w:val="0"/>
              <w:jc w:val="center"/>
              <w:rPr>
                <w:rFonts w:ascii="Arial" w:hAnsi="Arial" w:cs="Arial"/>
                <w:sz w:val="20"/>
                <w:szCs w:val="20"/>
              </w:rPr>
            </w:pPr>
            <w:r w:rsidRPr="00B76AFC">
              <w:rPr>
                <w:rFonts w:ascii="Arial" w:hAnsi="Arial" w:cs="Arial"/>
                <w:sz w:val="20"/>
                <w:szCs w:val="20"/>
              </w:rPr>
              <w:t>100</w:t>
            </w:r>
          </w:p>
        </w:tc>
        <w:tc>
          <w:tcPr>
            <w:tcW w:w="910" w:type="pct"/>
            <w:shd w:val="clear" w:color="auto" w:fill="auto"/>
            <w:vAlign w:val="center"/>
          </w:tcPr>
          <w:p w:rsidR="00C71131" w:rsidRPr="00B76AFC" w:rsidRDefault="00C71131" w:rsidP="009B1730">
            <w:pPr>
              <w:keepNext/>
              <w:autoSpaceDE w:val="0"/>
              <w:autoSpaceDN w:val="0"/>
              <w:adjustRightInd w:val="0"/>
              <w:ind w:left="1"/>
              <w:jc w:val="center"/>
              <w:rPr>
                <w:rFonts w:ascii="Arial" w:hAnsi="Arial" w:cs="Arial"/>
                <w:sz w:val="20"/>
                <w:szCs w:val="20"/>
              </w:rPr>
            </w:pPr>
            <w:r w:rsidRPr="00B76AFC">
              <w:rPr>
                <w:rFonts w:ascii="Arial" w:hAnsi="Arial" w:cs="Arial"/>
                <w:sz w:val="20"/>
                <w:szCs w:val="20"/>
              </w:rPr>
              <w:t>1 hour</w:t>
            </w:r>
          </w:p>
        </w:tc>
        <w:tc>
          <w:tcPr>
            <w:tcW w:w="1090" w:type="pct"/>
            <w:shd w:val="clear" w:color="auto" w:fill="auto"/>
            <w:vAlign w:val="center"/>
          </w:tcPr>
          <w:p w:rsidR="00C71131" w:rsidRPr="00B76AFC" w:rsidRDefault="00C71131" w:rsidP="009B1730">
            <w:pPr>
              <w:keepNext/>
              <w:autoSpaceDE w:val="0"/>
              <w:autoSpaceDN w:val="0"/>
              <w:adjustRightInd w:val="0"/>
              <w:jc w:val="center"/>
              <w:rPr>
                <w:rFonts w:ascii="Arial" w:hAnsi="Arial" w:cs="Arial"/>
                <w:sz w:val="20"/>
                <w:szCs w:val="20"/>
              </w:rPr>
            </w:pPr>
            <w:r w:rsidRPr="00B76AFC">
              <w:rPr>
                <w:rFonts w:ascii="Arial" w:hAnsi="Arial" w:cs="Arial"/>
                <w:sz w:val="20"/>
                <w:szCs w:val="20"/>
              </w:rPr>
              <w:t>100</w:t>
            </w:r>
          </w:p>
        </w:tc>
      </w:tr>
      <w:tr w:rsidR="00C71131" w:rsidRPr="00FC0C27" w:rsidTr="00556CD1">
        <w:trPr>
          <w:jc w:val="center"/>
        </w:trPr>
        <w:tc>
          <w:tcPr>
            <w:tcW w:w="1000" w:type="pct"/>
            <w:shd w:val="clear" w:color="auto" w:fill="auto"/>
            <w:vAlign w:val="center"/>
          </w:tcPr>
          <w:p w:rsidR="00C71131" w:rsidRPr="00B76AFC" w:rsidRDefault="00C71131" w:rsidP="00556CD1">
            <w:pPr>
              <w:widowControl w:val="0"/>
              <w:autoSpaceDE w:val="0"/>
              <w:autoSpaceDN w:val="0"/>
              <w:adjustRightInd w:val="0"/>
              <w:rPr>
                <w:rFonts w:ascii="Arial" w:hAnsi="Arial" w:cs="Arial"/>
                <w:sz w:val="20"/>
                <w:szCs w:val="20"/>
              </w:rPr>
            </w:pPr>
            <w:r w:rsidRPr="00B76AFC">
              <w:rPr>
                <w:rFonts w:ascii="Arial" w:hAnsi="Arial" w:cs="Arial"/>
                <w:sz w:val="20"/>
                <w:szCs w:val="20"/>
              </w:rPr>
              <w:t>Total</w:t>
            </w:r>
          </w:p>
        </w:tc>
        <w:tc>
          <w:tcPr>
            <w:tcW w:w="842" w:type="pct"/>
            <w:shd w:val="clear" w:color="auto" w:fill="auto"/>
            <w:vAlign w:val="center"/>
          </w:tcPr>
          <w:p w:rsidR="00C71131" w:rsidRPr="00B76AFC" w:rsidRDefault="00C71131" w:rsidP="00556CD1">
            <w:pPr>
              <w:widowControl w:val="0"/>
              <w:autoSpaceDE w:val="0"/>
              <w:autoSpaceDN w:val="0"/>
              <w:adjustRightInd w:val="0"/>
              <w:jc w:val="center"/>
              <w:rPr>
                <w:rFonts w:ascii="Arial" w:hAnsi="Arial" w:cs="Arial"/>
                <w:sz w:val="20"/>
                <w:szCs w:val="20"/>
              </w:rPr>
            </w:pPr>
            <w:r w:rsidRPr="00B76AFC">
              <w:rPr>
                <w:rFonts w:ascii="Arial" w:hAnsi="Arial" w:cs="Arial"/>
                <w:sz w:val="20"/>
                <w:szCs w:val="20"/>
              </w:rPr>
              <w:t>100</w:t>
            </w:r>
          </w:p>
        </w:tc>
        <w:tc>
          <w:tcPr>
            <w:tcW w:w="1158" w:type="pct"/>
            <w:shd w:val="clear" w:color="auto" w:fill="auto"/>
            <w:vAlign w:val="center"/>
          </w:tcPr>
          <w:p w:rsidR="00C71131" w:rsidRPr="00B76AFC" w:rsidRDefault="00C71131" w:rsidP="00556CD1">
            <w:pPr>
              <w:widowControl w:val="0"/>
              <w:autoSpaceDE w:val="0"/>
              <w:autoSpaceDN w:val="0"/>
              <w:adjustRightInd w:val="0"/>
              <w:jc w:val="center"/>
              <w:rPr>
                <w:rFonts w:ascii="Arial" w:hAnsi="Arial" w:cs="Arial"/>
                <w:sz w:val="20"/>
                <w:szCs w:val="20"/>
              </w:rPr>
            </w:pPr>
            <w:r w:rsidRPr="00B76AFC">
              <w:rPr>
                <w:rFonts w:ascii="Arial" w:hAnsi="Arial" w:cs="Arial"/>
                <w:sz w:val="20"/>
                <w:szCs w:val="20"/>
              </w:rPr>
              <w:t>100</w:t>
            </w:r>
          </w:p>
        </w:tc>
        <w:tc>
          <w:tcPr>
            <w:tcW w:w="910" w:type="pct"/>
            <w:shd w:val="clear" w:color="auto" w:fill="auto"/>
            <w:vAlign w:val="center"/>
          </w:tcPr>
          <w:p w:rsidR="00C71131" w:rsidRPr="00B76AFC" w:rsidRDefault="00C71131" w:rsidP="00556CD1">
            <w:pPr>
              <w:widowControl w:val="0"/>
              <w:autoSpaceDE w:val="0"/>
              <w:autoSpaceDN w:val="0"/>
              <w:adjustRightInd w:val="0"/>
              <w:ind w:left="1"/>
              <w:jc w:val="center"/>
              <w:rPr>
                <w:rFonts w:ascii="Arial" w:hAnsi="Arial" w:cs="Arial"/>
                <w:sz w:val="20"/>
                <w:szCs w:val="20"/>
              </w:rPr>
            </w:pPr>
            <w:r w:rsidRPr="00B76AFC">
              <w:rPr>
                <w:rFonts w:ascii="Arial" w:hAnsi="Arial" w:cs="Arial"/>
                <w:sz w:val="20"/>
                <w:szCs w:val="20"/>
              </w:rPr>
              <w:t>1 hour</w:t>
            </w:r>
          </w:p>
        </w:tc>
        <w:tc>
          <w:tcPr>
            <w:tcW w:w="1090" w:type="pct"/>
            <w:shd w:val="clear" w:color="auto" w:fill="auto"/>
            <w:vAlign w:val="center"/>
          </w:tcPr>
          <w:p w:rsidR="00C71131" w:rsidRPr="00B76AFC" w:rsidRDefault="00C71131" w:rsidP="00556CD1">
            <w:pPr>
              <w:widowControl w:val="0"/>
              <w:autoSpaceDE w:val="0"/>
              <w:autoSpaceDN w:val="0"/>
              <w:adjustRightInd w:val="0"/>
              <w:jc w:val="center"/>
              <w:rPr>
                <w:rFonts w:ascii="Arial" w:hAnsi="Arial" w:cs="Arial"/>
                <w:sz w:val="20"/>
                <w:szCs w:val="20"/>
              </w:rPr>
            </w:pPr>
            <w:r w:rsidRPr="00B76AFC">
              <w:rPr>
                <w:rFonts w:ascii="Arial" w:hAnsi="Arial" w:cs="Arial"/>
                <w:sz w:val="20"/>
                <w:szCs w:val="20"/>
              </w:rPr>
              <w:t>100</w:t>
            </w:r>
          </w:p>
        </w:tc>
      </w:tr>
    </w:tbl>
    <w:p w:rsidR="00CD2BB7" w:rsidRDefault="00CD2BB7" w:rsidP="003257AB">
      <w:pPr>
        <w:ind w:left="990" w:hanging="990"/>
        <w:rPr>
          <w:rFonts w:ascii="Arial" w:hAnsi="Arial" w:cs="Arial"/>
          <w:b/>
        </w:rPr>
      </w:pPr>
    </w:p>
    <w:p w:rsidR="00C71131" w:rsidRDefault="00C71131" w:rsidP="003257AB">
      <w:pPr>
        <w:ind w:left="990" w:hanging="990"/>
        <w:rPr>
          <w:rFonts w:ascii="Arial" w:hAnsi="Arial" w:cs="Arial"/>
          <w:b/>
        </w:rPr>
      </w:pPr>
      <w:r>
        <w:rPr>
          <w:rFonts w:ascii="Arial" w:hAnsi="Arial" w:cs="Arial"/>
          <w:b/>
        </w:rPr>
        <w:t xml:space="preserve">Table </w:t>
      </w:r>
      <w:r w:rsidR="002B3DF2">
        <w:rPr>
          <w:rFonts w:ascii="Arial" w:hAnsi="Arial" w:cs="Arial"/>
          <w:b/>
        </w:rPr>
        <w:t>3</w:t>
      </w:r>
      <w:r>
        <w:rPr>
          <w:rFonts w:ascii="Arial" w:hAnsi="Arial" w:cs="Arial"/>
          <w:b/>
        </w:rPr>
        <w:t>.</w:t>
      </w:r>
      <w:r w:rsidR="007C29B4">
        <w:rPr>
          <w:rFonts w:ascii="Arial" w:hAnsi="Arial" w:cs="Arial"/>
          <w:b/>
        </w:rPr>
        <w:tab/>
      </w:r>
      <w:r w:rsidRPr="00430C7B">
        <w:rPr>
          <w:rFonts w:ascii="Arial" w:hAnsi="Arial" w:cs="Arial"/>
          <w:b/>
        </w:rPr>
        <w:t xml:space="preserve">Estimated Total Burden Hours for the </w:t>
      </w:r>
      <w:r w:rsidR="002B3DF2">
        <w:rPr>
          <w:rFonts w:ascii="Arial" w:hAnsi="Arial" w:cs="Arial"/>
          <w:b/>
        </w:rPr>
        <w:t>R</w:t>
      </w:r>
      <w:r w:rsidR="002B3DF2" w:rsidRPr="00A02F4D">
        <w:rPr>
          <w:rFonts w:ascii="Arial" w:hAnsi="Arial" w:cs="Arial"/>
          <w:b/>
        </w:rPr>
        <w:t xml:space="preserve">esident </w:t>
      </w:r>
      <w:r w:rsidR="002B3DF2">
        <w:rPr>
          <w:rFonts w:ascii="Arial" w:hAnsi="Arial" w:cs="Arial"/>
          <w:b/>
        </w:rPr>
        <w:t>I</w:t>
      </w:r>
      <w:r w:rsidR="002B3DF2" w:rsidRPr="002B3DF2">
        <w:rPr>
          <w:rFonts w:ascii="Arial" w:hAnsi="Arial" w:cs="Arial"/>
          <w:b/>
        </w:rPr>
        <w:t xml:space="preserve">ntake </w:t>
      </w:r>
      <w:r w:rsidR="002B3DF2">
        <w:rPr>
          <w:rFonts w:ascii="Arial" w:hAnsi="Arial" w:cs="Arial"/>
          <w:b/>
        </w:rPr>
        <w:t>S</w:t>
      </w:r>
      <w:r w:rsidR="002B3DF2" w:rsidRPr="00A02F4D">
        <w:rPr>
          <w:rFonts w:ascii="Arial" w:hAnsi="Arial" w:cs="Arial"/>
          <w:b/>
        </w:rPr>
        <w:t>tudy</w:t>
      </w:r>
      <w:r w:rsidR="009A4246">
        <w:rPr>
          <w:rFonts w:ascii="Arial" w:hAnsi="Arial" w:cs="Arial"/>
          <w:b/>
        </w:rPr>
        <w:t xml:space="preserve"> </w:t>
      </w:r>
      <w:r w:rsidR="002B3DF2">
        <w:rPr>
          <w:rFonts w:ascii="Arial" w:hAnsi="Arial" w:cs="Arial"/>
          <w:b/>
        </w:rPr>
        <w:t>C</w:t>
      </w:r>
      <w:r w:rsidR="002B3DF2" w:rsidRPr="002B3DF2">
        <w:rPr>
          <w:rFonts w:ascii="Arial" w:hAnsi="Arial" w:cs="Arial"/>
          <w:b/>
        </w:rPr>
        <w:t xml:space="preserve">orrespondence and </w:t>
      </w:r>
      <w:r w:rsidR="002B3DF2">
        <w:rPr>
          <w:rFonts w:ascii="Arial" w:hAnsi="Arial" w:cs="Arial"/>
          <w:b/>
        </w:rPr>
        <w:t>In</w:t>
      </w:r>
      <w:r w:rsidR="002B3DF2" w:rsidRPr="00A02F4D">
        <w:rPr>
          <w:rFonts w:ascii="Arial" w:hAnsi="Arial" w:cs="Arial"/>
          <w:b/>
        </w:rPr>
        <w:t xml:space="preserve">take </w:t>
      </w:r>
      <w:r w:rsidR="002B3DF2">
        <w:rPr>
          <w:rFonts w:ascii="Arial" w:hAnsi="Arial" w:cs="Arial"/>
          <w:b/>
        </w:rPr>
        <w:t>F</w:t>
      </w:r>
      <w:r w:rsidR="002B3DF2" w:rsidRPr="00A02F4D">
        <w:rPr>
          <w:rFonts w:ascii="Arial" w:hAnsi="Arial" w:cs="Arial"/>
          <w:b/>
        </w:rPr>
        <w:t>orm</w:t>
      </w:r>
    </w:p>
    <w:p w:rsidR="001C697F" w:rsidRPr="002B3DF2" w:rsidRDefault="001C697F" w:rsidP="003257AB">
      <w:pPr>
        <w:ind w:left="990" w:hanging="990"/>
        <w:rPr>
          <w:rFonts w:ascii="Arial" w:hAnsi="Arial" w:cs="Arial"/>
          <w:b/>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1613"/>
        <w:gridCol w:w="2218"/>
        <w:gridCol w:w="1743"/>
        <w:gridCol w:w="2088"/>
      </w:tblGrid>
      <w:tr w:rsidR="00C71131" w:rsidRPr="00FC0C27" w:rsidTr="003257AB">
        <w:trPr>
          <w:cantSplit/>
          <w:tblHeader/>
          <w:jc w:val="center"/>
        </w:trPr>
        <w:tc>
          <w:tcPr>
            <w:tcW w:w="999"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A.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Respondent Categ</w:t>
            </w:r>
            <w:r w:rsidRPr="004712CA">
              <w:rPr>
                <w:rFonts w:ascii="Arial" w:hAnsi="Arial" w:cs="Arial"/>
                <w:b/>
                <w:sz w:val="20"/>
                <w:szCs w:val="20"/>
              </w:rPr>
              <w:t>o</w:t>
            </w:r>
            <w:r w:rsidRPr="00FC0C27">
              <w:rPr>
                <w:rFonts w:ascii="Arial" w:hAnsi="Arial" w:cs="Arial"/>
                <w:b/>
                <w:sz w:val="20"/>
                <w:szCs w:val="20"/>
              </w:rPr>
              <w:t>ry</w:t>
            </w:r>
          </w:p>
        </w:tc>
        <w:tc>
          <w:tcPr>
            <w:tcW w:w="842"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B.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Number of Respondents</w:t>
            </w:r>
          </w:p>
        </w:tc>
        <w:tc>
          <w:tcPr>
            <w:tcW w:w="1158"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C.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Number of Responses Required</w:t>
            </w:r>
          </w:p>
        </w:tc>
        <w:tc>
          <w:tcPr>
            <w:tcW w:w="910" w:type="pct"/>
            <w:shd w:val="clear" w:color="auto" w:fill="99CCFF"/>
            <w:vAlign w:val="bottom"/>
          </w:tcPr>
          <w:p w:rsidR="00C71131" w:rsidRDefault="00C71131" w:rsidP="00556CD1">
            <w:pPr>
              <w:widowControl w:val="0"/>
              <w:autoSpaceDE w:val="0"/>
              <w:autoSpaceDN w:val="0"/>
              <w:adjustRightInd w:val="0"/>
              <w:ind w:left="1"/>
              <w:jc w:val="center"/>
              <w:rPr>
                <w:rFonts w:ascii="Arial" w:hAnsi="Arial" w:cs="Arial"/>
                <w:b/>
                <w:sz w:val="20"/>
                <w:szCs w:val="20"/>
              </w:rPr>
            </w:pPr>
            <w:r w:rsidRPr="00FC0C27">
              <w:rPr>
                <w:rFonts w:ascii="Arial" w:hAnsi="Arial" w:cs="Arial"/>
                <w:b/>
                <w:sz w:val="20"/>
                <w:szCs w:val="20"/>
              </w:rPr>
              <w:t xml:space="preserve">D. </w:t>
            </w:r>
          </w:p>
          <w:p w:rsidR="00C71131" w:rsidRPr="00FC0C27" w:rsidRDefault="00C71131" w:rsidP="00556CD1">
            <w:pPr>
              <w:widowControl w:val="0"/>
              <w:autoSpaceDE w:val="0"/>
              <w:autoSpaceDN w:val="0"/>
              <w:adjustRightInd w:val="0"/>
              <w:ind w:left="1"/>
              <w:jc w:val="center"/>
              <w:rPr>
                <w:rFonts w:ascii="Arial" w:hAnsi="Arial" w:cs="Arial"/>
                <w:b/>
                <w:sz w:val="20"/>
                <w:szCs w:val="20"/>
              </w:rPr>
            </w:pPr>
            <w:r w:rsidRPr="00FC0C27">
              <w:rPr>
                <w:rFonts w:ascii="Arial" w:hAnsi="Arial" w:cs="Arial"/>
                <w:b/>
                <w:sz w:val="20"/>
                <w:szCs w:val="20"/>
              </w:rPr>
              <w:t>Burden per Survey</w:t>
            </w:r>
          </w:p>
        </w:tc>
        <w:tc>
          <w:tcPr>
            <w:tcW w:w="1090"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E.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Burden Hours</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C*D</w:t>
            </w:r>
          </w:p>
        </w:tc>
      </w:tr>
      <w:tr w:rsidR="00C71131" w:rsidRPr="00FC0C27" w:rsidTr="003257AB">
        <w:trPr>
          <w:cantSplit/>
          <w:jc w:val="center"/>
        </w:trPr>
        <w:tc>
          <w:tcPr>
            <w:tcW w:w="999" w:type="pct"/>
            <w:shd w:val="clear" w:color="auto" w:fill="auto"/>
            <w:vAlign w:val="center"/>
          </w:tcPr>
          <w:p w:rsidR="00C71131" w:rsidRPr="00B76AFC" w:rsidRDefault="00C71131" w:rsidP="009A4246">
            <w:pPr>
              <w:widowControl w:val="0"/>
              <w:autoSpaceDE w:val="0"/>
              <w:autoSpaceDN w:val="0"/>
              <w:adjustRightInd w:val="0"/>
              <w:rPr>
                <w:rFonts w:ascii="Arial" w:hAnsi="Arial" w:cs="Arial"/>
                <w:sz w:val="20"/>
                <w:szCs w:val="20"/>
              </w:rPr>
            </w:pPr>
            <w:r>
              <w:rPr>
                <w:rFonts w:ascii="Arial" w:hAnsi="Arial" w:cs="Arial"/>
                <w:sz w:val="20"/>
                <w:szCs w:val="20"/>
              </w:rPr>
              <w:t xml:space="preserve">Tenants </w:t>
            </w:r>
            <w:r w:rsidR="009A4246">
              <w:rPr>
                <w:rFonts w:ascii="Arial" w:hAnsi="Arial" w:cs="Arial"/>
                <w:sz w:val="20"/>
                <w:szCs w:val="20"/>
              </w:rPr>
              <w:t>W</w:t>
            </w:r>
            <w:r>
              <w:rPr>
                <w:rFonts w:ascii="Arial" w:hAnsi="Arial" w:cs="Arial"/>
                <w:sz w:val="20"/>
                <w:szCs w:val="20"/>
              </w:rPr>
              <w:t xml:space="preserve">illing to </w:t>
            </w:r>
            <w:r w:rsidR="009A4246">
              <w:rPr>
                <w:rFonts w:ascii="Arial" w:hAnsi="Arial" w:cs="Arial"/>
                <w:sz w:val="20"/>
                <w:szCs w:val="20"/>
              </w:rPr>
              <w:t>P</w:t>
            </w:r>
            <w:r>
              <w:rPr>
                <w:rFonts w:ascii="Arial" w:hAnsi="Arial" w:cs="Arial"/>
                <w:sz w:val="20"/>
                <w:szCs w:val="20"/>
              </w:rPr>
              <w:t xml:space="preserve">articipate in the </w:t>
            </w:r>
            <w:r w:rsidR="009A4246">
              <w:rPr>
                <w:rFonts w:ascii="Arial" w:hAnsi="Arial" w:cs="Arial"/>
                <w:sz w:val="20"/>
                <w:szCs w:val="20"/>
              </w:rPr>
              <w:t>S</w:t>
            </w:r>
            <w:r>
              <w:rPr>
                <w:rFonts w:ascii="Arial" w:hAnsi="Arial" w:cs="Arial"/>
                <w:sz w:val="20"/>
                <w:szCs w:val="20"/>
              </w:rPr>
              <w:t>tudy</w:t>
            </w:r>
          </w:p>
        </w:tc>
        <w:tc>
          <w:tcPr>
            <w:tcW w:w="842" w:type="pct"/>
            <w:shd w:val="clear" w:color="auto" w:fill="auto"/>
            <w:vAlign w:val="center"/>
          </w:tcPr>
          <w:p w:rsidR="00C71131" w:rsidRPr="00B76AFC"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400</w:t>
            </w:r>
          </w:p>
        </w:tc>
        <w:tc>
          <w:tcPr>
            <w:tcW w:w="1158" w:type="pct"/>
            <w:shd w:val="clear" w:color="auto" w:fill="auto"/>
            <w:vAlign w:val="center"/>
          </w:tcPr>
          <w:p w:rsidR="00C71131" w:rsidRPr="00B76AFC"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400</w:t>
            </w:r>
          </w:p>
        </w:tc>
        <w:tc>
          <w:tcPr>
            <w:tcW w:w="910" w:type="pct"/>
            <w:shd w:val="clear" w:color="auto" w:fill="auto"/>
            <w:vAlign w:val="center"/>
          </w:tcPr>
          <w:p w:rsidR="00C71131" w:rsidRPr="00B76AFC" w:rsidRDefault="00C71131" w:rsidP="00556CD1">
            <w:pPr>
              <w:widowControl w:val="0"/>
              <w:autoSpaceDE w:val="0"/>
              <w:autoSpaceDN w:val="0"/>
              <w:adjustRightInd w:val="0"/>
              <w:ind w:left="1"/>
              <w:jc w:val="center"/>
              <w:rPr>
                <w:rFonts w:ascii="Arial" w:hAnsi="Arial" w:cs="Arial"/>
                <w:sz w:val="20"/>
                <w:szCs w:val="20"/>
              </w:rPr>
            </w:pPr>
            <w:r>
              <w:rPr>
                <w:rFonts w:ascii="Arial" w:hAnsi="Arial" w:cs="Arial"/>
                <w:sz w:val="20"/>
                <w:szCs w:val="20"/>
              </w:rPr>
              <w:t>10 minutes</w:t>
            </w:r>
          </w:p>
        </w:tc>
        <w:tc>
          <w:tcPr>
            <w:tcW w:w="1090" w:type="pct"/>
            <w:shd w:val="clear" w:color="auto" w:fill="auto"/>
            <w:vAlign w:val="center"/>
          </w:tcPr>
          <w:p w:rsidR="00C71131" w:rsidRPr="00B76AFC"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67</w:t>
            </w:r>
          </w:p>
        </w:tc>
      </w:tr>
      <w:tr w:rsidR="00707E13" w:rsidRPr="00FC0C27" w:rsidTr="003257AB">
        <w:trPr>
          <w:cantSplit/>
          <w:jc w:val="center"/>
        </w:trPr>
        <w:tc>
          <w:tcPr>
            <w:tcW w:w="999" w:type="pct"/>
            <w:shd w:val="clear" w:color="auto" w:fill="auto"/>
            <w:vAlign w:val="center"/>
          </w:tcPr>
          <w:p w:rsidR="00707E13" w:rsidRDefault="00707E13" w:rsidP="00556CD1">
            <w:pPr>
              <w:widowControl w:val="0"/>
              <w:autoSpaceDE w:val="0"/>
              <w:autoSpaceDN w:val="0"/>
              <w:adjustRightInd w:val="0"/>
              <w:rPr>
                <w:rFonts w:ascii="Arial" w:hAnsi="Arial" w:cs="Arial"/>
                <w:sz w:val="20"/>
                <w:szCs w:val="20"/>
              </w:rPr>
            </w:pPr>
            <w:r>
              <w:rPr>
                <w:rFonts w:ascii="Arial" w:hAnsi="Arial" w:cs="Arial"/>
                <w:sz w:val="20"/>
                <w:szCs w:val="20"/>
              </w:rPr>
              <w:t>Total</w:t>
            </w:r>
          </w:p>
        </w:tc>
        <w:tc>
          <w:tcPr>
            <w:tcW w:w="842" w:type="pct"/>
            <w:shd w:val="clear" w:color="auto" w:fill="auto"/>
            <w:vAlign w:val="center"/>
          </w:tcPr>
          <w:p w:rsidR="00707E13" w:rsidRPr="00B76AFC" w:rsidRDefault="008E50AF" w:rsidP="00556CD1">
            <w:pPr>
              <w:widowControl w:val="0"/>
              <w:autoSpaceDE w:val="0"/>
              <w:autoSpaceDN w:val="0"/>
              <w:adjustRightInd w:val="0"/>
              <w:jc w:val="center"/>
              <w:rPr>
                <w:rFonts w:ascii="Arial" w:hAnsi="Arial" w:cs="Arial"/>
                <w:sz w:val="20"/>
                <w:szCs w:val="20"/>
              </w:rPr>
            </w:pPr>
            <w:r>
              <w:rPr>
                <w:rFonts w:ascii="Arial" w:hAnsi="Arial" w:cs="Arial"/>
                <w:sz w:val="20"/>
                <w:szCs w:val="20"/>
              </w:rPr>
              <w:t>400</w:t>
            </w:r>
          </w:p>
        </w:tc>
        <w:tc>
          <w:tcPr>
            <w:tcW w:w="1158" w:type="pct"/>
            <w:shd w:val="clear" w:color="auto" w:fill="auto"/>
            <w:vAlign w:val="center"/>
          </w:tcPr>
          <w:p w:rsidR="00707E13" w:rsidRPr="00B76AFC" w:rsidRDefault="008E50AF" w:rsidP="00556CD1">
            <w:pPr>
              <w:widowControl w:val="0"/>
              <w:autoSpaceDE w:val="0"/>
              <w:autoSpaceDN w:val="0"/>
              <w:adjustRightInd w:val="0"/>
              <w:jc w:val="center"/>
              <w:rPr>
                <w:rFonts w:ascii="Arial" w:hAnsi="Arial" w:cs="Arial"/>
                <w:sz w:val="20"/>
                <w:szCs w:val="20"/>
              </w:rPr>
            </w:pPr>
            <w:r>
              <w:rPr>
                <w:rFonts w:ascii="Arial" w:hAnsi="Arial" w:cs="Arial"/>
                <w:sz w:val="20"/>
                <w:szCs w:val="20"/>
              </w:rPr>
              <w:t>400</w:t>
            </w:r>
          </w:p>
        </w:tc>
        <w:tc>
          <w:tcPr>
            <w:tcW w:w="910" w:type="pct"/>
            <w:shd w:val="clear" w:color="auto" w:fill="auto"/>
            <w:vAlign w:val="center"/>
          </w:tcPr>
          <w:p w:rsidR="00707E13" w:rsidRPr="00B76AFC" w:rsidRDefault="00707E13" w:rsidP="00556CD1">
            <w:pPr>
              <w:widowControl w:val="0"/>
              <w:autoSpaceDE w:val="0"/>
              <w:autoSpaceDN w:val="0"/>
              <w:adjustRightInd w:val="0"/>
              <w:ind w:left="1"/>
              <w:jc w:val="center"/>
              <w:rPr>
                <w:rFonts w:ascii="Arial" w:hAnsi="Arial" w:cs="Arial"/>
                <w:sz w:val="20"/>
                <w:szCs w:val="20"/>
              </w:rPr>
            </w:pPr>
            <w:r>
              <w:rPr>
                <w:rFonts w:ascii="Arial" w:hAnsi="Arial" w:cs="Arial"/>
                <w:sz w:val="20"/>
                <w:szCs w:val="20"/>
              </w:rPr>
              <w:t>10 minutes</w:t>
            </w:r>
          </w:p>
        </w:tc>
        <w:tc>
          <w:tcPr>
            <w:tcW w:w="1090" w:type="pct"/>
            <w:shd w:val="clear" w:color="auto" w:fill="auto"/>
            <w:vAlign w:val="center"/>
          </w:tcPr>
          <w:p w:rsidR="00707E13" w:rsidRPr="00B76AFC" w:rsidRDefault="008E50AF" w:rsidP="00556CD1">
            <w:pPr>
              <w:widowControl w:val="0"/>
              <w:autoSpaceDE w:val="0"/>
              <w:autoSpaceDN w:val="0"/>
              <w:adjustRightInd w:val="0"/>
              <w:jc w:val="center"/>
              <w:rPr>
                <w:rFonts w:ascii="Arial" w:hAnsi="Arial" w:cs="Arial"/>
                <w:sz w:val="20"/>
                <w:szCs w:val="20"/>
              </w:rPr>
            </w:pPr>
            <w:r>
              <w:rPr>
                <w:rFonts w:ascii="Arial" w:hAnsi="Arial" w:cs="Arial"/>
                <w:sz w:val="20"/>
                <w:szCs w:val="20"/>
              </w:rPr>
              <w:t>67</w:t>
            </w:r>
          </w:p>
        </w:tc>
      </w:tr>
    </w:tbl>
    <w:p w:rsidR="00C71131" w:rsidRDefault="00C71131" w:rsidP="00C71131">
      <w:pPr>
        <w:rPr>
          <w:szCs w:val="20"/>
        </w:rPr>
      </w:pPr>
    </w:p>
    <w:p w:rsidR="00512443" w:rsidRDefault="00512443" w:rsidP="00FC41A5">
      <w:pPr>
        <w:ind w:left="990" w:hanging="990"/>
        <w:rPr>
          <w:rFonts w:ascii="Arial" w:hAnsi="Arial" w:cs="Arial"/>
          <w:b/>
        </w:rPr>
      </w:pPr>
    </w:p>
    <w:p w:rsidR="007451A7" w:rsidRDefault="007451A7" w:rsidP="00FC41A5">
      <w:pPr>
        <w:ind w:left="990" w:hanging="990"/>
        <w:rPr>
          <w:rFonts w:ascii="Arial" w:hAnsi="Arial" w:cs="Arial"/>
          <w:b/>
        </w:rPr>
      </w:pPr>
    </w:p>
    <w:p w:rsidR="00FC41A5" w:rsidRDefault="00FC41A5" w:rsidP="00FC41A5">
      <w:pPr>
        <w:ind w:left="990" w:hanging="990"/>
        <w:rPr>
          <w:rFonts w:ascii="Arial" w:hAnsi="Arial" w:cs="Arial"/>
          <w:b/>
        </w:rPr>
      </w:pPr>
      <w:r>
        <w:rPr>
          <w:rFonts w:ascii="Arial" w:hAnsi="Arial" w:cs="Arial"/>
          <w:b/>
        </w:rPr>
        <w:t>Table 4.</w:t>
      </w:r>
      <w:r>
        <w:rPr>
          <w:rFonts w:ascii="Arial" w:hAnsi="Arial" w:cs="Arial"/>
          <w:b/>
        </w:rPr>
        <w:tab/>
      </w:r>
      <w:r w:rsidRPr="00430C7B">
        <w:rPr>
          <w:rFonts w:ascii="Arial" w:hAnsi="Arial" w:cs="Arial"/>
          <w:b/>
        </w:rPr>
        <w:t xml:space="preserve">Estimated Total Burden Hours for the </w:t>
      </w:r>
      <w:r>
        <w:rPr>
          <w:rFonts w:ascii="Arial" w:hAnsi="Arial" w:cs="Arial"/>
          <w:b/>
        </w:rPr>
        <w:t>Communications to Survey Respondents</w:t>
      </w:r>
    </w:p>
    <w:p w:rsidR="00FC41A5" w:rsidRPr="002B3DF2" w:rsidRDefault="00FC41A5" w:rsidP="00FC41A5">
      <w:pPr>
        <w:ind w:left="990" w:hanging="990"/>
        <w:rPr>
          <w:rFonts w:ascii="Arial" w:hAnsi="Arial" w:cs="Arial"/>
          <w:b/>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1613"/>
        <w:gridCol w:w="2218"/>
        <w:gridCol w:w="1743"/>
        <w:gridCol w:w="2088"/>
      </w:tblGrid>
      <w:tr w:rsidR="00FC41A5" w:rsidRPr="00FC0C27" w:rsidTr="00512443">
        <w:trPr>
          <w:cantSplit/>
          <w:tblHeader/>
          <w:jc w:val="center"/>
        </w:trPr>
        <w:tc>
          <w:tcPr>
            <w:tcW w:w="999" w:type="pct"/>
            <w:shd w:val="clear" w:color="auto" w:fill="99CCFF"/>
          </w:tcPr>
          <w:p w:rsidR="00FC41A5" w:rsidRDefault="00FC41A5" w:rsidP="00512443">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A.</w:t>
            </w:r>
          </w:p>
          <w:p w:rsidR="00FC41A5" w:rsidRPr="00FC0C27" w:rsidRDefault="00FC41A5" w:rsidP="00512443">
            <w:pPr>
              <w:widowControl w:val="0"/>
              <w:autoSpaceDE w:val="0"/>
              <w:autoSpaceDN w:val="0"/>
              <w:adjustRightInd w:val="0"/>
              <w:jc w:val="center"/>
              <w:rPr>
                <w:rFonts w:ascii="Arial" w:hAnsi="Arial" w:cs="Arial"/>
                <w:b/>
                <w:sz w:val="20"/>
                <w:szCs w:val="20"/>
              </w:rPr>
            </w:pPr>
            <w:r>
              <w:rPr>
                <w:rFonts w:ascii="Arial" w:hAnsi="Arial" w:cs="Arial"/>
                <w:b/>
                <w:sz w:val="20"/>
                <w:szCs w:val="20"/>
              </w:rPr>
              <w:t>Communication</w:t>
            </w:r>
          </w:p>
        </w:tc>
        <w:tc>
          <w:tcPr>
            <w:tcW w:w="842" w:type="pct"/>
            <w:shd w:val="clear" w:color="auto" w:fill="99CCFF"/>
            <w:vAlign w:val="bottom"/>
          </w:tcPr>
          <w:p w:rsidR="00FC41A5" w:rsidRDefault="00FC41A5" w:rsidP="00A47738">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B. </w:t>
            </w:r>
          </w:p>
          <w:p w:rsidR="00FC41A5" w:rsidRPr="00FC0C27" w:rsidRDefault="00FC41A5" w:rsidP="00FC41A5">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Respondent</w:t>
            </w:r>
            <w:r>
              <w:rPr>
                <w:rFonts w:ascii="Arial" w:hAnsi="Arial" w:cs="Arial"/>
                <w:b/>
                <w:sz w:val="20"/>
                <w:szCs w:val="20"/>
              </w:rPr>
              <w:t xml:space="preserve"> Category</w:t>
            </w:r>
          </w:p>
        </w:tc>
        <w:tc>
          <w:tcPr>
            <w:tcW w:w="1158" w:type="pct"/>
            <w:shd w:val="clear" w:color="auto" w:fill="99CCFF"/>
            <w:vAlign w:val="bottom"/>
          </w:tcPr>
          <w:p w:rsidR="00FC41A5" w:rsidRDefault="00FC41A5" w:rsidP="00A47738">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C. </w:t>
            </w:r>
          </w:p>
          <w:p w:rsidR="00FC41A5" w:rsidRPr="00FC0C27" w:rsidRDefault="00FC41A5" w:rsidP="00FC41A5">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Number of Respon</w:t>
            </w:r>
            <w:r>
              <w:rPr>
                <w:rFonts w:ascii="Arial" w:hAnsi="Arial" w:cs="Arial"/>
                <w:b/>
                <w:sz w:val="20"/>
                <w:szCs w:val="20"/>
              </w:rPr>
              <w:t xml:space="preserve">dents </w:t>
            </w:r>
          </w:p>
        </w:tc>
        <w:tc>
          <w:tcPr>
            <w:tcW w:w="910" w:type="pct"/>
            <w:shd w:val="clear" w:color="auto" w:fill="99CCFF"/>
            <w:vAlign w:val="bottom"/>
          </w:tcPr>
          <w:p w:rsidR="00FC41A5" w:rsidRDefault="00FC41A5" w:rsidP="00A47738">
            <w:pPr>
              <w:widowControl w:val="0"/>
              <w:autoSpaceDE w:val="0"/>
              <w:autoSpaceDN w:val="0"/>
              <w:adjustRightInd w:val="0"/>
              <w:ind w:left="1"/>
              <w:jc w:val="center"/>
              <w:rPr>
                <w:rFonts w:ascii="Arial" w:hAnsi="Arial" w:cs="Arial"/>
                <w:b/>
                <w:sz w:val="20"/>
                <w:szCs w:val="20"/>
              </w:rPr>
            </w:pPr>
            <w:r w:rsidRPr="00FC0C27">
              <w:rPr>
                <w:rFonts w:ascii="Arial" w:hAnsi="Arial" w:cs="Arial"/>
                <w:b/>
                <w:sz w:val="20"/>
                <w:szCs w:val="20"/>
              </w:rPr>
              <w:t xml:space="preserve">D. </w:t>
            </w:r>
          </w:p>
          <w:p w:rsidR="00FC41A5" w:rsidRPr="00FC0C27" w:rsidRDefault="00FC41A5" w:rsidP="00FC41A5">
            <w:pPr>
              <w:widowControl w:val="0"/>
              <w:autoSpaceDE w:val="0"/>
              <w:autoSpaceDN w:val="0"/>
              <w:adjustRightInd w:val="0"/>
              <w:ind w:left="1"/>
              <w:jc w:val="center"/>
              <w:rPr>
                <w:rFonts w:ascii="Arial" w:hAnsi="Arial" w:cs="Arial"/>
                <w:b/>
                <w:sz w:val="20"/>
                <w:szCs w:val="20"/>
              </w:rPr>
            </w:pPr>
            <w:r w:rsidRPr="00FC0C27">
              <w:rPr>
                <w:rFonts w:ascii="Arial" w:hAnsi="Arial" w:cs="Arial"/>
                <w:b/>
                <w:sz w:val="20"/>
                <w:szCs w:val="20"/>
              </w:rPr>
              <w:t xml:space="preserve">Burden per </w:t>
            </w:r>
            <w:r>
              <w:rPr>
                <w:rFonts w:ascii="Arial" w:hAnsi="Arial" w:cs="Arial"/>
                <w:b/>
                <w:sz w:val="20"/>
                <w:szCs w:val="20"/>
              </w:rPr>
              <w:t>Communication</w:t>
            </w:r>
          </w:p>
        </w:tc>
        <w:tc>
          <w:tcPr>
            <w:tcW w:w="1090" w:type="pct"/>
            <w:shd w:val="clear" w:color="auto" w:fill="99CCFF"/>
            <w:vAlign w:val="bottom"/>
          </w:tcPr>
          <w:p w:rsidR="00FC41A5" w:rsidRDefault="00FC41A5" w:rsidP="00A47738">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E. </w:t>
            </w:r>
          </w:p>
          <w:p w:rsidR="00FC41A5" w:rsidRPr="00FC0C27" w:rsidRDefault="00FC41A5" w:rsidP="00A47738">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Burden Hours</w:t>
            </w:r>
          </w:p>
          <w:p w:rsidR="00FC41A5" w:rsidRPr="00FC0C27" w:rsidRDefault="00FC41A5" w:rsidP="00A47738">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C*D</w:t>
            </w:r>
          </w:p>
        </w:tc>
      </w:tr>
      <w:tr w:rsidR="007451A7" w:rsidRPr="00FC0C27" w:rsidTr="007451A7">
        <w:trPr>
          <w:cantSplit/>
          <w:trHeight w:val="512"/>
          <w:jc w:val="center"/>
        </w:trPr>
        <w:tc>
          <w:tcPr>
            <w:tcW w:w="999" w:type="pct"/>
            <w:vMerge w:val="restart"/>
            <w:shd w:val="clear" w:color="auto" w:fill="auto"/>
            <w:vAlign w:val="center"/>
          </w:tcPr>
          <w:p w:rsidR="007451A7" w:rsidRPr="00FC41A5" w:rsidRDefault="007451A7" w:rsidP="00E97C3B">
            <w:pPr>
              <w:widowControl w:val="0"/>
              <w:autoSpaceDE w:val="0"/>
              <w:autoSpaceDN w:val="0"/>
              <w:adjustRightInd w:val="0"/>
              <w:rPr>
                <w:rFonts w:ascii="Arial" w:hAnsi="Arial" w:cs="Arial"/>
                <w:sz w:val="20"/>
                <w:szCs w:val="20"/>
              </w:rPr>
            </w:pPr>
            <w:r w:rsidRPr="00E97C3B">
              <w:rPr>
                <w:rFonts w:ascii="Arial" w:hAnsi="Arial" w:cs="Arial"/>
                <w:sz w:val="20"/>
                <w:szCs w:val="20"/>
              </w:rPr>
              <w:t>Proposed Pre-Notification Email from HUD for PHA and Lender Web Survey</w:t>
            </w: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RAD</w:t>
            </w:r>
            <w:r w:rsidRPr="00FC0C27">
              <w:rPr>
                <w:rFonts w:ascii="Arial" w:hAnsi="Arial" w:cs="Arial"/>
                <w:sz w:val="20"/>
                <w:szCs w:val="20"/>
              </w:rPr>
              <w:t xml:space="preserve"> </w:t>
            </w:r>
            <w:r>
              <w:rPr>
                <w:rFonts w:ascii="Arial" w:hAnsi="Arial" w:cs="Arial"/>
                <w:sz w:val="20"/>
                <w:szCs w:val="20"/>
              </w:rPr>
              <w:t>P</w:t>
            </w:r>
            <w:r w:rsidRPr="00FC0C27">
              <w:rPr>
                <w:rFonts w:ascii="Arial" w:hAnsi="Arial" w:cs="Arial"/>
                <w:sz w:val="20"/>
                <w:szCs w:val="20"/>
              </w:rPr>
              <w:t>rojects</w:t>
            </w:r>
          </w:p>
        </w:tc>
        <w:tc>
          <w:tcPr>
            <w:tcW w:w="1158" w:type="pct"/>
            <w:shd w:val="clear" w:color="auto" w:fill="auto"/>
            <w:vAlign w:val="center"/>
          </w:tcPr>
          <w:p w:rsidR="007451A7" w:rsidRPr="00B76AFC" w:rsidRDefault="007451A7" w:rsidP="007451A7">
            <w:pPr>
              <w:widowControl w:val="0"/>
              <w:autoSpaceDE w:val="0"/>
              <w:autoSpaceDN w:val="0"/>
              <w:adjustRightInd w:val="0"/>
              <w:jc w:val="center"/>
              <w:rPr>
                <w:rFonts w:ascii="Arial" w:hAnsi="Arial" w:cs="Arial"/>
                <w:sz w:val="20"/>
                <w:szCs w:val="20"/>
              </w:rPr>
            </w:pPr>
            <w:r>
              <w:rPr>
                <w:rFonts w:ascii="Arial" w:hAnsi="Arial" w:cs="Arial"/>
                <w:sz w:val="20"/>
                <w:szCs w:val="20"/>
              </w:rPr>
              <w:t>24</w:t>
            </w:r>
          </w:p>
        </w:tc>
        <w:tc>
          <w:tcPr>
            <w:tcW w:w="910" w:type="pct"/>
            <w:shd w:val="clear" w:color="auto" w:fill="auto"/>
            <w:vAlign w:val="center"/>
          </w:tcPr>
          <w:p w:rsidR="007451A7" w:rsidRPr="00B76AFC" w:rsidRDefault="007451A7" w:rsidP="00A47738">
            <w:pPr>
              <w:widowControl w:val="0"/>
              <w:autoSpaceDE w:val="0"/>
              <w:autoSpaceDN w:val="0"/>
              <w:adjustRightInd w:val="0"/>
              <w:ind w:left="1"/>
              <w:jc w:val="center"/>
              <w:rPr>
                <w:rFonts w:ascii="Arial" w:hAnsi="Arial" w:cs="Arial"/>
                <w:sz w:val="20"/>
                <w:szCs w:val="20"/>
              </w:rPr>
            </w:pPr>
            <w:r>
              <w:rPr>
                <w:rFonts w:ascii="Arial" w:hAnsi="Arial" w:cs="Arial"/>
                <w:sz w:val="20"/>
                <w:szCs w:val="20"/>
              </w:rPr>
              <w:t>1 minute</w:t>
            </w:r>
          </w:p>
        </w:tc>
        <w:tc>
          <w:tcPr>
            <w:tcW w:w="1090" w:type="pct"/>
            <w:shd w:val="clear" w:color="auto" w:fill="auto"/>
            <w:vAlign w:val="center"/>
          </w:tcPr>
          <w:p w:rsidR="007451A7" w:rsidRPr="00B76AFC"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0.4</w:t>
            </w:r>
          </w:p>
        </w:tc>
      </w:tr>
      <w:tr w:rsidR="007451A7" w:rsidRPr="00FC0C27" w:rsidTr="00A47738">
        <w:trPr>
          <w:cantSplit/>
          <w:jc w:val="center"/>
        </w:trPr>
        <w:tc>
          <w:tcPr>
            <w:tcW w:w="999" w:type="pct"/>
            <w:vMerge/>
            <w:shd w:val="clear" w:color="auto" w:fill="auto"/>
            <w:vAlign w:val="center"/>
          </w:tcPr>
          <w:p w:rsidR="007451A7" w:rsidRPr="00E97C3B" w:rsidRDefault="007451A7" w:rsidP="00E97C3B">
            <w:pPr>
              <w:widowControl w:val="0"/>
              <w:autoSpaceDE w:val="0"/>
              <w:autoSpaceDN w:val="0"/>
              <w:adjustRightInd w:val="0"/>
              <w:rPr>
                <w:rFonts w:ascii="Arial" w:hAnsi="Arial" w:cs="Arial"/>
                <w:sz w:val="20"/>
                <w:szCs w:val="20"/>
              </w:rPr>
            </w:pP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Non-RAD</w:t>
            </w:r>
          </w:p>
        </w:tc>
        <w:tc>
          <w:tcPr>
            <w:tcW w:w="1158" w:type="pct"/>
            <w:shd w:val="clear" w:color="auto" w:fill="auto"/>
            <w:vAlign w:val="center"/>
          </w:tcPr>
          <w:p w:rsidR="007451A7" w:rsidRPr="00B76AFC" w:rsidRDefault="007451A7" w:rsidP="007451A7">
            <w:pPr>
              <w:widowControl w:val="0"/>
              <w:autoSpaceDE w:val="0"/>
              <w:autoSpaceDN w:val="0"/>
              <w:adjustRightInd w:val="0"/>
              <w:jc w:val="center"/>
              <w:rPr>
                <w:rFonts w:ascii="Arial" w:hAnsi="Arial" w:cs="Arial"/>
                <w:sz w:val="20"/>
                <w:szCs w:val="20"/>
              </w:rPr>
            </w:pPr>
            <w:r>
              <w:rPr>
                <w:rFonts w:ascii="Arial" w:hAnsi="Arial" w:cs="Arial"/>
                <w:sz w:val="20"/>
                <w:szCs w:val="20"/>
              </w:rPr>
              <w:t>48</w:t>
            </w:r>
          </w:p>
        </w:tc>
        <w:tc>
          <w:tcPr>
            <w:tcW w:w="910" w:type="pct"/>
            <w:shd w:val="clear" w:color="auto" w:fill="auto"/>
            <w:vAlign w:val="center"/>
          </w:tcPr>
          <w:p w:rsidR="007451A7" w:rsidRPr="00B76AFC" w:rsidRDefault="007451A7" w:rsidP="00A47738">
            <w:pPr>
              <w:widowControl w:val="0"/>
              <w:autoSpaceDE w:val="0"/>
              <w:autoSpaceDN w:val="0"/>
              <w:adjustRightInd w:val="0"/>
              <w:ind w:left="1"/>
              <w:jc w:val="center"/>
              <w:rPr>
                <w:rFonts w:ascii="Arial" w:hAnsi="Arial" w:cs="Arial"/>
                <w:sz w:val="20"/>
                <w:szCs w:val="20"/>
              </w:rPr>
            </w:pPr>
            <w:r>
              <w:rPr>
                <w:rFonts w:ascii="Arial" w:hAnsi="Arial" w:cs="Arial"/>
                <w:sz w:val="20"/>
                <w:szCs w:val="20"/>
              </w:rPr>
              <w:t>1 minute</w:t>
            </w:r>
          </w:p>
        </w:tc>
        <w:tc>
          <w:tcPr>
            <w:tcW w:w="1090" w:type="pct"/>
            <w:shd w:val="clear" w:color="auto" w:fill="auto"/>
            <w:vAlign w:val="center"/>
          </w:tcPr>
          <w:p w:rsidR="007451A7" w:rsidRPr="00B76AFC"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0.8</w:t>
            </w:r>
          </w:p>
        </w:tc>
      </w:tr>
      <w:tr w:rsidR="007451A7" w:rsidRPr="00FC0C27" w:rsidTr="007451A7">
        <w:trPr>
          <w:cantSplit/>
          <w:trHeight w:val="620"/>
          <w:jc w:val="center"/>
        </w:trPr>
        <w:tc>
          <w:tcPr>
            <w:tcW w:w="999" w:type="pct"/>
            <w:vMerge w:val="restart"/>
            <w:shd w:val="clear" w:color="auto" w:fill="auto"/>
            <w:vAlign w:val="center"/>
          </w:tcPr>
          <w:p w:rsidR="007451A7" w:rsidRPr="00FC41A5" w:rsidRDefault="007451A7" w:rsidP="00E97C3B">
            <w:pPr>
              <w:widowControl w:val="0"/>
              <w:autoSpaceDE w:val="0"/>
              <w:autoSpaceDN w:val="0"/>
              <w:adjustRightInd w:val="0"/>
              <w:rPr>
                <w:rFonts w:ascii="Arial" w:hAnsi="Arial" w:cs="Arial"/>
                <w:sz w:val="20"/>
                <w:szCs w:val="20"/>
              </w:rPr>
            </w:pPr>
            <w:r w:rsidRPr="00E97C3B">
              <w:rPr>
                <w:rFonts w:ascii="Arial" w:hAnsi="Arial" w:cs="Arial"/>
                <w:sz w:val="20"/>
                <w:szCs w:val="20"/>
              </w:rPr>
              <w:t xml:space="preserve">Proposed Email Survey Invitation for PHA and Lender Web Survey </w:t>
            </w: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RAD</w:t>
            </w:r>
            <w:r w:rsidRPr="00FC0C27">
              <w:rPr>
                <w:rFonts w:ascii="Arial" w:hAnsi="Arial" w:cs="Arial"/>
                <w:sz w:val="20"/>
                <w:szCs w:val="20"/>
              </w:rPr>
              <w:t xml:space="preserve"> </w:t>
            </w:r>
            <w:r>
              <w:rPr>
                <w:rFonts w:ascii="Arial" w:hAnsi="Arial" w:cs="Arial"/>
                <w:sz w:val="20"/>
                <w:szCs w:val="20"/>
              </w:rPr>
              <w:t>P</w:t>
            </w:r>
            <w:r w:rsidRPr="00FC0C27">
              <w:rPr>
                <w:rFonts w:ascii="Arial" w:hAnsi="Arial" w:cs="Arial"/>
                <w:sz w:val="20"/>
                <w:szCs w:val="20"/>
              </w:rPr>
              <w:t>rojects</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24</w:t>
            </w:r>
          </w:p>
        </w:tc>
        <w:tc>
          <w:tcPr>
            <w:tcW w:w="910" w:type="pct"/>
            <w:shd w:val="clear" w:color="auto" w:fill="auto"/>
            <w:vAlign w:val="center"/>
          </w:tcPr>
          <w:p w:rsidR="007451A7" w:rsidRPr="007451A7" w:rsidRDefault="007451A7" w:rsidP="007451A7">
            <w:pPr>
              <w:jc w:val="center"/>
              <w:rPr>
                <w:rFonts w:ascii="Arial" w:hAnsi="Arial" w:cs="Arial"/>
                <w:sz w:val="20"/>
              </w:rPr>
            </w:pPr>
            <w:r w:rsidRPr="007451A7">
              <w:rPr>
                <w:rFonts w:ascii="Arial" w:hAnsi="Arial" w:cs="Arial"/>
                <w:sz w:val="20"/>
              </w:rPr>
              <w:t>1 minute</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0.4</w:t>
            </w:r>
          </w:p>
        </w:tc>
      </w:tr>
      <w:tr w:rsidR="007451A7" w:rsidRPr="00FC0C27" w:rsidTr="007451A7">
        <w:trPr>
          <w:cantSplit/>
          <w:jc w:val="center"/>
        </w:trPr>
        <w:tc>
          <w:tcPr>
            <w:tcW w:w="999" w:type="pct"/>
            <w:vMerge/>
            <w:shd w:val="clear" w:color="auto" w:fill="auto"/>
            <w:vAlign w:val="center"/>
          </w:tcPr>
          <w:p w:rsidR="007451A7" w:rsidRPr="00E97C3B" w:rsidRDefault="007451A7" w:rsidP="00E97C3B">
            <w:pPr>
              <w:widowControl w:val="0"/>
              <w:autoSpaceDE w:val="0"/>
              <w:autoSpaceDN w:val="0"/>
              <w:adjustRightInd w:val="0"/>
              <w:rPr>
                <w:rFonts w:ascii="Arial" w:hAnsi="Arial" w:cs="Arial"/>
                <w:sz w:val="20"/>
                <w:szCs w:val="20"/>
              </w:rPr>
            </w:pP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Non-RAD</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48</w:t>
            </w:r>
          </w:p>
        </w:tc>
        <w:tc>
          <w:tcPr>
            <w:tcW w:w="910" w:type="pct"/>
            <w:shd w:val="clear" w:color="auto" w:fill="auto"/>
            <w:vAlign w:val="center"/>
          </w:tcPr>
          <w:p w:rsidR="007451A7" w:rsidRPr="007451A7" w:rsidRDefault="007451A7" w:rsidP="007451A7">
            <w:pPr>
              <w:jc w:val="center"/>
              <w:rPr>
                <w:rFonts w:ascii="Arial" w:hAnsi="Arial" w:cs="Arial"/>
                <w:sz w:val="20"/>
              </w:rPr>
            </w:pPr>
            <w:r w:rsidRPr="007451A7">
              <w:rPr>
                <w:rFonts w:ascii="Arial" w:hAnsi="Arial" w:cs="Arial"/>
                <w:sz w:val="20"/>
              </w:rPr>
              <w:t>1 minute</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0.8</w:t>
            </w:r>
          </w:p>
        </w:tc>
      </w:tr>
      <w:tr w:rsidR="007451A7" w:rsidRPr="00FC0C27" w:rsidTr="007451A7">
        <w:trPr>
          <w:cantSplit/>
          <w:trHeight w:val="674"/>
          <w:jc w:val="center"/>
        </w:trPr>
        <w:tc>
          <w:tcPr>
            <w:tcW w:w="999" w:type="pct"/>
            <w:vMerge w:val="restart"/>
            <w:shd w:val="clear" w:color="auto" w:fill="auto"/>
            <w:vAlign w:val="center"/>
          </w:tcPr>
          <w:p w:rsidR="007451A7" w:rsidRPr="00E97C3B" w:rsidRDefault="007451A7" w:rsidP="00E97C3B">
            <w:pPr>
              <w:widowControl w:val="0"/>
              <w:autoSpaceDE w:val="0"/>
              <w:autoSpaceDN w:val="0"/>
              <w:adjustRightInd w:val="0"/>
              <w:rPr>
                <w:rFonts w:ascii="Arial" w:hAnsi="Arial" w:cs="Arial"/>
                <w:sz w:val="20"/>
                <w:szCs w:val="20"/>
              </w:rPr>
            </w:pPr>
            <w:r w:rsidRPr="00E97C3B">
              <w:rPr>
                <w:rFonts w:ascii="Arial" w:hAnsi="Arial" w:cs="Arial"/>
                <w:sz w:val="20"/>
                <w:szCs w:val="20"/>
              </w:rPr>
              <w:lastRenderedPageBreak/>
              <w:t>Proposed Follow-Up Message for Non-respondents for PHA and Lender Web Survey</w:t>
            </w: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RAD</w:t>
            </w:r>
            <w:r w:rsidRPr="00FC0C27">
              <w:rPr>
                <w:rFonts w:ascii="Arial" w:hAnsi="Arial" w:cs="Arial"/>
                <w:sz w:val="20"/>
                <w:szCs w:val="20"/>
              </w:rPr>
              <w:t xml:space="preserve"> </w:t>
            </w:r>
            <w:r>
              <w:rPr>
                <w:rFonts w:ascii="Arial" w:hAnsi="Arial" w:cs="Arial"/>
                <w:sz w:val="20"/>
                <w:szCs w:val="20"/>
              </w:rPr>
              <w:t>P</w:t>
            </w:r>
            <w:r w:rsidRPr="00FC0C27">
              <w:rPr>
                <w:rFonts w:ascii="Arial" w:hAnsi="Arial" w:cs="Arial"/>
                <w:sz w:val="20"/>
                <w:szCs w:val="20"/>
              </w:rPr>
              <w:t>rojects</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12</w:t>
            </w:r>
          </w:p>
        </w:tc>
        <w:tc>
          <w:tcPr>
            <w:tcW w:w="910" w:type="pct"/>
            <w:shd w:val="clear" w:color="auto" w:fill="auto"/>
            <w:vAlign w:val="center"/>
          </w:tcPr>
          <w:p w:rsidR="007451A7" w:rsidRPr="007451A7" w:rsidRDefault="007451A7" w:rsidP="007451A7">
            <w:pPr>
              <w:jc w:val="center"/>
              <w:rPr>
                <w:rFonts w:ascii="Arial" w:hAnsi="Arial" w:cs="Arial"/>
                <w:sz w:val="20"/>
              </w:rPr>
            </w:pPr>
            <w:r w:rsidRPr="007451A7">
              <w:rPr>
                <w:rFonts w:ascii="Arial" w:hAnsi="Arial" w:cs="Arial"/>
                <w:sz w:val="20"/>
              </w:rPr>
              <w:t>1 minute</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0.2</w:t>
            </w:r>
          </w:p>
        </w:tc>
      </w:tr>
      <w:tr w:rsidR="007451A7" w:rsidRPr="00FC0C27" w:rsidTr="007451A7">
        <w:trPr>
          <w:cantSplit/>
          <w:jc w:val="center"/>
        </w:trPr>
        <w:tc>
          <w:tcPr>
            <w:tcW w:w="999" w:type="pct"/>
            <w:vMerge/>
            <w:shd w:val="clear" w:color="auto" w:fill="auto"/>
            <w:vAlign w:val="center"/>
          </w:tcPr>
          <w:p w:rsidR="007451A7" w:rsidRPr="00E97C3B" w:rsidRDefault="007451A7" w:rsidP="00E97C3B">
            <w:pPr>
              <w:widowControl w:val="0"/>
              <w:autoSpaceDE w:val="0"/>
              <w:autoSpaceDN w:val="0"/>
              <w:adjustRightInd w:val="0"/>
              <w:rPr>
                <w:rFonts w:ascii="Arial" w:hAnsi="Arial" w:cs="Arial"/>
                <w:sz w:val="20"/>
                <w:szCs w:val="20"/>
              </w:rPr>
            </w:pP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Non-RAD</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24</w:t>
            </w:r>
          </w:p>
        </w:tc>
        <w:tc>
          <w:tcPr>
            <w:tcW w:w="910" w:type="pct"/>
            <w:shd w:val="clear" w:color="auto" w:fill="auto"/>
            <w:vAlign w:val="center"/>
          </w:tcPr>
          <w:p w:rsidR="007451A7" w:rsidRPr="007451A7" w:rsidRDefault="007451A7" w:rsidP="007451A7">
            <w:pPr>
              <w:jc w:val="center"/>
              <w:rPr>
                <w:rFonts w:ascii="Arial" w:hAnsi="Arial" w:cs="Arial"/>
                <w:sz w:val="20"/>
              </w:rPr>
            </w:pPr>
            <w:r w:rsidRPr="007451A7">
              <w:rPr>
                <w:rFonts w:ascii="Arial" w:hAnsi="Arial" w:cs="Arial"/>
                <w:sz w:val="20"/>
              </w:rPr>
              <w:t>1 minute</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0.4</w:t>
            </w:r>
          </w:p>
        </w:tc>
      </w:tr>
      <w:tr w:rsidR="007451A7" w:rsidRPr="00FC0C27" w:rsidTr="007451A7">
        <w:trPr>
          <w:cantSplit/>
          <w:trHeight w:val="350"/>
          <w:jc w:val="center"/>
        </w:trPr>
        <w:tc>
          <w:tcPr>
            <w:tcW w:w="999" w:type="pct"/>
            <w:vMerge w:val="restart"/>
            <w:shd w:val="clear" w:color="auto" w:fill="auto"/>
            <w:vAlign w:val="center"/>
          </w:tcPr>
          <w:p w:rsidR="007451A7" w:rsidRPr="00FC41A5" w:rsidRDefault="007451A7" w:rsidP="00E97C3B">
            <w:pPr>
              <w:widowControl w:val="0"/>
              <w:autoSpaceDE w:val="0"/>
              <w:autoSpaceDN w:val="0"/>
              <w:adjustRightInd w:val="0"/>
              <w:rPr>
                <w:rFonts w:ascii="Arial" w:hAnsi="Arial" w:cs="Arial"/>
                <w:sz w:val="20"/>
                <w:szCs w:val="20"/>
              </w:rPr>
            </w:pPr>
            <w:r w:rsidRPr="00E97C3B">
              <w:rPr>
                <w:rFonts w:ascii="Arial" w:hAnsi="Arial" w:cs="Arial"/>
                <w:sz w:val="20"/>
                <w:szCs w:val="20"/>
              </w:rPr>
              <w:t>Proposed Web Survey Instructions</w:t>
            </w: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RAD</w:t>
            </w:r>
            <w:r w:rsidRPr="00FC0C27">
              <w:rPr>
                <w:rFonts w:ascii="Arial" w:hAnsi="Arial" w:cs="Arial"/>
                <w:sz w:val="20"/>
                <w:szCs w:val="20"/>
              </w:rPr>
              <w:t xml:space="preserve"> </w:t>
            </w:r>
            <w:r>
              <w:rPr>
                <w:rFonts w:ascii="Arial" w:hAnsi="Arial" w:cs="Arial"/>
                <w:sz w:val="20"/>
                <w:szCs w:val="20"/>
              </w:rPr>
              <w:t>P</w:t>
            </w:r>
            <w:r w:rsidRPr="00FC0C27">
              <w:rPr>
                <w:rFonts w:ascii="Arial" w:hAnsi="Arial" w:cs="Arial"/>
                <w:sz w:val="20"/>
                <w:szCs w:val="20"/>
              </w:rPr>
              <w:t>rojects</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24</w:t>
            </w:r>
          </w:p>
        </w:tc>
        <w:tc>
          <w:tcPr>
            <w:tcW w:w="910" w:type="pct"/>
            <w:shd w:val="clear" w:color="auto" w:fill="auto"/>
            <w:vAlign w:val="center"/>
          </w:tcPr>
          <w:p w:rsidR="007451A7" w:rsidRPr="007451A7" w:rsidRDefault="007451A7" w:rsidP="007451A7">
            <w:pPr>
              <w:jc w:val="center"/>
              <w:rPr>
                <w:rFonts w:ascii="Arial" w:hAnsi="Arial" w:cs="Arial"/>
                <w:sz w:val="20"/>
              </w:rPr>
            </w:pPr>
            <w:r>
              <w:rPr>
                <w:rFonts w:ascii="Arial" w:hAnsi="Arial" w:cs="Arial"/>
                <w:sz w:val="20"/>
              </w:rPr>
              <w:t>2</w:t>
            </w:r>
            <w:r w:rsidRPr="007451A7">
              <w:rPr>
                <w:rFonts w:ascii="Arial" w:hAnsi="Arial" w:cs="Arial"/>
                <w:sz w:val="20"/>
              </w:rPr>
              <w:t xml:space="preserve"> minute</w:t>
            </w:r>
            <w:r>
              <w:rPr>
                <w:rFonts w:ascii="Arial" w:hAnsi="Arial" w:cs="Arial"/>
                <w:sz w:val="20"/>
              </w:rPr>
              <w:t>s</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0.8</w:t>
            </w:r>
          </w:p>
        </w:tc>
      </w:tr>
      <w:tr w:rsidR="007451A7" w:rsidRPr="00FC0C27" w:rsidTr="007451A7">
        <w:trPr>
          <w:cantSplit/>
          <w:jc w:val="center"/>
        </w:trPr>
        <w:tc>
          <w:tcPr>
            <w:tcW w:w="999" w:type="pct"/>
            <w:vMerge/>
            <w:shd w:val="clear" w:color="auto" w:fill="auto"/>
            <w:vAlign w:val="center"/>
          </w:tcPr>
          <w:p w:rsidR="007451A7" w:rsidRPr="00E97C3B" w:rsidRDefault="007451A7" w:rsidP="00E97C3B">
            <w:pPr>
              <w:widowControl w:val="0"/>
              <w:autoSpaceDE w:val="0"/>
              <w:autoSpaceDN w:val="0"/>
              <w:adjustRightInd w:val="0"/>
              <w:rPr>
                <w:rFonts w:ascii="Arial" w:hAnsi="Arial" w:cs="Arial"/>
                <w:sz w:val="20"/>
                <w:szCs w:val="20"/>
              </w:rPr>
            </w:pPr>
          </w:p>
        </w:tc>
        <w:tc>
          <w:tcPr>
            <w:tcW w:w="842" w:type="pct"/>
            <w:shd w:val="clear" w:color="auto" w:fill="auto"/>
            <w:vAlign w:val="center"/>
          </w:tcPr>
          <w:p w:rsidR="007451A7" w:rsidRPr="00FC0C27" w:rsidRDefault="007451A7" w:rsidP="00273F5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rPr>
              <w:t>Non-RAD</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48</w:t>
            </w:r>
          </w:p>
        </w:tc>
        <w:tc>
          <w:tcPr>
            <w:tcW w:w="910" w:type="pct"/>
            <w:shd w:val="clear" w:color="auto" w:fill="auto"/>
            <w:vAlign w:val="center"/>
          </w:tcPr>
          <w:p w:rsidR="007451A7" w:rsidRPr="007451A7" w:rsidRDefault="007451A7" w:rsidP="007451A7">
            <w:pPr>
              <w:jc w:val="center"/>
              <w:rPr>
                <w:rFonts w:ascii="Arial" w:hAnsi="Arial" w:cs="Arial"/>
                <w:sz w:val="20"/>
              </w:rPr>
            </w:pPr>
            <w:r>
              <w:rPr>
                <w:rFonts w:ascii="Arial" w:hAnsi="Arial" w:cs="Arial"/>
                <w:sz w:val="20"/>
              </w:rPr>
              <w:t>2</w:t>
            </w:r>
            <w:r w:rsidRPr="007451A7">
              <w:rPr>
                <w:rFonts w:ascii="Arial" w:hAnsi="Arial" w:cs="Arial"/>
                <w:sz w:val="20"/>
              </w:rPr>
              <w:t xml:space="preserve"> minute</w:t>
            </w:r>
            <w:r>
              <w:rPr>
                <w:rFonts w:ascii="Arial" w:hAnsi="Arial" w:cs="Arial"/>
                <w:sz w:val="20"/>
              </w:rPr>
              <w:t>s</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1.6</w:t>
            </w:r>
          </w:p>
        </w:tc>
      </w:tr>
      <w:tr w:rsidR="007451A7" w:rsidRPr="00FC0C27" w:rsidTr="00A47738">
        <w:trPr>
          <w:cantSplit/>
          <w:jc w:val="center"/>
        </w:trPr>
        <w:tc>
          <w:tcPr>
            <w:tcW w:w="999" w:type="pct"/>
            <w:shd w:val="clear" w:color="auto" w:fill="auto"/>
            <w:vAlign w:val="center"/>
          </w:tcPr>
          <w:p w:rsidR="007451A7" w:rsidRPr="00FC41A5" w:rsidRDefault="007451A7" w:rsidP="00E97C3B">
            <w:pPr>
              <w:widowControl w:val="0"/>
              <w:autoSpaceDE w:val="0"/>
              <w:autoSpaceDN w:val="0"/>
              <w:adjustRightInd w:val="0"/>
              <w:rPr>
                <w:rFonts w:ascii="Arial" w:hAnsi="Arial" w:cs="Arial"/>
                <w:sz w:val="20"/>
                <w:szCs w:val="20"/>
              </w:rPr>
            </w:pPr>
            <w:r w:rsidRPr="00E97C3B">
              <w:rPr>
                <w:rFonts w:ascii="Arial" w:hAnsi="Arial" w:cs="Arial"/>
                <w:sz w:val="20"/>
                <w:szCs w:val="20"/>
              </w:rPr>
              <w:t>Proposed Resident Enrollment Cover Letter</w:t>
            </w:r>
          </w:p>
        </w:tc>
        <w:tc>
          <w:tcPr>
            <w:tcW w:w="842" w:type="pct"/>
            <w:shd w:val="clear" w:color="auto" w:fill="auto"/>
            <w:vAlign w:val="center"/>
          </w:tcPr>
          <w:p w:rsidR="007451A7" w:rsidRPr="00B76AFC" w:rsidRDefault="007451A7" w:rsidP="00273F54">
            <w:pPr>
              <w:widowControl w:val="0"/>
              <w:autoSpaceDE w:val="0"/>
              <w:autoSpaceDN w:val="0"/>
              <w:adjustRightInd w:val="0"/>
              <w:rPr>
                <w:rFonts w:ascii="Arial" w:hAnsi="Arial" w:cs="Arial"/>
                <w:sz w:val="20"/>
                <w:szCs w:val="20"/>
              </w:rPr>
            </w:pPr>
            <w:r>
              <w:rPr>
                <w:rFonts w:ascii="Arial" w:hAnsi="Arial" w:cs="Arial"/>
                <w:sz w:val="20"/>
                <w:szCs w:val="20"/>
              </w:rPr>
              <w:t>Tenants Willing to Participate in the Study</w:t>
            </w:r>
          </w:p>
        </w:tc>
        <w:tc>
          <w:tcPr>
            <w:tcW w:w="1158" w:type="pct"/>
            <w:shd w:val="clear" w:color="auto" w:fill="auto"/>
            <w:vAlign w:val="center"/>
          </w:tcPr>
          <w:p w:rsidR="007451A7" w:rsidRPr="00B76AFC" w:rsidRDefault="007451A7" w:rsidP="00273F54">
            <w:pPr>
              <w:widowControl w:val="0"/>
              <w:autoSpaceDE w:val="0"/>
              <w:autoSpaceDN w:val="0"/>
              <w:adjustRightInd w:val="0"/>
              <w:jc w:val="center"/>
              <w:rPr>
                <w:rFonts w:ascii="Arial" w:hAnsi="Arial" w:cs="Arial"/>
                <w:sz w:val="20"/>
                <w:szCs w:val="20"/>
              </w:rPr>
            </w:pPr>
            <w:r>
              <w:rPr>
                <w:rFonts w:ascii="Arial" w:hAnsi="Arial" w:cs="Arial"/>
                <w:sz w:val="20"/>
                <w:szCs w:val="20"/>
              </w:rPr>
              <w:t>400</w:t>
            </w:r>
          </w:p>
        </w:tc>
        <w:tc>
          <w:tcPr>
            <w:tcW w:w="910" w:type="pct"/>
            <w:shd w:val="clear" w:color="auto" w:fill="auto"/>
            <w:vAlign w:val="center"/>
          </w:tcPr>
          <w:p w:rsidR="007451A7" w:rsidRDefault="007451A7" w:rsidP="00A47738">
            <w:pPr>
              <w:widowControl w:val="0"/>
              <w:autoSpaceDE w:val="0"/>
              <w:autoSpaceDN w:val="0"/>
              <w:adjustRightInd w:val="0"/>
              <w:ind w:left="1"/>
              <w:jc w:val="center"/>
              <w:rPr>
                <w:rFonts w:ascii="Arial" w:hAnsi="Arial" w:cs="Arial"/>
                <w:sz w:val="20"/>
                <w:szCs w:val="20"/>
              </w:rPr>
            </w:pPr>
            <w:r>
              <w:rPr>
                <w:rFonts w:ascii="Arial" w:hAnsi="Arial" w:cs="Arial"/>
                <w:sz w:val="20"/>
                <w:szCs w:val="20"/>
              </w:rPr>
              <w:t>1 minute</w:t>
            </w:r>
          </w:p>
        </w:tc>
        <w:tc>
          <w:tcPr>
            <w:tcW w:w="1090" w:type="pct"/>
            <w:shd w:val="clear" w:color="auto" w:fill="auto"/>
            <w:vAlign w:val="center"/>
          </w:tcPr>
          <w:p w:rsidR="007451A7"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6.7</w:t>
            </w:r>
          </w:p>
        </w:tc>
      </w:tr>
      <w:tr w:rsidR="007451A7" w:rsidRPr="00FC0C27" w:rsidTr="00A47738">
        <w:trPr>
          <w:cantSplit/>
          <w:jc w:val="center"/>
        </w:trPr>
        <w:tc>
          <w:tcPr>
            <w:tcW w:w="999" w:type="pct"/>
            <w:shd w:val="clear" w:color="auto" w:fill="auto"/>
            <w:vAlign w:val="center"/>
          </w:tcPr>
          <w:p w:rsidR="007451A7" w:rsidRPr="00FC41A5" w:rsidRDefault="007451A7" w:rsidP="00A47738">
            <w:pPr>
              <w:widowControl w:val="0"/>
              <w:autoSpaceDE w:val="0"/>
              <w:autoSpaceDN w:val="0"/>
              <w:adjustRightInd w:val="0"/>
              <w:rPr>
                <w:rFonts w:ascii="Arial" w:hAnsi="Arial" w:cs="Arial"/>
                <w:sz w:val="20"/>
                <w:szCs w:val="20"/>
              </w:rPr>
            </w:pPr>
            <w:r w:rsidRPr="00FC41A5">
              <w:rPr>
                <w:rFonts w:ascii="Arial" w:hAnsi="Arial" w:cs="Arial"/>
                <w:sz w:val="20"/>
                <w:szCs w:val="20"/>
              </w:rPr>
              <w:t>Total</w:t>
            </w:r>
          </w:p>
        </w:tc>
        <w:tc>
          <w:tcPr>
            <w:tcW w:w="842" w:type="pct"/>
            <w:shd w:val="clear" w:color="auto" w:fill="auto"/>
            <w:vAlign w:val="center"/>
          </w:tcPr>
          <w:p w:rsidR="007451A7" w:rsidRPr="00B76AFC" w:rsidRDefault="007451A7" w:rsidP="00FC41A5">
            <w:pPr>
              <w:widowControl w:val="0"/>
              <w:autoSpaceDE w:val="0"/>
              <w:autoSpaceDN w:val="0"/>
              <w:adjustRightInd w:val="0"/>
              <w:rPr>
                <w:rFonts w:ascii="Arial" w:hAnsi="Arial" w:cs="Arial"/>
                <w:sz w:val="20"/>
                <w:szCs w:val="20"/>
              </w:rPr>
            </w:pPr>
            <w:r>
              <w:rPr>
                <w:rFonts w:ascii="Arial" w:hAnsi="Arial" w:cs="Arial"/>
                <w:sz w:val="20"/>
                <w:szCs w:val="20"/>
              </w:rPr>
              <w:t>Total</w:t>
            </w:r>
          </w:p>
        </w:tc>
        <w:tc>
          <w:tcPr>
            <w:tcW w:w="1158" w:type="pct"/>
            <w:shd w:val="clear" w:color="auto" w:fill="auto"/>
            <w:vAlign w:val="center"/>
          </w:tcPr>
          <w:p w:rsidR="007451A7" w:rsidRPr="00B76AFC"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652</w:t>
            </w:r>
          </w:p>
        </w:tc>
        <w:tc>
          <w:tcPr>
            <w:tcW w:w="910" w:type="pct"/>
            <w:shd w:val="clear" w:color="auto" w:fill="auto"/>
            <w:vAlign w:val="center"/>
          </w:tcPr>
          <w:p w:rsidR="007451A7" w:rsidRPr="00B76AFC" w:rsidRDefault="007451A7" w:rsidP="00A47738">
            <w:pPr>
              <w:widowControl w:val="0"/>
              <w:autoSpaceDE w:val="0"/>
              <w:autoSpaceDN w:val="0"/>
              <w:adjustRightInd w:val="0"/>
              <w:ind w:left="1"/>
              <w:jc w:val="center"/>
              <w:rPr>
                <w:rFonts w:ascii="Arial" w:hAnsi="Arial" w:cs="Arial"/>
                <w:sz w:val="20"/>
                <w:szCs w:val="20"/>
              </w:rPr>
            </w:pPr>
          </w:p>
        </w:tc>
        <w:tc>
          <w:tcPr>
            <w:tcW w:w="1090" w:type="pct"/>
            <w:shd w:val="clear" w:color="auto" w:fill="auto"/>
            <w:vAlign w:val="center"/>
          </w:tcPr>
          <w:p w:rsidR="007451A7" w:rsidRPr="00B76AFC" w:rsidRDefault="007451A7" w:rsidP="00A47738">
            <w:pPr>
              <w:widowControl w:val="0"/>
              <w:autoSpaceDE w:val="0"/>
              <w:autoSpaceDN w:val="0"/>
              <w:adjustRightInd w:val="0"/>
              <w:jc w:val="center"/>
              <w:rPr>
                <w:rFonts w:ascii="Arial" w:hAnsi="Arial" w:cs="Arial"/>
                <w:sz w:val="20"/>
                <w:szCs w:val="20"/>
              </w:rPr>
            </w:pPr>
            <w:r>
              <w:rPr>
                <w:rFonts w:ascii="Arial" w:hAnsi="Arial" w:cs="Arial"/>
                <w:sz w:val="20"/>
                <w:szCs w:val="20"/>
              </w:rPr>
              <w:t>12.1</w:t>
            </w:r>
          </w:p>
        </w:tc>
      </w:tr>
    </w:tbl>
    <w:p w:rsidR="00FC41A5" w:rsidRPr="00FC41A5" w:rsidRDefault="00FC41A5" w:rsidP="001978C5">
      <w:pPr>
        <w:rPr>
          <w:szCs w:val="20"/>
        </w:rPr>
      </w:pPr>
    </w:p>
    <w:p w:rsidR="001978C5" w:rsidRPr="004C0479" w:rsidRDefault="001978C5" w:rsidP="001978C5">
      <w:pPr>
        <w:rPr>
          <w:i/>
          <w:szCs w:val="20"/>
        </w:rPr>
      </w:pPr>
      <w:r>
        <w:rPr>
          <w:i/>
          <w:szCs w:val="20"/>
        </w:rPr>
        <w:t>Annualized Cost of Burden Hours:</w:t>
      </w:r>
    </w:p>
    <w:p w:rsidR="001978C5" w:rsidRDefault="001978C5" w:rsidP="001978C5">
      <w:pPr>
        <w:rPr>
          <w:szCs w:val="20"/>
        </w:rPr>
      </w:pPr>
    </w:p>
    <w:p w:rsidR="001978C5" w:rsidRDefault="001978C5" w:rsidP="001978C5">
      <w:pPr>
        <w:jc w:val="both"/>
      </w:pPr>
      <w:r>
        <w:t>Tables 5, 6</w:t>
      </w:r>
      <w:r w:rsidR="00512443">
        <w:t>, and 7</w:t>
      </w:r>
      <w:r>
        <w:t xml:space="preserve"> demonstrate the annualized cost of the projected burden hours</w:t>
      </w:r>
      <w:r w:rsidR="004643CC">
        <w:t xml:space="preserve"> for each of the three instruments</w:t>
      </w:r>
      <w:r>
        <w:t>.</w:t>
      </w:r>
    </w:p>
    <w:p w:rsidR="001978C5" w:rsidRDefault="001978C5" w:rsidP="001978C5">
      <w:pPr>
        <w:jc w:val="both"/>
      </w:pPr>
    </w:p>
    <w:p w:rsidR="001978C5" w:rsidRDefault="004643CC" w:rsidP="001978C5">
      <w:pPr>
        <w:jc w:val="both"/>
      </w:pPr>
      <w:r>
        <w:t xml:space="preserve">Table </w:t>
      </w:r>
      <w:r w:rsidR="00512443">
        <w:t>5</w:t>
      </w:r>
      <w:r>
        <w:t xml:space="preserve"> illustrates </w:t>
      </w:r>
      <w:r w:rsidRPr="004643CC">
        <w:t xml:space="preserve">the annualized cost of the projected burden hours </w:t>
      </w:r>
      <w:r>
        <w:t>for the Physical and Financial Conditions Survey</w:t>
      </w:r>
      <w:r w:rsidR="00D5187D">
        <w:t xml:space="preserve">. </w:t>
      </w:r>
      <w:r w:rsidR="009F7E9B">
        <w:t xml:space="preserve">Table </w:t>
      </w:r>
      <w:r w:rsidR="00512443">
        <w:t>6</w:t>
      </w:r>
      <w:r w:rsidR="009F7E9B">
        <w:t xml:space="preserve"> illustrates </w:t>
      </w:r>
      <w:r w:rsidR="009F7E9B" w:rsidRPr="004643CC">
        <w:t xml:space="preserve">the annualized cost of the projected burden hours </w:t>
      </w:r>
      <w:r w:rsidR="009F7E9B">
        <w:t xml:space="preserve">for the Implementation surveys. </w:t>
      </w:r>
      <w:r>
        <w:t>B</w:t>
      </w:r>
      <w:r w:rsidR="001978C5" w:rsidRPr="00E107CA">
        <w:t xml:space="preserve">ased on information </w:t>
      </w:r>
      <w:r w:rsidR="001978C5">
        <w:t>from several sources, including HUD RAD program staff members</w:t>
      </w:r>
      <w:r w:rsidR="001978C5" w:rsidRPr="00E107CA">
        <w:t>, we estimate that the contact person</w:t>
      </w:r>
      <w:r w:rsidR="001978C5">
        <w:t>(s)—typically a project manager—</w:t>
      </w:r>
      <w:r w:rsidR="001978C5" w:rsidRPr="00E107CA">
        <w:t xml:space="preserve">in charge of answering the </w:t>
      </w:r>
      <w:r w:rsidR="001978C5">
        <w:t>questions about the project</w:t>
      </w:r>
      <w:r w:rsidR="001978C5" w:rsidRPr="00E107CA">
        <w:t xml:space="preserve">, on average, </w:t>
      </w:r>
      <w:r w:rsidR="001978C5">
        <w:t>makes approximately $63</w:t>
      </w:r>
      <w:r w:rsidR="001978C5" w:rsidRPr="00E107CA">
        <w:t xml:space="preserve"> per hour</w:t>
      </w:r>
      <w:r w:rsidR="001978C5">
        <w:t>,</w:t>
      </w:r>
      <w:r w:rsidR="001978C5" w:rsidRPr="00E107CA">
        <w:t xml:space="preserve"> including overhead.</w:t>
      </w:r>
      <w:r w:rsidR="001978C5">
        <w:rPr>
          <w:rStyle w:val="FootnoteReference"/>
        </w:rPr>
        <w:footnoteReference w:id="4"/>
      </w:r>
      <w:r w:rsidR="001978C5" w:rsidRPr="00E107CA">
        <w:t xml:space="preserve"> </w:t>
      </w:r>
    </w:p>
    <w:p w:rsidR="00A0014E" w:rsidRDefault="00A0014E" w:rsidP="00C71131">
      <w:pPr>
        <w:jc w:val="center"/>
        <w:rPr>
          <w:rFonts w:ascii="Arial" w:hAnsi="Arial" w:cs="Arial"/>
          <w:b/>
        </w:rPr>
      </w:pPr>
    </w:p>
    <w:p w:rsidR="00C71131" w:rsidRDefault="00C71131" w:rsidP="003257AB">
      <w:pPr>
        <w:ind w:left="990" w:hanging="990"/>
        <w:rPr>
          <w:rFonts w:ascii="Arial" w:hAnsi="Arial" w:cs="Arial"/>
          <w:b/>
        </w:rPr>
      </w:pPr>
      <w:r>
        <w:rPr>
          <w:rFonts w:ascii="Arial" w:hAnsi="Arial" w:cs="Arial"/>
          <w:b/>
        </w:rPr>
        <w:t xml:space="preserve">Table </w:t>
      </w:r>
      <w:r w:rsidR="00512443">
        <w:rPr>
          <w:rFonts w:ascii="Arial" w:hAnsi="Arial" w:cs="Arial"/>
          <w:b/>
        </w:rPr>
        <w:t>5</w:t>
      </w:r>
      <w:r>
        <w:rPr>
          <w:rFonts w:ascii="Arial" w:hAnsi="Arial" w:cs="Arial"/>
          <w:b/>
        </w:rPr>
        <w:t>.</w:t>
      </w:r>
      <w:r w:rsidR="00A0014E">
        <w:rPr>
          <w:rFonts w:ascii="Arial" w:hAnsi="Arial" w:cs="Arial"/>
          <w:b/>
        </w:rPr>
        <w:tab/>
      </w:r>
      <w:r w:rsidRPr="00430C7B">
        <w:rPr>
          <w:rFonts w:ascii="Arial" w:hAnsi="Arial" w:cs="Arial"/>
          <w:b/>
        </w:rPr>
        <w:t xml:space="preserve">Estimated Total </w:t>
      </w:r>
      <w:r>
        <w:rPr>
          <w:rFonts w:ascii="Arial" w:hAnsi="Arial" w:cs="Arial"/>
          <w:b/>
        </w:rPr>
        <w:t>Cost of Completing the Survey</w:t>
      </w:r>
      <w:r w:rsidRPr="00430C7B">
        <w:rPr>
          <w:rFonts w:ascii="Arial" w:hAnsi="Arial" w:cs="Arial"/>
          <w:b/>
        </w:rPr>
        <w:t xml:space="preserve"> for the </w:t>
      </w:r>
      <w:r>
        <w:rPr>
          <w:rFonts w:ascii="Arial" w:hAnsi="Arial" w:cs="Arial"/>
          <w:b/>
        </w:rPr>
        <w:t>Physical and Financial Condition S</w:t>
      </w:r>
      <w:r w:rsidR="005753B1">
        <w:rPr>
          <w:rFonts w:ascii="Arial" w:hAnsi="Arial" w:cs="Arial"/>
          <w:b/>
        </w:rPr>
        <w:t>urvey</w:t>
      </w:r>
    </w:p>
    <w:p w:rsidR="001C697F" w:rsidRDefault="001C697F" w:rsidP="003257AB">
      <w:pPr>
        <w:ind w:left="990" w:hanging="990"/>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10"/>
        <w:gridCol w:w="1621"/>
        <w:gridCol w:w="2226"/>
        <w:gridCol w:w="1734"/>
        <w:gridCol w:w="2081"/>
      </w:tblGrid>
      <w:tr w:rsidR="00C71131" w:rsidRPr="00FC0C27" w:rsidTr="00556CD1">
        <w:tc>
          <w:tcPr>
            <w:tcW w:w="997"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A.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Respondent Category</w:t>
            </w:r>
          </w:p>
        </w:tc>
        <w:tc>
          <w:tcPr>
            <w:tcW w:w="847"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B.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Number of Respondents</w:t>
            </w:r>
          </w:p>
        </w:tc>
        <w:tc>
          <w:tcPr>
            <w:tcW w:w="1163"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C.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Hourly Wage, Including Benefits</w:t>
            </w:r>
          </w:p>
        </w:tc>
        <w:tc>
          <w:tcPr>
            <w:tcW w:w="906"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D.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 Burden Hours</w:t>
            </w:r>
            <w:r>
              <w:rPr>
                <w:rFonts w:ascii="Arial" w:hAnsi="Arial" w:cs="Arial"/>
                <w:b/>
                <w:sz w:val="20"/>
                <w:szCs w:val="20"/>
              </w:rPr>
              <w:t xml:space="preserve"> </w:t>
            </w:r>
          </w:p>
        </w:tc>
        <w:tc>
          <w:tcPr>
            <w:tcW w:w="1088"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Pr>
                <w:rFonts w:ascii="Arial" w:hAnsi="Arial" w:cs="Arial"/>
                <w:b/>
                <w:sz w:val="20"/>
                <w:szCs w:val="20"/>
              </w:rPr>
              <w:t>E.</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Grantee Cost</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C*D</w:t>
            </w:r>
          </w:p>
        </w:tc>
      </w:tr>
      <w:tr w:rsidR="00C71131" w:rsidRPr="00FC0C27" w:rsidTr="00556CD1">
        <w:tc>
          <w:tcPr>
            <w:tcW w:w="997" w:type="pct"/>
            <w:shd w:val="clear" w:color="auto" w:fill="auto"/>
            <w:vAlign w:val="center"/>
          </w:tcPr>
          <w:p w:rsidR="00C71131" w:rsidRPr="00FC0C27" w:rsidRDefault="00C71131" w:rsidP="00556CD1">
            <w:pPr>
              <w:widowControl w:val="0"/>
              <w:autoSpaceDE w:val="0"/>
              <w:autoSpaceDN w:val="0"/>
              <w:adjustRightInd w:val="0"/>
              <w:rPr>
                <w:rFonts w:ascii="Arial" w:hAnsi="Arial" w:cs="Arial"/>
                <w:sz w:val="20"/>
                <w:szCs w:val="20"/>
              </w:rPr>
            </w:pPr>
            <w:r>
              <w:rPr>
                <w:rFonts w:ascii="Arial" w:hAnsi="Arial" w:cs="Arial"/>
                <w:sz w:val="20"/>
                <w:szCs w:val="20"/>
              </w:rPr>
              <w:t xml:space="preserve">RAD Project Manager or PHA </w:t>
            </w:r>
            <w:r w:rsidR="009A4246">
              <w:rPr>
                <w:rFonts w:ascii="Arial" w:hAnsi="Arial" w:cs="Arial"/>
                <w:sz w:val="20"/>
                <w:szCs w:val="20"/>
              </w:rPr>
              <w:t>R</w:t>
            </w:r>
            <w:r>
              <w:rPr>
                <w:rFonts w:ascii="Arial" w:hAnsi="Arial" w:cs="Arial"/>
                <w:sz w:val="20"/>
                <w:szCs w:val="20"/>
              </w:rPr>
              <w:t>epresentative</w:t>
            </w:r>
          </w:p>
        </w:tc>
        <w:tc>
          <w:tcPr>
            <w:tcW w:w="847" w:type="pct"/>
            <w:shd w:val="clear" w:color="auto" w:fill="auto"/>
            <w:vAlign w:val="center"/>
          </w:tcPr>
          <w:p w:rsidR="00C71131" w:rsidRPr="00254B3C" w:rsidRDefault="00C71131" w:rsidP="00556CD1">
            <w:pPr>
              <w:widowControl w:val="0"/>
              <w:autoSpaceDE w:val="0"/>
              <w:autoSpaceDN w:val="0"/>
              <w:adjustRightInd w:val="0"/>
              <w:jc w:val="center"/>
              <w:rPr>
                <w:rFonts w:ascii="Arial" w:hAnsi="Arial" w:cs="Arial"/>
                <w:sz w:val="20"/>
                <w:szCs w:val="20"/>
                <w:highlight w:val="yellow"/>
              </w:rPr>
            </w:pPr>
            <w:r w:rsidRPr="00E841EC">
              <w:rPr>
                <w:rFonts w:ascii="Arial" w:hAnsi="Arial" w:cs="Arial"/>
                <w:sz w:val="20"/>
                <w:szCs w:val="20"/>
              </w:rPr>
              <w:t>72 (24 RAD properties + 48 non-RAD properties)</w:t>
            </w:r>
          </w:p>
        </w:tc>
        <w:tc>
          <w:tcPr>
            <w:tcW w:w="1163" w:type="pct"/>
            <w:shd w:val="clear" w:color="auto" w:fill="auto"/>
            <w:vAlign w:val="center"/>
          </w:tcPr>
          <w:p w:rsidR="00C71131" w:rsidRPr="00254B3C" w:rsidRDefault="00C71131" w:rsidP="00556CD1">
            <w:pPr>
              <w:widowControl w:val="0"/>
              <w:autoSpaceDE w:val="0"/>
              <w:autoSpaceDN w:val="0"/>
              <w:adjustRightInd w:val="0"/>
              <w:jc w:val="center"/>
              <w:rPr>
                <w:rFonts w:ascii="Arial" w:hAnsi="Arial" w:cs="Arial"/>
                <w:sz w:val="20"/>
                <w:szCs w:val="20"/>
                <w:highlight w:val="yellow"/>
              </w:rPr>
            </w:pPr>
            <w:r w:rsidRPr="009C1476">
              <w:rPr>
                <w:rFonts w:ascii="Arial" w:hAnsi="Arial" w:cs="Arial"/>
                <w:sz w:val="20"/>
                <w:szCs w:val="20"/>
              </w:rPr>
              <w:t>$6</w:t>
            </w:r>
            <w:r>
              <w:rPr>
                <w:rFonts w:ascii="Arial" w:hAnsi="Arial" w:cs="Arial"/>
                <w:sz w:val="20"/>
                <w:szCs w:val="20"/>
              </w:rPr>
              <w:t>3</w:t>
            </w:r>
          </w:p>
        </w:tc>
        <w:tc>
          <w:tcPr>
            <w:tcW w:w="906"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72</w:t>
            </w:r>
          </w:p>
        </w:tc>
        <w:tc>
          <w:tcPr>
            <w:tcW w:w="1088"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$4,536</w:t>
            </w:r>
          </w:p>
        </w:tc>
      </w:tr>
      <w:tr w:rsidR="00C71131" w:rsidRPr="00FC0C27" w:rsidTr="00556CD1">
        <w:tc>
          <w:tcPr>
            <w:tcW w:w="997" w:type="pct"/>
            <w:shd w:val="clear" w:color="auto" w:fill="auto"/>
            <w:vAlign w:val="center"/>
          </w:tcPr>
          <w:p w:rsidR="00C71131" w:rsidRPr="00FC0C27" w:rsidRDefault="00C71131" w:rsidP="00556CD1">
            <w:pPr>
              <w:widowControl w:val="0"/>
              <w:autoSpaceDE w:val="0"/>
              <w:autoSpaceDN w:val="0"/>
              <w:adjustRightInd w:val="0"/>
              <w:rPr>
                <w:rFonts w:ascii="Arial" w:hAnsi="Arial" w:cs="Arial"/>
                <w:sz w:val="20"/>
                <w:szCs w:val="20"/>
              </w:rPr>
            </w:pPr>
            <w:r w:rsidRPr="00FC0C27">
              <w:rPr>
                <w:rFonts w:ascii="Arial" w:hAnsi="Arial" w:cs="Arial"/>
                <w:sz w:val="20"/>
                <w:szCs w:val="20"/>
              </w:rPr>
              <w:t>Total</w:t>
            </w:r>
          </w:p>
        </w:tc>
        <w:tc>
          <w:tcPr>
            <w:tcW w:w="847"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72</w:t>
            </w:r>
          </w:p>
        </w:tc>
        <w:tc>
          <w:tcPr>
            <w:tcW w:w="1163"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$63</w:t>
            </w:r>
          </w:p>
        </w:tc>
        <w:tc>
          <w:tcPr>
            <w:tcW w:w="906"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72</w:t>
            </w:r>
          </w:p>
        </w:tc>
        <w:tc>
          <w:tcPr>
            <w:tcW w:w="1088"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$4,536</w:t>
            </w:r>
          </w:p>
        </w:tc>
      </w:tr>
    </w:tbl>
    <w:p w:rsidR="00A0014E" w:rsidRDefault="00A0014E" w:rsidP="00A0014E"/>
    <w:p w:rsidR="00C71131" w:rsidRDefault="00C71131" w:rsidP="009B1730">
      <w:pPr>
        <w:keepNext/>
        <w:rPr>
          <w:rFonts w:ascii="Arial" w:hAnsi="Arial" w:cs="Arial"/>
          <w:b/>
        </w:rPr>
      </w:pPr>
      <w:r>
        <w:rPr>
          <w:rFonts w:ascii="Arial" w:hAnsi="Arial" w:cs="Arial"/>
          <w:b/>
        </w:rPr>
        <w:t xml:space="preserve">Table </w:t>
      </w:r>
      <w:r w:rsidR="00512443">
        <w:rPr>
          <w:rFonts w:ascii="Arial" w:hAnsi="Arial" w:cs="Arial"/>
          <w:b/>
        </w:rPr>
        <w:t>6</w:t>
      </w:r>
      <w:r>
        <w:rPr>
          <w:rFonts w:ascii="Arial" w:hAnsi="Arial" w:cs="Arial"/>
          <w:b/>
        </w:rPr>
        <w:t xml:space="preserve">. </w:t>
      </w:r>
      <w:r w:rsidRPr="00430C7B">
        <w:rPr>
          <w:rFonts w:ascii="Arial" w:hAnsi="Arial" w:cs="Arial"/>
          <w:b/>
        </w:rPr>
        <w:t xml:space="preserve">Estimated Total </w:t>
      </w:r>
      <w:r>
        <w:rPr>
          <w:rFonts w:ascii="Arial" w:hAnsi="Arial" w:cs="Arial"/>
          <w:b/>
        </w:rPr>
        <w:t>Cost</w:t>
      </w:r>
      <w:r w:rsidRPr="00430C7B">
        <w:rPr>
          <w:rFonts w:ascii="Arial" w:hAnsi="Arial" w:cs="Arial"/>
          <w:b/>
        </w:rPr>
        <w:t xml:space="preserve"> for </w:t>
      </w:r>
      <w:r>
        <w:rPr>
          <w:rFonts w:ascii="Arial" w:hAnsi="Arial" w:cs="Arial"/>
          <w:b/>
        </w:rPr>
        <w:t xml:space="preserve">Completing </w:t>
      </w:r>
      <w:r w:rsidRPr="00430C7B">
        <w:rPr>
          <w:rFonts w:ascii="Arial" w:hAnsi="Arial" w:cs="Arial"/>
          <w:b/>
        </w:rPr>
        <w:t>the</w:t>
      </w:r>
      <w:r w:rsidR="00AC51D7">
        <w:rPr>
          <w:rFonts w:ascii="Arial" w:hAnsi="Arial" w:cs="Arial"/>
          <w:b/>
        </w:rPr>
        <w:t xml:space="preserve"> </w:t>
      </w:r>
      <w:r>
        <w:rPr>
          <w:rFonts w:ascii="Arial" w:hAnsi="Arial" w:cs="Arial"/>
          <w:b/>
        </w:rPr>
        <w:t xml:space="preserve">Implementation </w:t>
      </w:r>
      <w:r w:rsidR="005753B1">
        <w:rPr>
          <w:rFonts w:ascii="Arial" w:hAnsi="Arial" w:cs="Arial"/>
          <w:b/>
        </w:rPr>
        <w:t>Surveys</w:t>
      </w:r>
    </w:p>
    <w:p w:rsidR="001C697F" w:rsidRPr="00430C7B" w:rsidRDefault="001C697F" w:rsidP="009B1730">
      <w:pPr>
        <w:keepNext/>
        <w:rPr>
          <w:rFonts w:ascii="Arial" w:hAnsi="Arial" w:cs="Arial"/>
          <w:b/>
        </w:rPr>
      </w:pPr>
    </w:p>
    <w:tbl>
      <w:tblPr>
        <w:tblW w:w="4944"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7"/>
        <w:gridCol w:w="1585"/>
        <w:gridCol w:w="2231"/>
        <w:gridCol w:w="1729"/>
        <w:gridCol w:w="2087"/>
      </w:tblGrid>
      <w:tr w:rsidR="00C71131" w:rsidRPr="00FC0C27" w:rsidTr="003257AB">
        <w:tc>
          <w:tcPr>
            <w:tcW w:w="970"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A.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Respondent </w:t>
            </w:r>
            <w:r w:rsidRPr="00FC0C27">
              <w:rPr>
                <w:rFonts w:ascii="Arial" w:hAnsi="Arial" w:cs="Arial"/>
                <w:b/>
                <w:sz w:val="20"/>
                <w:szCs w:val="20"/>
              </w:rPr>
              <w:lastRenderedPageBreak/>
              <w:t>Category</w:t>
            </w:r>
          </w:p>
        </w:tc>
        <w:tc>
          <w:tcPr>
            <w:tcW w:w="837"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lastRenderedPageBreak/>
              <w:t xml:space="preserve">B.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Number of </w:t>
            </w:r>
            <w:r w:rsidRPr="00FC0C27">
              <w:rPr>
                <w:rFonts w:ascii="Arial" w:hAnsi="Arial" w:cs="Arial"/>
                <w:b/>
                <w:sz w:val="20"/>
                <w:szCs w:val="20"/>
              </w:rPr>
              <w:lastRenderedPageBreak/>
              <w:t>Respondents</w:t>
            </w:r>
          </w:p>
        </w:tc>
        <w:tc>
          <w:tcPr>
            <w:tcW w:w="1178"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lastRenderedPageBreak/>
              <w:t xml:space="preserve">C.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Hourly Wage, </w:t>
            </w:r>
            <w:r w:rsidRPr="00FC0C27">
              <w:rPr>
                <w:rFonts w:ascii="Arial" w:hAnsi="Arial" w:cs="Arial"/>
                <w:b/>
                <w:sz w:val="20"/>
                <w:szCs w:val="20"/>
              </w:rPr>
              <w:lastRenderedPageBreak/>
              <w:t>Including Benefits</w:t>
            </w:r>
          </w:p>
        </w:tc>
        <w:tc>
          <w:tcPr>
            <w:tcW w:w="913"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lastRenderedPageBreak/>
              <w:t xml:space="preserve">D. </w:t>
            </w:r>
          </w:p>
          <w:p w:rsidR="00C71131" w:rsidRPr="00FC0C27" w:rsidRDefault="00C71131" w:rsidP="00556CD1">
            <w:pPr>
              <w:widowControl w:val="0"/>
              <w:autoSpaceDE w:val="0"/>
              <w:autoSpaceDN w:val="0"/>
              <w:adjustRightInd w:val="0"/>
              <w:jc w:val="center"/>
              <w:rPr>
                <w:rFonts w:ascii="Arial" w:hAnsi="Arial" w:cs="Arial"/>
                <w:b/>
                <w:sz w:val="20"/>
                <w:szCs w:val="20"/>
              </w:rPr>
            </w:pPr>
            <w:r>
              <w:rPr>
                <w:rFonts w:ascii="Arial" w:hAnsi="Arial" w:cs="Arial"/>
                <w:b/>
                <w:sz w:val="20"/>
                <w:szCs w:val="20"/>
              </w:rPr>
              <w:t>Burden Hours</w:t>
            </w:r>
          </w:p>
        </w:tc>
        <w:tc>
          <w:tcPr>
            <w:tcW w:w="1103" w:type="pct"/>
            <w:shd w:val="clear" w:color="auto" w:fill="99CCFF"/>
            <w:vAlign w:val="bottom"/>
          </w:tcPr>
          <w:p w:rsidR="00C71131"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 xml:space="preserve">E. </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t>Total Burden Hours</w:t>
            </w:r>
          </w:p>
          <w:p w:rsidR="00C71131" w:rsidRPr="00FC0C27" w:rsidRDefault="00C71131" w:rsidP="00556CD1">
            <w:pPr>
              <w:widowControl w:val="0"/>
              <w:autoSpaceDE w:val="0"/>
              <w:autoSpaceDN w:val="0"/>
              <w:adjustRightInd w:val="0"/>
              <w:jc w:val="center"/>
              <w:rPr>
                <w:rFonts w:ascii="Arial" w:hAnsi="Arial" w:cs="Arial"/>
                <w:b/>
                <w:sz w:val="20"/>
                <w:szCs w:val="20"/>
              </w:rPr>
            </w:pPr>
            <w:r w:rsidRPr="00FC0C27">
              <w:rPr>
                <w:rFonts w:ascii="Arial" w:hAnsi="Arial" w:cs="Arial"/>
                <w:b/>
                <w:sz w:val="20"/>
                <w:szCs w:val="20"/>
              </w:rPr>
              <w:lastRenderedPageBreak/>
              <w:t>C*D</w:t>
            </w:r>
          </w:p>
        </w:tc>
      </w:tr>
      <w:tr w:rsidR="00C71131" w:rsidRPr="00FC0C27" w:rsidTr="003257AB">
        <w:tc>
          <w:tcPr>
            <w:tcW w:w="970" w:type="pct"/>
            <w:shd w:val="clear" w:color="auto" w:fill="auto"/>
            <w:vAlign w:val="center"/>
          </w:tcPr>
          <w:p w:rsidR="00C71131" w:rsidRPr="00FC0C27" w:rsidRDefault="00C71131" w:rsidP="00556CD1">
            <w:pPr>
              <w:widowControl w:val="0"/>
              <w:autoSpaceDE w:val="0"/>
              <w:autoSpaceDN w:val="0"/>
              <w:adjustRightInd w:val="0"/>
              <w:rPr>
                <w:rFonts w:ascii="Arial" w:hAnsi="Arial" w:cs="Arial"/>
                <w:sz w:val="20"/>
                <w:szCs w:val="20"/>
              </w:rPr>
            </w:pPr>
            <w:r>
              <w:rPr>
                <w:rFonts w:ascii="Arial" w:hAnsi="Arial" w:cs="Arial"/>
                <w:sz w:val="20"/>
                <w:szCs w:val="20"/>
              </w:rPr>
              <w:lastRenderedPageBreak/>
              <w:t>PHAs, Stakeholders, Implementation Consultants, Project Managers</w:t>
            </w:r>
          </w:p>
        </w:tc>
        <w:tc>
          <w:tcPr>
            <w:tcW w:w="837"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sidRPr="009C1476">
              <w:rPr>
                <w:rFonts w:ascii="Arial" w:hAnsi="Arial" w:cs="Arial"/>
                <w:sz w:val="20"/>
                <w:szCs w:val="20"/>
              </w:rPr>
              <w:t>100</w:t>
            </w:r>
          </w:p>
        </w:tc>
        <w:tc>
          <w:tcPr>
            <w:tcW w:w="1178"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sidRPr="009C1476">
              <w:rPr>
                <w:rFonts w:ascii="Arial" w:hAnsi="Arial" w:cs="Arial"/>
                <w:sz w:val="20"/>
                <w:szCs w:val="20"/>
              </w:rPr>
              <w:t>$6</w:t>
            </w:r>
            <w:r>
              <w:rPr>
                <w:rFonts w:ascii="Arial" w:hAnsi="Arial" w:cs="Arial"/>
                <w:sz w:val="20"/>
                <w:szCs w:val="20"/>
              </w:rPr>
              <w:t>3</w:t>
            </w:r>
          </w:p>
        </w:tc>
        <w:tc>
          <w:tcPr>
            <w:tcW w:w="913"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sidRPr="009C1476">
              <w:rPr>
                <w:rFonts w:ascii="Arial" w:hAnsi="Arial" w:cs="Arial"/>
                <w:sz w:val="20"/>
                <w:szCs w:val="20"/>
              </w:rPr>
              <w:t>100</w:t>
            </w:r>
          </w:p>
        </w:tc>
        <w:tc>
          <w:tcPr>
            <w:tcW w:w="1103"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sidRPr="009C1476">
              <w:rPr>
                <w:rFonts w:ascii="Arial" w:hAnsi="Arial" w:cs="Arial"/>
                <w:sz w:val="20"/>
                <w:szCs w:val="20"/>
              </w:rPr>
              <w:t>$6</w:t>
            </w:r>
            <w:r>
              <w:rPr>
                <w:rFonts w:ascii="Arial" w:hAnsi="Arial" w:cs="Arial"/>
                <w:sz w:val="20"/>
                <w:szCs w:val="20"/>
              </w:rPr>
              <w:t>,300</w:t>
            </w:r>
          </w:p>
        </w:tc>
      </w:tr>
      <w:tr w:rsidR="00C71131" w:rsidRPr="00FC0C27" w:rsidTr="003257AB">
        <w:tc>
          <w:tcPr>
            <w:tcW w:w="970" w:type="pct"/>
            <w:shd w:val="clear" w:color="auto" w:fill="auto"/>
            <w:vAlign w:val="center"/>
          </w:tcPr>
          <w:p w:rsidR="00C71131" w:rsidRPr="00FC0C27" w:rsidRDefault="00C71131" w:rsidP="00556CD1">
            <w:pPr>
              <w:widowControl w:val="0"/>
              <w:autoSpaceDE w:val="0"/>
              <w:autoSpaceDN w:val="0"/>
              <w:adjustRightInd w:val="0"/>
              <w:rPr>
                <w:rFonts w:ascii="Arial" w:hAnsi="Arial" w:cs="Arial"/>
                <w:sz w:val="20"/>
                <w:szCs w:val="20"/>
              </w:rPr>
            </w:pPr>
            <w:r w:rsidRPr="00FC0C27">
              <w:rPr>
                <w:rFonts w:ascii="Arial" w:hAnsi="Arial" w:cs="Arial"/>
                <w:sz w:val="20"/>
                <w:szCs w:val="20"/>
              </w:rPr>
              <w:t>Total</w:t>
            </w:r>
          </w:p>
        </w:tc>
        <w:tc>
          <w:tcPr>
            <w:tcW w:w="837"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100</w:t>
            </w:r>
          </w:p>
        </w:tc>
        <w:tc>
          <w:tcPr>
            <w:tcW w:w="1178"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$63</w:t>
            </w:r>
          </w:p>
        </w:tc>
        <w:tc>
          <w:tcPr>
            <w:tcW w:w="913"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100</w:t>
            </w:r>
          </w:p>
        </w:tc>
        <w:tc>
          <w:tcPr>
            <w:tcW w:w="1103" w:type="pct"/>
            <w:shd w:val="clear" w:color="auto" w:fill="auto"/>
            <w:vAlign w:val="center"/>
          </w:tcPr>
          <w:p w:rsidR="00C71131" w:rsidRPr="009C1476" w:rsidRDefault="00C71131" w:rsidP="00556CD1">
            <w:pPr>
              <w:widowControl w:val="0"/>
              <w:autoSpaceDE w:val="0"/>
              <w:autoSpaceDN w:val="0"/>
              <w:adjustRightInd w:val="0"/>
              <w:jc w:val="center"/>
              <w:rPr>
                <w:rFonts w:ascii="Arial" w:hAnsi="Arial" w:cs="Arial"/>
                <w:sz w:val="20"/>
                <w:szCs w:val="20"/>
              </w:rPr>
            </w:pPr>
            <w:r>
              <w:rPr>
                <w:rFonts w:ascii="Arial" w:hAnsi="Arial" w:cs="Arial"/>
                <w:sz w:val="20"/>
                <w:szCs w:val="20"/>
              </w:rPr>
              <w:t>$6,300</w:t>
            </w:r>
          </w:p>
        </w:tc>
      </w:tr>
    </w:tbl>
    <w:p w:rsidR="00C71131" w:rsidRDefault="00C71131" w:rsidP="00C71131">
      <w:pPr>
        <w:jc w:val="both"/>
      </w:pPr>
    </w:p>
    <w:p w:rsidR="009F7E9B" w:rsidRDefault="00C71131" w:rsidP="00A02F4D">
      <w:pPr>
        <w:jc w:val="both"/>
        <w:rPr>
          <w:rFonts w:ascii="Arial" w:hAnsi="Arial" w:cs="Arial"/>
          <w:b/>
          <w:szCs w:val="20"/>
        </w:rPr>
      </w:pPr>
      <w:r w:rsidRPr="00D91360" w:rsidDel="001978C5">
        <w:rPr>
          <w:szCs w:val="20"/>
        </w:rPr>
        <w:t>To calculate the total annual cost burden to respondents</w:t>
      </w:r>
      <w:r w:rsidR="009F7E9B">
        <w:rPr>
          <w:szCs w:val="20"/>
        </w:rPr>
        <w:t xml:space="preserve"> for completing </w:t>
      </w:r>
      <w:r w:rsidR="00707E13">
        <w:rPr>
          <w:szCs w:val="20"/>
        </w:rPr>
        <w:t xml:space="preserve">the </w:t>
      </w:r>
      <w:r w:rsidR="009F7E9B" w:rsidRPr="00A02F4D">
        <w:t>Resident Intake Study Correspondence and Intake Form</w:t>
      </w:r>
      <w:r w:rsidRPr="009F7E9B" w:rsidDel="001978C5">
        <w:rPr>
          <w:szCs w:val="20"/>
        </w:rPr>
        <w:t>,</w:t>
      </w:r>
      <w:r w:rsidRPr="00D91360" w:rsidDel="001978C5">
        <w:rPr>
          <w:szCs w:val="20"/>
        </w:rPr>
        <w:t xml:space="preserve"> the Urban Institute used occupational employment statistics from the U.S. Department of Labor’s Bureau of Labor Statistics to identify mean hourly wages (as classified by Standard Occupational Classification </w:t>
      </w:r>
      <w:r w:rsidDel="001978C5">
        <w:rPr>
          <w:szCs w:val="20"/>
        </w:rPr>
        <w:t>(</w:t>
      </w:r>
      <w:r w:rsidRPr="00D91360" w:rsidDel="001978C5">
        <w:rPr>
          <w:szCs w:val="20"/>
        </w:rPr>
        <w:t>SOC</w:t>
      </w:r>
      <w:r w:rsidDel="001978C5">
        <w:rPr>
          <w:szCs w:val="20"/>
        </w:rPr>
        <w:t>)</w:t>
      </w:r>
      <w:r w:rsidRPr="00D91360" w:rsidDel="001978C5">
        <w:rPr>
          <w:szCs w:val="20"/>
        </w:rPr>
        <w:t xml:space="preserve"> codes) for potentially relevant occupations for resident heads of household, as shown in </w:t>
      </w:r>
      <w:r w:rsidDel="001978C5">
        <w:rPr>
          <w:szCs w:val="20"/>
        </w:rPr>
        <w:t xml:space="preserve">Table </w:t>
      </w:r>
      <w:r w:rsidR="00E97C3B">
        <w:rPr>
          <w:szCs w:val="20"/>
        </w:rPr>
        <w:t>7</w:t>
      </w:r>
      <w:r w:rsidDel="001978C5">
        <w:rPr>
          <w:szCs w:val="20"/>
        </w:rPr>
        <w:t>.</w:t>
      </w:r>
      <w:r w:rsidR="009F7E9B">
        <w:rPr>
          <w:szCs w:val="20"/>
        </w:rPr>
        <w:t xml:space="preserve"> T</w:t>
      </w:r>
      <w:r w:rsidR="009F7E9B" w:rsidRPr="00D91360">
        <w:rPr>
          <w:szCs w:val="20"/>
        </w:rPr>
        <w:t>he average for these three occupations, or $12.11 per hour (approximately $2 for 10 minutes</w:t>
      </w:r>
      <w:r w:rsidR="009F7E9B">
        <w:rPr>
          <w:szCs w:val="20"/>
        </w:rPr>
        <w:t>—</w:t>
      </w:r>
      <w:r w:rsidR="009F7E9B" w:rsidRPr="00D91360">
        <w:rPr>
          <w:szCs w:val="20"/>
        </w:rPr>
        <w:t xml:space="preserve">the estimated time to complete the 5-minute enrollment and tracking form twice, </w:t>
      </w:r>
      <w:r w:rsidR="009F7E9B">
        <w:rPr>
          <w:szCs w:val="20"/>
        </w:rPr>
        <w:t>at</w:t>
      </w:r>
      <w:r w:rsidR="009F7E9B" w:rsidRPr="00D91360">
        <w:rPr>
          <w:szCs w:val="20"/>
        </w:rPr>
        <w:t xml:space="preserve"> initial and follow-up administration)</w:t>
      </w:r>
      <w:r w:rsidR="00F51C9E">
        <w:rPr>
          <w:szCs w:val="20"/>
        </w:rPr>
        <w:t>,</w:t>
      </w:r>
      <w:r w:rsidR="009F7E9B">
        <w:rPr>
          <w:szCs w:val="20"/>
        </w:rPr>
        <w:t xml:space="preserve"> was used to calculate </w:t>
      </w:r>
      <w:r w:rsidR="009F7E9B" w:rsidRPr="00D91360">
        <w:rPr>
          <w:szCs w:val="20"/>
        </w:rPr>
        <w:t xml:space="preserve">the estimate of total respondent </w:t>
      </w:r>
      <w:r w:rsidR="009F7E9B" w:rsidRPr="009C1476">
        <w:rPr>
          <w:szCs w:val="20"/>
        </w:rPr>
        <w:t xml:space="preserve">costs </w:t>
      </w:r>
      <w:r w:rsidR="009F7E9B">
        <w:rPr>
          <w:szCs w:val="20"/>
        </w:rPr>
        <w:t>(</w:t>
      </w:r>
      <w:r w:rsidR="009F7E9B" w:rsidRPr="009C1476">
        <w:rPr>
          <w:szCs w:val="20"/>
        </w:rPr>
        <w:t xml:space="preserve">$2 x </w:t>
      </w:r>
      <w:r w:rsidR="0014564D">
        <w:rPr>
          <w:szCs w:val="20"/>
        </w:rPr>
        <w:t>4</w:t>
      </w:r>
      <w:r w:rsidR="00707E13">
        <w:rPr>
          <w:szCs w:val="20"/>
        </w:rPr>
        <w:t>00</w:t>
      </w:r>
      <w:r w:rsidR="009F7E9B" w:rsidRPr="009C1476">
        <w:rPr>
          <w:szCs w:val="20"/>
        </w:rPr>
        <w:t xml:space="preserve"> = $</w:t>
      </w:r>
      <w:r w:rsidR="0014564D">
        <w:rPr>
          <w:szCs w:val="20"/>
        </w:rPr>
        <w:t>8</w:t>
      </w:r>
      <w:r w:rsidR="00707E13">
        <w:rPr>
          <w:szCs w:val="20"/>
        </w:rPr>
        <w:t>00</w:t>
      </w:r>
      <w:r w:rsidR="009F7E9B" w:rsidRPr="009C1476">
        <w:rPr>
          <w:szCs w:val="20"/>
        </w:rPr>
        <w:t>.</w:t>
      </w:r>
      <w:r w:rsidR="009F7E9B">
        <w:rPr>
          <w:szCs w:val="20"/>
        </w:rPr>
        <w:t>)</w:t>
      </w:r>
      <w:r w:rsidR="009F7E9B" w:rsidRPr="00D91360">
        <w:rPr>
          <w:b/>
          <w:szCs w:val="20"/>
        </w:rPr>
        <w:t xml:space="preserve">   </w:t>
      </w:r>
    </w:p>
    <w:p w:rsidR="00C71131" w:rsidRPr="00D91360" w:rsidRDefault="00C71131" w:rsidP="00C71131">
      <w:pPr>
        <w:rPr>
          <w:szCs w:val="20"/>
        </w:rPr>
      </w:pPr>
    </w:p>
    <w:p w:rsidR="00C71131" w:rsidRDefault="00C71131" w:rsidP="003257AB">
      <w:pPr>
        <w:ind w:left="990" w:hanging="990"/>
        <w:rPr>
          <w:rFonts w:ascii="Arial" w:hAnsi="Arial" w:cs="Arial"/>
          <w:b/>
          <w:szCs w:val="20"/>
        </w:rPr>
      </w:pPr>
      <w:r>
        <w:rPr>
          <w:rFonts w:ascii="Arial" w:hAnsi="Arial" w:cs="Arial"/>
          <w:b/>
          <w:szCs w:val="20"/>
        </w:rPr>
        <w:t>Table</w:t>
      </w:r>
      <w:r w:rsidRPr="004D5244">
        <w:rPr>
          <w:rFonts w:ascii="Arial" w:hAnsi="Arial" w:cs="Arial"/>
          <w:b/>
          <w:szCs w:val="20"/>
        </w:rPr>
        <w:t xml:space="preserve"> </w:t>
      </w:r>
      <w:r w:rsidR="00E97C3B">
        <w:rPr>
          <w:rFonts w:ascii="Arial" w:hAnsi="Arial" w:cs="Arial"/>
          <w:b/>
          <w:szCs w:val="20"/>
        </w:rPr>
        <w:t>7</w:t>
      </w:r>
      <w:r>
        <w:rPr>
          <w:rFonts w:ascii="Arial" w:hAnsi="Arial" w:cs="Arial"/>
          <w:b/>
          <w:szCs w:val="20"/>
        </w:rPr>
        <w:t>.</w:t>
      </w:r>
      <w:r w:rsidR="00AC51D7">
        <w:rPr>
          <w:rFonts w:ascii="Arial" w:hAnsi="Arial" w:cs="Arial"/>
          <w:b/>
          <w:szCs w:val="20"/>
        </w:rPr>
        <w:tab/>
      </w:r>
      <w:r w:rsidRPr="004D5244">
        <w:rPr>
          <w:rFonts w:ascii="Arial" w:hAnsi="Arial" w:cs="Arial"/>
          <w:b/>
          <w:szCs w:val="20"/>
        </w:rPr>
        <w:t xml:space="preserve">Estimated Median Wages of </w:t>
      </w:r>
      <w:r w:rsidR="005753B1">
        <w:rPr>
          <w:rFonts w:ascii="Arial" w:hAnsi="Arial" w:cs="Arial"/>
          <w:b/>
        </w:rPr>
        <w:t>R</w:t>
      </w:r>
      <w:r w:rsidR="005753B1" w:rsidRPr="004C0479">
        <w:rPr>
          <w:rFonts w:ascii="Arial" w:hAnsi="Arial" w:cs="Arial"/>
          <w:b/>
        </w:rPr>
        <w:t xml:space="preserve">esident </w:t>
      </w:r>
      <w:r w:rsidR="005753B1">
        <w:rPr>
          <w:rFonts w:ascii="Arial" w:hAnsi="Arial" w:cs="Arial"/>
          <w:b/>
        </w:rPr>
        <w:t>I</w:t>
      </w:r>
      <w:r w:rsidR="005753B1" w:rsidRPr="002B3DF2">
        <w:rPr>
          <w:rFonts w:ascii="Arial" w:hAnsi="Arial" w:cs="Arial"/>
          <w:b/>
        </w:rPr>
        <w:t xml:space="preserve">ntake </w:t>
      </w:r>
      <w:r w:rsidR="005753B1">
        <w:rPr>
          <w:rFonts w:ascii="Arial" w:hAnsi="Arial" w:cs="Arial"/>
          <w:b/>
        </w:rPr>
        <w:t>S</w:t>
      </w:r>
      <w:r w:rsidR="005753B1" w:rsidRPr="004C0479">
        <w:rPr>
          <w:rFonts w:ascii="Arial" w:hAnsi="Arial" w:cs="Arial"/>
          <w:b/>
        </w:rPr>
        <w:t xml:space="preserve">tudy </w:t>
      </w:r>
      <w:r w:rsidR="005753B1">
        <w:rPr>
          <w:rFonts w:ascii="Arial" w:hAnsi="Arial" w:cs="Arial"/>
          <w:b/>
        </w:rPr>
        <w:t>C</w:t>
      </w:r>
      <w:r w:rsidR="005753B1" w:rsidRPr="002B3DF2">
        <w:rPr>
          <w:rFonts w:ascii="Arial" w:hAnsi="Arial" w:cs="Arial"/>
          <w:b/>
        </w:rPr>
        <w:t xml:space="preserve">orrespondence and </w:t>
      </w:r>
      <w:r w:rsidR="005753B1">
        <w:rPr>
          <w:rFonts w:ascii="Arial" w:hAnsi="Arial" w:cs="Arial"/>
          <w:b/>
        </w:rPr>
        <w:t>In</w:t>
      </w:r>
      <w:r w:rsidR="005753B1" w:rsidRPr="004C0479">
        <w:rPr>
          <w:rFonts w:ascii="Arial" w:hAnsi="Arial" w:cs="Arial"/>
          <w:b/>
        </w:rPr>
        <w:t xml:space="preserve">take </w:t>
      </w:r>
      <w:r w:rsidR="005753B1">
        <w:rPr>
          <w:rFonts w:ascii="Arial" w:hAnsi="Arial" w:cs="Arial"/>
          <w:b/>
        </w:rPr>
        <w:t>F</w:t>
      </w:r>
      <w:r w:rsidR="005753B1" w:rsidRPr="004C0479">
        <w:rPr>
          <w:rFonts w:ascii="Arial" w:hAnsi="Arial" w:cs="Arial"/>
          <w:b/>
        </w:rPr>
        <w:t>orm</w:t>
      </w:r>
      <w:r w:rsidR="005753B1" w:rsidRPr="004D5244" w:rsidDel="005753B1">
        <w:rPr>
          <w:rFonts w:ascii="Arial" w:hAnsi="Arial" w:cs="Arial"/>
          <w:b/>
          <w:szCs w:val="20"/>
        </w:rPr>
        <w:t xml:space="preserve"> </w:t>
      </w:r>
      <w:r w:rsidRPr="004D5244">
        <w:rPr>
          <w:rFonts w:ascii="Arial" w:hAnsi="Arial" w:cs="Arial"/>
          <w:b/>
          <w:szCs w:val="20"/>
        </w:rPr>
        <w:t>Respondents</w:t>
      </w:r>
    </w:p>
    <w:p w:rsidR="001C697F" w:rsidRDefault="001C697F" w:rsidP="003257AB">
      <w:pPr>
        <w:ind w:left="990" w:hanging="990"/>
        <w:rPr>
          <w:rFonts w:ascii="Arial" w:hAnsi="Arial" w:cs="Arial"/>
          <w:b/>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0"/>
        <w:gridCol w:w="3060"/>
        <w:gridCol w:w="2898"/>
      </w:tblGrid>
      <w:tr w:rsidR="00C71131" w:rsidRPr="004D5244" w:rsidTr="003257AB">
        <w:tc>
          <w:tcPr>
            <w:tcW w:w="3510" w:type="dxa"/>
            <w:shd w:val="clear" w:color="auto" w:fill="99CCFF"/>
            <w:vAlign w:val="center"/>
          </w:tcPr>
          <w:p w:rsidR="00C71131" w:rsidRPr="004D5244" w:rsidRDefault="00C71131" w:rsidP="003257AB">
            <w:pPr>
              <w:jc w:val="center"/>
              <w:rPr>
                <w:rFonts w:ascii="Arial" w:eastAsia="Calibri" w:hAnsi="Arial" w:cs="Arial"/>
                <w:b/>
                <w:sz w:val="22"/>
                <w:szCs w:val="20"/>
              </w:rPr>
            </w:pPr>
            <w:r w:rsidRPr="004D5244">
              <w:rPr>
                <w:rFonts w:ascii="Arial" w:eastAsia="Calibri" w:hAnsi="Arial" w:cs="Arial"/>
                <w:b/>
                <w:sz w:val="22"/>
                <w:szCs w:val="20"/>
              </w:rPr>
              <w:t>Occupation</w:t>
            </w:r>
          </w:p>
        </w:tc>
        <w:tc>
          <w:tcPr>
            <w:tcW w:w="3060" w:type="dxa"/>
            <w:shd w:val="clear" w:color="auto" w:fill="99CCFF"/>
            <w:vAlign w:val="center"/>
          </w:tcPr>
          <w:p w:rsidR="00C71131" w:rsidRPr="004D5244" w:rsidRDefault="00C71131" w:rsidP="00AC51D7">
            <w:pPr>
              <w:jc w:val="center"/>
              <w:rPr>
                <w:rFonts w:ascii="Arial" w:eastAsia="Calibri" w:hAnsi="Arial" w:cs="Arial"/>
                <w:b/>
                <w:sz w:val="22"/>
                <w:szCs w:val="20"/>
              </w:rPr>
            </w:pPr>
            <w:r w:rsidRPr="004D5244">
              <w:rPr>
                <w:rFonts w:ascii="Arial" w:eastAsia="Calibri" w:hAnsi="Arial" w:cs="Arial"/>
                <w:b/>
                <w:sz w:val="22"/>
                <w:szCs w:val="20"/>
              </w:rPr>
              <w:t>SOC Code</w:t>
            </w:r>
          </w:p>
        </w:tc>
        <w:tc>
          <w:tcPr>
            <w:tcW w:w="2898" w:type="dxa"/>
            <w:shd w:val="clear" w:color="auto" w:fill="99CCFF"/>
            <w:vAlign w:val="center"/>
          </w:tcPr>
          <w:p w:rsidR="00C71131" w:rsidRPr="004D5244" w:rsidRDefault="00C71131" w:rsidP="004105E5">
            <w:pPr>
              <w:jc w:val="center"/>
              <w:rPr>
                <w:rFonts w:ascii="Arial" w:eastAsia="Calibri" w:hAnsi="Arial" w:cs="Arial"/>
                <w:b/>
                <w:sz w:val="22"/>
                <w:szCs w:val="20"/>
              </w:rPr>
            </w:pPr>
            <w:r w:rsidRPr="004D5244">
              <w:rPr>
                <w:rFonts w:ascii="Arial" w:eastAsia="Calibri" w:hAnsi="Arial" w:cs="Arial"/>
                <w:b/>
                <w:sz w:val="22"/>
                <w:szCs w:val="20"/>
              </w:rPr>
              <w:t xml:space="preserve">Hourly Mean Wage </w:t>
            </w:r>
            <w:r w:rsidR="00AC51D7">
              <w:rPr>
                <w:rFonts w:ascii="Arial" w:eastAsia="Calibri" w:hAnsi="Arial" w:cs="Arial"/>
                <w:b/>
                <w:sz w:val="22"/>
                <w:szCs w:val="20"/>
              </w:rPr>
              <w:br/>
            </w:r>
            <w:r w:rsidRPr="004D5244">
              <w:rPr>
                <w:rFonts w:ascii="Arial" w:eastAsia="Calibri" w:hAnsi="Arial" w:cs="Arial"/>
                <w:b/>
                <w:sz w:val="22"/>
                <w:szCs w:val="20"/>
              </w:rPr>
              <w:t>(May 2013)</w:t>
            </w:r>
          </w:p>
        </w:tc>
      </w:tr>
      <w:tr w:rsidR="00C71131" w:rsidRPr="004D5244" w:rsidTr="003257AB">
        <w:tc>
          <w:tcPr>
            <w:tcW w:w="3510" w:type="dxa"/>
            <w:shd w:val="clear" w:color="auto" w:fill="auto"/>
            <w:vAlign w:val="center"/>
          </w:tcPr>
          <w:p w:rsidR="00C71131" w:rsidRPr="004D5244" w:rsidRDefault="00C71131" w:rsidP="00556CD1">
            <w:pPr>
              <w:rPr>
                <w:rFonts w:ascii="Arial" w:eastAsia="Calibri" w:hAnsi="Arial" w:cs="Arial"/>
                <w:sz w:val="20"/>
                <w:szCs w:val="20"/>
              </w:rPr>
            </w:pPr>
            <w:r w:rsidRPr="004D5244">
              <w:rPr>
                <w:rFonts w:ascii="Arial" w:eastAsia="Calibri" w:hAnsi="Arial" w:cs="Arial"/>
                <w:sz w:val="20"/>
                <w:szCs w:val="20"/>
              </w:rPr>
              <w:t xml:space="preserve">Food </w:t>
            </w:r>
            <w:r>
              <w:rPr>
                <w:rFonts w:ascii="Arial" w:eastAsia="Calibri" w:hAnsi="Arial" w:cs="Arial"/>
                <w:sz w:val="20"/>
                <w:szCs w:val="20"/>
              </w:rPr>
              <w:t>P</w:t>
            </w:r>
            <w:r w:rsidRPr="004D5244">
              <w:rPr>
                <w:rFonts w:ascii="Arial" w:eastAsia="Calibri" w:hAnsi="Arial" w:cs="Arial"/>
                <w:sz w:val="20"/>
                <w:szCs w:val="20"/>
              </w:rPr>
              <w:t>reparation and Serving Workers</w:t>
            </w:r>
          </w:p>
        </w:tc>
        <w:tc>
          <w:tcPr>
            <w:tcW w:w="3060" w:type="dxa"/>
            <w:shd w:val="clear" w:color="auto" w:fill="auto"/>
            <w:vAlign w:val="center"/>
          </w:tcPr>
          <w:p w:rsidR="00C71131" w:rsidRPr="004D5244" w:rsidRDefault="00C71131" w:rsidP="00556CD1">
            <w:pPr>
              <w:jc w:val="center"/>
              <w:rPr>
                <w:rFonts w:ascii="Arial" w:eastAsia="Calibri" w:hAnsi="Arial" w:cs="Arial"/>
                <w:sz w:val="20"/>
                <w:szCs w:val="20"/>
              </w:rPr>
            </w:pPr>
            <w:r w:rsidRPr="004D5244">
              <w:rPr>
                <w:rFonts w:ascii="Arial" w:eastAsia="Calibri" w:hAnsi="Arial" w:cs="Arial"/>
                <w:sz w:val="20"/>
                <w:szCs w:val="20"/>
              </w:rPr>
              <w:t>35-3021</w:t>
            </w:r>
          </w:p>
        </w:tc>
        <w:tc>
          <w:tcPr>
            <w:tcW w:w="2898" w:type="dxa"/>
            <w:shd w:val="clear" w:color="auto" w:fill="auto"/>
            <w:vAlign w:val="center"/>
          </w:tcPr>
          <w:p w:rsidR="00C71131" w:rsidRPr="004D5244" w:rsidRDefault="00C71131" w:rsidP="00556CD1">
            <w:pPr>
              <w:jc w:val="center"/>
              <w:rPr>
                <w:rFonts w:ascii="Arial" w:eastAsia="Calibri" w:hAnsi="Arial" w:cs="Arial"/>
                <w:sz w:val="20"/>
                <w:szCs w:val="20"/>
              </w:rPr>
            </w:pPr>
            <w:r w:rsidRPr="004D5244">
              <w:rPr>
                <w:rFonts w:ascii="Arial" w:eastAsia="Calibri" w:hAnsi="Arial" w:cs="Arial"/>
                <w:sz w:val="20"/>
                <w:szCs w:val="20"/>
              </w:rPr>
              <w:t>$9.08</w:t>
            </w:r>
          </w:p>
        </w:tc>
      </w:tr>
      <w:tr w:rsidR="00C71131" w:rsidRPr="004D5244" w:rsidTr="003257AB">
        <w:tc>
          <w:tcPr>
            <w:tcW w:w="3510" w:type="dxa"/>
            <w:shd w:val="clear" w:color="auto" w:fill="auto"/>
            <w:vAlign w:val="center"/>
          </w:tcPr>
          <w:p w:rsidR="00C71131" w:rsidRPr="004D5244" w:rsidRDefault="00C71131" w:rsidP="00556CD1">
            <w:pPr>
              <w:rPr>
                <w:rFonts w:ascii="Arial" w:eastAsia="Calibri" w:hAnsi="Arial" w:cs="Arial"/>
                <w:sz w:val="20"/>
                <w:szCs w:val="20"/>
              </w:rPr>
            </w:pPr>
            <w:r w:rsidRPr="004D5244">
              <w:rPr>
                <w:rFonts w:ascii="Arial" w:eastAsia="Calibri" w:hAnsi="Arial" w:cs="Arial"/>
                <w:sz w:val="20"/>
                <w:szCs w:val="20"/>
              </w:rPr>
              <w:t>Laborer</w:t>
            </w:r>
          </w:p>
        </w:tc>
        <w:tc>
          <w:tcPr>
            <w:tcW w:w="3060" w:type="dxa"/>
            <w:shd w:val="clear" w:color="auto" w:fill="auto"/>
            <w:vAlign w:val="center"/>
          </w:tcPr>
          <w:p w:rsidR="00C71131" w:rsidRPr="004D5244" w:rsidRDefault="00C71131" w:rsidP="00556CD1">
            <w:pPr>
              <w:jc w:val="center"/>
              <w:rPr>
                <w:rFonts w:ascii="Arial" w:eastAsia="Calibri" w:hAnsi="Arial" w:cs="Arial"/>
                <w:sz w:val="20"/>
                <w:szCs w:val="20"/>
              </w:rPr>
            </w:pPr>
            <w:r w:rsidRPr="004D5244">
              <w:rPr>
                <w:rFonts w:ascii="Arial" w:eastAsia="Calibri" w:hAnsi="Arial" w:cs="Arial"/>
                <w:sz w:val="20"/>
                <w:szCs w:val="20"/>
              </w:rPr>
              <w:t>53-7062</w:t>
            </w:r>
          </w:p>
        </w:tc>
        <w:tc>
          <w:tcPr>
            <w:tcW w:w="2898" w:type="dxa"/>
            <w:shd w:val="clear" w:color="auto" w:fill="auto"/>
            <w:vAlign w:val="center"/>
          </w:tcPr>
          <w:p w:rsidR="00C71131" w:rsidRPr="004D5244" w:rsidRDefault="00C71131" w:rsidP="00556CD1">
            <w:pPr>
              <w:jc w:val="center"/>
              <w:rPr>
                <w:rFonts w:ascii="Arial" w:eastAsia="Calibri" w:hAnsi="Arial" w:cs="Arial"/>
                <w:sz w:val="20"/>
                <w:szCs w:val="20"/>
              </w:rPr>
            </w:pPr>
            <w:r w:rsidRPr="004D5244">
              <w:rPr>
                <w:rFonts w:ascii="Arial" w:eastAsia="Calibri" w:hAnsi="Arial" w:cs="Arial"/>
                <w:sz w:val="20"/>
                <w:szCs w:val="20"/>
              </w:rPr>
              <w:t>$12.83</w:t>
            </w:r>
          </w:p>
        </w:tc>
      </w:tr>
      <w:tr w:rsidR="00C71131" w:rsidRPr="004D5244" w:rsidTr="003257AB">
        <w:tc>
          <w:tcPr>
            <w:tcW w:w="3510" w:type="dxa"/>
            <w:shd w:val="clear" w:color="auto" w:fill="auto"/>
            <w:vAlign w:val="center"/>
          </w:tcPr>
          <w:p w:rsidR="00C71131" w:rsidRPr="004D5244" w:rsidRDefault="00C71131" w:rsidP="00556CD1">
            <w:pPr>
              <w:rPr>
                <w:rFonts w:ascii="Arial" w:eastAsia="Calibri" w:hAnsi="Arial" w:cs="Arial"/>
                <w:sz w:val="20"/>
                <w:szCs w:val="20"/>
              </w:rPr>
            </w:pPr>
            <w:r w:rsidRPr="004D5244">
              <w:rPr>
                <w:rFonts w:ascii="Arial" w:eastAsia="Calibri" w:hAnsi="Arial" w:cs="Arial"/>
                <w:sz w:val="20"/>
                <w:szCs w:val="20"/>
              </w:rPr>
              <w:t>Office Clerk</w:t>
            </w:r>
          </w:p>
        </w:tc>
        <w:tc>
          <w:tcPr>
            <w:tcW w:w="3060" w:type="dxa"/>
            <w:shd w:val="clear" w:color="auto" w:fill="auto"/>
            <w:vAlign w:val="center"/>
          </w:tcPr>
          <w:p w:rsidR="00C71131" w:rsidRPr="004D5244" w:rsidRDefault="00C71131" w:rsidP="00556CD1">
            <w:pPr>
              <w:jc w:val="center"/>
              <w:rPr>
                <w:rFonts w:ascii="Arial" w:eastAsia="Calibri" w:hAnsi="Arial" w:cs="Arial"/>
                <w:sz w:val="20"/>
                <w:szCs w:val="20"/>
              </w:rPr>
            </w:pPr>
            <w:r w:rsidRPr="004D5244">
              <w:rPr>
                <w:rFonts w:ascii="Arial" w:eastAsia="Calibri" w:hAnsi="Arial" w:cs="Arial"/>
                <w:sz w:val="20"/>
                <w:szCs w:val="20"/>
              </w:rPr>
              <w:t>43-9061</w:t>
            </w:r>
          </w:p>
        </w:tc>
        <w:tc>
          <w:tcPr>
            <w:tcW w:w="2898" w:type="dxa"/>
            <w:shd w:val="clear" w:color="auto" w:fill="auto"/>
            <w:vAlign w:val="center"/>
          </w:tcPr>
          <w:p w:rsidR="00C71131" w:rsidRPr="004D5244" w:rsidRDefault="00C71131" w:rsidP="00556CD1">
            <w:pPr>
              <w:jc w:val="center"/>
              <w:rPr>
                <w:rFonts w:ascii="Arial" w:eastAsia="Calibri" w:hAnsi="Arial" w:cs="Arial"/>
                <w:sz w:val="20"/>
                <w:szCs w:val="20"/>
              </w:rPr>
            </w:pPr>
            <w:r w:rsidRPr="004D5244">
              <w:rPr>
                <w:rFonts w:ascii="Arial" w:eastAsia="Calibri" w:hAnsi="Arial" w:cs="Arial"/>
                <w:sz w:val="20"/>
                <w:szCs w:val="20"/>
              </w:rPr>
              <w:t>$14.42</w:t>
            </w:r>
          </w:p>
        </w:tc>
      </w:tr>
      <w:tr w:rsidR="0014564D" w:rsidRPr="004D5244" w:rsidTr="003257AB">
        <w:tc>
          <w:tcPr>
            <w:tcW w:w="3510" w:type="dxa"/>
            <w:shd w:val="clear" w:color="auto" w:fill="auto"/>
            <w:vAlign w:val="center"/>
          </w:tcPr>
          <w:p w:rsidR="0014564D" w:rsidRPr="004D5244" w:rsidRDefault="0014564D" w:rsidP="00556CD1">
            <w:pPr>
              <w:rPr>
                <w:rFonts w:ascii="Arial" w:eastAsia="Calibri" w:hAnsi="Arial" w:cs="Arial"/>
                <w:sz w:val="20"/>
                <w:szCs w:val="20"/>
              </w:rPr>
            </w:pPr>
            <w:r>
              <w:rPr>
                <w:rFonts w:ascii="Arial" w:eastAsia="Calibri" w:hAnsi="Arial" w:cs="Arial"/>
                <w:sz w:val="20"/>
                <w:szCs w:val="20"/>
              </w:rPr>
              <w:t>Average across occupations</w:t>
            </w:r>
          </w:p>
        </w:tc>
        <w:tc>
          <w:tcPr>
            <w:tcW w:w="3060" w:type="dxa"/>
            <w:shd w:val="clear" w:color="auto" w:fill="auto"/>
            <w:vAlign w:val="center"/>
          </w:tcPr>
          <w:p w:rsidR="0014564D" w:rsidRPr="004D5244" w:rsidRDefault="0014564D" w:rsidP="00556CD1">
            <w:pPr>
              <w:jc w:val="center"/>
              <w:rPr>
                <w:rFonts w:ascii="Arial" w:eastAsia="Calibri" w:hAnsi="Arial" w:cs="Arial"/>
                <w:sz w:val="20"/>
                <w:szCs w:val="20"/>
              </w:rPr>
            </w:pPr>
          </w:p>
        </w:tc>
        <w:tc>
          <w:tcPr>
            <w:tcW w:w="2898" w:type="dxa"/>
            <w:shd w:val="clear" w:color="auto" w:fill="auto"/>
            <w:vAlign w:val="center"/>
          </w:tcPr>
          <w:p w:rsidR="0014564D" w:rsidRPr="004D5244" w:rsidRDefault="0014564D" w:rsidP="00556CD1">
            <w:pPr>
              <w:jc w:val="center"/>
              <w:rPr>
                <w:rFonts w:ascii="Arial" w:eastAsia="Calibri" w:hAnsi="Arial" w:cs="Arial"/>
                <w:sz w:val="20"/>
                <w:szCs w:val="20"/>
              </w:rPr>
            </w:pPr>
            <w:r>
              <w:rPr>
                <w:rFonts w:ascii="Arial" w:eastAsia="Calibri" w:hAnsi="Arial" w:cs="Arial"/>
                <w:sz w:val="20"/>
                <w:szCs w:val="20"/>
              </w:rPr>
              <w:t>$12.11</w:t>
            </w:r>
          </w:p>
        </w:tc>
      </w:tr>
    </w:tbl>
    <w:p w:rsidR="00C71131" w:rsidRPr="004D5244" w:rsidRDefault="00C71131" w:rsidP="00C71131">
      <w:pPr>
        <w:jc w:val="both"/>
        <w:rPr>
          <w:rFonts w:ascii="Arial" w:eastAsia="Calibri" w:hAnsi="Arial" w:cs="Arial"/>
          <w:sz w:val="18"/>
          <w:szCs w:val="20"/>
        </w:rPr>
      </w:pPr>
      <w:r w:rsidRPr="004D5244">
        <w:rPr>
          <w:rFonts w:ascii="Arial" w:eastAsia="Calibri" w:hAnsi="Arial" w:cs="Arial"/>
          <w:sz w:val="18"/>
          <w:szCs w:val="20"/>
        </w:rPr>
        <w:t xml:space="preserve">Source: Occupational Employment Statistics, Data Tables for the Overview of May 2013 Occupational Employment and </w:t>
      </w:r>
      <w:r>
        <w:rPr>
          <w:rFonts w:ascii="Arial" w:eastAsia="Calibri" w:hAnsi="Arial" w:cs="Arial"/>
          <w:sz w:val="18"/>
          <w:szCs w:val="20"/>
        </w:rPr>
        <w:t>W</w:t>
      </w:r>
      <w:r w:rsidRPr="004D5244">
        <w:rPr>
          <w:rFonts w:ascii="Arial" w:eastAsia="Calibri" w:hAnsi="Arial" w:cs="Arial"/>
          <w:sz w:val="18"/>
          <w:szCs w:val="20"/>
        </w:rPr>
        <w:t xml:space="preserve">ages. Accessed online </w:t>
      </w:r>
      <w:r>
        <w:rPr>
          <w:rFonts w:ascii="Arial" w:eastAsia="Calibri" w:hAnsi="Arial" w:cs="Arial"/>
          <w:sz w:val="18"/>
          <w:szCs w:val="20"/>
        </w:rPr>
        <w:t xml:space="preserve">on </w:t>
      </w:r>
      <w:r w:rsidRPr="004D5244">
        <w:rPr>
          <w:rFonts w:ascii="Arial" w:eastAsia="Calibri" w:hAnsi="Arial" w:cs="Arial"/>
          <w:sz w:val="18"/>
          <w:szCs w:val="20"/>
        </w:rPr>
        <w:t>April 7, 2014</w:t>
      </w:r>
      <w:r>
        <w:rPr>
          <w:rFonts w:ascii="Arial" w:eastAsia="Calibri" w:hAnsi="Arial" w:cs="Arial"/>
          <w:sz w:val="18"/>
          <w:szCs w:val="20"/>
        </w:rPr>
        <w:t>,</w:t>
      </w:r>
      <w:r w:rsidRPr="004D5244">
        <w:rPr>
          <w:rFonts w:ascii="Arial" w:eastAsia="Calibri" w:hAnsi="Arial" w:cs="Arial"/>
          <w:sz w:val="18"/>
          <w:szCs w:val="20"/>
        </w:rPr>
        <w:t xml:space="preserve"> at </w:t>
      </w:r>
      <w:hyperlink r:id="rId10" w:history="1">
        <w:r w:rsidRPr="004D5244">
          <w:rPr>
            <w:rFonts w:ascii="Arial" w:eastAsia="Calibri" w:hAnsi="Arial" w:cs="Arial"/>
            <w:color w:val="0000FF"/>
            <w:sz w:val="18"/>
            <w:szCs w:val="20"/>
            <w:u w:val="single"/>
          </w:rPr>
          <w:t>http://www.bls.gov/oes/2013/may/featured_data.htm</w:t>
        </w:r>
      </w:hyperlink>
      <w:r>
        <w:rPr>
          <w:rFonts w:ascii="Arial" w:eastAsia="Calibri" w:hAnsi="Arial" w:cs="Arial"/>
          <w:color w:val="0000FF"/>
          <w:sz w:val="18"/>
          <w:szCs w:val="20"/>
          <w:u w:val="single"/>
        </w:rPr>
        <w:t>.</w:t>
      </w:r>
    </w:p>
    <w:p w:rsidR="00AB4118" w:rsidRDefault="00AB4118" w:rsidP="00AB4118">
      <w:pPr>
        <w:jc w:val="both"/>
      </w:pPr>
    </w:p>
    <w:p w:rsidR="00AB4118" w:rsidRDefault="00AB4118" w:rsidP="00AB4118">
      <w:pPr>
        <w:jc w:val="both"/>
      </w:pPr>
      <w:r w:rsidRPr="00E107CA">
        <w:t xml:space="preserve">The total annual cost burden to the </w:t>
      </w:r>
      <w:r>
        <w:t xml:space="preserve">survey respondents, interview respondents, and resident </w:t>
      </w:r>
      <w:r w:rsidRPr="00E107CA">
        <w:t>respondents is estimated at $</w:t>
      </w:r>
      <w:r>
        <w:t>1</w:t>
      </w:r>
      <w:r w:rsidR="0014564D">
        <w:t>1,636 (4,536+6,300+800)</w:t>
      </w:r>
      <w:r>
        <w:t xml:space="preserve">. </w:t>
      </w:r>
    </w:p>
    <w:p w:rsidR="00C71131" w:rsidRDefault="00C71131" w:rsidP="00C71131">
      <w:pPr>
        <w:rPr>
          <w:szCs w:val="20"/>
        </w:rPr>
      </w:pPr>
    </w:p>
    <w:p w:rsidR="001978C5" w:rsidRDefault="001978C5" w:rsidP="001978C5">
      <w:pPr>
        <w:keepNext/>
        <w:numPr>
          <w:ilvl w:val="0"/>
          <w:numId w:val="7"/>
        </w:numPr>
        <w:ind w:left="360"/>
        <w:jc w:val="both"/>
      </w:pPr>
      <w:r>
        <w:rPr>
          <w:b/>
          <w:bCs/>
          <w:u w:val="single"/>
        </w:rPr>
        <w:t>Capital costs</w:t>
      </w:r>
      <w:r w:rsidR="00FD2A38">
        <w:rPr>
          <w:b/>
          <w:bCs/>
          <w:u w:val="single"/>
        </w:rPr>
        <w:t>.</w:t>
      </w:r>
      <w:r>
        <w:rPr>
          <w:b/>
          <w:bCs/>
          <w:u w:val="single"/>
        </w:rPr>
        <w:t xml:space="preserve"> </w:t>
      </w:r>
    </w:p>
    <w:p w:rsidR="001978C5" w:rsidRPr="00E841EC" w:rsidRDefault="001978C5" w:rsidP="00A02F4D">
      <w:pPr>
        <w:jc w:val="both"/>
      </w:pPr>
    </w:p>
    <w:p w:rsidR="001978C5" w:rsidRPr="00FB6008" w:rsidRDefault="001978C5" w:rsidP="001978C5">
      <w:r w:rsidRPr="00FB6008">
        <w:t xml:space="preserve">This data collection effort involves no recordkeeping or reporting costs for respondents other than the time burden to respond to questions on the data collection instruments as described </w:t>
      </w:r>
      <w:r>
        <w:t xml:space="preserve">in item </w:t>
      </w:r>
      <w:r w:rsidRPr="00FB6008">
        <w:t xml:space="preserve">12 above. There is no known cost burden to the respondents. </w:t>
      </w:r>
    </w:p>
    <w:p w:rsidR="00C71131" w:rsidRPr="00E841EC" w:rsidRDefault="00C71131" w:rsidP="00C71131">
      <w:pPr>
        <w:jc w:val="both"/>
      </w:pPr>
    </w:p>
    <w:p w:rsidR="00C71131" w:rsidRDefault="00C71131" w:rsidP="00C71131">
      <w:pPr>
        <w:numPr>
          <w:ilvl w:val="0"/>
          <w:numId w:val="7"/>
        </w:numPr>
        <w:ind w:left="360"/>
        <w:jc w:val="both"/>
      </w:pPr>
      <w:r>
        <w:rPr>
          <w:b/>
          <w:bCs/>
          <w:u w:val="single"/>
        </w:rPr>
        <w:t>Provide estimates of annualized</w:t>
      </w:r>
      <w:r w:rsidR="00F51C9E">
        <w:rPr>
          <w:b/>
          <w:bCs/>
          <w:u w:val="single"/>
        </w:rPr>
        <w:t xml:space="preserve"> cost to the f</w:t>
      </w:r>
      <w:r>
        <w:rPr>
          <w:b/>
          <w:bCs/>
          <w:u w:val="single"/>
        </w:rPr>
        <w:t>ederal government</w:t>
      </w:r>
      <w:r w:rsidRPr="004D5244">
        <w:rPr>
          <w:b/>
          <w:bCs/>
          <w:u w:val="single"/>
        </w:rPr>
        <w:t>.</w:t>
      </w:r>
    </w:p>
    <w:p w:rsidR="00C71131" w:rsidRDefault="00C71131" w:rsidP="00C71131">
      <w:pPr>
        <w:ind w:left="25"/>
        <w:jc w:val="both"/>
      </w:pPr>
    </w:p>
    <w:p w:rsidR="00C71131" w:rsidRDefault="00AB4118" w:rsidP="00C71131">
      <w:pPr>
        <w:ind w:left="25"/>
        <w:jc w:val="both"/>
        <w:rPr>
          <w:color w:val="000000"/>
        </w:rPr>
      </w:pPr>
      <w:r>
        <w:rPr>
          <w:color w:val="000000"/>
        </w:rPr>
        <w:t>The</w:t>
      </w:r>
      <w:r w:rsidR="00FF15C7">
        <w:rPr>
          <w:color w:val="000000"/>
        </w:rPr>
        <w:t xml:space="preserve"> following Table </w:t>
      </w:r>
      <w:r w:rsidR="00E97C3B">
        <w:rPr>
          <w:color w:val="000000"/>
        </w:rPr>
        <w:t>8</w:t>
      </w:r>
      <w:r w:rsidR="00FF15C7">
        <w:rPr>
          <w:color w:val="000000"/>
        </w:rPr>
        <w:t xml:space="preserve"> displays estimates of the one-time </w:t>
      </w:r>
      <w:r w:rsidR="00D7590B">
        <w:rPr>
          <w:color w:val="000000"/>
        </w:rPr>
        <w:t xml:space="preserve">costs to the federal government </w:t>
      </w:r>
      <w:r w:rsidR="00FF15C7">
        <w:rPr>
          <w:color w:val="000000"/>
        </w:rPr>
        <w:t xml:space="preserve">for </w:t>
      </w:r>
      <w:r w:rsidR="00D7590B">
        <w:rPr>
          <w:color w:val="000000"/>
        </w:rPr>
        <w:t xml:space="preserve">data collection </w:t>
      </w:r>
      <w:r w:rsidR="00FF15C7">
        <w:rPr>
          <w:color w:val="000000"/>
        </w:rPr>
        <w:t xml:space="preserve">performed </w:t>
      </w:r>
      <w:r w:rsidR="00D7590B">
        <w:rPr>
          <w:color w:val="000000"/>
        </w:rPr>
        <w:t>by Econometrica and its subcontractors</w:t>
      </w:r>
      <w:r w:rsidR="0032303E">
        <w:rPr>
          <w:color w:val="000000"/>
        </w:rPr>
        <w:t xml:space="preserve">, </w:t>
      </w:r>
      <w:r w:rsidR="00D7590B">
        <w:rPr>
          <w:color w:val="000000"/>
        </w:rPr>
        <w:t>the Urban Institute and EMG.</w:t>
      </w:r>
      <w:r w:rsidR="00FF15C7">
        <w:rPr>
          <w:color w:val="000000"/>
        </w:rPr>
        <w:t xml:space="preserve">  There are no estimated recurring costs.</w:t>
      </w:r>
    </w:p>
    <w:p w:rsidR="00FF15C7" w:rsidRDefault="00FF15C7" w:rsidP="00C71131">
      <w:pPr>
        <w:ind w:left="25"/>
        <w:jc w:val="both"/>
        <w:rPr>
          <w:color w:val="000000"/>
        </w:rPr>
      </w:pPr>
    </w:p>
    <w:p w:rsidR="00FF15C7" w:rsidRDefault="00FF15C7" w:rsidP="00FF15C7">
      <w:pPr>
        <w:ind w:left="990" w:hanging="990"/>
        <w:rPr>
          <w:rFonts w:ascii="Arial" w:hAnsi="Arial" w:cs="Arial"/>
          <w:b/>
          <w:szCs w:val="20"/>
        </w:rPr>
      </w:pPr>
      <w:r>
        <w:rPr>
          <w:rFonts w:ascii="Arial" w:hAnsi="Arial" w:cs="Arial"/>
          <w:b/>
          <w:szCs w:val="20"/>
        </w:rPr>
        <w:t>Table</w:t>
      </w:r>
      <w:r w:rsidRPr="004D5244">
        <w:rPr>
          <w:rFonts w:ascii="Arial" w:hAnsi="Arial" w:cs="Arial"/>
          <w:b/>
          <w:szCs w:val="20"/>
        </w:rPr>
        <w:t xml:space="preserve"> </w:t>
      </w:r>
      <w:r w:rsidR="00E97C3B">
        <w:rPr>
          <w:rFonts w:ascii="Arial" w:hAnsi="Arial" w:cs="Arial"/>
          <w:b/>
          <w:szCs w:val="20"/>
        </w:rPr>
        <w:t>8</w:t>
      </w:r>
      <w:r>
        <w:rPr>
          <w:rFonts w:ascii="Arial" w:hAnsi="Arial" w:cs="Arial"/>
          <w:b/>
          <w:szCs w:val="20"/>
        </w:rPr>
        <w:t>.</w:t>
      </w:r>
      <w:r>
        <w:rPr>
          <w:rFonts w:ascii="Arial" w:hAnsi="Arial" w:cs="Arial"/>
          <w:b/>
          <w:szCs w:val="20"/>
        </w:rPr>
        <w:tab/>
      </w:r>
      <w:r w:rsidRPr="004D5244">
        <w:rPr>
          <w:rFonts w:ascii="Arial" w:hAnsi="Arial" w:cs="Arial"/>
          <w:b/>
          <w:szCs w:val="20"/>
        </w:rPr>
        <w:t xml:space="preserve">Estimated </w:t>
      </w:r>
      <w:r>
        <w:rPr>
          <w:rFonts w:ascii="Arial" w:hAnsi="Arial" w:cs="Arial"/>
          <w:b/>
          <w:szCs w:val="20"/>
        </w:rPr>
        <w:t>Cost to the Federal Governme</w:t>
      </w:r>
      <w:r w:rsidR="001C697F">
        <w:rPr>
          <w:rFonts w:ascii="Arial" w:hAnsi="Arial" w:cs="Arial"/>
          <w:b/>
          <w:szCs w:val="20"/>
        </w:rPr>
        <w:t>n</w:t>
      </w:r>
      <w:r>
        <w:rPr>
          <w:rFonts w:ascii="Arial" w:hAnsi="Arial" w:cs="Arial"/>
          <w:b/>
          <w:szCs w:val="20"/>
        </w:rPr>
        <w:t>t</w:t>
      </w:r>
    </w:p>
    <w:p w:rsidR="001C697F" w:rsidRDefault="001C697F" w:rsidP="00FF15C7">
      <w:pPr>
        <w:ind w:left="990" w:hanging="990"/>
        <w:rPr>
          <w:rFonts w:ascii="Arial" w:hAnsi="Arial" w:cs="Arial"/>
          <w:b/>
          <w:szCs w:val="20"/>
        </w:rPr>
      </w:pPr>
    </w:p>
    <w:p w:rsidR="00FF15C7" w:rsidRDefault="00B87C2D" w:rsidP="00C71131">
      <w:pPr>
        <w:ind w:left="25"/>
        <w:jc w:val="both"/>
        <w:rPr>
          <w:color w:val="000000"/>
        </w:rPr>
      </w:pPr>
      <w:r w:rsidRPr="00B87C2D">
        <w:rPr>
          <w:noProof/>
        </w:rPr>
        <w:lastRenderedPageBreak/>
        <w:drawing>
          <wp:inline distT="0" distB="0" distL="0" distR="0" wp14:anchorId="702B3BA4" wp14:editId="459C0208">
            <wp:extent cx="5943600" cy="3566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rsidR="00D7590B" w:rsidRDefault="00D7590B" w:rsidP="00C71131">
      <w:pPr>
        <w:ind w:left="25"/>
        <w:jc w:val="both"/>
        <w:rPr>
          <w:color w:val="000000"/>
        </w:rPr>
      </w:pPr>
    </w:p>
    <w:p w:rsidR="00C71131" w:rsidRDefault="00C71131" w:rsidP="009B1730">
      <w:pPr>
        <w:keepNext/>
        <w:numPr>
          <w:ilvl w:val="0"/>
          <w:numId w:val="7"/>
        </w:numPr>
        <w:ind w:left="360"/>
        <w:jc w:val="both"/>
      </w:pPr>
      <w:r>
        <w:rPr>
          <w:b/>
          <w:bCs/>
          <w:u w:val="single"/>
        </w:rPr>
        <w:t>Explain the reasons for any program changes or adjustments</w:t>
      </w:r>
      <w:r w:rsidRPr="004D5244">
        <w:rPr>
          <w:b/>
          <w:bCs/>
          <w:u w:val="single"/>
        </w:rPr>
        <w:t>.</w:t>
      </w:r>
    </w:p>
    <w:p w:rsidR="00C71131" w:rsidRDefault="00C71131" w:rsidP="00C71131">
      <w:pPr>
        <w:keepNext/>
        <w:keepLines/>
      </w:pPr>
    </w:p>
    <w:p w:rsidR="00C71131" w:rsidRDefault="009F7E9B" w:rsidP="00C71131">
      <w:pPr>
        <w:keepNext/>
        <w:keepLines/>
      </w:pPr>
      <w:r>
        <w:t>This ICR is a new request and does not result from any program changes or adjustments.</w:t>
      </w:r>
    </w:p>
    <w:p w:rsidR="00C71131" w:rsidRDefault="00C71131" w:rsidP="00C71131"/>
    <w:p w:rsidR="00C71131" w:rsidRDefault="00C71131" w:rsidP="00C71131">
      <w:pPr>
        <w:numPr>
          <w:ilvl w:val="0"/>
          <w:numId w:val="7"/>
        </w:numPr>
        <w:ind w:left="360"/>
        <w:jc w:val="both"/>
      </w:pPr>
      <w:r>
        <w:rPr>
          <w:b/>
          <w:bCs/>
          <w:u w:val="single"/>
        </w:rPr>
        <w:t>For collections whose results will be published, outline the plans for tabulation and publication</w:t>
      </w:r>
      <w:r w:rsidRPr="004D5244">
        <w:rPr>
          <w:b/>
          <w:bCs/>
          <w:u w:val="single"/>
        </w:rPr>
        <w:t>.</w:t>
      </w:r>
    </w:p>
    <w:p w:rsidR="00C71131" w:rsidRDefault="00C71131" w:rsidP="00C71131"/>
    <w:p w:rsidR="005D285D" w:rsidRDefault="005D285D" w:rsidP="005D285D">
      <w:pPr>
        <w:jc w:val="both"/>
      </w:pPr>
      <w:r>
        <w:t xml:space="preserve">The results of the evaluation covered by this ICR will be </w:t>
      </w:r>
      <w:r w:rsidR="00CD2BB7">
        <w:t>documented</w:t>
      </w:r>
      <w:r>
        <w:t xml:space="preserve"> in a report to HUD, which is currently scheduled to be delivered in August 2015.</w:t>
      </w:r>
      <w:r w:rsidRPr="00F64846">
        <w:t xml:space="preserve"> </w:t>
      </w:r>
      <w:r>
        <w:t>In this report, Econometrica will provide summary aggregated data documenting study findings</w:t>
      </w:r>
      <w:r w:rsidR="00D5187D">
        <w:t xml:space="preserve">. </w:t>
      </w:r>
      <w:r>
        <w:t>HUD plans to publish the findi</w:t>
      </w:r>
      <w:r w:rsidR="00FD2A38">
        <w:t>ngs of the evaluation on their W</w:t>
      </w:r>
      <w:r>
        <w:t>eb</w:t>
      </w:r>
      <w:r w:rsidR="00FD2A38">
        <w:t xml:space="preserve"> </w:t>
      </w:r>
      <w:r>
        <w:t xml:space="preserve">site, located at </w:t>
      </w:r>
      <w:hyperlink r:id="rId12" w:history="1">
        <w:r w:rsidRPr="00F16E23">
          <w:rPr>
            <w:rStyle w:val="Hyperlink"/>
          </w:rPr>
          <w:t>www.huduser.org</w:t>
        </w:r>
      </w:hyperlink>
      <w:r>
        <w:t>, at the conclusion of the study</w:t>
      </w:r>
      <w:r w:rsidR="00D5187D">
        <w:t xml:space="preserve">. </w:t>
      </w:r>
    </w:p>
    <w:p w:rsidR="00CD2BB7" w:rsidRDefault="00CD2BB7" w:rsidP="005D285D">
      <w:pPr>
        <w:jc w:val="both"/>
      </w:pPr>
    </w:p>
    <w:p w:rsidR="00C71131" w:rsidRDefault="00CB684B" w:rsidP="00C71131">
      <w:pPr>
        <w:jc w:val="both"/>
      </w:pPr>
      <w:r>
        <w:t xml:space="preserve"> Data collection using the</w:t>
      </w:r>
      <w:r w:rsidR="00C71131">
        <w:rPr>
          <w:szCs w:val="20"/>
        </w:rPr>
        <w:t xml:space="preserve"> Physical and Financial Condition </w:t>
      </w:r>
      <w:r w:rsidR="003B68AD">
        <w:rPr>
          <w:szCs w:val="20"/>
        </w:rPr>
        <w:t>W</w:t>
      </w:r>
      <w:r>
        <w:rPr>
          <w:szCs w:val="20"/>
        </w:rPr>
        <w:t xml:space="preserve">eb survey </w:t>
      </w:r>
      <w:r w:rsidR="00C71131">
        <w:rPr>
          <w:szCs w:val="20"/>
        </w:rPr>
        <w:t xml:space="preserve">and the Implementation </w:t>
      </w:r>
      <w:r>
        <w:rPr>
          <w:szCs w:val="20"/>
        </w:rPr>
        <w:t>telephone</w:t>
      </w:r>
      <w:r w:rsidR="00C71131">
        <w:rPr>
          <w:szCs w:val="20"/>
        </w:rPr>
        <w:t xml:space="preserve"> interviews will be administered </w:t>
      </w:r>
      <w:r w:rsidR="00C71131" w:rsidRPr="00D91360">
        <w:rPr>
          <w:szCs w:val="20"/>
        </w:rPr>
        <w:t>as soon as possible</w:t>
      </w:r>
      <w:r w:rsidR="00C71131">
        <w:rPr>
          <w:szCs w:val="20"/>
        </w:rPr>
        <w:t xml:space="preserve"> after receiving OMB approval, but not until the RAD program participant properties have gone to closing. Once the RAD properties have been selected for the study, the comparison </w:t>
      </w:r>
      <w:r>
        <w:rPr>
          <w:szCs w:val="20"/>
        </w:rPr>
        <w:t xml:space="preserve">of </w:t>
      </w:r>
      <w:r w:rsidR="00C71131">
        <w:rPr>
          <w:szCs w:val="20"/>
        </w:rPr>
        <w:t>non-RAD properties can be chosen; thus</w:t>
      </w:r>
      <w:r w:rsidR="00C71131">
        <w:t>,</w:t>
      </w:r>
      <w:r w:rsidR="00C71131" w:rsidRPr="00D91360">
        <w:t xml:space="preserve"> </w:t>
      </w:r>
      <w:r w:rsidR="00C71131">
        <w:t xml:space="preserve">the data collection will proceed on a </w:t>
      </w:r>
      <w:r w:rsidR="00C71131" w:rsidRPr="00D91360">
        <w:t>rolling schedule</w:t>
      </w:r>
      <w:r>
        <w:t xml:space="preserve"> once OMB approval has been received</w:t>
      </w:r>
      <w:r w:rsidR="00C71131" w:rsidRPr="00D91360">
        <w:t xml:space="preserve">. </w:t>
      </w:r>
    </w:p>
    <w:p w:rsidR="00C71131" w:rsidRDefault="00C71131" w:rsidP="00C71131">
      <w:pPr>
        <w:jc w:val="both"/>
      </w:pPr>
    </w:p>
    <w:p w:rsidR="00C71131" w:rsidRPr="00D91360" w:rsidRDefault="00CB684B" w:rsidP="00C71131">
      <w:pPr>
        <w:jc w:val="both"/>
        <w:rPr>
          <w:szCs w:val="20"/>
        </w:rPr>
      </w:pPr>
      <w:r>
        <w:t>For the resident portion of the study, we assume</w:t>
      </w:r>
      <w:r w:rsidRPr="00D91360">
        <w:t xml:space="preserve"> that residents will not be dislocated from their units for at least a month </w:t>
      </w:r>
      <w:r>
        <w:t>after</w:t>
      </w:r>
      <w:r w:rsidRPr="00D91360">
        <w:t xml:space="preserve"> </w:t>
      </w:r>
      <w:r>
        <w:t>the property is fully registered as a RAD program participant</w:t>
      </w:r>
      <w:r w:rsidR="00D5187D">
        <w:t xml:space="preserve">. </w:t>
      </w:r>
      <w:r>
        <w:t xml:space="preserve">The administration of the </w:t>
      </w:r>
      <w:r w:rsidRPr="004C0479">
        <w:t>Resident Intake Study Correspondence and Intake Form</w:t>
      </w:r>
      <w:r>
        <w:t xml:space="preserve"> will </w:t>
      </w:r>
      <w:r w:rsidR="005D285D">
        <w:t xml:space="preserve">therefore </w:t>
      </w:r>
      <w:r>
        <w:t xml:space="preserve">take place on a rolling basis following project closure, once OMB approval has been received. </w:t>
      </w:r>
      <w:r w:rsidR="00C71131" w:rsidRPr="00D91360">
        <w:t>In the event that we are unable to enroll residents before displacement, a sampled property may be replaced for the purposes of the resident survey with a similar property from the pool of eligible properties.</w:t>
      </w:r>
    </w:p>
    <w:p w:rsidR="00C71131" w:rsidRDefault="00C71131" w:rsidP="00C71131">
      <w:pPr>
        <w:jc w:val="both"/>
      </w:pPr>
    </w:p>
    <w:p w:rsidR="00C71131" w:rsidRDefault="005D285D" w:rsidP="00C71131">
      <w:pPr>
        <w:jc w:val="both"/>
      </w:pPr>
      <w:r>
        <w:t xml:space="preserve">Data will be collected and stored </w:t>
      </w:r>
      <w:r w:rsidR="003B68AD">
        <w:t xml:space="preserve">in </w:t>
      </w:r>
      <w:r>
        <w:t>Microsoft Excel</w:t>
      </w:r>
      <w:r w:rsidR="003B68AD">
        <w:t xml:space="preserve"> files</w:t>
      </w:r>
      <w:r>
        <w:t xml:space="preserve">, </w:t>
      </w:r>
      <w:r w:rsidR="003B68AD">
        <w:t xml:space="preserve">a </w:t>
      </w:r>
      <w:r>
        <w:t>Microsoft Access</w:t>
      </w:r>
      <w:r w:rsidR="003B68AD">
        <w:t xml:space="preserve"> database</w:t>
      </w:r>
      <w:r>
        <w:t xml:space="preserve">, and recordings (if approved by the entity being interviewed during the telephone surveys). Data analysis will be primarily conducted using </w:t>
      </w:r>
      <w:r w:rsidR="00C71131">
        <w:t>SAS</w:t>
      </w:r>
      <w:r>
        <w:t xml:space="preserve">. </w:t>
      </w:r>
    </w:p>
    <w:p w:rsidR="00C71131" w:rsidRDefault="00C71131" w:rsidP="00C71131">
      <w:pPr>
        <w:jc w:val="both"/>
      </w:pPr>
    </w:p>
    <w:p w:rsidR="00C71131" w:rsidRDefault="001E077E" w:rsidP="003257AB">
      <w:pPr>
        <w:jc w:val="both"/>
      </w:pPr>
      <w:r>
        <w:t xml:space="preserve">Table </w:t>
      </w:r>
      <w:r w:rsidR="00E97C3B">
        <w:t>9</w:t>
      </w:r>
      <w:r>
        <w:t xml:space="preserve"> provides a timeline for the base period </w:t>
      </w:r>
      <w:r w:rsidR="0005124B">
        <w:t xml:space="preserve">data collection and fieldwork </w:t>
      </w:r>
      <w:r w:rsidR="00953195">
        <w:t xml:space="preserve">for the three </w:t>
      </w:r>
      <w:r>
        <w:t>study components.</w:t>
      </w:r>
    </w:p>
    <w:p w:rsidR="004105E5" w:rsidRDefault="004105E5" w:rsidP="00C71131"/>
    <w:p w:rsidR="004105E5" w:rsidRDefault="004105E5" w:rsidP="00C71131">
      <w:pPr>
        <w:rPr>
          <w:rFonts w:ascii="Arial" w:hAnsi="Arial" w:cs="Arial"/>
          <w:b/>
        </w:rPr>
      </w:pPr>
      <w:r w:rsidRPr="003257AB">
        <w:rPr>
          <w:rFonts w:ascii="Arial" w:hAnsi="Arial" w:cs="Arial"/>
          <w:b/>
        </w:rPr>
        <w:t xml:space="preserve">Table </w:t>
      </w:r>
      <w:r w:rsidR="00E97C3B">
        <w:rPr>
          <w:rFonts w:ascii="Arial" w:hAnsi="Arial" w:cs="Arial"/>
          <w:b/>
        </w:rPr>
        <w:t>9</w:t>
      </w:r>
      <w:r w:rsidRPr="003257AB">
        <w:rPr>
          <w:rFonts w:ascii="Arial" w:hAnsi="Arial" w:cs="Arial"/>
          <w:b/>
        </w:rPr>
        <w:t xml:space="preserve">. Base Period </w:t>
      </w:r>
      <w:r w:rsidR="00526E42">
        <w:rPr>
          <w:rFonts w:ascii="Arial" w:hAnsi="Arial" w:cs="Arial"/>
          <w:b/>
        </w:rPr>
        <w:t>Data Collection and Fieldw</w:t>
      </w:r>
      <w:r w:rsidR="00E125E3">
        <w:rPr>
          <w:rFonts w:ascii="Arial" w:hAnsi="Arial" w:cs="Arial"/>
          <w:b/>
        </w:rPr>
        <w:t xml:space="preserve">ork </w:t>
      </w:r>
      <w:r w:rsidRPr="003257AB">
        <w:rPr>
          <w:rFonts w:ascii="Arial" w:hAnsi="Arial" w:cs="Arial"/>
          <w:b/>
        </w:rPr>
        <w:t>Timeline</w:t>
      </w:r>
      <w:r w:rsidR="00EF5372">
        <w:rPr>
          <w:rStyle w:val="FootnoteReference"/>
          <w:rFonts w:ascii="Arial" w:hAnsi="Arial" w:cs="Arial"/>
          <w:b/>
        </w:rPr>
        <w:footnoteReference w:id="5"/>
      </w:r>
    </w:p>
    <w:p w:rsidR="001C697F" w:rsidRPr="003257AB" w:rsidRDefault="001C697F" w:rsidP="00C71131">
      <w:pPr>
        <w:rPr>
          <w:rFonts w:ascii="Arial" w:hAnsi="Arial" w:cs="Arial"/>
          <w:b/>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2880"/>
        <w:gridCol w:w="3348"/>
      </w:tblGrid>
      <w:tr w:rsidR="005342DB" w:rsidRPr="003257AB" w:rsidTr="003257AB">
        <w:trPr>
          <w:cantSplit/>
          <w:trHeight w:val="375"/>
          <w:tblHeader/>
        </w:trPr>
        <w:tc>
          <w:tcPr>
            <w:tcW w:w="3240" w:type="dxa"/>
            <w:shd w:val="clear" w:color="auto" w:fill="99CCFF"/>
            <w:vAlign w:val="center"/>
          </w:tcPr>
          <w:p w:rsidR="005342DB" w:rsidRPr="003257AB" w:rsidRDefault="005342DB" w:rsidP="003257AB">
            <w:pPr>
              <w:jc w:val="center"/>
              <w:rPr>
                <w:rFonts w:ascii="Arial" w:hAnsi="Arial" w:cs="Arial"/>
                <w:b/>
                <w:sz w:val="22"/>
                <w:szCs w:val="20"/>
              </w:rPr>
            </w:pPr>
            <w:r w:rsidRPr="003257AB">
              <w:rPr>
                <w:rFonts w:ascii="Arial" w:hAnsi="Arial" w:cs="Arial"/>
                <w:b/>
                <w:sz w:val="22"/>
                <w:szCs w:val="20"/>
              </w:rPr>
              <w:t>Task</w:t>
            </w:r>
          </w:p>
        </w:tc>
        <w:tc>
          <w:tcPr>
            <w:tcW w:w="2880" w:type="dxa"/>
            <w:shd w:val="clear" w:color="auto" w:fill="99CCFF"/>
            <w:vAlign w:val="center"/>
          </w:tcPr>
          <w:p w:rsidR="005342DB" w:rsidRPr="003257AB" w:rsidRDefault="0005124B" w:rsidP="003257AB">
            <w:pPr>
              <w:jc w:val="center"/>
              <w:rPr>
                <w:rFonts w:ascii="Arial" w:hAnsi="Arial" w:cs="Arial"/>
                <w:b/>
                <w:sz w:val="22"/>
                <w:szCs w:val="20"/>
              </w:rPr>
            </w:pPr>
            <w:r w:rsidRPr="003257AB">
              <w:rPr>
                <w:rFonts w:ascii="Arial" w:hAnsi="Arial" w:cs="Arial"/>
                <w:b/>
                <w:sz w:val="22"/>
                <w:szCs w:val="20"/>
              </w:rPr>
              <w:t xml:space="preserve">Beginning </w:t>
            </w:r>
            <w:r w:rsidR="005342DB" w:rsidRPr="003257AB">
              <w:rPr>
                <w:rFonts w:ascii="Arial" w:hAnsi="Arial" w:cs="Arial"/>
                <w:b/>
                <w:sz w:val="22"/>
                <w:szCs w:val="20"/>
              </w:rPr>
              <w:t>Date</w:t>
            </w:r>
          </w:p>
        </w:tc>
        <w:tc>
          <w:tcPr>
            <w:tcW w:w="3348" w:type="dxa"/>
            <w:shd w:val="clear" w:color="auto" w:fill="99CCFF"/>
            <w:vAlign w:val="center"/>
          </w:tcPr>
          <w:p w:rsidR="005342DB" w:rsidRPr="003257AB" w:rsidRDefault="0005124B" w:rsidP="003257AB">
            <w:pPr>
              <w:jc w:val="center"/>
              <w:rPr>
                <w:rFonts w:ascii="Arial" w:hAnsi="Arial" w:cs="Arial"/>
                <w:b/>
                <w:sz w:val="22"/>
                <w:szCs w:val="20"/>
              </w:rPr>
            </w:pPr>
            <w:r w:rsidRPr="003257AB">
              <w:rPr>
                <w:rFonts w:ascii="Arial" w:hAnsi="Arial" w:cs="Arial"/>
                <w:b/>
                <w:sz w:val="22"/>
                <w:szCs w:val="20"/>
              </w:rPr>
              <w:t>End date</w:t>
            </w:r>
          </w:p>
        </w:tc>
      </w:tr>
      <w:tr w:rsidR="005342DB" w:rsidRPr="003257AB" w:rsidTr="003257AB">
        <w:trPr>
          <w:cantSplit/>
        </w:trPr>
        <w:tc>
          <w:tcPr>
            <w:tcW w:w="3240" w:type="dxa"/>
          </w:tcPr>
          <w:p w:rsidR="005342DB" w:rsidRPr="00875817" w:rsidRDefault="005342DB" w:rsidP="00976343">
            <w:pPr>
              <w:numPr>
                <w:ilvl w:val="0"/>
                <w:numId w:val="16"/>
              </w:numPr>
              <w:ind w:left="342" w:hanging="270"/>
              <w:contextualSpacing/>
              <w:rPr>
                <w:rFonts w:ascii="Arial" w:eastAsia="Calibri" w:hAnsi="Arial" w:cs="Arial"/>
                <w:sz w:val="20"/>
                <w:szCs w:val="20"/>
              </w:rPr>
            </w:pPr>
            <w:r w:rsidRPr="00875817">
              <w:rPr>
                <w:rFonts w:ascii="Arial" w:eastAsia="Calibri" w:hAnsi="Arial" w:cs="Arial"/>
                <w:sz w:val="20"/>
                <w:szCs w:val="20"/>
              </w:rPr>
              <w:t xml:space="preserve">Conduct Web </w:t>
            </w:r>
            <w:r w:rsidR="00875817" w:rsidRPr="00875817">
              <w:rPr>
                <w:rFonts w:ascii="Arial" w:eastAsia="Calibri" w:hAnsi="Arial" w:cs="Arial"/>
                <w:sz w:val="20"/>
                <w:szCs w:val="20"/>
              </w:rPr>
              <w:t xml:space="preserve">surveys of study properties </w:t>
            </w:r>
            <w:r w:rsidRPr="00875817">
              <w:rPr>
                <w:rFonts w:ascii="Arial" w:eastAsia="Calibri" w:hAnsi="Arial" w:cs="Arial"/>
                <w:sz w:val="20"/>
                <w:szCs w:val="20"/>
              </w:rPr>
              <w:t>for the Physical</w:t>
            </w:r>
            <w:r w:rsidR="00875817">
              <w:rPr>
                <w:rFonts w:ascii="Arial" w:eastAsia="Calibri" w:hAnsi="Arial" w:cs="Arial"/>
                <w:sz w:val="20"/>
                <w:szCs w:val="20"/>
              </w:rPr>
              <w:t xml:space="preserve"> and Financial Condition Study c</w:t>
            </w:r>
            <w:r w:rsidRPr="00875817">
              <w:rPr>
                <w:rFonts w:ascii="Arial" w:eastAsia="Calibri" w:hAnsi="Arial" w:cs="Arial"/>
                <w:sz w:val="20"/>
                <w:szCs w:val="20"/>
              </w:rPr>
              <w:t>omponent</w:t>
            </w:r>
          </w:p>
          <w:p w:rsidR="005342DB" w:rsidRPr="00875817" w:rsidRDefault="005342DB" w:rsidP="00976343">
            <w:pPr>
              <w:ind w:left="342" w:hanging="270"/>
              <w:rPr>
                <w:rFonts w:ascii="Arial" w:hAnsi="Arial" w:cs="Arial"/>
                <w:sz w:val="20"/>
                <w:szCs w:val="20"/>
              </w:rPr>
            </w:pPr>
          </w:p>
        </w:tc>
        <w:tc>
          <w:tcPr>
            <w:tcW w:w="2880" w:type="dxa"/>
          </w:tcPr>
          <w:p w:rsidR="005342DB" w:rsidRPr="00875817" w:rsidRDefault="005342DB" w:rsidP="00C71131">
            <w:pPr>
              <w:rPr>
                <w:rFonts w:ascii="Arial" w:hAnsi="Arial" w:cs="Arial"/>
                <w:sz w:val="20"/>
                <w:szCs w:val="20"/>
              </w:rPr>
            </w:pPr>
            <w:r w:rsidRPr="00875817">
              <w:rPr>
                <w:rFonts w:ascii="Arial" w:hAnsi="Arial" w:cs="Arial"/>
                <w:sz w:val="20"/>
                <w:szCs w:val="20"/>
              </w:rPr>
              <w:t>Immediately</w:t>
            </w:r>
            <w:r w:rsidR="0005124B" w:rsidRPr="00875817">
              <w:rPr>
                <w:rFonts w:ascii="Arial" w:hAnsi="Arial" w:cs="Arial"/>
                <w:sz w:val="20"/>
                <w:szCs w:val="20"/>
              </w:rPr>
              <w:t xml:space="preserve"> after receipt of OMB Approval</w:t>
            </w:r>
          </w:p>
        </w:tc>
        <w:tc>
          <w:tcPr>
            <w:tcW w:w="3348" w:type="dxa"/>
          </w:tcPr>
          <w:p w:rsidR="005342DB" w:rsidRPr="00875817" w:rsidRDefault="003B68AD" w:rsidP="003B68AD">
            <w:pPr>
              <w:rPr>
                <w:rFonts w:ascii="Arial" w:hAnsi="Arial" w:cs="Arial"/>
                <w:sz w:val="20"/>
                <w:szCs w:val="20"/>
              </w:rPr>
            </w:pPr>
            <w:r w:rsidRPr="00875817">
              <w:rPr>
                <w:rFonts w:ascii="Arial" w:hAnsi="Arial" w:cs="Arial"/>
                <w:sz w:val="20"/>
                <w:szCs w:val="20"/>
              </w:rPr>
              <w:t>The survey will close three</w:t>
            </w:r>
            <w:r w:rsidR="0005124B" w:rsidRPr="00875817">
              <w:rPr>
                <w:rFonts w:ascii="Arial" w:hAnsi="Arial" w:cs="Arial"/>
                <w:sz w:val="20"/>
                <w:szCs w:val="20"/>
              </w:rPr>
              <w:t xml:space="preserve"> months after receipt of OMB approval</w:t>
            </w:r>
            <w:r w:rsidR="00953195" w:rsidRPr="00875817">
              <w:rPr>
                <w:rFonts w:ascii="Arial" w:hAnsi="Arial" w:cs="Arial"/>
                <w:sz w:val="20"/>
                <w:szCs w:val="20"/>
              </w:rPr>
              <w:t xml:space="preserve"> </w:t>
            </w:r>
            <w:r w:rsidRPr="00875817">
              <w:rPr>
                <w:rFonts w:ascii="Arial" w:hAnsi="Arial" w:cs="Arial"/>
                <w:sz w:val="20"/>
                <w:szCs w:val="20"/>
              </w:rPr>
              <w:t>or January 31, 2015.</w:t>
            </w:r>
          </w:p>
        </w:tc>
      </w:tr>
      <w:tr w:rsidR="005342DB" w:rsidRPr="003257AB" w:rsidTr="003257AB">
        <w:trPr>
          <w:cantSplit/>
        </w:trPr>
        <w:tc>
          <w:tcPr>
            <w:tcW w:w="3240" w:type="dxa"/>
          </w:tcPr>
          <w:p w:rsidR="005342DB" w:rsidRPr="00875817" w:rsidRDefault="005342DB" w:rsidP="00976343">
            <w:pPr>
              <w:numPr>
                <w:ilvl w:val="0"/>
                <w:numId w:val="16"/>
              </w:numPr>
              <w:ind w:left="342" w:hanging="270"/>
              <w:contextualSpacing/>
              <w:rPr>
                <w:rFonts w:ascii="Arial" w:eastAsia="Calibri" w:hAnsi="Arial" w:cs="Arial"/>
                <w:sz w:val="20"/>
                <w:szCs w:val="20"/>
              </w:rPr>
            </w:pPr>
            <w:r w:rsidRPr="00875817">
              <w:rPr>
                <w:rFonts w:ascii="Arial" w:eastAsia="Calibri" w:hAnsi="Arial" w:cs="Arial"/>
                <w:sz w:val="20"/>
                <w:szCs w:val="20"/>
              </w:rPr>
              <w:t xml:space="preserve">Conduct </w:t>
            </w:r>
            <w:r w:rsidR="00875817" w:rsidRPr="00875817">
              <w:rPr>
                <w:rFonts w:ascii="Arial" w:eastAsia="Calibri" w:hAnsi="Arial" w:cs="Arial"/>
                <w:sz w:val="20"/>
                <w:szCs w:val="20"/>
              </w:rPr>
              <w:t xml:space="preserve">interviews with study properties’ representatives </w:t>
            </w:r>
            <w:r w:rsidRPr="00875817">
              <w:rPr>
                <w:rFonts w:ascii="Arial" w:eastAsia="Calibri" w:hAnsi="Arial" w:cs="Arial"/>
                <w:sz w:val="20"/>
                <w:szCs w:val="20"/>
              </w:rPr>
              <w:t xml:space="preserve">for the Implementation Study </w:t>
            </w:r>
          </w:p>
          <w:p w:rsidR="005342DB" w:rsidRPr="00875817" w:rsidRDefault="005342DB" w:rsidP="00976343">
            <w:pPr>
              <w:ind w:left="342" w:hanging="270"/>
              <w:rPr>
                <w:rFonts w:ascii="Arial" w:hAnsi="Arial" w:cs="Arial"/>
                <w:sz w:val="20"/>
                <w:szCs w:val="20"/>
              </w:rPr>
            </w:pPr>
          </w:p>
        </w:tc>
        <w:tc>
          <w:tcPr>
            <w:tcW w:w="2880" w:type="dxa"/>
          </w:tcPr>
          <w:p w:rsidR="005342DB" w:rsidRPr="00875817" w:rsidRDefault="0005124B" w:rsidP="00C71131">
            <w:pPr>
              <w:rPr>
                <w:rFonts w:ascii="Arial" w:hAnsi="Arial" w:cs="Arial"/>
                <w:sz w:val="20"/>
                <w:szCs w:val="20"/>
              </w:rPr>
            </w:pPr>
            <w:r w:rsidRPr="00875817">
              <w:rPr>
                <w:rFonts w:ascii="Arial" w:hAnsi="Arial" w:cs="Arial"/>
                <w:sz w:val="20"/>
                <w:szCs w:val="20"/>
              </w:rPr>
              <w:t>Immediately after receipt of OMB Approval</w:t>
            </w:r>
          </w:p>
        </w:tc>
        <w:tc>
          <w:tcPr>
            <w:tcW w:w="3348" w:type="dxa"/>
          </w:tcPr>
          <w:p w:rsidR="005342DB" w:rsidRPr="00875817" w:rsidRDefault="003B68AD" w:rsidP="003B68AD">
            <w:pPr>
              <w:rPr>
                <w:rFonts w:ascii="Arial" w:hAnsi="Arial" w:cs="Arial"/>
                <w:sz w:val="20"/>
                <w:szCs w:val="20"/>
              </w:rPr>
            </w:pPr>
            <w:r w:rsidRPr="00875817">
              <w:rPr>
                <w:rFonts w:ascii="Arial" w:hAnsi="Arial" w:cs="Arial"/>
                <w:sz w:val="20"/>
                <w:szCs w:val="20"/>
              </w:rPr>
              <w:t>The interviews will conclude four</w:t>
            </w:r>
            <w:r w:rsidR="0005124B" w:rsidRPr="00875817">
              <w:rPr>
                <w:rFonts w:ascii="Arial" w:hAnsi="Arial" w:cs="Arial"/>
                <w:sz w:val="20"/>
                <w:szCs w:val="20"/>
              </w:rPr>
              <w:t xml:space="preserve"> months after receipt of OMB approval</w:t>
            </w:r>
            <w:r w:rsidR="00953195" w:rsidRPr="00875817">
              <w:rPr>
                <w:rFonts w:ascii="Arial" w:hAnsi="Arial" w:cs="Arial"/>
                <w:sz w:val="20"/>
                <w:szCs w:val="20"/>
              </w:rPr>
              <w:t xml:space="preserve"> </w:t>
            </w:r>
            <w:r w:rsidRPr="00875817">
              <w:rPr>
                <w:rFonts w:ascii="Arial" w:hAnsi="Arial" w:cs="Arial"/>
                <w:sz w:val="20"/>
                <w:szCs w:val="20"/>
              </w:rPr>
              <w:t>or February 27, 2015.</w:t>
            </w:r>
          </w:p>
        </w:tc>
      </w:tr>
      <w:tr w:rsidR="005342DB" w:rsidRPr="003257AB" w:rsidTr="003257AB">
        <w:trPr>
          <w:cantSplit/>
        </w:trPr>
        <w:tc>
          <w:tcPr>
            <w:tcW w:w="3240" w:type="dxa"/>
          </w:tcPr>
          <w:p w:rsidR="005342DB" w:rsidRPr="00875817" w:rsidRDefault="00953195" w:rsidP="00976343">
            <w:pPr>
              <w:pStyle w:val="ListParagraph"/>
              <w:numPr>
                <w:ilvl w:val="0"/>
                <w:numId w:val="16"/>
              </w:numPr>
              <w:ind w:left="342" w:hanging="270"/>
              <w:rPr>
                <w:rFonts w:ascii="Arial" w:hAnsi="Arial" w:cs="Arial"/>
                <w:sz w:val="20"/>
                <w:szCs w:val="20"/>
              </w:rPr>
            </w:pPr>
            <w:r w:rsidRPr="00875817">
              <w:rPr>
                <w:rFonts w:ascii="Arial" w:eastAsia="Calibri" w:hAnsi="Arial" w:cs="Arial"/>
                <w:sz w:val="20"/>
                <w:szCs w:val="20"/>
              </w:rPr>
              <w:t xml:space="preserve">Administer the </w:t>
            </w:r>
            <w:r w:rsidR="0005124B" w:rsidRPr="00875817">
              <w:rPr>
                <w:rFonts w:ascii="Arial" w:eastAsia="Calibri" w:hAnsi="Arial" w:cs="Arial"/>
                <w:sz w:val="20"/>
                <w:szCs w:val="20"/>
              </w:rPr>
              <w:t>Resident Intake</w:t>
            </w:r>
            <w:r w:rsidRPr="00875817">
              <w:rPr>
                <w:rFonts w:ascii="Arial" w:eastAsia="Calibri" w:hAnsi="Arial" w:cs="Arial"/>
                <w:sz w:val="20"/>
                <w:szCs w:val="20"/>
              </w:rPr>
              <w:t xml:space="preserve"> form</w:t>
            </w:r>
          </w:p>
        </w:tc>
        <w:tc>
          <w:tcPr>
            <w:tcW w:w="2880" w:type="dxa"/>
          </w:tcPr>
          <w:p w:rsidR="005342DB" w:rsidRPr="00875817" w:rsidRDefault="0005124B" w:rsidP="00C71131">
            <w:pPr>
              <w:rPr>
                <w:rFonts w:ascii="Arial" w:hAnsi="Arial" w:cs="Arial"/>
                <w:sz w:val="20"/>
                <w:szCs w:val="20"/>
              </w:rPr>
            </w:pPr>
            <w:r w:rsidRPr="00875817">
              <w:rPr>
                <w:rFonts w:ascii="Arial" w:hAnsi="Arial" w:cs="Arial"/>
                <w:sz w:val="20"/>
                <w:szCs w:val="20"/>
              </w:rPr>
              <w:t>Immediately after receipt of OMB Approval</w:t>
            </w:r>
          </w:p>
        </w:tc>
        <w:tc>
          <w:tcPr>
            <w:tcW w:w="3348" w:type="dxa"/>
          </w:tcPr>
          <w:p w:rsidR="005342DB" w:rsidRPr="00875817" w:rsidRDefault="003B68AD" w:rsidP="00C71131">
            <w:pPr>
              <w:rPr>
                <w:rFonts w:ascii="Arial" w:hAnsi="Arial" w:cs="Arial"/>
                <w:sz w:val="20"/>
                <w:szCs w:val="20"/>
              </w:rPr>
            </w:pPr>
            <w:r w:rsidRPr="00875817">
              <w:rPr>
                <w:rFonts w:ascii="Arial" w:hAnsi="Arial" w:cs="Arial"/>
                <w:sz w:val="20"/>
                <w:szCs w:val="20"/>
              </w:rPr>
              <w:t>Three months after receipt of OMB approval or January 31, 2015.</w:t>
            </w:r>
          </w:p>
        </w:tc>
      </w:tr>
    </w:tbl>
    <w:p w:rsidR="006D1D41" w:rsidRDefault="006D1D41" w:rsidP="006D1D41"/>
    <w:p w:rsidR="001E077E" w:rsidRDefault="00953195" w:rsidP="003257AB">
      <w:pPr>
        <w:keepNext/>
      </w:pPr>
      <w:r>
        <w:t xml:space="preserve">Table </w:t>
      </w:r>
      <w:r w:rsidR="00E97C3B">
        <w:t xml:space="preserve">10 </w:t>
      </w:r>
      <w:r>
        <w:t xml:space="preserve">provides a timeline for the </w:t>
      </w:r>
      <w:r w:rsidR="0064046E">
        <w:t xml:space="preserve">data </w:t>
      </w:r>
      <w:r>
        <w:t xml:space="preserve">analysis </w:t>
      </w:r>
      <w:r w:rsidR="0064046E">
        <w:t xml:space="preserve">activities related to </w:t>
      </w:r>
      <w:r>
        <w:t>the Physical and Financial Condition and the Implementation Study</w:t>
      </w:r>
    </w:p>
    <w:p w:rsidR="00953195" w:rsidRDefault="00953195" w:rsidP="003257AB">
      <w:pPr>
        <w:keepNext/>
      </w:pPr>
    </w:p>
    <w:p w:rsidR="00953195" w:rsidRDefault="00E125E3" w:rsidP="003257AB">
      <w:pPr>
        <w:keepNext/>
        <w:rPr>
          <w:rFonts w:ascii="Arial" w:hAnsi="Arial" w:cs="Arial"/>
          <w:b/>
          <w:vertAlign w:val="superscript"/>
        </w:rPr>
      </w:pPr>
      <w:r w:rsidRPr="003257AB">
        <w:rPr>
          <w:rFonts w:ascii="Arial" w:hAnsi="Arial" w:cs="Arial"/>
          <w:b/>
        </w:rPr>
        <w:t xml:space="preserve">Table </w:t>
      </w:r>
      <w:r w:rsidR="00E97C3B">
        <w:rPr>
          <w:rFonts w:ascii="Arial" w:hAnsi="Arial" w:cs="Arial"/>
          <w:b/>
        </w:rPr>
        <w:t>10</w:t>
      </w:r>
      <w:r w:rsidRPr="003257AB">
        <w:rPr>
          <w:rFonts w:ascii="Arial" w:hAnsi="Arial" w:cs="Arial"/>
          <w:b/>
        </w:rPr>
        <w:t xml:space="preserve">. </w:t>
      </w:r>
      <w:r w:rsidR="0064046E">
        <w:rPr>
          <w:rFonts w:ascii="Arial" w:hAnsi="Arial" w:cs="Arial"/>
          <w:b/>
        </w:rPr>
        <w:t>Data Analysis</w:t>
      </w:r>
      <w:r w:rsidRPr="003257AB">
        <w:rPr>
          <w:rFonts w:ascii="Arial" w:hAnsi="Arial" w:cs="Arial"/>
          <w:b/>
        </w:rPr>
        <w:t xml:space="preserve"> Timeline</w:t>
      </w:r>
      <w:r w:rsidR="00995961" w:rsidRPr="00DF76E1">
        <w:rPr>
          <w:rFonts w:ascii="Arial" w:hAnsi="Arial" w:cs="Arial"/>
          <w:b/>
          <w:vertAlign w:val="superscript"/>
        </w:rPr>
        <w:t>5</w:t>
      </w:r>
    </w:p>
    <w:p w:rsidR="001C697F" w:rsidRPr="003257AB" w:rsidRDefault="001C697F" w:rsidP="003257AB">
      <w:pPr>
        <w:keepNext/>
        <w:rPr>
          <w:rFonts w:ascii="Arial" w:hAnsi="Arial" w:cs="Arial"/>
          <w:b/>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48"/>
        <w:gridCol w:w="2880"/>
        <w:gridCol w:w="3348"/>
      </w:tblGrid>
      <w:tr w:rsidR="00953195" w:rsidRPr="003257AB" w:rsidTr="003257AB">
        <w:trPr>
          <w:cantSplit/>
          <w:tblHeader/>
        </w:trPr>
        <w:tc>
          <w:tcPr>
            <w:tcW w:w="3348" w:type="dxa"/>
            <w:shd w:val="clear" w:color="auto" w:fill="99CCFF"/>
          </w:tcPr>
          <w:p w:rsidR="00953195" w:rsidRPr="003257AB" w:rsidRDefault="00953195" w:rsidP="003257AB">
            <w:pPr>
              <w:keepNext/>
              <w:rPr>
                <w:rFonts w:ascii="Arial" w:hAnsi="Arial" w:cs="Arial"/>
                <w:b/>
                <w:sz w:val="22"/>
                <w:szCs w:val="20"/>
              </w:rPr>
            </w:pPr>
            <w:r w:rsidRPr="003257AB">
              <w:rPr>
                <w:rFonts w:ascii="Arial" w:hAnsi="Arial" w:cs="Arial"/>
                <w:b/>
                <w:sz w:val="22"/>
                <w:szCs w:val="20"/>
              </w:rPr>
              <w:t>Task</w:t>
            </w:r>
          </w:p>
        </w:tc>
        <w:tc>
          <w:tcPr>
            <w:tcW w:w="2880" w:type="dxa"/>
            <w:shd w:val="clear" w:color="auto" w:fill="99CCFF"/>
          </w:tcPr>
          <w:p w:rsidR="00953195" w:rsidRPr="003257AB" w:rsidRDefault="00953195" w:rsidP="003257AB">
            <w:pPr>
              <w:keepNext/>
              <w:rPr>
                <w:rFonts w:ascii="Arial" w:hAnsi="Arial" w:cs="Arial"/>
                <w:b/>
                <w:sz w:val="22"/>
                <w:szCs w:val="20"/>
              </w:rPr>
            </w:pPr>
            <w:r w:rsidRPr="003257AB">
              <w:rPr>
                <w:rFonts w:ascii="Arial" w:hAnsi="Arial" w:cs="Arial"/>
                <w:b/>
                <w:sz w:val="22"/>
                <w:szCs w:val="20"/>
              </w:rPr>
              <w:t>Beginning Date</w:t>
            </w:r>
          </w:p>
        </w:tc>
        <w:tc>
          <w:tcPr>
            <w:tcW w:w="3348" w:type="dxa"/>
            <w:shd w:val="clear" w:color="auto" w:fill="99CCFF"/>
          </w:tcPr>
          <w:p w:rsidR="00953195" w:rsidRPr="003257AB" w:rsidRDefault="00953195" w:rsidP="003257AB">
            <w:pPr>
              <w:keepNext/>
              <w:rPr>
                <w:rFonts w:ascii="Arial" w:hAnsi="Arial" w:cs="Arial"/>
                <w:b/>
                <w:sz w:val="22"/>
                <w:szCs w:val="20"/>
              </w:rPr>
            </w:pPr>
            <w:r w:rsidRPr="003257AB">
              <w:rPr>
                <w:rFonts w:ascii="Arial" w:hAnsi="Arial" w:cs="Arial"/>
                <w:b/>
                <w:sz w:val="22"/>
                <w:szCs w:val="20"/>
              </w:rPr>
              <w:t>End date</w:t>
            </w:r>
          </w:p>
        </w:tc>
      </w:tr>
      <w:tr w:rsidR="00953195" w:rsidRPr="003257AB" w:rsidTr="003257AB">
        <w:trPr>
          <w:cantSplit/>
        </w:trPr>
        <w:tc>
          <w:tcPr>
            <w:tcW w:w="3348" w:type="dxa"/>
          </w:tcPr>
          <w:p w:rsidR="00953195" w:rsidRPr="00E125E3" w:rsidRDefault="00953195" w:rsidP="00976343">
            <w:pPr>
              <w:keepNext/>
              <w:numPr>
                <w:ilvl w:val="0"/>
                <w:numId w:val="17"/>
              </w:numPr>
              <w:ind w:left="450" w:hanging="270"/>
              <w:contextualSpacing/>
              <w:rPr>
                <w:rFonts w:ascii="Arial" w:eastAsia="Calibri" w:hAnsi="Arial" w:cs="Arial"/>
                <w:sz w:val="20"/>
                <w:szCs w:val="20"/>
              </w:rPr>
            </w:pPr>
            <w:r w:rsidRPr="00E125E3">
              <w:rPr>
                <w:rFonts w:ascii="Arial" w:eastAsia="Calibri" w:hAnsi="Arial" w:cs="Arial"/>
                <w:sz w:val="20"/>
                <w:szCs w:val="20"/>
              </w:rPr>
              <w:t>Analyze results of the Web Surveys of Study Properties for the Physical and Financial Condition Study Component</w:t>
            </w:r>
          </w:p>
          <w:p w:rsidR="00953195" w:rsidRPr="003257AB" w:rsidRDefault="00953195" w:rsidP="00976343">
            <w:pPr>
              <w:keepNext/>
              <w:ind w:left="450" w:hanging="270"/>
              <w:rPr>
                <w:rFonts w:ascii="Arial" w:hAnsi="Arial" w:cs="Arial"/>
                <w:sz w:val="20"/>
                <w:szCs w:val="20"/>
              </w:rPr>
            </w:pPr>
          </w:p>
        </w:tc>
        <w:tc>
          <w:tcPr>
            <w:tcW w:w="2880" w:type="dxa"/>
          </w:tcPr>
          <w:p w:rsidR="00953195" w:rsidRPr="003257AB" w:rsidRDefault="00953195" w:rsidP="003257AB">
            <w:pPr>
              <w:keepNext/>
              <w:rPr>
                <w:rFonts w:ascii="Arial" w:hAnsi="Arial" w:cs="Arial"/>
                <w:sz w:val="20"/>
                <w:szCs w:val="20"/>
              </w:rPr>
            </w:pPr>
            <w:r w:rsidRPr="003257AB">
              <w:rPr>
                <w:rFonts w:ascii="Arial" w:hAnsi="Arial" w:cs="Arial"/>
                <w:sz w:val="20"/>
                <w:szCs w:val="20"/>
              </w:rPr>
              <w:t>Immediately after the survey closes</w:t>
            </w:r>
            <w:r w:rsidR="003B68AD" w:rsidRPr="003257AB">
              <w:rPr>
                <w:rFonts w:ascii="Arial" w:hAnsi="Arial" w:cs="Arial"/>
                <w:sz w:val="20"/>
                <w:szCs w:val="20"/>
              </w:rPr>
              <w:t xml:space="preserve"> (see Table </w:t>
            </w:r>
            <w:r w:rsidR="00E97C3B">
              <w:rPr>
                <w:rFonts w:ascii="Arial" w:hAnsi="Arial" w:cs="Arial"/>
                <w:sz w:val="20"/>
                <w:szCs w:val="20"/>
              </w:rPr>
              <w:t>9</w:t>
            </w:r>
            <w:r w:rsidR="003B68AD" w:rsidRPr="003257AB">
              <w:rPr>
                <w:rFonts w:ascii="Arial" w:hAnsi="Arial" w:cs="Arial"/>
                <w:sz w:val="20"/>
                <w:szCs w:val="20"/>
              </w:rPr>
              <w:t xml:space="preserve"> above)</w:t>
            </w:r>
          </w:p>
        </w:tc>
        <w:tc>
          <w:tcPr>
            <w:tcW w:w="3348" w:type="dxa"/>
          </w:tcPr>
          <w:p w:rsidR="00953195" w:rsidRPr="003257AB" w:rsidRDefault="00EE64FA" w:rsidP="003257AB">
            <w:pPr>
              <w:keepNext/>
              <w:rPr>
                <w:rFonts w:ascii="Arial" w:hAnsi="Arial" w:cs="Arial"/>
                <w:sz w:val="20"/>
                <w:szCs w:val="20"/>
              </w:rPr>
            </w:pPr>
            <w:r w:rsidRPr="003257AB">
              <w:rPr>
                <w:rFonts w:ascii="Arial" w:hAnsi="Arial" w:cs="Arial"/>
                <w:sz w:val="20"/>
                <w:szCs w:val="20"/>
              </w:rPr>
              <w:t>No later than the conclusion of the base period (December 29, 2016)</w:t>
            </w:r>
          </w:p>
        </w:tc>
      </w:tr>
      <w:tr w:rsidR="00953195" w:rsidRPr="003257AB" w:rsidTr="003257AB">
        <w:trPr>
          <w:cantSplit/>
        </w:trPr>
        <w:tc>
          <w:tcPr>
            <w:tcW w:w="3348" w:type="dxa"/>
          </w:tcPr>
          <w:p w:rsidR="00953195" w:rsidRPr="00E125E3" w:rsidRDefault="00875817" w:rsidP="00976343">
            <w:pPr>
              <w:numPr>
                <w:ilvl w:val="0"/>
                <w:numId w:val="17"/>
              </w:numPr>
              <w:ind w:left="450" w:hanging="270"/>
              <w:contextualSpacing/>
              <w:rPr>
                <w:rFonts w:ascii="Arial" w:eastAsia="Calibri" w:hAnsi="Arial" w:cs="Arial"/>
                <w:sz w:val="20"/>
                <w:szCs w:val="20"/>
              </w:rPr>
            </w:pPr>
            <w:r>
              <w:rPr>
                <w:rFonts w:ascii="Arial" w:eastAsia="Calibri" w:hAnsi="Arial" w:cs="Arial"/>
                <w:sz w:val="20"/>
                <w:szCs w:val="20"/>
              </w:rPr>
              <w:t>Analyze the r</w:t>
            </w:r>
            <w:r w:rsidR="00953195" w:rsidRPr="00E125E3">
              <w:rPr>
                <w:rFonts w:ascii="Arial" w:eastAsia="Calibri" w:hAnsi="Arial" w:cs="Arial"/>
                <w:sz w:val="20"/>
                <w:szCs w:val="20"/>
              </w:rPr>
              <w:t xml:space="preserve">esults of the  </w:t>
            </w:r>
            <w:r w:rsidR="00CA6B77" w:rsidRPr="00E125E3">
              <w:rPr>
                <w:rFonts w:ascii="Arial" w:eastAsia="Calibri" w:hAnsi="Arial" w:cs="Arial"/>
                <w:sz w:val="20"/>
                <w:szCs w:val="20"/>
              </w:rPr>
              <w:t xml:space="preserve">interviews with study properties’ representatives </w:t>
            </w:r>
            <w:r w:rsidR="00953195" w:rsidRPr="00E125E3">
              <w:rPr>
                <w:rFonts w:ascii="Arial" w:eastAsia="Calibri" w:hAnsi="Arial" w:cs="Arial"/>
                <w:sz w:val="20"/>
                <w:szCs w:val="20"/>
              </w:rPr>
              <w:t xml:space="preserve">for the Implementation Study </w:t>
            </w:r>
          </w:p>
          <w:p w:rsidR="00953195" w:rsidRPr="003257AB" w:rsidRDefault="00953195" w:rsidP="00976343">
            <w:pPr>
              <w:ind w:left="450" w:hanging="270"/>
              <w:rPr>
                <w:rFonts w:ascii="Arial" w:hAnsi="Arial" w:cs="Arial"/>
                <w:sz w:val="20"/>
                <w:szCs w:val="20"/>
              </w:rPr>
            </w:pPr>
          </w:p>
        </w:tc>
        <w:tc>
          <w:tcPr>
            <w:tcW w:w="2880" w:type="dxa"/>
          </w:tcPr>
          <w:p w:rsidR="00953195" w:rsidRPr="003257AB" w:rsidRDefault="00953195" w:rsidP="003B68AD">
            <w:pPr>
              <w:rPr>
                <w:rFonts w:ascii="Arial" w:hAnsi="Arial" w:cs="Arial"/>
                <w:sz w:val="20"/>
                <w:szCs w:val="20"/>
              </w:rPr>
            </w:pPr>
            <w:r w:rsidRPr="003257AB">
              <w:rPr>
                <w:rFonts w:ascii="Arial" w:hAnsi="Arial" w:cs="Arial"/>
                <w:sz w:val="20"/>
                <w:szCs w:val="20"/>
              </w:rPr>
              <w:t xml:space="preserve">Immediately after </w:t>
            </w:r>
            <w:r w:rsidR="00D0670C" w:rsidRPr="003257AB">
              <w:rPr>
                <w:rFonts w:ascii="Arial" w:hAnsi="Arial" w:cs="Arial"/>
                <w:sz w:val="20"/>
                <w:szCs w:val="20"/>
              </w:rPr>
              <w:t>the interviews are completed</w:t>
            </w:r>
            <w:r w:rsidR="003B68AD" w:rsidRPr="003257AB">
              <w:rPr>
                <w:rFonts w:ascii="Arial" w:hAnsi="Arial" w:cs="Arial"/>
                <w:sz w:val="20"/>
                <w:szCs w:val="20"/>
              </w:rPr>
              <w:t xml:space="preserve"> (see Table </w:t>
            </w:r>
            <w:r w:rsidR="00E97C3B">
              <w:rPr>
                <w:rFonts w:ascii="Arial" w:hAnsi="Arial" w:cs="Arial"/>
                <w:sz w:val="20"/>
                <w:szCs w:val="20"/>
              </w:rPr>
              <w:t>9</w:t>
            </w:r>
            <w:r w:rsidR="003B68AD" w:rsidRPr="003257AB">
              <w:rPr>
                <w:rFonts w:ascii="Arial" w:hAnsi="Arial" w:cs="Arial"/>
                <w:sz w:val="20"/>
                <w:szCs w:val="20"/>
              </w:rPr>
              <w:t xml:space="preserve"> above)</w:t>
            </w:r>
          </w:p>
        </w:tc>
        <w:tc>
          <w:tcPr>
            <w:tcW w:w="3348" w:type="dxa"/>
          </w:tcPr>
          <w:p w:rsidR="00953195" w:rsidRPr="003257AB" w:rsidRDefault="00EE64FA" w:rsidP="003B68AD">
            <w:pPr>
              <w:rPr>
                <w:rFonts w:ascii="Arial" w:hAnsi="Arial" w:cs="Arial"/>
                <w:sz w:val="20"/>
                <w:szCs w:val="20"/>
              </w:rPr>
            </w:pPr>
            <w:r w:rsidRPr="003257AB">
              <w:rPr>
                <w:rFonts w:ascii="Arial" w:hAnsi="Arial" w:cs="Arial"/>
                <w:sz w:val="20"/>
                <w:szCs w:val="20"/>
              </w:rPr>
              <w:t>No later than the conclusion of the base period (December 29, 2016)</w:t>
            </w:r>
          </w:p>
        </w:tc>
      </w:tr>
      <w:tr w:rsidR="00953195" w:rsidRPr="003257AB" w:rsidTr="003257AB">
        <w:trPr>
          <w:cantSplit/>
        </w:trPr>
        <w:tc>
          <w:tcPr>
            <w:tcW w:w="3348" w:type="dxa"/>
          </w:tcPr>
          <w:p w:rsidR="00953195" w:rsidRPr="00E125E3" w:rsidRDefault="00953195" w:rsidP="00976343">
            <w:pPr>
              <w:numPr>
                <w:ilvl w:val="0"/>
                <w:numId w:val="17"/>
              </w:numPr>
              <w:ind w:left="450" w:hanging="270"/>
              <w:contextualSpacing/>
              <w:rPr>
                <w:rFonts w:ascii="Arial" w:eastAsia="Calibri" w:hAnsi="Arial" w:cs="Arial"/>
                <w:sz w:val="20"/>
                <w:szCs w:val="20"/>
              </w:rPr>
            </w:pPr>
            <w:r w:rsidRPr="00E125E3">
              <w:rPr>
                <w:rFonts w:ascii="Arial" w:eastAsia="Calibri" w:hAnsi="Arial" w:cs="Arial"/>
                <w:sz w:val="20"/>
                <w:szCs w:val="20"/>
              </w:rPr>
              <w:t>Assemble the resident contact information</w:t>
            </w:r>
          </w:p>
        </w:tc>
        <w:tc>
          <w:tcPr>
            <w:tcW w:w="2880" w:type="dxa"/>
          </w:tcPr>
          <w:p w:rsidR="00953195" w:rsidRPr="003257AB" w:rsidRDefault="00953195" w:rsidP="003B68AD">
            <w:pPr>
              <w:rPr>
                <w:rFonts w:ascii="Arial" w:hAnsi="Arial" w:cs="Arial"/>
                <w:sz w:val="20"/>
                <w:szCs w:val="20"/>
              </w:rPr>
            </w:pPr>
            <w:r w:rsidRPr="003257AB">
              <w:rPr>
                <w:rFonts w:ascii="Arial" w:hAnsi="Arial" w:cs="Arial"/>
                <w:sz w:val="20"/>
                <w:szCs w:val="20"/>
              </w:rPr>
              <w:t>Im</w:t>
            </w:r>
            <w:r w:rsidR="00097E4B">
              <w:rPr>
                <w:rFonts w:ascii="Arial" w:hAnsi="Arial" w:cs="Arial"/>
                <w:sz w:val="20"/>
                <w:szCs w:val="20"/>
              </w:rPr>
              <w:t>mediately after receipt of OMB a</w:t>
            </w:r>
            <w:r w:rsidRPr="003257AB">
              <w:rPr>
                <w:rFonts w:ascii="Arial" w:hAnsi="Arial" w:cs="Arial"/>
                <w:sz w:val="20"/>
                <w:szCs w:val="20"/>
              </w:rPr>
              <w:t>pproval</w:t>
            </w:r>
          </w:p>
        </w:tc>
        <w:tc>
          <w:tcPr>
            <w:tcW w:w="3348" w:type="dxa"/>
          </w:tcPr>
          <w:p w:rsidR="00953195" w:rsidRPr="003257AB" w:rsidRDefault="00953195" w:rsidP="003B68AD">
            <w:pPr>
              <w:rPr>
                <w:rFonts w:ascii="Arial" w:hAnsi="Arial" w:cs="Arial"/>
                <w:sz w:val="20"/>
                <w:szCs w:val="20"/>
              </w:rPr>
            </w:pPr>
            <w:r w:rsidRPr="003257AB">
              <w:rPr>
                <w:rFonts w:ascii="Arial" w:hAnsi="Arial" w:cs="Arial"/>
                <w:sz w:val="20"/>
                <w:szCs w:val="20"/>
              </w:rPr>
              <w:t>As soon as all the contact forms are returned</w:t>
            </w:r>
          </w:p>
        </w:tc>
      </w:tr>
    </w:tbl>
    <w:p w:rsidR="00953195" w:rsidRDefault="00953195" w:rsidP="00C71131"/>
    <w:p w:rsidR="00C71131" w:rsidRDefault="00A53153" w:rsidP="003257AB">
      <w:pPr>
        <w:keepNext/>
        <w:numPr>
          <w:ilvl w:val="0"/>
          <w:numId w:val="7"/>
        </w:numPr>
        <w:ind w:left="360"/>
        <w:jc w:val="both"/>
      </w:pPr>
      <w:r>
        <w:rPr>
          <w:b/>
          <w:bCs/>
          <w:u w:val="single"/>
        </w:rPr>
        <w:t>E</w:t>
      </w:r>
      <w:r w:rsidR="00C71131">
        <w:rPr>
          <w:b/>
          <w:bCs/>
          <w:u w:val="single"/>
        </w:rPr>
        <w:t>xpiration date</w:t>
      </w:r>
    </w:p>
    <w:p w:rsidR="00C71131" w:rsidRDefault="00C71131" w:rsidP="00C71131"/>
    <w:p w:rsidR="005D285D" w:rsidRPr="00FB6008" w:rsidRDefault="005D285D" w:rsidP="003257AB">
      <w:pPr>
        <w:jc w:val="both"/>
      </w:pPr>
      <w:r w:rsidRPr="00FB6008">
        <w:t>All data collect</w:t>
      </w:r>
      <w:r w:rsidR="00A53153">
        <w:t>ion instruments created for the RAD evaluation</w:t>
      </w:r>
      <w:r w:rsidRPr="00FB6008">
        <w:t xml:space="preserve"> will </w:t>
      </w:r>
      <w:r w:rsidR="00A53153" w:rsidRPr="00FB6008">
        <w:t xml:space="preserve">prominently </w:t>
      </w:r>
      <w:r w:rsidRPr="00FB6008">
        <w:t xml:space="preserve">display the expiration date for OMB approval. </w:t>
      </w:r>
    </w:p>
    <w:p w:rsidR="00C71131" w:rsidRDefault="00C71131" w:rsidP="003257AB">
      <w:pPr>
        <w:jc w:val="both"/>
      </w:pPr>
    </w:p>
    <w:p w:rsidR="00A53153" w:rsidRDefault="001C697F" w:rsidP="00833F3C">
      <w:pPr>
        <w:jc w:val="both"/>
      </w:pPr>
      <w:r>
        <w:rPr>
          <w:b/>
          <w:bCs/>
          <w:u w:val="single"/>
        </w:rPr>
        <w:lastRenderedPageBreak/>
        <w:t xml:space="preserve">18. </w:t>
      </w:r>
      <w:r w:rsidR="00A53153">
        <w:rPr>
          <w:b/>
          <w:bCs/>
          <w:u w:val="single"/>
        </w:rPr>
        <w:t>C</w:t>
      </w:r>
      <w:r w:rsidR="00C71131">
        <w:rPr>
          <w:b/>
          <w:bCs/>
          <w:u w:val="single"/>
        </w:rPr>
        <w:t>ertification statement</w:t>
      </w:r>
    </w:p>
    <w:p w:rsidR="001C697F" w:rsidRDefault="001C697F" w:rsidP="00D5187D">
      <w:pPr>
        <w:jc w:val="both"/>
      </w:pPr>
    </w:p>
    <w:p w:rsidR="00A53153" w:rsidRPr="00FB6008" w:rsidRDefault="00A53153" w:rsidP="00D5187D">
      <w:pPr>
        <w:jc w:val="both"/>
      </w:pPr>
      <w:r w:rsidRPr="00FB6008">
        <w:t xml:space="preserve">This submission describing data collection requests no exceptions to the Certificate for Paperwork Reduction Act (5 </w:t>
      </w:r>
      <w:smartTag w:uri="urn:schemas-microsoft-com:office:smarttags" w:element="stockticker">
        <w:r w:rsidRPr="00FB6008">
          <w:t>CFR</w:t>
        </w:r>
      </w:smartTag>
      <w:r w:rsidRPr="00FB6008">
        <w:t xml:space="preserve"> 1320.9).</w:t>
      </w:r>
    </w:p>
    <w:sectPr w:rsidR="00A53153" w:rsidRPr="00FB6008" w:rsidSect="006957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B73" w:rsidRDefault="00813B73" w:rsidP="00C71131">
      <w:r>
        <w:separator/>
      </w:r>
    </w:p>
  </w:endnote>
  <w:endnote w:type="continuationSeparator" w:id="0">
    <w:p w:rsidR="00813B73" w:rsidRDefault="00813B73" w:rsidP="00C7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7F" w:rsidRDefault="001C6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0361"/>
      <w:docPartObj>
        <w:docPartGallery w:val="Page Numbers (Bottom of Page)"/>
        <w:docPartUnique/>
      </w:docPartObj>
    </w:sdtPr>
    <w:sdtEndPr>
      <w:rPr>
        <w:noProof/>
      </w:rPr>
    </w:sdtEndPr>
    <w:sdtContent>
      <w:p w:rsidR="00442CD2" w:rsidRDefault="00442CD2">
        <w:pPr>
          <w:pStyle w:val="Footer"/>
          <w:jc w:val="center"/>
        </w:pPr>
        <w:r>
          <w:t xml:space="preserve">Page </w:t>
        </w:r>
        <w:r>
          <w:fldChar w:fldCharType="begin"/>
        </w:r>
        <w:r>
          <w:instrText xml:space="preserve"> PAGE   \* MERGEFORMAT </w:instrText>
        </w:r>
        <w:r>
          <w:fldChar w:fldCharType="separate"/>
        </w:r>
        <w:r w:rsidR="004728BA">
          <w:rPr>
            <w:noProof/>
          </w:rPr>
          <w:t>12</w:t>
        </w:r>
        <w:r>
          <w:rPr>
            <w:noProof/>
          </w:rPr>
          <w:fldChar w:fldCharType="end"/>
        </w:r>
        <w:r>
          <w:rPr>
            <w:noProof/>
          </w:rPr>
          <w:t xml:space="preserve"> – Part A Supporting Statement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7F" w:rsidRDefault="001C6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B73" w:rsidRDefault="00813B73" w:rsidP="00C71131">
      <w:r>
        <w:separator/>
      </w:r>
    </w:p>
  </w:footnote>
  <w:footnote w:type="continuationSeparator" w:id="0">
    <w:p w:rsidR="00813B73" w:rsidRDefault="00813B73" w:rsidP="00C71131">
      <w:r>
        <w:continuationSeparator/>
      </w:r>
    </w:p>
  </w:footnote>
  <w:footnote w:id="1">
    <w:p w:rsidR="00442CD2" w:rsidRDefault="00442CD2" w:rsidP="008A7B4D">
      <w:pPr>
        <w:pStyle w:val="FootnoteText"/>
        <w:jc w:val="both"/>
      </w:pPr>
      <w:r w:rsidRPr="00CA2725">
        <w:rPr>
          <w:rStyle w:val="FootnoteReference"/>
        </w:rPr>
        <w:footnoteRef/>
      </w:r>
      <w:r w:rsidRPr="00CA2725">
        <w:t xml:space="preserve"> This is a 5-year study: the base period </w:t>
      </w:r>
      <w:r>
        <w:t xml:space="preserve">(phase 1) </w:t>
      </w:r>
      <w:r w:rsidRPr="00CA2725">
        <w:t xml:space="preserve">runs for 3 years from December 30, 2013, to December 29, 2016, and the </w:t>
      </w:r>
      <w:r>
        <w:t>O</w:t>
      </w:r>
      <w:r w:rsidRPr="00CA2725">
        <w:t xml:space="preserve">ption </w:t>
      </w:r>
      <w:r>
        <w:t>P</w:t>
      </w:r>
      <w:r w:rsidRPr="00CA2725">
        <w:t>eriod</w:t>
      </w:r>
      <w:r>
        <w:t xml:space="preserve"> (phase 2)</w:t>
      </w:r>
      <w:r w:rsidRPr="00CA2725">
        <w:t>, if funded, will run from December 30, 2015, to December 29, 2018.</w:t>
      </w:r>
    </w:p>
  </w:footnote>
  <w:footnote w:id="2">
    <w:p w:rsidR="00442CD2" w:rsidRPr="00F962FF" w:rsidRDefault="00442CD2" w:rsidP="00C71131">
      <w:pPr>
        <w:pStyle w:val="FootnoteText"/>
      </w:pPr>
      <w:r>
        <w:rPr>
          <w:rStyle w:val="FootnoteReference"/>
        </w:rPr>
        <w:footnoteRef/>
      </w:r>
      <w:r>
        <w:t xml:space="preserve"> HUD Information Quality Guidelines were published November 18, 2002. See: </w:t>
      </w:r>
      <w:hyperlink r:id="rId1" w:history="1">
        <w:r w:rsidRPr="002B13C6">
          <w:rPr>
            <w:rStyle w:val="Hyperlink"/>
          </w:rPr>
          <w:t>http://www.hud.gov/offices/adm/grants/qualityinfo/fr4769n02-final.pdf</w:t>
        </w:r>
      </w:hyperlink>
      <w:r>
        <w:t xml:space="preserve">. </w:t>
      </w:r>
    </w:p>
  </w:footnote>
  <w:footnote w:id="3">
    <w:p w:rsidR="00442CD2" w:rsidRDefault="00442CD2">
      <w:pPr>
        <w:pStyle w:val="FootnoteText"/>
      </w:pPr>
      <w:r>
        <w:rPr>
          <w:rStyle w:val="FootnoteReference"/>
        </w:rPr>
        <w:footnoteRef/>
      </w:r>
      <w:r>
        <w:t xml:space="preserve"> The application is at  </w:t>
      </w:r>
      <w:r w:rsidRPr="00676160">
        <w:t>http://portal.hud.gov/hudportal/HUD?src=/RAD/application-materials.</w:t>
      </w:r>
    </w:p>
  </w:footnote>
  <w:footnote w:id="4">
    <w:p w:rsidR="00442CD2" w:rsidRDefault="00442CD2" w:rsidP="001978C5">
      <w:pPr>
        <w:pStyle w:val="FootnoteText"/>
        <w:jc w:val="both"/>
      </w:pPr>
      <w:r>
        <w:rPr>
          <w:rStyle w:val="FootnoteReference"/>
        </w:rPr>
        <w:footnoteRef/>
      </w:r>
      <w:r>
        <w:t xml:space="preserve"> The hourly salary ranges from approximately $25 to $58. If we apply 50 percent overhead, the total hourly salary including overhead would range between approximately $38 ($25*1.50) and $87 ($58*1.50). See </w:t>
      </w:r>
      <w:hyperlink r:id="rId2" w:history="1">
        <w:r w:rsidRPr="004A0BD4">
          <w:rPr>
            <w:rStyle w:val="Hyperlink"/>
          </w:rPr>
          <w:t>http://www.salaryexpert.com/index.cfm?fuseaction=browse.salary-data-by-hourly&amp;positionid=252301</w:t>
        </w:r>
      </w:hyperlink>
      <w:r>
        <w:t xml:space="preserve"> for salary ranges.</w:t>
      </w:r>
    </w:p>
  </w:footnote>
  <w:footnote w:id="5">
    <w:p w:rsidR="00EF5372" w:rsidRDefault="00EF5372">
      <w:pPr>
        <w:pStyle w:val="FootnoteText"/>
      </w:pPr>
      <w:r>
        <w:rPr>
          <w:rStyle w:val="FootnoteReference"/>
        </w:rPr>
        <w:footnoteRef/>
      </w:r>
      <w:r>
        <w:t xml:space="preserve"> These dates assume an October 31, 2014, approval date from OMB.</w:t>
      </w:r>
      <w:r w:rsidR="00995961">
        <w:t xml:space="preserve">  Slippage in the OMB approval date could delay the start and completion of data collection and analysis activities.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7F" w:rsidRDefault="001C69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7F" w:rsidRDefault="001C6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7F" w:rsidRDefault="001C6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622"/>
    <w:multiLevelType w:val="hybridMultilevel"/>
    <w:tmpl w:val="F02C48CE"/>
    <w:lvl w:ilvl="0" w:tplc="151C1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
    <w:nsid w:val="0C8041B5"/>
    <w:multiLevelType w:val="hybridMultilevel"/>
    <w:tmpl w:val="42B69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41CD5"/>
    <w:multiLevelType w:val="hybridMultilevel"/>
    <w:tmpl w:val="B58E7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797187"/>
    <w:multiLevelType w:val="hybridMultilevel"/>
    <w:tmpl w:val="C910E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64D56"/>
    <w:multiLevelType w:val="hybridMultilevel"/>
    <w:tmpl w:val="26DC304C"/>
    <w:lvl w:ilvl="0" w:tplc="3C4A5CCC">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3B3604A"/>
    <w:multiLevelType w:val="hybridMultilevel"/>
    <w:tmpl w:val="1ACA1FE2"/>
    <w:lvl w:ilvl="0" w:tplc="8DDCABA6">
      <w:start w:val="1"/>
      <w:numFmt w:val="decimal"/>
      <w:lvlText w:val="%1."/>
      <w:lvlJc w:val="left"/>
      <w:pPr>
        <w:ind w:left="360" w:hanging="360"/>
      </w:pPr>
      <w:rPr>
        <w:rFonts w:hint="default"/>
      </w:rPr>
    </w:lvl>
    <w:lvl w:ilvl="1" w:tplc="3C4A5CC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35115"/>
    <w:multiLevelType w:val="hybridMultilevel"/>
    <w:tmpl w:val="B0C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D4261"/>
    <w:multiLevelType w:val="hybridMultilevel"/>
    <w:tmpl w:val="12C46B1E"/>
    <w:lvl w:ilvl="0" w:tplc="8DDCABA6">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3C4A5CCC">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C3424"/>
    <w:multiLevelType w:val="hybridMultilevel"/>
    <w:tmpl w:val="F1AA89A0"/>
    <w:lvl w:ilvl="0" w:tplc="3C4A5C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069D5"/>
    <w:multiLevelType w:val="hybridMultilevel"/>
    <w:tmpl w:val="F02C48CE"/>
    <w:lvl w:ilvl="0" w:tplc="151C1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27EE4"/>
    <w:multiLevelType w:val="hybridMultilevel"/>
    <w:tmpl w:val="6966E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D7452"/>
    <w:multiLevelType w:val="multilevel"/>
    <w:tmpl w:val="2D54384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1D810DEC"/>
    <w:multiLevelType w:val="multilevel"/>
    <w:tmpl w:val="52E4847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nsid w:val="1F7D2969"/>
    <w:multiLevelType w:val="hybridMultilevel"/>
    <w:tmpl w:val="C6DA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2134ED"/>
    <w:multiLevelType w:val="hybridMultilevel"/>
    <w:tmpl w:val="31D8A8F6"/>
    <w:lvl w:ilvl="0" w:tplc="3C4A5CC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3872BA"/>
    <w:multiLevelType w:val="hybridMultilevel"/>
    <w:tmpl w:val="72E0633E"/>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2F767BE1"/>
    <w:multiLevelType w:val="hybridMultilevel"/>
    <w:tmpl w:val="8168DC26"/>
    <w:lvl w:ilvl="0" w:tplc="3C4A5CC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7882886"/>
    <w:multiLevelType w:val="hybridMultilevel"/>
    <w:tmpl w:val="9D4E2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268A0"/>
    <w:multiLevelType w:val="hybridMultilevel"/>
    <w:tmpl w:val="394EC6A0"/>
    <w:lvl w:ilvl="0" w:tplc="8DDCABA6">
      <w:start w:val="1"/>
      <w:numFmt w:val="decimal"/>
      <w:lvlText w:val="%1."/>
      <w:lvlJc w:val="left"/>
      <w:pPr>
        <w:ind w:left="360" w:hanging="360"/>
      </w:pPr>
      <w:rPr>
        <w:rFonts w:hint="default"/>
      </w:rPr>
    </w:lvl>
    <w:lvl w:ilvl="1" w:tplc="3C4A5CCC">
      <w:start w:val="1"/>
      <w:numFmt w:val="bullet"/>
      <w:lvlText w:val=""/>
      <w:lvlJc w:val="left"/>
      <w:pPr>
        <w:ind w:left="1440" w:hanging="360"/>
      </w:pPr>
      <w:rPr>
        <w:rFonts w:ascii="Wingdings" w:hAnsi="Wingdings" w:hint="default"/>
      </w:rPr>
    </w:lvl>
    <w:lvl w:ilvl="2" w:tplc="A546F2FC">
      <w:start w:val="1"/>
      <w:numFmt w:val="bullet"/>
      <w:lvlText w:val=""/>
      <w:lvlJc w:val="left"/>
      <w:pPr>
        <w:ind w:left="2160" w:hanging="180"/>
      </w:pPr>
      <w:rPr>
        <w:rFonts w:ascii="Wingdings" w:hAnsi="Wingdings" w:hint="default"/>
        <w:sz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D35CAB"/>
    <w:multiLevelType w:val="hybridMultilevel"/>
    <w:tmpl w:val="62F6E7DC"/>
    <w:lvl w:ilvl="0" w:tplc="8DDCABA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614C2530">
      <w:start w:val="1"/>
      <w:numFmt w:val="lowerRoman"/>
      <w:lvlText w:val="%3."/>
      <w:lvlJc w:val="righ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65C42"/>
    <w:multiLevelType w:val="hybridMultilevel"/>
    <w:tmpl w:val="3D30D5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B5798A"/>
    <w:multiLevelType w:val="hybridMultilevel"/>
    <w:tmpl w:val="1BA8744E"/>
    <w:lvl w:ilvl="0" w:tplc="151C15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54F10"/>
    <w:multiLevelType w:val="hybridMultilevel"/>
    <w:tmpl w:val="D7660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0374BF4"/>
    <w:multiLevelType w:val="hybridMultilevel"/>
    <w:tmpl w:val="658E52EC"/>
    <w:lvl w:ilvl="0" w:tplc="04090019">
      <w:start w:val="1"/>
      <w:numFmt w:val="lowerLetter"/>
      <w:lvlText w:val="%1."/>
      <w:lvlJc w:val="left"/>
      <w:pPr>
        <w:ind w:left="720" w:hanging="360"/>
      </w:pPr>
    </w:lvl>
    <w:lvl w:ilvl="1" w:tplc="B01EE5D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E384B"/>
    <w:multiLevelType w:val="hybridMultilevel"/>
    <w:tmpl w:val="AA923654"/>
    <w:lvl w:ilvl="0" w:tplc="3C4A5C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746A0C"/>
    <w:multiLevelType w:val="hybridMultilevel"/>
    <w:tmpl w:val="F67A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162EB7"/>
    <w:multiLevelType w:val="hybridMultilevel"/>
    <w:tmpl w:val="DD8E1C5C"/>
    <w:lvl w:ilvl="0" w:tplc="3C4A5CCC">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45EB7A13"/>
    <w:multiLevelType w:val="hybridMultilevel"/>
    <w:tmpl w:val="FD7C4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F74B86"/>
    <w:multiLevelType w:val="hybridMultilevel"/>
    <w:tmpl w:val="9D4E2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1B67A5"/>
    <w:multiLevelType w:val="hybridMultilevel"/>
    <w:tmpl w:val="CD524B3E"/>
    <w:lvl w:ilvl="0" w:tplc="4F5A95D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A81DBE"/>
    <w:multiLevelType w:val="hybridMultilevel"/>
    <w:tmpl w:val="90268F14"/>
    <w:lvl w:ilvl="0" w:tplc="3C4A5CC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5D565B"/>
    <w:multiLevelType w:val="hybridMultilevel"/>
    <w:tmpl w:val="76F05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CD2BAB"/>
    <w:multiLevelType w:val="hybridMultilevel"/>
    <w:tmpl w:val="E326C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625851"/>
    <w:multiLevelType w:val="hybridMultilevel"/>
    <w:tmpl w:val="DE503B88"/>
    <w:lvl w:ilvl="0" w:tplc="3C4A5C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64D05BE"/>
    <w:multiLevelType w:val="hybridMultilevel"/>
    <w:tmpl w:val="D4E4C2E2"/>
    <w:lvl w:ilvl="0" w:tplc="3C4A5C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A92B2E"/>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6D191C"/>
    <w:multiLevelType w:val="hybridMultilevel"/>
    <w:tmpl w:val="012C5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884134"/>
    <w:multiLevelType w:val="hybridMultilevel"/>
    <w:tmpl w:val="08C03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71501C"/>
    <w:multiLevelType w:val="hybridMultilevel"/>
    <w:tmpl w:val="90628FA6"/>
    <w:lvl w:ilvl="0" w:tplc="3C4A5CCC">
      <w:start w:val="1"/>
      <w:numFmt w:val="bullet"/>
      <w:lvlText w:val=""/>
      <w:lvlJc w:val="left"/>
      <w:pPr>
        <w:ind w:left="720" w:hanging="360"/>
      </w:pPr>
      <w:rPr>
        <w:rFonts w:ascii="Wingdings" w:hAnsi="Wingding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FB5C34"/>
    <w:multiLevelType w:val="hybridMultilevel"/>
    <w:tmpl w:val="F07208D6"/>
    <w:lvl w:ilvl="0" w:tplc="3C4A5C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6B23F4"/>
    <w:multiLevelType w:val="hybridMultilevel"/>
    <w:tmpl w:val="1BA8744E"/>
    <w:lvl w:ilvl="0" w:tplc="151C15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E4371E"/>
    <w:multiLevelType w:val="hybridMultilevel"/>
    <w:tmpl w:val="4C48CB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BC6282A"/>
    <w:multiLevelType w:val="hybridMultilevel"/>
    <w:tmpl w:val="72E0633E"/>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nsid w:val="7C2621AD"/>
    <w:multiLevelType w:val="hybridMultilevel"/>
    <w:tmpl w:val="625C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14"/>
  </w:num>
  <w:num w:numId="4">
    <w:abstractNumId w:val="7"/>
  </w:num>
  <w:num w:numId="5">
    <w:abstractNumId w:val="1"/>
  </w:num>
  <w:num w:numId="6">
    <w:abstractNumId w:val="44"/>
  </w:num>
  <w:num w:numId="7">
    <w:abstractNumId w:val="37"/>
  </w:num>
  <w:num w:numId="8">
    <w:abstractNumId w:val="43"/>
  </w:num>
  <w:num w:numId="9">
    <w:abstractNumId w:val="11"/>
  </w:num>
  <w:num w:numId="10">
    <w:abstractNumId w:val="16"/>
  </w:num>
  <w:num w:numId="11">
    <w:abstractNumId w:val="26"/>
  </w:num>
  <w:num w:numId="12">
    <w:abstractNumId w:val="21"/>
  </w:num>
  <w:num w:numId="13">
    <w:abstractNumId w:val="12"/>
  </w:num>
  <w:num w:numId="14">
    <w:abstractNumId w:val="10"/>
  </w:num>
  <w:num w:numId="15">
    <w:abstractNumId w:val="0"/>
  </w:num>
  <w:num w:numId="16">
    <w:abstractNumId w:val="42"/>
  </w:num>
  <w:num w:numId="17">
    <w:abstractNumId w:val="22"/>
  </w:num>
  <w:num w:numId="18">
    <w:abstractNumId w:val="20"/>
  </w:num>
  <w:num w:numId="19">
    <w:abstractNumId w:val="13"/>
  </w:num>
  <w:num w:numId="20">
    <w:abstractNumId w:val="6"/>
  </w:num>
  <w:num w:numId="21">
    <w:abstractNumId w:val="32"/>
  </w:num>
  <w:num w:numId="22">
    <w:abstractNumId w:val="40"/>
  </w:num>
  <w:num w:numId="23">
    <w:abstractNumId w:val="19"/>
  </w:num>
  <w:num w:numId="24">
    <w:abstractNumId w:val="5"/>
  </w:num>
  <w:num w:numId="25">
    <w:abstractNumId w:val="31"/>
  </w:num>
  <w:num w:numId="26">
    <w:abstractNumId w:val="8"/>
  </w:num>
  <w:num w:numId="27">
    <w:abstractNumId w:val="15"/>
  </w:num>
  <w:num w:numId="28">
    <w:abstractNumId w:val="25"/>
  </w:num>
  <w:num w:numId="29">
    <w:abstractNumId w:val="38"/>
  </w:num>
  <w:num w:numId="30">
    <w:abstractNumId w:val="33"/>
  </w:num>
  <w:num w:numId="31">
    <w:abstractNumId w:val="41"/>
  </w:num>
  <w:num w:numId="32">
    <w:abstractNumId w:val="17"/>
  </w:num>
  <w:num w:numId="33">
    <w:abstractNumId w:val="29"/>
  </w:num>
  <w:num w:numId="34">
    <w:abstractNumId w:val="18"/>
  </w:num>
  <w:num w:numId="35">
    <w:abstractNumId w:val="39"/>
  </w:num>
  <w:num w:numId="36">
    <w:abstractNumId w:val="2"/>
  </w:num>
  <w:num w:numId="37">
    <w:abstractNumId w:val="4"/>
  </w:num>
  <w:num w:numId="38">
    <w:abstractNumId w:val="30"/>
  </w:num>
  <w:num w:numId="39">
    <w:abstractNumId w:val="24"/>
  </w:num>
  <w:num w:numId="40">
    <w:abstractNumId w:val="45"/>
  </w:num>
  <w:num w:numId="41">
    <w:abstractNumId w:val="23"/>
  </w:num>
  <w:num w:numId="42">
    <w:abstractNumId w:val="3"/>
  </w:num>
  <w:num w:numId="43">
    <w:abstractNumId w:val="34"/>
  </w:num>
  <w:num w:numId="44">
    <w:abstractNumId w:val="27"/>
  </w:num>
  <w:num w:numId="45">
    <w:abstractNumId w:val="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31"/>
    <w:rsid w:val="0002010D"/>
    <w:rsid w:val="00025663"/>
    <w:rsid w:val="00031E05"/>
    <w:rsid w:val="000323EA"/>
    <w:rsid w:val="0003415A"/>
    <w:rsid w:val="00036094"/>
    <w:rsid w:val="0005124B"/>
    <w:rsid w:val="00082F09"/>
    <w:rsid w:val="00091B0C"/>
    <w:rsid w:val="00097E4B"/>
    <w:rsid w:val="000A4CB1"/>
    <w:rsid w:val="000B15DC"/>
    <w:rsid w:val="000C3273"/>
    <w:rsid w:val="000C39CA"/>
    <w:rsid w:val="000C6632"/>
    <w:rsid w:val="000D1D0B"/>
    <w:rsid w:val="000D20EE"/>
    <w:rsid w:val="000D48D9"/>
    <w:rsid w:val="000D537A"/>
    <w:rsid w:val="001001CA"/>
    <w:rsid w:val="001131D6"/>
    <w:rsid w:val="001265C7"/>
    <w:rsid w:val="00130C65"/>
    <w:rsid w:val="001403ED"/>
    <w:rsid w:val="00144C45"/>
    <w:rsid w:val="0014564D"/>
    <w:rsid w:val="00167C06"/>
    <w:rsid w:val="00192330"/>
    <w:rsid w:val="001978C5"/>
    <w:rsid w:val="001B672A"/>
    <w:rsid w:val="001C697F"/>
    <w:rsid w:val="001D2E80"/>
    <w:rsid w:val="001E077E"/>
    <w:rsid w:val="001E26E5"/>
    <w:rsid w:val="001E778C"/>
    <w:rsid w:val="00201524"/>
    <w:rsid w:val="0020579B"/>
    <w:rsid w:val="00213922"/>
    <w:rsid w:val="00243411"/>
    <w:rsid w:val="00282758"/>
    <w:rsid w:val="0028566C"/>
    <w:rsid w:val="00293A9D"/>
    <w:rsid w:val="002A0EA8"/>
    <w:rsid w:val="002A180D"/>
    <w:rsid w:val="002B3DF2"/>
    <w:rsid w:val="002C626E"/>
    <w:rsid w:val="002D40BE"/>
    <w:rsid w:val="002D754C"/>
    <w:rsid w:val="0032303E"/>
    <w:rsid w:val="003257AB"/>
    <w:rsid w:val="003521AC"/>
    <w:rsid w:val="003529D3"/>
    <w:rsid w:val="00355704"/>
    <w:rsid w:val="0035722B"/>
    <w:rsid w:val="00365D49"/>
    <w:rsid w:val="00373951"/>
    <w:rsid w:val="00374E21"/>
    <w:rsid w:val="003844AC"/>
    <w:rsid w:val="00396383"/>
    <w:rsid w:val="003A3279"/>
    <w:rsid w:val="003B68AD"/>
    <w:rsid w:val="003C492E"/>
    <w:rsid w:val="003D1753"/>
    <w:rsid w:val="003E3BCB"/>
    <w:rsid w:val="003F5A67"/>
    <w:rsid w:val="004105E5"/>
    <w:rsid w:val="00416330"/>
    <w:rsid w:val="004204A5"/>
    <w:rsid w:val="00431519"/>
    <w:rsid w:val="00436B1E"/>
    <w:rsid w:val="00442CD2"/>
    <w:rsid w:val="004501DB"/>
    <w:rsid w:val="004643CC"/>
    <w:rsid w:val="00467EE0"/>
    <w:rsid w:val="004728BA"/>
    <w:rsid w:val="00472A1F"/>
    <w:rsid w:val="00474406"/>
    <w:rsid w:val="00481B93"/>
    <w:rsid w:val="0048556C"/>
    <w:rsid w:val="00497483"/>
    <w:rsid w:val="004D18EE"/>
    <w:rsid w:val="004D75D0"/>
    <w:rsid w:val="004F6330"/>
    <w:rsid w:val="00510A25"/>
    <w:rsid w:val="00512443"/>
    <w:rsid w:val="00513D0D"/>
    <w:rsid w:val="005208E8"/>
    <w:rsid w:val="00526E42"/>
    <w:rsid w:val="00530520"/>
    <w:rsid w:val="00531A8F"/>
    <w:rsid w:val="00531BBD"/>
    <w:rsid w:val="005342DB"/>
    <w:rsid w:val="00546888"/>
    <w:rsid w:val="00556CD1"/>
    <w:rsid w:val="0056081A"/>
    <w:rsid w:val="00567B10"/>
    <w:rsid w:val="005753B1"/>
    <w:rsid w:val="00584610"/>
    <w:rsid w:val="00591D4E"/>
    <w:rsid w:val="005A7652"/>
    <w:rsid w:val="005C29DF"/>
    <w:rsid w:val="005D285D"/>
    <w:rsid w:val="005D31DC"/>
    <w:rsid w:val="005E28B3"/>
    <w:rsid w:val="00602B5A"/>
    <w:rsid w:val="00622436"/>
    <w:rsid w:val="0064046E"/>
    <w:rsid w:val="00674C26"/>
    <w:rsid w:val="00676160"/>
    <w:rsid w:val="006852DE"/>
    <w:rsid w:val="0069570C"/>
    <w:rsid w:val="006C20B0"/>
    <w:rsid w:val="006C222D"/>
    <w:rsid w:val="006C35B8"/>
    <w:rsid w:val="006D1D41"/>
    <w:rsid w:val="006F58EB"/>
    <w:rsid w:val="00707E13"/>
    <w:rsid w:val="00734138"/>
    <w:rsid w:val="007451A7"/>
    <w:rsid w:val="00763C3F"/>
    <w:rsid w:val="0076621E"/>
    <w:rsid w:val="0076751F"/>
    <w:rsid w:val="007731C8"/>
    <w:rsid w:val="00781A10"/>
    <w:rsid w:val="007A37FD"/>
    <w:rsid w:val="007A5B27"/>
    <w:rsid w:val="007A620C"/>
    <w:rsid w:val="007B2138"/>
    <w:rsid w:val="007C29B4"/>
    <w:rsid w:val="007E13BF"/>
    <w:rsid w:val="007E5A76"/>
    <w:rsid w:val="007E70E7"/>
    <w:rsid w:val="00813B73"/>
    <w:rsid w:val="00816170"/>
    <w:rsid w:val="0083179A"/>
    <w:rsid w:val="00833F3C"/>
    <w:rsid w:val="00837628"/>
    <w:rsid w:val="00844032"/>
    <w:rsid w:val="0084717F"/>
    <w:rsid w:val="008551AA"/>
    <w:rsid w:val="0085602E"/>
    <w:rsid w:val="00866E5C"/>
    <w:rsid w:val="00875817"/>
    <w:rsid w:val="00882798"/>
    <w:rsid w:val="008A7B4D"/>
    <w:rsid w:val="008B23AB"/>
    <w:rsid w:val="008D198A"/>
    <w:rsid w:val="008E50AF"/>
    <w:rsid w:val="00904B3B"/>
    <w:rsid w:val="009104AD"/>
    <w:rsid w:val="00915275"/>
    <w:rsid w:val="009211F5"/>
    <w:rsid w:val="00930B57"/>
    <w:rsid w:val="0093705F"/>
    <w:rsid w:val="00945AFF"/>
    <w:rsid w:val="00953195"/>
    <w:rsid w:val="00955A21"/>
    <w:rsid w:val="00976343"/>
    <w:rsid w:val="0098678E"/>
    <w:rsid w:val="00995961"/>
    <w:rsid w:val="009A11BC"/>
    <w:rsid w:val="009A4246"/>
    <w:rsid w:val="009B1730"/>
    <w:rsid w:val="009B34F5"/>
    <w:rsid w:val="009F1492"/>
    <w:rsid w:val="009F7E9B"/>
    <w:rsid w:val="00A0014E"/>
    <w:rsid w:val="00A02F4D"/>
    <w:rsid w:val="00A25DC9"/>
    <w:rsid w:val="00A26ED7"/>
    <w:rsid w:val="00A41B28"/>
    <w:rsid w:val="00A53153"/>
    <w:rsid w:val="00A93526"/>
    <w:rsid w:val="00AB4118"/>
    <w:rsid w:val="00AC51D7"/>
    <w:rsid w:val="00AF7B19"/>
    <w:rsid w:val="00B20C84"/>
    <w:rsid w:val="00B47A48"/>
    <w:rsid w:val="00B64BC6"/>
    <w:rsid w:val="00B87C2D"/>
    <w:rsid w:val="00BA0A7B"/>
    <w:rsid w:val="00BA7A89"/>
    <w:rsid w:val="00BC39F9"/>
    <w:rsid w:val="00BE6A46"/>
    <w:rsid w:val="00BF3B15"/>
    <w:rsid w:val="00BF4014"/>
    <w:rsid w:val="00BF7C99"/>
    <w:rsid w:val="00C44696"/>
    <w:rsid w:val="00C66D8C"/>
    <w:rsid w:val="00C71131"/>
    <w:rsid w:val="00C97473"/>
    <w:rsid w:val="00CA3C9A"/>
    <w:rsid w:val="00CA6B77"/>
    <w:rsid w:val="00CB3B13"/>
    <w:rsid w:val="00CB684B"/>
    <w:rsid w:val="00CD2BB7"/>
    <w:rsid w:val="00CD5C96"/>
    <w:rsid w:val="00CF0206"/>
    <w:rsid w:val="00CF2C63"/>
    <w:rsid w:val="00D02BBA"/>
    <w:rsid w:val="00D0359C"/>
    <w:rsid w:val="00D0670C"/>
    <w:rsid w:val="00D134C1"/>
    <w:rsid w:val="00D148C5"/>
    <w:rsid w:val="00D14BC9"/>
    <w:rsid w:val="00D30C59"/>
    <w:rsid w:val="00D37BB8"/>
    <w:rsid w:val="00D5187D"/>
    <w:rsid w:val="00D53D6D"/>
    <w:rsid w:val="00D5630D"/>
    <w:rsid w:val="00D61861"/>
    <w:rsid w:val="00D6350D"/>
    <w:rsid w:val="00D7590B"/>
    <w:rsid w:val="00D80C21"/>
    <w:rsid w:val="00DB7594"/>
    <w:rsid w:val="00DE04DD"/>
    <w:rsid w:val="00DE6AE8"/>
    <w:rsid w:val="00DE747A"/>
    <w:rsid w:val="00DE7ED3"/>
    <w:rsid w:val="00DF76E1"/>
    <w:rsid w:val="00E0322A"/>
    <w:rsid w:val="00E07630"/>
    <w:rsid w:val="00E10FA1"/>
    <w:rsid w:val="00E125E3"/>
    <w:rsid w:val="00E20CFC"/>
    <w:rsid w:val="00E40343"/>
    <w:rsid w:val="00E52AA1"/>
    <w:rsid w:val="00E638A8"/>
    <w:rsid w:val="00E82292"/>
    <w:rsid w:val="00E83719"/>
    <w:rsid w:val="00E97C3B"/>
    <w:rsid w:val="00EA4B6F"/>
    <w:rsid w:val="00EB45D0"/>
    <w:rsid w:val="00ED067B"/>
    <w:rsid w:val="00EE64FA"/>
    <w:rsid w:val="00EF5372"/>
    <w:rsid w:val="00F151BA"/>
    <w:rsid w:val="00F1684A"/>
    <w:rsid w:val="00F51C9E"/>
    <w:rsid w:val="00F533AC"/>
    <w:rsid w:val="00F56261"/>
    <w:rsid w:val="00F65A3C"/>
    <w:rsid w:val="00F712DC"/>
    <w:rsid w:val="00F81F5F"/>
    <w:rsid w:val="00F91E98"/>
    <w:rsid w:val="00F932BA"/>
    <w:rsid w:val="00F94518"/>
    <w:rsid w:val="00FA318F"/>
    <w:rsid w:val="00FB1D54"/>
    <w:rsid w:val="00FC41A5"/>
    <w:rsid w:val="00FC4B80"/>
    <w:rsid w:val="00FC5555"/>
    <w:rsid w:val="00FD1430"/>
    <w:rsid w:val="00FD2A38"/>
    <w:rsid w:val="00FD3587"/>
    <w:rsid w:val="00FE53C6"/>
    <w:rsid w:val="00FF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131"/>
    <w:pPr>
      <w:keepNext/>
      <w:numPr>
        <w:numId w:val="5"/>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71131"/>
    <w:pPr>
      <w:keepNext/>
      <w:numPr>
        <w:ilvl w:val="1"/>
        <w:numId w:val="5"/>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C71131"/>
    <w:pPr>
      <w:keepNext/>
      <w:numPr>
        <w:ilvl w:val="2"/>
        <w:numId w:val="5"/>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C71131"/>
    <w:pPr>
      <w:keepNext/>
      <w:numPr>
        <w:ilvl w:val="3"/>
        <w:numId w:val="5"/>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131"/>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71131"/>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C71131"/>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C71131"/>
    <w:rPr>
      <w:rFonts w:ascii="Arial" w:eastAsia="Times New Roman" w:hAnsi="Arial" w:cs="Times New Roman"/>
      <w:b/>
      <w:bCs/>
      <w:szCs w:val="28"/>
    </w:rPr>
  </w:style>
  <w:style w:type="paragraph" w:customStyle="1" w:styleId="CharCharCharChar1">
    <w:name w:val="Char Char Char Char1"/>
    <w:basedOn w:val="Normal"/>
    <w:rsid w:val="00C71131"/>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C71131"/>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C71131"/>
    <w:rPr>
      <w:rFonts w:ascii="Times New Roman" w:eastAsia="Times New Roman" w:hAnsi="Times New Roman" w:cs="Times New Roman"/>
      <w:sz w:val="20"/>
      <w:szCs w:val="20"/>
    </w:rPr>
  </w:style>
  <w:style w:type="character" w:styleId="FootnoteReference">
    <w:name w:val="footnote reference"/>
    <w:uiPriority w:val="99"/>
    <w:rsid w:val="00C71131"/>
    <w:rPr>
      <w:vertAlign w:val="superscript"/>
    </w:rPr>
  </w:style>
  <w:style w:type="character" w:styleId="Hyperlink">
    <w:name w:val="Hyperlink"/>
    <w:rsid w:val="00C71131"/>
    <w:rPr>
      <w:color w:val="0000FF"/>
      <w:u w:val="single"/>
    </w:rPr>
  </w:style>
  <w:style w:type="paragraph" w:styleId="Title">
    <w:name w:val="Title"/>
    <w:basedOn w:val="Normal"/>
    <w:link w:val="TitleChar"/>
    <w:qFormat/>
    <w:rsid w:val="00C71131"/>
    <w:pPr>
      <w:jc w:val="center"/>
    </w:pPr>
    <w:rPr>
      <w:sz w:val="32"/>
    </w:rPr>
  </w:style>
  <w:style w:type="character" w:customStyle="1" w:styleId="TitleChar">
    <w:name w:val="Title Char"/>
    <w:basedOn w:val="DefaultParagraphFont"/>
    <w:link w:val="Title"/>
    <w:rsid w:val="00C71131"/>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FC5555"/>
    <w:pPr>
      <w:tabs>
        <w:tab w:val="center" w:pos="4680"/>
        <w:tab w:val="right" w:pos="9360"/>
      </w:tabs>
    </w:pPr>
  </w:style>
  <w:style w:type="character" w:customStyle="1" w:styleId="HeaderChar">
    <w:name w:val="Header Char"/>
    <w:basedOn w:val="DefaultParagraphFont"/>
    <w:link w:val="Header"/>
    <w:uiPriority w:val="99"/>
    <w:rsid w:val="00FC55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555"/>
    <w:pPr>
      <w:tabs>
        <w:tab w:val="center" w:pos="4680"/>
        <w:tab w:val="right" w:pos="9360"/>
      </w:tabs>
    </w:pPr>
  </w:style>
  <w:style w:type="character" w:customStyle="1" w:styleId="FooterChar">
    <w:name w:val="Footer Char"/>
    <w:basedOn w:val="DefaultParagraphFont"/>
    <w:link w:val="Footer"/>
    <w:uiPriority w:val="99"/>
    <w:rsid w:val="00FC555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4BC6"/>
    <w:rPr>
      <w:sz w:val="16"/>
      <w:szCs w:val="16"/>
    </w:rPr>
  </w:style>
  <w:style w:type="paragraph" w:styleId="CommentText">
    <w:name w:val="annotation text"/>
    <w:basedOn w:val="Normal"/>
    <w:link w:val="CommentTextChar"/>
    <w:uiPriority w:val="99"/>
    <w:semiHidden/>
    <w:unhideWhenUsed/>
    <w:rsid w:val="00B64BC6"/>
    <w:rPr>
      <w:sz w:val="20"/>
      <w:szCs w:val="20"/>
    </w:rPr>
  </w:style>
  <w:style w:type="character" w:customStyle="1" w:styleId="CommentTextChar">
    <w:name w:val="Comment Text Char"/>
    <w:basedOn w:val="DefaultParagraphFont"/>
    <w:link w:val="CommentText"/>
    <w:uiPriority w:val="99"/>
    <w:semiHidden/>
    <w:rsid w:val="00B64B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C6"/>
    <w:rPr>
      <w:b/>
      <w:bCs/>
    </w:rPr>
  </w:style>
  <w:style w:type="character" w:customStyle="1" w:styleId="CommentSubjectChar">
    <w:name w:val="Comment Subject Char"/>
    <w:basedOn w:val="CommentTextChar"/>
    <w:link w:val="CommentSubject"/>
    <w:uiPriority w:val="99"/>
    <w:semiHidden/>
    <w:rsid w:val="00B64B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C6"/>
    <w:rPr>
      <w:rFonts w:ascii="Tahoma" w:hAnsi="Tahoma" w:cs="Tahoma"/>
      <w:sz w:val="16"/>
      <w:szCs w:val="16"/>
    </w:rPr>
  </w:style>
  <w:style w:type="character" w:customStyle="1" w:styleId="BalloonTextChar">
    <w:name w:val="Balloon Text Char"/>
    <w:basedOn w:val="DefaultParagraphFont"/>
    <w:link w:val="BalloonText"/>
    <w:uiPriority w:val="99"/>
    <w:semiHidden/>
    <w:rsid w:val="00B64BC6"/>
    <w:rPr>
      <w:rFonts w:ascii="Tahoma" w:eastAsia="Times New Roman" w:hAnsi="Tahoma" w:cs="Tahoma"/>
      <w:sz w:val="16"/>
      <w:szCs w:val="16"/>
    </w:rPr>
  </w:style>
  <w:style w:type="paragraph" w:styleId="ListParagraph">
    <w:name w:val="List Paragraph"/>
    <w:basedOn w:val="Normal"/>
    <w:uiPriority w:val="34"/>
    <w:qFormat/>
    <w:rsid w:val="006F58EB"/>
    <w:pPr>
      <w:ind w:left="360" w:hanging="360"/>
      <w:contextualSpacing/>
    </w:pPr>
    <w:rPr>
      <w:rFonts w:eastAsiaTheme="minorEastAsia" w:cstheme="minorBidi"/>
      <w:szCs w:val="22"/>
    </w:rPr>
  </w:style>
  <w:style w:type="character" w:styleId="FollowedHyperlink">
    <w:name w:val="FollowedHyperlink"/>
    <w:basedOn w:val="DefaultParagraphFont"/>
    <w:uiPriority w:val="99"/>
    <w:semiHidden/>
    <w:unhideWhenUsed/>
    <w:rsid w:val="00844032"/>
    <w:rPr>
      <w:color w:val="800080" w:themeColor="followedHyperlink"/>
      <w:u w:val="single"/>
    </w:rPr>
  </w:style>
  <w:style w:type="table" w:styleId="TableGrid">
    <w:name w:val="Table Grid"/>
    <w:basedOn w:val="TableNormal"/>
    <w:uiPriority w:val="59"/>
    <w:rsid w:val="0053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160"/>
    <w:pPr>
      <w:spacing w:after="0" w:line="240" w:lineRule="auto"/>
    </w:pPr>
    <w:rPr>
      <w:rFonts w:ascii="Times New Roman" w:eastAsia="Times New Roman" w:hAnsi="Times New Roman" w:cs="Times New Roman"/>
      <w:sz w:val="24"/>
      <w:szCs w:val="24"/>
    </w:rPr>
  </w:style>
  <w:style w:type="paragraph" w:customStyle="1" w:styleId="CharCharCharChar10">
    <w:name w:val="Char Char Char Char1"/>
    <w:basedOn w:val="Normal"/>
    <w:rsid w:val="00AF7B19"/>
    <w:pPr>
      <w:spacing w:after="160"/>
    </w:pPr>
    <w:rPr>
      <w:rFonts w:ascii="Verdana" w:hAnsi="Verdana"/>
    </w:rPr>
  </w:style>
  <w:style w:type="character" w:styleId="PlaceholderText">
    <w:name w:val="Placeholder Text"/>
    <w:basedOn w:val="DefaultParagraphFont"/>
    <w:uiPriority w:val="99"/>
    <w:semiHidden/>
    <w:rsid w:val="008D19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131"/>
    <w:pPr>
      <w:keepNext/>
      <w:numPr>
        <w:numId w:val="5"/>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71131"/>
    <w:pPr>
      <w:keepNext/>
      <w:numPr>
        <w:ilvl w:val="1"/>
        <w:numId w:val="5"/>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C71131"/>
    <w:pPr>
      <w:keepNext/>
      <w:numPr>
        <w:ilvl w:val="2"/>
        <w:numId w:val="5"/>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C71131"/>
    <w:pPr>
      <w:keepNext/>
      <w:numPr>
        <w:ilvl w:val="3"/>
        <w:numId w:val="5"/>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131"/>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71131"/>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C71131"/>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C71131"/>
    <w:rPr>
      <w:rFonts w:ascii="Arial" w:eastAsia="Times New Roman" w:hAnsi="Arial" w:cs="Times New Roman"/>
      <w:b/>
      <w:bCs/>
      <w:szCs w:val="28"/>
    </w:rPr>
  </w:style>
  <w:style w:type="paragraph" w:customStyle="1" w:styleId="CharCharCharChar1">
    <w:name w:val="Char Char Char Char1"/>
    <w:basedOn w:val="Normal"/>
    <w:rsid w:val="00C71131"/>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C71131"/>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C71131"/>
    <w:rPr>
      <w:rFonts w:ascii="Times New Roman" w:eastAsia="Times New Roman" w:hAnsi="Times New Roman" w:cs="Times New Roman"/>
      <w:sz w:val="20"/>
      <w:szCs w:val="20"/>
    </w:rPr>
  </w:style>
  <w:style w:type="character" w:styleId="FootnoteReference">
    <w:name w:val="footnote reference"/>
    <w:uiPriority w:val="99"/>
    <w:rsid w:val="00C71131"/>
    <w:rPr>
      <w:vertAlign w:val="superscript"/>
    </w:rPr>
  </w:style>
  <w:style w:type="character" w:styleId="Hyperlink">
    <w:name w:val="Hyperlink"/>
    <w:rsid w:val="00C71131"/>
    <w:rPr>
      <w:color w:val="0000FF"/>
      <w:u w:val="single"/>
    </w:rPr>
  </w:style>
  <w:style w:type="paragraph" w:styleId="Title">
    <w:name w:val="Title"/>
    <w:basedOn w:val="Normal"/>
    <w:link w:val="TitleChar"/>
    <w:qFormat/>
    <w:rsid w:val="00C71131"/>
    <w:pPr>
      <w:jc w:val="center"/>
    </w:pPr>
    <w:rPr>
      <w:sz w:val="32"/>
    </w:rPr>
  </w:style>
  <w:style w:type="character" w:customStyle="1" w:styleId="TitleChar">
    <w:name w:val="Title Char"/>
    <w:basedOn w:val="DefaultParagraphFont"/>
    <w:link w:val="Title"/>
    <w:rsid w:val="00C71131"/>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FC5555"/>
    <w:pPr>
      <w:tabs>
        <w:tab w:val="center" w:pos="4680"/>
        <w:tab w:val="right" w:pos="9360"/>
      </w:tabs>
    </w:pPr>
  </w:style>
  <w:style w:type="character" w:customStyle="1" w:styleId="HeaderChar">
    <w:name w:val="Header Char"/>
    <w:basedOn w:val="DefaultParagraphFont"/>
    <w:link w:val="Header"/>
    <w:uiPriority w:val="99"/>
    <w:rsid w:val="00FC55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555"/>
    <w:pPr>
      <w:tabs>
        <w:tab w:val="center" w:pos="4680"/>
        <w:tab w:val="right" w:pos="9360"/>
      </w:tabs>
    </w:pPr>
  </w:style>
  <w:style w:type="character" w:customStyle="1" w:styleId="FooterChar">
    <w:name w:val="Footer Char"/>
    <w:basedOn w:val="DefaultParagraphFont"/>
    <w:link w:val="Footer"/>
    <w:uiPriority w:val="99"/>
    <w:rsid w:val="00FC555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4BC6"/>
    <w:rPr>
      <w:sz w:val="16"/>
      <w:szCs w:val="16"/>
    </w:rPr>
  </w:style>
  <w:style w:type="paragraph" w:styleId="CommentText">
    <w:name w:val="annotation text"/>
    <w:basedOn w:val="Normal"/>
    <w:link w:val="CommentTextChar"/>
    <w:uiPriority w:val="99"/>
    <w:semiHidden/>
    <w:unhideWhenUsed/>
    <w:rsid w:val="00B64BC6"/>
    <w:rPr>
      <w:sz w:val="20"/>
      <w:szCs w:val="20"/>
    </w:rPr>
  </w:style>
  <w:style w:type="character" w:customStyle="1" w:styleId="CommentTextChar">
    <w:name w:val="Comment Text Char"/>
    <w:basedOn w:val="DefaultParagraphFont"/>
    <w:link w:val="CommentText"/>
    <w:uiPriority w:val="99"/>
    <w:semiHidden/>
    <w:rsid w:val="00B64B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C6"/>
    <w:rPr>
      <w:b/>
      <w:bCs/>
    </w:rPr>
  </w:style>
  <w:style w:type="character" w:customStyle="1" w:styleId="CommentSubjectChar">
    <w:name w:val="Comment Subject Char"/>
    <w:basedOn w:val="CommentTextChar"/>
    <w:link w:val="CommentSubject"/>
    <w:uiPriority w:val="99"/>
    <w:semiHidden/>
    <w:rsid w:val="00B64B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C6"/>
    <w:rPr>
      <w:rFonts w:ascii="Tahoma" w:hAnsi="Tahoma" w:cs="Tahoma"/>
      <w:sz w:val="16"/>
      <w:szCs w:val="16"/>
    </w:rPr>
  </w:style>
  <w:style w:type="character" w:customStyle="1" w:styleId="BalloonTextChar">
    <w:name w:val="Balloon Text Char"/>
    <w:basedOn w:val="DefaultParagraphFont"/>
    <w:link w:val="BalloonText"/>
    <w:uiPriority w:val="99"/>
    <w:semiHidden/>
    <w:rsid w:val="00B64BC6"/>
    <w:rPr>
      <w:rFonts w:ascii="Tahoma" w:eastAsia="Times New Roman" w:hAnsi="Tahoma" w:cs="Tahoma"/>
      <w:sz w:val="16"/>
      <w:szCs w:val="16"/>
    </w:rPr>
  </w:style>
  <w:style w:type="paragraph" w:styleId="ListParagraph">
    <w:name w:val="List Paragraph"/>
    <w:basedOn w:val="Normal"/>
    <w:uiPriority w:val="34"/>
    <w:qFormat/>
    <w:rsid w:val="006F58EB"/>
    <w:pPr>
      <w:ind w:left="360" w:hanging="360"/>
      <w:contextualSpacing/>
    </w:pPr>
    <w:rPr>
      <w:rFonts w:eastAsiaTheme="minorEastAsia" w:cstheme="minorBidi"/>
      <w:szCs w:val="22"/>
    </w:rPr>
  </w:style>
  <w:style w:type="character" w:styleId="FollowedHyperlink">
    <w:name w:val="FollowedHyperlink"/>
    <w:basedOn w:val="DefaultParagraphFont"/>
    <w:uiPriority w:val="99"/>
    <w:semiHidden/>
    <w:unhideWhenUsed/>
    <w:rsid w:val="00844032"/>
    <w:rPr>
      <w:color w:val="800080" w:themeColor="followedHyperlink"/>
      <w:u w:val="single"/>
    </w:rPr>
  </w:style>
  <w:style w:type="table" w:styleId="TableGrid">
    <w:name w:val="Table Grid"/>
    <w:basedOn w:val="TableNormal"/>
    <w:uiPriority w:val="59"/>
    <w:rsid w:val="0053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160"/>
    <w:pPr>
      <w:spacing w:after="0" w:line="240" w:lineRule="auto"/>
    </w:pPr>
    <w:rPr>
      <w:rFonts w:ascii="Times New Roman" w:eastAsia="Times New Roman" w:hAnsi="Times New Roman" w:cs="Times New Roman"/>
      <w:sz w:val="24"/>
      <w:szCs w:val="24"/>
    </w:rPr>
  </w:style>
  <w:style w:type="paragraph" w:customStyle="1" w:styleId="CharCharCharChar10">
    <w:name w:val="Char Char Char Char1"/>
    <w:basedOn w:val="Normal"/>
    <w:rsid w:val="00AF7B19"/>
    <w:pPr>
      <w:spacing w:after="160"/>
    </w:pPr>
    <w:rPr>
      <w:rFonts w:ascii="Verdana" w:hAnsi="Verdana"/>
    </w:rPr>
  </w:style>
  <w:style w:type="character" w:styleId="PlaceholderText">
    <w:name w:val="Placeholder Text"/>
    <w:basedOn w:val="DefaultParagraphFont"/>
    <w:uiPriority w:val="99"/>
    <w:semiHidden/>
    <w:rsid w:val="008D19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3391">
      <w:bodyDiv w:val="1"/>
      <w:marLeft w:val="0"/>
      <w:marRight w:val="0"/>
      <w:marTop w:val="0"/>
      <w:marBottom w:val="0"/>
      <w:divBdr>
        <w:top w:val="none" w:sz="0" w:space="0" w:color="auto"/>
        <w:left w:val="none" w:sz="0" w:space="0" w:color="auto"/>
        <w:bottom w:val="none" w:sz="0" w:space="0" w:color="auto"/>
        <w:right w:val="none" w:sz="0" w:space="0" w:color="auto"/>
      </w:divBdr>
    </w:div>
    <w:div w:id="53932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duser.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2013/may/featured_data.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uduser.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salaryexpert.com/index.cfm?fuseaction=browse.salary-data-by-hourly&amp;positionid=252301" TargetMode="External"/><Relationship Id="rId1" Type="http://schemas.openxmlformats.org/officeDocument/2006/relationships/hyperlink" Target="http://www.hud.gov/offices/adm/grants/qualityinfo/fr4769n02-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859A-6CF2-467A-9CC4-BBE0A984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Anne Fletcher</cp:lastModifiedBy>
  <cp:revision>2</cp:revision>
  <cp:lastPrinted>2014-08-05T19:37:00Z</cp:lastPrinted>
  <dcterms:created xsi:type="dcterms:W3CDTF">2014-12-08T17:17:00Z</dcterms:created>
  <dcterms:modified xsi:type="dcterms:W3CDTF">2014-12-08T17:17:00Z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-1812889173</vt:i4>
  </property>
  <property fmtid="{D5CDD505-2E9C-101B-9397-08002B2CF9AE}" pid="4" name="_EmailSubject">
    <vt:lpwstr>Evaluation of HUD's Rental Assistance Demonstration (RAD) Program- Phase I</vt:lpwstr>
  </property>
  <property fmtid="{D5CDD505-2E9C-101B-9397-08002B2CF9AE}" pid="5" name="_AuthorEmail">
    <vt:lpwstr>Anne.L.Fletcher@hud.gov</vt:lpwstr>
  </property>
  <property fmtid="{D5CDD505-2E9C-101B-9397-08002B2CF9AE}" pid="6" name="_AuthorEmailDisplayName">
    <vt:lpwstr>Fletcher, Anne L</vt:lpwstr>
  </property>
</Properties>
</file>