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2C" w:rsidRDefault="00FD4F90" w:rsidP="00FD4F90">
      <w:pPr>
        <w:widowControl/>
        <w:tabs>
          <w:tab w:val="center" w:pos="46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A53C5" w:rsidRPr="00AA53C5">
        <w:t>2140-0014</w:t>
      </w:r>
    </w:p>
    <w:p w:rsidR="00A65A0A" w:rsidRDefault="00FD4F90" w:rsidP="00A65A0A">
      <w:pPr>
        <w:widowControl/>
        <w:tabs>
          <w:tab w:val="center" w:pos="4680"/>
        </w:tabs>
        <w:jc w:val="right"/>
      </w:pPr>
      <w:r>
        <w:tab/>
      </w:r>
      <w:r>
        <w:tab/>
      </w:r>
      <w:r>
        <w:tab/>
      </w:r>
      <w:r w:rsidR="004C5CFA">
        <w:t>Ju</w:t>
      </w:r>
      <w:r w:rsidR="004C5CFA">
        <w:t>ly</w:t>
      </w:r>
      <w:r w:rsidR="004C5CFA">
        <w:t xml:space="preserve"> </w:t>
      </w:r>
      <w:r w:rsidR="00D26F38">
        <w:t>2015</w:t>
      </w:r>
      <w:r w:rsidR="00784BEE">
        <w:tab/>
      </w:r>
    </w:p>
    <w:p w:rsidR="00A65A0A" w:rsidRDefault="00A65A0A">
      <w:pPr>
        <w:widowControl/>
        <w:tabs>
          <w:tab w:val="center" w:pos="4680"/>
        </w:tabs>
      </w:pPr>
    </w:p>
    <w:p w:rsidR="00A65A0A" w:rsidRDefault="00A65A0A">
      <w:pPr>
        <w:widowControl/>
        <w:tabs>
          <w:tab w:val="center" w:pos="4680"/>
        </w:tabs>
        <w:rPr>
          <w:b/>
          <w:bCs/>
        </w:rPr>
      </w:pPr>
      <w:r>
        <w:tab/>
      </w:r>
      <w:r w:rsidR="00784BEE">
        <w:rPr>
          <w:b/>
          <w:bCs/>
        </w:rPr>
        <w:t>SUPPORTING STATEMENT</w:t>
      </w:r>
    </w:p>
    <w:p w:rsidR="00DF4F6B" w:rsidRDefault="00784BEE" w:rsidP="002A0636">
      <w:pPr>
        <w:widowControl/>
        <w:tabs>
          <w:tab w:val="center" w:pos="4680"/>
        </w:tabs>
        <w:rPr>
          <w:b/>
          <w:bCs/>
        </w:rPr>
      </w:pPr>
      <w:r>
        <w:rPr>
          <w:b/>
          <w:bCs/>
        </w:rPr>
        <w:tab/>
      </w:r>
      <w:r w:rsidR="009F6D90">
        <w:rPr>
          <w:b/>
          <w:bCs/>
        </w:rPr>
        <w:t xml:space="preserve">MODIFICATION </w:t>
      </w:r>
      <w:r w:rsidR="002A0636">
        <w:rPr>
          <w:b/>
          <w:bCs/>
        </w:rPr>
        <w:t>REPORT OF FUEL COST, CONSUMPTION,</w:t>
      </w:r>
    </w:p>
    <w:p w:rsidR="00784BEE" w:rsidRDefault="002A0636" w:rsidP="00DF4F6B">
      <w:pPr>
        <w:widowControl/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AND SURCHARGE REVENUE</w:t>
      </w:r>
      <w:r w:rsidR="00DF4F6B">
        <w:rPr>
          <w:b/>
          <w:bCs/>
        </w:rPr>
        <w:t xml:space="preserve"> </w:t>
      </w:r>
      <w:r w:rsidR="00DF4F6B">
        <w:rPr>
          <w:b/>
        </w:rPr>
        <w:t>(</w:t>
      </w:r>
      <w:r w:rsidR="00D762B8">
        <w:rPr>
          <w:b/>
        </w:rPr>
        <w:t xml:space="preserve">in </w:t>
      </w:r>
      <w:r w:rsidR="00DF4F6B">
        <w:rPr>
          <w:b/>
        </w:rPr>
        <w:t>EP-701)</w:t>
      </w:r>
    </w:p>
    <w:p w:rsidR="005665EB" w:rsidRDefault="005665EB">
      <w:pPr>
        <w:widowControl/>
        <w:tabs>
          <w:tab w:val="center" w:pos="4680"/>
        </w:tabs>
        <w:rPr>
          <w:b/>
          <w:bCs/>
        </w:rPr>
      </w:pPr>
    </w:p>
    <w:p w:rsidR="00784BEE" w:rsidRDefault="0040217A" w:rsidP="0040217A">
      <w:pPr>
        <w:ind w:firstLine="720"/>
      </w:pPr>
      <w:r>
        <w:t xml:space="preserve">The Surface Transportation Board (STB or Board) </w:t>
      </w:r>
      <w:r w:rsidRPr="005E5D9A">
        <w:t>require</w:t>
      </w:r>
      <w:r w:rsidR="005665EB">
        <w:t>s</w:t>
      </w:r>
      <w:r w:rsidRPr="005E5D9A">
        <w:t xml:space="preserve"> all Class I </w:t>
      </w:r>
      <w:r w:rsidR="00B46296">
        <w:t xml:space="preserve">(large) </w:t>
      </w:r>
      <w:r w:rsidRPr="005E5D9A">
        <w:t xml:space="preserve">railroads to report </w:t>
      </w:r>
      <w:r w:rsidR="00894286">
        <w:t>quarterly</w:t>
      </w:r>
      <w:r w:rsidR="00894286" w:rsidRPr="005E5D9A">
        <w:t xml:space="preserve"> </w:t>
      </w:r>
      <w:r w:rsidRPr="005E5D9A">
        <w:t xml:space="preserve">the following:  (1) total fuel cost; (2) gallons of fuel consumed; (3) increased or decreased cost of fuel over the previous </w:t>
      </w:r>
      <w:r w:rsidR="00331F5A">
        <w:t>quarter</w:t>
      </w:r>
      <w:r w:rsidRPr="005E5D9A">
        <w:t>; (4) total revenue from fuel surcharges</w:t>
      </w:r>
      <w:r>
        <w:t>; and (5) total revenue from fuel surcharges on regulated traffic only</w:t>
      </w:r>
      <w:r w:rsidRPr="005E5D9A">
        <w:t xml:space="preserve">.  </w:t>
      </w:r>
      <w:r w:rsidR="00BF32C2" w:rsidRPr="00E010DC">
        <w:rPr>
          <w:u w:val="single"/>
        </w:rPr>
        <w:t>See</w:t>
      </w:r>
      <w:r w:rsidR="00BF32C2">
        <w:t xml:space="preserve"> </w:t>
      </w:r>
      <w:r w:rsidR="00BF32C2" w:rsidRPr="009A79B5">
        <w:t>49 C.F.R § 1243.3</w:t>
      </w:r>
      <w:r w:rsidR="00BF32C2">
        <w:t>.</w:t>
      </w:r>
    </w:p>
    <w:p w:rsidR="00784BEE" w:rsidRDefault="00784BEE">
      <w:pPr>
        <w:widowControl/>
      </w:pPr>
    </w:p>
    <w:p w:rsidR="00784BEE" w:rsidRPr="00F60174" w:rsidRDefault="00784BEE">
      <w:pPr>
        <w:widowControl/>
        <w:rPr>
          <w:b/>
          <w:u w:val="single"/>
        </w:rPr>
      </w:pPr>
      <w:r w:rsidRPr="00F60174">
        <w:rPr>
          <w:b/>
        </w:rPr>
        <w:t xml:space="preserve">A.  </w:t>
      </w:r>
      <w:r w:rsidRPr="00F60174">
        <w:rPr>
          <w:b/>
          <w:u w:val="single"/>
        </w:rPr>
        <w:t>Justification</w:t>
      </w:r>
    </w:p>
    <w:p w:rsidR="005665EB" w:rsidRDefault="005665EB">
      <w:pPr>
        <w:widowControl/>
        <w:rPr>
          <w:u w:val="single"/>
        </w:rPr>
      </w:pPr>
    </w:p>
    <w:p w:rsidR="003271BE" w:rsidRDefault="009F6D90" w:rsidP="00515CD7">
      <w:pPr>
        <w:ind w:firstLine="720"/>
      </w:pPr>
      <w:r w:rsidRPr="003030B4">
        <w:t>1.  (</w:t>
      </w:r>
      <w:proofErr w:type="gramStart"/>
      <w:r w:rsidRPr="003030B4">
        <w:t>a</w:t>
      </w:r>
      <w:proofErr w:type="gramEnd"/>
      <w:r w:rsidRPr="003030B4">
        <w:t xml:space="preserve">) </w:t>
      </w:r>
      <w:r w:rsidR="003030B4" w:rsidRPr="00FC4786">
        <w:rPr>
          <w:u w:val="single"/>
        </w:rPr>
        <w:t>Why the collection is necessary</w:t>
      </w:r>
      <w:r w:rsidR="003030B4">
        <w:t xml:space="preserve">.  </w:t>
      </w:r>
      <w:r w:rsidR="00DF046A" w:rsidRPr="005E5D9A">
        <w:t xml:space="preserve">Under 49 U.S.C. </w:t>
      </w:r>
      <w:r w:rsidR="00016194">
        <w:t xml:space="preserve">§ </w:t>
      </w:r>
      <w:r w:rsidR="00DF046A" w:rsidRPr="005E5D9A">
        <w:t xml:space="preserve">10702, the Board has the authority to address the reasonableness of a rail carrier’s practices.  </w:t>
      </w:r>
      <w:r w:rsidR="00CD455C">
        <w:t xml:space="preserve">The Board has authority under </w:t>
      </w:r>
      <w:r w:rsidR="00016194" w:rsidRPr="005E5D9A">
        <w:t xml:space="preserve">49 U.S.C. </w:t>
      </w:r>
      <w:r w:rsidR="00016194">
        <w:t xml:space="preserve">§ </w:t>
      </w:r>
      <w:r w:rsidR="00CD455C">
        <w:t xml:space="preserve">11144 to prescribe the form of records required to be prepared or compiled by regulated rail carriers, and to inspect and copy any record of such a carrier. </w:t>
      </w:r>
      <w:r w:rsidR="0020241C">
        <w:t xml:space="preserve"> </w:t>
      </w:r>
      <w:r w:rsidR="00CD455C">
        <w:t>Moreover, t</w:t>
      </w:r>
      <w:r w:rsidR="00DF046A">
        <w:t xml:space="preserve">he Board has </w:t>
      </w:r>
      <w:r w:rsidR="00CD455C">
        <w:t xml:space="preserve">specific </w:t>
      </w:r>
      <w:r w:rsidR="00DF046A">
        <w:t xml:space="preserve">authority under </w:t>
      </w:r>
      <w:r w:rsidR="003C1990" w:rsidRPr="005E5D9A">
        <w:t xml:space="preserve">49 U.S.C. </w:t>
      </w:r>
      <w:r w:rsidR="003C1990">
        <w:t xml:space="preserve">§ </w:t>
      </w:r>
      <w:r w:rsidR="00DF046A">
        <w:t xml:space="preserve">11145(a)(1) to require regulated rail carriers to file annual, periodic, and special reports containing answers to questions asked by the Board.  </w:t>
      </w:r>
      <w:r w:rsidR="003271BE">
        <w:t xml:space="preserve">In </w:t>
      </w:r>
      <w:r w:rsidR="003271BE" w:rsidRPr="003271BE">
        <w:rPr>
          <w:u w:val="single"/>
        </w:rPr>
        <w:t>Rail Fuel Surcharges</w:t>
      </w:r>
      <w:r w:rsidR="003271BE">
        <w:t xml:space="preserve">, </w:t>
      </w:r>
      <w:r w:rsidR="005665EB" w:rsidRPr="003271BE">
        <w:t>E</w:t>
      </w:r>
      <w:r w:rsidR="00890420">
        <w:t>P</w:t>
      </w:r>
      <w:r w:rsidR="005665EB" w:rsidRPr="003271BE">
        <w:t xml:space="preserve"> 661 </w:t>
      </w:r>
      <w:r w:rsidR="003271BE" w:rsidRPr="003271BE">
        <w:t>(Sub-No. 1) (</w:t>
      </w:r>
      <w:r w:rsidR="00890420">
        <w:t xml:space="preserve">STB </w:t>
      </w:r>
      <w:r w:rsidR="003271BE" w:rsidRPr="003271BE">
        <w:t>served</w:t>
      </w:r>
      <w:r w:rsidR="003271BE">
        <w:t xml:space="preserve"> Aug. 14, 2007)</w:t>
      </w:r>
      <w:r w:rsidR="00A07EAE">
        <w:t xml:space="preserve">, the Board </w:t>
      </w:r>
      <w:r w:rsidR="000639D6">
        <w:t>adopted</w:t>
      </w:r>
      <w:r w:rsidR="00A07EAE">
        <w:t xml:space="preserve"> </w:t>
      </w:r>
      <w:r w:rsidR="00B46296">
        <w:t xml:space="preserve">the </w:t>
      </w:r>
      <w:r w:rsidR="00A07EAE">
        <w:t xml:space="preserve">requirement </w:t>
      </w:r>
      <w:r w:rsidR="00B46296">
        <w:t xml:space="preserve">involved here </w:t>
      </w:r>
      <w:r w:rsidR="00A07EAE">
        <w:t>to “permit the Board to monitor the current fuel surcharge practices of Class I carriers” in order to “</w:t>
      </w:r>
      <w:r w:rsidR="00A07EAE">
        <w:rPr>
          <w:rFonts w:cs="Helv"/>
        </w:rPr>
        <w:t xml:space="preserve">provide an overall picture of the use of fuel surcharges” and </w:t>
      </w:r>
      <w:r w:rsidR="00A07EAE">
        <w:rPr>
          <w:lang w:val="en-CA"/>
        </w:rPr>
        <w:t>“bring some transparency to the use of fuel surcharges</w:t>
      </w:r>
      <w:r w:rsidR="00A07EAE">
        <w:t xml:space="preserve"> by rail carriers.” </w:t>
      </w:r>
    </w:p>
    <w:p w:rsidR="009F6D90" w:rsidRDefault="009F6D90" w:rsidP="009F6D90">
      <w:r>
        <w:t xml:space="preserve"> </w:t>
      </w:r>
    </w:p>
    <w:p w:rsidR="009F6D90" w:rsidRDefault="009F6D90" w:rsidP="009F6D90">
      <w:r>
        <w:t xml:space="preserve">    </w:t>
      </w:r>
      <w:r w:rsidR="00EA48CA">
        <w:t xml:space="preserve">(b) </w:t>
      </w:r>
      <w:r w:rsidRPr="00FD4F90">
        <w:rPr>
          <w:u w:val="single"/>
        </w:rPr>
        <w:t>Why the modification is necessary</w:t>
      </w:r>
      <w:r w:rsidRPr="00FD4F90">
        <w:t xml:space="preserve">.  The Board now proposes to accelerate the due date for this and several other reporting requirements.  Under the proposal, </w:t>
      </w:r>
      <w:r w:rsidR="00BF32C2" w:rsidRPr="00FD4F90">
        <w:t xml:space="preserve">the </w:t>
      </w:r>
      <w:r w:rsidRPr="00FD4F90">
        <w:t>Report of Fuel Cost, Consumption, and Surcharge Revenue (49 C.F.R § 1243.3) would be filed within 15 days, instead of 30 days, after the end of the quarter.  The proposed change to</w:t>
      </w:r>
      <w:r w:rsidR="00783F84" w:rsidRPr="00FD4F90">
        <w:t xml:space="preserve"> the</w:t>
      </w:r>
      <w:r w:rsidRPr="00FD4F90">
        <w:t xml:space="preserve"> filing deadline would further facilitate oversight of the economic health and operations of Class I railroads.  Earlier reporting of financial information would provide the Board and the public with an increased ability to identify and evaluate emerging trends, business conditions, and issues related to Class I railroads.  Reporting and information technology has changed</w:t>
      </w:r>
      <w:r w:rsidR="00785ABF" w:rsidRPr="00FD4F90">
        <w:t xml:space="preserve"> </w:t>
      </w:r>
      <w:r w:rsidR="00F1528F" w:rsidRPr="00FD4F90">
        <w:t>since the existing deadline for reporting was set</w:t>
      </w:r>
      <w:r w:rsidRPr="00FD4F90">
        <w:t xml:space="preserve">, allowing data to be more easily compiled and prepared for reports.  Given </w:t>
      </w:r>
      <w:r w:rsidR="00BF32C2" w:rsidRPr="00FD4F90">
        <w:t>the</w:t>
      </w:r>
      <w:r w:rsidRPr="00FD4F90">
        <w:t xml:space="preserve"> need for current financial and operational information, as well as improved reporting capabilities, it is appropriate that the Board reexamine</w:t>
      </w:r>
      <w:r w:rsidR="004B4837" w:rsidRPr="00FD4F90">
        <w:t xml:space="preserve"> and shorten</w:t>
      </w:r>
      <w:r w:rsidRPr="00FD4F90">
        <w:t xml:space="preserve"> </w:t>
      </w:r>
      <w:r w:rsidR="00BF32C2" w:rsidRPr="00FD4F90">
        <w:t>current</w:t>
      </w:r>
      <w:r w:rsidRPr="00FD4F90">
        <w:t xml:space="preserve"> reporting </w:t>
      </w:r>
      <w:r w:rsidR="00BF32C2" w:rsidRPr="00FD4F90">
        <w:t>deadlines</w:t>
      </w:r>
      <w:r w:rsidRPr="00FD4F90">
        <w:t>.</w:t>
      </w:r>
      <w:r w:rsidRPr="009E1B93">
        <w:t xml:space="preserve">  </w:t>
      </w:r>
    </w:p>
    <w:p w:rsidR="009F6D90" w:rsidRDefault="009F6D90" w:rsidP="009F6D90"/>
    <w:p w:rsidR="000639D6" w:rsidRPr="003271BE" w:rsidRDefault="000639D6" w:rsidP="000639D6">
      <w:pPr>
        <w:rPr>
          <w:color w:val="000000"/>
        </w:rPr>
      </w:pPr>
    </w:p>
    <w:p w:rsidR="00FD0ECC" w:rsidRDefault="003271BE" w:rsidP="00515CD7">
      <w:pPr>
        <w:ind w:firstLine="720"/>
      </w:pPr>
      <w:r>
        <w:t>2</w:t>
      </w:r>
      <w:r w:rsidR="00FD0ECC">
        <w:t xml:space="preserve">.  </w:t>
      </w:r>
      <w:r w:rsidR="003030B4" w:rsidRPr="00FC4786">
        <w:rPr>
          <w:u w:val="single"/>
        </w:rPr>
        <w:t>How the collection will be used</w:t>
      </w:r>
      <w:r w:rsidR="00FD0ECC">
        <w:t xml:space="preserve">.  </w:t>
      </w:r>
      <w:r w:rsidR="0040217A">
        <w:t>This</w:t>
      </w:r>
      <w:r w:rsidR="00FD0ECC">
        <w:t xml:space="preserve"> information collection </w:t>
      </w:r>
      <w:r w:rsidR="005E1D2A">
        <w:t>permits</w:t>
      </w:r>
      <w:r w:rsidR="00FD0ECC" w:rsidRPr="00824773">
        <w:t xml:space="preserve"> the Board to monitor </w:t>
      </w:r>
      <w:r w:rsidR="00FD0ECC" w:rsidRPr="005E5D9A">
        <w:t xml:space="preserve">the current </w:t>
      </w:r>
      <w:r w:rsidR="00FD0ECC">
        <w:t xml:space="preserve">fuel surcharge </w:t>
      </w:r>
      <w:r w:rsidR="00FD0ECC" w:rsidRPr="005E5D9A">
        <w:t>practices</w:t>
      </w:r>
      <w:r w:rsidR="00FD0ECC">
        <w:t xml:space="preserve"> of the Class I carriers</w:t>
      </w:r>
      <w:r w:rsidR="00FD0ECC" w:rsidRPr="005E5D9A">
        <w:t xml:space="preserve">. </w:t>
      </w:r>
      <w:r w:rsidR="00FD0ECC">
        <w:t xml:space="preserve"> </w:t>
      </w:r>
    </w:p>
    <w:p w:rsidR="00FD0ECC" w:rsidRDefault="00FD0ECC" w:rsidP="00DF046A"/>
    <w:p w:rsidR="00FD0ECC" w:rsidRDefault="00FD0ECC" w:rsidP="00515CD7">
      <w:pPr>
        <w:ind w:firstLine="720"/>
      </w:pPr>
      <w:r>
        <w:t xml:space="preserve">3.  </w:t>
      </w:r>
      <w:r w:rsidR="003030B4" w:rsidRPr="00FC4786">
        <w:rPr>
          <w:u w:val="single"/>
        </w:rPr>
        <w:t>Extent of automated information collection</w:t>
      </w:r>
      <w:r>
        <w:t xml:space="preserve">.  </w:t>
      </w:r>
      <w:r w:rsidR="00D74DDF">
        <w:t>The railroads</w:t>
      </w:r>
      <w:r w:rsidR="004016C9">
        <w:t xml:space="preserve"> submit</w:t>
      </w:r>
      <w:r w:rsidR="0030393C">
        <w:t xml:space="preserve"> this report</w:t>
      </w:r>
      <w:r w:rsidR="004016C9">
        <w:t xml:space="preserve"> </w:t>
      </w:r>
      <w:r w:rsidR="003500B1">
        <w:t xml:space="preserve">electronically </w:t>
      </w:r>
      <w:r w:rsidR="00D74DDF">
        <w:t xml:space="preserve">in </w:t>
      </w:r>
      <w:r w:rsidR="004016C9">
        <w:t>Excel spreadsheet format</w:t>
      </w:r>
      <w:r>
        <w:t xml:space="preserve">.  </w:t>
      </w:r>
    </w:p>
    <w:p w:rsidR="004230BB" w:rsidRDefault="004230BB" w:rsidP="00DF046A"/>
    <w:p w:rsidR="00FD0ECC" w:rsidRDefault="00FD0ECC" w:rsidP="00515CD7">
      <w:pPr>
        <w:widowControl/>
        <w:ind w:firstLine="720"/>
      </w:pPr>
      <w:r>
        <w:lastRenderedPageBreak/>
        <w:t xml:space="preserve">4.  </w:t>
      </w:r>
      <w:r w:rsidR="003030B4" w:rsidRPr="00FC4786">
        <w:rPr>
          <w:u w:val="single"/>
        </w:rPr>
        <w:t>Identification of duplication</w:t>
      </w:r>
      <w:r>
        <w:t xml:space="preserve">.  </w:t>
      </w:r>
      <w:r w:rsidR="007612D8" w:rsidRPr="006B1A8B">
        <w:t xml:space="preserve">No other Federal agency </w:t>
      </w:r>
      <w:r w:rsidR="007612D8">
        <w:t xml:space="preserve">has economic regulatory authority over freight rail transportation.  </w:t>
      </w:r>
      <w:r w:rsidR="00515CD7" w:rsidRPr="00DC1FC0">
        <w:t>Because no other Federal agency collects the information in this report, nor is this information available from any other source, no duplication of information.</w:t>
      </w:r>
      <w:r w:rsidR="00515CD7">
        <w:t xml:space="preserve"> </w:t>
      </w:r>
      <w:r w:rsidR="00871BF9">
        <w:t xml:space="preserve"> In most instances, the information sought is unique to each carrier.</w:t>
      </w:r>
    </w:p>
    <w:p w:rsidR="00FD0ECC" w:rsidRDefault="00FD0ECC" w:rsidP="00DF046A"/>
    <w:p w:rsidR="00BF7E12" w:rsidRDefault="00FD0ECC" w:rsidP="00BF7E12">
      <w:pPr>
        <w:ind w:firstLine="720"/>
      </w:pPr>
      <w:r>
        <w:t xml:space="preserve">5.  </w:t>
      </w:r>
      <w:r w:rsidR="003030B4" w:rsidRPr="00FC4786">
        <w:rPr>
          <w:u w:val="single"/>
        </w:rPr>
        <w:t>Effects on small business</w:t>
      </w:r>
      <w:r>
        <w:t xml:space="preserve">.  There is no impact on small businesses.  </w:t>
      </w:r>
      <w:r w:rsidR="008C57C4">
        <w:t xml:space="preserve">This reporting requirement applies only to </w:t>
      </w:r>
      <w:r>
        <w:t xml:space="preserve">Class I railroads, </w:t>
      </w:r>
      <w:r w:rsidR="00133D88">
        <w:t xml:space="preserve">all of </w:t>
      </w:r>
      <w:r>
        <w:t>which have revenues in excess of 250 million dollars</w:t>
      </w:r>
      <w:r w:rsidR="00AD696A">
        <w:t xml:space="preserve"> (in 1991 dollars) </w:t>
      </w:r>
      <w:r w:rsidR="00351632">
        <w:t>(</w:t>
      </w:r>
      <w:r w:rsidR="00AD696A">
        <w:t>adjusted for inflation</w:t>
      </w:r>
      <w:r w:rsidR="00156684" w:rsidRPr="00515CD7">
        <w:rPr>
          <w:color w:val="000000"/>
        </w:rPr>
        <w:t xml:space="preserve"> using 2012 data</w:t>
      </w:r>
      <w:r w:rsidR="00156684" w:rsidRPr="00515CD7">
        <w:t xml:space="preserve">, the revenue threshold for a Class I rail carrier </w:t>
      </w:r>
      <w:r w:rsidR="00156684" w:rsidRPr="00515CD7">
        <w:rPr>
          <w:color w:val="000000"/>
        </w:rPr>
        <w:t>is $452,653,248)</w:t>
      </w:r>
      <w:r w:rsidR="009B242C">
        <w:rPr>
          <w:color w:val="000000"/>
        </w:rPr>
        <w:t>.</w:t>
      </w:r>
      <w:r w:rsidR="00BF7E12">
        <w:t xml:space="preserve">  The Board has adopted an indexing methodology that will </w:t>
      </w:r>
      <w:r w:rsidR="00BF7E12" w:rsidRPr="005B5A40">
        <w:t>ensure</w:t>
      </w:r>
      <w:r w:rsidR="00BF7E12">
        <w:t xml:space="preserve"> that regulated carriers are classified based on real business </w:t>
      </w:r>
      <w:r w:rsidR="00BF7E12" w:rsidRPr="005B5A40">
        <w:t>expansion, rather than the effects of inflation.</w:t>
      </w:r>
      <w:r w:rsidR="00BF7E12">
        <w:t xml:space="preserve"> </w:t>
      </w:r>
    </w:p>
    <w:p w:rsidR="00FD0ECC" w:rsidRDefault="00FD0ECC" w:rsidP="00DF046A"/>
    <w:p w:rsidR="00FD0ECC" w:rsidRDefault="00FD0ECC" w:rsidP="00515CD7">
      <w:pPr>
        <w:ind w:firstLine="720"/>
      </w:pPr>
      <w:r>
        <w:t xml:space="preserve">6.  </w:t>
      </w:r>
      <w:r w:rsidR="003030B4" w:rsidRPr="00FC4786">
        <w:rPr>
          <w:u w:val="single"/>
        </w:rPr>
        <w:t>Impact of less frequent collections</w:t>
      </w:r>
      <w:r>
        <w:t xml:space="preserve">.  </w:t>
      </w:r>
      <w:r w:rsidRPr="0047031C">
        <w:t xml:space="preserve">This information is collected </w:t>
      </w:r>
      <w:r w:rsidR="0047031C" w:rsidRPr="0047031C">
        <w:t>quarterly</w:t>
      </w:r>
      <w:r w:rsidR="0047031C">
        <w:t xml:space="preserve">.  </w:t>
      </w:r>
      <w:r w:rsidR="0040217A">
        <w:t>F</w:t>
      </w:r>
      <w:r w:rsidR="0047031C" w:rsidRPr="0047031C">
        <w:t xml:space="preserve">uel prices </w:t>
      </w:r>
      <w:r w:rsidR="0040217A">
        <w:t>can</w:t>
      </w:r>
      <w:r w:rsidR="0047031C">
        <w:t xml:space="preserve"> fluctuate </w:t>
      </w:r>
      <w:r w:rsidR="00BB0FCE">
        <w:t>frequently</w:t>
      </w:r>
      <w:r w:rsidR="0040217A">
        <w:t xml:space="preserve">.  </w:t>
      </w:r>
      <w:r w:rsidR="00B54FB0">
        <w:t>Therefore, a</w:t>
      </w:r>
      <w:r w:rsidR="0047031C">
        <w:t xml:space="preserve"> quarterly collection of this information </w:t>
      </w:r>
      <w:r w:rsidR="0040217A">
        <w:t>is needed to</w:t>
      </w:r>
      <w:r w:rsidR="0047031C">
        <w:t xml:space="preserve"> provide </w:t>
      </w:r>
      <w:r w:rsidRPr="0047031C">
        <w:t>current and relevant information to the Board</w:t>
      </w:r>
      <w:r w:rsidR="0040217A">
        <w:t>.</w:t>
      </w:r>
      <w:r w:rsidRPr="0047031C">
        <w:t xml:space="preserve"> </w:t>
      </w:r>
    </w:p>
    <w:p w:rsidR="0040217A" w:rsidRDefault="0040217A" w:rsidP="00DF046A"/>
    <w:p w:rsidR="003C1990" w:rsidRDefault="00FD0ECC" w:rsidP="00515CD7">
      <w:pPr>
        <w:ind w:firstLine="720"/>
      </w:pPr>
      <w:r>
        <w:t xml:space="preserve">7.  </w:t>
      </w:r>
      <w:r w:rsidR="003030B4">
        <w:rPr>
          <w:u w:val="single"/>
        </w:rPr>
        <w:t>Special c</w:t>
      </w:r>
      <w:r>
        <w:rPr>
          <w:u w:val="single"/>
        </w:rPr>
        <w:t>ircumstances</w:t>
      </w:r>
      <w:r>
        <w:t xml:space="preserve">.  </w:t>
      </w:r>
      <w:r w:rsidR="007F7B23">
        <w:t xml:space="preserve">No </w:t>
      </w:r>
      <w:r w:rsidRPr="007F7B23">
        <w:t>special circumstances require the collection to be conducted in a manner inconsistent with the guidelines in 5 C</w:t>
      </w:r>
      <w:r w:rsidR="00890420">
        <w:t>.</w:t>
      </w:r>
      <w:r w:rsidRPr="007F7B23">
        <w:t>F</w:t>
      </w:r>
      <w:r w:rsidR="00890420">
        <w:t>.</w:t>
      </w:r>
      <w:r w:rsidRPr="007F7B23">
        <w:t>R</w:t>
      </w:r>
      <w:r w:rsidR="00890420">
        <w:t>.</w:t>
      </w:r>
      <w:r w:rsidRPr="007F7B23">
        <w:t xml:space="preserve"> </w:t>
      </w:r>
      <w:r w:rsidR="00EE06D9">
        <w:t xml:space="preserve">§ </w:t>
      </w:r>
      <w:r w:rsidR="003C1990">
        <w:t>1320.5</w:t>
      </w:r>
      <w:r w:rsidR="00175EA7">
        <w:t>.</w:t>
      </w:r>
    </w:p>
    <w:p w:rsidR="003030B4" w:rsidRDefault="003030B4" w:rsidP="003C1990"/>
    <w:p w:rsidR="00BF32C2" w:rsidRDefault="00FD0ECC" w:rsidP="00BF32C2">
      <w:pPr>
        <w:ind w:firstLine="720"/>
      </w:pPr>
      <w:r>
        <w:t xml:space="preserve">8.  </w:t>
      </w:r>
      <w:r w:rsidR="003030B4" w:rsidRPr="00FC4786">
        <w:rPr>
          <w:u w:val="single"/>
        </w:rPr>
        <w:t>Compliance with 5 C.F.R. § 1320.8</w:t>
      </w:r>
      <w:r w:rsidRPr="00F60174">
        <w:t>.</w:t>
      </w:r>
      <w:r>
        <w:t xml:space="preserve">  </w:t>
      </w:r>
      <w:r w:rsidR="00BF32C2" w:rsidRPr="004C5CFA">
        <w:t xml:space="preserve">As </w:t>
      </w:r>
      <w:r w:rsidR="001F09B8" w:rsidRPr="004C5CFA">
        <w:t xml:space="preserve">part of </w:t>
      </w:r>
      <w:r w:rsidR="00156684" w:rsidRPr="004C5CFA">
        <w:t xml:space="preserve">this </w:t>
      </w:r>
      <w:r w:rsidR="001F09B8" w:rsidRPr="004C5CFA">
        <w:t>proposed rule</w:t>
      </w:r>
      <w:r w:rsidR="00BF32C2" w:rsidRPr="004C5CFA">
        <w:t xml:space="preserve">, the Board has published a notice providing </w:t>
      </w:r>
      <w:r w:rsidR="004C5CFA" w:rsidRPr="004C5CFA">
        <w:t xml:space="preserve">a 30-day comment period regarding the proposed modification, followed by a 30-day period for replies to comments.  </w:t>
      </w:r>
      <w:proofErr w:type="gramStart"/>
      <w:r w:rsidR="004C5CFA" w:rsidRPr="004C5CFA">
        <w:t>80 Fed.</w:t>
      </w:r>
      <w:proofErr w:type="gramEnd"/>
      <w:r w:rsidR="004C5CFA" w:rsidRPr="004C5CFA">
        <w:t xml:space="preserve"> </w:t>
      </w:r>
      <w:proofErr w:type="gramStart"/>
      <w:r w:rsidR="004C5CFA" w:rsidRPr="004C5CFA">
        <w:t>Reg. 39045</w:t>
      </w:r>
      <w:proofErr w:type="gramEnd"/>
      <w:r w:rsidR="00BF32C2" w:rsidRPr="004C5CFA">
        <w:t>.</w:t>
      </w:r>
      <w:bookmarkStart w:id="0" w:name="_GoBack"/>
      <w:bookmarkEnd w:id="0"/>
      <w:r w:rsidR="0020241C">
        <w:t xml:space="preserve"> </w:t>
      </w:r>
    </w:p>
    <w:p w:rsidR="00FD0ECC" w:rsidRDefault="00FD0ECC" w:rsidP="00DF046A"/>
    <w:p w:rsidR="00FD0ECC" w:rsidRDefault="00FD0ECC" w:rsidP="00515CD7">
      <w:pPr>
        <w:ind w:firstLine="720"/>
      </w:pPr>
      <w:r>
        <w:t>9.</w:t>
      </w:r>
      <w:r w:rsidR="00E57E50">
        <w:t xml:space="preserve">  </w:t>
      </w:r>
      <w:r w:rsidR="003030B4">
        <w:rPr>
          <w:u w:val="single"/>
        </w:rPr>
        <w:t>Payment or g</w:t>
      </w:r>
      <w:r w:rsidR="00E57E50">
        <w:rPr>
          <w:u w:val="single"/>
        </w:rPr>
        <w:t>ift</w:t>
      </w:r>
      <w:r w:rsidR="003030B4">
        <w:rPr>
          <w:u w:val="single"/>
        </w:rPr>
        <w:t>s to r</w:t>
      </w:r>
      <w:r w:rsidR="00E57E50">
        <w:rPr>
          <w:u w:val="single"/>
        </w:rPr>
        <w:t>espondents</w:t>
      </w:r>
      <w:r w:rsidR="00E57E50">
        <w:t>.  No payments or gifts to respondents are made.</w:t>
      </w:r>
    </w:p>
    <w:p w:rsidR="00FD0ECC" w:rsidRDefault="00FD0ECC" w:rsidP="00DF046A"/>
    <w:p w:rsidR="00FD0ECC" w:rsidRDefault="00FD0ECC" w:rsidP="00515CD7">
      <w:pPr>
        <w:ind w:firstLine="720"/>
      </w:pPr>
      <w:r>
        <w:t>10.</w:t>
      </w:r>
      <w:r w:rsidR="00E57E50">
        <w:t xml:space="preserve">  </w:t>
      </w:r>
      <w:r w:rsidR="006C5D2B" w:rsidRPr="00FC4786">
        <w:rPr>
          <w:u w:val="single"/>
        </w:rPr>
        <w:t>Assurance of confidentiality</w:t>
      </w:r>
      <w:r w:rsidR="00E57E50">
        <w:t xml:space="preserve">.  No confidential information is being collected in this </w:t>
      </w:r>
      <w:r w:rsidR="00994845">
        <w:t>information collection</w:t>
      </w:r>
      <w:r w:rsidR="00E57E50">
        <w:t xml:space="preserve">.  The collected information </w:t>
      </w:r>
      <w:r w:rsidR="005E1D2A">
        <w:t>is</w:t>
      </w:r>
      <w:r w:rsidR="00E57E50">
        <w:t xml:space="preserve"> posted on the Board’s website.  </w:t>
      </w:r>
    </w:p>
    <w:p w:rsidR="00FD0ECC" w:rsidRDefault="00FD0ECC" w:rsidP="00DF046A"/>
    <w:p w:rsidR="00FD0ECC" w:rsidRDefault="00FD0ECC" w:rsidP="00515CD7">
      <w:pPr>
        <w:ind w:firstLine="720"/>
      </w:pPr>
      <w:r>
        <w:t>11.</w:t>
      </w:r>
      <w:r w:rsidR="00DC0FD7">
        <w:t xml:space="preserve">  </w:t>
      </w:r>
      <w:r w:rsidR="006C5D2B" w:rsidRPr="00FC4786">
        <w:rPr>
          <w:u w:val="single"/>
        </w:rPr>
        <w:t>Justification for collection of sensitive information</w:t>
      </w:r>
      <w:r w:rsidR="00DC0FD7">
        <w:t>.  No information of a sensitive nature is requested.</w:t>
      </w:r>
    </w:p>
    <w:p w:rsidR="00DC0FD7" w:rsidRDefault="00DC0FD7" w:rsidP="00DF046A"/>
    <w:p w:rsidR="001B0D2C" w:rsidRDefault="00B46296" w:rsidP="00DC0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ab/>
      </w:r>
      <w:r w:rsidR="00FD0ECC" w:rsidRPr="00BE61C5">
        <w:t>12.</w:t>
      </w:r>
      <w:r w:rsidR="00DC0FD7" w:rsidRPr="00BE61C5">
        <w:t xml:space="preserve">  </w:t>
      </w:r>
      <w:r w:rsidR="006C5D2B" w:rsidRPr="00A322DC">
        <w:rPr>
          <w:u w:val="single"/>
        </w:rPr>
        <w:t>Estimation of burden hours for respondents</w:t>
      </w:r>
      <w:r w:rsidR="00DC0FD7" w:rsidRPr="00BE61C5">
        <w:t xml:space="preserve">. </w:t>
      </w:r>
      <w:r w:rsidR="001B0D2C">
        <w:t xml:space="preserve"> </w:t>
      </w:r>
      <w:r w:rsidR="00DD0179" w:rsidRPr="00BE61C5">
        <w:t xml:space="preserve">The </w:t>
      </w:r>
      <w:r w:rsidR="001B0D2C">
        <w:t>following information pertains to the estimate of burden hours associated with this collection:</w:t>
      </w:r>
    </w:p>
    <w:p w:rsidR="001B0D2C" w:rsidRDefault="001B0D2C" w:rsidP="00DC0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1B0D2C" w:rsidRDefault="001B0D2C" w:rsidP="00515CD7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Number of respondents: 7.</w:t>
      </w:r>
    </w:p>
    <w:p w:rsidR="001B0D2C" w:rsidRDefault="001B0D2C" w:rsidP="00515C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800"/>
      </w:pPr>
    </w:p>
    <w:p w:rsidR="001B0D2C" w:rsidRDefault="001B0D2C" w:rsidP="00515CD7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Frequency of response:  quarterly.</w:t>
      </w:r>
    </w:p>
    <w:p w:rsidR="001B0D2C" w:rsidRDefault="001B0D2C" w:rsidP="00DC0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1B0D2C" w:rsidRDefault="001B0D2C" w:rsidP="00DC0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DC0FD7" w:rsidRDefault="001B0D2C" w:rsidP="00DC0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</w:rPr>
      </w:pPr>
      <w:r>
        <w:tab/>
      </w:r>
      <w:r>
        <w:tab/>
        <w:t xml:space="preserve">(3)  Annual hour burden per respondent and total for all respondents:  The </w:t>
      </w:r>
      <w:r w:rsidR="00DD0179" w:rsidRPr="00BE61C5">
        <w:t xml:space="preserve">Board estimates a total annual labor burden for all </w:t>
      </w:r>
      <w:r w:rsidR="00DD0179">
        <w:t>seven</w:t>
      </w:r>
      <w:r w:rsidR="00DD0179" w:rsidRPr="00BE61C5">
        <w:t xml:space="preserve"> respondents of </w:t>
      </w:r>
      <w:r w:rsidR="00DD0179">
        <w:t>28</w:t>
      </w:r>
      <w:r w:rsidR="00DD0179" w:rsidRPr="00BE61C5">
        <w:t xml:space="preserve"> hours</w:t>
      </w:r>
      <w:r w:rsidR="00DD0179" w:rsidRPr="00BE61C5">
        <w:rPr>
          <w:color w:val="000000"/>
        </w:rPr>
        <w:t>.</w:t>
      </w:r>
      <w:r w:rsidR="00DD0179" w:rsidRPr="00BE61C5">
        <w:t xml:space="preserve">  The estimated </w:t>
      </w:r>
      <w:r w:rsidR="00DD0179">
        <w:t>28</w:t>
      </w:r>
      <w:r w:rsidR="00DD0179" w:rsidRPr="00BE61C5">
        <w:t>-hour total annual labor burden is based on a quarterly response time</w:t>
      </w:r>
      <w:r w:rsidR="009E7CD4">
        <w:t xml:space="preserve"> </w:t>
      </w:r>
      <w:r w:rsidR="00DD0179" w:rsidRPr="00BE61C5">
        <w:t xml:space="preserve">for each of the </w:t>
      </w:r>
      <w:r w:rsidR="00DD0179">
        <w:t>seven</w:t>
      </w:r>
      <w:r w:rsidR="00DD0179" w:rsidRPr="00BE61C5">
        <w:t xml:space="preserve"> respondents of no more than </w:t>
      </w:r>
      <w:r w:rsidR="00DD0179">
        <w:t>one</w:t>
      </w:r>
      <w:r w:rsidR="00DD0179" w:rsidRPr="00BE61C5">
        <w:t xml:space="preserve"> hour of labor </w:t>
      </w:r>
      <w:r w:rsidR="00DD0179" w:rsidRPr="00BE61C5">
        <w:rPr>
          <w:color w:val="000000"/>
        </w:rPr>
        <w:t xml:space="preserve">required to do the following:  (1) collect data from within their operating systems; (2) calculate fuel cost increase/decrease each </w:t>
      </w:r>
      <w:r w:rsidR="00DD0179">
        <w:rPr>
          <w:color w:val="000000"/>
        </w:rPr>
        <w:t>quarter</w:t>
      </w:r>
      <w:r w:rsidR="00DD0179" w:rsidRPr="00BE61C5">
        <w:rPr>
          <w:color w:val="000000"/>
        </w:rPr>
        <w:t>; (3) post figures to report; (4) independently verify and sign; and (5) mail</w:t>
      </w:r>
      <w:r w:rsidR="00DD0179">
        <w:rPr>
          <w:color w:val="000000"/>
        </w:rPr>
        <w:t xml:space="preserve">, </w:t>
      </w:r>
      <w:r w:rsidR="00DD0179" w:rsidRPr="00BE61C5">
        <w:rPr>
          <w:color w:val="000000"/>
        </w:rPr>
        <w:t>fax</w:t>
      </w:r>
      <w:r w:rsidR="00DD0179">
        <w:rPr>
          <w:color w:val="000000"/>
        </w:rPr>
        <w:t>, or e-file</w:t>
      </w:r>
      <w:r w:rsidR="00DD0179" w:rsidRPr="00BE61C5">
        <w:rPr>
          <w:color w:val="000000"/>
        </w:rPr>
        <w:t xml:space="preserve"> the report to the </w:t>
      </w:r>
      <w:r w:rsidR="00DD0179" w:rsidRPr="00BE61C5">
        <w:rPr>
          <w:color w:val="000000"/>
        </w:rPr>
        <w:lastRenderedPageBreak/>
        <w:t>STB</w:t>
      </w:r>
      <w:r w:rsidR="00DD0179">
        <w:t xml:space="preserve">.  </w:t>
      </w:r>
      <w:r w:rsidR="00DC0FD7">
        <w:rPr>
          <w:color w:val="000000"/>
        </w:rPr>
        <w:t xml:space="preserve"> </w:t>
      </w:r>
      <w:r w:rsidR="00441C33" w:rsidRPr="00E44698">
        <w:t>There should be no change in burden hours as a result of the proposed modification, which merely advances the due date of the report.</w:t>
      </w:r>
    </w:p>
    <w:p w:rsidR="00EE297E" w:rsidRPr="00B00B36" w:rsidRDefault="00EE297E" w:rsidP="00DC0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A55AE9" w:rsidRDefault="00FD0ECC" w:rsidP="00A55AE9">
      <w:pPr>
        <w:ind w:firstLine="720"/>
      </w:pPr>
      <w:r>
        <w:t>13.</w:t>
      </w:r>
      <w:r w:rsidR="00EE297E" w:rsidRPr="003865D1">
        <w:t xml:space="preserve"> </w:t>
      </w:r>
      <w:r w:rsidR="003865D1">
        <w:t xml:space="preserve"> </w:t>
      </w:r>
      <w:r w:rsidR="006C5D2B" w:rsidRPr="006C5D2B">
        <w:rPr>
          <w:u w:val="single"/>
        </w:rPr>
        <w:t>O</w:t>
      </w:r>
      <w:r w:rsidR="006C5D2B">
        <w:rPr>
          <w:u w:val="single"/>
        </w:rPr>
        <w:t>ther costs to respondents</w:t>
      </w:r>
      <w:r w:rsidR="00EE297E">
        <w:t xml:space="preserve">.  </w:t>
      </w:r>
      <w:r w:rsidR="00A55AE9" w:rsidRPr="00AB5456">
        <w:t xml:space="preserve">No non-hour costs for operation, maintenance, or purchase of services associated with this collection have been identified:  (a) Neither the existing collection, nor the proposed modification, will impose start-up costs on respondents.  (b) This report </w:t>
      </w:r>
      <w:r w:rsidR="00D268AC" w:rsidRPr="00AB5456">
        <w:t>may be</w:t>
      </w:r>
      <w:r w:rsidR="0020241C" w:rsidRPr="00AB5456">
        <w:t xml:space="preserve"> </w:t>
      </w:r>
      <w:r w:rsidR="00A55AE9" w:rsidRPr="00AB5456">
        <w:t>submitted to the agency electronically.</w:t>
      </w:r>
      <w:r w:rsidR="00A55AE9">
        <w:t xml:space="preserve">  </w:t>
      </w:r>
    </w:p>
    <w:p w:rsidR="00FD0ECC" w:rsidRDefault="00FD0ECC" w:rsidP="00A55A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1E5F38" w:rsidRDefault="001E5F38" w:rsidP="00515CD7">
      <w:pPr>
        <w:widowControl/>
        <w:ind w:firstLine="720"/>
        <w:rPr>
          <w:color w:val="000000"/>
        </w:rPr>
      </w:pPr>
      <w:r>
        <w:rPr>
          <w:color w:val="000000"/>
        </w:rPr>
        <w:t xml:space="preserve">14.  </w:t>
      </w:r>
      <w:r w:rsidR="0035153F">
        <w:rPr>
          <w:u w:val="single"/>
        </w:rPr>
        <w:t>Estimated costs to the agency</w:t>
      </w:r>
      <w:r>
        <w:rPr>
          <w:color w:val="000000"/>
        </w:rPr>
        <w:t xml:space="preserve">.  </w:t>
      </w:r>
      <w:r w:rsidR="00A93017">
        <w:rPr>
          <w:color w:val="000000"/>
        </w:rPr>
        <w:t xml:space="preserve">  </w:t>
      </w:r>
      <w:r w:rsidR="00FD4F90">
        <w:rPr>
          <w:color w:val="000000"/>
        </w:rPr>
        <w:t>We estimate that it takes 10 hours (GS 11/1</w:t>
      </w:r>
      <w:r w:rsidR="00FD4F90" w:rsidRPr="000376A1">
        <w:rPr>
          <w:color w:val="000000"/>
        </w:rPr>
        <w:t xml:space="preserve"> at $</w:t>
      </w:r>
      <w:r w:rsidR="00FD4F90">
        <w:rPr>
          <w:color w:val="000000"/>
        </w:rPr>
        <w:t>38.93 per hour, including benefits) to compile the information from the 28 reports; five hours to review the work (GS 13/1 level at $55.49 per hour, including benefits); and two hours (</w:t>
      </w:r>
      <w:r w:rsidR="00FD4F90" w:rsidRPr="000376A1">
        <w:rPr>
          <w:color w:val="000000"/>
        </w:rPr>
        <w:t>Expert/Consultant at $</w:t>
      </w:r>
      <w:r w:rsidR="00FD4F90">
        <w:rPr>
          <w:color w:val="000000"/>
        </w:rPr>
        <w:t>68.37 per hour</w:t>
      </w:r>
      <w:r w:rsidR="00FD4F90" w:rsidRPr="000376A1">
        <w:rPr>
          <w:color w:val="000000"/>
        </w:rPr>
        <w:t>,</w:t>
      </w:r>
      <w:r w:rsidR="00FD4F90" w:rsidRPr="00A67B9B">
        <w:rPr>
          <w:color w:val="000000"/>
        </w:rPr>
        <w:t xml:space="preserve"> including benefits</w:t>
      </w:r>
      <w:r w:rsidR="00FD4F90">
        <w:rPr>
          <w:color w:val="000000"/>
        </w:rPr>
        <w:t>) to post it to the Board’s website; resulting in a total annual cost of $803.</w:t>
      </w:r>
    </w:p>
    <w:p w:rsidR="00AA2A88" w:rsidRDefault="00AA2A88" w:rsidP="00DF046A"/>
    <w:p w:rsidR="0067117A" w:rsidRDefault="00EE297E" w:rsidP="00515CD7">
      <w:pPr>
        <w:ind w:firstLine="720"/>
      </w:pPr>
      <w:r>
        <w:t xml:space="preserve">15.  </w:t>
      </w:r>
      <w:r w:rsidR="0035153F">
        <w:rPr>
          <w:u w:val="single"/>
        </w:rPr>
        <w:t>Changes in burden h</w:t>
      </w:r>
      <w:r>
        <w:rPr>
          <w:u w:val="single"/>
        </w:rPr>
        <w:t>ours</w:t>
      </w:r>
      <w:r>
        <w:t xml:space="preserve">.  </w:t>
      </w:r>
      <w:r w:rsidR="00C14760">
        <w:t xml:space="preserve">No change in burden hours is requested.  </w:t>
      </w:r>
      <w:r w:rsidR="00C816DE" w:rsidRPr="00E44698">
        <w:t xml:space="preserve">The </w:t>
      </w:r>
      <w:r w:rsidR="00EB4E46" w:rsidRPr="00E44698">
        <w:t>proposed</w:t>
      </w:r>
      <w:r w:rsidR="00C816DE" w:rsidRPr="00E44698">
        <w:t xml:space="preserve"> modification is not expected to affect the number of burden hours associated with this collection.</w:t>
      </w:r>
    </w:p>
    <w:p w:rsidR="00973FE2" w:rsidRDefault="00973FE2" w:rsidP="00DF046A"/>
    <w:p w:rsidR="0035153F" w:rsidRDefault="0067117A" w:rsidP="00515CD7">
      <w:pPr>
        <w:ind w:firstLine="720"/>
      </w:pPr>
      <w:r>
        <w:t xml:space="preserve">16.  </w:t>
      </w:r>
      <w:r w:rsidR="0035153F">
        <w:rPr>
          <w:u w:val="single"/>
        </w:rPr>
        <w:t>Plans for tabulation and publication</w:t>
      </w:r>
      <w:r>
        <w:t xml:space="preserve">.  </w:t>
      </w:r>
      <w:r w:rsidR="00BF32C2">
        <w:t>The</w:t>
      </w:r>
      <w:r w:rsidR="004C05D5">
        <w:t xml:space="preserve"> carriers’ </w:t>
      </w:r>
      <w:r w:rsidR="00BF32C2">
        <w:t xml:space="preserve">reports </w:t>
      </w:r>
      <w:r w:rsidR="0020241C">
        <w:t xml:space="preserve">are </w:t>
      </w:r>
      <w:r w:rsidR="00BF32C2">
        <w:t xml:space="preserve">posted on the Board’s website </w:t>
      </w:r>
      <w:r w:rsidR="002E6D5A">
        <w:t>at &lt;</w:t>
      </w:r>
      <w:r w:rsidR="002E6D5A" w:rsidRPr="002E6D5A">
        <w:rPr>
          <w:u w:val="single"/>
        </w:rPr>
        <w:t xml:space="preserve"> </w:t>
      </w:r>
      <w:r w:rsidR="002E6D5A" w:rsidRPr="005A20C0">
        <w:rPr>
          <w:u w:val="single"/>
        </w:rPr>
        <w:t>http://www.stb.dot.gov/stb/industry/econ_reports.html</w:t>
      </w:r>
      <w:r w:rsidR="002E6D5A">
        <w:rPr>
          <w:u w:val="single"/>
        </w:rPr>
        <w:t>&gt;.</w:t>
      </w:r>
    </w:p>
    <w:p w:rsidR="0035153F" w:rsidRDefault="0035153F" w:rsidP="00DF046A"/>
    <w:p w:rsidR="0035153F" w:rsidRDefault="0035153F" w:rsidP="00515CD7">
      <w:pPr>
        <w:ind w:firstLine="720"/>
      </w:pPr>
      <w:r>
        <w:t xml:space="preserve">17.  </w:t>
      </w:r>
      <w:r w:rsidRPr="00347493">
        <w:rPr>
          <w:u w:val="single"/>
        </w:rPr>
        <w:t>Display of expiration date for OMB approval</w:t>
      </w:r>
      <w:r w:rsidRPr="00347493">
        <w:t xml:space="preserve">.  No exception is sought.   The control number and expiration date for this collection appear on the </w:t>
      </w:r>
      <w:r>
        <w:t>form</w:t>
      </w:r>
      <w:r w:rsidRPr="00773560">
        <w:t>.</w:t>
      </w:r>
    </w:p>
    <w:p w:rsidR="0035153F" w:rsidRDefault="0035153F" w:rsidP="0035153F"/>
    <w:p w:rsidR="0035153F" w:rsidRDefault="0035153F" w:rsidP="00515CD7">
      <w:pPr>
        <w:ind w:firstLine="720"/>
      </w:pPr>
      <w:r>
        <w:t xml:space="preserve">18.  </w:t>
      </w:r>
      <w:r w:rsidRPr="002C248B">
        <w:rPr>
          <w:u w:val="single"/>
        </w:rPr>
        <w:t>Exceptions to Certification Statement</w:t>
      </w:r>
      <w:r>
        <w:t>.  Not applicable</w:t>
      </w:r>
    </w:p>
    <w:p w:rsidR="0067117A" w:rsidRDefault="0067117A" w:rsidP="00DF046A">
      <w:r>
        <w:t xml:space="preserve">  </w:t>
      </w:r>
    </w:p>
    <w:p w:rsidR="0067117A" w:rsidRDefault="0067117A" w:rsidP="00DF046A"/>
    <w:p w:rsidR="00784BEE" w:rsidRDefault="0067117A" w:rsidP="00133D88">
      <w:r>
        <w:t xml:space="preserve">B.  </w:t>
      </w:r>
      <w:r>
        <w:rPr>
          <w:u w:val="single"/>
        </w:rPr>
        <w:t>Collection of Information for Employing Statistical Methods</w:t>
      </w:r>
      <w:r>
        <w:t xml:space="preserve">.  Not applicable.  </w:t>
      </w:r>
      <w:r w:rsidRPr="00767B21">
        <w:t>This collection of information does not employ statistical methods.</w:t>
      </w:r>
      <w:r w:rsidR="00784BEE">
        <w:t xml:space="preserve"> </w:t>
      </w:r>
    </w:p>
    <w:sectPr w:rsidR="00784BEE" w:rsidSect="00784BEE">
      <w:footerReference w:type="default" r:id="rId9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57E" w:rsidRDefault="0072657E">
      <w:r>
        <w:separator/>
      </w:r>
    </w:p>
  </w:endnote>
  <w:endnote w:type="continuationSeparator" w:id="0">
    <w:p w:rsidR="0072657E" w:rsidRDefault="0072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2C" w:rsidRDefault="001B0D2C">
    <w:pPr>
      <w:spacing w:line="240" w:lineRule="exact"/>
    </w:pPr>
  </w:p>
  <w:p w:rsidR="001B0D2C" w:rsidRDefault="001B0D2C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4C5CFA">
      <w:rPr>
        <w:noProof/>
      </w:rPr>
      <w:t>1</w:t>
    </w:r>
    <w:r>
      <w:fldChar w:fldCharType="end"/>
    </w:r>
  </w:p>
  <w:p w:rsidR="001B0D2C" w:rsidRDefault="001B0D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57E" w:rsidRDefault="0072657E">
      <w:r>
        <w:separator/>
      </w:r>
    </w:p>
  </w:footnote>
  <w:footnote w:type="continuationSeparator" w:id="0">
    <w:p w:rsidR="0072657E" w:rsidRDefault="00726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15407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F05F66"/>
    <w:multiLevelType w:val="hybridMultilevel"/>
    <w:tmpl w:val="9FD64798"/>
    <w:lvl w:ilvl="0" w:tplc="986AB670">
      <w:start w:val="1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ADF7A58"/>
    <w:multiLevelType w:val="hybridMultilevel"/>
    <w:tmpl w:val="AB52F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E4099"/>
    <w:multiLevelType w:val="hybridMultilevel"/>
    <w:tmpl w:val="CA189A9A"/>
    <w:lvl w:ilvl="0" w:tplc="356837F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EE"/>
    <w:rsid w:val="00016194"/>
    <w:rsid w:val="00022ABF"/>
    <w:rsid w:val="00023870"/>
    <w:rsid w:val="00045F87"/>
    <w:rsid w:val="000639D6"/>
    <w:rsid w:val="000769DF"/>
    <w:rsid w:val="0008192C"/>
    <w:rsid w:val="001132EC"/>
    <w:rsid w:val="001220A3"/>
    <w:rsid w:val="00133D88"/>
    <w:rsid w:val="00156684"/>
    <w:rsid w:val="00175EA7"/>
    <w:rsid w:val="001863CE"/>
    <w:rsid w:val="001B0D2C"/>
    <w:rsid w:val="001C21B2"/>
    <w:rsid w:val="001D1A47"/>
    <w:rsid w:val="001D1E1E"/>
    <w:rsid w:val="001D71A0"/>
    <w:rsid w:val="001E5F38"/>
    <w:rsid w:val="001F09B8"/>
    <w:rsid w:val="00200C38"/>
    <w:rsid w:val="0020241C"/>
    <w:rsid w:val="00204FBE"/>
    <w:rsid w:val="00232839"/>
    <w:rsid w:val="00234688"/>
    <w:rsid w:val="00260466"/>
    <w:rsid w:val="00260CAB"/>
    <w:rsid w:val="00271260"/>
    <w:rsid w:val="002A0636"/>
    <w:rsid w:val="002B35E6"/>
    <w:rsid w:val="002C5337"/>
    <w:rsid w:val="002C6DCC"/>
    <w:rsid w:val="002E6D5A"/>
    <w:rsid w:val="003030B4"/>
    <w:rsid w:val="0030393C"/>
    <w:rsid w:val="003271BE"/>
    <w:rsid w:val="00331F5A"/>
    <w:rsid w:val="003434A4"/>
    <w:rsid w:val="003467B3"/>
    <w:rsid w:val="003500B1"/>
    <w:rsid w:val="0035153F"/>
    <w:rsid w:val="00351632"/>
    <w:rsid w:val="00361D3C"/>
    <w:rsid w:val="00374009"/>
    <w:rsid w:val="003865D1"/>
    <w:rsid w:val="003871A0"/>
    <w:rsid w:val="00397C68"/>
    <w:rsid w:val="003C1990"/>
    <w:rsid w:val="003D4FB6"/>
    <w:rsid w:val="003F4195"/>
    <w:rsid w:val="00400684"/>
    <w:rsid w:val="004016C9"/>
    <w:rsid w:val="0040217A"/>
    <w:rsid w:val="0040516A"/>
    <w:rsid w:val="00406952"/>
    <w:rsid w:val="004230BB"/>
    <w:rsid w:val="00441C33"/>
    <w:rsid w:val="00447018"/>
    <w:rsid w:val="0046562E"/>
    <w:rsid w:val="0047031C"/>
    <w:rsid w:val="00490A97"/>
    <w:rsid w:val="004B4837"/>
    <w:rsid w:val="004C05D5"/>
    <w:rsid w:val="004C5CFA"/>
    <w:rsid w:val="004D5D54"/>
    <w:rsid w:val="004F0140"/>
    <w:rsid w:val="004F789F"/>
    <w:rsid w:val="00506396"/>
    <w:rsid w:val="00511F6B"/>
    <w:rsid w:val="00513674"/>
    <w:rsid w:val="005146B0"/>
    <w:rsid w:val="00515CD7"/>
    <w:rsid w:val="005274BB"/>
    <w:rsid w:val="0053798E"/>
    <w:rsid w:val="00546FD1"/>
    <w:rsid w:val="00547B3F"/>
    <w:rsid w:val="0056370E"/>
    <w:rsid w:val="005665EB"/>
    <w:rsid w:val="00594BC8"/>
    <w:rsid w:val="005C0202"/>
    <w:rsid w:val="005C6EA9"/>
    <w:rsid w:val="005E1D2A"/>
    <w:rsid w:val="006106A8"/>
    <w:rsid w:val="00613CCA"/>
    <w:rsid w:val="00617A6B"/>
    <w:rsid w:val="0067117A"/>
    <w:rsid w:val="006B4AFC"/>
    <w:rsid w:val="006C5D2B"/>
    <w:rsid w:val="006C694E"/>
    <w:rsid w:val="006D1821"/>
    <w:rsid w:val="006E47CE"/>
    <w:rsid w:val="00707B3F"/>
    <w:rsid w:val="00726428"/>
    <w:rsid w:val="0072657E"/>
    <w:rsid w:val="007612D8"/>
    <w:rsid w:val="007664E1"/>
    <w:rsid w:val="00766F41"/>
    <w:rsid w:val="00767B21"/>
    <w:rsid w:val="00783F84"/>
    <w:rsid w:val="00784BEE"/>
    <w:rsid w:val="00785ABF"/>
    <w:rsid w:val="007A10CF"/>
    <w:rsid w:val="007A5EA2"/>
    <w:rsid w:val="007B189E"/>
    <w:rsid w:val="007C2D85"/>
    <w:rsid w:val="007D0B73"/>
    <w:rsid w:val="007D3D9E"/>
    <w:rsid w:val="007F2594"/>
    <w:rsid w:val="007F7B23"/>
    <w:rsid w:val="00804AA3"/>
    <w:rsid w:val="00823043"/>
    <w:rsid w:val="008353D9"/>
    <w:rsid w:val="008354F4"/>
    <w:rsid w:val="00861127"/>
    <w:rsid w:val="00864244"/>
    <w:rsid w:val="00871BF9"/>
    <w:rsid w:val="008734FB"/>
    <w:rsid w:val="00890420"/>
    <w:rsid w:val="00894286"/>
    <w:rsid w:val="00896B80"/>
    <w:rsid w:val="008C5292"/>
    <w:rsid w:val="008C57C4"/>
    <w:rsid w:val="008E3714"/>
    <w:rsid w:val="00914985"/>
    <w:rsid w:val="00934C69"/>
    <w:rsid w:val="00973FE2"/>
    <w:rsid w:val="00994845"/>
    <w:rsid w:val="009A13A6"/>
    <w:rsid w:val="009B242C"/>
    <w:rsid w:val="009B307A"/>
    <w:rsid w:val="009C3F18"/>
    <w:rsid w:val="009E43A1"/>
    <w:rsid w:val="009E7CD4"/>
    <w:rsid w:val="009F1062"/>
    <w:rsid w:val="009F6D90"/>
    <w:rsid w:val="00A07EAE"/>
    <w:rsid w:val="00A13727"/>
    <w:rsid w:val="00A419D3"/>
    <w:rsid w:val="00A55AE9"/>
    <w:rsid w:val="00A65A0A"/>
    <w:rsid w:val="00A76621"/>
    <w:rsid w:val="00A830A6"/>
    <w:rsid w:val="00A93017"/>
    <w:rsid w:val="00AA2A88"/>
    <w:rsid w:val="00AA53C5"/>
    <w:rsid w:val="00AB5456"/>
    <w:rsid w:val="00AC6E3A"/>
    <w:rsid w:val="00AD696A"/>
    <w:rsid w:val="00B00B36"/>
    <w:rsid w:val="00B14D1B"/>
    <w:rsid w:val="00B17FAF"/>
    <w:rsid w:val="00B46296"/>
    <w:rsid w:val="00B54FB0"/>
    <w:rsid w:val="00BB0FCE"/>
    <w:rsid w:val="00BB2ECB"/>
    <w:rsid w:val="00BE61C5"/>
    <w:rsid w:val="00BF32C2"/>
    <w:rsid w:val="00BF60C8"/>
    <w:rsid w:val="00BF7E12"/>
    <w:rsid w:val="00C14760"/>
    <w:rsid w:val="00C334B0"/>
    <w:rsid w:val="00C4510A"/>
    <w:rsid w:val="00C579FB"/>
    <w:rsid w:val="00C8028A"/>
    <w:rsid w:val="00C81122"/>
    <w:rsid w:val="00C816DE"/>
    <w:rsid w:val="00CA5D49"/>
    <w:rsid w:val="00CC4E8B"/>
    <w:rsid w:val="00CD2DDA"/>
    <w:rsid w:val="00CD455C"/>
    <w:rsid w:val="00D15604"/>
    <w:rsid w:val="00D268AC"/>
    <w:rsid w:val="00D26F38"/>
    <w:rsid w:val="00D4665B"/>
    <w:rsid w:val="00D657AD"/>
    <w:rsid w:val="00D74DDF"/>
    <w:rsid w:val="00D762B8"/>
    <w:rsid w:val="00DA087F"/>
    <w:rsid w:val="00DA14EA"/>
    <w:rsid w:val="00DC0FD7"/>
    <w:rsid w:val="00DD0179"/>
    <w:rsid w:val="00DD65DD"/>
    <w:rsid w:val="00DE0DE2"/>
    <w:rsid w:val="00DF046A"/>
    <w:rsid w:val="00DF4F6B"/>
    <w:rsid w:val="00DF5640"/>
    <w:rsid w:val="00E010DC"/>
    <w:rsid w:val="00E26B03"/>
    <w:rsid w:val="00E44698"/>
    <w:rsid w:val="00E57B30"/>
    <w:rsid w:val="00E57E50"/>
    <w:rsid w:val="00E67D61"/>
    <w:rsid w:val="00E8578F"/>
    <w:rsid w:val="00EA48CA"/>
    <w:rsid w:val="00EB4E46"/>
    <w:rsid w:val="00ED3FB7"/>
    <w:rsid w:val="00EE06D9"/>
    <w:rsid w:val="00EE297E"/>
    <w:rsid w:val="00F02C87"/>
    <w:rsid w:val="00F1528F"/>
    <w:rsid w:val="00F266DC"/>
    <w:rsid w:val="00F32327"/>
    <w:rsid w:val="00F60174"/>
    <w:rsid w:val="00F65825"/>
    <w:rsid w:val="00F77F76"/>
    <w:rsid w:val="00FB1BD9"/>
    <w:rsid w:val="00FC6CB5"/>
    <w:rsid w:val="00FD0ECC"/>
    <w:rsid w:val="00FD4F90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semiHidden/>
    <w:rsid w:val="00B14D1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9F6D90"/>
    <w:pPr>
      <w:widowControl/>
      <w:autoSpaceDE/>
      <w:autoSpaceDN/>
      <w:adjustRightInd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6D90"/>
  </w:style>
  <w:style w:type="character" w:styleId="Hyperlink">
    <w:name w:val="Hyperlink"/>
    <w:rsid w:val="00BF32C2"/>
    <w:rPr>
      <w:color w:val="0000FF"/>
      <w:u w:val="single"/>
    </w:rPr>
  </w:style>
  <w:style w:type="character" w:styleId="CommentReference">
    <w:name w:val="annotation reference"/>
    <w:rsid w:val="00785A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5A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5ABF"/>
  </w:style>
  <w:style w:type="paragraph" w:styleId="CommentSubject">
    <w:name w:val="annotation subject"/>
    <w:basedOn w:val="CommentText"/>
    <w:next w:val="CommentText"/>
    <w:link w:val="CommentSubjectChar"/>
    <w:rsid w:val="00785ABF"/>
    <w:rPr>
      <w:b/>
      <w:bCs/>
    </w:rPr>
  </w:style>
  <w:style w:type="character" w:customStyle="1" w:styleId="CommentSubjectChar">
    <w:name w:val="Comment Subject Char"/>
    <w:link w:val="CommentSubject"/>
    <w:rsid w:val="00785A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semiHidden/>
    <w:rsid w:val="00B14D1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9F6D90"/>
    <w:pPr>
      <w:widowControl/>
      <w:autoSpaceDE/>
      <w:autoSpaceDN/>
      <w:adjustRightInd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6D90"/>
  </w:style>
  <w:style w:type="character" w:styleId="Hyperlink">
    <w:name w:val="Hyperlink"/>
    <w:rsid w:val="00BF32C2"/>
    <w:rPr>
      <w:color w:val="0000FF"/>
      <w:u w:val="single"/>
    </w:rPr>
  </w:style>
  <w:style w:type="character" w:styleId="CommentReference">
    <w:name w:val="annotation reference"/>
    <w:rsid w:val="00785A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5A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5ABF"/>
  </w:style>
  <w:style w:type="paragraph" w:styleId="CommentSubject">
    <w:name w:val="annotation subject"/>
    <w:basedOn w:val="CommentText"/>
    <w:next w:val="CommentText"/>
    <w:link w:val="CommentSubjectChar"/>
    <w:rsid w:val="00785ABF"/>
    <w:rPr>
      <w:b/>
      <w:bCs/>
    </w:rPr>
  </w:style>
  <w:style w:type="character" w:customStyle="1" w:styleId="CommentSubjectChar">
    <w:name w:val="Comment Subject Char"/>
    <w:link w:val="CommentSubject"/>
    <w:rsid w:val="00785A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0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F1D5A-0C0A-4489-A754-2F218C87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1075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Surface Transportation Board</Company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Government of the United States</dc:creator>
  <cp:lastModifiedBy>Government of the United States</cp:lastModifiedBy>
  <cp:revision>2</cp:revision>
  <cp:lastPrinted>2014-10-22T17:06:00Z</cp:lastPrinted>
  <dcterms:created xsi:type="dcterms:W3CDTF">2015-07-08T15:01:00Z</dcterms:created>
  <dcterms:modified xsi:type="dcterms:W3CDTF">2015-07-08T15:01:00Z</dcterms:modified>
</cp:coreProperties>
</file>