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7036B" w14:textId="77777777" w:rsidR="0089648A" w:rsidRPr="00624043" w:rsidRDefault="00516D2F" w:rsidP="0089648A">
      <w:pPr>
        <w:spacing w:after="0"/>
        <w:ind w:firstLine="432"/>
        <w:rPr>
          <w:szCs w:val="20"/>
        </w:rPr>
      </w:pPr>
      <w:bookmarkStart w:id="0" w:name="_GoBack"/>
      <w:bookmarkEnd w:id="0"/>
      <w:r w:rsidRPr="00624043">
        <w:rPr>
          <w:szCs w:val="20"/>
        </w:rPr>
        <w:t xml:space="preserve">This </w:t>
      </w:r>
      <w:r w:rsidR="00807D8F" w:rsidRPr="00624043">
        <w:rPr>
          <w:szCs w:val="20"/>
        </w:rPr>
        <w:t>appendix</w:t>
      </w:r>
      <w:r w:rsidRPr="00624043">
        <w:rPr>
          <w:szCs w:val="20"/>
        </w:rPr>
        <w:t xml:space="preserve"> provides </w:t>
      </w:r>
      <w:r w:rsidR="00A82F0D" w:rsidRPr="00624043">
        <w:rPr>
          <w:szCs w:val="20"/>
        </w:rPr>
        <w:t xml:space="preserve">an overview of the </w:t>
      </w:r>
      <w:r w:rsidR="00807D8F" w:rsidRPr="00624043">
        <w:rPr>
          <w:szCs w:val="20"/>
        </w:rPr>
        <w:t>functional testing instruments</w:t>
      </w:r>
      <w:r w:rsidR="00A82F0D" w:rsidRPr="00624043">
        <w:rPr>
          <w:szCs w:val="20"/>
        </w:rPr>
        <w:t xml:space="preserve"> to be used in this study and their relationship to study goals and traffic safety applications</w:t>
      </w:r>
      <w:r w:rsidR="009F0167" w:rsidRPr="00624043">
        <w:rPr>
          <w:szCs w:val="20"/>
        </w:rPr>
        <w:t>.</w:t>
      </w:r>
      <w:r w:rsidR="00906AC6" w:rsidRPr="00624043">
        <w:rPr>
          <w:szCs w:val="20"/>
        </w:rPr>
        <w:t xml:space="preserve">  </w:t>
      </w:r>
      <w:r w:rsidR="00C17E85" w:rsidRPr="00624043">
        <w:rPr>
          <w:szCs w:val="20"/>
        </w:rPr>
        <w:t xml:space="preserve">It is important to note </w:t>
      </w:r>
      <w:r w:rsidR="00807D8F" w:rsidRPr="00624043">
        <w:rPr>
          <w:szCs w:val="20"/>
        </w:rPr>
        <w:t>scores on these tests</w:t>
      </w:r>
      <w:r w:rsidR="003D111B" w:rsidRPr="00624043">
        <w:rPr>
          <w:szCs w:val="20"/>
        </w:rPr>
        <w:t xml:space="preserve"> will</w:t>
      </w:r>
      <w:r w:rsidR="00C17E85" w:rsidRPr="00624043">
        <w:rPr>
          <w:szCs w:val="20"/>
        </w:rPr>
        <w:t xml:space="preserve"> be </w:t>
      </w:r>
      <w:r w:rsidR="003D111B" w:rsidRPr="00624043">
        <w:rPr>
          <w:szCs w:val="20"/>
        </w:rPr>
        <w:t xml:space="preserve">linked with and </w:t>
      </w:r>
      <w:r w:rsidR="00C17E85" w:rsidRPr="00624043">
        <w:rPr>
          <w:szCs w:val="20"/>
        </w:rPr>
        <w:t xml:space="preserve">compared </w:t>
      </w:r>
      <w:r w:rsidR="00C2267B" w:rsidRPr="00624043">
        <w:rPr>
          <w:szCs w:val="20"/>
        </w:rPr>
        <w:t xml:space="preserve">to </w:t>
      </w:r>
      <w:r w:rsidR="00807D8F" w:rsidRPr="00624043">
        <w:rPr>
          <w:szCs w:val="20"/>
        </w:rPr>
        <w:t>each participant’s driving performance and exposure</w:t>
      </w:r>
      <w:r w:rsidR="003D111B" w:rsidRPr="00624043">
        <w:rPr>
          <w:szCs w:val="20"/>
        </w:rPr>
        <w:t>.</w:t>
      </w:r>
      <w:r w:rsidR="00C17E85" w:rsidRPr="00624043">
        <w:rPr>
          <w:szCs w:val="20"/>
        </w:rPr>
        <w:t xml:space="preserve">  </w:t>
      </w:r>
    </w:p>
    <w:p w14:paraId="35DAFDAF" w14:textId="77777777" w:rsidR="00807D8F" w:rsidRPr="007D71CB" w:rsidRDefault="00807D8F" w:rsidP="0089648A">
      <w:pPr>
        <w:spacing w:after="0"/>
        <w:ind w:firstLine="432"/>
      </w:pPr>
      <w:r w:rsidRPr="007D71CB">
        <w:t>Please note that these instruments have undergone thorough validity (they test the domain they purport to test) and reliability (</w:t>
      </w:r>
      <w:r w:rsidR="00AE28E6" w:rsidRPr="007D71CB">
        <w:t xml:space="preserve">a person retaking the test would obtain a similar score) testing. They </w:t>
      </w:r>
      <w:r w:rsidR="006A3A07">
        <w:t>test</w:t>
      </w:r>
      <w:r w:rsidRPr="007D71CB">
        <w:t xml:space="preserve"> </w:t>
      </w:r>
      <w:r w:rsidR="000E2A1F" w:rsidRPr="007D71CB">
        <w:t>subjects to determine 1) that they have been assigned to the appropriate study group,</w:t>
      </w:r>
      <w:r w:rsidR="005A41FF">
        <w:t xml:space="preserve"> and</w:t>
      </w:r>
      <w:r w:rsidR="000E2A1F" w:rsidRPr="007D71CB">
        <w:t xml:space="preserve"> 2) have the ability to safely operate a vehicle.  Th</w:t>
      </w:r>
      <w:r w:rsidR="006A3A07">
        <w:t>ese</w:t>
      </w:r>
      <w:r w:rsidR="000E2A1F" w:rsidRPr="007D71CB">
        <w:t xml:space="preserve"> data </w:t>
      </w:r>
      <w:r w:rsidR="006A3A07">
        <w:t>are</w:t>
      </w:r>
      <w:r w:rsidR="000E2A1F" w:rsidRPr="007D71CB">
        <w:t xml:space="preserve"> not considered “information” as defined under the PRA per </w:t>
      </w:r>
      <w:r w:rsidR="000E2A1F" w:rsidRPr="007D71CB">
        <w:rPr>
          <w:i/>
        </w:rPr>
        <w:t>Memorandum For The Heads Of Executive Departments And Agencies And Independent Regulatory Agencies</w:t>
      </w:r>
      <w:r w:rsidR="000E2A1F" w:rsidRPr="007D71CB">
        <w:t>, OMB Regulations, exemption 7 (see page 8), retrieved from</w:t>
      </w:r>
      <w:r w:rsidR="000E2A1F" w:rsidRPr="007D71CB">
        <w:rPr>
          <w:rFonts w:cs="Arial"/>
          <w:noProof/>
          <w:color w:val="1F497D" w:themeColor="dark2"/>
          <w:sz w:val="20"/>
        </w:rPr>
        <w:t xml:space="preserve"> </w:t>
      </w:r>
      <w:hyperlink r:id="rId8" w:history="1">
        <w:r w:rsidR="000E2A1F" w:rsidRPr="007D71CB">
          <w:rPr>
            <w:rStyle w:val="Hyperlink"/>
          </w:rPr>
          <w:t>https://www.whitehouse.gov/sites/default/files/omb/assets/inforeg/PRAPrimer_04072010.pdf</w:t>
        </w:r>
      </w:hyperlink>
      <w:r w:rsidR="000E2A1F" w:rsidRPr="007D71CB">
        <w:t xml:space="preserve"> on August 7, 2015.”</w:t>
      </w:r>
    </w:p>
    <w:p w14:paraId="2D42E5F0" w14:textId="70D98D45" w:rsidR="00A82F0D" w:rsidRDefault="00C17E85" w:rsidP="0089648A">
      <w:pPr>
        <w:spacing w:after="0"/>
        <w:ind w:firstLine="432"/>
        <w:rPr>
          <w:szCs w:val="20"/>
        </w:rPr>
      </w:pPr>
      <w:r w:rsidRPr="006A3A07">
        <w:rPr>
          <w:szCs w:val="20"/>
        </w:rPr>
        <w:t xml:space="preserve">Countermeasures developed from the information collected in this study will include </w:t>
      </w:r>
      <w:r w:rsidR="00807D8F" w:rsidRPr="006A3A07">
        <w:rPr>
          <w:szCs w:val="20"/>
        </w:rPr>
        <w:t xml:space="preserve">developing guidelines that State driver licensing agencies, health care professionals, and the general public can use in </w:t>
      </w:r>
      <w:r w:rsidR="00510961">
        <w:rPr>
          <w:szCs w:val="20"/>
        </w:rPr>
        <w:t>understanding the effects of physical activity on an older driver’s crash risk, and determining the likelihood that increasing activity level will reduce such risk</w:t>
      </w:r>
      <w:r w:rsidRPr="006A3A07">
        <w:rPr>
          <w:szCs w:val="20"/>
        </w:rPr>
        <w:t>.</w:t>
      </w:r>
    </w:p>
    <w:p w14:paraId="7A7BE6F9" w14:textId="77777777" w:rsidR="005A41FF" w:rsidRPr="006A3A07" w:rsidRDefault="005A41FF" w:rsidP="0089648A">
      <w:pPr>
        <w:spacing w:after="0"/>
        <w:ind w:firstLine="432"/>
        <w:rPr>
          <w:szCs w:val="20"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818"/>
        <w:gridCol w:w="3330"/>
        <w:gridCol w:w="4500"/>
      </w:tblGrid>
      <w:tr w:rsidR="00807D8F" w:rsidRPr="007D71CB" w14:paraId="063C5CF8" w14:textId="77777777" w:rsidTr="00632C25">
        <w:trPr>
          <w:tblHeader/>
        </w:trPr>
        <w:tc>
          <w:tcPr>
            <w:tcW w:w="1818" w:type="dxa"/>
            <w:tcBorders>
              <w:top w:val="double" w:sz="4" w:space="0" w:color="auto"/>
              <w:bottom w:val="triple" w:sz="4" w:space="0" w:color="auto"/>
            </w:tcBorders>
            <w:shd w:val="pct10" w:color="auto" w:fill="auto"/>
            <w:vAlign w:val="center"/>
          </w:tcPr>
          <w:p w14:paraId="7E58E6E6" w14:textId="77777777" w:rsidR="00807D8F" w:rsidRPr="007D71CB" w:rsidRDefault="00807D8F" w:rsidP="001B1C5E">
            <w:pPr>
              <w:jc w:val="center"/>
              <w:rPr>
                <w:b/>
              </w:rPr>
            </w:pPr>
            <w:r w:rsidRPr="007D71CB">
              <w:rPr>
                <w:b/>
              </w:rPr>
              <w:t>Domain</w:t>
            </w:r>
          </w:p>
        </w:tc>
        <w:tc>
          <w:tcPr>
            <w:tcW w:w="3330" w:type="dxa"/>
            <w:tcBorders>
              <w:top w:val="double" w:sz="4" w:space="0" w:color="auto"/>
              <w:bottom w:val="triple" w:sz="4" w:space="0" w:color="auto"/>
            </w:tcBorders>
            <w:shd w:val="pct10" w:color="auto" w:fill="auto"/>
            <w:vAlign w:val="center"/>
          </w:tcPr>
          <w:p w14:paraId="339EFCEB" w14:textId="77777777" w:rsidR="00807D8F" w:rsidRPr="007D71CB" w:rsidRDefault="00486C05" w:rsidP="00486C05">
            <w:pPr>
              <w:jc w:val="center"/>
              <w:rPr>
                <w:b/>
              </w:rPr>
            </w:pPr>
            <w:r w:rsidRPr="007D71CB">
              <w:rPr>
                <w:b/>
              </w:rPr>
              <w:t>Description</w:t>
            </w:r>
          </w:p>
        </w:tc>
        <w:tc>
          <w:tcPr>
            <w:tcW w:w="4500" w:type="dxa"/>
            <w:tcBorders>
              <w:top w:val="double" w:sz="4" w:space="0" w:color="auto"/>
              <w:bottom w:val="triple" w:sz="4" w:space="0" w:color="auto"/>
            </w:tcBorders>
            <w:shd w:val="pct10" w:color="auto" w:fill="auto"/>
            <w:vAlign w:val="center"/>
          </w:tcPr>
          <w:p w14:paraId="7559847B" w14:textId="77777777" w:rsidR="00807D8F" w:rsidRPr="007D71CB" w:rsidRDefault="00807D8F" w:rsidP="00A71ABA">
            <w:pPr>
              <w:jc w:val="center"/>
              <w:rPr>
                <w:b/>
              </w:rPr>
            </w:pPr>
            <w:r w:rsidRPr="007D71CB">
              <w:rPr>
                <w:b/>
              </w:rPr>
              <w:t>Application</w:t>
            </w:r>
            <w:r w:rsidR="00486C05" w:rsidRPr="007D71CB">
              <w:rPr>
                <w:b/>
              </w:rPr>
              <w:t xml:space="preserve"> to Traffic Safety</w:t>
            </w:r>
          </w:p>
        </w:tc>
      </w:tr>
      <w:tr w:rsidR="00807D8F" w:rsidRPr="007D71CB" w14:paraId="0DA7E8F3" w14:textId="77777777" w:rsidTr="00632C25"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75A5A" w14:textId="77777777" w:rsidR="00807D8F" w:rsidRPr="0089648A" w:rsidRDefault="007D71CB" w:rsidP="007D5D09">
            <w:pPr>
              <w:rPr>
                <w:sz w:val="20"/>
                <w:szCs w:val="20"/>
              </w:rPr>
            </w:pPr>
            <w:r w:rsidRPr="0089648A">
              <w:rPr>
                <w:sz w:val="20"/>
                <w:szCs w:val="20"/>
              </w:rPr>
              <w:t>Executive Function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7EE21ABD" w14:textId="50D06C5E" w:rsidR="00807D8F" w:rsidRPr="0089648A" w:rsidRDefault="006C564C" w:rsidP="00632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ability to apply reasoning and</w:t>
            </w:r>
            <w:r w:rsidR="0088213B" w:rsidRPr="0089648A">
              <w:rPr>
                <w:sz w:val="20"/>
                <w:szCs w:val="20"/>
              </w:rPr>
              <w:t xml:space="preserve"> problem</w:t>
            </w:r>
            <w:r w:rsidR="00390EE5" w:rsidRPr="0089648A">
              <w:rPr>
                <w:sz w:val="20"/>
                <w:szCs w:val="20"/>
              </w:rPr>
              <w:t xml:space="preserve"> solving</w:t>
            </w:r>
            <w:r>
              <w:rPr>
                <w:sz w:val="20"/>
                <w:szCs w:val="20"/>
              </w:rPr>
              <w:t xml:space="preserve"> for </w:t>
            </w:r>
            <w:r w:rsidR="00390EE5" w:rsidRPr="0089648A">
              <w:rPr>
                <w:sz w:val="20"/>
                <w:szCs w:val="20"/>
              </w:rPr>
              <w:t xml:space="preserve">planning and </w:t>
            </w:r>
            <w:r>
              <w:rPr>
                <w:sz w:val="20"/>
                <w:szCs w:val="20"/>
              </w:rPr>
              <w:t>decision making while driving</w:t>
            </w:r>
            <w:r w:rsidR="00390EE5" w:rsidRPr="0089648A">
              <w:rPr>
                <w:sz w:val="20"/>
                <w:szCs w:val="20"/>
              </w:rPr>
              <w:t xml:space="preserve">. Executive functioning </w:t>
            </w:r>
            <w:r w:rsidR="00632C25">
              <w:rPr>
                <w:sz w:val="20"/>
                <w:szCs w:val="20"/>
              </w:rPr>
              <w:t>can decline in older adults, with more sever</w:t>
            </w:r>
            <w:r w:rsidR="00187FFD">
              <w:rPr>
                <w:sz w:val="20"/>
                <w:szCs w:val="20"/>
              </w:rPr>
              <w:t>e</w:t>
            </w:r>
            <w:r w:rsidR="00632C25">
              <w:rPr>
                <w:sz w:val="20"/>
                <w:szCs w:val="20"/>
              </w:rPr>
              <w:t xml:space="preserve"> deficits found in those with dementia</w:t>
            </w:r>
            <w:r w:rsidR="00390EE5" w:rsidRPr="0089648A">
              <w:rPr>
                <w:sz w:val="20"/>
                <w:szCs w:val="20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4328C204" w14:textId="77777777" w:rsidR="00807D8F" w:rsidRPr="0089648A" w:rsidRDefault="005A41FF" w:rsidP="005A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C807F1" w:rsidRPr="0089648A">
              <w:rPr>
                <w:sz w:val="20"/>
                <w:szCs w:val="20"/>
              </w:rPr>
              <w:t>eclines in executive functioning make it difficult for drivers to respond appropriately, particularly in complex driving situations</w:t>
            </w:r>
            <w:r>
              <w:rPr>
                <w:sz w:val="20"/>
                <w:szCs w:val="20"/>
              </w:rPr>
              <w:t>; confusion and difficulties with navigation (getting lost) often result when executive function is impaired</w:t>
            </w:r>
            <w:r w:rsidR="00C807F1" w:rsidRPr="0089648A">
              <w:rPr>
                <w:sz w:val="20"/>
                <w:szCs w:val="20"/>
              </w:rPr>
              <w:t>.</w:t>
            </w:r>
          </w:p>
        </w:tc>
      </w:tr>
      <w:tr w:rsidR="00807D8F" w:rsidRPr="007D71CB" w14:paraId="2D584A66" w14:textId="77777777" w:rsidTr="00632C25">
        <w:tc>
          <w:tcPr>
            <w:tcW w:w="1818" w:type="dxa"/>
            <w:vAlign w:val="center"/>
          </w:tcPr>
          <w:p w14:paraId="7DA06F6A" w14:textId="77777777" w:rsidR="00807D8F" w:rsidRPr="0089648A" w:rsidRDefault="005A41FF" w:rsidP="005A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Visual Search (with </w:t>
            </w:r>
            <w:r w:rsidR="007D71CB" w:rsidRPr="0089648A">
              <w:rPr>
                <w:sz w:val="20"/>
                <w:szCs w:val="20"/>
              </w:rPr>
              <w:t>Divided Attention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330" w:type="dxa"/>
            <w:vAlign w:val="center"/>
          </w:tcPr>
          <w:p w14:paraId="0EDF3E1B" w14:textId="77777777" w:rsidR="00807D8F" w:rsidRPr="0089648A" w:rsidRDefault="00C807F1" w:rsidP="007D5D09">
            <w:pPr>
              <w:rPr>
                <w:sz w:val="20"/>
                <w:szCs w:val="20"/>
              </w:rPr>
            </w:pPr>
            <w:r w:rsidRPr="0089648A">
              <w:rPr>
                <w:sz w:val="20"/>
                <w:szCs w:val="20"/>
              </w:rPr>
              <w:t>Attention is the awareness of selected elements of one’s environment; divided attention is attention to multiple sets of elements so as to carry out multiple tasks concurrently.</w:t>
            </w:r>
          </w:p>
        </w:tc>
        <w:tc>
          <w:tcPr>
            <w:tcW w:w="4500" w:type="dxa"/>
            <w:vAlign w:val="center"/>
          </w:tcPr>
          <w:p w14:paraId="255E4A62" w14:textId="66DA2C6F" w:rsidR="00807D8F" w:rsidRPr="0089648A" w:rsidRDefault="00272820" w:rsidP="00187FFD">
            <w:pPr>
              <w:rPr>
                <w:sz w:val="20"/>
                <w:szCs w:val="20"/>
              </w:rPr>
            </w:pPr>
            <w:r w:rsidRPr="0089648A">
              <w:rPr>
                <w:sz w:val="20"/>
                <w:szCs w:val="20"/>
              </w:rPr>
              <w:t xml:space="preserve">A driver </w:t>
            </w:r>
            <w:r w:rsidR="005A41FF">
              <w:rPr>
                <w:sz w:val="20"/>
                <w:szCs w:val="20"/>
              </w:rPr>
              <w:t>must rapidly and continuously scan the environment to detect and</w:t>
            </w:r>
            <w:r w:rsidRPr="0089648A">
              <w:rPr>
                <w:sz w:val="20"/>
                <w:szCs w:val="20"/>
              </w:rPr>
              <w:t xml:space="preserve"> attend to </w:t>
            </w:r>
            <w:r w:rsidR="005A41FF">
              <w:rPr>
                <w:sz w:val="20"/>
                <w:szCs w:val="20"/>
              </w:rPr>
              <w:t>the most safety</w:t>
            </w:r>
            <w:r w:rsidRPr="0089648A">
              <w:rPr>
                <w:sz w:val="20"/>
                <w:szCs w:val="20"/>
              </w:rPr>
              <w:t>-relevant stimuli, e.g., a traffic signal</w:t>
            </w:r>
            <w:r w:rsidR="005A41FF">
              <w:rPr>
                <w:sz w:val="20"/>
                <w:szCs w:val="20"/>
              </w:rPr>
              <w:t>s</w:t>
            </w:r>
            <w:r w:rsidRPr="0089648A">
              <w:rPr>
                <w:sz w:val="20"/>
                <w:szCs w:val="20"/>
              </w:rPr>
              <w:t xml:space="preserve">, </w:t>
            </w:r>
            <w:r w:rsidR="005A41FF">
              <w:rPr>
                <w:sz w:val="20"/>
                <w:szCs w:val="20"/>
              </w:rPr>
              <w:t xml:space="preserve">signs, and road markings as well as </w:t>
            </w:r>
            <w:r w:rsidRPr="0089648A">
              <w:rPr>
                <w:sz w:val="20"/>
                <w:szCs w:val="20"/>
              </w:rPr>
              <w:t xml:space="preserve">other drivers, pedestrians, and cyclists. </w:t>
            </w:r>
          </w:p>
        </w:tc>
      </w:tr>
      <w:tr w:rsidR="0089648A" w:rsidRPr="0089648A" w14:paraId="0C4B7B3A" w14:textId="77777777" w:rsidTr="00632C25">
        <w:tc>
          <w:tcPr>
            <w:tcW w:w="18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2AF8C2" w14:textId="77777777" w:rsidR="0089648A" w:rsidRPr="0089648A" w:rsidRDefault="006C564C" w:rsidP="006C5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 Strength &amp; Stamina</w:t>
            </w:r>
          </w:p>
        </w:tc>
        <w:tc>
          <w:tcPr>
            <w:tcW w:w="33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95EBD1" w14:textId="716C1858" w:rsidR="0089648A" w:rsidRPr="0089648A" w:rsidRDefault="008E7E67" w:rsidP="00FF5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ability</w:t>
            </w:r>
            <w:r w:rsidR="006C564C">
              <w:rPr>
                <w:sz w:val="20"/>
                <w:szCs w:val="20"/>
              </w:rPr>
              <w:t xml:space="preserve"> </w:t>
            </w:r>
            <w:r w:rsidR="006C564C" w:rsidRPr="006C564C">
              <w:rPr>
                <w:sz w:val="20"/>
                <w:szCs w:val="20"/>
              </w:rPr>
              <w:t xml:space="preserve">to use the </w:t>
            </w:r>
            <w:r w:rsidR="00FF573E">
              <w:rPr>
                <w:sz w:val="20"/>
                <w:szCs w:val="20"/>
              </w:rPr>
              <w:t>accelerator</w:t>
            </w:r>
            <w:r w:rsidR="006C564C" w:rsidRPr="006C564C">
              <w:rPr>
                <w:sz w:val="20"/>
                <w:szCs w:val="20"/>
              </w:rPr>
              <w:t xml:space="preserve"> and brake pedals effectively for smooth control of</w:t>
            </w:r>
            <w:r w:rsidR="006C564C">
              <w:rPr>
                <w:sz w:val="20"/>
                <w:szCs w:val="20"/>
              </w:rPr>
              <w:t xml:space="preserve"> </w:t>
            </w:r>
            <w:r w:rsidR="006C564C" w:rsidRPr="006C564C">
              <w:rPr>
                <w:sz w:val="20"/>
                <w:szCs w:val="20"/>
              </w:rPr>
              <w:t>vehicle speed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847362" w14:textId="5AEECEEB" w:rsidR="0089648A" w:rsidRPr="0089648A" w:rsidRDefault="006C564C" w:rsidP="006C5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normal traffic and in emergency situations, the ability to rapidly</w:t>
            </w:r>
            <w:r w:rsidR="00FF573E">
              <w:rPr>
                <w:sz w:val="20"/>
                <w:szCs w:val="20"/>
              </w:rPr>
              <w:t xml:space="preserve"> and accurately</w:t>
            </w:r>
            <w:r>
              <w:rPr>
                <w:sz w:val="20"/>
                <w:szCs w:val="20"/>
              </w:rPr>
              <w:t xml:space="preserve"> shift one’s foot between the accelerator and brake pedals according to the demands of the moment is essential for safe driving</w:t>
            </w:r>
            <w:r w:rsidR="008E7E67">
              <w:rPr>
                <w:sz w:val="20"/>
                <w:szCs w:val="20"/>
              </w:rPr>
              <w:t xml:space="preserve">. </w:t>
            </w:r>
          </w:p>
        </w:tc>
      </w:tr>
      <w:tr w:rsidR="008E7E67" w:rsidRPr="0089648A" w14:paraId="2527720E" w14:textId="77777777" w:rsidTr="00632C25"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C32707" w14:textId="77777777" w:rsidR="008E7E67" w:rsidRDefault="005E61E2" w:rsidP="006C5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Head/neck F</w:t>
            </w:r>
            <w:r w:rsidR="006C564C">
              <w:rPr>
                <w:sz w:val="20"/>
                <w:szCs w:val="20"/>
              </w:rPr>
              <w:t>lexibility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14:paraId="47BD11E8" w14:textId="77777777" w:rsidR="008E7E67" w:rsidRDefault="008E7E67" w:rsidP="006C5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ability to</w:t>
            </w:r>
            <w:r w:rsidR="006C564C" w:rsidRPr="006C564C">
              <w:rPr>
                <w:sz w:val="20"/>
                <w:szCs w:val="20"/>
              </w:rPr>
              <w:t xml:space="preserve"> rapidly check in both directions for cross-traffic, and to look over</w:t>
            </w:r>
            <w:r w:rsidR="006C564C">
              <w:rPr>
                <w:sz w:val="20"/>
                <w:szCs w:val="20"/>
              </w:rPr>
              <w:t xml:space="preserve"> </w:t>
            </w:r>
            <w:r w:rsidR="006C564C" w:rsidRPr="006C564C">
              <w:rPr>
                <w:sz w:val="20"/>
                <w:szCs w:val="20"/>
              </w:rPr>
              <w:t>the shoulder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00" w:type="dxa"/>
            <w:tcBorders>
              <w:top w:val="double" w:sz="4" w:space="0" w:color="auto"/>
            </w:tcBorders>
            <w:vAlign w:val="center"/>
          </w:tcPr>
          <w:p w14:paraId="3B64CD5E" w14:textId="57089020" w:rsidR="008E7E67" w:rsidRDefault="008E7E67" w:rsidP="006C5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driver needs to be able to </w:t>
            </w:r>
            <w:r w:rsidR="006C564C">
              <w:rPr>
                <w:sz w:val="20"/>
                <w:szCs w:val="20"/>
              </w:rPr>
              <w:t>scan to the sides and rear, including blind spots</w:t>
            </w:r>
            <w:r w:rsidR="00FF573E">
              <w:rPr>
                <w:sz w:val="20"/>
                <w:szCs w:val="20"/>
              </w:rPr>
              <w:t>, before</w:t>
            </w:r>
            <w:r w:rsidR="006C564C" w:rsidRPr="006C564C">
              <w:rPr>
                <w:sz w:val="20"/>
                <w:szCs w:val="20"/>
              </w:rPr>
              <w:t xml:space="preserve"> back</w:t>
            </w:r>
            <w:r w:rsidR="006C564C">
              <w:rPr>
                <w:sz w:val="20"/>
                <w:szCs w:val="20"/>
              </w:rPr>
              <w:t>ing, merging, or changing lanes, and quickly check for conflicts from both directions at intersections.</w:t>
            </w:r>
          </w:p>
        </w:tc>
      </w:tr>
    </w:tbl>
    <w:p w14:paraId="754F53EE" w14:textId="77777777" w:rsidR="0089648A" w:rsidRPr="007D71CB" w:rsidRDefault="0089648A" w:rsidP="006A3A07"/>
    <w:sectPr w:rsidR="0089648A" w:rsidRPr="007D71CB" w:rsidSect="004F742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8B5F1" w14:textId="77777777" w:rsidR="005A41FF" w:rsidRDefault="005A41FF" w:rsidP="00F24E85">
      <w:pPr>
        <w:spacing w:after="0" w:line="240" w:lineRule="auto"/>
      </w:pPr>
      <w:r>
        <w:separator/>
      </w:r>
    </w:p>
  </w:endnote>
  <w:endnote w:type="continuationSeparator" w:id="0">
    <w:p w14:paraId="4AB43E42" w14:textId="77777777" w:rsidR="005A41FF" w:rsidRDefault="005A41FF" w:rsidP="00F2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732126"/>
      <w:docPartObj>
        <w:docPartGallery w:val="Page Numbers (Bottom of Page)"/>
        <w:docPartUnique/>
      </w:docPartObj>
    </w:sdtPr>
    <w:sdtEndPr/>
    <w:sdtContent>
      <w:p w14:paraId="767630B6" w14:textId="77777777" w:rsidR="005A41FF" w:rsidRDefault="005A41FF">
        <w:pPr>
          <w:pStyle w:val="Footer"/>
          <w:jc w:val="center"/>
        </w:pPr>
        <w:r>
          <w:t>E-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2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37BB44" w14:textId="77777777" w:rsidR="005A41FF" w:rsidRDefault="005A41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3D149" w14:textId="77777777" w:rsidR="005A41FF" w:rsidRDefault="005A41FF" w:rsidP="00F24E85">
      <w:pPr>
        <w:spacing w:after="0" w:line="240" w:lineRule="auto"/>
      </w:pPr>
      <w:r>
        <w:separator/>
      </w:r>
    </w:p>
  </w:footnote>
  <w:footnote w:type="continuationSeparator" w:id="0">
    <w:p w14:paraId="48EA5BB7" w14:textId="77777777" w:rsidR="005A41FF" w:rsidRDefault="005A41FF" w:rsidP="00F2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63EB53B75744A58B70D0233C857B2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C26AD59" w14:textId="77777777" w:rsidR="005A41FF" w:rsidRDefault="005A41F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Appendix B</w:t>
        </w:r>
        <w:r w:rsidRPr="00F24E85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–</w:t>
        </w:r>
        <w:r w:rsidRPr="00F24E85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Functional Instrument</w:t>
        </w:r>
        <w:r w:rsidRPr="00F24E85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Justification</w:t>
        </w:r>
      </w:p>
    </w:sdtContent>
  </w:sdt>
  <w:p w14:paraId="02D51EE8" w14:textId="77777777" w:rsidR="005A41FF" w:rsidRDefault="005A41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14087"/>
    <w:multiLevelType w:val="hybridMultilevel"/>
    <w:tmpl w:val="9580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D1"/>
    <w:rsid w:val="0003536C"/>
    <w:rsid w:val="0005569E"/>
    <w:rsid w:val="00056D77"/>
    <w:rsid w:val="0006401A"/>
    <w:rsid w:val="00074148"/>
    <w:rsid w:val="00077140"/>
    <w:rsid w:val="0008215C"/>
    <w:rsid w:val="00085C49"/>
    <w:rsid w:val="0009038E"/>
    <w:rsid w:val="000A2AE2"/>
    <w:rsid w:val="000A39E4"/>
    <w:rsid w:val="000C4ABC"/>
    <w:rsid w:val="000D0A73"/>
    <w:rsid w:val="000D15BA"/>
    <w:rsid w:val="000D7FE3"/>
    <w:rsid w:val="000E1EA0"/>
    <w:rsid w:val="000E2A1F"/>
    <w:rsid w:val="000E2AC2"/>
    <w:rsid w:val="000E3C6B"/>
    <w:rsid w:val="000F12BB"/>
    <w:rsid w:val="000F3DB0"/>
    <w:rsid w:val="000F618B"/>
    <w:rsid w:val="000F6AA4"/>
    <w:rsid w:val="001007A8"/>
    <w:rsid w:val="0010651F"/>
    <w:rsid w:val="00107BAE"/>
    <w:rsid w:val="001135AF"/>
    <w:rsid w:val="00124E9F"/>
    <w:rsid w:val="00133297"/>
    <w:rsid w:val="001353EB"/>
    <w:rsid w:val="00137344"/>
    <w:rsid w:val="0015182A"/>
    <w:rsid w:val="00152BC7"/>
    <w:rsid w:val="00162673"/>
    <w:rsid w:val="00173E92"/>
    <w:rsid w:val="0018469C"/>
    <w:rsid w:val="0018548C"/>
    <w:rsid w:val="00187FFD"/>
    <w:rsid w:val="001A2898"/>
    <w:rsid w:val="001A4DD1"/>
    <w:rsid w:val="001B1C5E"/>
    <w:rsid w:val="001B7DF5"/>
    <w:rsid w:val="001D42F2"/>
    <w:rsid w:val="001D5303"/>
    <w:rsid w:val="00221BE8"/>
    <w:rsid w:val="002241E3"/>
    <w:rsid w:val="00230C68"/>
    <w:rsid w:val="00236A48"/>
    <w:rsid w:val="00240FCC"/>
    <w:rsid w:val="00243D7B"/>
    <w:rsid w:val="00244A4F"/>
    <w:rsid w:val="002625C6"/>
    <w:rsid w:val="00264932"/>
    <w:rsid w:val="00272820"/>
    <w:rsid w:val="00295C23"/>
    <w:rsid w:val="002A30BA"/>
    <w:rsid w:val="002A7E82"/>
    <w:rsid w:val="002B23CF"/>
    <w:rsid w:val="002B45C7"/>
    <w:rsid w:val="002D0C49"/>
    <w:rsid w:val="002E3FA5"/>
    <w:rsid w:val="002F1119"/>
    <w:rsid w:val="00314264"/>
    <w:rsid w:val="00325A83"/>
    <w:rsid w:val="00347780"/>
    <w:rsid w:val="0037765C"/>
    <w:rsid w:val="00390EE5"/>
    <w:rsid w:val="003A7DDC"/>
    <w:rsid w:val="003D111B"/>
    <w:rsid w:val="003D2995"/>
    <w:rsid w:val="003D3E7F"/>
    <w:rsid w:val="003E3662"/>
    <w:rsid w:val="004121CE"/>
    <w:rsid w:val="004304E9"/>
    <w:rsid w:val="004446EC"/>
    <w:rsid w:val="00444EC8"/>
    <w:rsid w:val="004500B5"/>
    <w:rsid w:val="00461EA8"/>
    <w:rsid w:val="004631EE"/>
    <w:rsid w:val="00466A30"/>
    <w:rsid w:val="00474D3D"/>
    <w:rsid w:val="004834CC"/>
    <w:rsid w:val="00486C05"/>
    <w:rsid w:val="004918A3"/>
    <w:rsid w:val="004A57FC"/>
    <w:rsid w:val="004B11C7"/>
    <w:rsid w:val="004B1DEF"/>
    <w:rsid w:val="004B354F"/>
    <w:rsid w:val="004C302D"/>
    <w:rsid w:val="004E5FF9"/>
    <w:rsid w:val="004F1190"/>
    <w:rsid w:val="004F6DE3"/>
    <w:rsid w:val="004F742D"/>
    <w:rsid w:val="00503D28"/>
    <w:rsid w:val="00510171"/>
    <w:rsid w:val="00510961"/>
    <w:rsid w:val="00516D2F"/>
    <w:rsid w:val="00521052"/>
    <w:rsid w:val="005217C5"/>
    <w:rsid w:val="00523289"/>
    <w:rsid w:val="00526AEF"/>
    <w:rsid w:val="005311C0"/>
    <w:rsid w:val="005618EA"/>
    <w:rsid w:val="0058112D"/>
    <w:rsid w:val="00583927"/>
    <w:rsid w:val="00591188"/>
    <w:rsid w:val="005952FF"/>
    <w:rsid w:val="00597A14"/>
    <w:rsid w:val="005A209E"/>
    <w:rsid w:val="005A3403"/>
    <w:rsid w:val="005A41FF"/>
    <w:rsid w:val="005B15F5"/>
    <w:rsid w:val="005B3E14"/>
    <w:rsid w:val="005C32B3"/>
    <w:rsid w:val="005D6CA0"/>
    <w:rsid w:val="005E009E"/>
    <w:rsid w:val="005E022E"/>
    <w:rsid w:val="005E42C8"/>
    <w:rsid w:val="005E61E2"/>
    <w:rsid w:val="00600841"/>
    <w:rsid w:val="00613B0A"/>
    <w:rsid w:val="00622124"/>
    <w:rsid w:val="00623FBB"/>
    <w:rsid w:val="00624043"/>
    <w:rsid w:val="006258FD"/>
    <w:rsid w:val="00627642"/>
    <w:rsid w:val="00632C25"/>
    <w:rsid w:val="00646869"/>
    <w:rsid w:val="00660E32"/>
    <w:rsid w:val="006629C4"/>
    <w:rsid w:val="00672277"/>
    <w:rsid w:val="00672B3A"/>
    <w:rsid w:val="006A3A07"/>
    <w:rsid w:val="006A3F53"/>
    <w:rsid w:val="006C564C"/>
    <w:rsid w:val="006F2770"/>
    <w:rsid w:val="006F2BC2"/>
    <w:rsid w:val="00730315"/>
    <w:rsid w:val="00736B52"/>
    <w:rsid w:val="007403BE"/>
    <w:rsid w:val="00751DCB"/>
    <w:rsid w:val="0075664E"/>
    <w:rsid w:val="00774382"/>
    <w:rsid w:val="007922D0"/>
    <w:rsid w:val="007B7DB8"/>
    <w:rsid w:val="007B7FF2"/>
    <w:rsid w:val="007C402B"/>
    <w:rsid w:val="007C437E"/>
    <w:rsid w:val="007D092D"/>
    <w:rsid w:val="007D5D09"/>
    <w:rsid w:val="007D71CB"/>
    <w:rsid w:val="007E7BF4"/>
    <w:rsid w:val="007F595B"/>
    <w:rsid w:val="007F7CF9"/>
    <w:rsid w:val="00807D8F"/>
    <w:rsid w:val="00807F4C"/>
    <w:rsid w:val="00812F5B"/>
    <w:rsid w:val="00821B05"/>
    <w:rsid w:val="0084644C"/>
    <w:rsid w:val="00862717"/>
    <w:rsid w:val="00874C38"/>
    <w:rsid w:val="0088213B"/>
    <w:rsid w:val="00884DB1"/>
    <w:rsid w:val="00890094"/>
    <w:rsid w:val="0089648A"/>
    <w:rsid w:val="008A2016"/>
    <w:rsid w:val="008D1650"/>
    <w:rsid w:val="008E7E67"/>
    <w:rsid w:val="00903F1D"/>
    <w:rsid w:val="00906AC6"/>
    <w:rsid w:val="00925D03"/>
    <w:rsid w:val="009662A8"/>
    <w:rsid w:val="009674BA"/>
    <w:rsid w:val="0097113D"/>
    <w:rsid w:val="00976829"/>
    <w:rsid w:val="009776F8"/>
    <w:rsid w:val="009A01A5"/>
    <w:rsid w:val="009A45CF"/>
    <w:rsid w:val="009B1ABD"/>
    <w:rsid w:val="009C0050"/>
    <w:rsid w:val="009D4B88"/>
    <w:rsid w:val="009D7779"/>
    <w:rsid w:val="009F0167"/>
    <w:rsid w:val="009F208A"/>
    <w:rsid w:val="009F3721"/>
    <w:rsid w:val="009F557F"/>
    <w:rsid w:val="00A02912"/>
    <w:rsid w:val="00A1606E"/>
    <w:rsid w:val="00A22333"/>
    <w:rsid w:val="00A24C09"/>
    <w:rsid w:val="00A71ABA"/>
    <w:rsid w:val="00A71F02"/>
    <w:rsid w:val="00A762C4"/>
    <w:rsid w:val="00A82F0D"/>
    <w:rsid w:val="00A92732"/>
    <w:rsid w:val="00A93EC4"/>
    <w:rsid w:val="00AA1EF8"/>
    <w:rsid w:val="00AA6633"/>
    <w:rsid w:val="00AB363C"/>
    <w:rsid w:val="00AC207C"/>
    <w:rsid w:val="00AC49D9"/>
    <w:rsid w:val="00AD5510"/>
    <w:rsid w:val="00AE28E6"/>
    <w:rsid w:val="00AF6F87"/>
    <w:rsid w:val="00B014F1"/>
    <w:rsid w:val="00B1272E"/>
    <w:rsid w:val="00B13397"/>
    <w:rsid w:val="00B13854"/>
    <w:rsid w:val="00B23777"/>
    <w:rsid w:val="00B2627D"/>
    <w:rsid w:val="00B37DA7"/>
    <w:rsid w:val="00B53072"/>
    <w:rsid w:val="00B549B8"/>
    <w:rsid w:val="00B60829"/>
    <w:rsid w:val="00B82511"/>
    <w:rsid w:val="00B8434B"/>
    <w:rsid w:val="00B84E00"/>
    <w:rsid w:val="00B8580C"/>
    <w:rsid w:val="00B90ACE"/>
    <w:rsid w:val="00B94527"/>
    <w:rsid w:val="00B964BF"/>
    <w:rsid w:val="00BC386D"/>
    <w:rsid w:val="00BE7F12"/>
    <w:rsid w:val="00BF1763"/>
    <w:rsid w:val="00C17E85"/>
    <w:rsid w:val="00C2267B"/>
    <w:rsid w:val="00C31C6F"/>
    <w:rsid w:val="00C33F97"/>
    <w:rsid w:val="00C3554C"/>
    <w:rsid w:val="00C451A7"/>
    <w:rsid w:val="00C57BC0"/>
    <w:rsid w:val="00C6326E"/>
    <w:rsid w:val="00C645F1"/>
    <w:rsid w:val="00C7405E"/>
    <w:rsid w:val="00C74D13"/>
    <w:rsid w:val="00C807F1"/>
    <w:rsid w:val="00C82D2B"/>
    <w:rsid w:val="00C8700F"/>
    <w:rsid w:val="00C90484"/>
    <w:rsid w:val="00CA3647"/>
    <w:rsid w:val="00CB1E30"/>
    <w:rsid w:val="00CB2AA2"/>
    <w:rsid w:val="00CC5FBC"/>
    <w:rsid w:val="00CC6C68"/>
    <w:rsid w:val="00CD718A"/>
    <w:rsid w:val="00CD78C4"/>
    <w:rsid w:val="00CE2707"/>
    <w:rsid w:val="00CF25DD"/>
    <w:rsid w:val="00CF6B08"/>
    <w:rsid w:val="00CF743D"/>
    <w:rsid w:val="00D065B0"/>
    <w:rsid w:val="00D12597"/>
    <w:rsid w:val="00D32900"/>
    <w:rsid w:val="00D477FB"/>
    <w:rsid w:val="00D53EF1"/>
    <w:rsid w:val="00D739F1"/>
    <w:rsid w:val="00D7412C"/>
    <w:rsid w:val="00D8047E"/>
    <w:rsid w:val="00D84105"/>
    <w:rsid w:val="00D85799"/>
    <w:rsid w:val="00DA0DBD"/>
    <w:rsid w:val="00DB5AF1"/>
    <w:rsid w:val="00E10F9E"/>
    <w:rsid w:val="00E2265E"/>
    <w:rsid w:val="00E308CD"/>
    <w:rsid w:val="00E36917"/>
    <w:rsid w:val="00E44C1E"/>
    <w:rsid w:val="00E56F23"/>
    <w:rsid w:val="00E627F2"/>
    <w:rsid w:val="00E73D59"/>
    <w:rsid w:val="00E770BF"/>
    <w:rsid w:val="00E800E0"/>
    <w:rsid w:val="00E95E49"/>
    <w:rsid w:val="00EC5E9A"/>
    <w:rsid w:val="00EC6207"/>
    <w:rsid w:val="00ED038F"/>
    <w:rsid w:val="00ED34A6"/>
    <w:rsid w:val="00ED44A4"/>
    <w:rsid w:val="00EE1B31"/>
    <w:rsid w:val="00F0778E"/>
    <w:rsid w:val="00F24E85"/>
    <w:rsid w:val="00F25CA7"/>
    <w:rsid w:val="00F4133C"/>
    <w:rsid w:val="00F4741C"/>
    <w:rsid w:val="00F57387"/>
    <w:rsid w:val="00F65F82"/>
    <w:rsid w:val="00F67F52"/>
    <w:rsid w:val="00F84FF7"/>
    <w:rsid w:val="00F85571"/>
    <w:rsid w:val="00F94C66"/>
    <w:rsid w:val="00FA0082"/>
    <w:rsid w:val="00FB058A"/>
    <w:rsid w:val="00FB7F86"/>
    <w:rsid w:val="00FC3D41"/>
    <w:rsid w:val="00FC3F76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2EF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E85"/>
  </w:style>
  <w:style w:type="paragraph" w:styleId="Footer">
    <w:name w:val="footer"/>
    <w:basedOn w:val="Normal"/>
    <w:link w:val="Foot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E85"/>
  </w:style>
  <w:style w:type="paragraph" w:styleId="BalloonText">
    <w:name w:val="Balloon Text"/>
    <w:basedOn w:val="Normal"/>
    <w:link w:val="BalloonTextChar"/>
    <w:uiPriority w:val="99"/>
    <w:semiHidden/>
    <w:unhideWhenUsed/>
    <w:rsid w:val="00F2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E2A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E85"/>
  </w:style>
  <w:style w:type="paragraph" w:styleId="Footer">
    <w:name w:val="footer"/>
    <w:basedOn w:val="Normal"/>
    <w:link w:val="Foot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E85"/>
  </w:style>
  <w:style w:type="paragraph" w:styleId="BalloonText">
    <w:name w:val="Balloon Text"/>
    <w:basedOn w:val="Normal"/>
    <w:link w:val="BalloonTextChar"/>
    <w:uiPriority w:val="99"/>
    <w:semiHidden/>
    <w:unhideWhenUsed/>
    <w:rsid w:val="00F2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E2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tehouse.gov/sites/default/files/omb/assets/inforeg/PRAPrimer_04072010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3EB53B75744A58B70D0233C857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7535-5858-479A-8FFE-EC521CB6BD49}"/>
      </w:docPartPr>
      <w:docPartBody>
        <w:p w:rsidR="00523E83" w:rsidRDefault="009562F7" w:rsidP="009562F7">
          <w:pPr>
            <w:pStyle w:val="163EB53B75744A58B70D0233C857B2C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62F7"/>
    <w:rsid w:val="000A508D"/>
    <w:rsid w:val="00384A1A"/>
    <w:rsid w:val="004B4667"/>
    <w:rsid w:val="00523E83"/>
    <w:rsid w:val="00871C89"/>
    <w:rsid w:val="009562F7"/>
    <w:rsid w:val="00BD3C35"/>
    <w:rsid w:val="00C84A09"/>
    <w:rsid w:val="00D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3EB53B75744A58B70D0233C857B2C8">
    <w:name w:val="163EB53B75744A58B70D0233C857B2C8"/>
    <w:rsid w:val="009562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 – Functional Instrument Justification</vt:lpstr>
    </vt:vector>
  </TitlesOfParts>
  <Company>DOT-COE-20090818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– Functional Instrument Justification</dc:title>
  <dc:creator>randolph.atkins</dc:creator>
  <cp:lastModifiedBy>Culbreath, Walter (NHTSA)</cp:lastModifiedBy>
  <cp:revision>2</cp:revision>
  <dcterms:created xsi:type="dcterms:W3CDTF">2015-09-14T14:44:00Z</dcterms:created>
  <dcterms:modified xsi:type="dcterms:W3CDTF">2015-09-14T14:44:00Z</dcterms:modified>
</cp:coreProperties>
</file>