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FA460" w14:textId="2845F485" w:rsidR="003936CD" w:rsidRPr="00624043" w:rsidRDefault="003936CD" w:rsidP="003936CD">
      <w:pPr>
        <w:spacing w:after="0"/>
        <w:ind w:firstLine="432"/>
        <w:rPr>
          <w:szCs w:val="20"/>
        </w:rPr>
      </w:pPr>
      <w:bookmarkStart w:id="0" w:name="_GoBack"/>
      <w:bookmarkEnd w:id="0"/>
      <w:r w:rsidRPr="00624043">
        <w:rPr>
          <w:szCs w:val="20"/>
        </w:rPr>
        <w:t>This appendix provides an overview of the functional</w:t>
      </w:r>
      <w:r w:rsidR="00AF555E">
        <w:rPr>
          <w:szCs w:val="20"/>
        </w:rPr>
        <w:t xml:space="preserve"> instruments</w:t>
      </w:r>
      <w:r>
        <w:rPr>
          <w:szCs w:val="20"/>
        </w:rPr>
        <w:t xml:space="preserve"> and skills</w:t>
      </w:r>
      <w:r w:rsidRPr="00624043">
        <w:rPr>
          <w:szCs w:val="20"/>
        </w:rPr>
        <w:t xml:space="preserve"> test</w:t>
      </w:r>
      <w:r w:rsidR="00AF555E">
        <w:rPr>
          <w:szCs w:val="20"/>
        </w:rPr>
        <w:t>s</w:t>
      </w:r>
      <w:r w:rsidRPr="00624043">
        <w:rPr>
          <w:szCs w:val="20"/>
        </w:rPr>
        <w:t xml:space="preserve"> to be used in this study and their relationship to study goals and traffic safety applications.  It is important to note scores on these</w:t>
      </w:r>
      <w:r w:rsidR="00820DC6">
        <w:rPr>
          <w:szCs w:val="20"/>
        </w:rPr>
        <w:t xml:space="preserve"> instruments and</w:t>
      </w:r>
      <w:r w:rsidRPr="00624043">
        <w:rPr>
          <w:szCs w:val="20"/>
        </w:rPr>
        <w:t xml:space="preserve"> tests will be </w:t>
      </w:r>
      <w:r>
        <w:rPr>
          <w:szCs w:val="20"/>
        </w:rPr>
        <w:t xml:space="preserve">compared </w:t>
      </w:r>
      <w:r w:rsidR="00820DC6">
        <w:rPr>
          <w:szCs w:val="20"/>
        </w:rPr>
        <w:t xml:space="preserve">across </w:t>
      </w:r>
      <w:r>
        <w:rPr>
          <w:szCs w:val="20"/>
        </w:rPr>
        <w:t>study group</w:t>
      </w:r>
      <w:r w:rsidR="00820DC6">
        <w:rPr>
          <w:szCs w:val="20"/>
        </w:rPr>
        <w:t>s</w:t>
      </w:r>
      <w:r w:rsidRPr="00624043">
        <w:rPr>
          <w:szCs w:val="20"/>
        </w:rPr>
        <w:t xml:space="preserve">.  </w:t>
      </w:r>
    </w:p>
    <w:p w14:paraId="30A1D822" w14:textId="1FC5A5D1" w:rsidR="003936CD" w:rsidRPr="007D71CB" w:rsidRDefault="003936CD" w:rsidP="003936CD">
      <w:pPr>
        <w:spacing w:after="0"/>
        <w:ind w:firstLine="432"/>
      </w:pPr>
      <w:r w:rsidRPr="007D71CB">
        <w:t>Please note that the</w:t>
      </w:r>
      <w:r>
        <w:t xml:space="preserve"> functional</w:t>
      </w:r>
      <w:r w:rsidRPr="007D71CB">
        <w:t xml:space="preserve"> instruments have undergone thorough validity (they test the domain they purport to test) and reliability (a person retaking the test would obtain a similar score) testing.</w:t>
      </w:r>
      <w:r w:rsidR="00AF555E">
        <w:t xml:space="preserve"> The on-road skills test measures a participant’s ability </w:t>
      </w:r>
      <w:r w:rsidR="00452CE1">
        <w:t xml:space="preserve">to </w:t>
      </w:r>
      <w:r w:rsidR="006B005C">
        <w:t xml:space="preserve">control a vehicle and </w:t>
      </w:r>
      <w:r w:rsidR="00680020">
        <w:t>navigate a route</w:t>
      </w:r>
      <w:r w:rsidR="00AF555E">
        <w:t xml:space="preserve"> while following directions from either an electronic navigation system (ENS) or turn-by-turn printed directions with a map. The destination entry task measures a participant’s ability to accurately enter an address into the ENS</w:t>
      </w:r>
      <w:r w:rsidR="00452CE1">
        <w:t xml:space="preserve"> and identifies the types of errors made, if any</w:t>
      </w:r>
      <w:r w:rsidR="00AF555E">
        <w:t xml:space="preserve">. </w:t>
      </w:r>
      <w:r w:rsidRPr="007D71CB">
        <w:t xml:space="preserve"> </w:t>
      </w:r>
      <w:r w:rsidR="00AF555E">
        <w:t xml:space="preserve">All instruments and </w:t>
      </w:r>
      <w:r>
        <w:t>test</w:t>
      </w:r>
      <w:r w:rsidR="00AF555E">
        <w:t>s measure</w:t>
      </w:r>
      <w:r w:rsidRPr="007D71CB">
        <w:t xml:space="preserve"> “aptitudes, abilities</w:t>
      </w:r>
      <w:r w:rsidR="00AF555E">
        <w:t>,</w:t>
      </w:r>
      <w:r w:rsidRPr="007D71CB">
        <w:t xml:space="preserve"> and</w:t>
      </w:r>
      <w:r w:rsidR="006B005C">
        <w:t>/or</w:t>
      </w:r>
      <w:r w:rsidRPr="007D71CB">
        <w:t xml:space="preserve"> knowledge” of </w:t>
      </w:r>
      <w:r w:rsidR="00AF555E">
        <w:t>participants to determine</w:t>
      </w:r>
      <w:r w:rsidR="00452CE1">
        <w:t>:</w:t>
      </w:r>
      <w:r w:rsidR="00AF555E">
        <w:t xml:space="preserve"> 1) if they </w:t>
      </w:r>
      <w:r w:rsidRPr="007D71CB">
        <w:t>have the ability to safely operate a vehicle</w:t>
      </w:r>
      <w:r w:rsidR="00AF555E">
        <w:t xml:space="preserve">, 2) how well they perform basic driving tasks while following directions, 3) </w:t>
      </w:r>
      <w:r w:rsidR="00820DC6">
        <w:t xml:space="preserve">if they </w:t>
      </w:r>
      <w:r w:rsidR="00AF555E">
        <w:t>can accurately input an address into an ENS</w:t>
      </w:r>
      <w:r w:rsidR="00452CE1">
        <w:t>, 4) the types of errors made</w:t>
      </w:r>
      <w:r w:rsidRPr="007D71CB">
        <w:t>.  Th</w:t>
      </w:r>
      <w:r>
        <w:t>ese</w:t>
      </w:r>
      <w:r w:rsidRPr="007D71CB">
        <w:t xml:space="preserve"> data </w:t>
      </w:r>
      <w:r>
        <w:t>are</w:t>
      </w:r>
      <w:r w:rsidRPr="007D71CB">
        <w:t xml:space="preserve"> not considered “information” as defined under the PRA per </w:t>
      </w:r>
      <w:r w:rsidRPr="007D71CB">
        <w:rPr>
          <w:i/>
        </w:rPr>
        <w:t>Memorandum For The Heads Of Executive Departments And Agencies And Independent Regulatory Agencies</w:t>
      </w:r>
      <w:r w:rsidRPr="007D71CB">
        <w:t>, OMB Regulations, exemption 7 (see page 8), retrieved from</w:t>
      </w:r>
      <w:r w:rsidRPr="007D71CB">
        <w:rPr>
          <w:rFonts w:cs="Arial"/>
          <w:noProof/>
          <w:color w:val="1F497D" w:themeColor="dark2"/>
          <w:sz w:val="20"/>
        </w:rPr>
        <w:t xml:space="preserve"> </w:t>
      </w:r>
      <w:hyperlink r:id="rId8" w:history="1">
        <w:r w:rsidRPr="007D71CB">
          <w:rPr>
            <w:rStyle w:val="Hyperlink"/>
          </w:rPr>
          <w:t>https://www.whitehouse.gov/sites/default/files/omb/assets/inforeg/PRAPrimer_04072010.pdf</w:t>
        </w:r>
      </w:hyperlink>
      <w:r w:rsidRPr="007D71CB">
        <w:t xml:space="preserve"> on August 7, 2015.”</w:t>
      </w:r>
    </w:p>
    <w:p w14:paraId="4BED6159" w14:textId="237FAEEC" w:rsidR="003936CD" w:rsidRPr="006A3A07" w:rsidRDefault="003936CD" w:rsidP="003936CD">
      <w:pPr>
        <w:spacing w:after="0"/>
        <w:ind w:firstLine="432"/>
        <w:rPr>
          <w:szCs w:val="20"/>
        </w:rPr>
      </w:pPr>
      <w:r w:rsidRPr="006A3A07">
        <w:rPr>
          <w:szCs w:val="20"/>
        </w:rPr>
        <w:t xml:space="preserve">Countermeasures developed from the information collected in this study will include developing guidelines </w:t>
      </w:r>
      <w:r w:rsidR="00AF555E">
        <w:rPr>
          <w:szCs w:val="20"/>
        </w:rPr>
        <w:t>for product developers</w:t>
      </w:r>
      <w:r w:rsidRPr="006A3A07">
        <w:rPr>
          <w:szCs w:val="20"/>
        </w:rPr>
        <w:t xml:space="preserve"> </w:t>
      </w:r>
      <w:r w:rsidR="00AF555E">
        <w:rPr>
          <w:szCs w:val="20"/>
        </w:rPr>
        <w:t>for ENS design and training considerations,</w:t>
      </w:r>
      <w:r w:rsidR="00820DC6">
        <w:rPr>
          <w:szCs w:val="20"/>
        </w:rPr>
        <w:t xml:space="preserve"> and</w:t>
      </w:r>
      <w:r w:rsidR="00AF555E">
        <w:rPr>
          <w:szCs w:val="20"/>
        </w:rPr>
        <w:t xml:space="preserve"> providing guidance to the public on the safety benefits (or decrements) associated with older driver ENS use.</w:t>
      </w:r>
    </w:p>
    <w:p w14:paraId="61FC5040" w14:textId="77777777" w:rsidR="00B26849" w:rsidRPr="007D71CB" w:rsidRDefault="00B26849" w:rsidP="0089648A">
      <w:pPr>
        <w:spacing w:after="0"/>
        <w:ind w:firstLine="432"/>
      </w:pPr>
    </w:p>
    <w:tbl>
      <w:tblPr>
        <w:tblStyle w:val="TableGrid"/>
        <w:tblW w:w="9648" w:type="dxa"/>
        <w:tblLayout w:type="fixed"/>
        <w:tblLook w:val="04A0" w:firstRow="1" w:lastRow="0" w:firstColumn="1" w:lastColumn="0" w:noHBand="0" w:noVBand="1"/>
      </w:tblPr>
      <w:tblGrid>
        <w:gridCol w:w="1818"/>
        <w:gridCol w:w="3150"/>
        <w:gridCol w:w="4680"/>
      </w:tblGrid>
      <w:tr w:rsidR="00807D8F" w:rsidRPr="007D71CB" w14:paraId="2ED6BF9D" w14:textId="77777777" w:rsidTr="0089648A">
        <w:trPr>
          <w:tblHeader/>
        </w:trPr>
        <w:tc>
          <w:tcPr>
            <w:tcW w:w="1818" w:type="dxa"/>
            <w:tcBorders>
              <w:top w:val="double" w:sz="4" w:space="0" w:color="auto"/>
              <w:bottom w:val="triple" w:sz="4" w:space="0" w:color="auto"/>
            </w:tcBorders>
            <w:shd w:val="pct10" w:color="auto" w:fill="auto"/>
            <w:vAlign w:val="center"/>
          </w:tcPr>
          <w:p w14:paraId="279F9B2A" w14:textId="77777777" w:rsidR="00807D8F" w:rsidRPr="007D71CB" w:rsidRDefault="00807D8F" w:rsidP="001B1C5E">
            <w:pPr>
              <w:jc w:val="center"/>
              <w:rPr>
                <w:b/>
              </w:rPr>
            </w:pPr>
            <w:r w:rsidRPr="007D71CB">
              <w:rPr>
                <w:b/>
              </w:rPr>
              <w:t>Domain</w:t>
            </w:r>
          </w:p>
        </w:tc>
        <w:tc>
          <w:tcPr>
            <w:tcW w:w="3150" w:type="dxa"/>
            <w:tcBorders>
              <w:top w:val="double" w:sz="4" w:space="0" w:color="auto"/>
              <w:bottom w:val="triple" w:sz="4" w:space="0" w:color="auto"/>
            </w:tcBorders>
            <w:shd w:val="pct10" w:color="auto" w:fill="auto"/>
            <w:vAlign w:val="center"/>
          </w:tcPr>
          <w:p w14:paraId="31107406" w14:textId="77777777" w:rsidR="00807D8F" w:rsidRPr="007D71CB" w:rsidRDefault="00486C05" w:rsidP="00486C05">
            <w:pPr>
              <w:jc w:val="center"/>
              <w:rPr>
                <w:b/>
              </w:rPr>
            </w:pPr>
            <w:r w:rsidRPr="007D71CB">
              <w:rPr>
                <w:b/>
              </w:rPr>
              <w:t>Description</w:t>
            </w:r>
          </w:p>
        </w:tc>
        <w:tc>
          <w:tcPr>
            <w:tcW w:w="4680" w:type="dxa"/>
            <w:tcBorders>
              <w:top w:val="double" w:sz="4" w:space="0" w:color="auto"/>
              <w:bottom w:val="triple" w:sz="4" w:space="0" w:color="auto"/>
            </w:tcBorders>
            <w:shd w:val="pct10" w:color="auto" w:fill="auto"/>
            <w:vAlign w:val="center"/>
          </w:tcPr>
          <w:p w14:paraId="5F3FD4E2" w14:textId="77777777" w:rsidR="00807D8F" w:rsidRPr="007D71CB" w:rsidRDefault="00807D8F" w:rsidP="00A71ABA">
            <w:pPr>
              <w:jc w:val="center"/>
              <w:rPr>
                <w:b/>
              </w:rPr>
            </w:pPr>
            <w:r w:rsidRPr="007D71CB">
              <w:rPr>
                <w:b/>
              </w:rPr>
              <w:t>Application</w:t>
            </w:r>
            <w:r w:rsidR="00486C05" w:rsidRPr="007D71CB">
              <w:rPr>
                <w:b/>
              </w:rPr>
              <w:t xml:space="preserve"> to Traffic Safety</w:t>
            </w:r>
          </w:p>
        </w:tc>
      </w:tr>
      <w:tr w:rsidR="00627642" w:rsidRPr="007D71CB" w14:paraId="58718964" w14:textId="77777777" w:rsidTr="006A3A07">
        <w:trPr>
          <w:trHeight w:val="949"/>
        </w:trPr>
        <w:tc>
          <w:tcPr>
            <w:tcW w:w="9648" w:type="dxa"/>
            <w:gridSpan w:val="3"/>
            <w:tcBorders>
              <w:top w:val="double" w:sz="4" w:space="0" w:color="auto"/>
              <w:bottom w:val="double" w:sz="4" w:space="0" w:color="auto"/>
            </w:tcBorders>
            <w:shd w:val="clear" w:color="auto" w:fill="D6E3BC" w:themeFill="accent3" w:themeFillTint="66"/>
            <w:vAlign w:val="center"/>
          </w:tcPr>
          <w:p w14:paraId="7F81B7E2" w14:textId="66A47E34" w:rsidR="00627642" w:rsidRPr="007D71CB" w:rsidRDefault="00550390" w:rsidP="00FB7F86">
            <w:pPr>
              <w:jc w:val="center"/>
              <w:rPr>
                <w:b/>
                <w:sz w:val="20"/>
                <w:szCs w:val="20"/>
              </w:rPr>
            </w:pPr>
            <w:r>
              <w:rPr>
                <w:b/>
                <w:sz w:val="20"/>
                <w:szCs w:val="20"/>
              </w:rPr>
              <w:t>The Assessment of Motor and Processing Skills</w:t>
            </w:r>
          </w:p>
          <w:p w14:paraId="2E784EBE" w14:textId="70F960E4" w:rsidR="00FB7F86" w:rsidRPr="007D71CB" w:rsidRDefault="007D71CB" w:rsidP="00452CE1">
            <w:pPr>
              <w:spacing w:after="200" w:line="276" w:lineRule="auto"/>
              <w:rPr>
                <w:sz w:val="16"/>
                <w:szCs w:val="16"/>
              </w:rPr>
            </w:pPr>
            <w:r w:rsidRPr="007D71CB">
              <w:rPr>
                <w:sz w:val="20"/>
                <w:szCs w:val="20"/>
              </w:rPr>
              <w:t xml:space="preserve">The domains listed below constitute the </w:t>
            </w:r>
            <w:r w:rsidR="00550390">
              <w:rPr>
                <w:sz w:val="20"/>
                <w:szCs w:val="20"/>
              </w:rPr>
              <w:t>Assessment of Motor and Processing Skills</w:t>
            </w:r>
            <w:r w:rsidRPr="007D71CB">
              <w:rPr>
                <w:sz w:val="20"/>
                <w:szCs w:val="20"/>
              </w:rPr>
              <w:t xml:space="preserve"> (</w:t>
            </w:r>
            <w:r w:rsidR="00550390">
              <w:rPr>
                <w:sz w:val="20"/>
                <w:szCs w:val="20"/>
              </w:rPr>
              <w:t>AMPS</w:t>
            </w:r>
            <w:r w:rsidRPr="007D71CB">
              <w:rPr>
                <w:sz w:val="20"/>
                <w:szCs w:val="20"/>
              </w:rPr>
              <w:t xml:space="preserve">).  </w:t>
            </w:r>
            <w:r w:rsidR="006375C4">
              <w:rPr>
                <w:sz w:val="20"/>
                <w:szCs w:val="20"/>
              </w:rPr>
              <w:t xml:space="preserve">This scale is an observational assessment used to score an individual’s motor and process skills while completing </w:t>
            </w:r>
            <w:r w:rsidR="00452CE1">
              <w:rPr>
                <w:sz w:val="20"/>
                <w:szCs w:val="20"/>
              </w:rPr>
              <w:t xml:space="preserve">tasks involved in </w:t>
            </w:r>
            <w:r w:rsidR="006375C4">
              <w:rPr>
                <w:sz w:val="20"/>
                <w:szCs w:val="20"/>
              </w:rPr>
              <w:t xml:space="preserve">daily living.  </w:t>
            </w:r>
            <w:r w:rsidR="00BB3582">
              <w:rPr>
                <w:sz w:val="20"/>
                <w:szCs w:val="20"/>
              </w:rPr>
              <w:t>Motor skills are associated with moving objects in the environment or with moving oneself. Process skills are associated with the ability to correctly sequence necessary sub-tasks, and make choices to adapt and facilitate task completion. The AMPS</w:t>
            </w:r>
            <w:r w:rsidR="006375C4">
              <w:rPr>
                <w:sz w:val="20"/>
                <w:szCs w:val="20"/>
              </w:rPr>
              <w:t xml:space="preserve"> has been shown to effectively </w:t>
            </w:r>
            <w:r w:rsidR="00BB3582">
              <w:rPr>
                <w:sz w:val="20"/>
                <w:szCs w:val="20"/>
              </w:rPr>
              <w:t>discriminate</w:t>
            </w:r>
            <w:r w:rsidR="006375C4">
              <w:rPr>
                <w:sz w:val="20"/>
                <w:szCs w:val="20"/>
              </w:rPr>
              <w:t xml:space="preserve"> driving ability </w:t>
            </w:r>
            <w:r w:rsidR="002A0B46">
              <w:rPr>
                <w:sz w:val="20"/>
                <w:szCs w:val="20"/>
              </w:rPr>
              <w:fldChar w:fldCharType="begin"/>
            </w:r>
            <w:r w:rsidR="00BB3582">
              <w:rPr>
                <w:sz w:val="20"/>
                <w:szCs w:val="20"/>
              </w:rPr>
              <w:instrText xml:space="preserve"> ADDIN ZOTERO_ITEM CSL_CITATION {"citationID":"YhEZaTll","properties":{"formattedCitation":"(Dickerson &amp; Fisher, 1997; Dickerson, A., Reistetter, T., &amp; Trujillo, L., 2010)","plainCitation":"(Dickerson &amp; Fisher, 1997; Dickerson, A., Reistetter, T., &amp; Trujillo, L., 2010)"},"citationItems":[{"id":992,"uris":["http://zotero.org/users/2562011/items/IKBZSCJ4"],"uri":["http://zotero.org/users/2562011/items/IKBZSCJ4"],"itemData":{"id":992,"type":"article-journal","title":"Effects of familiarity of task and choice on the functional performance of younger and older adults.","container-title":"Psychology and Aging","page":"247-254","volume":"12","issue":"2","source":"EBSCOhost","archive":"pdh","archive_location":"1997-06412-005","abstract":"An experiment was conducted to compare the functional performance of younger and older adults on familiar and unfamiliar tasks under 2 conditions of perceived control. Specifically, the relation between age and motor and process skills was examined. The familiar tasks were simple cooking tasks, whereas the unfamiliar tasks were contrived, meaningless tasks developed for this study. Younger and older adults did not differ in the ratings of the familiarity of the tasks, but results from 2 Age × Task × Choice analyses of variance demonstrated a significant age difference for motor and process skills under all conditions. This suggests that older adults demonstrate age-related decline, even with activities that take motivational, experiential, and ecological validity components into account. For the process skills scale, there was also a significant main effect for choice. These results support the concept that perceived control may improve performance, but not differentially for older adults; that is, younger and older adults both demonstrated improved process performance when given their choice of tasks. (PsycINFO Database Record (c) 2013 APA, all rights reserved). (journal abstract)","DOI":"10.1037/0882-7974.12.2.247","ISSN":"0882-7974","journalAbbreviation":"Psychology and Aging","author":[{"family":"Dickerson","given":"Anne E."},{"family":"Fisher","given":"Anne G."}],"issued":{"date-parts":[["1997",6]]}}},{"id":994,"uris":["http://zotero.org/users/2562011/items/MP5M3529"],"uri":["http://zotero.org/users/2562011/items/MP5M3529"],"itemData":{"id":994,"type":"article-journal","title":"Using an IADL Assessment to Identify Older Adults Who Need a Behind-the-Wheel Driving Evaluation","container-title":"Journal of Applied Gerontology","page":"494-506","volume":"29","issue":"4","author":[{"literal":"Dickerson, A."},{"literal":"Reistetter, T."},{"literal":"Trujillo, L."}],"issued":{"date-parts":[["2010"]]}}}],"schema":"https://github.com/citation-style-language/schema/raw/master/csl-citation.json"} </w:instrText>
            </w:r>
            <w:r w:rsidR="002A0B46">
              <w:rPr>
                <w:sz w:val="20"/>
                <w:szCs w:val="20"/>
              </w:rPr>
              <w:fldChar w:fldCharType="separate"/>
            </w:r>
            <w:r w:rsidR="00BB3582">
              <w:rPr>
                <w:noProof/>
                <w:sz w:val="20"/>
                <w:szCs w:val="20"/>
              </w:rPr>
              <w:t>(Dickerson &amp; Fisher, 1997; Dickerson, A., Reistetter, T., &amp; Trujillo, L., 2010)</w:t>
            </w:r>
            <w:r w:rsidR="002A0B46">
              <w:rPr>
                <w:sz w:val="20"/>
                <w:szCs w:val="20"/>
              </w:rPr>
              <w:fldChar w:fldCharType="end"/>
            </w:r>
            <w:r w:rsidR="002A0B46">
              <w:rPr>
                <w:sz w:val="20"/>
                <w:szCs w:val="20"/>
              </w:rPr>
              <w:t>.</w:t>
            </w:r>
            <w:r w:rsidR="006375C4">
              <w:rPr>
                <w:sz w:val="20"/>
                <w:szCs w:val="20"/>
              </w:rPr>
              <w:t xml:space="preserve"> </w:t>
            </w:r>
          </w:p>
        </w:tc>
      </w:tr>
      <w:tr w:rsidR="00807D8F" w:rsidRPr="007D71CB" w14:paraId="724EBF25" w14:textId="77777777" w:rsidTr="006A3A07">
        <w:tc>
          <w:tcPr>
            <w:tcW w:w="1818" w:type="dxa"/>
            <w:tcBorders>
              <w:top w:val="double" w:sz="4" w:space="0" w:color="auto"/>
              <w:bottom w:val="single" w:sz="4" w:space="0" w:color="auto"/>
            </w:tcBorders>
            <w:vAlign w:val="center"/>
          </w:tcPr>
          <w:p w14:paraId="16B0AE47" w14:textId="28A3E5B5" w:rsidR="00807D8F" w:rsidRPr="0089648A" w:rsidRDefault="00BB3582" w:rsidP="007D5D09">
            <w:pPr>
              <w:rPr>
                <w:sz w:val="20"/>
                <w:szCs w:val="20"/>
              </w:rPr>
            </w:pPr>
            <w:r>
              <w:rPr>
                <w:rFonts w:cs="Arial"/>
                <w:sz w:val="20"/>
                <w:szCs w:val="20"/>
              </w:rPr>
              <w:t>Motor Skills</w:t>
            </w:r>
          </w:p>
        </w:tc>
        <w:tc>
          <w:tcPr>
            <w:tcW w:w="3150" w:type="dxa"/>
            <w:tcBorders>
              <w:top w:val="double" w:sz="4" w:space="0" w:color="auto"/>
            </w:tcBorders>
            <w:vAlign w:val="center"/>
          </w:tcPr>
          <w:p w14:paraId="131A9151" w14:textId="0AC85E50" w:rsidR="00807D8F" w:rsidRPr="0089648A" w:rsidRDefault="00BB3582" w:rsidP="00486C05">
            <w:pPr>
              <w:rPr>
                <w:sz w:val="20"/>
                <w:szCs w:val="20"/>
              </w:rPr>
            </w:pPr>
            <w:r>
              <w:rPr>
                <w:sz w:val="20"/>
                <w:szCs w:val="20"/>
              </w:rPr>
              <w:t xml:space="preserve">Skills associated with </w:t>
            </w:r>
            <w:r w:rsidR="00E51F0E">
              <w:rPr>
                <w:sz w:val="20"/>
                <w:szCs w:val="20"/>
              </w:rPr>
              <w:t>movement.  These include posture, mobility, coordination, strength and effort, and energy.</w:t>
            </w:r>
          </w:p>
        </w:tc>
        <w:tc>
          <w:tcPr>
            <w:tcW w:w="4680" w:type="dxa"/>
            <w:tcBorders>
              <w:top w:val="double" w:sz="4" w:space="0" w:color="auto"/>
            </w:tcBorders>
            <w:vAlign w:val="center"/>
          </w:tcPr>
          <w:p w14:paraId="7D459AC0" w14:textId="43E35F0C" w:rsidR="00807D8F" w:rsidRPr="0089648A" w:rsidRDefault="007D71CB" w:rsidP="00E51F0E">
            <w:pPr>
              <w:rPr>
                <w:sz w:val="20"/>
                <w:szCs w:val="20"/>
              </w:rPr>
            </w:pPr>
            <w:r w:rsidRPr="0089648A">
              <w:rPr>
                <w:sz w:val="20"/>
                <w:szCs w:val="20"/>
              </w:rPr>
              <w:t xml:space="preserve">Allows a driver to </w:t>
            </w:r>
            <w:r w:rsidR="00E51F0E">
              <w:rPr>
                <w:sz w:val="20"/>
                <w:szCs w:val="20"/>
              </w:rPr>
              <w:t xml:space="preserve">effectively move within the vehicle, scan the roadway (front, side and rear) for hazards, exert control input actions, and react to traffic conditions as they emerge. </w:t>
            </w:r>
          </w:p>
        </w:tc>
      </w:tr>
      <w:tr w:rsidR="00807D8F" w:rsidRPr="007D71CB" w14:paraId="64FF266B" w14:textId="77777777" w:rsidTr="006A3A07">
        <w:tc>
          <w:tcPr>
            <w:tcW w:w="1818" w:type="dxa"/>
            <w:tcBorders>
              <w:bottom w:val="single" w:sz="4" w:space="0" w:color="auto"/>
            </w:tcBorders>
            <w:shd w:val="clear" w:color="auto" w:fill="auto"/>
            <w:vAlign w:val="center"/>
          </w:tcPr>
          <w:p w14:paraId="5207D0F9" w14:textId="55BF1305" w:rsidR="00807D8F" w:rsidRPr="0089648A" w:rsidRDefault="004F7833" w:rsidP="007D5D09">
            <w:pPr>
              <w:rPr>
                <w:sz w:val="20"/>
                <w:szCs w:val="20"/>
              </w:rPr>
            </w:pPr>
            <w:r>
              <w:rPr>
                <w:sz w:val="20"/>
                <w:szCs w:val="20"/>
              </w:rPr>
              <w:t>Process Skills</w:t>
            </w:r>
          </w:p>
        </w:tc>
        <w:tc>
          <w:tcPr>
            <w:tcW w:w="3150" w:type="dxa"/>
            <w:tcBorders>
              <w:bottom w:val="single" w:sz="4" w:space="0" w:color="auto"/>
            </w:tcBorders>
            <w:vAlign w:val="center"/>
          </w:tcPr>
          <w:p w14:paraId="10E8B4E8" w14:textId="25FC901A" w:rsidR="00807D8F" w:rsidRPr="0089648A" w:rsidRDefault="004F7833" w:rsidP="007D5D09">
            <w:pPr>
              <w:rPr>
                <w:sz w:val="20"/>
                <w:szCs w:val="20"/>
              </w:rPr>
            </w:pPr>
            <w:r>
              <w:rPr>
                <w:sz w:val="20"/>
                <w:szCs w:val="20"/>
              </w:rPr>
              <w:t>Skills associated with choice, facilitation, and task completion.  These include energy, using knowledge, temporal organization, space and objects, and adaptation.</w:t>
            </w:r>
          </w:p>
        </w:tc>
        <w:tc>
          <w:tcPr>
            <w:tcW w:w="4680" w:type="dxa"/>
            <w:tcBorders>
              <w:bottom w:val="single" w:sz="4" w:space="0" w:color="auto"/>
            </w:tcBorders>
            <w:vAlign w:val="center"/>
          </w:tcPr>
          <w:p w14:paraId="4A70D098" w14:textId="21C60780" w:rsidR="00807D8F" w:rsidRPr="0089648A" w:rsidRDefault="00C807F1" w:rsidP="004F7833">
            <w:pPr>
              <w:rPr>
                <w:sz w:val="20"/>
                <w:szCs w:val="20"/>
              </w:rPr>
            </w:pPr>
            <w:r w:rsidRPr="0089648A">
              <w:rPr>
                <w:sz w:val="20"/>
                <w:szCs w:val="20"/>
              </w:rPr>
              <w:t xml:space="preserve">Supports </w:t>
            </w:r>
            <w:r w:rsidR="004F7833">
              <w:rPr>
                <w:sz w:val="20"/>
                <w:szCs w:val="20"/>
              </w:rPr>
              <w:t>completion of advanced driving tasks including navigation tasks, changing lanes, traffic monitoring, and planning routes.</w:t>
            </w:r>
          </w:p>
        </w:tc>
      </w:tr>
    </w:tbl>
    <w:p w14:paraId="0E740605" w14:textId="77777777" w:rsidR="001A4DD1" w:rsidRDefault="001A4DD1" w:rsidP="006A3A07"/>
    <w:p w14:paraId="4FD505DB" w14:textId="76FC9CD6" w:rsidR="00452CE1" w:rsidRDefault="00452CE1">
      <w:r>
        <w:br w:type="page"/>
      </w:r>
    </w:p>
    <w:p w14:paraId="5419BE65" w14:textId="77777777" w:rsidR="003D2A72" w:rsidRDefault="003D2A72" w:rsidP="006A3A07"/>
    <w:tbl>
      <w:tblPr>
        <w:tblStyle w:val="TableGrid"/>
        <w:tblW w:w="9648" w:type="dxa"/>
        <w:tblLayout w:type="fixed"/>
        <w:tblLook w:val="04A0" w:firstRow="1" w:lastRow="0" w:firstColumn="1" w:lastColumn="0" w:noHBand="0" w:noVBand="1"/>
      </w:tblPr>
      <w:tblGrid>
        <w:gridCol w:w="1818"/>
        <w:gridCol w:w="3150"/>
        <w:gridCol w:w="4680"/>
      </w:tblGrid>
      <w:tr w:rsidR="0089648A" w:rsidRPr="007D71CB" w14:paraId="311159CF" w14:textId="77777777" w:rsidTr="008E7E67">
        <w:trPr>
          <w:tblHeader/>
        </w:trPr>
        <w:tc>
          <w:tcPr>
            <w:tcW w:w="1818" w:type="dxa"/>
            <w:tcBorders>
              <w:top w:val="double" w:sz="4" w:space="0" w:color="auto"/>
              <w:bottom w:val="triple" w:sz="4" w:space="0" w:color="auto"/>
            </w:tcBorders>
            <w:shd w:val="pct10" w:color="auto" w:fill="auto"/>
            <w:vAlign w:val="center"/>
          </w:tcPr>
          <w:p w14:paraId="1417B8D3" w14:textId="77777777" w:rsidR="0089648A" w:rsidRPr="007D71CB" w:rsidRDefault="0089648A" w:rsidP="00550390">
            <w:pPr>
              <w:jc w:val="center"/>
              <w:rPr>
                <w:b/>
              </w:rPr>
            </w:pPr>
            <w:r w:rsidRPr="007D71CB">
              <w:rPr>
                <w:b/>
              </w:rPr>
              <w:t>Domain</w:t>
            </w:r>
          </w:p>
        </w:tc>
        <w:tc>
          <w:tcPr>
            <w:tcW w:w="3150" w:type="dxa"/>
            <w:tcBorders>
              <w:top w:val="double" w:sz="4" w:space="0" w:color="auto"/>
              <w:bottom w:val="triple" w:sz="4" w:space="0" w:color="auto"/>
            </w:tcBorders>
            <w:shd w:val="pct10" w:color="auto" w:fill="auto"/>
            <w:vAlign w:val="center"/>
          </w:tcPr>
          <w:p w14:paraId="6D1A234F" w14:textId="77777777" w:rsidR="0089648A" w:rsidRPr="007D71CB" w:rsidRDefault="0089648A" w:rsidP="00550390">
            <w:pPr>
              <w:jc w:val="center"/>
              <w:rPr>
                <w:b/>
              </w:rPr>
            </w:pPr>
            <w:r w:rsidRPr="007D71CB">
              <w:rPr>
                <w:b/>
              </w:rPr>
              <w:t>Description</w:t>
            </w:r>
          </w:p>
        </w:tc>
        <w:tc>
          <w:tcPr>
            <w:tcW w:w="4680" w:type="dxa"/>
            <w:tcBorders>
              <w:top w:val="double" w:sz="4" w:space="0" w:color="auto"/>
              <w:bottom w:val="triple" w:sz="4" w:space="0" w:color="auto"/>
            </w:tcBorders>
            <w:shd w:val="pct10" w:color="auto" w:fill="auto"/>
            <w:vAlign w:val="center"/>
          </w:tcPr>
          <w:p w14:paraId="1EC9716E" w14:textId="77777777" w:rsidR="0089648A" w:rsidRPr="007D71CB" w:rsidRDefault="0089648A" w:rsidP="00550390">
            <w:pPr>
              <w:jc w:val="center"/>
              <w:rPr>
                <w:b/>
              </w:rPr>
            </w:pPr>
            <w:r w:rsidRPr="007D71CB">
              <w:rPr>
                <w:b/>
              </w:rPr>
              <w:t>Application to Traffic Safety</w:t>
            </w:r>
          </w:p>
        </w:tc>
      </w:tr>
      <w:tr w:rsidR="0089648A" w:rsidRPr="007D71CB" w14:paraId="395DD5F4" w14:textId="77777777" w:rsidTr="00550390">
        <w:trPr>
          <w:trHeight w:val="949"/>
        </w:trPr>
        <w:tc>
          <w:tcPr>
            <w:tcW w:w="9648" w:type="dxa"/>
            <w:gridSpan w:val="3"/>
            <w:tcBorders>
              <w:top w:val="double" w:sz="4" w:space="0" w:color="auto"/>
              <w:bottom w:val="double" w:sz="4" w:space="0" w:color="auto"/>
            </w:tcBorders>
            <w:shd w:val="clear" w:color="auto" w:fill="D6E3BC" w:themeFill="accent3" w:themeFillTint="66"/>
            <w:vAlign w:val="center"/>
          </w:tcPr>
          <w:p w14:paraId="2E20B268" w14:textId="05F49D64" w:rsidR="00820DC6" w:rsidRPr="00DB24CD" w:rsidRDefault="00DB24CD" w:rsidP="00DB24CD">
            <w:pPr>
              <w:autoSpaceDE w:val="0"/>
              <w:autoSpaceDN w:val="0"/>
              <w:adjustRightInd w:val="0"/>
              <w:jc w:val="center"/>
              <w:rPr>
                <w:b/>
                <w:sz w:val="20"/>
                <w:szCs w:val="20"/>
              </w:rPr>
            </w:pPr>
            <w:r w:rsidRPr="00DB24CD">
              <w:rPr>
                <w:b/>
                <w:sz w:val="20"/>
                <w:szCs w:val="20"/>
              </w:rPr>
              <w:t>The Miller Road Test</w:t>
            </w:r>
          </w:p>
          <w:p w14:paraId="01AF33AB" w14:textId="4796FBD0" w:rsidR="003D2A72" w:rsidRPr="00820DC6" w:rsidRDefault="00820DC6" w:rsidP="00DB24CD">
            <w:pPr>
              <w:autoSpaceDE w:val="0"/>
              <w:autoSpaceDN w:val="0"/>
              <w:adjustRightInd w:val="0"/>
              <w:rPr>
                <w:sz w:val="20"/>
                <w:szCs w:val="20"/>
              </w:rPr>
            </w:pPr>
            <w:r w:rsidRPr="00820DC6">
              <w:rPr>
                <w:sz w:val="20"/>
                <w:szCs w:val="20"/>
              </w:rPr>
              <w:t>The Miller Road Test (</w:t>
            </w:r>
            <w:proofErr w:type="spellStart"/>
            <w:r w:rsidRPr="00820DC6">
              <w:rPr>
                <w:sz w:val="20"/>
                <w:szCs w:val="20"/>
              </w:rPr>
              <w:t>Carr</w:t>
            </w:r>
            <w:proofErr w:type="spellEnd"/>
            <w:r w:rsidRPr="00820DC6">
              <w:rPr>
                <w:sz w:val="20"/>
                <w:szCs w:val="20"/>
              </w:rPr>
              <w:t>, Jackson, Madden, &amp; Cohen, 1992) is a standardized driving assessment tool that is utilized to score</w:t>
            </w:r>
            <w:r w:rsidR="00117C2D">
              <w:rPr>
                <w:sz w:val="20"/>
                <w:szCs w:val="20"/>
              </w:rPr>
              <w:t xml:space="preserve"> driving errors and</w:t>
            </w:r>
            <w:r w:rsidRPr="00820DC6">
              <w:rPr>
                <w:sz w:val="20"/>
                <w:szCs w:val="20"/>
              </w:rPr>
              <w:t xml:space="preserve"> driving ability on the open roadway</w:t>
            </w:r>
            <w:r w:rsidR="00DB24CD">
              <w:rPr>
                <w:sz w:val="20"/>
                <w:szCs w:val="20"/>
              </w:rPr>
              <w:t xml:space="preserve"> in live traffic</w:t>
            </w:r>
            <w:r w:rsidRPr="00820DC6">
              <w:rPr>
                <w:sz w:val="20"/>
                <w:szCs w:val="20"/>
              </w:rPr>
              <w:t xml:space="preserve">. </w:t>
            </w:r>
          </w:p>
        </w:tc>
      </w:tr>
      <w:tr w:rsidR="0089648A" w:rsidRPr="0089648A" w14:paraId="5404282A" w14:textId="77777777" w:rsidTr="008E7E67">
        <w:tc>
          <w:tcPr>
            <w:tcW w:w="1818" w:type="dxa"/>
            <w:tcBorders>
              <w:top w:val="double" w:sz="4" w:space="0" w:color="auto"/>
              <w:bottom w:val="double" w:sz="4" w:space="0" w:color="auto"/>
            </w:tcBorders>
            <w:vAlign w:val="center"/>
          </w:tcPr>
          <w:p w14:paraId="5FE5B946" w14:textId="54199C58" w:rsidR="0089648A" w:rsidRPr="0089648A" w:rsidRDefault="00820DC6" w:rsidP="00550390">
            <w:pPr>
              <w:rPr>
                <w:sz w:val="20"/>
                <w:szCs w:val="20"/>
              </w:rPr>
            </w:pPr>
            <w:r>
              <w:rPr>
                <w:sz w:val="20"/>
                <w:szCs w:val="20"/>
              </w:rPr>
              <w:t>Driving Skills</w:t>
            </w:r>
          </w:p>
        </w:tc>
        <w:tc>
          <w:tcPr>
            <w:tcW w:w="3150" w:type="dxa"/>
            <w:tcBorders>
              <w:top w:val="double" w:sz="4" w:space="0" w:color="auto"/>
              <w:bottom w:val="double" w:sz="4" w:space="0" w:color="auto"/>
            </w:tcBorders>
            <w:vAlign w:val="center"/>
          </w:tcPr>
          <w:p w14:paraId="0B0195CA" w14:textId="22C3D40E" w:rsidR="0089648A" w:rsidRPr="0089648A" w:rsidRDefault="00DB24CD" w:rsidP="00117C2D">
            <w:pPr>
              <w:autoSpaceDE w:val="0"/>
              <w:autoSpaceDN w:val="0"/>
              <w:adjustRightInd w:val="0"/>
              <w:rPr>
                <w:sz w:val="20"/>
                <w:szCs w:val="20"/>
              </w:rPr>
            </w:pPr>
            <w:r w:rsidRPr="00820DC6">
              <w:rPr>
                <w:sz w:val="20"/>
                <w:szCs w:val="20"/>
              </w:rPr>
              <w:t>The participant is scored on his or h</w:t>
            </w:r>
            <w:r>
              <w:rPr>
                <w:sz w:val="20"/>
                <w:szCs w:val="20"/>
              </w:rPr>
              <w:t>er driving skills which include, h</w:t>
            </w:r>
            <w:r w:rsidRPr="00820DC6">
              <w:rPr>
                <w:sz w:val="20"/>
                <w:szCs w:val="20"/>
              </w:rPr>
              <w:t>azardous driving behaviors (e.g., running stop signs or cutting off other drivers);</w:t>
            </w:r>
            <w:r>
              <w:rPr>
                <w:sz w:val="20"/>
                <w:szCs w:val="20"/>
              </w:rPr>
              <w:t xml:space="preserve"> d</w:t>
            </w:r>
            <w:r w:rsidRPr="00820DC6">
              <w:rPr>
                <w:sz w:val="20"/>
                <w:szCs w:val="20"/>
              </w:rPr>
              <w:t>riving substantially over or under the posted speed, slowing or stopping at inappropriate times or locations;</w:t>
            </w:r>
            <w:r>
              <w:rPr>
                <w:sz w:val="20"/>
                <w:szCs w:val="20"/>
              </w:rPr>
              <w:t xml:space="preserve"> a</w:t>
            </w:r>
            <w:r w:rsidRPr="00820DC6">
              <w:rPr>
                <w:sz w:val="20"/>
                <w:szCs w:val="20"/>
              </w:rPr>
              <w:t>ccelerating and braking smoothly;</w:t>
            </w:r>
            <w:r>
              <w:rPr>
                <w:sz w:val="20"/>
                <w:szCs w:val="20"/>
              </w:rPr>
              <w:t xml:space="preserve"> m</w:t>
            </w:r>
            <w:r w:rsidRPr="00820DC6">
              <w:rPr>
                <w:sz w:val="20"/>
                <w:szCs w:val="20"/>
              </w:rPr>
              <w:t>aintaining appropriate lane position;</w:t>
            </w:r>
            <w:r>
              <w:rPr>
                <w:sz w:val="20"/>
                <w:szCs w:val="20"/>
              </w:rPr>
              <w:t xml:space="preserve"> s</w:t>
            </w:r>
            <w:r w:rsidRPr="00820DC6">
              <w:rPr>
                <w:sz w:val="20"/>
                <w:szCs w:val="20"/>
              </w:rPr>
              <w:t>ignaling turns;</w:t>
            </w:r>
            <w:r>
              <w:rPr>
                <w:sz w:val="20"/>
                <w:szCs w:val="20"/>
              </w:rPr>
              <w:t xml:space="preserve"> </w:t>
            </w:r>
            <w:r w:rsidRPr="00820DC6">
              <w:rPr>
                <w:sz w:val="20"/>
                <w:szCs w:val="20"/>
              </w:rPr>
              <w:t>Turning into the proper lane;</w:t>
            </w:r>
            <w:r>
              <w:rPr>
                <w:sz w:val="20"/>
                <w:szCs w:val="20"/>
              </w:rPr>
              <w:t xml:space="preserve"> m</w:t>
            </w:r>
            <w:r w:rsidRPr="00820DC6">
              <w:rPr>
                <w:sz w:val="20"/>
                <w:szCs w:val="20"/>
              </w:rPr>
              <w:t>anaging lane changes;</w:t>
            </w:r>
            <w:r>
              <w:rPr>
                <w:sz w:val="20"/>
                <w:szCs w:val="20"/>
              </w:rPr>
              <w:t xml:space="preserve"> g</w:t>
            </w:r>
            <w:r w:rsidRPr="00820DC6">
              <w:rPr>
                <w:sz w:val="20"/>
                <w:szCs w:val="20"/>
              </w:rPr>
              <w:t>ap selection when turning across traffic;</w:t>
            </w:r>
            <w:r>
              <w:rPr>
                <w:sz w:val="20"/>
                <w:szCs w:val="20"/>
              </w:rPr>
              <w:t xml:space="preserve"> i</w:t>
            </w:r>
            <w:r w:rsidRPr="00820DC6">
              <w:rPr>
                <w:sz w:val="20"/>
                <w:szCs w:val="20"/>
              </w:rPr>
              <w:t>ntersection navigation and performance at other decision points;</w:t>
            </w:r>
            <w:r>
              <w:rPr>
                <w:sz w:val="20"/>
                <w:szCs w:val="20"/>
              </w:rPr>
              <w:t xml:space="preserve"> b</w:t>
            </w:r>
            <w:r w:rsidRPr="00820DC6">
              <w:rPr>
                <w:sz w:val="20"/>
                <w:szCs w:val="20"/>
              </w:rPr>
              <w:t>lind spot checks when merging or changing lanes</w:t>
            </w:r>
            <w:r w:rsidR="00117C2D">
              <w:rPr>
                <w:sz w:val="20"/>
                <w:szCs w:val="20"/>
              </w:rPr>
              <w:t>.</w:t>
            </w:r>
          </w:p>
        </w:tc>
        <w:tc>
          <w:tcPr>
            <w:tcW w:w="4680" w:type="dxa"/>
            <w:tcBorders>
              <w:top w:val="double" w:sz="4" w:space="0" w:color="auto"/>
              <w:bottom w:val="double" w:sz="4" w:space="0" w:color="auto"/>
            </w:tcBorders>
            <w:vAlign w:val="center"/>
          </w:tcPr>
          <w:p w14:paraId="56DC1450" w14:textId="0E8B78B6" w:rsidR="0089648A" w:rsidRPr="0089648A" w:rsidRDefault="002B5247" w:rsidP="002B5247">
            <w:pPr>
              <w:rPr>
                <w:sz w:val="20"/>
                <w:szCs w:val="20"/>
              </w:rPr>
            </w:pPr>
            <w:r>
              <w:rPr>
                <w:sz w:val="20"/>
                <w:szCs w:val="20"/>
              </w:rPr>
              <w:t>This is the d</w:t>
            </w:r>
            <w:r w:rsidR="00DB24CD">
              <w:rPr>
                <w:sz w:val="20"/>
                <w:szCs w:val="20"/>
              </w:rPr>
              <w:t>irect observation and measurement of an individual’s ability to drive safely.</w:t>
            </w:r>
            <w:r w:rsidR="00F92E95">
              <w:rPr>
                <w:sz w:val="20"/>
                <w:szCs w:val="20"/>
              </w:rPr>
              <w:t xml:space="preserve"> </w:t>
            </w:r>
          </w:p>
        </w:tc>
      </w:tr>
    </w:tbl>
    <w:p w14:paraId="27A0C34D" w14:textId="77777777" w:rsidR="0089648A" w:rsidRDefault="0089648A" w:rsidP="006A3A07"/>
    <w:p w14:paraId="71B09395" w14:textId="73224D19" w:rsidR="003D2A72" w:rsidRDefault="003D2A72" w:rsidP="006A3A07">
      <w:r>
        <w:tab/>
      </w:r>
    </w:p>
    <w:tbl>
      <w:tblPr>
        <w:tblStyle w:val="TableGrid"/>
        <w:tblW w:w="9648" w:type="dxa"/>
        <w:tblLayout w:type="fixed"/>
        <w:tblLook w:val="04A0" w:firstRow="1" w:lastRow="0" w:firstColumn="1" w:lastColumn="0" w:noHBand="0" w:noVBand="1"/>
      </w:tblPr>
      <w:tblGrid>
        <w:gridCol w:w="1818"/>
        <w:gridCol w:w="3150"/>
        <w:gridCol w:w="4680"/>
      </w:tblGrid>
      <w:tr w:rsidR="003D2A72" w:rsidRPr="007D71CB" w14:paraId="244122FB" w14:textId="77777777" w:rsidTr="00347055">
        <w:trPr>
          <w:tblHeader/>
        </w:trPr>
        <w:tc>
          <w:tcPr>
            <w:tcW w:w="1818" w:type="dxa"/>
            <w:tcBorders>
              <w:top w:val="double" w:sz="4" w:space="0" w:color="auto"/>
              <w:bottom w:val="triple" w:sz="4" w:space="0" w:color="auto"/>
            </w:tcBorders>
            <w:shd w:val="pct10" w:color="auto" w:fill="auto"/>
            <w:vAlign w:val="center"/>
          </w:tcPr>
          <w:p w14:paraId="6075629F" w14:textId="77777777" w:rsidR="003D2A72" w:rsidRPr="007D71CB" w:rsidRDefault="003D2A72" w:rsidP="00347055">
            <w:pPr>
              <w:jc w:val="center"/>
              <w:rPr>
                <w:b/>
              </w:rPr>
            </w:pPr>
            <w:r w:rsidRPr="007D71CB">
              <w:rPr>
                <w:b/>
              </w:rPr>
              <w:t>Domain</w:t>
            </w:r>
          </w:p>
        </w:tc>
        <w:tc>
          <w:tcPr>
            <w:tcW w:w="3150" w:type="dxa"/>
            <w:tcBorders>
              <w:top w:val="double" w:sz="4" w:space="0" w:color="auto"/>
              <w:bottom w:val="triple" w:sz="4" w:space="0" w:color="auto"/>
            </w:tcBorders>
            <w:shd w:val="pct10" w:color="auto" w:fill="auto"/>
            <w:vAlign w:val="center"/>
          </w:tcPr>
          <w:p w14:paraId="12554FB2" w14:textId="77777777" w:rsidR="003D2A72" w:rsidRPr="007D71CB" w:rsidRDefault="003D2A72" w:rsidP="00347055">
            <w:pPr>
              <w:jc w:val="center"/>
              <w:rPr>
                <w:b/>
              </w:rPr>
            </w:pPr>
            <w:r w:rsidRPr="007D71CB">
              <w:rPr>
                <w:b/>
              </w:rPr>
              <w:t>Description</w:t>
            </w:r>
          </w:p>
        </w:tc>
        <w:tc>
          <w:tcPr>
            <w:tcW w:w="4680" w:type="dxa"/>
            <w:tcBorders>
              <w:top w:val="double" w:sz="4" w:space="0" w:color="auto"/>
              <w:bottom w:val="triple" w:sz="4" w:space="0" w:color="auto"/>
            </w:tcBorders>
            <w:shd w:val="pct10" w:color="auto" w:fill="auto"/>
            <w:vAlign w:val="center"/>
          </w:tcPr>
          <w:p w14:paraId="6DDF22A6" w14:textId="77777777" w:rsidR="003D2A72" w:rsidRPr="007D71CB" w:rsidRDefault="003D2A72" w:rsidP="00347055">
            <w:pPr>
              <w:jc w:val="center"/>
              <w:rPr>
                <w:b/>
              </w:rPr>
            </w:pPr>
            <w:r w:rsidRPr="007D71CB">
              <w:rPr>
                <w:b/>
              </w:rPr>
              <w:t>Application to Traffic Safety</w:t>
            </w:r>
          </w:p>
        </w:tc>
      </w:tr>
      <w:tr w:rsidR="003D2A72" w:rsidRPr="007D71CB" w14:paraId="34FAFA5D" w14:textId="77777777" w:rsidTr="00347055">
        <w:trPr>
          <w:trHeight w:val="949"/>
        </w:trPr>
        <w:tc>
          <w:tcPr>
            <w:tcW w:w="9648" w:type="dxa"/>
            <w:gridSpan w:val="3"/>
            <w:tcBorders>
              <w:top w:val="double" w:sz="4" w:space="0" w:color="auto"/>
              <w:bottom w:val="double" w:sz="4" w:space="0" w:color="auto"/>
            </w:tcBorders>
            <w:shd w:val="clear" w:color="auto" w:fill="D6E3BC" w:themeFill="accent3" w:themeFillTint="66"/>
            <w:vAlign w:val="center"/>
          </w:tcPr>
          <w:p w14:paraId="71E7C794" w14:textId="1A3073BE" w:rsidR="003D2A72" w:rsidRDefault="003D2A72" w:rsidP="00347055">
            <w:pPr>
              <w:jc w:val="center"/>
              <w:rPr>
                <w:b/>
                <w:sz w:val="20"/>
                <w:szCs w:val="20"/>
              </w:rPr>
            </w:pPr>
            <w:r>
              <w:rPr>
                <w:b/>
                <w:sz w:val="20"/>
                <w:szCs w:val="20"/>
              </w:rPr>
              <w:t>Destination Entry Task</w:t>
            </w:r>
          </w:p>
          <w:p w14:paraId="63E07525" w14:textId="74C5073A" w:rsidR="003D2A72" w:rsidRPr="000A39E4" w:rsidRDefault="001E1AA4" w:rsidP="00986209">
            <w:pPr>
              <w:rPr>
                <w:b/>
                <w:sz w:val="20"/>
                <w:szCs w:val="20"/>
              </w:rPr>
            </w:pPr>
            <w:r w:rsidRPr="001E1AA4">
              <w:rPr>
                <w:sz w:val="20"/>
                <w:szCs w:val="20"/>
              </w:rPr>
              <w:t>This task was created for the current study. It involves the participant entering three addresses into the ENS.</w:t>
            </w:r>
          </w:p>
        </w:tc>
      </w:tr>
      <w:tr w:rsidR="00347055" w14:paraId="4B65F53B" w14:textId="77777777" w:rsidTr="002B5247">
        <w:tc>
          <w:tcPr>
            <w:tcW w:w="1818" w:type="dxa"/>
            <w:vAlign w:val="center"/>
          </w:tcPr>
          <w:p w14:paraId="7445E98A" w14:textId="7F9D6AFE" w:rsidR="00347055" w:rsidRPr="002B5247" w:rsidRDefault="00347055" w:rsidP="00347055">
            <w:pPr>
              <w:rPr>
                <w:sz w:val="20"/>
                <w:szCs w:val="20"/>
              </w:rPr>
            </w:pPr>
            <w:r w:rsidRPr="002B5247">
              <w:rPr>
                <w:sz w:val="20"/>
                <w:szCs w:val="20"/>
              </w:rPr>
              <w:t>Motor and Process Skills.</w:t>
            </w:r>
          </w:p>
        </w:tc>
        <w:tc>
          <w:tcPr>
            <w:tcW w:w="3150" w:type="dxa"/>
          </w:tcPr>
          <w:p w14:paraId="0471FDF2" w14:textId="35E6F5DD" w:rsidR="0060652A" w:rsidRPr="002B5247" w:rsidRDefault="00347055" w:rsidP="00347055">
            <w:pPr>
              <w:rPr>
                <w:sz w:val="20"/>
                <w:szCs w:val="20"/>
              </w:rPr>
            </w:pPr>
            <w:r w:rsidRPr="002B5247">
              <w:rPr>
                <w:sz w:val="20"/>
                <w:szCs w:val="20"/>
              </w:rPr>
              <w:t xml:space="preserve">For each </w:t>
            </w:r>
            <w:r w:rsidR="001E1AA4" w:rsidRPr="002B5247">
              <w:rPr>
                <w:sz w:val="20"/>
                <w:szCs w:val="20"/>
              </w:rPr>
              <w:t xml:space="preserve">address </w:t>
            </w:r>
            <w:r w:rsidRPr="002B5247">
              <w:rPr>
                <w:sz w:val="20"/>
                <w:szCs w:val="20"/>
              </w:rPr>
              <w:t>entry task</w:t>
            </w:r>
            <w:r w:rsidR="00F92E95">
              <w:rPr>
                <w:sz w:val="20"/>
                <w:szCs w:val="20"/>
              </w:rPr>
              <w:t>,</w:t>
            </w:r>
            <w:r w:rsidR="001E1AA4" w:rsidRPr="002B5247">
              <w:rPr>
                <w:sz w:val="20"/>
                <w:szCs w:val="20"/>
              </w:rPr>
              <w:t xml:space="preserve"> researchers code</w:t>
            </w:r>
            <w:r w:rsidRPr="002B5247">
              <w:rPr>
                <w:sz w:val="20"/>
                <w:szCs w:val="20"/>
              </w:rPr>
              <w:t xml:space="preserve"> the time</w:t>
            </w:r>
            <w:r w:rsidR="001E1AA4" w:rsidRPr="002B5247">
              <w:rPr>
                <w:sz w:val="20"/>
                <w:szCs w:val="20"/>
              </w:rPr>
              <w:t xml:space="preserve"> to complete the task</w:t>
            </w:r>
            <w:r w:rsidRPr="002B5247">
              <w:rPr>
                <w:sz w:val="20"/>
                <w:szCs w:val="20"/>
              </w:rPr>
              <w:t xml:space="preserve">, number of </w:t>
            </w:r>
            <w:r w:rsidR="001E1AA4" w:rsidRPr="002B5247">
              <w:rPr>
                <w:sz w:val="20"/>
                <w:szCs w:val="20"/>
              </w:rPr>
              <w:t>screen touches</w:t>
            </w:r>
            <w:r w:rsidRPr="002B5247">
              <w:rPr>
                <w:sz w:val="20"/>
                <w:szCs w:val="20"/>
              </w:rPr>
              <w:t xml:space="preserve">, </w:t>
            </w:r>
            <w:r w:rsidR="001E1AA4" w:rsidRPr="002B5247">
              <w:rPr>
                <w:sz w:val="20"/>
                <w:szCs w:val="20"/>
              </w:rPr>
              <w:t xml:space="preserve">and number </w:t>
            </w:r>
            <w:r w:rsidR="00F92E95">
              <w:rPr>
                <w:sz w:val="20"/>
                <w:szCs w:val="20"/>
              </w:rPr>
              <w:t xml:space="preserve">and type </w:t>
            </w:r>
            <w:r w:rsidR="001E1AA4" w:rsidRPr="002B5247">
              <w:rPr>
                <w:sz w:val="20"/>
                <w:szCs w:val="20"/>
              </w:rPr>
              <w:t>of</w:t>
            </w:r>
            <w:r w:rsidRPr="002B5247">
              <w:rPr>
                <w:sz w:val="20"/>
                <w:szCs w:val="20"/>
              </w:rPr>
              <w:t xml:space="preserve"> error</w:t>
            </w:r>
            <w:r w:rsidR="001E1AA4" w:rsidRPr="002B5247">
              <w:rPr>
                <w:sz w:val="20"/>
                <w:szCs w:val="20"/>
              </w:rPr>
              <w:t>s</w:t>
            </w:r>
            <w:r w:rsidRPr="002B5247">
              <w:rPr>
                <w:sz w:val="20"/>
                <w:szCs w:val="20"/>
              </w:rPr>
              <w:t>.</w:t>
            </w:r>
            <w:r w:rsidR="0060652A" w:rsidRPr="002B5247">
              <w:rPr>
                <w:sz w:val="20"/>
                <w:szCs w:val="20"/>
              </w:rPr>
              <w:t xml:space="preserve">  </w:t>
            </w:r>
          </w:p>
          <w:p w14:paraId="391D4865" w14:textId="21136447" w:rsidR="0060652A" w:rsidRPr="002B5247" w:rsidRDefault="0060652A" w:rsidP="00347055">
            <w:pPr>
              <w:rPr>
                <w:sz w:val="20"/>
                <w:szCs w:val="20"/>
              </w:rPr>
            </w:pPr>
          </w:p>
        </w:tc>
        <w:tc>
          <w:tcPr>
            <w:tcW w:w="4680" w:type="dxa"/>
          </w:tcPr>
          <w:p w14:paraId="552C59FF" w14:textId="77777777" w:rsidR="00A235C2" w:rsidRDefault="00A235C2" w:rsidP="00347055">
            <w:pPr>
              <w:rPr>
                <w:sz w:val="20"/>
                <w:szCs w:val="20"/>
              </w:rPr>
            </w:pPr>
          </w:p>
          <w:p w14:paraId="336F2EDF" w14:textId="450B3E4E" w:rsidR="00347055" w:rsidRPr="002B5247" w:rsidRDefault="001E1AA4" w:rsidP="00347055">
            <w:pPr>
              <w:rPr>
                <w:sz w:val="20"/>
                <w:szCs w:val="20"/>
              </w:rPr>
            </w:pPr>
            <w:r w:rsidRPr="002B5247">
              <w:rPr>
                <w:sz w:val="20"/>
                <w:szCs w:val="20"/>
              </w:rPr>
              <w:t>This is a direct measurement of a participant’s ability to properly enter an address into an ENS</w:t>
            </w:r>
            <w:r w:rsidR="00F92E95">
              <w:rPr>
                <w:sz w:val="20"/>
                <w:szCs w:val="20"/>
              </w:rPr>
              <w:t xml:space="preserve"> and the types of problems encountered</w:t>
            </w:r>
            <w:r w:rsidRPr="002B5247">
              <w:rPr>
                <w:sz w:val="20"/>
                <w:szCs w:val="20"/>
              </w:rPr>
              <w:t>. Such devices are only useful if the user can correctly enter a destination.</w:t>
            </w:r>
            <w:r w:rsidR="002B5247" w:rsidRPr="002B5247">
              <w:rPr>
                <w:sz w:val="20"/>
                <w:szCs w:val="20"/>
              </w:rPr>
              <w:t xml:space="preserve"> </w:t>
            </w:r>
            <w:r w:rsidRPr="002B5247">
              <w:rPr>
                <w:sz w:val="20"/>
                <w:szCs w:val="20"/>
              </w:rPr>
              <w:t xml:space="preserve"> </w:t>
            </w:r>
            <w:r w:rsidR="00347055" w:rsidRPr="002B5247">
              <w:rPr>
                <w:sz w:val="20"/>
                <w:szCs w:val="20"/>
              </w:rPr>
              <w:t xml:space="preserve">  </w:t>
            </w:r>
          </w:p>
        </w:tc>
      </w:tr>
    </w:tbl>
    <w:p w14:paraId="0974C9FB" w14:textId="77777777" w:rsidR="003D2A72" w:rsidRDefault="003D2A72" w:rsidP="006A3A07"/>
    <w:p w14:paraId="280DE569" w14:textId="7C7714AB" w:rsidR="001F42FC" w:rsidRPr="007D71CB" w:rsidRDefault="001F42FC" w:rsidP="006B005C">
      <w:pPr>
        <w:jc w:val="center"/>
      </w:pPr>
    </w:p>
    <w:sectPr w:rsidR="001F42FC" w:rsidRPr="007D71CB" w:rsidSect="004F742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07766" w14:textId="77777777" w:rsidR="007F405D" w:rsidRDefault="007F405D" w:rsidP="00F24E85">
      <w:pPr>
        <w:spacing w:after="0" w:line="240" w:lineRule="auto"/>
      </w:pPr>
      <w:r>
        <w:separator/>
      </w:r>
    </w:p>
  </w:endnote>
  <w:endnote w:type="continuationSeparator" w:id="0">
    <w:p w14:paraId="4B74B6FC" w14:textId="77777777" w:rsidR="007F405D" w:rsidRDefault="007F405D" w:rsidP="00F2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732126"/>
      <w:docPartObj>
        <w:docPartGallery w:val="Page Numbers (Bottom of Page)"/>
        <w:docPartUnique/>
      </w:docPartObj>
    </w:sdtPr>
    <w:sdtEndPr/>
    <w:sdtContent>
      <w:p w14:paraId="446C2CAD" w14:textId="77777777" w:rsidR="00347055" w:rsidRDefault="00347055">
        <w:pPr>
          <w:pStyle w:val="Footer"/>
          <w:jc w:val="center"/>
        </w:pPr>
        <w:r>
          <w:t>E-</w:t>
        </w:r>
        <w:r>
          <w:fldChar w:fldCharType="begin"/>
        </w:r>
        <w:r>
          <w:instrText xml:space="preserve"> PAGE   \* MERGEFORMAT </w:instrText>
        </w:r>
        <w:r>
          <w:fldChar w:fldCharType="separate"/>
        </w:r>
        <w:r w:rsidR="00C55A9F">
          <w:rPr>
            <w:noProof/>
          </w:rPr>
          <w:t>1</w:t>
        </w:r>
        <w:r>
          <w:rPr>
            <w:noProof/>
          </w:rPr>
          <w:fldChar w:fldCharType="end"/>
        </w:r>
      </w:p>
    </w:sdtContent>
  </w:sdt>
  <w:p w14:paraId="04FABF52" w14:textId="77777777" w:rsidR="00347055" w:rsidRDefault="00347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C03FF" w14:textId="77777777" w:rsidR="007F405D" w:rsidRDefault="007F405D" w:rsidP="00F24E85">
      <w:pPr>
        <w:spacing w:after="0" w:line="240" w:lineRule="auto"/>
      </w:pPr>
      <w:r>
        <w:separator/>
      </w:r>
    </w:p>
  </w:footnote>
  <w:footnote w:type="continuationSeparator" w:id="0">
    <w:p w14:paraId="17268235" w14:textId="77777777" w:rsidR="007F405D" w:rsidRDefault="007F405D" w:rsidP="00F24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63EB53B75744A58B70D0233C857B2C8"/>
      </w:placeholder>
      <w:dataBinding w:prefixMappings="xmlns:ns0='http://schemas.openxmlformats.org/package/2006/metadata/core-properties' xmlns:ns1='http://purl.org/dc/elements/1.1/'" w:xpath="/ns0:coreProperties[1]/ns1:title[1]" w:storeItemID="{6C3C8BC8-F283-45AE-878A-BAB7291924A1}"/>
      <w:text/>
    </w:sdtPr>
    <w:sdtEndPr/>
    <w:sdtContent>
      <w:p w14:paraId="5AD0F6AE" w14:textId="2463D626" w:rsidR="00347055" w:rsidRDefault="0034705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Appendix B</w:t>
        </w:r>
        <w:r w:rsidRPr="00F24E85">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w:t>
        </w:r>
        <w:r w:rsidRPr="00F24E85">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Functional Instrument</w:t>
        </w:r>
        <w:r w:rsidR="00AF555E">
          <w:rPr>
            <w:rFonts w:asciiTheme="majorHAnsi" w:eastAsiaTheme="majorEastAsia" w:hAnsiTheme="majorHAnsi" w:cstheme="majorBidi"/>
            <w:sz w:val="32"/>
            <w:szCs w:val="32"/>
          </w:rPr>
          <w:t xml:space="preserve"> and Skills Tests</w:t>
        </w:r>
        <w:r w:rsidRPr="00F24E85">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Justification</w:t>
        </w:r>
      </w:p>
    </w:sdtContent>
  </w:sdt>
  <w:p w14:paraId="1D944CB3" w14:textId="77777777" w:rsidR="00347055" w:rsidRDefault="003470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14087"/>
    <w:multiLevelType w:val="hybridMultilevel"/>
    <w:tmpl w:val="9580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9532F4"/>
    <w:multiLevelType w:val="hybridMultilevel"/>
    <w:tmpl w:val="DF94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D1"/>
    <w:rsid w:val="0003536C"/>
    <w:rsid w:val="0005569E"/>
    <w:rsid w:val="00056D77"/>
    <w:rsid w:val="0006401A"/>
    <w:rsid w:val="00074148"/>
    <w:rsid w:val="00077140"/>
    <w:rsid w:val="0008215C"/>
    <w:rsid w:val="00085C49"/>
    <w:rsid w:val="0009038E"/>
    <w:rsid w:val="000A2AE2"/>
    <w:rsid w:val="000A39E4"/>
    <w:rsid w:val="000C4ABC"/>
    <w:rsid w:val="000D0A73"/>
    <w:rsid w:val="000D15BA"/>
    <w:rsid w:val="000D7FE3"/>
    <w:rsid w:val="000E1EA0"/>
    <w:rsid w:val="000E2A1F"/>
    <w:rsid w:val="000E2AC2"/>
    <w:rsid w:val="000E3C6B"/>
    <w:rsid w:val="000F12BB"/>
    <w:rsid w:val="000F3DB0"/>
    <w:rsid w:val="000F618B"/>
    <w:rsid w:val="000F6AA4"/>
    <w:rsid w:val="001007A8"/>
    <w:rsid w:val="0010651F"/>
    <w:rsid w:val="00107BAE"/>
    <w:rsid w:val="001135AF"/>
    <w:rsid w:val="00117C2D"/>
    <w:rsid w:val="00124E9F"/>
    <w:rsid w:val="00133297"/>
    <w:rsid w:val="001353EB"/>
    <w:rsid w:val="00137344"/>
    <w:rsid w:val="0015182A"/>
    <w:rsid w:val="00152BC7"/>
    <w:rsid w:val="00162673"/>
    <w:rsid w:val="0018469C"/>
    <w:rsid w:val="0018548C"/>
    <w:rsid w:val="001A2898"/>
    <w:rsid w:val="001A4DD1"/>
    <w:rsid w:val="001B1C5E"/>
    <w:rsid w:val="001B7DF5"/>
    <w:rsid w:val="001D42F2"/>
    <w:rsid w:val="001D5303"/>
    <w:rsid w:val="001E1AA4"/>
    <w:rsid w:val="001F42FC"/>
    <w:rsid w:val="00221BE8"/>
    <w:rsid w:val="002241E3"/>
    <w:rsid w:val="00230C68"/>
    <w:rsid w:val="00236A48"/>
    <w:rsid w:val="00240FCC"/>
    <w:rsid w:val="00243D7B"/>
    <w:rsid w:val="00244A4F"/>
    <w:rsid w:val="002625C6"/>
    <w:rsid w:val="00264932"/>
    <w:rsid w:val="00272820"/>
    <w:rsid w:val="00295C23"/>
    <w:rsid w:val="002A0B46"/>
    <w:rsid w:val="002A30BA"/>
    <w:rsid w:val="002A7E82"/>
    <w:rsid w:val="002B23CF"/>
    <w:rsid w:val="002B45C7"/>
    <w:rsid w:val="002B5247"/>
    <w:rsid w:val="002D0C49"/>
    <w:rsid w:val="002E3FA5"/>
    <w:rsid w:val="002F1119"/>
    <w:rsid w:val="00314264"/>
    <w:rsid w:val="00325A83"/>
    <w:rsid w:val="00347055"/>
    <w:rsid w:val="00347780"/>
    <w:rsid w:val="0037765C"/>
    <w:rsid w:val="00390EE5"/>
    <w:rsid w:val="003936CD"/>
    <w:rsid w:val="003A7DDC"/>
    <w:rsid w:val="003D111B"/>
    <w:rsid w:val="003D2995"/>
    <w:rsid w:val="003D2A72"/>
    <w:rsid w:val="003D3E7F"/>
    <w:rsid w:val="003E3662"/>
    <w:rsid w:val="004121CE"/>
    <w:rsid w:val="004304E9"/>
    <w:rsid w:val="004446EC"/>
    <w:rsid w:val="00444EC8"/>
    <w:rsid w:val="004500B5"/>
    <w:rsid w:val="00452CE1"/>
    <w:rsid w:val="00461EA8"/>
    <w:rsid w:val="004631EE"/>
    <w:rsid w:val="00466A30"/>
    <w:rsid w:val="00474D3D"/>
    <w:rsid w:val="004834CC"/>
    <w:rsid w:val="00486C05"/>
    <w:rsid w:val="004918A3"/>
    <w:rsid w:val="004A57FC"/>
    <w:rsid w:val="004B11C7"/>
    <w:rsid w:val="004B1DEF"/>
    <w:rsid w:val="004B354F"/>
    <w:rsid w:val="004C302D"/>
    <w:rsid w:val="004E5FF9"/>
    <w:rsid w:val="004F1190"/>
    <w:rsid w:val="004F6DE3"/>
    <w:rsid w:val="004F742D"/>
    <w:rsid w:val="004F7833"/>
    <w:rsid w:val="00503D28"/>
    <w:rsid w:val="00510171"/>
    <w:rsid w:val="00516D2F"/>
    <w:rsid w:val="00521052"/>
    <w:rsid w:val="005217C5"/>
    <w:rsid w:val="00523289"/>
    <w:rsid w:val="00526AEF"/>
    <w:rsid w:val="005311C0"/>
    <w:rsid w:val="00550390"/>
    <w:rsid w:val="005618EA"/>
    <w:rsid w:val="0058112D"/>
    <w:rsid w:val="00583927"/>
    <w:rsid w:val="00591188"/>
    <w:rsid w:val="005952FF"/>
    <w:rsid w:val="00597A14"/>
    <w:rsid w:val="005A209E"/>
    <w:rsid w:val="005A3403"/>
    <w:rsid w:val="005B15F5"/>
    <w:rsid w:val="005B3E14"/>
    <w:rsid w:val="005C32B3"/>
    <w:rsid w:val="005D6CA0"/>
    <w:rsid w:val="005E009E"/>
    <w:rsid w:val="005E022E"/>
    <w:rsid w:val="005E42C8"/>
    <w:rsid w:val="00600841"/>
    <w:rsid w:val="0060652A"/>
    <w:rsid w:val="00613B0A"/>
    <w:rsid w:val="006147E7"/>
    <w:rsid w:val="00622124"/>
    <w:rsid w:val="00623FBB"/>
    <w:rsid w:val="00624043"/>
    <w:rsid w:val="006258FD"/>
    <w:rsid w:val="00627642"/>
    <w:rsid w:val="006375C4"/>
    <w:rsid w:val="00646869"/>
    <w:rsid w:val="00660E32"/>
    <w:rsid w:val="006629C4"/>
    <w:rsid w:val="00672277"/>
    <w:rsid w:val="00672B3A"/>
    <w:rsid w:val="00680020"/>
    <w:rsid w:val="00697366"/>
    <w:rsid w:val="006A3A07"/>
    <w:rsid w:val="006A3F53"/>
    <w:rsid w:val="006B005C"/>
    <w:rsid w:val="006D115C"/>
    <w:rsid w:val="006F2770"/>
    <w:rsid w:val="006F2BC2"/>
    <w:rsid w:val="00730315"/>
    <w:rsid w:val="00736B52"/>
    <w:rsid w:val="007403BE"/>
    <w:rsid w:val="00751DCB"/>
    <w:rsid w:val="0075664E"/>
    <w:rsid w:val="00774382"/>
    <w:rsid w:val="007922D0"/>
    <w:rsid w:val="007B7DB8"/>
    <w:rsid w:val="007B7FF2"/>
    <w:rsid w:val="007C402B"/>
    <w:rsid w:val="007C437E"/>
    <w:rsid w:val="007D092D"/>
    <w:rsid w:val="007D5D09"/>
    <w:rsid w:val="007D71CB"/>
    <w:rsid w:val="007E7BF4"/>
    <w:rsid w:val="007F405D"/>
    <w:rsid w:val="007F595B"/>
    <w:rsid w:val="007F7CF9"/>
    <w:rsid w:val="00807D8F"/>
    <w:rsid w:val="00807F4C"/>
    <w:rsid w:val="00812F5B"/>
    <w:rsid w:val="00820DC6"/>
    <w:rsid w:val="00821B05"/>
    <w:rsid w:val="0084644C"/>
    <w:rsid w:val="00862717"/>
    <w:rsid w:val="00874C38"/>
    <w:rsid w:val="0088213B"/>
    <w:rsid w:val="00884DB1"/>
    <w:rsid w:val="00890094"/>
    <w:rsid w:val="0089648A"/>
    <w:rsid w:val="008A2016"/>
    <w:rsid w:val="008D1650"/>
    <w:rsid w:val="008E7E67"/>
    <w:rsid w:val="00903F1D"/>
    <w:rsid w:val="00906AC6"/>
    <w:rsid w:val="00925D03"/>
    <w:rsid w:val="0094022B"/>
    <w:rsid w:val="009662A8"/>
    <w:rsid w:val="009674BA"/>
    <w:rsid w:val="0097113D"/>
    <w:rsid w:val="00976829"/>
    <w:rsid w:val="009776F8"/>
    <w:rsid w:val="00986209"/>
    <w:rsid w:val="009A01A5"/>
    <w:rsid w:val="009A45CF"/>
    <w:rsid w:val="009A719D"/>
    <w:rsid w:val="009B1ABD"/>
    <w:rsid w:val="009C0050"/>
    <w:rsid w:val="009D4B88"/>
    <w:rsid w:val="009D7779"/>
    <w:rsid w:val="009F0167"/>
    <w:rsid w:val="009F208A"/>
    <w:rsid w:val="009F3721"/>
    <w:rsid w:val="009F557F"/>
    <w:rsid w:val="00A02912"/>
    <w:rsid w:val="00A1606E"/>
    <w:rsid w:val="00A22333"/>
    <w:rsid w:val="00A235C2"/>
    <w:rsid w:val="00A24C09"/>
    <w:rsid w:val="00A71ABA"/>
    <w:rsid w:val="00A71F02"/>
    <w:rsid w:val="00A762C4"/>
    <w:rsid w:val="00A82F0D"/>
    <w:rsid w:val="00A92732"/>
    <w:rsid w:val="00A93EC4"/>
    <w:rsid w:val="00AA1EF8"/>
    <w:rsid w:val="00AA6633"/>
    <w:rsid w:val="00AB363C"/>
    <w:rsid w:val="00AC207C"/>
    <w:rsid w:val="00AC49D9"/>
    <w:rsid w:val="00AD5510"/>
    <w:rsid w:val="00AE28E6"/>
    <w:rsid w:val="00AF555E"/>
    <w:rsid w:val="00AF6F87"/>
    <w:rsid w:val="00B014F1"/>
    <w:rsid w:val="00B1272E"/>
    <w:rsid w:val="00B13397"/>
    <w:rsid w:val="00B13854"/>
    <w:rsid w:val="00B23777"/>
    <w:rsid w:val="00B2627D"/>
    <w:rsid w:val="00B26849"/>
    <w:rsid w:val="00B37DA7"/>
    <w:rsid w:val="00B53072"/>
    <w:rsid w:val="00B549B8"/>
    <w:rsid w:val="00B60829"/>
    <w:rsid w:val="00B82511"/>
    <w:rsid w:val="00B8434B"/>
    <w:rsid w:val="00B84E00"/>
    <w:rsid w:val="00B8580C"/>
    <w:rsid w:val="00B90ACE"/>
    <w:rsid w:val="00B94527"/>
    <w:rsid w:val="00B964BF"/>
    <w:rsid w:val="00BB3582"/>
    <w:rsid w:val="00BC386D"/>
    <w:rsid w:val="00BE7F12"/>
    <w:rsid w:val="00BF1763"/>
    <w:rsid w:val="00C17E85"/>
    <w:rsid w:val="00C2267B"/>
    <w:rsid w:val="00C31C6F"/>
    <w:rsid w:val="00C33F97"/>
    <w:rsid w:val="00C3554C"/>
    <w:rsid w:val="00C451A7"/>
    <w:rsid w:val="00C5149A"/>
    <w:rsid w:val="00C55A9F"/>
    <w:rsid w:val="00C57BC0"/>
    <w:rsid w:val="00C6326E"/>
    <w:rsid w:val="00C645F1"/>
    <w:rsid w:val="00C7405E"/>
    <w:rsid w:val="00C74D13"/>
    <w:rsid w:val="00C807F1"/>
    <w:rsid w:val="00C82D2B"/>
    <w:rsid w:val="00C8700F"/>
    <w:rsid w:val="00C90484"/>
    <w:rsid w:val="00CA3647"/>
    <w:rsid w:val="00CB1E30"/>
    <w:rsid w:val="00CB2AA2"/>
    <w:rsid w:val="00CC5FBC"/>
    <w:rsid w:val="00CC6C68"/>
    <w:rsid w:val="00CD718A"/>
    <w:rsid w:val="00CD78C4"/>
    <w:rsid w:val="00CE2707"/>
    <w:rsid w:val="00CE4A5E"/>
    <w:rsid w:val="00CF25DD"/>
    <w:rsid w:val="00CF6B08"/>
    <w:rsid w:val="00CF743D"/>
    <w:rsid w:val="00D065B0"/>
    <w:rsid w:val="00D1064F"/>
    <w:rsid w:val="00D12597"/>
    <w:rsid w:val="00D32900"/>
    <w:rsid w:val="00D477FB"/>
    <w:rsid w:val="00D53EF1"/>
    <w:rsid w:val="00D739F1"/>
    <w:rsid w:val="00D7412C"/>
    <w:rsid w:val="00D8047E"/>
    <w:rsid w:val="00D84105"/>
    <w:rsid w:val="00D85799"/>
    <w:rsid w:val="00DA0DBD"/>
    <w:rsid w:val="00DA129A"/>
    <w:rsid w:val="00DB24CD"/>
    <w:rsid w:val="00DB5AF1"/>
    <w:rsid w:val="00DD3F95"/>
    <w:rsid w:val="00E10F9E"/>
    <w:rsid w:val="00E2265E"/>
    <w:rsid w:val="00E308CD"/>
    <w:rsid w:val="00E36917"/>
    <w:rsid w:val="00E44C1E"/>
    <w:rsid w:val="00E51F0E"/>
    <w:rsid w:val="00E56F23"/>
    <w:rsid w:val="00E627F2"/>
    <w:rsid w:val="00E73D59"/>
    <w:rsid w:val="00E770BF"/>
    <w:rsid w:val="00E800E0"/>
    <w:rsid w:val="00E95E49"/>
    <w:rsid w:val="00EC5E9A"/>
    <w:rsid w:val="00ED038F"/>
    <w:rsid w:val="00ED34A6"/>
    <w:rsid w:val="00ED44A4"/>
    <w:rsid w:val="00EE1B31"/>
    <w:rsid w:val="00F0778E"/>
    <w:rsid w:val="00F24E85"/>
    <w:rsid w:val="00F25CA7"/>
    <w:rsid w:val="00F4133C"/>
    <w:rsid w:val="00F4741C"/>
    <w:rsid w:val="00F57387"/>
    <w:rsid w:val="00F65F82"/>
    <w:rsid w:val="00F67F52"/>
    <w:rsid w:val="00F84FF7"/>
    <w:rsid w:val="00F85571"/>
    <w:rsid w:val="00F92E95"/>
    <w:rsid w:val="00F94C66"/>
    <w:rsid w:val="00FA0082"/>
    <w:rsid w:val="00FB058A"/>
    <w:rsid w:val="00FB7F86"/>
    <w:rsid w:val="00FC3D41"/>
    <w:rsid w:val="00FC3F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1C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85"/>
  </w:style>
  <w:style w:type="paragraph" w:styleId="Footer">
    <w:name w:val="footer"/>
    <w:basedOn w:val="Normal"/>
    <w:link w:val="FooterChar"/>
    <w:uiPriority w:val="99"/>
    <w:unhideWhenUsed/>
    <w:rsid w:val="00F2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85"/>
  </w:style>
  <w:style w:type="paragraph" w:styleId="BalloonText">
    <w:name w:val="Balloon Text"/>
    <w:basedOn w:val="Normal"/>
    <w:link w:val="BalloonTextChar"/>
    <w:uiPriority w:val="99"/>
    <w:semiHidden/>
    <w:unhideWhenUsed/>
    <w:rsid w:val="00F24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E85"/>
    <w:rPr>
      <w:rFonts w:ascii="Tahoma" w:hAnsi="Tahoma" w:cs="Tahoma"/>
      <w:sz w:val="16"/>
      <w:szCs w:val="16"/>
    </w:rPr>
  </w:style>
  <w:style w:type="paragraph" w:styleId="ListParagraph">
    <w:name w:val="List Paragraph"/>
    <w:basedOn w:val="Normal"/>
    <w:uiPriority w:val="34"/>
    <w:qFormat/>
    <w:rsid w:val="00DB5AF1"/>
    <w:pPr>
      <w:spacing w:after="0" w:line="240" w:lineRule="auto"/>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0E2A1F"/>
    <w:rPr>
      <w:color w:val="0000FF"/>
      <w:u w:val="single"/>
    </w:rPr>
  </w:style>
  <w:style w:type="character" w:styleId="CommentReference">
    <w:name w:val="annotation reference"/>
    <w:basedOn w:val="DefaultParagraphFont"/>
    <w:uiPriority w:val="99"/>
    <w:semiHidden/>
    <w:unhideWhenUsed/>
    <w:rsid w:val="0060652A"/>
    <w:rPr>
      <w:sz w:val="18"/>
      <w:szCs w:val="18"/>
    </w:rPr>
  </w:style>
  <w:style w:type="paragraph" w:styleId="CommentText">
    <w:name w:val="annotation text"/>
    <w:basedOn w:val="Normal"/>
    <w:link w:val="CommentTextChar"/>
    <w:uiPriority w:val="99"/>
    <w:semiHidden/>
    <w:unhideWhenUsed/>
    <w:rsid w:val="0060652A"/>
    <w:pPr>
      <w:spacing w:line="240" w:lineRule="auto"/>
    </w:pPr>
    <w:rPr>
      <w:sz w:val="24"/>
      <w:szCs w:val="24"/>
    </w:rPr>
  </w:style>
  <w:style w:type="character" w:customStyle="1" w:styleId="CommentTextChar">
    <w:name w:val="Comment Text Char"/>
    <w:basedOn w:val="DefaultParagraphFont"/>
    <w:link w:val="CommentText"/>
    <w:uiPriority w:val="99"/>
    <w:semiHidden/>
    <w:rsid w:val="0060652A"/>
    <w:rPr>
      <w:sz w:val="24"/>
      <w:szCs w:val="24"/>
    </w:rPr>
  </w:style>
  <w:style w:type="paragraph" w:styleId="CommentSubject">
    <w:name w:val="annotation subject"/>
    <w:basedOn w:val="CommentText"/>
    <w:next w:val="CommentText"/>
    <w:link w:val="CommentSubjectChar"/>
    <w:uiPriority w:val="99"/>
    <w:semiHidden/>
    <w:unhideWhenUsed/>
    <w:rsid w:val="0060652A"/>
    <w:rPr>
      <w:b/>
      <w:bCs/>
      <w:sz w:val="20"/>
      <w:szCs w:val="20"/>
    </w:rPr>
  </w:style>
  <w:style w:type="character" w:customStyle="1" w:styleId="CommentSubjectChar">
    <w:name w:val="Comment Subject Char"/>
    <w:basedOn w:val="CommentTextChar"/>
    <w:link w:val="CommentSubject"/>
    <w:uiPriority w:val="99"/>
    <w:semiHidden/>
    <w:rsid w:val="0060652A"/>
    <w:rPr>
      <w:b/>
      <w:bCs/>
      <w:sz w:val="20"/>
      <w:szCs w:val="20"/>
    </w:rPr>
  </w:style>
  <w:style w:type="paragraph" w:styleId="Bibliography">
    <w:name w:val="Bibliography"/>
    <w:basedOn w:val="Normal"/>
    <w:next w:val="Normal"/>
    <w:uiPriority w:val="37"/>
    <w:unhideWhenUsed/>
    <w:rsid w:val="001F42FC"/>
    <w:pPr>
      <w:spacing w:after="0" w:line="480" w:lineRule="auto"/>
      <w:ind w:left="720" w:hanging="720"/>
    </w:pPr>
  </w:style>
  <w:style w:type="paragraph" w:styleId="Revision">
    <w:name w:val="Revision"/>
    <w:hidden/>
    <w:uiPriority w:val="99"/>
    <w:semiHidden/>
    <w:rsid w:val="00452C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85"/>
  </w:style>
  <w:style w:type="paragraph" w:styleId="Footer">
    <w:name w:val="footer"/>
    <w:basedOn w:val="Normal"/>
    <w:link w:val="FooterChar"/>
    <w:uiPriority w:val="99"/>
    <w:unhideWhenUsed/>
    <w:rsid w:val="00F2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85"/>
  </w:style>
  <w:style w:type="paragraph" w:styleId="BalloonText">
    <w:name w:val="Balloon Text"/>
    <w:basedOn w:val="Normal"/>
    <w:link w:val="BalloonTextChar"/>
    <w:uiPriority w:val="99"/>
    <w:semiHidden/>
    <w:unhideWhenUsed/>
    <w:rsid w:val="00F24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E85"/>
    <w:rPr>
      <w:rFonts w:ascii="Tahoma" w:hAnsi="Tahoma" w:cs="Tahoma"/>
      <w:sz w:val="16"/>
      <w:szCs w:val="16"/>
    </w:rPr>
  </w:style>
  <w:style w:type="paragraph" w:styleId="ListParagraph">
    <w:name w:val="List Paragraph"/>
    <w:basedOn w:val="Normal"/>
    <w:uiPriority w:val="34"/>
    <w:qFormat/>
    <w:rsid w:val="00DB5AF1"/>
    <w:pPr>
      <w:spacing w:after="0" w:line="240" w:lineRule="auto"/>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0E2A1F"/>
    <w:rPr>
      <w:color w:val="0000FF"/>
      <w:u w:val="single"/>
    </w:rPr>
  </w:style>
  <w:style w:type="character" w:styleId="CommentReference">
    <w:name w:val="annotation reference"/>
    <w:basedOn w:val="DefaultParagraphFont"/>
    <w:uiPriority w:val="99"/>
    <w:semiHidden/>
    <w:unhideWhenUsed/>
    <w:rsid w:val="0060652A"/>
    <w:rPr>
      <w:sz w:val="18"/>
      <w:szCs w:val="18"/>
    </w:rPr>
  </w:style>
  <w:style w:type="paragraph" w:styleId="CommentText">
    <w:name w:val="annotation text"/>
    <w:basedOn w:val="Normal"/>
    <w:link w:val="CommentTextChar"/>
    <w:uiPriority w:val="99"/>
    <w:semiHidden/>
    <w:unhideWhenUsed/>
    <w:rsid w:val="0060652A"/>
    <w:pPr>
      <w:spacing w:line="240" w:lineRule="auto"/>
    </w:pPr>
    <w:rPr>
      <w:sz w:val="24"/>
      <w:szCs w:val="24"/>
    </w:rPr>
  </w:style>
  <w:style w:type="character" w:customStyle="1" w:styleId="CommentTextChar">
    <w:name w:val="Comment Text Char"/>
    <w:basedOn w:val="DefaultParagraphFont"/>
    <w:link w:val="CommentText"/>
    <w:uiPriority w:val="99"/>
    <w:semiHidden/>
    <w:rsid w:val="0060652A"/>
    <w:rPr>
      <w:sz w:val="24"/>
      <w:szCs w:val="24"/>
    </w:rPr>
  </w:style>
  <w:style w:type="paragraph" w:styleId="CommentSubject">
    <w:name w:val="annotation subject"/>
    <w:basedOn w:val="CommentText"/>
    <w:next w:val="CommentText"/>
    <w:link w:val="CommentSubjectChar"/>
    <w:uiPriority w:val="99"/>
    <w:semiHidden/>
    <w:unhideWhenUsed/>
    <w:rsid w:val="0060652A"/>
    <w:rPr>
      <w:b/>
      <w:bCs/>
      <w:sz w:val="20"/>
      <w:szCs w:val="20"/>
    </w:rPr>
  </w:style>
  <w:style w:type="character" w:customStyle="1" w:styleId="CommentSubjectChar">
    <w:name w:val="Comment Subject Char"/>
    <w:basedOn w:val="CommentTextChar"/>
    <w:link w:val="CommentSubject"/>
    <w:uiPriority w:val="99"/>
    <w:semiHidden/>
    <w:rsid w:val="0060652A"/>
    <w:rPr>
      <w:b/>
      <w:bCs/>
      <w:sz w:val="20"/>
      <w:szCs w:val="20"/>
    </w:rPr>
  </w:style>
  <w:style w:type="paragraph" w:styleId="Bibliography">
    <w:name w:val="Bibliography"/>
    <w:basedOn w:val="Normal"/>
    <w:next w:val="Normal"/>
    <w:uiPriority w:val="37"/>
    <w:unhideWhenUsed/>
    <w:rsid w:val="001F42FC"/>
    <w:pPr>
      <w:spacing w:after="0" w:line="480" w:lineRule="auto"/>
      <w:ind w:left="720" w:hanging="720"/>
    </w:pPr>
  </w:style>
  <w:style w:type="paragraph" w:styleId="Revision">
    <w:name w:val="Revision"/>
    <w:hidden/>
    <w:uiPriority w:val="99"/>
    <w:semiHidden/>
    <w:rsid w:val="00452C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6749">
      <w:bodyDiv w:val="1"/>
      <w:marLeft w:val="0"/>
      <w:marRight w:val="0"/>
      <w:marTop w:val="0"/>
      <w:marBottom w:val="0"/>
      <w:divBdr>
        <w:top w:val="none" w:sz="0" w:space="0" w:color="auto"/>
        <w:left w:val="none" w:sz="0" w:space="0" w:color="auto"/>
        <w:bottom w:val="none" w:sz="0" w:space="0" w:color="auto"/>
        <w:right w:val="none" w:sz="0" w:space="0" w:color="auto"/>
      </w:divBdr>
    </w:div>
    <w:div w:id="135904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sites/default/files/omb/assets/inforeg/PRAPrimer_04072010.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3EB53B75744A58B70D0233C857B2C8"/>
        <w:category>
          <w:name w:val="General"/>
          <w:gallery w:val="placeholder"/>
        </w:category>
        <w:types>
          <w:type w:val="bbPlcHdr"/>
        </w:types>
        <w:behaviors>
          <w:behavior w:val="content"/>
        </w:behaviors>
        <w:guid w:val="{8CDB7535-5858-479A-8FFE-EC521CB6BD49}"/>
      </w:docPartPr>
      <w:docPartBody>
        <w:p w:rsidR="00523E83" w:rsidRDefault="009562F7" w:rsidP="009562F7">
          <w:pPr>
            <w:pStyle w:val="163EB53B75744A58B70D0233C857B2C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9562F7"/>
    <w:rsid w:val="000A508D"/>
    <w:rsid w:val="001A0C00"/>
    <w:rsid w:val="002C7D9A"/>
    <w:rsid w:val="00384A1A"/>
    <w:rsid w:val="004B4667"/>
    <w:rsid w:val="00523E83"/>
    <w:rsid w:val="00547CC9"/>
    <w:rsid w:val="009562F7"/>
    <w:rsid w:val="00BD3C35"/>
    <w:rsid w:val="00C84A09"/>
    <w:rsid w:val="00DD51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3EB53B75744A58B70D0233C857B2C8">
    <w:name w:val="163EB53B75744A58B70D0233C857B2C8"/>
    <w:rsid w:val="009562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1128</Words>
  <Characters>6433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Appendix B – Functional Instrument and Skills Tests Justification</vt:lpstr>
    </vt:vector>
  </TitlesOfParts>
  <Company>DOT-COE-20090818</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Functional Instrument and Skills Tests Justification</dc:title>
  <dc:creator>randolph.atkins</dc:creator>
  <cp:lastModifiedBy>Culbreath, Walter (NHTSA)</cp:lastModifiedBy>
  <cp:revision>2</cp:revision>
  <dcterms:created xsi:type="dcterms:W3CDTF">2015-08-27T20:02:00Z</dcterms:created>
  <dcterms:modified xsi:type="dcterms:W3CDTF">2015-08-27T20:02:00Z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zotero-version="4.0.28"&gt;&lt;session id="4E7TGjEH"/&gt;&lt;style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name="noteType" value=""/&gt;&lt;/prefs&gt;&lt;/data&gt;</vt:lpwstr>
  </property>
</Properties>
</file>