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C9418" w14:textId="77777777" w:rsidR="00C800ED" w:rsidRPr="00B16B17" w:rsidRDefault="00B16B17" w:rsidP="00C800ED">
      <w:pPr>
        <w:jc w:val="center"/>
        <w:rPr>
          <w:b/>
        </w:rPr>
      </w:pPr>
      <w:r>
        <w:rPr>
          <w:b/>
        </w:rPr>
        <w:t>TABLE OF CONTENTS</w:t>
      </w:r>
    </w:p>
    <w:p w14:paraId="79DA36EE" w14:textId="77777777" w:rsidR="00C800ED" w:rsidRPr="00672019" w:rsidRDefault="00C800ED" w:rsidP="00C800ED"/>
    <w:p w14:paraId="437A3CF9" w14:textId="77777777" w:rsidR="00C800ED" w:rsidRPr="00B16B17" w:rsidRDefault="00B16B17" w:rsidP="00C800ED">
      <w:pPr>
        <w:pStyle w:val="Heading1"/>
        <w:ind w:left="0"/>
        <w:rPr>
          <w:b/>
          <w:u w:val="none"/>
        </w:rPr>
      </w:pPr>
      <w:r>
        <w:rPr>
          <w:b/>
          <w:u w:val="none"/>
        </w:rPr>
        <w:t>SUPPORTING STATEMENT</w:t>
      </w:r>
    </w:p>
    <w:p w14:paraId="438207AE" w14:textId="77777777" w:rsidR="00B16B17" w:rsidRDefault="00B16B17" w:rsidP="00C800ED"/>
    <w:p w14:paraId="6E6D7546" w14:textId="77777777" w:rsidR="00C800ED" w:rsidRPr="00672019" w:rsidRDefault="00B16B17" w:rsidP="00B16B17">
      <w:pPr>
        <w:numPr>
          <w:ilvl w:val="0"/>
          <w:numId w:val="16"/>
        </w:numPr>
        <w:ind w:hanging="720"/>
      </w:pPr>
      <w:r>
        <w:rPr>
          <w:b/>
        </w:rPr>
        <w:t>JUSTIFICATION</w:t>
      </w:r>
    </w:p>
    <w:p w14:paraId="7839012D" w14:textId="77777777" w:rsidR="00C800ED" w:rsidRPr="00672019" w:rsidRDefault="00C800ED" w:rsidP="00C800ED"/>
    <w:p w14:paraId="3DEF1A34" w14:textId="77777777" w:rsidR="00C800ED" w:rsidRPr="00672019" w:rsidRDefault="00C800ED" w:rsidP="00C800ED">
      <w:pPr>
        <w:ind w:left="720" w:hanging="720"/>
      </w:pPr>
      <w:r w:rsidRPr="00672019">
        <w:t>A.1.</w:t>
      </w:r>
      <w:r w:rsidRPr="00672019">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18CD044D" w14:textId="77777777" w:rsidR="00C800ED" w:rsidRPr="00672019" w:rsidRDefault="00C800ED" w:rsidP="00C800ED">
      <w:pPr>
        <w:ind w:left="720" w:hanging="720"/>
      </w:pPr>
      <w:r w:rsidRPr="00672019">
        <w:tab/>
        <w:t>a. Circumstances making the collection necessary</w:t>
      </w:r>
    </w:p>
    <w:p w14:paraId="0C2AB56C" w14:textId="77777777" w:rsidR="00C800ED" w:rsidRPr="00672019" w:rsidRDefault="00C800ED" w:rsidP="00C800ED">
      <w:pPr>
        <w:ind w:left="720" w:hanging="720"/>
      </w:pPr>
      <w:r w:rsidRPr="00672019">
        <w:tab/>
        <w:t>b. Statute authorizing the collection of information</w:t>
      </w:r>
    </w:p>
    <w:p w14:paraId="5D7EB398" w14:textId="77777777" w:rsidR="00C800ED" w:rsidRPr="00672019" w:rsidRDefault="00C800ED" w:rsidP="00C800ED">
      <w:pPr>
        <w:ind w:left="720" w:hanging="720"/>
      </w:pPr>
    </w:p>
    <w:p w14:paraId="60BCB35F" w14:textId="77777777" w:rsidR="00C800ED" w:rsidRPr="00672019" w:rsidRDefault="00C800ED" w:rsidP="00C800ED">
      <w:pPr>
        <w:ind w:left="720" w:hanging="720"/>
      </w:pPr>
      <w:r w:rsidRPr="00672019">
        <w:t>A.2.</w:t>
      </w:r>
      <w:r w:rsidRPr="00672019">
        <w:tab/>
        <w:t xml:space="preserve">Indicate how, by whom, and for what purpose the information is to be used. Except for a new collection, indicate the actual use the agency has made of the information received from the current collection. </w:t>
      </w:r>
    </w:p>
    <w:p w14:paraId="423A2598" w14:textId="77777777" w:rsidR="00C800ED" w:rsidRPr="00672019" w:rsidRDefault="00C800ED" w:rsidP="00C800ED">
      <w:pPr>
        <w:ind w:left="720" w:hanging="720"/>
      </w:pPr>
    </w:p>
    <w:p w14:paraId="4BC10924" w14:textId="77777777" w:rsidR="00C800ED" w:rsidRPr="00672019" w:rsidRDefault="00C800ED" w:rsidP="00C800ED">
      <w:pPr>
        <w:ind w:left="720" w:hanging="720"/>
      </w:pPr>
      <w:r w:rsidRPr="00672019">
        <w:t>A.3.</w:t>
      </w:r>
      <w:r w:rsidRPr="00672019">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14:paraId="47888A83" w14:textId="77777777" w:rsidR="00C800ED" w:rsidRPr="00672019" w:rsidRDefault="00C800ED" w:rsidP="00C800ED">
      <w:pPr>
        <w:ind w:left="720" w:hanging="720"/>
      </w:pPr>
    </w:p>
    <w:p w14:paraId="5C3694A9" w14:textId="77777777" w:rsidR="00C800ED" w:rsidRPr="00672019" w:rsidRDefault="00C800ED" w:rsidP="00C800ED">
      <w:pPr>
        <w:ind w:left="720" w:hanging="720"/>
      </w:pPr>
      <w:proofErr w:type="gramStart"/>
      <w:r w:rsidRPr="00672019">
        <w:t>A.4.</w:t>
      </w:r>
      <w:r w:rsidRPr="00672019">
        <w:tab/>
        <w:t>Describe efforts to identify duplication.</w:t>
      </w:r>
      <w:proofErr w:type="gramEnd"/>
      <w:r w:rsidRPr="00672019">
        <w:t xml:space="preserve"> </w:t>
      </w:r>
      <w:proofErr w:type="gramStart"/>
      <w:r w:rsidRPr="00672019">
        <w:t>Show specifically why any similar information, already available cannot be used or modified for use for the purposes described in Item 2 above.</w:t>
      </w:r>
      <w:proofErr w:type="gramEnd"/>
      <w:r w:rsidRPr="00672019">
        <w:t xml:space="preserve"> </w:t>
      </w:r>
    </w:p>
    <w:p w14:paraId="34F205C4" w14:textId="77777777" w:rsidR="00C800ED" w:rsidRPr="00672019" w:rsidRDefault="00C800ED" w:rsidP="00C800ED">
      <w:pPr>
        <w:ind w:left="720" w:hanging="720"/>
      </w:pPr>
    </w:p>
    <w:p w14:paraId="43D3F909" w14:textId="77777777" w:rsidR="00C800ED" w:rsidRPr="00672019" w:rsidRDefault="00C800ED" w:rsidP="00C800ED">
      <w:pPr>
        <w:ind w:left="720" w:hanging="720"/>
      </w:pPr>
      <w:r w:rsidRPr="00672019">
        <w:t>A.5.</w:t>
      </w:r>
      <w:r w:rsidRPr="00672019">
        <w:tab/>
        <w:t xml:space="preserve">If the collection of information involves small businesses or other small entities, describe the methods used to minimize burden. </w:t>
      </w:r>
    </w:p>
    <w:p w14:paraId="36059707" w14:textId="77777777" w:rsidR="00C800ED" w:rsidRPr="00672019" w:rsidRDefault="00C800ED" w:rsidP="00C800ED">
      <w:pPr>
        <w:ind w:left="720" w:hanging="720"/>
      </w:pPr>
    </w:p>
    <w:p w14:paraId="0F7FA955" w14:textId="77777777" w:rsidR="00C800ED" w:rsidRPr="00672019" w:rsidRDefault="00C800ED" w:rsidP="00C800ED">
      <w:pPr>
        <w:ind w:left="720" w:hanging="720"/>
      </w:pPr>
      <w:r w:rsidRPr="00672019">
        <w:t>A.6.</w:t>
      </w:r>
      <w:r w:rsidRPr="00672019">
        <w:tab/>
        <w:t>Describe the consequences to Federal Program or policy activities if the collection is not collected or collected less frequently.</w:t>
      </w:r>
    </w:p>
    <w:p w14:paraId="2F8FE7CA" w14:textId="77777777" w:rsidR="00C800ED" w:rsidRPr="00672019" w:rsidRDefault="00C800ED" w:rsidP="00C800ED">
      <w:pPr>
        <w:ind w:left="720" w:hanging="720"/>
      </w:pPr>
    </w:p>
    <w:p w14:paraId="3EBBF5EB" w14:textId="77777777" w:rsidR="00C800ED" w:rsidRPr="00672019" w:rsidRDefault="00C800ED" w:rsidP="00C800ED">
      <w:pPr>
        <w:ind w:left="720" w:hanging="720"/>
      </w:pPr>
      <w:r w:rsidRPr="00672019">
        <w:t>A.7.</w:t>
      </w:r>
      <w:r w:rsidRPr="00672019">
        <w:tab/>
        <w:t>Explain any special circumstances that require the collection to be conducted in a manner inconsistent with the guidelines set forth in 5 CFR 1320.6.</w:t>
      </w:r>
    </w:p>
    <w:p w14:paraId="4BD6016D" w14:textId="77777777" w:rsidR="00C800ED" w:rsidRPr="00672019" w:rsidRDefault="00C800ED" w:rsidP="00C800ED">
      <w:pPr>
        <w:ind w:left="720" w:hanging="720"/>
      </w:pPr>
    </w:p>
    <w:p w14:paraId="6C019041" w14:textId="77777777" w:rsidR="00C800ED" w:rsidRPr="00672019" w:rsidRDefault="00C800ED" w:rsidP="00C800ED">
      <w:pPr>
        <w:ind w:left="720" w:hanging="720"/>
      </w:pPr>
      <w:r w:rsidRPr="00672019">
        <w:t>A.8.</w:t>
      </w:r>
      <w:r w:rsidRPr="00672019">
        <w:tab/>
        <w:t xml:space="preserve">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w:t>
      </w:r>
      <w:proofErr w:type="gramStart"/>
      <w:r w:rsidRPr="00672019">
        <w:t>obtain</w:t>
      </w:r>
      <w:proofErr w:type="gramEnd"/>
      <w:r w:rsidRPr="00672019">
        <w:t xml:space="preserve"> their views. </w:t>
      </w:r>
    </w:p>
    <w:p w14:paraId="13080FC4" w14:textId="77777777" w:rsidR="00C800ED" w:rsidRPr="00672019" w:rsidRDefault="00C800ED" w:rsidP="00C800ED">
      <w:pPr>
        <w:ind w:left="720" w:hanging="720"/>
      </w:pPr>
    </w:p>
    <w:p w14:paraId="37519950" w14:textId="77777777" w:rsidR="00C800ED" w:rsidRPr="00672019" w:rsidRDefault="00C800ED" w:rsidP="00C800ED">
      <w:pPr>
        <w:ind w:left="720" w:hanging="720"/>
      </w:pPr>
      <w:r w:rsidRPr="00672019">
        <w:t>A.9.</w:t>
      </w:r>
      <w:r w:rsidRPr="00672019">
        <w:tab/>
        <w:t>Explain any decisions to provide any payment or gift to respondents, other than remuneration of contractors or grantees.</w:t>
      </w:r>
    </w:p>
    <w:p w14:paraId="50735400" w14:textId="77777777" w:rsidR="00C800ED" w:rsidRPr="00672019" w:rsidRDefault="00C800ED" w:rsidP="00C800ED">
      <w:pPr>
        <w:ind w:left="720" w:hanging="720"/>
      </w:pPr>
    </w:p>
    <w:p w14:paraId="736A57D8" w14:textId="77777777" w:rsidR="00C800ED" w:rsidRPr="00672019" w:rsidRDefault="00C800ED" w:rsidP="00C800ED">
      <w:pPr>
        <w:ind w:left="720" w:hanging="720"/>
      </w:pPr>
      <w:r w:rsidRPr="00672019">
        <w:t>A.10.</w:t>
      </w:r>
      <w:r w:rsidRPr="00672019">
        <w:tab/>
        <w:t>Describe any assurance of confidentiality provided to respondents.</w:t>
      </w:r>
    </w:p>
    <w:p w14:paraId="51B8DD1F" w14:textId="77777777" w:rsidR="00C800ED" w:rsidRPr="00672019" w:rsidRDefault="00C800ED" w:rsidP="00C800ED">
      <w:pPr>
        <w:ind w:left="720" w:hanging="720"/>
      </w:pPr>
    </w:p>
    <w:p w14:paraId="3C07DE94" w14:textId="77777777" w:rsidR="00C800ED" w:rsidRPr="00672019" w:rsidRDefault="00C800ED" w:rsidP="00C800ED">
      <w:pPr>
        <w:ind w:left="720" w:hanging="720"/>
      </w:pPr>
      <w:r w:rsidRPr="00672019">
        <w:lastRenderedPageBreak/>
        <w:t>A.11.</w:t>
      </w:r>
      <w:r w:rsidRPr="00672019">
        <w:tab/>
        <w:t xml:space="preserve">Provide additional justification for any questions of a sensitive nature, such as sexual behavior or attitudes, religious beliefs, and other matters that are commonly considered private. </w:t>
      </w:r>
    </w:p>
    <w:p w14:paraId="14F2B853" w14:textId="77777777" w:rsidR="00C800ED" w:rsidRPr="00672019" w:rsidRDefault="00C800ED" w:rsidP="00C800ED">
      <w:pPr>
        <w:ind w:left="720" w:hanging="720"/>
      </w:pPr>
    </w:p>
    <w:p w14:paraId="3E95F27D" w14:textId="77777777" w:rsidR="00C800ED" w:rsidRPr="00672019" w:rsidRDefault="00C800ED" w:rsidP="00C800ED">
      <w:pPr>
        <w:ind w:left="720" w:hanging="720"/>
      </w:pPr>
      <w:r w:rsidRPr="00672019">
        <w:t>A.12.</w:t>
      </w:r>
      <w:r w:rsidRPr="00672019">
        <w:tab/>
        <w:t>Provide estimates of the hour burden of the collection of information on the respondents.</w:t>
      </w:r>
    </w:p>
    <w:p w14:paraId="198470F1" w14:textId="77777777" w:rsidR="00C800ED" w:rsidRPr="00672019" w:rsidRDefault="00C800ED" w:rsidP="00C800ED">
      <w:pPr>
        <w:ind w:left="720" w:hanging="720"/>
      </w:pPr>
    </w:p>
    <w:p w14:paraId="08ED84A0" w14:textId="77777777" w:rsidR="00C800ED" w:rsidRPr="00672019" w:rsidRDefault="00C800ED" w:rsidP="00C800ED">
      <w:pPr>
        <w:ind w:left="720" w:hanging="720"/>
      </w:pPr>
      <w:r w:rsidRPr="00672019">
        <w:t>A.13.</w:t>
      </w:r>
      <w:r w:rsidRPr="00672019">
        <w:tab/>
        <w:t xml:space="preserve">Provide an estimate of the total annual cost to the respondents or record keepers resulting from the collection of information. </w:t>
      </w:r>
    </w:p>
    <w:p w14:paraId="1B05B502" w14:textId="77777777" w:rsidR="00C800ED" w:rsidRPr="00672019" w:rsidRDefault="00C800ED" w:rsidP="00C800ED">
      <w:pPr>
        <w:ind w:left="720" w:hanging="720"/>
      </w:pPr>
    </w:p>
    <w:p w14:paraId="44FDE11F" w14:textId="57BFCC99" w:rsidR="00C800ED" w:rsidRPr="00672019" w:rsidRDefault="00C800ED" w:rsidP="00C800ED">
      <w:pPr>
        <w:ind w:left="720" w:hanging="720"/>
      </w:pPr>
      <w:r w:rsidRPr="00672019">
        <w:t>A.14.</w:t>
      </w:r>
      <w:r w:rsidRPr="00672019">
        <w:tab/>
        <w:t>Provide estimates of the annualized cost to the Federal Government</w:t>
      </w:r>
      <w:r w:rsidR="007073F9">
        <w:t>.</w:t>
      </w:r>
    </w:p>
    <w:p w14:paraId="5AB24278" w14:textId="77777777" w:rsidR="00C800ED" w:rsidRPr="00672019" w:rsidRDefault="00C800ED" w:rsidP="00C800ED">
      <w:pPr>
        <w:ind w:left="720" w:hanging="720"/>
      </w:pPr>
    </w:p>
    <w:p w14:paraId="03ACD821" w14:textId="7418F21B" w:rsidR="00C800ED" w:rsidRPr="00672019" w:rsidRDefault="00C800ED" w:rsidP="00C800ED">
      <w:pPr>
        <w:ind w:left="720" w:hanging="720"/>
      </w:pPr>
      <w:r w:rsidRPr="00672019">
        <w:t>A.15.</w:t>
      </w:r>
      <w:r w:rsidRPr="00672019">
        <w:tab/>
        <w:t>Explain the reasons for any program changes or adjustments in Items 13 or 14 of the OMB 83-I</w:t>
      </w:r>
      <w:r w:rsidR="007073F9">
        <w:t>.</w:t>
      </w:r>
    </w:p>
    <w:p w14:paraId="18EC17FF" w14:textId="77777777" w:rsidR="00C800ED" w:rsidRPr="00672019" w:rsidRDefault="00C800ED" w:rsidP="00C800ED">
      <w:pPr>
        <w:ind w:left="720" w:hanging="720"/>
      </w:pPr>
    </w:p>
    <w:p w14:paraId="34615958" w14:textId="77777777" w:rsidR="00C800ED" w:rsidRPr="00672019" w:rsidRDefault="00C800ED" w:rsidP="00C800ED">
      <w:pPr>
        <w:ind w:left="720" w:hanging="720"/>
      </w:pPr>
      <w:r w:rsidRPr="00672019">
        <w:t>A.16.</w:t>
      </w:r>
      <w:r w:rsidRPr="00672019">
        <w:tab/>
        <w:t xml:space="preserve">For collection of information whose results will be published, outline plans for tabulation and publication. </w:t>
      </w:r>
    </w:p>
    <w:p w14:paraId="15AD584B" w14:textId="77777777" w:rsidR="00C800ED" w:rsidRPr="00672019" w:rsidRDefault="00C800ED" w:rsidP="00C800ED">
      <w:pPr>
        <w:ind w:left="720" w:hanging="720"/>
      </w:pPr>
    </w:p>
    <w:p w14:paraId="3620E820" w14:textId="77777777" w:rsidR="00C800ED" w:rsidRPr="00672019" w:rsidRDefault="00C800ED" w:rsidP="00C800ED">
      <w:pPr>
        <w:ind w:left="720" w:hanging="720"/>
      </w:pPr>
      <w:r w:rsidRPr="00672019">
        <w:t>A.17.</w:t>
      </w:r>
      <w:r w:rsidRPr="00672019">
        <w:tab/>
        <w:t>If seeking approval to not display the expiration date for OMB approval of the information collection, explain the reasons that display would be inappropriate.</w:t>
      </w:r>
    </w:p>
    <w:p w14:paraId="2775D3EA" w14:textId="77777777" w:rsidR="00C800ED" w:rsidRPr="00672019" w:rsidRDefault="00C800ED" w:rsidP="00C800ED">
      <w:pPr>
        <w:ind w:left="720" w:hanging="720"/>
      </w:pPr>
    </w:p>
    <w:p w14:paraId="6E4F8C00" w14:textId="77777777" w:rsidR="00C800ED" w:rsidRPr="00672019" w:rsidRDefault="00C800ED" w:rsidP="00C800ED">
      <w:pPr>
        <w:ind w:left="720" w:hanging="720"/>
      </w:pPr>
      <w:r w:rsidRPr="00672019">
        <w:t>A.18.</w:t>
      </w:r>
      <w:r w:rsidRPr="00672019">
        <w:tab/>
        <w:t>Explain each exception to the certification statement identified in Item 19, “Certification for Paperwork Reduction Act Submissions” of the OMB Form 83-I</w:t>
      </w:r>
    </w:p>
    <w:p w14:paraId="7CBACD97" w14:textId="77777777" w:rsidR="00C800ED" w:rsidRPr="00672019" w:rsidRDefault="00C800ED" w:rsidP="00C800ED">
      <w:pPr>
        <w:ind w:left="720" w:hanging="720"/>
      </w:pPr>
    </w:p>
    <w:p w14:paraId="256E01C8" w14:textId="77777777" w:rsidR="00C800ED" w:rsidRDefault="00B13BD5" w:rsidP="00C800ED">
      <w:pPr>
        <w:pStyle w:val="Heading1"/>
        <w:ind w:left="0"/>
        <w:jc w:val="center"/>
        <w:rPr>
          <w:b/>
          <w:bCs/>
          <w:u w:val="none"/>
        </w:rPr>
      </w:pPr>
      <w:bookmarkStart w:id="0" w:name="_Toc125447290"/>
      <w:bookmarkStart w:id="1" w:name="_Toc126394118"/>
      <w:r>
        <w:rPr>
          <w:b/>
          <w:bCs/>
          <w:u w:val="none"/>
        </w:rPr>
        <w:br w:type="page"/>
      </w:r>
      <w:r w:rsidR="00C800ED" w:rsidRPr="00672019">
        <w:rPr>
          <w:b/>
          <w:bCs/>
          <w:u w:val="none"/>
        </w:rPr>
        <w:lastRenderedPageBreak/>
        <w:t>Supporting Statement</w:t>
      </w:r>
      <w:bookmarkEnd w:id="0"/>
      <w:bookmarkEnd w:id="1"/>
    </w:p>
    <w:p w14:paraId="08472D1A" w14:textId="77777777" w:rsidR="00D1013D" w:rsidRPr="00D1013D" w:rsidRDefault="00D1013D" w:rsidP="00D1013D"/>
    <w:p w14:paraId="2D99F0F3" w14:textId="33FA055D" w:rsidR="00D1013D" w:rsidRPr="00DC43F1" w:rsidRDefault="00D1013D" w:rsidP="00D1013D">
      <w:pPr>
        <w:autoSpaceDE w:val="0"/>
        <w:autoSpaceDN w:val="0"/>
        <w:adjustRightInd w:val="0"/>
        <w:ind w:firstLine="720"/>
        <w:rPr>
          <w:color w:val="000000" w:themeColor="text1"/>
        </w:rPr>
      </w:pPr>
      <w:r w:rsidRPr="00DC43F1">
        <w:rPr>
          <w:color w:val="000000" w:themeColor="text1"/>
        </w:rPr>
        <w:t>Older adults comprise an increasing proportion of the driving population</w:t>
      </w:r>
      <w:r w:rsidR="0032464A">
        <w:rPr>
          <w:color w:val="000000" w:themeColor="text1"/>
        </w:rPr>
        <w:t xml:space="preserve">. While </w:t>
      </w:r>
      <w:r w:rsidR="00AC1A25">
        <w:rPr>
          <w:color w:val="000000" w:themeColor="text1"/>
        </w:rPr>
        <w:t xml:space="preserve">most of </w:t>
      </w:r>
      <w:r w:rsidR="0032464A">
        <w:rPr>
          <w:color w:val="000000" w:themeColor="text1"/>
        </w:rPr>
        <w:t>these drivers manage driving tasks safely,</w:t>
      </w:r>
      <w:r w:rsidRPr="00DC43F1">
        <w:rPr>
          <w:color w:val="000000" w:themeColor="text1"/>
        </w:rPr>
        <w:t xml:space="preserve"> some find it increasingly difficult to navigate to unfamiliar destinations. Electronic </w:t>
      </w:r>
      <w:r w:rsidR="00F4230E">
        <w:rPr>
          <w:color w:val="000000" w:themeColor="text1"/>
        </w:rPr>
        <w:t>navigation systems (ENSs)</w:t>
      </w:r>
      <w:r w:rsidR="00F4230E" w:rsidRPr="00DC43F1">
        <w:rPr>
          <w:color w:val="000000" w:themeColor="text1"/>
        </w:rPr>
        <w:t xml:space="preserve"> </w:t>
      </w:r>
      <w:r w:rsidRPr="00DC43F1">
        <w:rPr>
          <w:color w:val="000000" w:themeColor="text1"/>
        </w:rPr>
        <w:t xml:space="preserve">may provide a means to safely </w:t>
      </w:r>
      <w:r w:rsidR="00C83053">
        <w:rPr>
          <w:color w:val="000000" w:themeColor="text1"/>
        </w:rPr>
        <w:t>maintain an</w:t>
      </w:r>
      <w:r w:rsidR="00C83053" w:rsidRPr="00DC43F1">
        <w:rPr>
          <w:color w:val="000000" w:themeColor="text1"/>
        </w:rPr>
        <w:t xml:space="preserve"> </w:t>
      </w:r>
      <w:r w:rsidRPr="00DC43F1">
        <w:rPr>
          <w:color w:val="000000" w:themeColor="text1"/>
        </w:rPr>
        <w:t>older adult</w:t>
      </w:r>
      <w:r w:rsidR="00C83053">
        <w:rPr>
          <w:color w:val="000000" w:themeColor="text1"/>
        </w:rPr>
        <w:t>’</w:t>
      </w:r>
      <w:r w:rsidRPr="00DC43F1">
        <w:rPr>
          <w:color w:val="000000" w:themeColor="text1"/>
        </w:rPr>
        <w:t xml:space="preserve">s </w:t>
      </w:r>
      <w:r w:rsidR="00C83053">
        <w:rPr>
          <w:color w:val="000000" w:themeColor="text1"/>
        </w:rPr>
        <w:t>ability to drive to unfamiliar destinations</w:t>
      </w:r>
      <w:r w:rsidR="00F4230E">
        <w:rPr>
          <w:color w:val="000000" w:themeColor="text1"/>
        </w:rPr>
        <w:t>;</w:t>
      </w:r>
      <w:r w:rsidRPr="00DC43F1">
        <w:rPr>
          <w:color w:val="000000" w:themeColor="text1"/>
        </w:rPr>
        <w:t xml:space="preserve"> however, these systems </w:t>
      </w:r>
      <w:r w:rsidR="00C83053">
        <w:rPr>
          <w:color w:val="000000" w:themeColor="text1"/>
        </w:rPr>
        <w:t>might also add to</w:t>
      </w:r>
      <w:r w:rsidR="00C83053" w:rsidRPr="00DC43F1">
        <w:rPr>
          <w:color w:val="000000" w:themeColor="text1"/>
        </w:rPr>
        <w:t xml:space="preserve"> </w:t>
      </w:r>
      <w:r w:rsidRPr="00DC43F1">
        <w:rPr>
          <w:color w:val="000000" w:themeColor="text1"/>
        </w:rPr>
        <w:t>driver workload by causing a distraction</w:t>
      </w:r>
      <w:r w:rsidR="00F4230E">
        <w:rPr>
          <w:color w:val="000000" w:themeColor="text1"/>
        </w:rPr>
        <w:t>, thereby increasing risk</w:t>
      </w:r>
      <w:r w:rsidRPr="00DC43F1">
        <w:rPr>
          <w:color w:val="000000" w:themeColor="text1"/>
        </w:rPr>
        <w:t xml:space="preserve">. This study will explore the extent to which GPS-based navigation systems support or impair older adults’ performance </w:t>
      </w:r>
      <w:r>
        <w:rPr>
          <w:color w:val="000000" w:themeColor="text1"/>
        </w:rPr>
        <w:t>when driving to an unfamiliar destination as compared to navigation using traditional methods</w:t>
      </w:r>
      <w:r w:rsidRPr="00DC43F1">
        <w:rPr>
          <w:color w:val="000000" w:themeColor="text1"/>
        </w:rPr>
        <w:t xml:space="preserve">. </w:t>
      </w:r>
      <w:r>
        <w:rPr>
          <w:color w:val="000000" w:themeColor="text1"/>
        </w:rPr>
        <w:t>A professional driving rehabilitation specialist will rate participants’ driving performance as they drive to (1) a familiar destination, (2</w:t>
      </w:r>
      <w:r w:rsidR="00C83053">
        <w:rPr>
          <w:color w:val="000000" w:themeColor="text1"/>
        </w:rPr>
        <w:t>a</w:t>
      </w:r>
      <w:r>
        <w:rPr>
          <w:color w:val="000000" w:themeColor="text1"/>
        </w:rPr>
        <w:t>) an unfamiliar destination using a map and/or turn-by-turn instructions, and (</w:t>
      </w:r>
      <w:r w:rsidR="00C83053">
        <w:rPr>
          <w:color w:val="000000" w:themeColor="text1"/>
        </w:rPr>
        <w:t>2b</w:t>
      </w:r>
      <w:r>
        <w:rPr>
          <w:color w:val="000000" w:themeColor="text1"/>
        </w:rPr>
        <w:t xml:space="preserve">) using an </w:t>
      </w:r>
      <w:r w:rsidR="001B5C28">
        <w:rPr>
          <w:color w:val="000000" w:themeColor="text1"/>
        </w:rPr>
        <w:t>ENS</w:t>
      </w:r>
      <w:r>
        <w:rPr>
          <w:color w:val="000000" w:themeColor="text1"/>
        </w:rPr>
        <w:t>.</w:t>
      </w:r>
      <w:r w:rsidR="00AC1A25">
        <w:rPr>
          <w:color w:val="000000" w:themeColor="text1"/>
        </w:rPr>
        <w:t xml:space="preserve"> Researchers will analyze driving performance scores to document strengths and weaknesses associated with electronic and paper directions. </w:t>
      </w:r>
      <w:r>
        <w:rPr>
          <w:color w:val="000000" w:themeColor="text1"/>
        </w:rPr>
        <w:t>Researchers</w:t>
      </w:r>
      <w:r w:rsidRPr="00DC43F1">
        <w:rPr>
          <w:color w:val="000000" w:themeColor="text1"/>
        </w:rPr>
        <w:t xml:space="preserve"> will then</w:t>
      </w:r>
      <w:r>
        <w:rPr>
          <w:color w:val="000000" w:themeColor="text1"/>
        </w:rPr>
        <w:t xml:space="preserve"> develop training based on </w:t>
      </w:r>
      <w:r w:rsidR="00AC1A25">
        <w:rPr>
          <w:color w:val="000000" w:themeColor="text1"/>
        </w:rPr>
        <w:t>errors participants made while</w:t>
      </w:r>
      <w:r>
        <w:rPr>
          <w:color w:val="000000" w:themeColor="text1"/>
        </w:rPr>
        <w:t xml:space="preserve"> using the navigation system and</w:t>
      </w:r>
      <w:r w:rsidRPr="00DC43F1">
        <w:rPr>
          <w:color w:val="000000" w:themeColor="text1"/>
        </w:rPr>
        <w:t xml:space="preserve"> assess the benefits of providing training in using an ENS to older adults. </w:t>
      </w:r>
      <w:r w:rsidR="008050C8">
        <w:rPr>
          <w:color w:val="000000" w:themeColor="text1"/>
        </w:rPr>
        <w:t xml:space="preserve">The findings will provide </w:t>
      </w:r>
      <w:r w:rsidR="00C83053">
        <w:rPr>
          <w:color w:val="000000" w:themeColor="text1"/>
        </w:rPr>
        <w:t>older drivers</w:t>
      </w:r>
      <w:r w:rsidR="007B3825">
        <w:rPr>
          <w:color w:val="000000" w:themeColor="text1"/>
        </w:rPr>
        <w:t>,</w:t>
      </w:r>
      <w:r w:rsidR="00C83053">
        <w:rPr>
          <w:color w:val="000000" w:themeColor="text1"/>
        </w:rPr>
        <w:t xml:space="preserve"> as well </w:t>
      </w:r>
      <w:r w:rsidR="005D038A">
        <w:rPr>
          <w:color w:val="000000" w:themeColor="text1"/>
        </w:rPr>
        <w:t>a</w:t>
      </w:r>
      <w:r w:rsidR="00C83053">
        <w:rPr>
          <w:color w:val="000000" w:themeColor="text1"/>
        </w:rPr>
        <w:t>s professionals</w:t>
      </w:r>
      <w:r w:rsidR="008050C8">
        <w:rPr>
          <w:color w:val="000000" w:themeColor="text1"/>
        </w:rPr>
        <w:t xml:space="preserve"> who work with older </w:t>
      </w:r>
      <w:r w:rsidR="00C83053">
        <w:rPr>
          <w:color w:val="000000" w:themeColor="text1"/>
        </w:rPr>
        <w:t>drivers</w:t>
      </w:r>
      <w:r w:rsidR="008050C8">
        <w:rPr>
          <w:color w:val="000000" w:themeColor="text1"/>
        </w:rPr>
        <w:t xml:space="preserve"> with valuable and currently unavailable information about the safety </w:t>
      </w:r>
      <w:r w:rsidR="00A65140">
        <w:rPr>
          <w:color w:val="000000" w:themeColor="text1"/>
        </w:rPr>
        <w:t xml:space="preserve">and mobility </w:t>
      </w:r>
      <w:r w:rsidR="008050C8">
        <w:rPr>
          <w:color w:val="000000" w:themeColor="text1"/>
        </w:rPr>
        <w:t>implications of older drivers using ENSs.</w:t>
      </w:r>
      <w:r w:rsidR="00906466">
        <w:rPr>
          <w:color w:val="000000" w:themeColor="text1"/>
        </w:rPr>
        <w:t xml:space="preserve"> Training methods developed through this study provide a means of maximizing the benefits of the systems while minimizing the extent to which the</w:t>
      </w:r>
      <w:r w:rsidR="007B3825">
        <w:rPr>
          <w:color w:val="000000" w:themeColor="text1"/>
        </w:rPr>
        <w:t>y</w:t>
      </w:r>
      <w:r w:rsidR="00906466">
        <w:rPr>
          <w:color w:val="000000" w:themeColor="text1"/>
        </w:rPr>
        <w:t xml:space="preserve"> distract the driver.</w:t>
      </w:r>
    </w:p>
    <w:p w14:paraId="05BD5E17" w14:textId="77777777" w:rsidR="00C800ED" w:rsidRPr="00672019" w:rsidRDefault="00C800ED" w:rsidP="00C800ED">
      <w:pPr>
        <w:ind w:left="360"/>
      </w:pPr>
    </w:p>
    <w:p w14:paraId="4CCF5A97" w14:textId="77777777" w:rsidR="00C800ED" w:rsidRPr="00672019" w:rsidRDefault="00C800ED" w:rsidP="00C800ED">
      <w:pPr>
        <w:pStyle w:val="Heading1"/>
        <w:numPr>
          <w:ilvl w:val="0"/>
          <w:numId w:val="1"/>
        </w:numPr>
        <w:rPr>
          <w:b/>
          <w:bCs/>
        </w:rPr>
      </w:pPr>
      <w:bookmarkStart w:id="2" w:name="_Toc125278355"/>
      <w:bookmarkStart w:id="3" w:name="_Toc125278812"/>
      <w:bookmarkStart w:id="4" w:name="_Toc125341733"/>
      <w:bookmarkStart w:id="5" w:name="_Toc125447291"/>
      <w:bookmarkStart w:id="6" w:name="_Toc126394119"/>
      <w:r w:rsidRPr="00672019">
        <w:rPr>
          <w:b/>
          <w:bCs/>
        </w:rPr>
        <w:t>Justification</w:t>
      </w:r>
      <w:bookmarkEnd w:id="2"/>
      <w:bookmarkEnd w:id="3"/>
      <w:bookmarkEnd w:id="4"/>
      <w:bookmarkEnd w:id="5"/>
      <w:bookmarkEnd w:id="6"/>
      <w:r w:rsidRPr="00672019">
        <w:rPr>
          <w:b/>
          <w:bCs/>
        </w:rPr>
        <w:t xml:space="preserve"> </w:t>
      </w:r>
    </w:p>
    <w:p w14:paraId="49D34293" w14:textId="77777777" w:rsidR="00632B3C" w:rsidRDefault="00632B3C" w:rsidP="00C800ED"/>
    <w:p w14:paraId="48ADD493" w14:textId="77777777" w:rsidR="00632B3C" w:rsidRPr="009D1C79" w:rsidRDefault="00632B3C" w:rsidP="007E1DAA">
      <w:pPr>
        <w:ind w:firstLine="360"/>
      </w:pPr>
      <w:r w:rsidRPr="009D1C79">
        <w:t>The National Highway Traffic Safety Administration (NHTSA) of the U.S. Department of Transportation (USDOT) is seeking approval from the Office of Management and Budget (OMB) to conduct a</w:t>
      </w:r>
      <w:r w:rsidR="0029554E" w:rsidRPr="009D1C79">
        <w:t xml:space="preserve"> qualifying </w:t>
      </w:r>
      <w:r w:rsidR="00D14034">
        <w:t>questionnaire</w:t>
      </w:r>
      <w:r w:rsidR="00D14034" w:rsidRPr="009D1C79">
        <w:t xml:space="preserve"> </w:t>
      </w:r>
      <w:r w:rsidR="0005097E">
        <w:t>of</w:t>
      </w:r>
      <w:r w:rsidR="0029554E" w:rsidRPr="009D1C79">
        <w:t xml:space="preserve"> prospective </w:t>
      </w:r>
      <w:r w:rsidR="00980120">
        <w:t xml:space="preserve">volunteer </w:t>
      </w:r>
      <w:r w:rsidR="0029554E" w:rsidRPr="009D1C79">
        <w:t>participants</w:t>
      </w:r>
      <w:r w:rsidR="00AA4F0B">
        <w:t xml:space="preserve"> and conduct</w:t>
      </w:r>
      <w:r w:rsidR="0005097E">
        <w:t xml:space="preserve"> a study entitled </w:t>
      </w:r>
      <w:r w:rsidR="00DD4655">
        <w:rPr>
          <w:i/>
        </w:rPr>
        <w:t>Older Driver</w:t>
      </w:r>
      <w:r w:rsidR="0005097E">
        <w:rPr>
          <w:i/>
        </w:rPr>
        <w:t>s and Navigation Devices</w:t>
      </w:r>
      <w:r w:rsidR="00AA4F0B">
        <w:t xml:space="preserve"> described above</w:t>
      </w:r>
      <w:r w:rsidR="00E74CB5" w:rsidRPr="009D1C79">
        <w:t xml:space="preserve">.  </w:t>
      </w:r>
    </w:p>
    <w:p w14:paraId="4FC0D6B4" w14:textId="77777777" w:rsidR="00DC4400" w:rsidRDefault="00DC4400" w:rsidP="00C800ED"/>
    <w:p w14:paraId="33F9A649" w14:textId="77777777" w:rsidR="00C800ED" w:rsidRPr="00672019" w:rsidRDefault="00C800ED" w:rsidP="00C800ED">
      <w:pPr>
        <w:pStyle w:val="Heading2"/>
        <w:ind w:left="720" w:hanging="720"/>
        <w:rPr>
          <w:b/>
          <w:u w:val="none"/>
        </w:rPr>
      </w:pPr>
      <w:bookmarkStart w:id="7" w:name="_Toc125278813"/>
      <w:bookmarkStart w:id="8" w:name="_Toc125341734"/>
      <w:bookmarkStart w:id="9" w:name="_Toc125447292"/>
      <w:bookmarkStart w:id="10" w:name="_Toc126394120"/>
      <w:r w:rsidRPr="00672019">
        <w:rPr>
          <w:b/>
          <w:u w:val="none"/>
        </w:rPr>
        <w:t>A.1.</w:t>
      </w:r>
      <w:r w:rsidRPr="00672019">
        <w:rPr>
          <w:b/>
          <w:u w:val="none"/>
        </w:rPr>
        <w:tab/>
        <w:t>Explain the circumstances that make the collection of information necessary.</w:t>
      </w:r>
      <w:bookmarkEnd w:id="7"/>
      <w:bookmarkEnd w:id="8"/>
      <w:r w:rsidRPr="00672019">
        <w:rPr>
          <w:b/>
          <w:u w:val="none"/>
        </w:rPr>
        <w:t xml:space="preserve"> Identify any Legal or administrative requirements that necessitate the collection. Attach a copy of the appropriate section of each statute and regulation mandating or authorizing the collection of information.</w:t>
      </w:r>
      <w:bookmarkEnd w:id="9"/>
      <w:bookmarkEnd w:id="10"/>
    </w:p>
    <w:p w14:paraId="0B6D11C5" w14:textId="77777777" w:rsidR="00C800ED" w:rsidRPr="00672019" w:rsidRDefault="00C800ED" w:rsidP="00C800ED">
      <w:pPr>
        <w:pStyle w:val="Heading3"/>
        <w:numPr>
          <w:ilvl w:val="0"/>
          <w:numId w:val="0"/>
        </w:numPr>
        <w:rPr>
          <w:b/>
          <w:i/>
          <w:u w:val="none"/>
        </w:rPr>
      </w:pPr>
      <w:bookmarkStart w:id="11" w:name="_Toc125341735"/>
    </w:p>
    <w:p w14:paraId="724F5E79" w14:textId="77777777" w:rsidR="00C800ED" w:rsidRPr="00672019" w:rsidRDefault="00C800ED" w:rsidP="00C800ED">
      <w:pPr>
        <w:pStyle w:val="Heading3"/>
        <w:numPr>
          <w:ilvl w:val="0"/>
          <w:numId w:val="0"/>
        </w:numPr>
        <w:rPr>
          <w:b/>
          <w:i/>
          <w:u w:val="none"/>
        </w:rPr>
      </w:pPr>
      <w:bookmarkStart w:id="12" w:name="_Toc125447293"/>
      <w:bookmarkStart w:id="13" w:name="_Toc126394121"/>
      <w:r w:rsidRPr="00672019">
        <w:rPr>
          <w:b/>
          <w:i/>
          <w:u w:val="none"/>
        </w:rPr>
        <w:t xml:space="preserve">a. Circumstances making the collection </w:t>
      </w:r>
      <w:bookmarkEnd w:id="11"/>
      <w:r w:rsidRPr="00672019">
        <w:rPr>
          <w:b/>
          <w:i/>
          <w:u w:val="none"/>
        </w:rPr>
        <w:t>necessary</w:t>
      </w:r>
      <w:bookmarkEnd w:id="12"/>
      <w:bookmarkEnd w:id="13"/>
    </w:p>
    <w:p w14:paraId="69E832BA" w14:textId="77777777" w:rsidR="00C800ED" w:rsidRPr="00672019" w:rsidRDefault="00C800ED" w:rsidP="00C800ED"/>
    <w:p w14:paraId="0BEF03A2" w14:textId="77777777" w:rsidR="0058299E" w:rsidRPr="0015482E" w:rsidRDefault="0058299E" w:rsidP="007E1DAA">
      <w:pPr>
        <w:ind w:firstLine="720"/>
      </w:pPr>
      <w:r w:rsidRPr="0015482E">
        <w:t>NHTSA was established to reduce the number of deaths, injuries, and economic losses resulting from motor vehicle crashes on the Nation’s highways.  As part of this statutory mandate, NHTSA is authorized to conduct research as a foundation for the development of motor vehicle standards and traffic safety programs.</w:t>
      </w:r>
    </w:p>
    <w:p w14:paraId="6B6B0D34" w14:textId="77777777" w:rsidR="00290B32" w:rsidRDefault="00290B32" w:rsidP="007E1DAA">
      <w:pPr>
        <w:ind w:firstLine="720"/>
        <w:rPr>
          <w:color w:val="4F81BD" w:themeColor="accent1"/>
        </w:rPr>
      </w:pPr>
    </w:p>
    <w:p w14:paraId="04E67C4E" w14:textId="77777777" w:rsidR="003D0687" w:rsidRDefault="00626D90" w:rsidP="00626D90">
      <w:pPr>
        <w:ind w:firstLine="720"/>
      </w:pPr>
      <w:r w:rsidRPr="00E14379">
        <w:t>A 2008 estimate by the Federal Highway Administration reveals that there are more than 208 million licensed drivers in the United States, of whom about 15% are 65 years of age or older.</w:t>
      </w:r>
      <w:r w:rsidRPr="00E14379">
        <w:rPr>
          <w:rStyle w:val="FootnoteReference"/>
        </w:rPr>
        <w:footnoteReference w:id="1"/>
      </w:r>
      <w:r w:rsidRPr="00E14379">
        <w:t xml:space="preserve">  The proportion of drivers</w:t>
      </w:r>
      <w:r w:rsidR="00BE2E42">
        <w:t xml:space="preserve"> 65 and older</w:t>
      </w:r>
      <w:r w:rsidRPr="00E14379">
        <w:t xml:space="preserve"> is anticipated to grow to </w:t>
      </w:r>
      <w:r w:rsidRPr="00E14379">
        <w:lastRenderedPageBreak/>
        <w:t xml:space="preserve">more than one in five over the next 20 to 30 years as the population ages and as the current cohort of drivers continues driving longer than previous generations.  This growth in the number of older </w:t>
      </w:r>
      <w:proofErr w:type="gramStart"/>
      <w:r w:rsidRPr="00E14379">
        <w:t>drivers</w:t>
      </w:r>
      <w:proofErr w:type="gramEnd"/>
      <w:r w:rsidRPr="00E14379">
        <w:t xml:space="preserve"> fuels concern that functional declines associated with normal aging or disease will lead to increased occurrence of crashes and resultant injuries and deaths.  At the same time, modern society, especially in the United States, is heavily dependent on automobile travel, so that the inability to drive poses its own risks to health and quality of life. In this context, a consensus has developed that mobility preservation, </w:t>
      </w:r>
      <w:r w:rsidRPr="00E14379">
        <w:rPr>
          <w:i/>
        </w:rPr>
        <w:t>when safely possible,</w:t>
      </w:r>
      <w:r w:rsidRPr="00E14379">
        <w:t xml:space="preserve"> is important both to the affected individuals and to the greater population</w:t>
      </w:r>
      <w:r w:rsidR="003D0687">
        <w:t>.</w:t>
      </w:r>
    </w:p>
    <w:p w14:paraId="193B6BEB" w14:textId="77777777" w:rsidR="003D0687" w:rsidRDefault="003D0687" w:rsidP="00626D90">
      <w:pPr>
        <w:ind w:firstLine="720"/>
      </w:pPr>
    </w:p>
    <w:p w14:paraId="17A7D6F6" w14:textId="77777777" w:rsidR="003D0687" w:rsidRDefault="003D0687" w:rsidP="00025DF5">
      <w:pPr>
        <w:autoSpaceDE w:val="0"/>
        <w:autoSpaceDN w:val="0"/>
        <w:adjustRightInd w:val="0"/>
        <w:ind w:firstLine="720"/>
      </w:pPr>
      <w:r w:rsidRPr="00B65A4A">
        <w:t xml:space="preserve">A number of electronic devices have been advanced as means </w:t>
      </w:r>
      <w:r>
        <w:t xml:space="preserve">to </w:t>
      </w:r>
      <w:r w:rsidR="007E01B3">
        <w:t xml:space="preserve">safely </w:t>
      </w:r>
      <w:r>
        <w:t>prolong</w:t>
      </w:r>
      <w:r w:rsidRPr="00B65A4A">
        <w:t xml:space="preserve"> older adults’ driving careers. </w:t>
      </w:r>
      <w:r>
        <w:t>These</w:t>
      </w:r>
      <w:r w:rsidRPr="00B65A4A">
        <w:t xml:space="preserve"> include ENSs</w:t>
      </w:r>
      <w:r>
        <w:t>,</w:t>
      </w:r>
      <w:r w:rsidRPr="00B65A4A">
        <w:t xml:space="preserve"> </w:t>
      </w:r>
      <w:r>
        <w:t xml:space="preserve">such as the widespread portable and built-in Global Positioning System (GPS) navigation units, </w:t>
      </w:r>
      <w:r w:rsidRPr="00B65A4A">
        <w:t xml:space="preserve">which could aid older drivers through freeing cognitive resources otherwise needed for wayfinding. </w:t>
      </w:r>
      <w:r>
        <w:t>It is possible, however, that these</w:t>
      </w:r>
      <w:r w:rsidRPr="00B65A4A">
        <w:t xml:space="preserve"> systems may increase driver workload </w:t>
      </w:r>
      <w:r>
        <w:t>because they select</w:t>
      </w:r>
      <w:r w:rsidRPr="00B65A4A">
        <w:t xml:space="preserve"> a route that is different than the driver expects or </w:t>
      </w:r>
      <w:r>
        <w:t>by causing a</w:t>
      </w:r>
      <w:r w:rsidRPr="00B65A4A">
        <w:t xml:space="preserve"> distraction. This study will explore the extent to which </w:t>
      </w:r>
      <w:r>
        <w:t xml:space="preserve">GPS-based </w:t>
      </w:r>
      <w:r w:rsidRPr="00B65A4A">
        <w:t>navigation systems support or impair older adults’ driving performance</w:t>
      </w:r>
      <w:r w:rsidR="002C3185">
        <w:t xml:space="preserve"> and provide a potential for increased mobility</w:t>
      </w:r>
      <w:r w:rsidRPr="00B65A4A">
        <w:t>.</w:t>
      </w:r>
    </w:p>
    <w:p w14:paraId="1CEE64E0" w14:textId="77777777" w:rsidR="002C3185" w:rsidRPr="00B65A4A" w:rsidRDefault="002C3185" w:rsidP="00025DF5">
      <w:pPr>
        <w:autoSpaceDE w:val="0"/>
        <w:autoSpaceDN w:val="0"/>
        <w:adjustRightInd w:val="0"/>
        <w:ind w:firstLine="720"/>
      </w:pPr>
    </w:p>
    <w:p w14:paraId="00A0A01F" w14:textId="32E82994" w:rsidR="007E7155" w:rsidRDefault="003D0687" w:rsidP="00C958B5">
      <w:pPr>
        <w:ind w:firstLine="720"/>
        <w:rPr>
          <w:color w:val="000000"/>
        </w:rPr>
      </w:pPr>
      <w:r w:rsidRPr="0006582D">
        <w:rPr>
          <w:color w:val="000000"/>
        </w:rPr>
        <w:t xml:space="preserve">The purpose of </w:t>
      </w:r>
      <w:r w:rsidR="006E3C2A">
        <w:rPr>
          <w:color w:val="000000"/>
        </w:rPr>
        <w:t>Segment</w:t>
      </w:r>
      <w:r w:rsidR="00A641ED">
        <w:rPr>
          <w:color w:val="000000"/>
        </w:rPr>
        <w:t xml:space="preserve"> 1 of </w:t>
      </w:r>
      <w:r w:rsidRPr="0006582D">
        <w:rPr>
          <w:color w:val="000000"/>
        </w:rPr>
        <w:t xml:space="preserve">the study is to document </w:t>
      </w:r>
      <w:r w:rsidRPr="00B65A4A">
        <w:t>differences in older adults’ driving performance while they drive to familiar destinations, unfamiliar destinations using paper directions, and unfamiliar destinations using an ENS. The project will also explore the effects of familiarity using an ENS on driving performance</w:t>
      </w:r>
      <w:r w:rsidR="00E053A7">
        <w:t xml:space="preserve"> (half of the participants will be regular ENS users, the remainder will not)</w:t>
      </w:r>
      <w:r w:rsidRPr="00B65A4A">
        <w:t xml:space="preserve">. </w:t>
      </w:r>
      <w:r w:rsidR="006E3C2A">
        <w:t>Segment 2</w:t>
      </w:r>
      <w:r w:rsidR="00325AA7">
        <w:t xml:space="preserve"> of the study</w:t>
      </w:r>
      <w:r w:rsidR="007E7155">
        <w:rPr>
          <w:color w:val="000000"/>
        </w:rPr>
        <w:t xml:space="preserve"> will </w:t>
      </w:r>
      <w:r w:rsidR="001B5C28">
        <w:rPr>
          <w:color w:val="000000"/>
        </w:rPr>
        <w:t xml:space="preserve">evaluate an ENS training protocol designed to address errors </w:t>
      </w:r>
      <w:r w:rsidR="00AA4F0B">
        <w:rPr>
          <w:color w:val="000000"/>
        </w:rPr>
        <w:t xml:space="preserve">participants made </w:t>
      </w:r>
      <w:r w:rsidR="001B5C28">
        <w:rPr>
          <w:color w:val="000000"/>
        </w:rPr>
        <w:t>in entering destinations into or following directions from the ENS</w:t>
      </w:r>
      <w:r w:rsidR="00A57F06">
        <w:rPr>
          <w:color w:val="000000"/>
        </w:rPr>
        <w:t xml:space="preserve"> observed during </w:t>
      </w:r>
      <w:r w:rsidR="006E3C2A">
        <w:rPr>
          <w:color w:val="000000"/>
        </w:rPr>
        <w:t>Segment 1</w:t>
      </w:r>
      <w:r w:rsidR="001B5C28">
        <w:rPr>
          <w:color w:val="000000"/>
        </w:rPr>
        <w:t xml:space="preserve">. </w:t>
      </w:r>
      <w:r w:rsidR="00AA4F0B">
        <w:rPr>
          <w:color w:val="000000"/>
        </w:rPr>
        <w:t xml:space="preserve">Following training, participants </w:t>
      </w:r>
      <w:r w:rsidR="001B5C28">
        <w:rPr>
          <w:color w:val="000000"/>
        </w:rPr>
        <w:t>will enter destination information into an ENS and then drive to the destination following ENS instructions. Performance measures will be compared to those of a control group who will not receive such training.</w:t>
      </w:r>
    </w:p>
    <w:p w14:paraId="2D2B8853" w14:textId="77777777" w:rsidR="007A5B77" w:rsidRDefault="007A5B77" w:rsidP="004F4738">
      <w:pPr>
        <w:autoSpaceDE w:val="0"/>
        <w:autoSpaceDN w:val="0"/>
        <w:adjustRightInd w:val="0"/>
        <w:ind w:firstLine="720"/>
      </w:pPr>
    </w:p>
    <w:p w14:paraId="7A19A16E" w14:textId="3566C5E0" w:rsidR="007A5B77" w:rsidRPr="002B7299" w:rsidRDefault="007A5B77" w:rsidP="002B7299">
      <w:pPr>
        <w:ind w:firstLine="720"/>
        <w:rPr>
          <w:color w:val="000000"/>
        </w:rPr>
      </w:pPr>
      <w:r w:rsidRPr="002B7299">
        <w:rPr>
          <w:color w:val="000000"/>
        </w:rPr>
        <w:t>NHTSA proposes an experimental study to document differences in driving performance as participants drive to</w:t>
      </w:r>
      <w:r w:rsidR="002B7299">
        <w:rPr>
          <w:color w:val="000000"/>
        </w:rPr>
        <w:t xml:space="preserve"> familiar locations</w:t>
      </w:r>
      <w:r w:rsidR="00A66E4D">
        <w:rPr>
          <w:color w:val="000000"/>
        </w:rPr>
        <w:t xml:space="preserve">, </w:t>
      </w:r>
      <w:r w:rsidR="00A66E4D" w:rsidRPr="002B7299">
        <w:rPr>
          <w:color w:val="000000"/>
        </w:rPr>
        <w:t>unfamiliar</w:t>
      </w:r>
      <w:r w:rsidRPr="002B7299">
        <w:rPr>
          <w:color w:val="000000"/>
        </w:rPr>
        <w:t xml:space="preserve"> locations using an ENS device </w:t>
      </w:r>
      <w:r w:rsidR="002B7299">
        <w:rPr>
          <w:color w:val="000000"/>
        </w:rPr>
        <w:t>and unfamiliar location</w:t>
      </w:r>
      <w:r w:rsidR="00A66E4D">
        <w:rPr>
          <w:color w:val="000000"/>
        </w:rPr>
        <w:t>s</w:t>
      </w:r>
      <w:r w:rsidRPr="002B7299">
        <w:rPr>
          <w:color w:val="000000"/>
        </w:rPr>
        <w:t xml:space="preserve"> using traditional paper maps and step-by-step directions. </w:t>
      </w:r>
      <w:r w:rsidR="00BF58D5">
        <w:rPr>
          <w:color w:val="000000"/>
        </w:rPr>
        <w:t>In addition to the recruiting and classification information, d</w:t>
      </w:r>
      <w:r w:rsidRPr="002B7299">
        <w:rPr>
          <w:color w:val="000000"/>
        </w:rPr>
        <w:t xml:space="preserve">ata collected through </w:t>
      </w:r>
      <w:r w:rsidR="006E3C2A">
        <w:rPr>
          <w:color w:val="000000"/>
        </w:rPr>
        <w:t>Segment 1</w:t>
      </w:r>
      <w:r w:rsidR="00325AA7">
        <w:rPr>
          <w:color w:val="000000"/>
        </w:rPr>
        <w:t xml:space="preserve"> of the</w:t>
      </w:r>
      <w:r w:rsidRPr="002B7299">
        <w:rPr>
          <w:color w:val="000000"/>
        </w:rPr>
        <w:t xml:space="preserve"> study will include participants’ scores on: </w:t>
      </w:r>
    </w:p>
    <w:p w14:paraId="4452F707" w14:textId="61FF417F" w:rsidR="007A5B77" w:rsidRPr="00DD4E2F" w:rsidRDefault="00325AA7" w:rsidP="007A5B77">
      <w:pPr>
        <w:widowControl w:val="0"/>
        <w:numPr>
          <w:ilvl w:val="0"/>
          <w:numId w:val="30"/>
        </w:numPr>
        <w:ind w:right="-360"/>
        <w:rPr>
          <w:lang w:bidi="en-US"/>
        </w:rPr>
      </w:pPr>
      <w:r>
        <w:rPr>
          <w:lang w:bidi="en-US"/>
        </w:rPr>
        <w:t>A c</w:t>
      </w:r>
      <w:r w:rsidR="00DF02F7" w:rsidRPr="00F6527A">
        <w:rPr>
          <w:lang w:bidi="en-US"/>
        </w:rPr>
        <w:t>linical measure of</w:t>
      </w:r>
      <w:r w:rsidR="007A5B77" w:rsidRPr="00F6527A">
        <w:rPr>
          <w:lang w:bidi="en-US"/>
        </w:rPr>
        <w:t xml:space="preserve"> functional skills to 1) ensure that the participant is safe to drive before they begin the on-road segment of the study, and 2) to support analyses of the effects of functional skills on ability to use an ENS system; </w:t>
      </w:r>
    </w:p>
    <w:p w14:paraId="3DDBA5BA" w14:textId="77777777" w:rsidR="007A5B77" w:rsidRDefault="00AC1291" w:rsidP="007A5B77">
      <w:pPr>
        <w:widowControl w:val="0"/>
        <w:numPr>
          <w:ilvl w:val="0"/>
          <w:numId w:val="30"/>
        </w:numPr>
        <w:ind w:right="-360"/>
        <w:rPr>
          <w:lang w:bidi="en-US"/>
        </w:rPr>
      </w:pPr>
      <w:r w:rsidRPr="00F6527A">
        <w:rPr>
          <w:lang w:bidi="en-US"/>
        </w:rPr>
        <w:t xml:space="preserve">Driving performance while driving to </w:t>
      </w:r>
      <w:r w:rsidR="00807E37" w:rsidRPr="00F6527A">
        <w:rPr>
          <w:lang w:bidi="en-US"/>
        </w:rPr>
        <w:t xml:space="preserve">a familiar location, </w:t>
      </w:r>
      <w:r w:rsidRPr="00F6527A">
        <w:rPr>
          <w:lang w:bidi="en-US"/>
        </w:rPr>
        <w:t>an unfamiliar location while using an ENS and</w:t>
      </w:r>
      <w:r w:rsidR="00EE0C2E">
        <w:rPr>
          <w:lang w:bidi="en-US"/>
        </w:rPr>
        <w:t xml:space="preserve"> an unfamiliar location</w:t>
      </w:r>
      <w:r w:rsidRPr="00F6527A">
        <w:rPr>
          <w:lang w:bidi="en-US"/>
        </w:rPr>
        <w:t xml:space="preserve"> while using paper maps with turn-by-turn directions</w:t>
      </w:r>
      <w:r w:rsidR="007A5B77" w:rsidRPr="00DD4E2F">
        <w:rPr>
          <w:lang w:bidi="en-US"/>
        </w:rPr>
        <w:t>.</w:t>
      </w:r>
    </w:p>
    <w:p w14:paraId="2E71B6C6" w14:textId="77777777" w:rsidR="00EE0C2E" w:rsidRDefault="00EE0C2E" w:rsidP="007A5B77">
      <w:pPr>
        <w:widowControl w:val="0"/>
        <w:numPr>
          <w:ilvl w:val="0"/>
          <w:numId w:val="30"/>
        </w:numPr>
        <w:ind w:right="-360"/>
        <w:rPr>
          <w:lang w:bidi="en-US"/>
        </w:rPr>
      </w:pPr>
      <w:r>
        <w:rPr>
          <w:lang w:bidi="en-US"/>
        </w:rPr>
        <w:t>Performance entering an un</w:t>
      </w:r>
      <w:r w:rsidR="00325AA7">
        <w:rPr>
          <w:lang w:bidi="en-US"/>
        </w:rPr>
        <w:t>familiar destination into the ENS;</w:t>
      </w:r>
    </w:p>
    <w:p w14:paraId="5B7D9A7A" w14:textId="77777777" w:rsidR="00325AA7" w:rsidRDefault="00325AA7" w:rsidP="00F6527A">
      <w:pPr>
        <w:widowControl w:val="0"/>
        <w:ind w:right="-360"/>
        <w:rPr>
          <w:lang w:bidi="en-US"/>
        </w:rPr>
      </w:pPr>
    </w:p>
    <w:p w14:paraId="7C9C1E45" w14:textId="1E91B233" w:rsidR="00040DC0" w:rsidRPr="000B0071" w:rsidRDefault="006E3C2A" w:rsidP="00F6527A">
      <w:pPr>
        <w:widowControl w:val="0"/>
        <w:ind w:right="-360"/>
        <w:rPr>
          <w:lang w:bidi="en-US"/>
        </w:rPr>
      </w:pPr>
      <w:r>
        <w:rPr>
          <w:lang w:bidi="en-US"/>
        </w:rPr>
        <w:t>Segment 2</w:t>
      </w:r>
      <w:r w:rsidR="00325AA7">
        <w:rPr>
          <w:lang w:bidi="en-US"/>
        </w:rPr>
        <w:t xml:space="preserve"> of the study will </w:t>
      </w:r>
      <w:r w:rsidR="00A641ED">
        <w:rPr>
          <w:lang w:bidi="en-US"/>
        </w:rPr>
        <w:t xml:space="preserve">develop and </w:t>
      </w:r>
      <w:r w:rsidR="00325AA7">
        <w:rPr>
          <w:lang w:bidi="en-US"/>
        </w:rPr>
        <w:t xml:space="preserve">evaluate a training protocol based on errors noted during </w:t>
      </w:r>
      <w:r>
        <w:rPr>
          <w:lang w:bidi="en-US"/>
        </w:rPr>
        <w:t>Segment 1</w:t>
      </w:r>
      <w:r w:rsidR="00325AA7">
        <w:rPr>
          <w:lang w:bidi="en-US"/>
        </w:rPr>
        <w:t>; data collection will focus on d</w:t>
      </w:r>
      <w:r w:rsidR="00040DC0">
        <w:rPr>
          <w:lang w:bidi="en-US"/>
        </w:rPr>
        <w:t xml:space="preserve">river performance in entering an unfamiliar destination into an ENS, and following ENS directions to that destination for two sets of </w:t>
      </w:r>
      <w:proofErr w:type="gramStart"/>
      <w:r w:rsidR="00040DC0">
        <w:rPr>
          <w:lang w:bidi="en-US"/>
        </w:rPr>
        <w:lastRenderedPageBreak/>
        <w:t>drivers</w:t>
      </w:r>
      <w:proofErr w:type="gramEnd"/>
      <w:r w:rsidR="00040DC0">
        <w:rPr>
          <w:lang w:bidi="en-US"/>
        </w:rPr>
        <w:t>: 1) those trained in ENS use, and 2) a group of similar age who did not received training.</w:t>
      </w:r>
    </w:p>
    <w:p w14:paraId="0C42491C" w14:textId="77777777" w:rsidR="007A5B77" w:rsidRPr="005C4685" w:rsidRDefault="007A5B77" w:rsidP="007A5B77">
      <w:pPr>
        <w:ind w:left="-360" w:right="-360" w:firstLine="720"/>
        <w:rPr>
          <w:color w:val="000000" w:themeColor="text1"/>
        </w:rPr>
      </w:pPr>
    </w:p>
    <w:p w14:paraId="65FB7D61" w14:textId="77777777" w:rsidR="008A2E81" w:rsidRPr="006A68CE" w:rsidRDefault="007A5B77" w:rsidP="008A2E81">
      <w:pPr>
        <w:ind w:left="-360" w:right="-360" w:firstLine="720"/>
        <w:rPr>
          <w:color w:val="000000" w:themeColor="text1"/>
        </w:rPr>
      </w:pPr>
      <w:r w:rsidRPr="006A68CE">
        <w:rPr>
          <w:color w:val="000000" w:themeColor="text1"/>
        </w:rPr>
        <w:t>NHTSA is requesting clearance to collect voluntary information from potential participants to determine their eligibility to participate in this study</w:t>
      </w:r>
      <w:r w:rsidR="006524F5">
        <w:rPr>
          <w:color w:val="000000" w:themeColor="text1"/>
        </w:rPr>
        <w:t>,</w:t>
      </w:r>
      <w:r w:rsidR="008A2E81">
        <w:rPr>
          <w:color w:val="000000" w:themeColor="text1"/>
        </w:rPr>
        <w:t xml:space="preserve"> as well as the other measures described above</w:t>
      </w:r>
      <w:r w:rsidR="008A2E81" w:rsidRPr="006A68CE">
        <w:rPr>
          <w:color w:val="000000" w:themeColor="text1"/>
        </w:rPr>
        <w:t xml:space="preserve">. </w:t>
      </w:r>
    </w:p>
    <w:p w14:paraId="7C05D3A4" w14:textId="77777777" w:rsidR="001B3CFA" w:rsidRDefault="001B3CFA" w:rsidP="0058299E">
      <w:pPr>
        <w:rPr>
          <w:szCs w:val="22"/>
        </w:rPr>
      </w:pPr>
    </w:p>
    <w:p w14:paraId="06953FE1" w14:textId="77777777" w:rsidR="00C800ED" w:rsidRPr="00672019" w:rsidRDefault="00C800ED" w:rsidP="00C800ED">
      <w:pPr>
        <w:pStyle w:val="Heading3"/>
        <w:numPr>
          <w:ilvl w:val="0"/>
          <w:numId w:val="0"/>
        </w:numPr>
        <w:rPr>
          <w:b/>
          <w:i/>
          <w:u w:val="none"/>
        </w:rPr>
      </w:pPr>
      <w:bookmarkStart w:id="14" w:name="_Toc125341736"/>
      <w:bookmarkStart w:id="15" w:name="_Toc125447294"/>
      <w:bookmarkStart w:id="16" w:name="_Toc126394122"/>
      <w:r w:rsidRPr="00672019">
        <w:rPr>
          <w:b/>
          <w:i/>
          <w:u w:val="none"/>
        </w:rPr>
        <w:t>b. Statute authorizing the collection of information</w:t>
      </w:r>
      <w:bookmarkEnd w:id="14"/>
      <w:bookmarkEnd w:id="15"/>
      <w:bookmarkEnd w:id="16"/>
    </w:p>
    <w:p w14:paraId="26C0539C" w14:textId="77777777" w:rsidR="00C800ED" w:rsidRPr="00672019" w:rsidRDefault="00C800ED" w:rsidP="00C800ED">
      <w:pPr>
        <w:pStyle w:val="BodyTextIndent2"/>
        <w:rPr>
          <w:b w:val="0"/>
          <w:bCs w:val="0"/>
        </w:rPr>
      </w:pPr>
    </w:p>
    <w:p w14:paraId="3B545C57" w14:textId="77777777" w:rsidR="002A58EF" w:rsidRDefault="002A58EF" w:rsidP="002A58EF">
      <w:pPr>
        <w:ind w:firstLine="720"/>
      </w:pPr>
      <w:r w:rsidRPr="002A58EF">
        <w:rPr>
          <w:b/>
        </w:rPr>
        <w:t>Title 23, United States Code, Chapter 4, Section 403</w:t>
      </w:r>
      <w:r>
        <w:t xml:space="preserve"> 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w:t>
      </w:r>
      <w:proofErr w:type="spellStart"/>
      <w:r>
        <w:t>i</w:t>
      </w:r>
      <w:proofErr w:type="spellEnd"/>
      <w:r>
        <w:t>), 23 U.S.C. 403(b)(1)(A)(ii), 23 U.S.C. 403(b)(1)(B)(iii)].</w:t>
      </w:r>
    </w:p>
    <w:p w14:paraId="2E675930" w14:textId="77777777" w:rsidR="002A58EF" w:rsidRDefault="002A58EF" w:rsidP="0029554E">
      <w:pPr>
        <w:rPr>
          <w:b/>
          <w:bCs/>
        </w:rPr>
      </w:pPr>
    </w:p>
    <w:p w14:paraId="4DD54946" w14:textId="77777777" w:rsidR="00696AAE" w:rsidRDefault="00696AAE" w:rsidP="00C800ED">
      <w:pPr>
        <w:pStyle w:val="BodyTextIndent2"/>
        <w:ind w:left="0" w:firstLine="0"/>
        <w:rPr>
          <w:b w:val="0"/>
          <w:bCs w:val="0"/>
          <w:u w:val="single"/>
        </w:rPr>
      </w:pPr>
    </w:p>
    <w:p w14:paraId="0A68DD2C" w14:textId="77777777" w:rsidR="00C800ED" w:rsidRPr="00672019" w:rsidRDefault="00C800ED" w:rsidP="00C800ED">
      <w:pPr>
        <w:pStyle w:val="Heading2"/>
        <w:ind w:left="720" w:hanging="720"/>
        <w:rPr>
          <w:b/>
          <w:u w:val="none"/>
        </w:rPr>
      </w:pPr>
      <w:bookmarkStart w:id="17" w:name="_Toc125278814"/>
      <w:bookmarkStart w:id="18" w:name="_Toc125341737"/>
      <w:bookmarkStart w:id="19" w:name="_Toc125447295"/>
      <w:bookmarkStart w:id="20" w:name="_Toc126394123"/>
      <w:r w:rsidRPr="00672019">
        <w:rPr>
          <w:b/>
          <w:u w:val="none"/>
        </w:rPr>
        <w:t xml:space="preserve">A.2. </w:t>
      </w:r>
      <w:r w:rsidRPr="00672019">
        <w:rPr>
          <w:b/>
          <w:u w:val="none"/>
        </w:rPr>
        <w:tab/>
        <w:t>Indicate how, by whom, and for what purpose the information is to be used.</w:t>
      </w:r>
      <w:bookmarkEnd w:id="17"/>
      <w:bookmarkEnd w:id="18"/>
      <w:r w:rsidRPr="00672019">
        <w:rPr>
          <w:b/>
          <w:u w:val="none"/>
        </w:rPr>
        <w:t xml:space="preserve"> Except for a new collection, indicate the actual use the agency has made of the information received from the current collection.</w:t>
      </w:r>
      <w:bookmarkEnd w:id="19"/>
      <w:bookmarkEnd w:id="20"/>
    </w:p>
    <w:p w14:paraId="73F9932F" w14:textId="77777777" w:rsidR="00C800ED" w:rsidRDefault="00C800ED" w:rsidP="00C800ED"/>
    <w:p w14:paraId="489066BD" w14:textId="77777777" w:rsidR="00430BAD" w:rsidRDefault="00430BAD" w:rsidP="00C800ED">
      <w:r>
        <w:tab/>
        <w:t>This is a new collection of information.</w:t>
      </w:r>
      <w:r w:rsidR="00822B6C">
        <w:t xml:space="preserve">  Respondent compliance is voluntary.</w:t>
      </w:r>
    </w:p>
    <w:p w14:paraId="66C23374" w14:textId="77777777" w:rsidR="00430BAD" w:rsidRPr="00672019" w:rsidRDefault="00430BAD" w:rsidP="00F6527A">
      <w:pPr>
        <w:ind w:firstLine="720"/>
      </w:pPr>
    </w:p>
    <w:p w14:paraId="433CDE54" w14:textId="18809A8D" w:rsidR="00E053A7" w:rsidRPr="00F6527A" w:rsidRDefault="009C2877" w:rsidP="00C958B5">
      <w:pPr>
        <w:ind w:firstLine="720"/>
      </w:pPr>
      <w:r w:rsidRPr="00F6527A">
        <w:t xml:space="preserve">Dunlap </w:t>
      </w:r>
      <w:r w:rsidR="00A641ED">
        <w:t>and</w:t>
      </w:r>
      <w:r w:rsidR="00A641ED" w:rsidRPr="00F6527A">
        <w:t xml:space="preserve"> </w:t>
      </w:r>
      <w:r w:rsidRPr="00F6527A">
        <w:t>Associates will conduct this study under an Indefinite Delivery Indefinite Quantity (IDIQ) contract with NHTSA. A questionnaire will be used for recruitment</w:t>
      </w:r>
      <w:r w:rsidR="005330A4" w:rsidRPr="00F6527A">
        <w:t xml:space="preserve"> to ensure that potential participants meet study inclusion criteria, and to assign each participant to the appropriate study group (familiar/unfamiliar with ENS use)</w:t>
      </w:r>
      <w:r w:rsidRPr="00F6527A">
        <w:t xml:space="preserve">. </w:t>
      </w:r>
    </w:p>
    <w:p w14:paraId="112A19A8" w14:textId="77777777" w:rsidR="009D1C79" w:rsidRDefault="009D1C79" w:rsidP="00F6527A">
      <w:pPr>
        <w:rPr>
          <w:color w:val="4F81BD" w:themeColor="accent1"/>
        </w:rPr>
      </w:pPr>
    </w:p>
    <w:p w14:paraId="1726ED0B" w14:textId="77777777" w:rsidR="009C2877" w:rsidRDefault="009D1C79" w:rsidP="00025DF5">
      <w:pPr>
        <w:ind w:firstLine="720"/>
      </w:pPr>
      <w:r w:rsidRPr="009D1C79">
        <w:t xml:space="preserve">NHTSA intends </w:t>
      </w:r>
      <w:r w:rsidR="0058075D">
        <w:t>to recruit participants from a number of venues in the Greenville, NC metropolitan area. The East Carolina University and Medical School offer source</w:t>
      </w:r>
      <w:r w:rsidR="001D31A8">
        <w:t>s</w:t>
      </w:r>
      <w:r w:rsidR="0058075D">
        <w:t xml:space="preserve"> of potential participants. Both have email </w:t>
      </w:r>
      <w:proofErr w:type="spellStart"/>
      <w:r w:rsidR="0058075D">
        <w:t>listservs</w:t>
      </w:r>
      <w:proofErr w:type="spellEnd"/>
      <w:r w:rsidR="0058075D">
        <w:t xml:space="preserve"> available to this project from which </w:t>
      </w:r>
      <w:r w:rsidR="00274AD9">
        <w:t>“</w:t>
      </w:r>
      <w:r w:rsidR="0058075D">
        <w:t>blast</w:t>
      </w:r>
      <w:r w:rsidR="00274AD9">
        <w:t>”</w:t>
      </w:r>
      <w:r w:rsidR="0058075D">
        <w:t xml:space="preserve"> emails </w:t>
      </w:r>
      <w:r w:rsidR="00523B21">
        <w:t xml:space="preserve">are routinely sent that can </w:t>
      </w:r>
      <w:r w:rsidR="0058075D">
        <w:t xml:space="preserve">be </w:t>
      </w:r>
      <w:r w:rsidR="00523B21">
        <w:t xml:space="preserve">used </w:t>
      </w:r>
      <w:r w:rsidR="0058075D">
        <w:t xml:space="preserve">to recruit interested parties. The emails will briefly describe the purpose of the study, detail compensation, and express that extended family members and friends of the person receiving the email within the desired age groupings are invited to participate. Flyers will be posted throughout the University System advertising the study to staff members or others (e.g., patients) who may qualify. Researchers also have contacts at various religious and social organizations in the area from which participants will be recruited. </w:t>
      </w:r>
    </w:p>
    <w:p w14:paraId="4B607C83" w14:textId="77777777" w:rsidR="00E053A7" w:rsidRDefault="00E053A7" w:rsidP="00025DF5">
      <w:pPr>
        <w:ind w:firstLine="720"/>
      </w:pPr>
    </w:p>
    <w:p w14:paraId="4F958C4C" w14:textId="77777777" w:rsidR="00E053A7" w:rsidRPr="00F6527A" w:rsidRDefault="0058075D" w:rsidP="00F6527A">
      <w:pPr>
        <w:ind w:firstLine="720"/>
      </w:pPr>
      <w:r>
        <w:t xml:space="preserve">All recruitment </w:t>
      </w:r>
      <w:r w:rsidR="00DD4E2F">
        <w:t xml:space="preserve">efforts </w:t>
      </w:r>
      <w:r>
        <w:t xml:space="preserve">will </w:t>
      </w:r>
      <w:r w:rsidR="009C2877">
        <w:t xml:space="preserve">instruct </w:t>
      </w:r>
      <w:r>
        <w:t xml:space="preserve">potential participants to contact the research team by email or by phone </w:t>
      </w:r>
      <w:r w:rsidR="009C2877">
        <w:t xml:space="preserve">for more information about study participation.  </w:t>
      </w:r>
      <w:r w:rsidR="000958EC">
        <w:t>A researcher will contact potential participant</w:t>
      </w:r>
      <w:r w:rsidR="009C2877">
        <w:t>s</w:t>
      </w:r>
      <w:r w:rsidR="000958EC">
        <w:t xml:space="preserve"> at the telephone number </w:t>
      </w:r>
      <w:r w:rsidR="009C2877">
        <w:t xml:space="preserve">they provide </w:t>
      </w:r>
      <w:r w:rsidR="000958EC">
        <w:t>in their initial response to the recruiting materials</w:t>
      </w:r>
      <w:r w:rsidR="00721D08">
        <w:t>,</w:t>
      </w:r>
      <w:r w:rsidR="000958EC">
        <w:t xml:space="preserve"> or meet with them if that is more convenient</w:t>
      </w:r>
      <w:r w:rsidR="009C2877">
        <w:t xml:space="preserve">, to </w:t>
      </w:r>
      <w:r w:rsidR="009C2877">
        <w:lastRenderedPageBreak/>
        <w:t xml:space="preserve">allow potential participants to complete the </w:t>
      </w:r>
      <w:r w:rsidR="009C2877" w:rsidRPr="004C4D8B">
        <w:rPr>
          <w:b/>
        </w:rPr>
        <w:t>Older Drivers and Navigation Systems</w:t>
      </w:r>
      <w:r w:rsidR="009C2877" w:rsidRPr="00F6527A">
        <w:t xml:space="preserve"> </w:t>
      </w:r>
      <w:r w:rsidR="009C2877">
        <w:t xml:space="preserve">qualifying </w:t>
      </w:r>
      <w:r w:rsidR="00553FB4">
        <w:t>questionnaire</w:t>
      </w:r>
      <w:r w:rsidR="000958EC">
        <w:t xml:space="preserve">. </w:t>
      </w:r>
      <w:r w:rsidR="00E053A7" w:rsidRPr="00F6527A">
        <w:t xml:space="preserve">This questionnaire will be used to prescreen each potential participant based on the eligibility criteria listed below. Candidate participants will be asked about their age, driver license status, general health, access to a car to use in the study, and their driving exposure. </w:t>
      </w:r>
    </w:p>
    <w:p w14:paraId="3734303A" w14:textId="77777777" w:rsidR="000958EC" w:rsidRDefault="000958EC" w:rsidP="007E1DAA">
      <w:pPr>
        <w:ind w:firstLine="720"/>
      </w:pPr>
    </w:p>
    <w:p w14:paraId="682AFB22" w14:textId="77777777" w:rsidR="007D3CE3" w:rsidRPr="00C101BB" w:rsidRDefault="007D3CE3" w:rsidP="00AF3A4A">
      <w:r w:rsidRPr="007D3CE3">
        <w:rPr>
          <w:b/>
        </w:rPr>
        <w:t xml:space="preserve"> </w:t>
      </w:r>
      <w:r w:rsidRPr="00C101BB">
        <w:rPr>
          <w:b/>
        </w:rPr>
        <w:t>Basic Qualification Criteria</w:t>
      </w:r>
    </w:p>
    <w:p w14:paraId="53F12DED" w14:textId="77777777" w:rsidR="007D3CE3" w:rsidRPr="00C101BB" w:rsidRDefault="007D3CE3" w:rsidP="00025DF5">
      <w:pPr>
        <w:pStyle w:val="ListParagraph"/>
        <w:numPr>
          <w:ilvl w:val="0"/>
          <w:numId w:val="24"/>
        </w:numPr>
        <w:spacing w:after="0" w:line="240" w:lineRule="auto"/>
        <w:ind w:firstLine="0"/>
        <w:contextualSpacing/>
        <w:rPr>
          <w:rFonts w:ascii="Times New Roman" w:hAnsi="Times New Roman" w:cs="Times New Roman"/>
          <w:sz w:val="24"/>
          <w:szCs w:val="24"/>
        </w:rPr>
      </w:pPr>
      <w:r w:rsidRPr="00C101BB">
        <w:rPr>
          <w:rFonts w:ascii="Times New Roman" w:hAnsi="Times New Roman" w:cs="Times New Roman"/>
          <w:sz w:val="24"/>
          <w:szCs w:val="24"/>
        </w:rPr>
        <w:t>60-79 years old</w:t>
      </w:r>
      <w:r w:rsidR="00E053A7">
        <w:rPr>
          <w:rFonts w:ascii="Times New Roman" w:hAnsi="Times New Roman" w:cs="Times New Roman"/>
          <w:sz w:val="24"/>
          <w:szCs w:val="24"/>
        </w:rPr>
        <w:t>;</w:t>
      </w:r>
    </w:p>
    <w:p w14:paraId="667BD07C" w14:textId="77777777" w:rsidR="007D3CE3" w:rsidRPr="00C101BB" w:rsidRDefault="007D3CE3" w:rsidP="00025DF5">
      <w:pPr>
        <w:pStyle w:val="ListParagraph"/>
        <w:numPr>
          <w:ilvl w:val="0"/>
          <w:numId w:val="24"/>
        </w:numPr>
        <w:spacing w:after="0" w:line="240" w:lineRule="auto"/>
        <w:ind w:firstLine="0"/>
        <w:contextualSpacing/>
        <w:rPr>
          <w:rFonts w:ascii="Times New Roman" w:hAnsi="Times New Roman" w:cs="Times New Roman"/>
          <w:sz w:val="24"/>
          <w:szCs w:val="24"/>
        </w:rPr>
      </w:pPr>
      <w:r w:rsidRPr="00C101BB">
        <w:rPr>
          <w:rFonts w:ascii="Times New Roman" w:hAnsi="Times New Roman" w:cs="Times New Roman"/>
          <w:sz w:val="24"/>
          <w:szCs w:val="24"/>
        </w:rPr>
        <w:t>Sex as per quota (approximately equal numbers per group)</w:t>
      </w:r>
      <w:r w:rsidR="00E053A7">
        <w:rPr>
          <w:rFonts w:ascii="Times New Roman" w:hAnsi="Times New Roman" w:cs="Times New Roman"/>
          <w:sz w:val="24"/>
          <w:szCs w:val="24"/>
        </w:rPr>
        <w:t>;</w:t>
      </w:r>
    </w:p>
    <w:p w14:paraId="36FA1AC3" w14:textId="77777777" w:rsidR="007D3CE3" w:rsidRPr="00C101BB" w:rsidRDefault="007D3CE3" w:rsidP="00025DF5">
      <w:pPr>
        <w:pStyle w:val="ListParagraph"/>
        <w:numPr>
          <w:ilvl w:val="0"/>
          <w:numId w:val="24"/>
        </w:numPr>
        <w:spacing w:after="0" w:line="240" w:lineRule="auto"/>
        <w:ind w:firstLine="0"/>
        <w:contextualSpacing/>
        <w:rPr>
          <w:rFonts w:ascii="Times New Roman" w:hAnsi="Times New Roman" w:cs="Times New Roman"/>
          <w:sz w:val="24"/>
          <w:szCs w:val="24"/>
        </w:rPr>
      </w:pPr>
      <w:r w:rsidRPr="00C101BB">
        <w:rPr>
          <w:rFonts w:ascii="Times New Roman" w:hAnsi="Times New Roman" w:cs="Times New Roman"/>
          <w:sz w:val="24"/>
          <w:szCs w:val="24"/>
        </w:rPr>
        <w:t>Valid NC license</w:t>
      </w:r>
      <w:r w:rsidR="00E053A7">
        <w:rPr>
          <w:rFonts w:ascii="Times New Roman" w:hAnsi="Times New Roman" w:cs="Times New Roman"/>
          <w:sz w:val="24"/>
          <w:szCs w:val="24"/>
        </w:rPr>
        <w:t xml:space="preserve"> with no restrictions other than corrective lenses;</w:t>
      </w:r>
    </w:p>
    <w:p w14:paraId="33E16C07" w14:textId="77777777" w:rsidR="007D3CE3" w:rsidRPr="002C2387" w:rsidRDefault="00E053A7" w:rsidP="00F6527A">
      <w:pPr>
        <w:pStyle w:val="ListParagraph"/>
        <w:numPr>
          <w:ilvl w:val="0"/>
          <w:numId w:val="24"/>
        </w:numPr>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Access to a licensed, insured passenger vehicle (car, SUV, pickup);</w:t>
      </w:r>
    </w:p>
    <w:p w14:paraId="69FA236E" w14:textId="77777777" w:rsidR="007D3CE3" w:rsidRPr="00C101BB" w:rsidRDefault="007D3CE3" w:rsidP="00F6527A">
      <w:pPr>
        <w:pStyle w:val="ListParagraph"/>
        <w:numPr>
          <w:ilvl w:val="0"/>
          <w:numId w:val="24"/>
        </w:numPr>
        <w:spacing w:after="0" w:line="240" w:lineRule="auto"/>
        <w:ind w:firstLine="0"/>
        <w:contextualSpacing/>
        <w:rPr>
          <w:rFonts w:ascii="Times New Roman" w:hAnsi="Times New Roman" w:cs="Times New Roman"/>
          <w:sz w:val="24"/>
          <w:szCs w:val="24"/>
        </w:rPr>
      </w:pPr>
      <w:r w:rsidRPr="00C101BB">
        <w:rPr>
          <w:rFonts w:ascii="Times New Roman" w:hAnsi="Times New Roman" w:cs="Times New Roman"/>
          <w:sz w:val="24"/>
          <w:szCs w:val="24"/>
        </w:rPr>
        <w:t xml:space="preserve">Driving </w:t>
      </w:r>
      <w:r w:rsidR="00E053A7">
        <w:rPr>
          <w:rFonts w:ascii="Times New Roman" w:hAnsi="Times New Roman" w:cs="Times New Roman"/>
          <w:sz w:val="24"/>
          <w:szCs w:val="24"/>
        </w:rPr>
        <w:t>at least three trips</w:t>
      </w:r>
      <w:r w:rsidR="00C101BB" w:rsidRPr="00C101BB">
        <w:rPr>
          <w:rFonts w:ascii="Times New Roman" w:hAnsi="Times New Roman" w:cs="Times New Roman"/>
          <w:sz w:val="24"/>
          <w:szCs w:val="24"/>
        </w:rPr>
        <w:t xml:space="preserve"> per </w:t>
      </w:r>
      <w:r w:rsidRPr="00C101BB">
        <w:rPr>
          <w:rFonts w:ascii="Times New Roman" w:hAnsi="Times New Roman" w:cs="Times New Roman"/>
          <w:sz w:val="24"/>
          <w:szCs w:val="24"/>
        </w:rPr>
        <w:t>week</w:t>
      </w:r>
    </w:p>
    <w:p w14:paraId="3C2E1977" w14:textId="77777777" w:rsidR="007D3CE3" w:rsidRPr="00AF3A4A" w:rsidRDefault="007D3CE3" w:rsidP="00AF3A4A"/>
    <w:p w14:paraId="4F93B04A" w14:textId="77777777" w:rsidR="007D3CE3" w:rsidRPr="00AF3A4A" w:rsidRDefault="007D3CE3" w:rsidP="00AF3A4A">
      <w:r w:rsidRPr="00AF3A4A">
        <w:rPr>
          <w:b/>
        </w:rPr>
        <w:t>Definition of Unfamiliar Group</w:t>
      </w:r>
    </w:p>
    <w:p w14:paraId="6FDEDA5A" w14:textId="77777777" w:rsidR="007D3CE3" w:rsidRPr="00025DF5" w:rsidRDefault="007D3CE3" w:rsidP="00025DF5">
      <w:pPr>
        <w:pStyle w:val="ListParagraph"/>
        <w:numPr>
          <w:ilvl w:val="0"/>
          <w:numId w:val="25"/>
        </w:numPr>
        <w:spacing w:after="0" w:line="240" w:lineRule="auto"/>
        <w:ind w:firstLine="0"/>
        <w:contextualSpacing/>
        <w:rPr>
          <w:rFonts w:ascii="Times New Roman" w:hAnsi="Times New Roman" w:cs="Times New Roman"/>
          <w:sz w:val="24"/>
          <w:szCs w:val="24"/>
        </w:rPr>
      </w:pPr>
      <w:r w:rsidRPr="00025DF5">
        <w:rPr>
          <w:rFonts w:ascii="Times New Roman" w:hAnsi="Times New Roman" w:cs="Times New Roman"/>
          <w:sz w:val="24"/>
          <w:szCs w:val="24"/>
        </w:rPr>
        <w:t>Does not list ENS as the preferred navigation method (Q1</w:t>
      </w:r>
      <w:r w:rsidR="00C101BB">
        <w:rPr>
          <w:rFonts w:ascii="Times New Roman" w:hAnsi="Times New Roman" w:cs="Times New Roman"/>
          <w:sz w:val="24"/>
          <w:szCs w:val="24"/>
        </w:rPr>
        <w:t>0</w:t>
      </w:r>
      <w:r w:rsidRPr="00025DF5">
        <w:rPr>
          <w:rFonts w:ascii="Times New Roman" w:hAnsi="Times New Roman" w:cs="Times New Roman"/>
          <w:sz w:val="24"/>
          <w:szCs w:val="24"/>
        </w:rPr>
        <w:t xml:space="preserve">) </w:t>
      </w:r>
      <w:r w:rsidRPr="00025DF5">
        <w:rPr>
          <w:rFonts w:ascii="Times New Roman" w:hAnsi="Times New Roman" w:cs="Times New Roman"/>
          <w:b/>
          <w:sz w:val="24"/>
          <w:szCs w:val="24"/>
        </w:rPr>
        <w:t>and</w:t>
      </w:r>
    </w:p>
    <w:p w14:paraId="536B95DF" w14:textId="77777777" w:rsidR="007D3CE3" w:rsidRPr="00025DF5" w:rsidRDefault="00FF45F0" w:rsidP="00025DF5">
      <w:pPr>
        <w:pStyle w:val="ListParagraph"/>
        <w:numPr>
          <w:ilvl w:val="0"/>
          <w:numId w:val="25"/>
        </w:numPr>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Checks first or second box regarding</w:t>
      </w:r>
      <w:r w:rsidR="007D3CE3" w:rsidRPr="00025DF5">
        <w:rPr>
          <w:rFonts w:ascii="Times New Roman" w:hAnsi="Times New Roman" w:cs="Times New Roman"/>
          <w:sz w:val="24"/>
          <w:szCs w:val="24"/>
        </w:rPr>
        <w:t xml:space="preserve"> experience with ENS (Q</w:t>
      </w:r>
      <w:r>
        <w:rPr>
          <w:rFonts w:ascii="Times New Roman" w:hAnsi="Times New Roman" w:cs="Times New Roman"/>
          <w:sz w:val="24"/>
          <w:szCs w:val="24"/>
        </w:rPr>
        <w:t>8</w:t>
      </w:r>
      <w:r w:rsidR="007D3CE3" w:rsidRPr="00025DF5">
        <w:rPr>
          <w:rFonts w:ascii="Times New Roman" w:hAnsi="Times New Roman" w:cs="Times New Roman"/>
          <w:sz w:val="24"/>
          <w:szCs w:val="24"/>
        </w:rPr>
        <w:t xml:space="preserve">) </w:t>
      </w:r>
      <w:r w:rsidR="007D3CE3" w:rsidRPr="00025DF5">
        <w:rPr>
          <w:rFonts w:ascii="Times New Roman" w:hAnsi="Times New Roman" w:cs="Times New Roman"/>
          <w:b/>
          <w:sz w:val="24"/>
          <w:szCs w:val="24"/>
        </w:rPr>
        <w:t>and</w:t>
      </w:r>
      <w:r w:rsidR="007D3CE3" w:rsidRPr="00025DF5">
        <w:rPr>
          <w:rFonts w:ascii="Times New Roman" w:hAnsi="Times New Roman" w:cs="Times New Roman"/>
          <w:sz w:val="24"/>
          <w:szCs w:val="24"/>
        </w:rPr>
        <w:t xml:space="preserve"> </w:t>
      </w:r>
    </w:p>
    <w:p w14:paraId="61616A7F" w14:textId="77777777" w:rsidR="007D3CE3" w:rsidRPr="00025DF5" w:rsidRDefault="00FF45F0" w:rsidP="00025DF5">
      <w:pPr>
        <w:pStyle w:val="ListParagraph"/>
        <w:numPr>
          <w:ilvl w:val="0"/>
          <w:numId w:val="25"/>
        </w:numPr>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Checks “none” on </w:t>
      </w:r>
      <w:r w:rsidR="00947393">
        <w:rPr>
          <w:rFonts w:ascii="Times New Roman" w:hAnsi="Times New Roman" w:cs="Times New Roman"/>
          <w:sz w:val="24"/>
          <w:szCs w:val="24"/>
        </w:rPr>
        <w:t xml:space="preserve">Q9 </w:t>
      </w:r>
      <w:r>
        <w:rPr>
          <w:rFonts w:ascii="Times New Roman" w:hAnsi="Times New Roman" w:cs="Times New Roman"/>
          <w:sz w:val="24"/>
          <w:szCs w:val="24"/>
        </w:rPr>
        <w:t>regarding type of navigation system used most often</w:t>
      </w:r>
      <w:r w:rsidR="007D3CE3" w:rsidRPr="00025DF5">
        <w:rPr>
          <w:rFonts w:ascii="Times New Roman" w:hAnsi="Times New Roman" w:cs="Times New Roman"/>
          <w:sz w:val="24"/>
          <w:szCs w:val="24"/>
        </w:rPr>
        <w:t xml:space="preserve"> </w:t>
      </w:r>
    </w:p>
    <w:p w14:paraId="713F65D9" w14:textId="77777777" w:rsidR="007D3CE3" w:rsidRPr="00AF3A4A" w:rsidRDefault="007D3CE3" w:rsidP="00AF3A4A">
      <w:pPr>
        <w:rPr>
          <w:b/>
        </w:rPr>
      </w:pPr>
    </w:p>
    <w:p w14:paraId="28331C43" w14:textId="77777777" w:rsidR="007D3CE3" w:rsidRPr="00AF3A4A" w:rsidRDefault="007D3CE3" w:rsidP="00AF3A4A">
      <w:r w:rsidRPr="00AF3A4A">
        <w:rPr>
          <w:b/>
        </w:rPr>
        <w:t>Definition of Experienced Group</w:t>
      </w:r>
    </w:p>
    <w:p w14:paraId="4BCFF581" w14:textId="77777777" w:rsidR="007D3CE3" w:rsidRPr="00025DF5" w:rsidRDefault="007D3CE3" w:rsidP="00025DF5">
      <w:pPr>
        <w:pStyle w:val="ListParagraph"/>
        <w:numPr>
          <w:ilvl w:val="0"/>
          <w:numId w:val="26"/>
        </w:numPr>
        <w:spacing w:after="0" w:line="240" w:lineRule="auto"/>
        <w:ind w:firstLine="0"/>
        <w:contextualSpacing/>
        <w:rPr>
          <w:rFonts w:ascii="Times New Roman" w:hAnsi="Times New Roman" w:cs="Times New Roman"/>
          <w:sz w:val="24"/>
          <w:szCs w:val="24"/>
        </w:rPr>
      </w:pPr>
      <w:r w:rsidRPr="00025DF5">
        <w:rPr>
          <w:rFonts w:ascii="Times New Roman" w:hAnsi="Times New Roman" w:cs="Times New Roman"/>
          <w:sz w:val="24"/>
          <w:szCs w:val="24"/>
        </w:rPr>
        <w:t xml:space="preserve">Not qualified for Unfamiliar group </w:t>
      </w:r>
      <w:r w:rsidRPr="00025DF5">
        <w:rPr>
          <w:rFonts w:ascii="Times New Roman" w:hAnsi="Times New Roman" w:cs="Times New Roman"/>
          <w:b/>
          <w:sz w:val="24"/>
          <w:szCs w:val="24"/>
        </w:rPr>
        <w:t>and</w:t>
      </w:r>
    </w:p>
    <w:p w14:paraId="7E0B7797" w14:textId="580A329C" w:rsidR="00C01819" w:rsidRDefault="00FF45F0" w:rsidP="00025DF5">
      <w:pPr>
        <w:pStyle w:val="ListParagraph"/>
        <w:numPr>
          <w:ilvl w:val="0"/>
          <w:numId w:val="26"/>
        </w:numPr>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Checks fourth or fifth box </w:t>
      </w:r>
      <w:r w:rsidR="00947393">
        <w:rPr>
          <w:rFonts w:ascii="Times New Roman" w:hAnsi="Times New Roman" w:cs="Times New Roman"/>
          <w:sz w:val="24"/>
          <w:szCs w:val="24"/>
        </w:rPr>
        <w:t xml:space="preserve">on Q8 </w:t>
      </w:r>
      <w:r>
        <w:rPr>
          <w:rFonts w:ascii="Times New Roman" w:hAnsi="Times New Roman" w:cs="Times New Roman"/>
          <w:sz w:val="24"/>
          <w:szCs w:val="24"/>
        </w:rPr>
        <w:t xml:space="preserve">regarding using </w:t>
      </w:r>
      <w:r w:rsidR="006E3C2A">
        <w:rPr>
          <w:rFonts w:ascii="Times New Roman" w:hAnsi="Times New Roman" w:cs="Times New Roman"/>
          <w:sz w:val="24"/>
          <w:szCs w:val="24"/>
        </w:rPr>
        <w:t>an ENS device while</w:t>
      </w:r>
    </w:p>
    <w:p w14:paraId="040A346D" w14:textId="18F7E5E0" w:rsidR="007D3CE3" w:rsidRPr="00025DF5" w:rsidRDefault="007D3CE3" w:rsidP="00C01819">
      <w:pPr>
        <w:pStyle w:val="ListParagraph"/>
        <w:spacing w:after="0" w:line="240" w:lineRule="auto"/>
        <w:ind w:firstLine="720"/>
        <w:contextualSpacing/>
        <w:rPr>
          <w:rFonts w:ascii="Times New Roman" w:hAnsi="Times New Roman" w:cs="Times New Roman"/>
          <w:sz w:val="24"/>
          <w:szCs w:val="24"/>
        </w:rPr>
      </w:pPr>
      <w:proofErr w:type="gramStart"/>
      <w:r w:rsidRPr="00025DF5">
        <w:rPr>
          <w:rFonts w:ascii="Times New Roman" w:hAnsi="Times New Roman" w:cs="Times New Roman"/>
          <w:sz w:val="24"/>
          <w:szCs w:val="24"/>
        </w:rPr>
        <w:t>driving</w:t>
      </w:r>
      <w:proofErr w:type="gramEnd"/>
      <w:r w:rsidRPr="00025DF5">
        <w:rPr>
          <w:rFonts w:ascii="Times New Roman" w:hAnsi="Times New Roman" w:cs="Times New Roman"/>
          <w:sz w:val="24"/>
          <w:szCs w:val="24"/>
        </w:rPr>
        <w:t xml:space="preserve"> </w:t>
      </w:r>
      <w:r w:rsidRPr="00F6527A">
        <w:rPr>
          <w:rFonts w:ascii="Times New Roman" w:hAnsi="Times New Roman" w:cs="Times New Roman"/>
          <w:sz w:val="24"/>
          <w:szCs w:val="24"/>
        </w:rPr>
        <w:t>and</w:t>
      </w:r>
      <w:r w:rsidRPr="00025DF5">
        <w:rPr>
          <w:rFonts w:ascii="Times New Roman" w:hAnsi="Times New Roman" w:cs="Times New Roman"/>
          <w:sz w:val="24"/>
          <w:szCs w:val="24"/>
        </w:rPr>
        <w:t xml:space="preserve"> </w:t>
      </w:r>
    </w:p>
    <w:p w14:paraId="1689F5EB" w14:textId="77777777" w:rsidR="00C800ED" w:rsidRPr="008050C8" w:rsidRDefault="007D3CE3" w:rsidP="00F6527A">
      <w:pPr>
        <w:pStyle w:val="ListParagraph"/>
        <w:numPr>
          <w:ilvl w:val="0"/>
          <w:numId w:val="26"/>
        </w:numPr>
        <w:spacing w:after="0" w:line="240" w:lineRule="auto"/>
        <w:ind w:firstLine="0"/>
        <w:contextualSpacing/>
      </w:pPr>
      <w:r w:rsidRPr="00025DF5">
        <w:rPr>
          <w:rFonts w:ascii="Times New Roman" w:hAnsi="Times New Roman" w:cs="Times New Roman"/>
          <w:sz w:val="24"/>
          <w:szCs w:val="24"/>
        </w:rPr>
        <w:t>Lists ENS as navigation device</w:t>
      </w:r>
      <w:r w:rsidR="00606448">
        <w:rPr>
          <w:rFonts w:ascii="Times New Roman" w:hAnsi="Times New Roman" w:cs="Times New Roman"/>
          <w:sz w:val="24"/>
          <w:szCs w:val="24"/>
        </w:rPr>
        <w:t xml:space="preserve"> used most often</w:t>
      </w:r>
      <w:r w:rsidRPr="00025DF5">
        <w:rPr>
          <w:rFonts w:ascii="Times New Roman" w:hAnsi="Times New Roman" w:cs="Times New Roman"/>
          <w:sz w:val="24"/>
          <w:szCs w:val="24"/>
        </w:rPr>
        <w:t xml:space="preserve"> (Q</w:t>
      </w:r>
      <w:r w:rsidR="00606448">
        <w:rPr>
          <w:rFonts w:ascii="Times New Roman" w:hAnsi="Times New Roman" w:cs="Times New Roman"/>
          <w:sz w:val="24"/>
          <w:szCs w:val="24"/>
        </w:rPr>
        <w:t>9</w:t>
      </w:r>
      <w:r w:rsidRPr="00025DF5">
        <w:rPr>
          <w:rFonts w:ascii="Times New Roman" w:hAnsi="Times New Roman" w:cs="Times New Roman"/>
          <w:sz w:val="24"/>
          <w:szCs w:val="24"/>
        </w:rPr>
        <w:t>)</w:t>
      </w:r>
    </w:p>
    <w:p w14:paraId="45ABF450" w14:textId="77777777" w:rsidR="004C4D8B" w:rsidRDefault="004C4D8B" w:rsidP="00F6527A">
      <w:pPr>
        <w:ind w:firstLine="720"/>
      </w:pPr>
    </w:p>
    <w:p w14:paraId="70C886E3" w14:textId="18B5DEE7" w:rsidR="004C4D8B" w:rsidRDefault="004C4D8B" w:rsidP="00F6527A">
      <w:pPr>
        <w:ind w:firstLine="720"/>
      </w:pPr>
      <w:r>
        <w:t xml:space="preserve">Responses to the </w:t>
      </w:r>
      <w:r w:rsidRPr="00C40D6F">
        <w:rPr>
          <w:b/>
        </w:rPr>
        <w:t>Older Drivers and Navigation Systems</w:t>
      </w:r>
      <w:r w:rsidRPr="00C40D6F">
        <w:t xml:space="preserve"> </w:t>
      </w:r>
      <w:r>
        <w:t>q</w:t>
      </w:r>
      <w:r w:rsidRPr="00F6527A">
        <w:t xml:space="preserve">uestionnaire will </w:t>
      </w:r>
      <w:r w:rsidR="00C01819">
        <w:t>be used</w:t>
      </w:r>
      <w:r w:rsidRPr="00F6527A">
        <w:t xml:space="preserve"> to identify eligible participants</w:t>
      </w:r>
      <w:r>
        <w:t xml:space="preserve"> and assign them to the proper group</w:t>
      </w:r>
      <w:r w:rsidRPr="00F6527A">
        <w:t xml:space="preserve"> for this study. Candidates who are selected for the study will be scheduled for study visits to complete</w:t>
      </w:r>
      <w:r>
        <w:t xml:space="preserve"> </w:t>
      </w:r>
      <w:r w:rsidR="006073EF">
        <w:t xml:space="preserve">the </w:t>
      </w:r>
      <w:r>
        <w:t>functional</w:t>
      </w:r>
      <w:r w:rsidRPr="00F6527A">
        <w:t xml:space="preserve"> evaluation and </w:t>
      </w:r>
      <w:r>
        <w:t xml:space="preserve">study drives </w:t>
      </w:r>
      <w:r w:rsidR="00B10E25">
        <w:t>as described above</w:t>
      </w:r>
      <w:r w:rsidRPr="00F6527A">
        <w:t>. Those who do not meet eligibility requirements listed above would be excluded because they may introduce too much variability into the data and mask effects of independent variables which are the principal focus of the study.</w:t>
      </w:r>
      <w:r w:rsidR="00CF1922">
        <w:t xml:space="preserve"> Those who meet eligibility requirements and agree to participate in the study will complete study activities as described above.</w:t>
      </w:r>
    </w:p>
    <w:p w14:paraId="57EBACE6" w14:textId="77777777" w:rsidR="00BF58D5" w:rsidRDefault="00BF58D5" w:rsidP="00F6527A">
      <w:pPr>
        <w:contextualSpacing/>
      </w:pPr>
    </w:p>
    <w:p w14:paraId="0754C5E8" w14:textId="77777777" w:rsidR="00C800ED" w:rsidRPr="00672019" w:rsidRDefault="00C800ED" w:rsidP="00C800ED">
      <w:pPr>
        <w:pStyle w:val="Heading2"/>
        <w:ind w:left="720" w:hanging="720"/>
        <w:rPr>
          <w:b/>
          <w:u w:val="none"/>
        </w:rPr>
      </w:pPr>
      <w:bookmarkStart w:id="21" w:name="_Toc125278815"/>
      <w:bookmarkStart w:id="22" w:name="_Toc125341738"/>
      <w:bookmarkStart w:id="23" w:name="_Toc125447296"/>
      <w:bookmarkStart w:id="24"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21"/>
      <w:bookmarkEnd w:id="22"/>
      <w:r w:rsidRPr="00672019">
        <w:rPr>
          <w:b/>
          <w:u w:val="none"/>
        </w:rPr>
        <w:t xml:space="preserve"> Also describe any consideration of using information technology to reduce burden.</w:t>
      </w:r>
      <w:bookmarkEnd w:id="23"/>
      <w:bookmarkEnd w:id="24"/>
    </w:p>
    <w:p w14:paraId="5A38FA4B" w14:textId="77777777" w:rsidR="00C800ED" w:rsidRPr="00672019" w:rsidRDefault="00C800ED" w:rsidP="00C800ED">
      <w:pPr>
        <w:ind w:left="720" w:hanging="720"/>
      </w:pPr>
    </w:p>
    <w:p w14:paraId="56E7051B" w14:textId="77777777" w:rsidR="0008481A" w:rsidRDefault="0008481A" w:rsidP="0008481A">
      <w:pPr>
        <w:ind w:left="-360" w:firstLine="720"/>
      </w:pPr>
      <w:r>
        <w:t xml:space="preserve">To collect this qualification and classification information, NHTSA will engage in a telephone call that a driver, who has responded to an invitation, has placed to a staff member on the research team.  No automated, electronic, mechanical, or other technological collection techniques are planned to obtain this information. Telephone interview is the least burdensome method to contact participants in this case. </w:t>
      </w:r>
    </w:p>
    <w:p w14:paraId="77BBD24B" w14:textId="77777777" w:rsidR="00C958B5" w:rsidRDefault="00C958B5" w:rsidP="0008481A">
      <w:pPr>
        <w:ind w:left="-360" w:firstLine="720"/>
      </w:pPr>
    </w:p>
    <w:p w14:paraId="7B7F8041" w14:textId="143508EE" w:rsidR="00C958B5" w:rsidRDefault="00C958B5" w:rsidP="0008481A">
      <w:pPr>
        <w:ind w:left="-360" w:firstLine="720"/>
      </w:pPr>
      <w:r>
        <w:t xml:space="preserve">Functional data will be collected by a certified driver rehabilitation specialist using a </w:t>
      </w:r>
      <w:r w:rsidR="005C1E40">
        <w:t xml:space="preserve">validated, </w:t>
      </w:r>
      <w:r>
        <w:t xml:space="preserve">standard protocol. Driving performance will be </w:t>
      </w:r>
      <w:r w:rsidR="00EF257F">
        <w:t xml:space="preserve">assessed </w:t>
      </w:r>
      <w:r>
        <w:t xml:space="preserve">by a driving rehabilitation </w:t>
      </w:r>
      <w:r>
        <w:lastRenderedPageBreak/>
        <w:t xml:space="preserve">specialist, </w:t>
      </w:r>
      <w:r w:rsidR="00EF257F">
        <w:t xml:space="preserve">and </w:t>
      </w:r>
      <w:r>
        <w:t xml:space="preserve">an electronic </w:t>
      </w:r>
      <w:r w:rsidR="00EF257F">
        <w:t xml:space="preserve">tracking </w:t>
      </w:r>
      <w:r>
        <w:t>device will concurrently collect objective data on the vehicle’s actual route</w:t>
      </w:r>
      <w:r w:rsidR="00EF257F">
        <w:t xml:space="preserve">, speed, and </w:t>
      </w:r>
      <w:r w:rsidR="005C1E40">
        <w:t>heading</w:t>
      </w:r>
      <w:r>
        <w:t>.</w:t>
      </w:r>
    </w:p>
    <w:p w14:paraId="656824F0" w14:textId="77777777" w:rsidR="00430BAD" w:rsidRDefault="00430BAD" w:rsidP="007E1DAA">
      <w:pPr>
        <w:ind w:firstLine="360"/>
        <w:rPr>
          <w:color w:val="4F81BD" w:themeColor="accent1"/>
        </w:rPr>
      </w:pPr>
    </w:p>
    <w:p w14:paraId="675DF79B" w14:textId="77777777" w:rsidR="00C800ED" w:rsidRPr="00672019" w:rsidRDefault="00C800ED" w:rsidP="00C800ED"/>
    <w:p w14:paraId="1AF0EF25" w14:textId="77777777" w:rsidR="00C800ED" w:rsidRPr="00672019" w:rsidRDefault="00C800ED" w:rsidP="00C800ED">
      <w:pPr>
        <w:pStyle w:val="Heading2"/>
        <w:ind w:left="720" w:hanging="720"/>
        <w:rPr>
          <w:b/>
          <w:u w:val="none"/>
        </w:rPr>
      </w:pPr>
      <w:bookmarkStart w:id="25" w:name="_Toc125278816"/>
      <w:bookmarkStart w:id="26" w:name="_Toc125341739"/>
      <w:bookmarkStart w:id="27" w:name="_Toc125447297"/>
      <w:bookmarkStart w:id="28" w:name="_Toc126394125"/>
      <w:proofErr w:type="gramStart"/>
      <w:r w:rsidRPr="00672019">
        <w:rPr>
          <w:b/>
          <w:u w:val="none"/>
        </w:rPr>
        <w:t>A.4.</w:t>
      </w:r>
      <w:r w:rsidRPr="00672019">
        <w:rPr>
          <w:b/>
          <w:u w:val="none"/>
        </w:rPr>
        <w:tab/>
        <w:t>Describe efforts to identify duplication.</w:t>
      </w:r>
      <w:proofErr w:type="gramEnd"/>
      <w:r w:rsidRPr="00672019">
        <w:rPr>
          <w:b/>
          <w:u w:val="none"/>
        </w:rPr>
        <w:t xml:space="preserve"> </w:t>
      </w:r>
      <w:proofErr w:type="gramStart"/>
      <w:r w:rsidRPr="00672019">
        <w:rPr>
          <w:b/>
          <w:u w:val="none"/>
        </w:rPr>
        <w:t>Show specifically why any similar information, already available cannot be used or modified for use for the purposes described in Item 2 above.</w:t>
      </w:r>
      <w:bookmarkEnd w:id="25"/>
      <w:bookmarkEnd w:id="26"/>
      <w:bookmarkEnd w:id="27"/>
      <w:bookmarkEnd w:id="28"/>
      <w:proofErr w:type="gramEnd"/>
    </w:p>
    <w:p w14:paraId="28131F42" w14:textId="77777777" w:rsidR="00C800ED" w:rsidRPr="00672019" w:rsidRDefault="00C800ED" w:rsidP="00C800ED">
      <w:pPr>
        <w:ind w:left="720" w:hanging="720"/>
      </w:pPr>
    </w:p>
    <w:p w14:paraId="00A2DF07" w14:textId="6D59CBE2" w:rsidR="0008481A" w:rsidRPr="00AF3239" w:rsidRDefault="0008481A" w:rsidP="0008481A">
      <w:pPr>
        <w:ind w:left="-360" w:firstLine="720"/>
      </w:pPr>
      <w:r>
        <w:t xml:space="preserve">To qualify for this study drivers must engage in a specified amount of driving (trip frequency) and meet other study inclusion criteria.  There is no source of this information </w:t>
      </w:r>
      <w:r w:rsidRPr="006B5DDC">
        <w:t>other than direct inquiry to the participant.</w:t>
      </w:r>
      <w:r>
        <w:t xml:space="preserve">  The single direct telephone or face-to-face conversation proposed in this application is not only an efficient means of acquiring the necessary qualifying information; it also permits the driver to ask any questions he/she may have about study participation. Similarly, there is no source of information about older drivers’ ability to use ENS systems safely.</w:t>
      </w:r>
    </w:p>
    <w:p w14:paraId="0352BDED" w14:textId="77777777" w:rsidR="008D4B9A" w:rsidRDefault="008D4B9A" w:rsidP="00C800ED">
      <w:pPr>
        <w:pStyle w:val="Heading2"/>
        <w:ind w:left="720" w:hanging="720"/>
        <w:rPr>
          <w:b/>
          <w:u w:val="none"/>
        </w:rPr>
      </w:pPr>
      <w:bookmarkStart w:id="29" w:name="_Toc125278817"/>
      <w:bookmarkStart w:id="30" w:name="_Toc125341740"/>
      <w:bookmarkStart w:id="31" w:name="_Toc125447298"/>
      <w:bookmarkStart w:id="32" w:name="_Toc126394126"/>
    </w:p>
    <w:p w14:paraId="184CF149" w14:textId="77777777" w:rsidR="00C800ED" w:rsidRPr="00672019" w:rsidRDefault="00C800ED" w:rsidP="00C800ED">
      <w:pPr>
        <w:pStyle w:val="Heading2"/>
        <w:ind w:left="720" w:hanging="720"/>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29"/>
      <w:bookmarkEnd w:id="30"/>
      <w:bookmarkEnd w:id="31"/>
      <w:bookmarkEnd w:id="32"/>
    </w:p>
    <w:p w14:paraId="5AD147BB" w14:textId="77777777" w:rsidR="00C800ED" w:rsidRPr="00672019" w:rsidRDefault="00C800ED" w:rsidP="00C800ED">
      <w:pPr>
        <w:ind w:left="720" w:hanging="720"/>
      </w:pPr>
    </w:p>
    <w:p w14:paraId="29B9CA0F" w14:textId="77777777" w:rsidR="008D40C3" w:rsidRPr="008D40C3" w:rsidRDefault="002107E3" w:rsidP="007E1DAA">
      <w:pPr>
        <w:ind w:firstLine="720"/>
      </w:pPr>
      <w:r>
        <w:t>The information collection involves individuals, not small businesses.</w:t>
      </w:r>
    </w:p>
    <w:p w14:paraId="578959A5" w14:textId="77777777" w:rsidR="008D40C3" w:rsidRDefault="008D40C3" w:rsidP="007E1DAA">
      <w:pPr>
        <w:ind w:firstLine="720"/>
        <w:rPr>
          <w:color w:val="4F81BD" w:themeColor="accent1"/>
        </w:rPr>
      </w:pPr>
    </w:p>
    <w:p w14:paraId="4B40F19F" w14:textId="77777777" w:rsidR="000E682C" w:rsidRPr="005A69F3" w:rsidRDefault="00C800ED" w:rsidP="000E682C">
      <w:pPr>
        <w:widowControl w:val="0"/>
        <w:tabs>
          <w:tab w:val="left" w:pos="720"/>
        </w:tabs>
        <w:autoSpaceDE w:val="0"/>
        <w:autoSpaceDN w:val="0"/>
        <w:adjustRightInd w:val="0"/>
        <w:ind w:left="720" w:hanging="720"/>
        <w:rPr>
          <w:rFonts w:ascii="Times" w:hAnsi="Times" w:cs="Arial"/>
        </w:rPr>
      </w:pPr>
      <w:bookmarkStart w:id="33" w:name="_Toc125278818"/>
      <w:bookmarkStart w:id="34" w:name="_Toc125341741"/>
      <w:bookmarkStart w:id="35" w:name="_Toc125447299"/>
      <w:bookmarkStart w:id="36"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3"/>
    <w:bookmarkEnd w:id="34"/>
    <w:bookmarkEnd w:id="35"/>
    <w:bookmarkEnd w:id="36"/>
    <w:p w14:paraId="15824312" w14:textId="77777777" w:rsidR="00C800ED" w:rsidRPr="00672019" w:rsidRDefault="00C800ED" w:rsidP="00C800ED">
      <w:pPr>
        <w:pStyle w:val="BodyTextIndent2"/>
        <w:ind w:left="0" w:firstLine="0"/>
        <w:rPr>
          <w:b w:val="0"/>
          <w:bCs w:val="0"/>
        </w:rPr>
      </w:pPr>
    </w:p>
    <w:p w14:paraId="4153C901" w14:textId="385B59C0" w:rsidR="004A3903" w:rsidRPr="00CE207D" w:rsidRDefault="005134E7" w:rsidP="00025DF5">
      <w:pPr>
        <w:pStyle w:val="BodyTextIndent2"/>
        <w:ind w:left="0" w:firstLine="720"/>
        <w:rPr>
          <w:b w:val="0"/>
          <w:bCs w:val="0"/>
        </w:rPr>
      </w:pPr>
      <w:r>
        <w:rPr>
          <w:b w:val="0"/>
          <w:bCs w:val="0"/>
        </w:rPr>
        <w:t>Little is known about how older drivers interact with ENSs and how ENSs may affect older driver performance</w:t>
      </w:r>
      <w:r w:rsidR="00E16F89">
        <w:rPr>
          <w:b w:val="0"/>
          <w:bCs w:val="0"/>
        </w:rPr>
        <w:t xml:space="preserve"> </w:t>
      </w:r>
      <w:r w:rsidR="005C1E40">
        <w:rPr>
          <w:b w:val="0"/>
          <w:bCs w:val="0"/>
        </w:rPr>
        <w:t xml:space="preserve">and safety </w:t>
      </w:r>
      <w:r w:rsidR="00E16F89">
        <w:rPr>
          <w:b w:val="0"/>
          <w:bCs w:val="0"/>
        </w:rPr>
        <w:t>on the road</w:t>
      </w:r>
      <w:r>
        <w:rPr>
          <w:b w:val="0"/>
          <w:bCs w:val="0"/>
        </w:rPr>
        <w:t xml:space="preserve">. </w:t>
      </w:r>
      <w:r w:rsidR="006C6370">
        <w:rPr>
          <w:b w:val="0"/>
          <w:bCs w:val="0"/>
        </w:rPr>
        <w:t xml:space="preserve">NHTSA has a responsibility to develop evidence regarding </w:t>
      </w:r>
      <w:r>
        <w:rPr>
          <w:b w:val="0"/>
          <w:bCs w:val="0"/>
        </w:rPr>
        <w:t>these widely available devi</w:t>
      </w:r>
      <w:r w:rsidR="00E16F89">
        <w:rPr>
          <w:b w:val="0"/>
          <w:bCs w:val="0"/>
        </w:rPr>
        <w:t>c</w:t>
      </w:r>
      <w:r>
        <w:rPr>
          <w:b w:val="0"/>
          <w:bCs w:val="0"/>
        </w:rPr>
        <w:t>es</w:t>
      </w:r>
      <w:r w:rsidR="004A3903">
        <w:rPr>
          <w:b w:val="0"/>
          <w:bCs w:val="0"/>
        </w:rPr>
        <w:t xml:space="preserve">, and provide advice to </w:t>
      </w:r>
      <w:r>
        <w:rPr>
          <w:b w:val="0"/>
          <w:bCs w:val="0"/>
        </w:rPr>
        <w:t>the public</w:t>
      </w:r>
      <w:r w:rsidR="00D14D8B">
        <w:rPr>
          <w:b w:val="0"/>
          <w:bCs w:val="0"/>
        </w:rPr>
        <w:t>, to driving rehabilitation specialists and other professionals who provide guidance to older adults regarding driving safety,</w:t>
      </w:r>
      <w:r w:rsidR="004A3903">
        <w:rPr>
          <w:b w:val="0"/>
          <w:bCs w:val="0"/>
        </w:rPr>
        <w:t xml:space="preserve"> </w:t>
      </w:r>
      <w:r w:rsidR="00E16F89">
        <w:rPr>
          <w:b w:val="0"/>
          <w:bCs w:val="0"/>
        </w:rPr>
        <w:t>and</w:t>
      </w:r>
      <w:r w:rsidR="00D14D8B">
        <w:rPr>
          <w:b w:val="0"/>
          <w:bCs w:val="0"/>
        </w:rPr>
        <w:t xml:space="preserve"> to</w:t>
      </w:r>
      <w:r w:rsidR="00E16F89">
        <w:rPr>
          <w:b w:val="0"/>
          <w:bCs w:val="0"/>
        </w:rPr>
        <w:t xml:space="preserve"> device manufacturers </w:t>
      </w:r>
      <w:r w:rsidR="004A3903">
        <w:rPr>
          <w:b w:val="0"/>
          <w:bCs w:val="0"/>
        </w:rPr>
        <w:t xml:space="preserve">regarding </w:t>
      </w:r>
      <w:r>
        <w:rPr>
          <w:b w:val="0"/>
          <w:bCs w:val="0"/>
        </w:rPr>
        <w:t>their potential safety impacts</w:t>
      </w:r>
      <w:r w:rsidR="004A3903">
        <w:rPr>
          <w:b w:val="0"/>
          <w:bCs w:val="0"/>
        </w:rPr>
        <w:t xml:space="preserve">. </w:t>
      </w:r>
      <w:r>
        <w:rPr>
          <w:b w:val="0"/>
          <w:bCs w:val="0"/>
        </w:rPr>
        <w:t>Without the conduct of the proposed data collection effort, NHTSA will not be able to advise relevant parties as to</w:t>
      </w:r>
      <w:r w:rsidR="006C6370">
        <w:rPr>
          <w:b w:val="0"/>
          <w:bCs w:val="0"/>
        </w:rPr>
        <w:t xml:space="preserve"> the safety and effectiveness of </w:t>
      </w:r>
      <w:r>
        <w:rPr>
          <w:b w:val="0"/>
          <w:bCs w:val="0"/>
        </w:rPr>
        <w:t>such devices</w:t>
      </w:r>
      <w:r w:rsidR="001447E7">
        <w:rPr>
          <w:b w:val="0"/>
          <w:bCs w:val="0"/>
        </w:rPr>
        <w:t xml:space="preserve"> or develop appropriate guidance in their safe use</w:t>
      </w:r>
      <w:r w:rsidR="006C6370">
        <w:rPr>
          <w:b w:val="0"/>
          <w:bCs w:val="0"/>
        </w:rPr>
        <w:t>.</w:t>
      </w:r>
      <w:r>
        <w:rPr>
          <w:b w:val="0"/>
          <w:bCs w:val="0"/>
        </w:rPr>
        <w:t xml:space="preserve"> Q</w:t>
      </w:r>
      <w:r w:rsidR="004A3903">
        <w:rPr>
          <w:b w:val="0"/>
          <w:bCs w:val="0"/>
        </w:rPr>
        <w:t>ualification of study participants for inclusion in the study</w:t>
      </w:r>
      <w:r w:rsidR="002755A3">
        <w:rPr>
          <w:b w:val="0"/>
          <w:bCs w:val="0"/>
        </w:rPr>
        <w:t xml:space="preserve"> and proper group assignment</w:t>
      </w:r>
      <w:r w:rsidR="004A3903">
        <w:rPr>
          <w:b w:val="0"/>
          <w:bCs w:val="0"/>
        </w:rPr>
        <w:t xml:space="preserve"> is essential to the development of useful and reliable data for analysis</w:t>
      </w:r>
      <w:r w:rsidR="004A3903" w:rsidRPr="00CE207D">
        <w:rPr>
          <w:b w:val="0"/>
          <w:bCs w:val="0"/>
        </w:rPr>
        <w:t>.</w:t>
      </w:r>
      <w:r w:rsidR="00CE207D" w:rsidRPr="00CE207D">
        <w:rPr>
          <w:b w:val="0"/>
          <w:bCs w:val="0"/>
        </w:rPr>
        <w:t xml:space="preserve"> </w:t>
      </w:r>
      <w:r w:rsidR="00CE207D" w:rsidRPr="00CE207D">
        <w:rPr>
          <w:b w:val="0"/>
          <w:color w:val="000000" w:themeColor="text1"/>
        </w:rPr>
        <w:t xml:space="preserve">The findings will provide </w:t>
      </w:r>
      <w:r w:rsidR="00B10E25">
        <w:rPr>
          <w:b w:val="0"/>
          <w:color w:val="000000" w:themeColor="text1"/>
        </w:rPr>
        <w:t xml:space="preserve">the public, including device manufacturers, </w:t>
      </w:r>
      <w:r w:rsidR="00CE207D" w:rsidRPr="00CE207D">
        <w:rPr>
          <w:b w:val="0"/>
          <w:color w:val="000000" w:themeColor="text1"/>
        </w:rPr>
        <w:t xml:space="preserve">driver rehabilitation specialists, </w:t>
      </w:r>
      <w:r w:rsidR="00B10E25">
        <w:rPr>
          <w:b w:val="0"/>
          <w:color w:val="000000" w:themeColor="text1"/>
        </w:rPr>
        <w:t>and</w:t>
      </w:r>
      <w:r w:rsidR="00CE207D" w:rsidRPr="00CE207D">
        <w:rPr>
          <w:b w:val="0"/>
          <w:color w:val="000000" w:themeColor="text1"/>
        </w:rPr>
        <w:t xml:space="preserve"> others who work with older adults in efforts to balance safety and mobility needs with valuable, and currently unavailable, information about the safety implications of older drivers using ENSs. Training methods developed through this study provide a means of maximizing the benefits of the systems while minimizing the extent to which the</w:t>
      </w:r>
      <w:r w:rsidR="0042734F">
        <w:rPr>
          <w:b w:val="0"/>
          <w:color w:val="000000" w:themeColor="text1"/>
        </w:rPr>
        <w:t>y</w:t>
      </w:r>
      <w:r w:rsidR="00CE207D" w:rsidRPr="00CE207D">
        <w:rPr>
          <w:b w:val="0"/>
          <w:color w:val="000000" w:themeColor="text1"/>
        </w:rPr>
        <w:t xml:space="preserve"> distract the driver.</w:t>
      </w:r>
    </w:p>
    <w:p w14:paraId="4652FF6F" w14:textId="77777777" w:rsidR="00071A51" w:rsidRPr="00672019" w:rsidRDefault="00071A51" w:rsidP="00C800ED">
      <w:pPr>
        <w:pStyle w:val="BodyTextIndent2"/>
        <w:ind w:left="0" w:firstLine="0"/>
        <w:rPr>
          <w:b w:val="0"/>
          <w:bCs w:val="0"/>
        </w:rPr>
      </w:pPr>
    </w:p>
    <w:p w14:paraId="791E1784" w14:textId="77777777" w:rsidR="00C800ED" w:rsidRPr="00672019" w:rsidRDefault="00C800ED" w:rsidP="00EC2CF3">
      <w:pPr>
        <w:pStyle w:val="Heading2"/>
        <w:ind w:left="720" w:hanging="720"/>
        <w:rPr>
          <w:b/>
          <w:u w:val="none"/>
        </w:rPr>
      </w:pPr>
      <w:bookmarkStart w:id="37" w:name="_Toc125278819"/>
      <w:bookmarkStart w:id="38" w:name="_Toc125341742"/>
      <w:bookmarkStart w:id="39" w:name="_Toc125447300"/>
      <w:bookmarkStart w:id="40"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7"/>
      <w:bookmarkEnd w:id="38"/>
      <w:bookmarkEnd w:id="39"/>
      <w:bookmarkEnd w:id="40"/>
    </w:p>
    <w:p w14:paraId="12792D20" w14:textId="77777777" w:rsidR="00C800ED" w:rsidRPr="00672019" w:rsidRDefault="00C800ED" w:rsidP="00025DF5">
      <w:pPr>
        <w:keepNext/>
        <w:ind w:left="720" w:hanging="720"/>
      </w:pPr>
    </w:p>
    <w:p w14:paraId="4DC4D601" w14:textId="77777777" w:rsidR="00C800ED" w:rsidRPr="003C343C" w:rsidRDefault="00C800ED" w:rsidP="007E1DAA">
      <w:pPr>
        <w:ind w:firstLine="720"/>
      </w:pPr>
      <w:r w:rsidRPr="003C343C">
        <w:t>No special circumstances require the collection to be conducted in a manner inconsistent with the guidelines in 5 CFR 1320.6.</w:t>
      </w:r>
    </w:p>
    <w:p w14:paraId="1352B2BE" w14:textId="77777777" w:rsidR="00C800ED" w:rsidRPr="00672019" w:rsidRDefault="00C800ED" w:rsidP="00C800ED">
      <w:pPr>
        <w:pStyle w:val="Heading2"/>
        <w:ind w:left="720" w:hanging="720"/>
        <w:rPr>
          <w:b/>
          <w:u w:val="none"/>
        </w:rPr>
      </w:pPr>
      <w:bookmarkStart w:id="41" w:name="_Toc125278820"/>
      <w:bookmarkStart w:id="42" w:name="_Toc125341743"/>
      <w:bookmarkStart w:id="43" w:name="_Toc125447301"/>
    </w:p>
    <w:p w14:paraId="669FD659" w14:textId="77777777" w:rsidR="00C800ED" w:rsidRPr="00672019" w:rsidRDefault="00C800ED" w:rsidP="00C800ED">
      <w:pPr>
        <w:pStyle w:val="Heading2"/>
        <w:ind w:left="720" w:hanging="720"/>
        <w:rPr>
          <w:b/>
          <w:u w:val="none"/>
        </w:rPr>
      </w:pPr>
      <w:bookmarkStart w:id="44" w:name="_Toc126394129"/>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1"/>
      <w:bookmarkEnd w:id="42"/>
      <w:bookmarkEnd w:id="43"/>
      <w:bookmarkEnd w:id="44"/>
      <w:r w:rsidRPr="00672019">
        <w:rPr>
          <w:b/>
          <w:u w:val="none"/>
        </w:rPr>
        <w:t xml:space="preserve"> </w:t>
      </w:r>
    </w:p>
    <w:p w14:paraId="1CEEFE6F" w14:textId="77777777" w:rsidR="00C800ED" w:rsidRPr="00672019" w:rsidRDefault="00C800ED" w:rsidP="00C800ED">
      <w:pPr>
        <w:ind w:left="720" w:hanging="720"/>
      </w:pPr>
    </w:p>
    <w:p w14:paraId="17A3A398" w14:textId="77777777" w:rsidR="00C800ED" w:rsidRPr="003C343C" w:rsidRDefault="00C800ED" w:rsidP="004F79B8">
      <w:pPr>
        <w:ind w:firstLine="720"/>
      </w:pPr>
      <w:r w:rsidRPr="003C343C">
        <w:t xml:space="preserve">FEDERAL REGISTER NOTICE: </w:t>
      </w:r>
      <w:r w:rsidR="003D5608" w:rsidRPr="003C343C">
        <w:t xml:space="preserve">  </w:t>
      </w:r>
      <w:r w:rsidRPr="003C343C">
        <w:t xml:space="preserve">A copy of the </w:t>
      </w:r>
      <w:r w:rsidR="00442E5D" w:rsidRPr="003C343C">
        <w:t xml:space="preserve">Federal Register Notice </w:t>
      </w:r>
      <w:r w:rsidR="003D5608" w:rsidRPr="003C343C">
        <w:t>which notified the public of NHTSA’s intent to conduct this information collection, and provided a 60-day comment period</w:t>
      </w:r>
      <w:r w:rsidR="006607E3" w:rsidRPr="003C343C">
        <w:t>,</w:t>
      </w:r>
      <w:r w:rsidR="003D5608" w:rsidRPr="003C343C">
        <w:t xml:space="preserve"> was published on </w:t>
      </w:r>
      <w:r w:rsidR="006F1330">
        <w:t>April 30</w:t>
      </w:r>
      <w:r w:rsidR="003C343C" w:rsidRPr="003C343C">
        <w:t>, 201</w:t>
      </w:r>
      <w:r w:rsidR="006F1330">
        <w:t>4</w:t>
      </w:r>
      <w:r w:rsidR="00C635BF" w:rsidRPr="003C343C">
        <w:t xml:space="preserve"> </w:t>
      </w:r>
      <w:r w:rsidR="003D5608" w:rsidRPr="003C343C">
        <w:t xml:space="preserve">(Vol. </w:t>
      </w:r>
      <w:r w:rsidR="006F1330">
        <w:t>79</w:t>
      </w:r>
      <w:r w:rsidR="00442E5D" w:rsidRPr="003C343C">
        <w:t xml:space="preserve">, No. </w:t>
      </w:r>
      <w:r w:rsidR="006F1330">
        <w:t>83</w:t>
      </w:r>
      <w:r w:rsidRPr="003C343C">
        <w:t xml:space="preserve">, Pages </w:t>
      </w:r>
      <w:r w:rsidR="006F1330">
        <w:t>24494</w:t>
      </w:r>
      <w:r w:rsidR="00C635BF" w:rsidRPr="003C343C">
        <w:t>-</w:t>
      </w:r>
      <w:r w:rsidR="006F1330">
        <w:t>24495</w:t>
      </w:r>
      <w:r w:rsidR="009377B5" w:rsidRPr="003C343C">
        <w:t>.</w:t>
      </w:r>
      <w:r w:rsidR="004F79B8" w:rsidRPr="003C343C">
        <w:t xml:space="preserve">   No comments were entered into the NHTSA docket in response to the 60-day Federal Register Notice</w:t>
      </w:r>
    </w:p>
    <w:p w14:paraId="7BC7CBB1" w14:textId="77777777" w:rsidR="00C800ED" w:rsidRPr="004D6A75" w:rsidRDefault="00C800ED" w:rsidP="00C800ED">
      <w:pPr>
        <w:rPr>
          <w:color w:val="4F81BD" w:themeColor="accent1"/>
        </w:rPr>
      </w:pPr>
    </w:p>
    <w:p w14:paraId="3ADE3E76" w14:textId="77777777" w:rsidR="00C800ED" w:rsidRPr="003B6A9D" w:rsidRDefault="00C800ED" w:rsidP="007E1DAA">
      <w:pPr>
        <w:ind w:firstLine="720"/>
      </w:pPr>
      <w:r w:rsidRPr="003B6A9D">
        <w:t xml:space="preserve">A copy of a second Federal Register Notice (Vol. </w:t>
      </w:r>
      <w:r w:rsidR="00606448">
        <w:t>79</w:t>
      </w:r>
      <w:r w:rsidR="00396674" w:rsidRPr="003B6A9D">
        <w:t xml:space="preserve">, </w:t>
      </w:r>
      <w:r w:rsidRPr="003B6A9D">
        <w:t xml:space="preserve">No. </w:t>
      </w:r>
      <w:r w:rsidR="00606448">
        <w:t>149</w:t>
      </w:r>
      <w:r w:rsidR="00F63A8B">
        <w:t xml:space="preserve"> </w:t>
      </w:r>
      <w:r w:rsidRPr="003B6A9D">
        <w:t>Page</w:t>
      </w:r>
      <w:r w:rsidR="003B6A9D" w:rsidRPr="003B6A9D">
        <w:t>s</w:t>
      </w:r>
      <w:r w:rsidR="009377B5" w:rsidRPr="003B6A9D">
        <w:t xml:space="preserve"> </w:t>
      </w:r>
      <w:r w:rsidR="00606448">
        <w:t>45231</w:t>
      </w:r>
      <w:r w:rsidR="003B6A9D" w:rsidRPr="003B6A9D">
        <w:t xml:space="preserve"> - </w:t>
      </w:r>
      <w:r w:rsidR="00606448">
        <w:t>45232</w:t>
      </w:r>
      <w:r w:rsidRPr="003B6A9D">
        <w:t xml:space="preserve">), which announced that this information collection request </w:t>
      </w:r>
      <w:r w:rsidR="00E17F6D" w:rsidRPr="003B6A9D">
        <w:t>will be</w:t>
      </w:r>
      <w:r w:rsidRPr="003B6A9D">
        <w:t xml:space="preserve"> forwarded to OMB, </w:t>
      </w:r>
      <w:r w:rsidR="009377B5" w:rsidRPr="003B6A9D">
        <w:t xml:space="preserve">was published </w:t>
      </w:r>
      <w:r w:rsidR="00606448">
        <w:t>August</w:t>
      </w:r>
      <w:r w:rsidR="003B6A9D" w:rsidRPr="003B6A9D">
        <w:t xml:space="preserve"> </w:t>
      </w:r>
      <w:r w:rsidR="00606448">
        <w:t>4</w:t>
      </w:r>
      <w:r w:rsidR="004E58AE" w:rsidRPr="003B6A9D">
        <w:t>, 201</w:t>
      </w:r>
      <w:r w:rsidR="006F1330">
        <w:t>4</w:t>
      </w:r>
      <w:r w:rsidR="009377B5" w:rsidRPr="003B6A9D">
        <w:t>.</w:t>
      </w:r>
    </w:p>
    <w:p w14:paraId="7B0F03C3" w14:textId="77777777" w:rsidR="009377B5" w:rsidRPr="004D6A75" w:rsidRDefault="009377B5" w:rsidP="007E1DAA">
      <w:pPr>
        <w:ind w:firstLine="720"/>
        <w:rPr>
          <w:color w:val="4F81BD" w:themeColor="accent1"/>
        </w:rPr>
      </w:pPr>
    </w:p>
    <w:p w14:paraId="0A105A50" w14:textId="77777777" w:rsidR="00C800ED" w:rsidRPr="00672019" w:rsidRDefault="00C800ED" w:rsidP="00C800ED">
      <w:pPr>
        <w:ind w:left="720" w:hanging="720"/>
      </w:pPr>
    </w:p>
    <w:p w14:paraId="306555F4" w14:textId="77777777" w:rsidR="00C800ED" w:rsidRPr="00672019" w:rsidRDefault="00C800ED" w:rsidP="00C800ED">
      <w:pPr>
        <w:pStyle w:val="Heading2"/>
        <w:ind w:left="720" w:hanging="720"/>
        <w:rPr>
          <w:b/>
          <w:u w:val="none"/>
        </w:rPr>
      </w:pPr>
      <w:bookmarkStart w:id="45" w:name="_Toc125278821"/>
      <w:bookmarkStart w:id="46" w:name="_Toc125341744"/>
      <w:bookmarkStart w:id="47" w:name="_Toc125447302"/>
      <w:bookmarkStart w:id="48"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5"/>
      <w:bookmarkEnd w:id="46"/>
      <w:bookmarkEnd w:id="47"/>
      <w:bookmarkEnd w:id="48"/>
      <w:r w:rsidRPr="00672019">
        <w:rPr>
          <w:b/>
          <w:u w:val="none"/>
        </w:rPr>
        <w:t xml:space="preserve"> </w:t>
      </w:r>
    </w:p>
    <w:p w14:paraId="3A9F2F88" w14:textId="77777777" w:rsidR="00C800ED" w:rsidRPr="00672019" w:rsidRDefault="00C800ED" w:rsidP="00C800ED">
      <w:pPr>
        <w:ind w:left="720" w:hanging="720"/>
      </w:pPr>
    </w:p>
    <w:p w14:paraId="07EF4F99" w14:textId="77777777" w:rsidR="00FB0E59" w:rsidRPr="00682869" w:rsidRDefault="00DB25DC" w:rsidP="00DB25DC">
      <w:pPr>
        <w:pStyle w:val="Default"/>
        <w:ind w:firstLine="720"/>
        <w:rPr>
          <w:rFonts w:ascii="Times New Roman" w:hAnsi="Times New Roman" w:cs="Times New Roman"/>
          <w:color w:val="auto"/>
        </w:rPr>
      </w:pPr>
      <w:r w:rsidRPr="00682869">
        <w:rPr>
          <w:rFonts w:ascii="Times New Roman" w:hAnsi="Times New Roman" w:cs="Times New Roman"/>
          <w:color w:val="auto"/>
        </w:rPr>
        <w:t>No payment or gift will be provided to respondents</w:t>
      </w:r>
      <w:r w:rsidR="00682869" w:rsidRPr="00682869">
        <w:rPr>
          <w:rFonts w:ascii="Times New Roman" w:hAnsi="Times New Roman" w:cs="Times New Roman"/>
          <w:color w:val="auto"/>
        </w:rPr>
        <w:t xml:space="preserve"> for the</w:t>
      </w:r>
      <w:r w:rsidR="00F63A8B">
        <w:rPr>
          <w:rFonts w:ascii="Times New Roman" w:hAnsi="Times New Roman" w:cs="Times New Roman"/>
          <w:color w:val="auto"/>
        </w:rPr>
        <w:t xml:space="preserve"> qualification </w:t>
      </w:r>
      <w:r w:rsidR="00D14034">
        <w:rPr>
          <w:rFonts w:ascii="Times New Roman" w:hAnsi="Times New Roman" w:cs="Times New Roman"/>
          <w:color w:val="auto"/>
        </w:rPr>
        <w:t>questionnaire</w:t>
      </w:r>
      <w:r w:rsidR="00682869" w:rsidRPr="00682869">
        <w:rPr>
          <w:rFonts w:ascii="Times New Roman" w:hAnsi="Times New Roman" w:cs="Times New Roman"/>
          <w:color w:val="auto"/>
        </w:rPr>
        <w:t xml:space="preserve"> portion of this study</w:t>
      </w:r>
      <w:r w:rsidRPr="00682869">
        <w:rPr>
          <w:rFonts w:ascii="Times New Roman" w:hAnsi="Times New Roman" w:cs="Times New Roman"/>
          <w:color w:val="auto"/>
        </w:rPr>
        <w:t>.</w:t>
      </w:r>
      <w:r w:rsidR="00682869" w:rsidRPr="00682869">
        <w:rPr>
          <w:rFonts w:ascii="Times New Roman" w:hAnsi="Times New Roman" w:cs="Times New Roman"/>
          <w:color w:val="auto"/>
        </w:rPr>
        <w:t xml:space="preserve">  A </w:t>
      </w:r>
      <w:r w:rsidR="00F63A8B">
        <w:rPr>
          <w:rFonts w:ascii="Times New Roman" w:hAnsi="Times New Roman" w:cs="Times New Roman"/>
          <w:color w:val="auto"/>
        </w:rPr>
        <w:t xml:space="preserve">total of </w:t>
      </w:r>
      <w:r w:rsidR="00682869" w:rsidRPr="00682869">
        <w:rPr>
          <w:rFonts w:ascii="Times New Roman" w:hAnsi="Times New Roman" w:cs="Times New Roman"/>
          <w:color w:val="auto"/>
        </w:rPr>
        <w:t>$1</w:t>
      </w:r>
      <w:r w:rsidR="00F63A8B">
        <w:rPr>
          <w:rFonts w:ascii="Times New Roman" w:hAnsi="Times New Roman" w:cs="Times New Roman"/>
          <w:color w:val="auto"/>
        </w:rPr>
        <w:t>50</w:t>
      </w:r>
      <w:r w:rsidR="00682869" w:rsidRPr="00682869">
        <w:rPr>
          <w:rFonts w:ascii="Times New Roman" w:hAnsi="Times New Roman" w:cs="Times New Roman"/>
          <w:color w:val="auto"/>
        </w:rPr>
        <w:t xml:space="preserve"> will be provided to qualified </w:t>
      </w:r>
      <w:r w:rsidR="001447E7">
        <w:rPr>
          <w:rFonts w:ascii="Times New Roman" w:hAnsi="Times New Roman" w:cs="Times New Roman"/>
          <w:color w:val="auto"/>
        </w:rPr>
        <w:t>volunteer</w:t>
      </w:r>
      <w:r w:rsidR="001447E7" w:rsidRPr="00682869">
        <w:rPr>
          <w:rFonts w:ascii="Times New Roman" w:hAnsi="Times New Roman" w:cs="Times New Roman"/>
          <w:color w:val="auto"/>
        </w:rPr>
        <w:t xml:space="preserve"> </w:t>
      </w:r>
      <w:r w:rsidR="00682869" w:rsidRPr="00682869">
        <w:rPr>
          <w:rFonts w:ascii="Times New Roman" w:hAnsi="Times New Roman" w:cs="Times New Roman"/>
          <w:color w:val="auto"/>
        </w:rPr>
        <w:t xml:space="preserve">participants who </w:t>
      </w:r>
      <w:r w:rsidR="001447E7">
        <w:rPr>
          <w:rFonts w:ascii="Times New Roman" w:hAnsi="Times New Roman" w:cs="Times New Roman"/>
          <w:color w:val="auto"/>
        </w:rPr>
        <w:t xml:space="preserve">are selected and </w:t>
      </w:r>
      <w:r w:rsidR="00F63A8B">
        <w:rPr>
          <w:rFonts w:ascii="Times New Roman" w:hAnsi="Times New Roman" w:cs="Times New Roman"/>
          <w:color w:val="auto"/>
        </w:rPr>
        <w:t>complete the two study sessions</w:t>
      </w:r>
      <w:r w:rsidR="00682869" w:rsidRPr="00682869">
        <w:rPr>
          <w:rFonts w:ascii="Times New Roman" w:hAnsi="Times New Roman" w:cs="Times New Roman"/>
          <w:color w:val="auto"/>
        </w:rPr>
        <w:t>.</w:t>
      </w:r>
      <w:r w:rsidR="00F63A8B">
        <w:rPr>
          <w:rFonts w:ascii="Times New Roman" w:hAnsi="Times New Roman" w:cs="Times New Roman"/>
          <w:color w:val="auto"/>
        </w:rPr>
        <w:t xml:space="preserve">  Participants will receive $50 for the first session and $100 for the second session</w:t>
      </w:r>
      <w:r w:rsidR="00E16E65">
        <w:rPr>
          <w:rFonts w:ascii="Times New Roman" w:hAnsi="Times New Roman" w:cs="Times New Roman"/>
          <w:color w:val="auto"/>
        </w:rPr>
        <w:t>, in which they complete driving tasks in their own vehicles</w:t>
      </w:r>
      <w:r w:rsidR="00F63A8B">
        <w:rPr>
          <w:rFonts w:ascii="Times New Roman" w:hAnsi="Times New Roman" w:cs="Times New Roman"/>
          <w:color w:val="auto"/>
        </w:rPr>
        <w:t>.</w:t>
      </w:r>
      <w:r w:rsidR="00BD498F">
        <w:rPr>
          <w:rFonts w:ascii="Times New Roman" w:hAnsi="Times New Roman" w:cs="Times New Roman"/>
          <w:color w:val="auto"/>
        </w:rPr>
        <w:t xml:space="preserve"> Previous experience has shown that this is the minimal amount necessary to recruit participants for a study such as this one</w:t>
      </w:r>
      <w:r w:rsidR="00042808">
        <w:rPr>
          <w:rFonts w:ascii="Times New Roman" w:hAnsi="Times New Roman" w:cs="Times New Roman"/>
          <w:color w:val="auto"/>
        </w:rPr>
        <w:t>.</w:t>
      </w:r>
    </w:p>
    <w:p w14:paraId="02CD563C" w14:textId="77777777" w:rsidR="00C800ED" w:rsidRPr="00672019" w:rsidRDefault="00C800ED" w:rsidP="00C800ED">
      <w:pPr>
        <w:ind w:left="720" w:hanging="720"/>
      </w:pPr>
    </w:p>
    <w:p w14:paraId="1A71F160" w14:textId="77777777" w:rsidR="00C800ED" w:rsidRPr="00672019" w:rsidRDefault="00C800ED" w:rsidP="00C800ED">
      <w:pPr>
        <w:pStyle w:val="Heading2"/>
        <w:rPr>
          <w:b/>
          <w:u w:val="none"/>
        </w:rPr>
      </w:pPr>
      <w:bookmarkStart w:id="49" w:name="_Toc125278822"/>
      <w:bookmarkStart w:id="50" w:name="_Toc125341745"/>
      <w:bookmarkStart w:id="51" w:name="_Toc125447303"/>
      <w:bookmarkStart w:id="52" w:name="_Toc126394131"/>
      <w:r w:rsidRPr="00672019">
        <w:rPr>
          <w:b/>
          <w:u w:val="none"/>
        </w:rPr>
        <w:t xml:space="preserve">A.10. </w:t>
      </w:r>
      <w:r w:rsidRPr="00672019">
        <w:rPr>
          <w:b/>
          <w:u w:val="none"/>
        </w:rPr>
        <w:tab/>
        <w:t>Describe any assurance of confidentiality provided to respondents</w:t>
      </w:r>
      <w:bookmarkEnd w:id="49"/>
      <w:bookmarkEnd w:id="50"/>
      <w:bookmarkEnd w:id="51"/>
      <w:bookmarkEnd w:id="52"/>
    </w:p>
    <w:p w14:paraId="20459E7C" w14:textId="77777777" w:rsidR="00C800ED" w:rsidRPr="00672019" w:rsidRDefault="00C800ED" w:rsidP="00C800ED">
      <w:pPr>
        <w:ind w:left="720" w:hanging="720"/>
      </w:pPr>
    </w:p>
    <w:p w14:paraId="29DDC4C7" w14:textId="77777777" w:rsidR="00682869" w:rsidRPr="00562097" w:rsidRDefault="0017740B" w:rsidP="00DB25DC">
      <w:pPr>
        <w:ind w:firstLine="720"/>
      </w:pPr>
      <w:r>
        <w:t xml:space="preserve">The solicitation to </w:t>
      </w:r>
      <w:r w:rsidR="00EC2F76">
        <w:t xml:space="preserve">participate in </w:t>
      </w:r>
      <w:r>
        <w:t xml:space="preserve">the study assures prospective participants that their information will be held in confidence. </w:t>
      </w:r>
      <w:r w:rsidR="00682869" w:rsidRPr="00562097">
        <w:t xml:space="preserve">Participants in </w:t>
      </w:r>
      <w:r w:rsidR="001447E7">
        <w:t xml:space="preserve">the </w:t>
      </w:r>
      <w:r w:rsidR="00682869" w:rsidRPr="00562097">
        <w:t xml:space="preserve">study </w:t>
      </w:r>
      <w:r w:rsidR="00EA7EFB">
        <w:t>will be</w:t>
      </w:r>
      <w:r w:rsidR="00682869" w:rsidRPr="00562097">
        <w:t xml:space="preserve"> asked to execute an Informed Consent document that promises no individual results and no personal information will be published and no personal results will be shared with any licensing regulatory authority.  All published results will provide only summary statistics that cannot be used to ident</w:t>
      </w:r>
      <w:r w:rsidR="00562097" w:rsidRPr="00562097">
        <w:t>ify any individual or individual responses.</w:t>
      </w:r>
    </w:p>
    <w:p w14:paraId="3BD2D5F1" w14:textId="77777777" w:rsidR="00682869" w:rsidRDefault="00682869" w:rsidP="00DB25DC">
      <w:pPr>
        <w:ind w:firstLine="720"/>
        <w:rPr>
          <w:color w:val="4F81BD" w:themeColor="accent1"/>
        </w:rPr>
      </w:pPr>
    </w:p>
    <w:p w14:paraId="22665B9D" w14:textId="77777777" w:rsidR="00C800ED" w:rsidRPr="00672019" w:rsidRDefault="00C800ED" w:rsidP="00C800ED">
      <w:pPr>
        <w:ind w:left="720" w:hanging="720"/>
      </w:pPr>
    </w:p>
    <w:p w14:paraId="4BD56070" w14:textId="77777777" w:rsidR="00C800ED" w:rsidRPr="00672019" w:rsidRDefault="00C800ED" w:rsidP="00EC2CF3">
      <w:pPr>
        <w:pStyle w:val="Heading2"/>
        <w:ind w:left="720" w:hanging="720"/>
        <w:rPr>
          <w:b/>
          <w:u w:val="none"/>
        </w:rPr>
      </w:pPr>
      <w:bookmarkStart w:id="53" w:name="_Toc125278823"/>
      <w:bookmarkStart w:id="54" w:name="_Toc125341746"/>
      <w:bookmarkStart w:id="55" w:name="_Toc125447304"/>
      <w:bookmarkStart w:id="56"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53"/>
      <w:bookmarkEnd w:id="54"/>
      <w:bookmarkEnd w:id="55"/>
      <w:bookmarkEnd w:id="56"/>
    </w:p>
    <w:p w14:paraId="53E190B0" w14:textId="77777777" w:rsidR="00C800ED" w:rsidRPr="00672019" w:rsidRDefault="00C800ED" w:rsidP="00025DF5">
      <w:pPr>
        <w:keepNext/>
        <w:ind w:left="720" w:hanging="720"/>
      </w:pPr>
    </w:p>
    <w:p w14:paraId="0F788E47" w14:textId="77777777" w:rsidR="00A33CC4" w:rsidRDefault="00562097" w:rsidP="00A33CC4">
      <w:pPr>
        <w:spacing w:after="240"/>
      </w:pPr>
      <w:r>
        <w:tab/>
      </w:r>
      <w:r w:rsidR="00A33CC4" w:rsidRPr="003F0429">
        <w:t xml:space="preserve">The </w:t>
      </w:r>
      <w:r w:rsidR="00D14034">
        <w:t>questionnaire</w:t>
      </w:r>
      <w:r w:rsidR="00A33CC4" w:rsidRPr="003F0429">
        <w:t xml:space="preserve"> does n</w:t>
      </w:r>
      <w:bookmarkStart w:id="57" w:name="_GoBack"/>
      <w:bookmarkEnd w:id="57"/>
      <w:r w:rsidR="00A33CC4" w:rsidRPr="003F0429">
        <w:t>ot contain any questions of a sensitive nature or related to matters that are commonly considered private.</w:t>
      </w:r>
    </w:p>
    <w:p w14:paraId="1EF6E135" w14:textId="77777777" w:rsidR="00DA3DD3" w:rsidRPr="00672019" w:rsidRDefault="00DA3DD3" w:rsidP="00C800ED"/>
    <w:p w14:paraId="002A7690" w14:textId="77777777" w:rsidR="00C800ED" w:rsidRPr="00672019" w:rsidRDefault="00C800ED" w:rsidP="00C800ED">
      <w:pPr>
        <w:pStyle w:val="Heading2"/>
        <w:ind w:left="720" w:hanging="720"/>
        <w:rPr>
          <w:b/>
          <w:u w:val="none"/>
        </w:rPr>
      </w:pPr>
      <w:bookmarkStart w:id="58" w:name="_Toc125278824"/>
      <w:bookmarkStart w:id="59" w:name="_Toc125341747"/>
      <w:bookmarkStart w:id="60" w:name="_Toc125447305"/>
      <w:bookmarkStart w:id="61" w:name="_Toc126394133"/>
      <w:r w:rsidRPr="00672019">
        <w:rPr>
          <w:b/>
          <w:u w:val="none"/>
        </w:rPr>
        <w:lastRenderedPageBreak/>
        <w:t>A.12.</w:t>
      </w:r>
      <w:r w:rsidRPr="00672019">
        <w:rPr>
          <w:b/>
          <w:u w:val="none"/>
        </w:rPr>
        <w:tab/>
        <w:t>Provide estimates of the hour burden of the collection of information on the respondents.</w:t>
      </w:r>
      <w:bookmarkEnd w:id="58"/>
      <w:bookmarkEnd w:id="59"/>
      <w:bookmarkEnd w:id="60"/>
      <w:bookmarkEnd w:id="61"/>
    </w:p>
    <w:p w14:paraId="781330A6" w14:textId="77777777" w:rsidR="00C800ED" w:rsidRPr="00672019" w:rsidRDefault="00C800ED" w:rsidP="00C800ED"/>
    <w:p w14:paraId="133E554F" w14:textId="77777777" w:rsidR="00724CFF" w:rsidRPr="00724CFF" w:rsidRDefault="00724CFF" w:rsidP="00724CFF">
      <w:pPr>
        <w:widowControl w:val="0"/>
        <w:autoSpaceDE w:val="0"/>
        <w:autoSpaceDN w:val="0"/>
        <w:adjustRightInd w:val="0"/>
        <w:ind w:firstLine="720"/>
        <w:rPr>
          <w:rFonts w:ascii="Times" w:hAnsi="Times" w:cs="Arial"/>
        </w:rPr>
      </w:pPr>
      <w:r w:rsidRPr="00BA6226">
        <w:rPr>
          <w:rFonts w:ascii="Times" w:hAnsi="Times" w:cs="Arial"/>
        </w:rPr>
        <w:t xml:space="preserve">Information collection will be conducted by telephone or in-person </w:t>
      </w:r>
      <w:r w:rsidR="00D14034">
        <w:rPr>
          <w:rFonts w:ascii="Times" w:hAnsi="Times" w:cs="Arial"/>
        </w:rPr>
        <w:t>questionnaire</w:t>
      </w:r>
      <w:r w:rsidRPr="00BA6226">
        <w:rPr>
          <w:rFonts w:ascii="Times" w:hAnsi="Times" w:cs="Arial"/>
        </w:rPr>
        <w:t xml:space="preserve"> of up to 320 respondents to achieve a selected sample of 160 drivers (assumes 50% will qualify and agree).  The </w:t>
      </w:r>
      <w:r w:rsidR="00D14034">
        <w:rPr>
          <w:rFonts w:ascii="Times" w:hAnsi="Times" w:cs="Arial"/>
        </w:rPr>
        <w:t>questionnaire</w:t>
      </w:r>
      <w:r w:rsidRPr="00BA6226">
        <w:rPr>
          <w:rFonts w:ascii="Times" w:hAnsi="Times" w:cs="Arial"/>
        </w:rPr>
        <w:t xml:space="preserve"> is expected to last </w:t>
      </w:r>
      <w:r w:rsidR="00BA6226" w:rsidRPr="00BA6226">
        <w:rPr>
          <w:rFonts w:ascii="Times" w:hAnsi="Times" w:cs="Arial"/>
        </w:rPr>
        <w:t>an average of 3.5</w:t>
      </w:r>
      <w:r w:rsidRPr="00BA6226">
        <w:rPr>
          <w:rFonts w:ascii="Times" w:hAnsi="Times" w:cs="Arial"/>
        </w:rPr>
        <w:t xml:space="preserve"> minutes, resulting in </w:t>
      </w:r>
      <w:r w:rsidR="00BA6226" w:rsidRPr="00BA6226">
        <w:rPr>
          <w:rFonts w:ascii="Times" w:hAnsi="Times" w:cs="Arial"/>
        </w:rPr>
        <w:t>18.7</w:t>
      </w:r>
      <w:r w:rsidRPr="00BA6226">
        <w:rPr>
          <w:rFonts w:ascii="Times" w:hAnsi="Times" w:cs="Arial"/>
        </w:rPr>
        <w:t xml:space="preserve"> burden hours (Table 1a).</w:t>
      </w:r>
      <w:r w:rsidRPr="00724CFF">
        <w:rPr>
          <w:rFonts w:ascii="Times" w:hAnsi="Times" w:cs="Arial"/>
        </w:rPr>
        <w:t xml:space="preserve">  </w:t>
      </w:r>
    </w:p>
    <w:p w14:paraId="595B6315" w14:textId="77777777" w:rsidR="00724CFF" w:rsidRPr="00F42E53" w:rsidRDefault="00724CFF" w:rsidP="00724CFF">
      <w:pPr>
        <w:widowControl w:val="0"/>
        <w:autoSpaceDE w:val="0"/>
        <w:autoSpaceDN w:val="0"/>
        <w:adjustRightInd w:val="0"/>
        <w:ind w:firstLine="720"/>
        <w:rPr>
          <w:rFonts w:ascii="Times" w:hAnsi="Times" w:cs="Arial"/>
          <w:color w:val="000000" w:themeColor="text1"/>
        </w:rPr>
      </w:pPr>
    </w:p>
    <w:p w14:paraId="21F4FCFD" w14:textId="77777777" w:rsidR="00724CFF" w:rsidRPr="00F42E53" w:rsidRDefault="00724CFF" w:rsidP="00724CFF">
      <w:pPr>
        <w:widowControl w:val="0"/>
        <w:autoSpaceDE w:val="0"/>
        <w:autoSpaceDN w:val="0"/>
        <w:adjustRightInd w:val="0"/>
        <w:rPr>
          <w:rFonts w:ascii="Times" w:hAnsi="Times" w:cs="Arial"/>
          <w:color w:val="000000" w:themeColor="text1"/>
        </w:rPr>
      </w:pPr>
      <w:proofErr w:type="gramStart"/>
      <w:r w:rsidRPr="00F42E53">
        <w:rPr>
          <w:rFonts w:ascii="Times" w:hAnsi="Times" w:cs="Arial"/>
          <w:color w:val="000000" w:themeColor="text1"/>
        </w:rPr>
        <w:t>Table 1a.</w:t>
      </w:r>
      <w:proofErr w:type="gramEnd"/>
      <w:r w:rsidRPr="00F42E53">
        <w:rPr>
          <w:rFonts w:ascii="Times" w:hAnsi="Times" w:cs="Arial"/>
          <w:color w:val="000000" w:themeColor="text1"/>
        </w:rPr>
        <w:t xml:space="preserve"> Burden Hours: Screening Potential Participants</w:t>
      </w:r>
      <w:r w:rsidR="00FC34F5">
        <w:rPr>
          <w:rFonts w:ascii="Times" w:hAnsi="Times" w:cs="Arial"/>
          <w:color w:val="000000" w:themeColor="text1"/>
        </w:rPr>
        <w:t xml:space="preserve"> (for Phases 1 and 2)</w:t>
      </w:r>
    </w:p>
    <w:tbl>
      <w:tblPr>
        <w:tblStyle w:val="TableGrid"/>
        <w:tblW w:w="7308" w:type="dxa"/>
        <w:tblLayout w:type="fixed"/>
        <w:tblLook w:val="04A0" w:firstRow="1" w:lastRow="0" w:firstColumn="1" w:lastColumn="0" w:noHBand="0" w:noVBand="1"/>
      </w:tblPr>
      <w:tblGrid>
        <w:gridCol w:w="1458"/>
        <w:gridCol w:w="1800"/>
        <w:gridCol w:w="2520"/>
        <w:gridCol w:w="1530"/>
      </w:tblGrid>
      <w:tr w:rsidR="00724CFF" w:rsidRPr="00F42E53" w14:paraId="4A74FEF5" w14:textId="77777777" w:rsidTr="001D131D">
        <w:tc>
          <w:tcPr>
            <w:tcW w:w="1458" w:type="dxa"/>
            <w:tcBorders>
              <w:top w:val="nil"/>
              <w:left w:val="nil"/>
              <w:bottom w:val="single" w:sz="4" w:space="0" w:color="auto"/>
              <w:right w:val="nil"/>
            </w:tcBorders>
          </w:tcPr>
          <w:p w14:paraId="4E9A4004" w14:textId="77777777" w:rsidR="00724CFF" w:rsidRPr="00F42E53" w:rsidRDefault="00724CFF" w:rsidP="0011069D">
            <w:pPr>
              <w:widowControl w:val="0"/>
              <w:autoSpaceDE w:val="0"/>
              <w:autoSpaceDN w:val="0"/>
              <w:adjustRightInd w:val="0"/>
              <w:rPr>
                <w:rFonts w:ascii="Times" w:hAnsi="Times" w:cs="Arial"/>
                <w:color w:val="000000" w:themeColor="text1"/>
              </w:rPr>
            </w:pPr>
          </w:p>
        </w:tc>
        <w:tc>
          <w:tcPr>
            <w:tcW w:w="1800" w:type="dxa"/>
            <w:tcBorders>
              <w:top w:val="nil"/>
              <w:left w:val="nil"/>
              <w:bottom w:val="single" w:sz="4" w:space="0" w:color="auto"/>
              <w:right w:val="nil"/>
            </w:tcBorders>
            <w:vAlign w:val="bottom"/>
          </w:tcPr>
          <w:p w14:paraId="0E96A595" w14:textId="77777777" w:rsidR="00724CFF" w:rsidRPr="00F42E53" w:rsidRDefault="00724CFF" w:rsidP="00BA6226">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Respondents</w:t>
            </w:r>
            <w:r>
              <w:rPr>
                <w:rFonts w:ascii="Times" w:hAnsi="Times" w:cs="Arial"/>
                <w:color w:val="000000" w:themeColor="text1"/>
              </w:rPr>
              <w:t xml:space="preserve">  </w:t>
            </w:r>
            <w:r w:rsidR="00BA6226">
              <w:rPr>
                <w:rFonts w:ascii="Times" w:hAnsi="Times" w:cs="Arial"/>
                <w:color w:val="000000" w:themeColor="text1"/>
              </w:rPr>
              <w:t>*</w:t>
            </w:r>
          </w:p>
        </w:tc>
        <w:tc>
          <w:tcPr>
            <w:tcW w:w="2520" w:type="dxa"/>
            <w:tcBorders>
              <w:top w:val="nil"/>
              <w:left w:val="nil"/>
              <w:bottom w:val="single" w:sz="4" w:space="0" w:color="auto"/>
              <w:right w:val="nil"/>
            </w:tcBorders>
            <w:vAlign w:val="bottom"/>
          </w:tcPr>
          <w:p w14:paraId="445B0D96" w14:textId="77777777" w:rsidR="00724CFF" w:rsidRPr="00F42E53" w:rsidRDefault="00724CFF" w:rsidP="00724CFF">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Hours per participant</w:t>
            </w:r>
            <w:r>
              <w:rPr>
                <w:rFonts w:ascii="Times" w:hAnsi="Times" w:cs="Arial"/>
                <w:color w:val="000000" w:themeColor="text1"/>
              </w:rPr>
              <w:t xml:space="preserve">  =</w:t>
            </w:r>
          </w:p>
        </w:tc>
        <w:tc>
          <w:tcPr>
            <w:tcW w:w="1530" w:type="dxa"/>
            <w:tcBorders>
              <w:top w:val="nil"/>
              <w:left w:val="nil"/>
              <w:bottom w:val="single" w:sz="4" w:space="0" w:color="auto"/>
              <w:right w:val="nil"/>
            </w:tcBorders>
            <w:vAlign w:val="bottom"/>
          </w:tcPr>
          <w:p w14:paraId="7424FFC4" w14:textId="77777777" w:rsidR="00724CFF" w:rsidRPr="00F42E53" w:rsidRDefault="00724CFF" w:rsidP="00724CFF">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Burden hours</w:t>
            </w:r>
          </w:p>
        </w:tc>
      </w:tr>
      <w:tr w:rsidR="00724CFF" w:rsidRPr="00F42E53" w14:paraId="486460F5" w14:textId="77777777" w:rsidTr="001D131D">
        <w:tc>
          <w:tcPr>
            <w:tcW w:w="1458" w:type="dxa"/>
            <w:tcBorders>
              <w:top w:val="single" w:sz="4" w:space="0" w:color="auto"/>
            </w:tcBorders>
          </w:tcPr>
          <w:p w14:paraId="0565E77B" w14:textId="77777777" w:rsidR="00724CFF" w:rsidRPr="00F42E53" w:rsidRDefault="00724CFF" w:rsidP="0011069D">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Screening</w:t>
            </w:r>
          </w:p>
        </w:tc>
        <w:tc>
          <w:tcPr>
            <w:tcW w:w="1800" w:type="dxa"/>
            <w:tcBorders>
              <w:top w:val="single" w:sz="4" w:space="0" w:color="auto"/>
            </w:tcBorders>
          </w:tcPr>
          <w:p w14:paraId="316E116E" w14:textId="77777777" w:rsidR="00724CFF" w:rsidRPr="003F4E52" w:rsidRDefault="00BA6226" w:rsidP="00724CFF">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320</w:t>
            </w:r>
          </w:p>
        </w:tc>
        <w:tc>
          <w:tcPr>
            <w:tcW w:w="2520" w:type="dxa"/>
            <w:tcBorders>
              <w:top w:val="single" w:sz="4" w:space="0" w:color="auto"/>
            </w:tcBorders>
          </w:tcPr>
          <w:p w14:paraId="669F8831" w14:textId="77777777" w:rsidR="00724CFF" w:rsidRPr="003F4E52" w:rsidRDefault="00724CFF" w:rsidP="00BA6226">
            <w:pPr>
              <w:widowControl w:val="0"/>
              <w:autoSpaceDE w:val="0"/>
              <w:autoSpaceDN w:val="0"/>
              <w:adjustRightInd w:val="0"/>
              <w:jc w:val="center"/>
              <w:rPr>
                <w:rFonts w:ascii="Times" w:hAnsi="Times" w:cs="Arial"/>
                <w:color w:val="000000" w:themeColor="text1"/>
              </w:rPr>
            </w:pPr>
            <w:r w:rsidRPr="003F4E52">
              <w:rPr>
                <w:rFonts w:ascii="Times" w:hAnsi="Times" w:cs="Arial"/>
                <w:color w:val="000000" w:themeColor="text1"/>
              </w:rPr>
              <w:t>.</w:t>
            </w:r>
            <w:r>
              <w:rPr>
                <w:rFonts w:ascii="Times" w:hAnsi="Times" w:cs="Arial"/>
                <w:color w:val="000000" w:themeColor="text1"/>
              </w:rPr>
              <w:t>0</w:t>
            </w:r>
            <w:r w:rsidR="00BA6226">
              <w:rPr>
                <w:rFonts w:ascii="Times" w:hAnsi="Times" w:cs="Arial"/>
                <w:color w:val="000000" w:themeColor="text1"/>
              </w:rPr>
              <w:t>6</w:t>
            </w:r>
          </w:p>
        </w:tc>
        <w:tc>
          <w:tcPr>
            <w:tcW w:w="1530" w:type="dxa"/>
            <w:tcBorders>
              <w:top w:val="single" w:sz="4" w:space="0" w:color="auto"/>
            </w:tcBorders>
          </w:tcPr>
          <w:p w14:paraId="1138BAD6" w14:textId="77777777" w:rsidR="00724CFF" w:rsidRPr="003F4E52" w:rsidRDefault="00BA6226" w:rsidP="00BA6226">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18.7</w:t>
            </w:r>
          </w:p>
        </w:tc>
      </w:tr>
    </w:tbl>
    <w:p w14:paraId="4DE88034" w14:textId="77777777" w:rsidR="00724CFF" w:rsidRPr="00F42E53" w:rsidRDefault="00724CFF" w:rsidP="00724CFF">
      <w:pPr>
        <w:widowControl w:val="0"/>
        <w:autoSpaceDE w:val="0"/>
        <w:autoSpaceDN w:val="0"/>
        <w:adjustRightInd w:val="0"/>
        <w:ind w:firstLine="720"/>
        <w:rPr>
          <w:rFonts w:ascii="Times" w:hAnsi="Times" w:cs="Arial"/>
          <w:color w:val="000000" w:themeColor="text1"/>
        </w:rPr>
      </w:pPr>
    </w:p>
    <w:p w14:paraId="6B8B25A0" w14:textId="77777777" w:rsidR="00EB2822" w:rsidRPr="001D131D" w:rsidRDefault="001D131D" w:rsidP="001D131D">
      <w:pPr>
        <w:widowControl w:val="0"/>
        <w:autoSpaceDE w:val="0"/>
        <w:autoSpaceDN w:val="0"/>
        <w:adjustRightInd w:val="0"/>
        <w:rPr>
          <w:rFonts w:ascii="Times" w:hAnsi="Times" w:cs="Arial"/>
          <w:color w:val="000000" w:themeColor="text1"/>
        </w:rPr>
      </w:pPr>
      <w:proofErr w:type="gramStart"/>
      <w:r>
        <w:rPr>
          <w:rFonts w:ascii="Times" w:hAnsi="Times" w:cs="Arial"/>
          <w:color w:val="000000" w:themeColor="text1"/>
        </w:rPr>
        <w:t>Phase 1.</w:t>
      </w:r>
      <w:proofErr w:type="gramEnd"/>
      <w:r>
        <w:rPr>
          <w:rFonts w:ascii="Times" w:hAnsi="Times" w:cs="Arial"/>
          <w:color w:val="000000" w:themeColor="text1"/>
        </w:rPr>
        <w:t xml:space="preserve"> </w:t>
      </w:r>
      <w:r w:rsidR="00EB2822" w:rsidRPr="00272BB6">
        <w:rPr>
          <w:rFonts w:ascii="Times" w:hAnsi="Times" w:cs="Arial"/>
          <w:color w:val="000000" w:themeColor="text1"/>
        </w:rPr>
        <w:t>Each participant in Phase 1 will read and sign a consent form, complete a cli</w:t>
      </w:r>
      <w:r w:rsidR="00272BB6" w:rsidRPr="00272BB6">
        <w:rPr>
          <w:rFonts w:ascii="Times" w:hAnsi="Times" w:cs="Arial"/>
          <w:color w:val="000000" w:themeColor="text1"/>
        </w:rPr>
        <w:t>nical functional evaluation</w:t>
      </w:r>
      <w:r w:rsidR="00272BB6">
        <w:rPr>
          <w:rFonts w:ascii="Times" w:hAnsi="Times" w:cs="Arial"/>
          <w:color w:val="000000" w:themeColor="text1"/>
        </w:rPr>
        <w:t>,</w:t>
      </w:r>
      <w:r w:rsidR="00272BB6" w:rsidRPr="00272BB6">
        <w:rPr>
          <w:rFonts w:ascii="Times" w:hAnsi="Times" w:cs="Arial"/>
          <w:color w:val="000000" w:themeColor="text1"/>
        </w:rPr>
        <w:t xml:space="preserve"> </w:t>
      </w:r>
      <w:r w:rsidR="00EB2822" w:rsidRPr="00272BB6">
        <w:rPr>
          <w:rFonts w:ascii="Times" w:hAnsi="Times" w:cs="Arial"/>
          <w:color w:val="000000" w:themeColor="text1"/>
        </w:rPr>
        <w:t xml:space="preserve">a </w:t>
      </w:r>
      <w:r w:rsidR="00EB2822" w:rsidRPr="001D131D">
        <w:rPr>
          <w:rFonts w:ascii="Times" w:hAnsi="Times" w:cs="Arial"/>
          <w:color w:val="000000" w:themeColor="text1"/>
        </w:rPr>
        <w:t xml:space="preserve">series of driving tasks, </w:t>
      </w:r>
      <w:r w:rsidR="00272BB6" w:rsidRPr="001D131D">
        <w:rPr>
          <w:rFonts w:ascii="Times" w:hAnsi="Times" w:cs="Arial"/>
          <w:color w:val="000000" w:themeColor="text1"/>
        </w:rPr>
        <w:t xml:space="preserve">and a destination entry task </w:t>
      </w:r>
      <w:r w:rsidR="00EB2822" w:rsidRPr="001D131D">
        <w:rPr>
          <w:rFonts w:ascii="Times" w:hAnsi="Times" w:cs="Arial"/>
          <w:color w:val="000000" w:themeColor="text1"/>
        </w:rPr>
        <w:t xml:space="preserve">resulting in </w:t>
      </w:r>
      <w:r w:rsidR="00EE52E5">
        <w:rPr>
          <w:rFonts w:ascii="Times" w:hAnsi="Times" w:cs="Arial"/>
          <w:color w:val="000000" w:themeColor="text1"/>
        </w:rPr>
        <w:t>310.8</w:t>
      </w:r>
      <w:r w:rsidR="00276847">
        <w:rPr>
          <w:rFonts w:ascii="Times" w:hAnsi="Times" w:cs="Arial"/>
          <w:color w:val="000000" w:themeColor="text1"/>
        </w:rPr>
        <w:t xml:space="preserve"> </w:t>
      </w:r>
      <w:r w:rsidR="00EB2822" w:rsidRPr="001D131D">
        <w:rPr>
          <w:rFonts w:ascii="Times" w:hAnsi="Times" w:cs="Arial"/>
          <w:color w:val="000000" w:themeColor="text1"/>
        </w:rPr>
        <w:t xml:space="preserve">burden hours (Table 1b). </w:t>
      </w:r>
    </w:p>
    <w:p w14:paraId="542F6A0D" w14:textId="77777777" w:rsidR="00EB2822" w:rsidRPr="001D131D" w:rsidRDefault="00EB2822" w:rsidP="00EB2822">
      <w:pPr>
        <w:widowControl w:val="0"/>
        <w:autoSpaceDE w:val="0"/>
        <w:autoSpaceDN w:val="0"/>
        <w:adjustRightInd w:val="0"/>
        <w:ind w:firstLine="720"/>
        <w:rPr>
          <w:rFonts w:ascii="Times" w:hAnsi="Times" w:cs="Arial"/>
          <w:color w:val="000000" w:themeColor="text1"/>
        </w:rPr>
      </w:pPr>
    </w:p>
    <w:p w14:paraId="3A046989" w14:textId="77777777" w:rsidR="00EB2822" w:rsidRPr="001D131D" w:rsidRDefault="00EB2822" w:rsidP="00EB2822">
      <w:pPr>
        <w:widowControl w:val="0"/>
        <w:autoSpaceDE w:val="0"/>
        <w:autoSpaceDN w:val="0"/>
        <w:adjustRightInd w:val="0"/>
        <w:rPr>
          <w:rFonts w:ascii="Times" w:hAnsi="Times" w:cs="Arial"/>
          <w:color w:val="000000" w:themeColor="text1"/>
        </w:rPr>
      </w:pPr>
      <w:proofErr w:type="gramStart"/>
      <w:r w:rsidRPr="001D131D">
        <w:rPr>
          <w:rFonts w:ascii="Times" w:hAnsi="Times" w:cs="Arial"/>
          <w:color w:val="000000" w:themeColor="text1"/>
        </w:rPr>
        <w:t>Table 1b.</w:t>
      </w:r>
      <w:proofErr w:type="gramEnd"/>
      <w:r w:rsidRPr="001D131D">
        <w:rPr>
          <w:rFonts w:ascii="Times" w:hAnsi="Times" w:cs="Arial"/>
          <w:color w:val="000000" w:themeColor="text1"/>
        </w:rPr>
        <w:t xml:space="preserve"> </w:t>
      </w:r>
      <w:r w:rsidR="001D131D">
        <w:rPr>
          <w:rFonts w:ascii="Times" w:hAnsi="Times" w:cs="Arial"/>
          <w:color w:val="000000" w:themeColor="text1"/>
        </w:rPr>
        <w:t xml:space="preserve">Phase 1 </w:t>
      </w:r>
      <w:r w:rsidRPr="001D131D">
        <w:rPr>
          <w:rFonts w:ascii="Times" w:hAnsi="Times" w:cs="Arial"/>
          <w:color w:val="000000" w:themeColor="text1"/>
        </w:rPr>
        <w:t xml:space="preserve">Burden Hours </w:t>
      </w:r>
    </w:p>
    <w:tbl>
      <w:tblPr>
        <w:tblStyle w:val="TableGrid"/>
        <w:tblW w:w="0" w:type="auto"/>
        <w:tblLayout w:type="fixed"/>
        <w:tblLook w:val="04A0" w:firstRow="1" w:lastRow="0" w:firstColumn="1" w:lastColumn="0" w:noHBand="0" w:noVBand="1"/>
      </w:tblPr>
      <w:tblGrid>
        <w:gridCol w:w="3168"/>
        <w:gridCol w:w="1620"/>
        <w:gridCol w:w="1620"/>
        <w:gridCol w:w="1170"/>
      </w:tblGrid>
      <w:tr w:rsidR="001D131D" w:rsidRPr="001D131D" w14:paraId="02B886B7" w14:textId="77777777" w:rsidTr="00276847">
        <w:tc>
          <w:tcPr>
            <w:tcW w:w="3168" w:type="dxa"/>
            <w:tcBorders>
              <w:top w:val="nil"/>
              <w:left w:val="nil"/>
              <w:bottom w:val="single" w:sz="4" w:space="0" w:color="auto"/>
              <w:right w:val="nil"/>
            </w:tcBorders>
          </w:tcPr>
          <w:p w14:paraId="56518D6D" w14:textId="77777777" w:rsidR="00EB2822" w:rsidRPr="001D131D" w:rsidRDefault="00EB2822" w:rsidP="0011069D">
            <w:pPr>
              <w:widowControl w:val="0"/>
              <w:autoSpaceDE w:val="0"/>
              <w:autoSpaceDN w:val="0"/>
              <w:adjustRightInd w:val="0"/>
              <w:rPr>
                <w:rFonts w:ascii="Times" w:hAnsi="Times" w:cs="Arial"/>
                <w:color w:val="000000" w:themeColor="text1"/>
              </w:rPr>
            </w:pPr>
          </w:p>
        </w:tc>
        <w:tc>
          <w:tcPr>
            <w:tcW w:w="1620" w:type="dxa"/>
            <w:tcBorders>
              <w:top w:val="nil"/>
              <w:left w:val="nil"/>
              <w:bottom w:val="single" w:sz="4" w:space="0" w:color="auto"/>
              <w:right w:val="nil"/>
            </w:tcBorders>
            <w:vAlign w:val="bottom"/>
          </w:tcPr>
          <w:p w14:paraId="11AB7494" w14:textId="77777777" w:rsidR="00EB2822" w:rsidRPr="001D131D" w:rsidRDefault="00EB2822" w:rsidP="00276847">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Participants</w:t>
            </w:r>
            <w:r w:rsidR="00276847">
              <w:rPr>
                <w:rFonts w:ascii="Times" w:hAnsi="Times" w:cs="Arial"/>
                <w:color w:val="000000" w:themeColor="text1"/>
              </w:rPr>
              <w:t xml:space="preserve"> </w:t>
            </w:r>
            <w:r w:rsidR="001D131D">
              <w:rPr>
                <w:rFonts w:ascii="Times" w:hAnsi="Times" w:cs="Arial"/>
                <w:color w:val="000000" w:themeColor="text1"/>
              </w:rPr>
              <w:t xml:space="preserve"> *</w:t>
            </w:r>
          </w:p>
        </w:tc>
        <w:tc>
          <w:tcPr>
            <w:tcW w:w="1620" w:type="dxa"/>
            <w:tcBorders>
              <w:top w:val="nil"/>
              <w:left w:val="nil"/>
              <w:bottom w:val="single" w:sz="4" w:space="0" w:color="auto"/>
              <w:right w:val="nil"/>
            </w:tcBorders>
            <w:vAlign w:val="bottom"/>
          </w:tcPr>
          <w:p w14:paraId="79A40D68" w14:textId="77777777" w:rsidR="00EB2822" w:rsidRPr="001D131D" w:rsidRDefault="00EB2822" w:rsidP="00276847">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Hours per participant</w:t>
            </w:r>
            <w:r w:rsidR="001D131D">
              <w:rPr>
                <w:rFonts w:ascii="Times" w:hAnsi="Times" w:cs="Arial"/>
                <w:color w:val="000000" w:themeColor="text1"/>
              </w:rPr>
              <w:t xml:space="preserve">  </w:t>
            </w:r>
            <w:r w:rsidR="00276847">
              <w:rPr>
                <w:rFonts w:ascii="Times" w:hAnsi="Times" w:cs="Arial"/>
                <w:color w:val="000000" w:themeColor="text1"/>
              </w:rPr>
              <w:t xml:space="preserve"> </w:t>
            </w:r>
            <w:r w:rsidR="001D131D">
              <w:rPr>
                <w:rFonts w:ascii="Times" w:hAnsi="Times" w:cs="Arial"/>
                <w:color w:val="000000" w:themeColor="text1"/>
              </w:rPr>
              <w:t>=</w:t>
            </w:r>
          </w:p>
        </w:tc>
        <w:tc>
          <w:tcPr>
            <w:tcW w:w="1170" w:type="dxa"/>
            <w:tcBorders>
              <w:top w:val="nil"/>
              <w:left w:val="nil"/>
              <w:bottom w:val="single" w:sz="4" w:space="0" w:color="auto"/>
              <w:right w:val="nil"/>
            </w:tcBorders>
            <w:vAlign w:val="bottom"/>
          </w:tcPr>
          <w:p w14:paraId="25A33F1A" w14:textId="77777777" w:rsidR="00EB2822" w:rsidRPr="001D131D" w:rsidRDefault="00EB2822" w:rsidP="00276847">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Burden hours</w:t>
            </w:r>
          </w:p>
        </w:tc>
      </w:tr>
      <w:tr w:rsidR="001D131D" w:rsidRPr="001D131D" w14:paraId="7B869D72" w14:textId="77777777" w:rsidTr="00276847">
        <w:tc>
          <w:tcPr>
            <w:tcW w:w="3168" w:type="dxa"/>
            <w:tcBorders>
              <w:top w:val="single" w:sz="4" w:space="0" w:color="auto"/>
            </w:tcBorders>
          </w:tcPr>
          <w:p w14:paraId="7C14CBC8"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Consent</w:t>
            </w:r>
          </w:p>
        </w:tc>
        <w:tc>
          <w:tcPr>
            <w:tcW w:w="1620" w:type="dxa"/>
            <w:tcBorders>
              <w:top w:val="single" w:sz="4" w:space="0" w:color="auto"/>
            </w:tcBorders>
          </w:tcPr>
          <w:p w14:paraId="44DAA56E" w14:textId="77777777" w:rsidR="001D131D" w:rsidRPr="001D131D" w:rsidRDefault="00FC34F5" w:rsidP="001D131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w:t>
            </w:r>
            <w:r w:rsidR="001D131D" w:rsidRPr="001D131D">
              <w:rPr>
                <w:rFonts w:ascii="Times" w:hAnsi="Times" w:cs="Arial"/>
                <w:color w:val="000000" w:themeColor="text1"/>
              </w:rPr>
              <w:t>0</w:t>
            </w:r>
          </w:p>
        </w:tc>
        <w:tc>
          <w:tcPr>
            <w:tcW w:w="1620" w:type="dxa"/>
            <w:tcBorders>
              <w:top w:val="single" w:sz="4" w:space="0" w:color="auto"/>
            </w:tcBorders>
          </w:tcPr>
          <w:p w14:paraId="13093B6A" w14:textId="77777777" w:rsidR="001D131D" w:rsidRPr="001D131D" w:rsidRDefault="00276847" w:rsidP="00FC34F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0</w:t>
            </w:r>
            <w:r w:rsidR="001D131D" w:rsidRPr="001D131D">
              <w:rPr>
                <w:rFonts w:ascii="Times" w:hAnsi="Times" w:cs="Arial"/>
                <w:color w:val="000000" w:themeColor="text1"/>
              </w:rPr>
              <w:t>.</w:t>
            </w:r>
            <w:r w:rsidR="00FC34F5">
              <w:rPr>
                <w:rFonts w:ascii="Times" w:hAnsi="Times" w:cs="Arial"/>
                <w:color w:val="000000" w:themeColor="text1"/>
              </w:rPr>
              <w:t>17</w:t>
            </w:r>
          </w:p>
        </w:tc>
        <w:tc>
          <w:tcPr>
            <w:tcW w:w="1170" w:type="dxa"/>
            <w:tcBorders>
              <w:top w:val="single" w:sz="4" w:space="0" w:color="auto"/>
            </w:tcBorders>
            <w:vAlign w:val="center"/>
          </w:tcPr>
          <w:p w14:paraId="64390BCD" w14:textId="77777777" w:rsidR="001D131D" w:rsidRPr="001D131D" w:rsidRDefault="00FC34F5" w:rsidP="00276847">
            <w:pPr>
              <w:jc w:val="center"/>
              <w:rPr>
                <w:color w:val="000000" w:themeColor="text1"/>
              </w:rPr>
            </w:pPr>
            <w:r>
              <w:rPr>
                <w:color w:val="000000" w:themeColor="text1"/>
              </w:rPr>
              <w:t>20.4</w:t>
            </w:r>
          </w:p>
        </w:tc>
      </w:tr>
      <w:tr w:rsidR="001D131D" w:rsidRPr="001D131D" w14:paraId="5F06DCBF" w14:textId="77777777" w:rsidTr="00276847">
        <w:tc>
          <w:tcPr>
            <w:tcW w:w="3168" w:type="dxa"/>
          </w:tcPr>
          <w:p w14:paraId="765326C8" w14:textId="77777777" w:rsidR="001D131D" w:rsidRPr="001D131D" w:rsidRDefault="001D131D" w:rsidP="00272BB6">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 xml:space="preserve">Functional Evaluation </w:t>
            </w:r>
          </w:p>
        </w:tc>
        <w:tc>
          <w:tcPr>
            <w:tcW w:w="1620" w:type="dxa"/>
          </w:tcPr>
          <w:p w14:paraId="6F03B6F9" w14:textId="77777777" w:rsidR="001D131D" w:rsidRPr="001D131D" w:rsidRDefault="00FC34F5" w:rsidP="001D131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w:t>
            </w:r>
            <w:r w:rsidR="001D131D" w:rsidRPr="001D131D">
              <w:rPr>
                <w:rFonts w:ascii="Times" w:hAnsi="Times" w:cs="Arial"/>
                <w:color w:val="000000" w:themeColor="text1"/>
              </w:rPr>
              <w:t>0</w:t>
            </w:r>
          </w:p>
        </w:tc>
        <w:tc>
          <w:tcPr>
            <w:tcW w:w="1620" w:type="dxa"/>
          </w:tcPr>
          <w:p w14:paraId="7C8F5315" w14:textId="77777777" w:rsidR="001D131D" w:rsidRPr="001D131D" w:rsidRDefault="00276847" w:rsidP="001D131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0</w:t>
            </w:r>
            <w:r w:rsidR="001D131D" w:rsidRPr="001D131D">
              <w:rPr>
                <w:rFonts w:ascii="Times" w:hAnsi="Times" w:cs="Arial"/>
                <w:color w:val="000000" w:themeColor="text1"/>
              </w:rPr>
              <w:t>.75</w:t>
            </w:r>
          </w:p>
        </w:tc>
        <w:tc>
          <w:tcPr>
            <w:tcW w:w="1170" w:type="dxa"/>
            <w:vAlign w:val="center"/>
          </w:tcPr>
          <w:p w14:paraId="21734ABC" w14:textId="77777777" w:rsidR="001D131D" w:rsidRPr="001D131D" w:rsidRDefault="00FC34F5" w:rsidP="00276847">
            <w:pPr>
              <w:jc w:val="center"/>
              <w:rPr>
                <w:color w:val="000000" w:themeColor="text1"/>
              </w:rPr>
            </w:pPr>
            <w:r>
              <w:rPr>
                <w:color w:val="000000" w:themeColor="text1"/>
              </w:rPr>
              <w:t>90.0</w:t>
            </w:r>
          </w:p>
        </w:tc>
      </w:tr>
      <w:tr w:rsidR="001D131D" w:rsidRPr="001D131D" w14:paraId="174CD7A1" w14:textId="77777777" w:rsidTr="00276847">
        <w:tc>
          <w:tcPr>
            <w:tcW w:w="3168" w:type="dxa"/>
          </w:tcPr>
          <w:p w14:paraId="254F6C0C"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Field drives, destination entry</w:t>
            </w:r>
          </w:p>
        </w:tc>
        <w:tc>
          <w:tcPr>
            <w:tcW w:w="1620" w:type="dxa"/>
          </w:tcPr>
          <w:p w14:paraId="72F0C7F9" w14:textId="77777777" w:rsidR="001D131D" w:rsidRPr="001D131D" w:rsidRDefault="00FC34F5" w:rsidP="001D131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w:t>
            </w:r>
            <w:r w:rsidR="001D131D" w:rsidRPr="001D131D">
              <w:rPr>
                <w:rFonts w:ascii="Times" w:hAnsi="Times" w:cs="Arial"/>
                <w:color w:val="000000" w:themeColor="text1"/>
              </w:rPr>
              <w:t>0</w:t>
            </w:r>
          </w:p>
        </w:tc>
        <w:tc>
          <w:tcPr>
            <w:tcW w:w="1620" w:type="dxa"/>
          </w:tcPr>
          <w:p w14:paraId="1A347D77" w14:textId="77777777" w:rsidR="001D131D" w:rsidRPr="001D131D" w:rsidRDefault="001D131D" w:rsidP="001D131D">
            <w:pPr>
              <w:widowControl w:val="0"/>
              <w:autoSpaceDE w:val="0"/>
              <w:autoSpaceDN w:val="0"/>
              <w:adjustRightInd w:val="0"/>
              <w:jc w:val="center"/>
              <w:rPr>
                <w:rFonts w:ascii="Times" w:hAnsi="Times" w:cs="Arial"/>
                <w:color w:val="000000" w:themeColor="text1"/>
              </w:rPr>
            </w:pPr>
            <w:r w:rsidRPr="001D131D">
              <w:rPr>
                <w:rFonts w:ascii="Times" w:hAnsi="Times" w:cs="Arial"/>
                <w:color w:val="000000" w:themeColor="text1"/>
              </w:rPr>
              <w:t>1.50</w:t>
            </w:r>
          </w:p>
        </w:tc>
        <w:tc>
          <w:tcPr>
            <w:tcW w:w="1170" w:type="dxa"/>
            <w:vAlign w:val="center"/>
          </w:tcPr>
          <w:p w14:paraId="6ABE082F" w14:textId="77777777" w:rsidR="001D131D" w:rsidRPr="001D131D" w:rsidRDefault="00FC34F5" w:rsidP="00276847">
            <w:pPr>
              <w:jc w:val="center"/>
              <w:rPr>
                <w:color w:val="000000" w:themeColor="text1"/>
              </w:rPr>
            </w:pPr>
            <w:r>
              <w:rPr>
                <w:color w:val="000000" w:themeColor="text1"/>
              </w:rPr>
              <w:t>180.0</w:t>
            </w:r>
          </w:p>
        </w:tc>
      </w:tr>
      <w:tr w:rsidR="001D131D" w:rsidRPr="001D131D" w14:paraId="781CE168" w14:textId="77777777" w:rsidTr="00276847">
        <w:tc>
          <w:tcPr>
            <w:tcW w:w="3168" w:type="dxa"/>
          </w:tcPr>
          <w:p w14:paraId="79F90C2F"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Payment/dismiss</w:t>
            </w:r>
          </w:p>
        </w:tc>
        <w:tc>
          <w:tcPr>
            <w:tcW w:w="1620" w:type="dxa"/>
          </w:tcPr>
          <w:p w14:paraId="625558F7" w14:textId="77777777" w:rsidR="001D131D" w:rsidRPr="001D131D" w:rsidRDefault="00FC34F5" w:rsidP="001D131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w:t>
            </w:r>
            <w:r w:rsidR="001D131D" w:rsidRPr="001D131D">
              <w:rPr>
                <w:rFonts w:ascii="Times" w:hAnsi="Times" w:cs="Arial"/>
                <w:color w:val="000000" w:themeColor="text1"/>
              </w:rPr>
              <w:t>0</w:t>
            </w:r>
          </w:p>
        </w:tc>
        <w:tc>
          <w:tcPr>
            <w:tcW w:w="1620" w:type="dxa"/>
          </w:tcPr>
          <w:p w14:paraId="7F42D92A" w14:textId="77777777" w:rsidR="001D131D" w:rsidRPr="001D131D" w:rsidRDefault="00276847" w:rsidP="00FC34F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0</w:t>
            </w:r>
            <w:r w:rsidR="001D131D" w:rsidRPr="001D131D">
              <w:rPr>
                <w:rFonts w:ascii="Times" w:hAnsi="Times" w:cs="Arial"/>
                <w:color w:val="000000" w:themeColor="text1"/>
              </w:rPr>
              <w:t>.</w:t>
            </w:r>
            <w:r w:rsidR="00FC34F5">
              <w:rPr>
                <w:rFonts w:ascii="Times" w:hAnsi="Times" w:cs="Arial"/>
                <w:color w:val="000000" w:themeColor="text1"/>
              </w:rPr>
              <w:t>17</w:t>
            </w:r>
          </w:p>
        </w:tc>
        <w:tc>
          <w:tcPr>
            <w:tcW w:w="1170" w:type="dxa"/>
            <w:vAlign w:val="center"/>
          </w:tcPr>
          <w:p w14:paraId="42920D81" w14:textId="77777777" w:rsidR="001D131D" w:rsidRPr="001D131D" w:rsidRDefault="00FC34F5" w:rsidP="00276847">
            <w:pPr>
              <w:jc w:val="center"/>
              <w:rPr>
                <w:color w:val="000000" w:themeColor="text1"/>
              </w:rPr>
            </w:pPr>
            <w:r>
              <w:rPr>
                <w:color w:val="000000" w:themeColor="text1"/>
              </w:rPr>
              <w:t>20.4</w:t>
            </w:r>
          </w:p>
        </w:tc>
      </w:tr>
      <w:tr w:rsidR="001D131D" w:rsidRPr="001D131D" w14:paraId="3FA952E9" w14:textId="77777777" w:rsidTr="00276847">
        <w:tc>
          <w:tcPr>
            <w:tcW w:w="3168" w:type="dxa"/>
          </w:tcPr>
          <w:p w14:paraId="070040EE" w14:textId="77777777" w:rsidR="001D131D" w:rsidRPr="001D131D" w:rsidRDefault="001D131D" w:rsidP="0011069D">
            <w:pPr>
              <w:widowControl w:val="0"/>
              <w:autoSpaceDE w:val="0"/>
              <w:autoSpaceDN w:val="0"/>
              <w:adjustRightInd w:val="0"/>
              <w:rPr>
                <w:rFonts w:ascii="Times" w:hAnsi="Times" w:cs="Arial"/>
                <w:b/>
                <w:color w:val="000000" w:themeColor="text1"/>
              </w:rPr>
            </w:pPr>
            <w:r w:rsidRPr="001D131D">
              <w:rPr>
                <w:rFonts w:ascii="Times" w:hAnsi="Times" w:cs="Arial"/>
                <w:b/>
                <w:color w:val="000000" w:themeColor="text1"/>
              </w:rPr>
              <w:t>TOTAL</w:t>
            </w:r>
          </w:p>
        </w:tc>
        <w:tc>
          <w:tcPr>
            <w:tcW w:w="1620" w:type="dxa"/>
          </w:tcPr>
          <w:p w14:paraId="2FC79E8A" w14:textId="77777777" w:rsidR="001D131D" w:rsidRPr="001D131D" w:rsidRDefault="00FC34F5" w:rsidP="001D131D">
            <w:pPr>
              <w:widowControl w:val="0"/>
              <w:autoSpaceDE w:val="0"/>
              <w:autoSpaceDN w:val="0"/>
              <w:adjustRightInd w:val="0"/>
              <w:jc w:val="center"/>
              <w:rPr>
                <w:rFonts w:ascii="Times" w:hAnsi="Times" w:cs="Arial"/>
                <w:b/>
                <w:color w:val="000000" w:themeColor="text1"/>
              </w:rPr>
            </w:pPr>
            <w:r>
              <w:rPr>
                <w:rFonts w:ascii="Times" w:hAnsi="Times" w:cs="Arial"/>
                <w:color w:val="000000" w:themeColor="text1"/>
              </w:rPr>
              <w:t>12</w:t>
            </w:r>
            <w:r w:rsidR="001D131D" w:rsidRPr="001D131D">
              <w:rPr>
                <w:rFonts w:ascii="Times" w:hAnsi="Times" w:cs="Arial"/>
                <w:color w:val="000000" w:themeColor="text1"/>
              </w:rPr>
              <w:t>0</w:t>
            </w:r>
          </w:p>
        </w:tc>
        <w:tc>
          <w:tcPr>
            <w:tcW w:w="1620" w:type="dxa"/>
          </w:tcPr>
          <w:p w14:paraId="1819D0D4" w14:textId="77777777" w:rsidR="001D131D" w:rsidRPr="001D131D" w:rsidRDefault="001D131D" w:rsidP="00FC34F5">
            <w:pPr>
              <w:widowControl w:val="0"/>
              <w:autoSpaceDE w:val="0"/>
              <w:autoSpaceDN w:val="0"/>
              <w:adjustRightInd w:val="0"/>
              <w:jc w:val="center"/>
              <w:rPr>
                <w:rFonts w:ascii="Times" w:hAnsi="Times" w:cs="Arial"/>
                <w:b/>
                <w:color w:val="000000" w:themeColor="text1"/>
              </w:rPr>
            </w:pPr>
            <w:r w:rsidRPr="001D131D">
              <w:rPr>
                <w:rFonts w:ascii="Times" w:hAnsi="Times" w:cs="Arial"/>
                <w:b/>
                <w:color w:val="000000" w:themeColor="text1"/>
              </w:rPr>
              <w:t>2.</w:t>
            </w:r>
            <w:r w:rsidR="00FC34F5">
              <w:rPr>
                <w:rFonts w:ascii="Times" w:hAnsi="Times" w:cs="Arial"/>
                <w:b/>
                <w:color w:val="000000" w:themeColor="text1"/>
              </w:rPr>
              <w:t>59</w:t>
            </w:r>
          </w:p>
        </w:tc>
        <w:tc>
          <w:tcPr>
            <w:tcW w:w="1170" w:type="dxa"/>
            <w:vAlign w:val="center"/>
          </w:tcPr>
          <w:p w14:paraId="316D0D70" w14:textId="77777777" w:rsidR="001D131D" w:rsidRPr="001D131D" w:rsidRDefault="00FC34F5" w:rsidP="00FC34F5">
            <w:pPr>
              <w:jc w:val="center"/>
              <w:rPr>
                <w:b/>
                <w:bCs/>
                <w:color w:val="000000" w:themeColor="text1"/>
              </w:rPr>
            </w:pPr>
            <w:r>
              <w:rPr>
                <w:b/>
                <w:bCs/>
                <w:color w:val="000000" w:themeColor="text1"/>
              </w:rPr>
              <w:t>310.8</w:t>
            </w:r>
          </w:p>
        </w:tc>
      </w:tr>
    </w:tbl>
    <w:p w14:paraId="5DDE8A96" w14:textId="77777777" w:rsidR="0049494E" w:rsidRDefault="0049494E" w:rsidP="00EE52E5">
      <w:pPr>
        <w:widowControl w:val="0"/>
        <w:autoSpaceDE w:val="0"/>
        <w:autoSpaceDN w:val="0"/>
        <w:adjustRightInd w:val="0"/>
        <w:jc w:val="both"/>
        <w:rPr>
          <w:rFonts w:ascii="Times" w:hAnsi="Times" w:cs="Arial"/>
          <w:color w:val="31849B" w:themeColor="accent5" w:themeShade="BF"/>
        </w:rPr>
      </w:pPr>
    </w:p>
    <w:p w14:paraId="3D778372" w14:textId="77777777" w:rsidR="00EE52E5" w:rsidRDefault="00EE52E5" w:rsidP="00EE52E5">
      <w:pPr>
        <w:widowControl w:val="0"/>
        <w:autoSpaceDE w:val="0"/>
        <w:autoSpaceDN w:val="0"/>
        <w:adjustRightInd w:val="0"/>
        <w:jc w:val="both"/>
        <w:rPr>
          <w:rFonts w:ascii="Times" w:hAnsi="Times" w:cs="Arial"/>
        </w:rPr>
      </w:pPr>
    </w:p>
    <w:p w14:paraId="2CFA75EC" w14:textId="77777777" w:rsidR="001D131D" w:rsidRPr="007533F5" w:rsidRDefault="001D131D" w:rsidP="001D131D">
      <w:pPr>
        <w:widowControl w:val="0"/>
        <w:autoSpaceDE w:val="0"/>
        <w:autoSpaceDN w:val="0"/>
        <w:adjustRightInd w:val="0"/>
        <w:rPr>
          <w:rFonts w:ascii="Times" w:hAnsi="Times" w:cs="Arial"/>
        </w:rPr>
      </w:pPr>
      <w:proofErr w:type="gramStart"/>
      <w:r>
        <w:rPr>
          <w:rFonts w:ascii="Times" w:hAnsi="Times" w:cs="Arial"/>
          <w:color w:val="000000" w:themeColor="text1"/>
        </w:rPr>
        <w:t>Phase 2.</w:t>
      </w:r>
      <w:proofErr w:type="gramEnd"/>
      <w:r>
        <w:rPr>
          <w:rFonts w:ascii="Times" w:hAnsi="Times" w:cs="Arial"/>
          <w:color w:val="000000" w:themeColor="text1"/>
        </w:rPr>
        <w:t xml:space="preserve"> </w:t>
      </w:r>
      <w:r w:rsidRPr="00272BB6">
        <w:rPr>
          <w:rFonts w:ascii="Times" w:hAnsi="Times" w:cs="Arial"/>
          <w:color w:val="000000" w:themeColor="text1"/>
        </w:rPr>
        <w:t xml:space="preserve">Each participant in Phase </w:t>
      </w:r>
      <w:r>
        <w:rPr>
          <w:rFonts w:ascii="Times" w:hAnsi="Times" w:cs="Arial"/>
          <w:color w:val="000000" w:themeColor="text1"/>
        </w:rPr>
        <w:t>2</w:t>
      </w:r>
      <w:r w:rsidRPr="00272BB6">
        <w:rPr>
          <w:rFonts w:ascii="Times" w:hAnsi="Times" w:cs="Arial"/>
          <w:color w:val="000000" w:themeColor="text1"/>
        </w:rPr>
        <w:t xml:space="preserve"> will read and</w:t>
      </w:r>
      <w:r w:rsidR="00566C3F">
        <w:rPr>
          <w:rFonts w:ascii="Times" w:hAnsi="Times" w:cs="Arial"/>
          <w:color w:val="000000" w:themeColor="text1"/>
        </w:rPr>
        <w:t xml:space="preserve"> sign a consent form, complete an ENS training protocol and</w:t>
      </w:r>
      <w:r w:rsidRPr="00272BB6">
        <w:rPr>
          <w:rFonts w:ascii="Times" w:hAnsi="Times" w:cs="Arial"/>
          <w:color w:val="000000" w:themeColor="text1"/>
        </w:rPr>
        <w:t xml:space="preserve"> a </w:t>
      </w:r>
      <w:r w:rsidR="00566C3F">
        <w:rPr>
          <w:rFonts w:ascii="Times" w:hAnsi="Times" w:cs="Arial"/>
          <w:color w:val="000000" w:themeColor="text1"/>
        </w:rPr>
        <w:t>series of driving and/or</w:t>
      </w:r>
      <w:r w:rsidRPr="001D131D">
        <w:rPr>
          <w:rFonts w:ascii="Times" w:hAnsi="Times" w:cs="Arial"/>
          <w:color w:val="000000" w:themeColor="text1"/>
        </w:rPr>
        <w:t xml:space="preserve"> destination entry task</w:t>
      </w:r>
      <w:r w:rsidR="00566C3F">
        <w:rPr>
          <w:rFonts w:ascii="Times" w:hAnsi="Times" w:cs="Arial"/>
          <w:color w:val="000000" w:themeColor="text1"/>
        </w:rPr>
        <w:t>s</w:t>
      </w:r>
      <w:r w:rsidRPr="001D131D">
        <w:rPr>
          <w:rFonts w:ascii="Times" w:hAnsi="Times" w:cs="Arial"/>
          <w:color w:val="000000" w:themeColor="text1"/>
        </w:rPr>
        <w:t xml:space="preserve"> resulting in </w:t>
      </w:r>
      <w:r w:rsidR="007533F5">
        <w:rPr>
          <w:rFonts w:ascii="Times" w:hAnsi="Times" w:cs="Arial"/>
        </w:rPr>
        <w:t>11</w:t>
      </w:r>
      <w:r w:rsidR="00FC34F5">
        <w:rPr>
          <w:rFonts w:ascii="Times" w:hAnsi="Times" w:cs="Arial"/>
        </w:rPr>
        <w:t>3.</w:t>
      </w:r>
      <w:r w:rsidR="007533F5">
        <w:rPr>
          <w:rFonts w:ascii="Times" w:hAnsi="Times" w:cs="Arial"/>
        </w:rPr>
        <w:t>6</w:t>
      </w:r>
      <w:r w:rsidRPr="007533F5">
        <w:rPr>
          <w:rFonts w:ascii="Times" w:hAnsi="Times" w:cs="Arial"/>
        </w:rPr>
        <w:t xml:space="preserve"> burden hours (Table 1</w:t>
      </w:r>
      <w:r w:rsidR="00FC34F5">
        <w:rPr>
          <w:rFonts w:ascii="Times" w:hAnsi="Times" w:cs="Arial"/>
        </w:rPr>
        <w:t>c</w:t>
      </w:r>
      <w:r w:rsidRPr="007533F5">
        <w:rPr>
          <w:rFonts w:ascii="Times" w:hAnsi="Times" w:cs="Arial"/>
        </w:rPr>
        <w:t xml:space="preserve">). </w:t>
      </w:r>
    </w:p>
    <w:p w14:paraId="1F8A997B" w14:textId="77777777" w:rsidR="001D131D" w:rsidRPr="001D131D" w:rsidRDefault="001D131D" w:rsidP="00276847">
      <w:pPr>
        <w:widowControl w:val="0"/>
        <w:autoSpaceDE w:val="0"/>
        <w:autoSpaceDN w:val="0"/>
        <w:adjustRightInd w:val="0"/>
        <w:rPr>
          <w:rFonts w:ascii="Times" w:hAnsi="Times" w:cs="Arial"/>
          <w:color w:val="000000" w:themeColor="text1"/>
        </w:rPr>
      </w:pPr>
    </w:p>
    <w:p w14:paraId="232EC6BF" w14:textId="77777777" w:rsidR="001D131D" w:rsidRPr="001D131D" w:rsidRDefault="001D131D" w:rsidP="001D131D">
      <w:pPr>
        <w:widowControl w:val="0"/>
        <w:autoSpaceDE w:val="0"/>
        <w:autoSpaceDN w:val="0"/>
        <w:adjustRightInd w:val="0"/>
        <w:rPr>
          <w:rFonts w:ascii="Times" w:hAnsi="Times" w:cs="Arial"/>
          <w:color w:val="000000" w:themeColor="text1"/>
        </w:rPr>
      </w:pPr>
      <w:proofErr w:type="gramStart"/>
      <w:r w:rsidRPr="001D131D">
        <w:rPr>
          <w:rFonts w:ascii="Times" w:hAnsi="Times" w:cs="Arial"/>
          <w:color w:val="000000" w:themeColor="text1"/>
        </w:rPr>
        <w:t>Table 1</w:t>
      </w:r>
      <w:r w:rsidR="00566C3F">
        <w:rPr>
          <w:rFonts w:ascii="Times" w:hAnsi="Times" w:cs="Arial"/>
          <w:color w:val="000000" w:themeColor="text1"/>
        </w:rPr>
        <w:t>c</w:t>
      </w:r>
      <w:r w:rsidRPr="001D131D">
        <w:rPr>
          <w:rFonts w:ascii="Times" w:hAnsi="Times" w:cs="Arial"/>
          <w:color w:val="000000" w:themeColor="text1"/>
        </w:rPr>
        <w:t>.</w:t>
      </w:r>
      <w:proofErr w:type="gramEnd"/>
      <w:r w:rsidRPr="001D131D">
        <w:rPr>
          <w:rFonts w:ascii="Times" w:hAnsi="Times" w:cs="Arial"/>
          <w:color w:val="000000" w:themeColor="text1"/>
        </w:rPr>
        <w:t xml:space="preserve"> </w:t>
      </w:r>
      <w:r>
        <w:rPr>
          <w:rFonts w:ascii="Times" w:hAnsi="Times" w:cs="Arial"/>
          <w:color w:val="000000" w:themeColor="text1"/>
        </w:rPr>
        <w:t xml:space="preserve">Phase </w:t>
      </w:r>
      <w:r w:rsidR="00566C3F">
        <w:rPr>
          <w:rFonts w:ascii="Times" w:hAnsi="Times" w:cs="Arial"/>
          <w:color w:val="000000" w:themeColor="text1"/>
        </w:rPr>
        <w:t>2</w:t>
      </w:r>
      <w:r>
        <w:rPr>
          <w:rFonts w:ascii="Times" w:hAnsi="Times" w:cs="Arial"/>
          <w:color w:val="000000" w:themeColor="text1"/>
        </w:rPr>
        <w:t xml:space="preserve"> </w:t>
      </w:r>
      <w:r w:rsidRPr="001D131D">
        <w:rPr>
          <w:rFonts w:ascii="Times" w:hAnsi="Times" w:cs="Arial"/>
          <w:color w:val="000000" w:themeColor="text1"/>
        </w:rPr>
        <w:t xml:space="preserve">Burden Hours </w:t>
      </w:r>
    </w:p>
    <w:tbl>
      <w:tblPr>
        <w:tblStyle w:val="TableGrid"/>
        <w:tblW w:w="0" w:type="auto"/>
        <w:tblLayout w:type="fixed"/>
        <w:tblLook w:val="04A0" w:firstRow="1" w:lastRow="0" w:firstColumn="1" w:lastColumn="0" w:noHBand="0" w:noVBand="1"/>
      </w:tblPr>
      <w:tblGrid>
        <w:gridCol w:w="3078"/>
        <w:gridCol w:w="1710"/>
        <w:gridCol w:w="1620"/>
        <w:gridCol w:w="1170"/>
      </w:tblGrid>
      <w:tr w:rsidR="001D131D" w:rsidRPr="001D131D" w14:paraId="78120A00" w14:textId="77777777" w:rsidTr="0011069D">
        <w:tc>
          <w:tcPr>
            <w:tcW w:w="3078" w:type="dxa"/>
            <w:tcBorders>
              <w:top w:val="nil"/>
              <w:left w:val="nil"/>
              <w:bottom w:val="single" w:sz="4" w:space="0" w:color="auto"/>
              <w:right w:val="nil"/>
            </w:tcBorders>
          </w:tcPr>
          <w:p w14:paraId="548B56AA" w14:textId="77777777" w:rsidR="001D131D" w:rsidRPr="001D131D" w:rsidRDefault="001D131D" w:rsidP="0011069D">
            <w:pPr>
              <w:widowControl w:val="0"/>
              <w:autoSpaceDE w:val="0"/>
              <w:autoSpaceDN w:val="0"/>
              <w:adjustRightInd w:val="0"/>
              <w:rPr>
                <w:rFonts w:ascii="Times" w:hAnsi="Times" w:cs="Arial"/>
                <w:color w:val="000000" w:themeColor="text1"/>
              </w:rPr>
            </w:pPr>
          </w:p>
        </w:tc>
        <w:tc>
          <w:tcPr>
            <w:tcW w:w="1710" w:type="dxa"/>
            <w:tcBorders>
              <w:top w:val="nil"/>
              <w:left w:val="nil"/>
              <w:bottom w:val="single" w:sz="4" w:space="0" w:color="auto"/>
              <w:right w:val="nil"/>
            </w:tcBorders>
            <w:vAlign w:val="bottom"/>
          </w:tcPr>
          <w:p w14:paraId="0088AA54"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Participants</w:t>
            </w:r>
            <w:r>
              <w:rPr>
                <w:rFonts w:ascii="Times" w:hAnsi="Times" w:cs="Arial"/>
                <w:color w:val="000000" w:themeColor="text1"/>
              </w:rPr>
              <w:t xml:space="preserve">    *</w:t>
            </w:r>
          </w:p>
        </w:tc>
        <w:tc>
          <w:tcPr>
            <w:tcW w:w="1620" w:type="dxa"/>
            <w:tcBorders>
              <w:top w:val="nil"/>
              <w:left w:val="nil"/>
              <w:bottom w:val="single" w:sz="4" w:space="0" w:color="auto"/>
              <w:right w:val="nil"/>
            </w:tcBorders>
            <w:vAlign w:val="bottom"/>
          </w:tcPr>
          <w:p w14:paraId="15FB0194"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Hours per participant</w:t>
            </w:r>
            <w:r>
              <w:rPr>
                <w:rFonts w:ascii="Times" w:hAnsi="Times" w:cs="Arial"/>
                <w:color w:val="000000" w:themeColor="text1"/>
              </w:rPr>
              <w:t xml:space="preserve">  =</w:t>
            </w:r>
          </w:p>
        </w:tc>
        <w:tc>
          <w:tcPr>
            <w:tcW w:w="1170" w:type="dxa"/>
            <w:tcBorders>
              <w:top w:val="nil"/>
              <w:left w:val="nil"/>
              <w:bottom w:val="single" w:sz="4" w:space="0" w:color="auto"/>
              <w:right w:val="nil"/>
            </w:tcBorders>
            <w:vAlign w:val="bottom"/>
          </w:tcPr>
          <w:p w14:paraId="597852EC"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Burden hours</w:t>
            </w:r>
          </w:p>
        </w:tc>
      </w:tr>
      <w:tr w:rsidR="001D131D" w:rsidRPr="001D131D" w14:paraId="71B95975" w14:textId="77777777" w:rsidTr="0011069D">
        <w:tc>
          <w:tcPr>
            <w:tcW w:w="3078" w:type="dxa"/>
            <w:tcBorders>
              <w:top w:val="single" w:sz="4" w:space="0" w:color="auto"/>
            </w:tcBorders>
          </w:tcPr>
          <w:p w14:paraId="6716977C"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Consent</w:t>
            </w:r>
          </w:p>
        </w:tc>
        <w:tc>
          <w:tcPr>
            <w:tcW w:w="1710" w:type="dxa"/>
            <w:tcBorders>
              <w:top w:val="single" w:sz="4" w:space="0" w:color="auto"/>
            </w:tcBorders>
          </w:tcPr>
          <w:p w14:paraId="68BE690E" w14:textId="77777777" w:rsidR="001D131D" w:rsidRPr="001D131D" w:rsidRDefault="00566C3F" w:rsidP="0011069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4</w:t>
            </w:r>
            <w:r w:rsidR="001D131D" w:rsidRPr="001D131D">
              <w:rPr>
                <w:rFonts w:ascii="Times" w:hAnsi="Times" w:cs="Arial"/>
                <w:color w:val="000000" w:themeColor="text1"/>
              </w:rPr>
              <w:t>0</w:t>
            </w:r>
          </w:p>
        </w:tc>
        <w:tc>
          <w:tcPr>
            <w:tcW w:w="1620" w:type="dxa"/>
            <w:tcBorders>
              <w:top w:val="single" w:sz="4" w:space="0" w:color="auto"/>
            </w:tcBorders>
          </w:tcPr>
          <w:p w14:paraId="6BD12556" w14:textId="77777777" w:rsidR="001D131D" w:rsidRPr="001D131D" w:rsidRDefault="00490BDF" w:rsidP="00FC34F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0</w:t>
            </w:r>
            <w:r w:rsidR="006313CF">
              <w:rPr>
                <w:rFonts w:ascii="Times" w:hAnsi="Times" w:cs="Arial"/>
                <w:color w:val="000000" w:themeColor="text1"/>
              </w:rPr>
              <w:t>.</w:t>
            </w:r>
            <w:r w:rsidR="00FC34F5">
              <w:rPr>
                <w:rFonts w:ascii="Times" w:hAnsi="Times" w:cs="Arial"/>
                <w:color w:val="000000" w:themeColor="text1"/>
              </w:rPr>
              <w:t>17</w:t>
            </w:r>
          </w:p>
        </w:tc>
        <w:tc>
          <w:tcPr>
            <w:tcW w:w="1170" w:type="dxa"/>
            <w:tcBorders>
              <w:top w:val="single" w:sz="4" w:space="0" w:color="auto"/>
            </w:tcBorders>
            <w:vAlign w:val="center"/>
          </w:tcPr>
          <w:p w14:paraId="5192399F" w14:textId="77777777" w:rsidR="001D131D" w:rsidRPr="001D131D" w:rsidRDefault="00FC34F5" w:rsidP="0011069D">
            <w:pPr>
              <w:jc w:val="center"/>
              <w:rPr>
                <w:color w:val="000000" w:themeColor="text1"/>
              </w:rPr>
            </w:pPr>
            <w:r>
              <w:rPr>
                <w:color w:val="000000" w:themeColor="text1"/>
              </w:rPr>
              <w:t>6.</w:t>
            </w:r>
            <w:r w:rsidR="00490BDF">
              <w:rPr>
                <w:color w:val="000000" w:themeColor="text1"/>
              </w:rPr>
              <w:t>8</w:t>
            </w:r>
          </w:p>
        </w:tc>
      </w:tr>
      <w:tr w:rsidR="001D131D" w:rsidRPr="001D131D" w14:paraId="569BDCE1" w14:textId="77777777" w:rsidTr="0011069D">
        <w:tc>
          <w:tcPr>
            <w:tcW w:w="3078" w:type="dxa"/>
          </w:tcPr>
          <w:p w14:paraId="6EA9CF64" w14:textId="77777777" w:rsidR="001D131D" w:rsidRPr="001D131D" w:rsidRDefault="006313CF" w:rsidP="0011069D">
            <w:pPr>
              <w:widowControl w:val="0"/>
              <w:autoSpaceDE w:val="0"/>
              <w:autoSpaceDN w:val="0"/>
              <w:adjustRightInd w:val="0"/>
              <w:rPr>
                <w:rFonts w:ascii="Times" w:hAnsi="Times" w:cs="Arial"/>
                <w:color w:val="000000" w:themeColor="text1"/>
              </w:rPr>
            </w:pPr>
            <w:r>
              <w:rPr>
                <w:rFonts w:ascii="Times" w:hAnsi="Times" w:cs="Arial"/>
                <w:color w:val="000000" w:themeColor="text1"/>
              </w:rPr>
              <w:t>Training</w:t>
            </w:r>
            <w:r w:rsidR="001D131D" w:rsidRPr="001D131D">
              <w:rPr>
                <w:rFonts w:ascii="Times" w:hAnsi="Times" w:cs="Arial"/>
                <w:color w:val="000000" w:themeColor="text1"/>
              </w:rPr>
              <w:t xml:space="preserve"> </w:t>
            </w:r>
          </w:p>
        </w:tc>
        <w:tc>
          <w:tcPr>
            <w:tcW w:w="1710" w:type="dxa"/>
          </w:tcPr>
          <w:p w14:paraId="03863322" w14:textId="77777777" w:rsidR="001D131D" w:rsidRPr="001D131D" w:rsidRDefault="00566C3F" w:rsidP="0011069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4</w:t>
            </w:r>
            <w:r w:rsidR="001D131D" w:rsidRPr="001D131D">
              <w:rPr>
                <w:rFonts w:ascii="Times" w:hAnsi="Times" w:cs="Arial"/>
                <w:color w:val="000000" w:themeColor="text1"/>
              </w:rPr>
              <w:t>0</w:t>
            </w:r>
          </w:p>
        </w:tc>
        <w:tc>
          <w:tcPr>
            <w:tcW w:w="1620" w:type="dxa"/>
          </w:tcPr>
          <w:p w14:paraId="4E643FF2" w14:textId="77777777" w:rsidR="001D131D" w:rsidRPr="001D131D" w:rsidRDefault="006313CF" w:rsidP="0011069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1.0</w:t>
            </w:r>
          </w:p>
        </w:tc>
        <w:tc>
          <w:tcPr>
            <w:tcW w:w="1170" w:type="dxa"/>
            <w:vAlign w:val="center"/>
          </w:tcPr>
          <w:p w14:paraId="76F60146" w14:textId="77777777" w:rsidR="001D131D" w:rsidRPr="001D131D" w:rsidRDefault="00490BDF" w:rsidP="0011069D">
            <w:pPr>
              <w:jc w:val="center"/>
              <w:rPr>
                <w:color w:val="000000" w:themeColor="text1"/>
              </w:rPr>
            </w:pPr>
            <w:r>
              <w:rPr>
                <w:color w:val="000000" w:themeColor="text1"/>
              </w:rPr>
              <w:t>40</w:t>
            </w:r>
          </w:p>
        </w:tc>
      </w:tr>
      <w:tr w:rsidR="001D131D" w:rsidRPr="001D131D" w14:paraId="3EED038B" w14:textId="77777777" w:rsidTr="0011069D">
        <w:tc>
          <w:tcPr>
            <w:tcW w:w="3078" w:type="dxa"/>
          </w:tcPr>
          <w:p w14:paraId="347586B8"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Field drives, destination entry</w:t>
            </w:r>
          </w:p>
        </w:tc>
        <w:tc>
          <w:tcPr>
            <w:tcW w:w="1710" w:type="dxa"/>
          </w:tcPr>
          <w:p w14:paraId="1BBE18AA" w14:textId="77777777" w:rsidR="001D131D" w:rsidRPr="001D131D" w:rsidRDefault="00566C3F" w:rsidP="0011069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4</w:t>
            </w:r>
            <w:r w:rsidR="001D131D" w:rsidRPr="001D131D">
              <w:rPr>
                <w:rFonts w:ascii="Times" w:hAnsi="Times" w:cs="Arial"/>
                <w:color w:val="000000" w:themeColor="text1"/>
              </w:rPr>
              <w:t>0</w:t>
            </w:r>
          </w:p>
        </w:tc>
        <w:tc>
          <w:tcPr>
            <w:tcW w:w="1620" w:type="dxa"/>
          </w:tcPr>
          <w:p w14:paraId="66C4E0BC" w14:textId="77777777" w:rsidR="001D131D" w:rsidRPr="001D131D" w:rsidRDefault="006313CF" w:rsidP="0011069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1.5</w:t>
            </w:r>
          </w:p>
        </w:tc>
        <w:tc>
          <w:tcPr>
            <w:tcW w:w="1170" w:type="dxa"/>
            <w:vAlign w:val="center"/>
          </w:tcPr>
          <w:p w14:paraId="29EE883B" w14:textId="77777777" w:rsidR="001D131D" w:rsidRPr="001D131D" w:rsidRDefault="00490BDF" w:rsidP="0011069D">
            <w:pPr>
              <w:jc w:val="center"/>
              <w:rPr>
                <w:color w:val="000000" w:themeColor="text1"/>
              </w:rPr>
            </w:pPr>
            <w:r>
              <w:rPr>
                <w:color w:val="000000" w:themeColor="text1"/>
              </w:rPr>
              <w:t>60</w:t>
            </w:r>
          </w:p>
        </w:tc>
      </w:tr>
      <w:tr w:rsidR="001D131D" w:rsidRPr="001D131D" w14:paraId="2D27F7F1" w14:textId="77777777" w:rsidTr="0011069D">
        <w:tc>
          <w:tcPr>
            <w:tcW w:w="3078" w:type="dxa"/>
          </w:tcPr>
          <w:p w14:paraId="25ADC99C" w14:textId="77777777" w:rsidR="001D131D" w:rsidRPr="001D131D" w:rsidRDefault="001D131D" w:rsidP="0011069D">
            <w:pPr>
              <w:widowControl w:val="0"/>
              <w:autoSpaceDE w:val="0"/>
              <w:autoSpaceDN w:val="0"/>
              <w:adjustRightInd w:val="0"/>
              <w:rPr>
                <w:rFonts w:ascii="Times" w:hAnsi="Times" w:cs="Arial"/>
                <w:color w:val="000000" w:themeColor="text1"/>
              </w:rPr>
            </w:pPr>
            <w:r w:rsidRPr="001D131D">
              <w:rPr>
                <w:rFonts w:ascii="Times" w:hAnsi="Times" w:cs="Arial"/>
                <w:color w:val="000000" w:themeColor="text1"/>
              </w:rPr>
              <w:t>Payment/dismiss</w:t>
            </w:r>
          </w:p>
        </w:tc>
        <w:tc>
          <w:tcPr>
            <w:tcW w:w="1710" w:type="dxa"/>
          </w:tcPr>
          <w:p w14:paraId="171C1E8C" w14:textId="77777777" w:rsidR="001D131D" w:rsidRPr="001D131D" w:rsidRDefault="00566C3F" w:rsidP="0011069D">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4</w:t>
            </w:r>
            <w:r w:rsidR="001D131D" w:rsidRPr="001D131D">
              <w:rPr>
                <w:rFonts w:ascii="Times" w:hAnsi="Times" w:cs="Arial"/>
                <w:color w:val="000000" w:themeColor="text1"/>
              </w:rPr>
              <w:t>0</w:t>
            </w:r>
          </w:p>
        </w:tc>
        <w:tc>
          <w:tcPr>
            <w:tcW w:w="1620" w:type="dxa"/>
          </w:tcPr>
          <w:p w14:paraId="2CCC8F2B" w14:textId="77777777" w:rsidR="001D131D" w:rsidRPr="001D131D" w:rsidRDefault="00490BDF" w:rsidP="00FC34F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0</w:t>
            </w:r>
            <w:r w:rsidR="006313CF">
              <w:rPr>
                <w:rFonts w:ascii="Times" w:hAnsi="Times" w:cs="Arial"/>
                <w:color w:val="000000" w:themeColor="text1"/>
              </w:rPr>
              <w:t>.</w:t>
            </w:r>
            <w:r w:rsidR="00FC34F5">
              <w:rPr>
                <w:rFonts w:ascii="Times" w:hAnsi="Times" w:cs="Arial"/>
                <w:color w:val="000000" w:themeColor="text1"/>
              </w:rPr>
              <w:t>17</w:t>
            </w:r>
          </w:p>
        </w:tc>
        <w:tc>
          <w:tcPr>
            <w:tcW w:w="1170" w:type="dxa"/>
            <w:vAlign w:val="center"/>
          </w:tcPr>
          <w:p w14:paraId="3E9D21D7" w14:textId="77777777" w:rsidR="001D131D" w:rsidRPr="001D131D" w:rsidRDefault="00FC34F5" w:rsidP="0011069D">
            <w:pPr>
              <w:jc w:val="center"/>
              <w:rPr>
                <w:color w:val="000000" w:themeColor="text1"/>
              </w:rPr>
            </w:pPr>
            <w:r>
              <w:rPr>
                <w:color w:val="000000" w:themeColor="text1"/>
              </w:rPr>
              <w:t>6.</w:t>
            </w:r>
            <w:r w:rsidR="00490BDF">
              <w:rPr>
                <w:color w:val="000000" w:themeColor="text1"/>
              </w:rPr>
              <w:t>8</w:t>
            </w:r>
          </w:p>
        </w:tc>
      </w:tr>
      <w:tr w:rsidR="001D131D" w:rsidRPr="001D131D" w14:paraId="3AD4FA6B" w14:textId="77777777" w:rsidTr="0011069D">
        <w:tc>
          <w:tcPr>
            <w:tcW w:w="3078" w:type="dxa"/>
          </w:tcPr>
          <w:p w14:paraId="715FB349" w14:textId="77777777" w:rsidR="001D131D" w:rsidRPr="001D131D" w:rsidRDefault="001D131D" w:rsidP="0011069D">
            <w:pPr>
              <w:widowControl w:val="0"/>
              <w:autoSpaceDE w:val="0"/>
              <w:autoSpaceDN w:val="0"/>
              <w:adjustRightInd w:val="0"/>
              <w:rPr>
                <w:rFonts w:ascii="Times" w:hAnsi="Times" w:cs="Arial"/>
                <w:b/>
                <w:color w:val="000000" w:themeColor="text1"/>
              </w:rPr>
            </w:pPr>
            <w:r w:rsidRPr="001D131D">
              <w:rPr>
                <w:rFonts w:ascii="Times" w:hAnsi="Times" w:cs="Arial"/>
                <w:b/>
                <w:color w:val="000000" w:themeColor="text1"/>
              </w:rPr>
              <w:t>TOTAL</w:t>
            </w:r>
          </w:p>
        </w:tc>
        <w:tc>
          <w:tcPr>
            <w:tcW w:w="1710" w:type="dxa"/>
          </w:tcPr>
          <w:p w14:paraId="7F6DF672" w14:textId="77777777" w:rsidR="001D131D" w:rsidRPr="001D131D" w:rsidRDefault="001D131D" w:rsidP="0011069D">
            <w:pPr>
              <w:widowControl w:val="0"/>
              <w:autoSpaceDE w:val="0"/>
              <w:autoSpaceDN w:val="0"/>
              <w:adjustRightInd w:val="0"/>
              <w:jc w:val="center"/>
              <w:rPr>
                <w:rFonts w:ascii="Times" w:hAnsi="Times" w:cs="Arial"/>
                <w:b/>
                <w:color w:val="000000" w:themeColor="text1"/>
              </w:rPr>
            </w:pPr>
          </w:p>
        </w:tc>
        <w:tc>
          <w:tcPr>
            <w:tcW w:w="1620" w:type="dxa"/>
          </w:tcPr>
          <w:p w14:paraId="3894683A" w14:textId="77777777" w:rsidR="001D131D" w:rsidRPr="001D131D" w:rsidRDefault="00490BDF" w:rsidP="00FC34F5">
            <w:pPr>
              <w:widowControl w:val="0"/>
              <w:autoSpaceDE w:val="0"/>
              <w:autoSpaceDN w:val="0"/>
              <w:adjustRightInd w:val="0"/>
              <w:jc w:val="center"/>
              <w:rPr>
                <w:rFonts w:ascii="Times" w:hAnsi="Times" w:cs="Arial"/>
                <w:b/>
                <w:color w:val="000000" w:themeColor="text1"/>
              </w:rPr>
            </w:pPr>
            <w:r>
              <w:rPr>
                <w:rFonts w:ascii="Times" w:hAnsi="Times" w:cs="Arial"/>
                <w:b/>
                <w:color w:val="000000" w:themeColor="text1"/>
              </w:rPr>
              <w:t>2.</w:t>
            </w:r>
            <w:r w:rsidR="00FC34F5">
              <w:rPr>
                <w:rFonts w:ascii="Times" w:hAnsi="Times" w:cs="Arial"/>
                <w:b/>
                <w:color w:val="000000" w:themeColor="text1"/>
              </w:rPr>
              <w:t>84</w:t>
            </w:r>
          </w:p>
        </w:tc>
        <w:tc>
          <w:tcPr>
            <w:tcW w:w="1170" w:type="dxa"/>
            <w:vAlign w:val="center"/>
          </w:tcPr>
          <w:p w14:paraId="306F59CE" w14:textId="77777777" w:rsidR="001D131D" w:rsidRPr="001D131D" w:rsidRDefault="00490BDF" w:rsidP="00FC34F5">
            <w:pPr>
              <w:jc w:val="center"/>
              <w:rPr>
                <w:b/>
                <w:bCs/>
                <w:color w:val="000000" w:themeColor="text1"/>
              </w:rPr>
            </w:pPr>
            <w:r>
              <w:rPr>
                <w:b/>
                <w:bCs/>
                <w:color w:val="000000" w:themeColor="text1"/>
              </w:rPr>
              <w:t>11</w:t>
            </w:r>
            <w:r w:rsidR="00FC34F5">
              <w:rPr>
                <w:b/>
                <w:bCs/>
                <w:color w:val="000000" w:themeColor="text1"/>
              </w:rPr>
              <w:t>3.6</w:t>
            </w:r>
          </w:p>
        </w:tc>
      </w:tr>
    </w:tbl>
    <w:p w14:paraId="1797B8C2" w14:textId="77777777" w:rsidR="001D131D" w:rsidRPr="00EB2822" w:rsidRDefault="001D131D" w:rsidP="001D131D">
      <w:pPr>
        <w:widowControl w:val="0"/>
        <w:autoSpaceDE w:val="0"/>
        <w:autoSpaceDN w:val="0"/>
        <w:adjustRightInd w:val="0"/>
        <w:ind w:firstLine="720"/>
        <w:jc w:val="both"/>
        <w:rPr>
          <w:rFonts w:ascii="Times" w:hAnsi="Times" w:cs="Arial"/>
          <w:color w:val="31849B" w:themeColor="accent5" w:themeShade="BF"/>
        </w:rPr>
      </w:pPr>
    </w:p>
    <w:p w14:paraId="3297B4CE" w14:textId="77777777" w:rsidR="001D131D" w:rsidRPr="001D131D" w:rsidRDefault="001D131D" w:rsidP="001D131D">
      <w:pPr>
        <w:widowControl w:val="0"/>
        <w:autoSpaceDE w:val="0"/>
        <w:autoSpaceDN w:val="0"/>
        <w:adjustRightInd w:val="0"/>
        <w:ind w:firstLine="720"/>
        <w:jc w:val="both"/>
        <w:rPr>
          <w:rFonts w:ascii="Times" w:hAnsi="Times" w:cs="Arial"/>
          <w:color w:val="000000" w:themeColor="text1"/>
        </w:rPr>
      </w:pPr>
      <w:r w:rsidRPr="001D131D">
        <w:rPr>
          <w:rFonts w:ascii="Times" w:hAnsi="Times" w:cs="Arial"/>
          <w:color w:val="000000" w:themeColor="text1"/>
        </w:rPr>
        <w:t xml:space="preserve">This results </w:t>
      </w:r>
      <w:r w:rsidRPr="00490BDF">
        <w:rPr>
          <w:rFonts w:ascii="Times" w:hAnsi="Times" w:cs="Arial"/>
        </w:rPr>
        <w:t xml:space="preserve">in a total of </w:t>
      </w:r>
      <w:r w:rsidR="004F587A">
        <w:rPr>
          <w:rFonts w:ascii="Times" w:hAnsi="Times" w:cs="Arial"/>
          <w:b/>
        </w:rPr>
        <w:t>443.1</w:t>
      </w:r>
      <w:r w:rsidRPr="00490BDF">
        <w:rPr>
          <w:rFonts w:ascii="Times" w:hAnsi="Times" w:cs="Arial"/>
        </w:rPr>
        <w:t xml:space="preserve"> burden </w:t>
      </w:r>
      <w:r w:rsidRPr="001D131D">
        <w:rPr>
          <w:rFonts w:ascii="Times" w:hAnsi="Times" w:cs="Arial"/>
          <w:color w:val="000000" w:themeColor="text1"/>
        </w:rPr>
        <w:t xml:space="preserve">hours for </w:t>
      </w:r>
      <w:r w:rsidR="00EE52E5">
        <w:rPr>
          <w:rFonts w:ascii="Times" w:hAnsi="Times" w:cs="Arial"/>
          <w:color w:val="000000" w:themeColor="text1"/>
        </w:rPr>
        <w:t>screening, Phase 1, and Phase 2</w:t>
      </w:r>
      <w:r w:rsidR="00E51362">
        <w:rPr>
          <w:rFonts w:ascii="Times" w:hAnsi="Times" w:cs="Arial"/>
          <w:color w:val="000000" w:themeColor="text1"/>
        </w:rPr>
        <w:t xml:space="preserve"> data</w:t>
      </w:r>
      <w:r w:rsidRPr="001D131D">
        <w:rPr>
          <w:rFonts w:ascii="Times" w:hAnsi="Times" w:cs="Arial"/>
          <w:color w:val="000000" w:themeColor="text1"/>
        </w:rPr>
        <w:t xml:space="preserve"> collection. </w:t>
      </w:r>
    </w:p>
    <w:p w14:paraId="010023DF" w14:textId="77777777" w:rsidR="001D131D" w:rsidRDefault="001D131D" w:rsidP="007E1DAA">
      <w:pPr>
        <w:widowControl w:val="0"/>
        <w:autoSpaceDE w:val="0"/>
        <w:autoSpaceDN w:val="0"/>
        <w:adjustRightInd w:val="0"/>
        <w:ind w:firstLine="720"/>
        <w:jc w:val="both"/>
        <w:rPr>
          <w:rFonts w:ascii="Times" w:hAnsi="Times" w:cs="Arial"/>
        </w:rPr>
      </w:pPr>
    </w:p>
    <w:p w14:paraId="7D6CDE1A" w14:textId="77777777" w:rsidR="00C800ED" w:rsidRDefault="007E1DAA" w:rsidP="00CE2EA9">
      <w:pPr>
        <w:pStyle w:val="HTMLPreformatted"/>
      </w:pPr>
      <w:r>
        <w:rPr>
          <w:rFonts w:ascii="Times New Roman" w:hAnsi="Times New Roman"/>
          <w:sz w:val="24"/>
          <w:szCs w:val="24"/>
        </w:rPr>
        <w:tab/>
      </w:r>
    </w:p>
    <w:p w14:paraId="54917F36" w14:textId="77777777" w:rsidR="00C800ED" w:rsidRPr="00672019" w:rsidRDefault="00C800ED" w:rsidP="00C800ED">
      <w:pPr>
        <w:pStyle w:val="Heading2"/>
        <w:ind w:left="720" w:hanging="720"/>
        <w:rPr>
          <w:b/>
          <w:u w:val="none"/>
        </w:rPr>
      </w:pPr>
      <w:bookmarkStart w:id="62" w:name="_Toc125278825"/>
      <w:bookmarkStart w:id="63" w:name="_Toc125341748"/>
      <w:bookmarkStart w:id="64" w:name="_Toc125447306"/>
      <w:bookmarkStart w:id="65" w:name="_Toc126394134"/>
      <w:r w:rsidRPr="00672019">
        <w:rPr>
          <w:b/>
          <w:u w:val="none"/>
        </w:rPr>
        <w:lastRenderedPageBreak/>
        <w:t>A.13.</w:t>
      </w:r>
      <w:r w:rsidRPr="00672019">
        <w:rPr>
          <w:b/>
          <w:u w:val="none"/>
        </w:rPr>
        <w:tab/>
        <w:t>Provide an estimate of the total annual cost to the respondents or record keepers resulting from the collection of information.</w:t>
      </w:r>
      <w:bookmarkEnd w:id="62"/>
      <w:bookmarkEnd w:id="63"/>
      <w:bookmarkEnd w:id="64"/>
      <w:bookmarkEnd w:id="65"/>
      <w:r w:rsidRPr="00672019">
        <w:rPr>
          <w:b/>
          <w:u w:val="none"/>
        </w:rPr>
        <w:t xml:space="preserve"> </w:t>
      </w:r>
    </w:p>
    <w:p w14:paraId="6CCA120E" w14:textId="77777777" w:rsidR="00C800ED" w:rsidRDefault="00C800ED" w:rsidP="00C800ED">
      <w:pPr>
        <w:ind w:left="720" w:hanging="720"/>
      </w:pPr>
    </w:p>
    <w:p w14:paraId="1F23A251" w14:textId="6DE3567C" w:rsidR="00CE2EA9" w:rsidRPr="00276847" w:rsidRDefault="008A6E67" w:rsidP="008A6E67">
      <w:pPr>
        <w:widowControl w:val="0"/>
        <w:autoSpaceDE w:val="0"/>
        <w:autoSpaceDN w:val="0"/>
        <w:adjustRightInd w:val="0"/>
        <w:ind w:firstLine="720"/>
      </w:pPr>
      <w:r w:rsidRPr="00276847">
        <w:rPr>
          <w:rFonts w:ascii="Times" w:hAnsi="Times" w:cs="Arial"/>
        </w:rPr>
        <w:t xml:space="preserve">Since respondents will contact researchers in response to emails and flyers seeking study participants, the </w:t>
      </w:r>
      <w:r w:rsidR="00D14034">
        <w:rPr>
          <w:rFonts w:ascii="Times" w:hAnsi="Times" w:cs="Arial"/>
        </w:rPr>
        <w:t>questionnaire</w:t>
      </w:r>
      <w:r w:rsidRPr="00276847">
        <w:rPr>
          <w:rFonts w:ascii="Times" w:hAnsi="Times" w:cs="Arial"/>
        </w:rPr>
        <w:t xml:space="preserve"> will not pose </w:t>
      </w:r>
      <w:r w:rsidR="0068627D">
        <w:rPr>
          <w:rFonts w:ascii="Times" w:hAnsi="Times" w:cs="Arial"/>
        </w:rPr>
        <w:t>any</w:t>
      </w:r>
      <w:r w:rsidR="0068627D" w:rsidRPr="00276847">
        <w:rPr>
          <w:rFonts w:ascii="Times" w:hAnsi="Times" w:cs="Arial"/>
        </w:rPr>
        <w:t xml:space="preserve"> </w:t>
      </w:r>
      <w:r w:rsidRPr="00276847">
        <w:rPr>
          <w:rFonts w:ascii="Times" w:hAnsi="Times" w:cs="Arial"/>
        </w:rPr>
        <w:t xml:space="preserve">actual cost to participants (i.e., they will participate during non-salaried hours). However, the time they spend responding to the questions can be looked at in terms of what it would have cost had participants spent a similar amount of time responding while on the job. </w:t>
      </w:r>
      <w:r w:rsidR="00CE2EA9" w:rsidRPr="00276847">
        <w:rPr>
          <w:rFonts w:ascii="Times" w:hAnsi="Times" w:cs="Arial"/>
        </w:rPr>
        <w:t xml:space="preserve">Mean hourly wage provided by the Bureau of Labor Statistics for </w:t>
      </w:r>
      <w:r w:rsidR="00C6633D" w:rsidRPr="00276847">
        <w:rPr>
          <w:rFonts w:ascii="Times" w:hAnsi="Times" w:cs="Arial"/>
        </w:rPr>
        <w:t>All</w:t>
      </w:r>
      <w:r w:rsidR="00CE2EA9" w:rsidRPr="00276847">
        <w:rPr>
          <w:rFonts w:ascii="Times" w:hAnsi="Times" w:cs="Arial"/>
        </w:rPr>
        <w:t xml:space="preserve"> </w:t>
      </w:r>
      <w:r w:rsidR="00C6633D" w:rsidRPr="00276847">
        <w:rPr>
          <w:rFonts w:ascii="Times" w:hAnsi="Times" w:cs="Arial"/>
        </w:rPr>
        <w:t>O</w:t>
      </w:r>
      <w:r w:rsidR="00CE2EA9" w:rsidRPr="00276847">
        <w:rPr>
          <w:rFonts w:ascii="Times" w:hAnsi="Times" w:cs="Arial"/>
        </w:rPr>
        <w:t>ccupations (</w:t>
      </w:r>
      <w:hyperlink r:id="rId9" w:anchor="00-0000" w:history="1">
        <w:r w:rsidR="00C6633D" w:rsidRPr="00276847">
          <w:rPr>
            <w:rFonts w:ascii="Times" w:hAnsi="Times" w:cs="Arial"/>
          </w:rPr>
          <w:t>http://www.bls.gov/oes/current/oes_va.htm#00-0000</w:t>
        </w:r>
      </w:hyperlink>
      <w:r w:rsidR="00CE2EA9" w:rsidRPr="00276847">
        <w:rPr>
          <w:rFonts w:ascii="Times" w:hAnsi="Times" w:cs="Arial"/>
        </w:rPr>
        <w:t>) is $</w:t>
      </w:r>
      <w:r w:rsidR="00C6633D" w:rsidRPr="00276847">
        <w:rPr>
          <w:rFonts w:ascii="Times" w:hAnsi="Times" w:cs="Arial"/>
        </w:rPr>
        <w:t>23.82</w:t>
      </w:r>
      <w:r w:rsidR="00CE2EA9" w:rsidRPr="00276847">
        <w:rPr>
          <w:rFonts w:ascii="Times" w:hAnsi="Times" w:cs="Arial"/>
        </w:rPr>
        <w:t>.</w:t>
      </w:r>
      <w:r w:rsidR="00CE2EA9" w:rsidRPr="00276847">
        <w:t xml:space="preserve">  </w:t>
      </w:r>
    </w:p>
    <w:p w14:paraId="3516C163" w14:textId="77777777" w:rsidR="00C6633D" w:rsidRPr="00724CFF" w:rsidRDefault="00C6633D" w:rsidP="00CE2EA9">
      <w:pPr>
        <w:pStyle w:val="HTMLPreformatted"/>
        <w:rPr>
          <w:rFonts w:ascii="Times New Roman" w:hAnsi="Times New Roman"/>
          <w:color w:val="31849B" w:themeColor="accent5" w:themeShade="BF"/>
          <w:sz w:val="24"/>
          <w:szCs w:val="24"/>
        </w:rPr>
      </w:pPr>
    </w:p>
    <w:p w14:paraId="4505C323" w14:textId="77777777" w:rsidR="00CE2EA9" w:rsidRPr="00276847" w:rsidRDefault="00CE2EA9" w:rsidP="00CE2EA9">
      <w:pPr>
        <w:pStyle w:val="HTMLPreformatted"/>
        <w:rPr>
          <w:rFonts w:ascii="Times New Roman" w:hAnsi="Times New Roman"/>
          <w:sz w:val="24"/>
          <w:szCs w:val="24"/>
        </w:rPr>
      </w:pPr>
      <w:r w:rsidRPr="00724CFF">
        <w:rPr>
          <w:rFonts w:ascii="Times New Roman" w:hAnsi="Times New Roman"/>
          <w:color w:val="31849B" w:themeColor="accent5" w:themeShade="BF"/>
          <w:sz w:val="24"/>
          <w:szCs w:val="24"/>
        </w:rPr>
        <w:tab/>
      </w:r>
      <w:r w:rsidRPr="00276847">
        <w:rPr>
          <w:rFonts w:ascii="Times New Roman" w:hAnsi="Times New Roman"/>
          <w:sz w:val="24"/>
          <w:szCs w:val="24"/>
        </w:rPr>
        <w:t>$</w:t>
      </w:r>
      <w:r w:rsidR="00C6633D" w:rsidRPr="00276847">
        <w:rPr>
          <w:rFonts w:ascii="Times New Roman" w:hAnsi="Times New Roman"/>
          <w:sz w:val="24"/>
          <w:szCs w:val="24"/>
        </w:rPr>
        <w:t>23.82</w:t>
      </w:r>
      <w:r w:rsidR="00CC51B0" w:rsidRPr="00276847">
        <w:rPr>
          <w:rFonts w:ascii="Times New Roman" w:hAnsi="Times New Roman"/>
          <w:sz w:val="24"/>
          <w:szCs w:val="24"/>
        </w:rPr>
        <w:t>/hr.</w:t>
      </w:r>
      <w:r w:rsidRPr="00276847">
        <w:rPr>
          <w:rFonts w:ascii="Times New Roman" w:hAnsi="Times New Roman"/>
          <w:sz w:val="24"/>
          <w:szCs w:val="24"/>
        </w:rPr>
        <w:t xml:space="preserve"> </w:t>
      </w:r>
      <w:r w:rsidR="00276847">
        <w:rPr>
          <w:rFonts w:ascii="Times New Roman" w:hAnsi="Times New Roman"/>
          <w:sz w:val="24"/>
          <w:szCs w:val="24"/>
        </w:rPr>
        <w:t>*</w:t>
      </w:r>
      <w:r w:rsidR="00FD151B" w:rsidRPr="00276847">
        <w:rPr>
          <w:rFonts w:ascii="Times New Roman" w:hAnsi="Times New Roman"/>
          <w:sz w:val="24"/>
          <w:szCs w:val="24"/>
        </w:rPr>
        <w:t xml:space="preserve"> </w:t>
      </w:r>
      <w:r w:rsidR="00041D85">
        <w:rPr>
          <w:rFonts w:ascii="Times New Roman" w:hAnsi="Times New Roman"/>
          <w:sz w:val="24"/>
          <w:szCs w:val="24"/>
        </w:rPr>
        <w:t>443.1 burden</w:t>
      </w:r>
      <w:r w:rsidR="00FD151B" w:rsidRPr="00276847">
        <w:rPr>
          <w:rFonts w:ascii="Times New Roman" w:hAnsi="Times New Roman"/>
          <w:sz w:val="24"/>
          <w:szCs w:val="24"/>
        </w:rPr>
        <w:t xml:space="preserve"> hours </w:t>
      </w:r>
      <w:r w:rsidRPr="00276847">
        <w:rPr>
          <w:rFonts w:ascii="Times New Roman" w:hAnsi="Times New Roman"/>
          <w:sz w:val="24"/>
          <w:szCs w:val="24"/>
        </w:rPr>
        <w:t>= $</w:t>
      </w:r>
      <w:r w:rsidR="00041D85">
        <w:rPr>
          <w:rFonts w:ascii="Times New Roman" w:hAnsi="Times New Roman"/>
          <w:sz w:val="24"/>
          <w:szCs w:val="24"/>
        </w:rPr>
        <w:t>10</w:t>
      </w:r>
      <w:r w:rsidR="00276847" w:rsidRPr="00276847">
        <w:rPr>
          <w:rFonts w:ascii="Times New Roman" w:hAnsi="Times New Roman"/>
          <w:sz w:val="24"/>
          <w:szCs w:val="24"/>
        </w:rPr>
        <w:t>,</w:t>
      </w:r>
      <w:r w:rsidR="00041D85">
        <w:rPr>
          <w:rFonts w:ascii="Times New Roman" w:hAnsi="Times New Roman"/>
          <w:sz w:val="24"/>
          <w:szCs w:val="24"/>
        </w:rPr>
        <w:t>554</w:t>
      </w:r>
      <w:r w:rsidR="009200EA" w:rsidRPr="00276847">
        <w:rPr>
          <w:rFonts w:ascii="Times New Roman" w:hAnsi="Times New Roman"/>
          <w:sz w:val="24"/>
          <w:szCs w:val="24"/>
        </w:rPr>
        <w:t>.</w:t>
      </w:r>
      <w:r w:rsidR="00041D85">
        <w:rPr>
          <w:rFonts w:ascii="Times New Roman" w:hAnsi="Times New Roman"/>
          <w:sz w:val="24"/>
          <w:szCs w:val="24"/>
        </w:rPr>
        <w:t>64.</w:t>
      </w:r>
    </w:p>
    <w:p w14:paraId="091BFD32" w14:textId="77777777" w:rsidR="00276847" w:rsidRPr="00276847" w:rsidRDefault="00276847" w:rsidP="00CE2EA9">
      <w:pPr>
        <w:pStyle w:val="HTMLPreformatted"/>
        <w:rPr>
          <w:rFonts w:ascii="Times New Roman" w:hAnsi="Times New Roman"/>
          <w:sz w:val="24"/>
          <w:szCs w:val="24"/>
        </w:rPr>
      </w:pPr>
    </w:p>
    <w:p w14:paraId="11CD14B9" w14:textId="77777777" w:rsidR="00CE2EA9" w:rsidRPr="00041D85" w:rsidRDefault="00CE2EA9" w:rsidP="00CE2EA9">
      <w:pPr>
        <w:pStyle w:val="HTMLPreformatted"/>
        <w:rPr>
          <w:rFonts w:ascii="Times New Roman" w:hAnsi="Times New Roman"/>
          <w:color w:val="000000" w:themeColor="text1"/>
          <w:sz w:val="24"/>
          <w:szCs w:val="24"/>
        </w:rPr>
      </w:pPr>
      <w:r w:rsidRPr="00276847">
        <w:rPr>
          <w:rFonts w:ascii="Times New Roman" w:hAnsi="Times New Roman"/>
          <w:sz w:val="24"/>
          <w:szCs w:val="24"/>
        </w:rPr>
        <w:tab/>
        <w:t xml:space="preserve">The </w:t>
      </w:r>
      <w:r w:rsidR="00D14034">
        <w:rPr>
          <w:rFonts w:ascii="Times New Roman" w:hAnsi="Times New Roman"/>
          <w:sz w:val="24"/>
          <w:szCs w:val="24"/>
        </w:rPr>
        <w:t>questionnaire</w:t>
      </w:r>
      <w:r w:rsidRPr="00276847">
        <w:rPr>
          <w:rFonts w:ascii="Times New Roman" w:hAnsi="Times New Roman"/>
          <w:sz w:val="24"/>
          <w:szCs w:val="24"/>
        </w:rPr>
        <w:t xml:space="preserve"> would be administered a single time, and within a single </w:t>
      </w:r>
      <w:r w:rsidRPr="00041D85">
        <w:rPr>
          <w:rFonts w:ascii="Times New Roman" w:hAnsi="Times New Roman"/>
          <w:color w:val="000000" w:themeColor="text1"/>
          <w:sz w:val="24"/>
          <w:szCs w:val="24"/>
        </w:rPr>
        <w:t>year.  Thus</w:t>
      </w:r>
      <w:r w:rsidRPr="00041D85">
        <w:rPr>
          <w:rFonts w:ascii="Times New Roman" w:hAnsi="Times New Roman"/>
          <w:b/>
          <w:color w:val="000000" w:themeColor="text1"/>
          <w:sz w:val="24"/>
          <w:szCs w:val="24"/>
        </w:rPr>
        <w:t xml:space="preserve"> </w:t>
      </w:r>
      <w:r w:rsidRPr="00041D85">
        <w:rPr>
          <w:rFonts w:ascii="Times New Roman" w:hAnsi="Times New Roman"/>
          <w:color w:val="000000" w:themeColor="text1"/>
          <w:sz w:val="24"/>
          <w:szCs w:val="24"/>
        </w:rPr>
        <w:t>the total annual cost to responden</w:t>
      </w:r>
      <w:r w:rsidR="00CC51B0" w:rsidRPr="00041D85">
        <w:rPr>
          <w:rFonts w:ascii="Times New Roman" w:hAnsi="Times New Roman"/>
          <w:color w:val="000000" w:themeColor="text1"/>
          <w:sz w:val="24"/>
          <w:szCs w:val="24"/>
        </w:rPr>
        <w:t xml:space="preserve">ts would be a maximum of </w:t>
      </w:r>
      <w:r w:rsidR="00041D85" w:rsidRPr="00041D85">
        <w:rPr>
          <w:rFonts w:ascii="Times New Roman" w:hAnsi="Times New Roman"/>
          <w:b/>
          <w:color w:val="000000" w:themeColor="text1"/>
          <w:sz w:val="24"/>
          <w:szCs w:val="24"/>
        </w:rPr>
        <w:t>$10,554.64</w:t>
      </w:r>
      <w:r w:rsidRPr="00041D85">
        <w:rPr>
          <w:rFonts w:ascii="Times New Roman" w:hAnsi="Times New Roman"/>
          <w:b/>
          <w:color w:val="000000" w:themeColor="text1"/>
          <w:sz w:val="24"/>
          <w:szCs w:val="24"/>
        </w:rPr>
        <w:t>.</w:t>
      </w:r>
      <w:r w:rsidRPr="00041D85">
        <w:rPr>
          <w:rFonts w:ascii="Times New Roman" w:hAnsi="Times New Roman"/>
          <w:color w:val="000000" w:themeColor="text1"/>
          <w:sz w:val="24"/>
          <w:szCs w:val="24"/>
        </w:rPr>
        <w:t xml:space="preserve"> </w:t>
      </w:r>
    </w:p>
    <w:p w14:paraId="03A0C179" w14:textId="77777777" w:rsidR="00CE2EA9" w:rsidRPr="00041D85" w:rsidRDefault="00CE2EA9" w:rsidP="00CE2EA9">
      <w:pPr>
        <w:pStyle w:val="HTMLPreformatted"/>
        <w:rPr>
          <w:rFonts w:ascii="Times New Roman" w:hAnsi="Times New Roman"/>
          <w:color w:val="000000" w:themeColor="text1"/>
          <w:sz w:val="24"/>
          <w:szCs w:val="24"/>
        </w:rPr>
      </w:pPr>
    </w:p>
    <w:p w14:paraId="492ADE47" w14:textId="77777777" w:rsidR="00C800ED" w:rsidRPr="00041D85" w:rsidRDefault="00C800ED" w:rsidP="00C800ED">
      <w:pPr>
        <w:pStyle w:val="Heading2"/>
        <w:rPr>
          <w:b/>
          <w:color w:val="000000" w:themeColor="text1"/>
          <w:u w:val="none"/>
        </w:rPr>
      </w:pPr>
      <w:bookmarkStart w:id="66" w:name="_Toc125278826"/>
      <w:bookmarkStart w:id="67" w:name="_Toc125341749"/>
      <w:bookmarkStart w:id="68" w:name="_Toc125447307"/>
      <w:bookmarkStart w:id="69" w:name="_Toc126394135"/>
      <w:r w:rsidRPr="00041D85">
        <w:rPr>
          <w:b/>
          <w:color w:val="000000" w:themeColor="text1"/>
          <w:u w:val="none"/>
        </w:rPr>
        <w:t>A.14.</w:t>
      </w:r>
      <w:r w:rsidRPr="00041D85">
        <w:rPr>
          <w:b/>
          <w:color w:val="000000" w:themeColor="text1"/>
          <w:u w:val="none"/>
        </w:rPr>
        <w:tab/>
        <w:t>Provide estimates of the annualized cost to the Federal Government.</w:t>
      </w:r>
      <w:bookmarkEnd w:id="66"/>
      <w:bookmarkEnd w:id="67"/>
      <w:bookmarkEnd w:id="68"/>
      <w:bookmarkEnd w:id="69"/>
    </w:p>
    <w:p w14:paraId="0C9E20CA" w14:textId="77777777" w:rsidR="00C800ED" w:rsidRPr="00672019" w:rsidRDefault="00C800ED" w:rsidP="00C800ED">
      <w:pPr>
        <w:ind w:left="720" w:hanging="720"/>
      </w:pPr>
    </w:p>
    <w:p w14:paraId="295C9471" w14:textId="77777777" w:rsidR="002211B5" w:rsidRDefault="00CE2EA9" w:rsidP="002211B5">
      <w:pPr>
        <w:widowControl w:val="0"/>
        <w:tabs>
          <w:tab w:val="left" w:pos="720"/>
        </w:tabs>
        <w:autoSpaceDE w:val="0"/>
        <w:autoSpaceDN w:val="0"/>
        <w:adjustRightInd w:val="0"/>
        <w:ind w:left="720" w:hanging="720"/>
        <w:jc w:val="both"/>
        <w:rPr>
          <w:rFonts w:ascii="Times" w:hAnsi="Times" w:cs="Arial"/>
          <w:bCs/>
        </w:rPr>
      </w:pPr>
      <w:r w:rsidRPr="004D6A75">
        <w:rPr>
          <w:rFonts w:ascii="Times" w:hAnsi="Times" w:cs="Arial"/>
          <w:b/>
          <w:bCs/>
          <w:color w:val="4F81BD" w:themeColor="accent1"/>
        </w:rPr>
        <w:tab/>
      </w:r>
      <w:r w:rsidR="002211B5" w:rsidRPr="00D64EFD">
        <w:rPr>
          <w:rFonts w:ascii="Times" w:hAnsi="Times" w:cs="Arial"/>
          <w:bCs/>
        </w:rPr>
        <w:t xml:space="preserve">The estimated annualized cost to the Federal government </w:t>
      </w:r>
      <w:r w:rsidR="002211B5" w:rsidRPr="003F4E52">
        <w:rPr>
          <w:rFonts w:ascii="Times" w:hAnsi="Times" w:cs="Arial"/>
          <w:bCs/>
        </w:rPr>
        <w:t xml:space="preserve">is </w:t>
      </w:r>
      <w:r w:rsidR="002211B5" w:rsidRPr="003F4E52">
        <w:rPr>
          <w:color w:val="000000" w:themeColor="text1"/>
        </w:rPr>
        <w:t>$</w:t>
      </w:r>
      <w:r w:rsidR="002C6D29">
        <w:rPr>
          <w:color w:val="000000" w:themeColor="text1"/>
        </w:rPr>
        <w:t>78</w:t>
      </w:r>
      <w:r w:rsidR="002211B5" w:rsidRPr="003F4E52">
        <w:rPr>
          <w:color w:val="000000" w:themeColor="text1"/>
        </w:rPr>
        <w:t>,</w:t>
      </w:r>
      <w:r w:rsidR="002C6D29">
        <w:rPr>
          <w:color w:val="000000" w:themeColor="text1"/>
        </w:rPr>
        <w:t>380</w:t>
      </w:r>
      <w:r w:rsidR="002211B5" w:rsidRPr="003F4E52">
        <w:rPr>
          <w:color w:val="000000" w:themeColor="text1"/>
        </w:rPr>
        <w:t xml:space="preserve"> (see table </w:t>
      </w:r>
      <w:r w:rsidR="002211B5">
        <w:rPr>
          <w:color w:val="000000" w:themeColor="text1"/>
        </w:rPr>
        <w:t>2</w:t>
      </w:r>
      <w:r w:rsidR="009D60E4">
        <w:rPr>
          <w:color w:val="000000" w:themeColor="text1"/>
        </w:rPr>
        <w:t xml:space="preserve">a </w:t>
      </w:r>
      <w:r w:rsidR="002C6D29">
        <w:rPr>
          <w:color w:val="000000" w:themeColor="text1"/>
        </w:rPr>
        <w:t>through</w:t>
      </w:r>
      <w:r w:rsidR="009D60E4">
        <w:rPr>
          <w:color w:val="000000" w:themeColor="text1"/>
        </w:rPr>
        <w:t xml:space="preserve"> 2c</w:t>
      </w:r>
      <w:r w:rsidR="002211B5" w:rsidRPr="003F4E52">
        <w:rPr>
          <w:color w:val="000000" w:themeColor="text1"/>
        </w:rPr>
        <w:t>)</w:t>
      </w:r>
      <w:r w:rsidR="002211B5" w:rsidRPr="003F4E52">
        <w:rPr>
          <w:rFonts w:ascii="Times" w:hAnsi="Times" w:cs="Arial"/>
          <w:bCs/>
        </w:rPr>
        <w:t xml:space="preserve">.  </w:t>
      </w:r>
    </w:p>
    <w:p w14:paraId="5FB76939" w14:textId="77777777" w:rsidR="002211B5" w:rsidRDefault="002211B5" w:rsidP="002211B5">
      <w:pPr>
        <w:widowControl w:val="0"/>
        <w:autoSpaceDE w:val="0"/>
        <w:autoSpaceDN w:val="0"/>
        <w:adjustRightInd w:val="0"/>
        <w:rPr>
          <w:rFonts w:ascii="Times" w:hAnsi="Times" w:cs="Arial"/>
          <w:color w:val="000000" w:themeColor="text1"/>
        </w:rPr>
      </w:pPr>
    </w:p>
    <w:p w14:paraId="1A4C9610" w14:textId="77777777" w:rsidR="009D60E4" w:rsidRPr="00E95C3F" w:rsidRDefault="009D60E4" w:rsidP="009D60E4">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Table </w:t>
      </w:r>
      <w:r>
        <w:rPr>
          <w:rFonts w:ascii="Times" w:hAnsi="Times" w:cs="Arial"/>
          <w:color w:val="000000" w:themeColor="text1"/>
        </w:rPr>
        <w:t>2a: Cost to the Government/Screening</w:t>
      </w:r>
    </w:p>
    <w:tbl>
      <w:tblPr>
        <w:tblStyle w:val="TableGrid"/>
        <w:tblW w:w="6948" w:type="dxa"/>
        <w:tblLook w:val="04A0" w:firstRow="1" w:lastRow="0" w:firstColumn="1" w:lastColumn="0" w:noHBand="0" w:noVBand="1"/>
      </w:tblPr>
      <w:tblGrid>
        <w:gridCol w:w="5598"/>
        <w:gridCol w:w="1350"/>
      </w:tblGrid>
      <w:tr w:rsidR="009D60E4" w:rsidRPr="00E95C3F" w14:paraId="3A4D9D32" w14:textId="77777777" w:rsidTr="00972A9C">
        <w:tc>
          <w:tcPr>
            <w:tcW w:w="5598" w:type="dxa"/>
          </w:tcPr>
          <w:p w14:paraId="07259BF0" w14:textId="77777777" w:rsidR="009D60E4" w:rsidRPr="003F4E52" w:rsidRDefault="009D60E4" w:rsidP="00972A9C">
            <w:pPr>
              <w:pStyle w:val="Heading2"/>
              <w:rPr>
                <w:b/>
                <w:color w:val="000000" w:themeColor="text1"/>
                <w:u w:val="none"/>
              </w:rPr>
            </w:pPr>
            <w:r w:rsidRPr="003F4E52">
              <w:rPr>
                <w:b/>
                <w:color w:val="000000" w:themeColor="text1"/>
                <w:u w:val="none"/>
              </w:rPr>
              <w:t>Contractor activity</w:t>
            </w:r>
          </w:p>
        </w:tc>
        <w:tc>
          <w:tcPr>
            <w:tcW w:w="1350" w:type="dxa"/>
            <w:vAlign w:val="bottom"/>
          </w:tcPr>
          <w:p w14:paraId="48DBFB89" w14:textId="77777777" w:rsidR="009D60E4" w:rsidRPr="003F4E52" w:rsidRDefault="009D60E4" w:rsidP="00972A9C">
            <w:pPr>
              <w:pStyle w:val="Heading2"/>
              <w:jc w:val="right"/>
              <w:rPr>
                <w:b/>
                <w:color w:val="000000" w:themeColor="text1"/>
                <w:u w:val="none"/>
              </w:rPr>
            </w:pPr>
            <w:r w:rsidRPr="003F4E52">
              <w:rPr>
                <w:b/>
                <w:color w:val="000000" w:themeColor="text1"/>
                <w:u w:val="none"/>
              </w:rPr>
              <w:t>Cost</w:t>
            </w:r>
          </w:p>
        </w:tc>
      </w:tr>
      <w:tr w:rsidR="009D60E4" w:rsidRPr="00E95C3F" w14:paraId="3D5390B6" w14:textId="77777777" w:rsidTr="00972A9C">
        <w:tc>
          <w:tcPr>
            <w:tcW w:w="5598" w:type="dxa"/>
          </w:tcPr>
          <w:p w14:paraId="4E946C9E" w14:textId="77777777" w:rsidR="009D60E4" w:rsidRPr="00E95C3F" w:rsidRDefault="009D60E4" w:rsidP="00972A9C">
            <w:pPr>
              <w:pStyle w:val="Heading2"/>
              <w:rPr>
                <w:color w:val="000000" w:themeColor="text1"/>
                <w:u w:val="none"/>
              </w:rPr>
            </w:pPr>
            <w:r w:rsidRPr="00E95C3F">
              <w:rPr>
                <w:color w:val="000000" w:themeColor="text1"/>
                <w:u w:val="none"/>
              </w:rPr>
              <w:t xml:space="preserve">      Screening</w:t>
            </w:r>
          </w:p>
        </w:tc>
        <w:tc>
          <w:tcPr>
            <w:tcW w:w="1350" w:type="dxa"/>
            <w:vAlign w:val="bottom"/>
          </w:tcPr>
          <w:p w14:paraId="2F17C0FE" w14:textId="77777777" w:rsidR="009D60E4" w:rsidRPr="002C6D29" w:rsidRDefault="009D60E4" w:rsidP="009D60E4">
            <w:pPr>
              <w:jc w:val="right"/>
              <w:rPr>
                <w:rFonts w:ascii="Calibri" w:hAnsi="Calibri"/>
                <w:b/>
                <w:color w:val="000000" w:themeColor="text1"/>
                <w:sz w:val="22"/>
                <w:szCs w:val="22"/>
              </w:rPr>
            </w:pPr>
            <w:r w:rsidRPr="002C6D29">
              <w:rPr>
                <w:rFonts w:ascii="Calibri" w:hAnsi="Calibri"/>
                <w:b/>
                <w:color w:val="000000" w:themeColor="text1"/>
                <w:sz w:val="22"/>
                <w:szCs w:val="22"/>
              </w:rPr>
              <w:t>$3,200</w:t>
            </w:r>
          </w:p>
        </w:tc>
      </w:tr>
    </w:tbl>
    <w:p w14:paraId="49E3780C" w14:textId="77777777" w:rsidR="002211B5" w:rsidRDefault="002211B5" w:rsidP="002211B5">
      <w:pPr>
        <w:widowControl w:val="0"/>
        <w:autoSpaceDE w:val="0"/>
        <w:autoSpaceDN w:val="0"/>
        <w:adjustRightInd w:val="0"/>
        <w:rPr>
          <w:rFonts w:ascii="Times" w:hAnsi="Times" w:cs="Arial"/>
          <w:color w:val="000000" w:themeColor="text1"/>
        </w:rPr>
      </w:pPr>
    </w:p>
    <w:p w14:paraId="36814DB6" w14:textId="77777777" w:rsidR="002211B5" w:rsidRPr="00E95C3F" w:rsidRDefault="002211B5"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Table </w:t>
      </w:r>
      <w:r>
        <w:rPr>
          <w:rFonts w:ascii="Times" w:hAnsi="Times" w:cs="Arial"/>
          <w:color w:val="000000" w:themeColor="text1"/>
        </w:rPr>
        <w:t>2</w:t>
      </w:r>
      <w:r w:rsidR="009D60E4">
        <w:rPr>
          <w:rFonts w:ascii="Times" w:hAnsi="Times" w:cs="Arial"/>
          <w:color w:val="000000" w:themeColor="text1"/>
        </w:rPr>
        <w:t>b</w:t>
      </w:r>
      <w:r>
        <w:rPr>
          <w:rFonts w:ascii="Times" w:hAnsi="Times" w:cs="Arial"/>
          <w:color w:val="000000" w:themeColor="text1"/>
        </w:rPr>
        <w:t>: Cost to the Government/Phase I</w:t>
      </w:r>
    </w:p>
    <w:tbl>
      <w:tblPr>
        <w:tblStyle w:val="TableGrid"/>
        <w:tblW w:w="6948" w:type="dxa"/>
        <w:tblLook w:val="04A0" w:firstRow="1" w:lastRow="0" w:firstColumn="1" w:lastColumn="0" w:noHBand="0" w:noVBand="1"/>
      </w:tblPr>
      <w:tblGrid>
        <w:gridCol w:w="5598"/>
        <w:gridCol w:w="1350"/>
      </w:tblGrid>
      <w:tr w:rsidR="002211B5" w:rsidRPr="00E95C3F" w14:paraId="32092492" w14:textId="77777777" w:rsidTr="00654BAD">
        <w:tc>
          <w:tcPr>
            <w:tcW w:w="5598" w:type="dxa"/>
          </w:tcPr>
          <w:p w14:paraId="198F016E" w14:textId="77777777" w:rsidR="002211B5" w:rsidRPr="003F4E52" w:rsidRDefault="002211B5" w:rsidP="00654BAD">
            <w:pPr>
              <w:pStyle w:val="Heading2"/>
              <w:rPr>
                <w:b/>
                <w:color w:val="000000" w:themeColor="text1"/>
                <w:u w:val="none"/>
              </w:rPr>
            </w:pPr>
            <w:r w:rsidRPr="003F4E52">
              <w:rPr>
                <w:b/>
                <w:color w:val="000000" w:themeColor="text1"/>
                <w:u w:val="none"/>
              </w:rPr>
              <w:t>Contractor activity</w:t>
            </w:r>
          </w:p>
        </w:tc>
        <w:tc>
          <w:tcPr>
            <w:tcW w:w="1350" w:type="dxa"/>
            <w:vAlign w:val="bottom"/>
          </w:tcPr>
          <w:p w14:paraId="1E36A949" w14:textId="77777777" w:rsidR="002211B5" w:rsidRPr="003F4E52" w:rsidRDefault="002211B5" w:rsidP="00654BAD">
            <w:pPr>
              <w:pStyle w:val="Heading2"/>
              <w:jc w:val="right"/>
              <w:rPr>
                <w:b/>
                <w:color w:val="000000" w:themeColor="text1"/>
                <w:u w:val="none"/>
              </w:rPr>
            </w:pPr>
            <w:r w:rsidRPr="003F4E52">
              <w:rPr>
                <w:b/>
                <w:color w:val="000000" w:themeColor="text1"/>
                <w:u w:val="none"/>
              </w:rPr>
              <w:t>Cost</w:t>
            </w:r>
          </w:p>
        </w:tc>
      </w:tr>
      <w:tr w:rsidR="002211B5" w:rsidRPr="00E95C3F" w14:paraId="7B41EB32" w14:textId="77777777" w:rsidTr="00654BAD">
        <w:tc>
          <w:tcPr>
            <w:tcW w:w="5598" w:type="dxa"/>
          </w:tcPr>
          <w:p w14:paraId="23CCC0B8" w14:textId="77777777" w:rsidR="002211B5" w:rsidRPr="00E95C3F" w:rsidRDefault="002211B5" w:rsidP="00654BAD">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Consent </w:t>
            </w:r>
          </w:p>
        </w:tc>
        <w:tc>
          <w:tcPr>
            <w:tcW w:w="1350" w:type="dxa"/>
            <w:vAlign w:val="bottom"/>
          </w:tcPr>
          <w:p w14:paraId="010A17DB" w14:textId="77777777" w:rsidR="002211B5" w:rsidRPr="00E95C3F" w:rsidRDefault="002211B5" w:rsidP="009D60E4">
            <w:pPr>
              <w:pStyle w:val="Heading2"/>
              <w:jc w:val="right"/>
              <w:rPr>
                <w:color w:val="000000" w:themeColor="text1"/>
                <w:u w:val="none"/>
              </w:rPr>
            </w:pPr>
            <w:r>
              <w:rPr>
                <w:color w:val="000000" w:themeColor="text1"/>
                <w:u w:val="none"/>
              </w:rPr>
              <w:t>$1,</w:t>
            </w:r>
            <w:r w:rsidR="009D60E4">
              <w:rPr>
                <w:color w:val="000000" w:themeColor="text1"/>
                <w:u w:val="none"/>
              </w:rPr>
              <w:t>8</w:t>
            </w:r>
            <w:r>
              <w:rPr>
                <w:color w:val="000000" w:themeColor="text1"/>
                <w:u w:val="none"/>
              </w:rPr>
              <w:t>00</w:t>
            </w:r>
          </w:p>
        </w:tc>
      </w:tr>
      <w:tr w:rsidR="002211B5" w:rsidRPr="00E95C3F" w14:paraId="3610DDF2" w14:textId="77777777" w:rsidTr="00654BAD">
        <w:tc>
          <w:tcPr>
            <w:tcW w:w="5598" w:type="dxa"/>
          </w:tcPr>
          <w:p w14:paraId="2AE8D7AD" w14:textId="77777777" w:rsidR="002211B5" w:rsidRPr="00E95C3F" w:rsidRDefault="002211B5" w:rsidP="009D60E4">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w:t>
            </w:r>
            <w:r w:rsidR="009D60E4">
              <w:rPr>
                <w:rFonts w:ascii="Times" w:hAnsi="Times" w:cs="Arial"/>
                <w:color w:val="000000" w:themeColor="text1"/>
              </w:rPr>
              <w:t>Functional Evaluation</w:t>
            </w:r>
          </w:p>
        </w:tc>
        <w:tc>
          <w:tcPr>
            <w:tcW w:w="1350" w:type="dxa"/>
            <w:vAlign w:val="bottom"/>
          </w:tcPr>
          <w:p w14:paraId="41A6C643" w14:textId="77777777" w:rsidR="002211B5" w:rsidRDefault="002211B5" w:rsidP="009D60E4">
            <w:pPr>
              <w:jc w:val="right"/>
              <w:rPr>
                <w:color w:val="000000"/>
                <w:sz w:val="22"/>
                <w:szCs w:val="22"/>
              </w:rPr>
            </w:pPr>
            <w:r>
              <w:rPr>
                <w:color w:val="000000"/>
                <w:sz w:val="22"/>
                <w:szCs w:val="22"/>
              </w:rPr>
              <w:t>$</w:t>
            </w:r>
            <w:r w:rsidR="009D60E4">
              <w:rPr>
                <w:color w:val="000000"/>
                <w:sz w:val="22"/>
                <w:szCs w:val="22"/>
              </w:rPr>
              <w:t>14</w:t>
            </w:r>
            <w:r>
              <w:rPr>
                <w:color w:val="000000"/>
                <w:sz w:val="22"/>
                <w:szCs w:val="22"/>
              </w:rPr>
              <w:t>,</w:t>
            </w:r>
            <w:r w:rsidR="009D60E4">
              <w:rPr>
                <w:color w:val="000000"/>
                <w:sz w:val="22"/>
                <w:szCs w:val="22"/>
              </w:rPr>
              <w:t>22</w:t>
            </w:r>
            <w:r>
              <w:rPr>
                <w:color w:val="000000"/>
                <w:sz w:val="22"/>
                <w:szCs w:val="22"/>
              </w:rPr>
              <w:t>0</w:t>
            </w:r>
          </w:p>
        </w:tc>
      </w:tr>
      <w:tr w:rsidR="002211B5" w:rsidRPr="00E95C3F" w14:paraId="726C7655" w14:textId="77777777" w:rsidTr="00654BAD">
        <w:tc>
          <w:tcPr>
            <w:tcW w:w="5598" w:type="dxa"/>
          </w:tcPr>
          <w:p w14:paraId="401F4C14" w14:textId="77777777" w:rsidR="002211B5" w:rsidRPr="00E95C3F" w:rsidRDefault="002211B5"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w:t>
            </w:r>
            <w:r>
              <w:rPr>
                <w:rFonts w:ascii="Times" w:hAnsi="Times" w:cs="Arial"/>
                <w:color w:val="000000" w:themeColor="text1"/>
              </w:rPr>
              <w:t>Field Drives</w:t>
            </w:r>
          </w:p>
        </w:tc>
        <w:tc>
          <w:tcPr>
            <w:tcW w:w="1350" w:type="dxa"/>
            <w:vAlign w:val="bottom"/>
          </w:tcPr>
          <w:p w14:paraId="0BB679D4" w14:textId="77777777" w:rsidR="002211B5" w:rsidRDefault="002211B5" w:rsidP="009D60E4">
            <w:pPr>
              <w:jc w:val="right"/>
              <w:rPr>
                <w:color w:val="000000"/>
                <w:sz w:val="22"/>
                <w:szCs w:val="22"/>
              </w:rPr>
            </w:pPr>
            <w:r>
              <w:rPr>
                <w:color w:val="000000"/>
                <w:sz w:val="22"/>
                <w:szCs w:val="22"/>
              </w:rPr>
              <w:t>$</w:t>
            </w:r>
            <w:r w:rsidR="009D60E4">
              <w:rPr>
                <w:color w:val="000000"/>
                <w:sz w:val="22"/>
                <w:szCs w:val="22"/>
              </w:rPr>
              <w:t>37</w:t>
            </w:r>
            <w:r>
              <w:rPr>
                <w:color w:val="000000"/>
                <w:sz w:val="22"/>
                <w:szCs w:val="22"/>
              </w:rPr>
              <w:t>,</w:t>
            </w:r>
            <w:r w:rsidR="009D60E4">
              <w:rPr>
                <w:color w:val="000000"/>
                <w:sz w:val="22"/>
                <w:szCs w:val="22"/>
              </w:rPr>
              <w:t>92</w:t>
            </w:r>
            <w:r>
              <w:rPr>
                <w:color w:val="000000"/>
                <w:sz w:val="22"/>
                <w:szCs w:val="22"/>
              </w:rPr>
              <w:t>0</w:t>
            </w:r>
          </w:p>
        </w:tc>
      </w:tr>
      <w:tr w:rsidR="002211B5" w:rsidRPr="00E95C3F" w14:paraId="73DCC6FC" w14:textId="77777777" w:rsidTr="00654BAD">
        <w:trPr>
          <w:trHeight w:val="287"/>
        </w:trPr>
        <w:tc>
          <w:tcPr>
            <w:tcW w:w="5598" w:type="dxa"/>
          </w:tcPr>
          <w:p w14:paraId="46047D2F" w14:textId="77777777" w:rsidR="002211B5" w:rsidRPr="00E95C3F" w:rsidRDefault="002211B5"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w:t>
            </w:r>
            <w:r>
              <w:rPr>
                <w:rFonts w:ascii="Times" w:hAnsi="Times" w:cs="Arial"/>
                <w:color w:val="000000" w:themeColor="text1"/>
              </w:rPr>
              <w:t>Payment/Dismissal</w:t>
            </w:r>
          </w:p>
        </w:tc>
        <w:tc>
          <w:tcPr>
            <w:tcW w:w="1350" w:type="dxa"/>
            <w:vAlign w:val="bottom"/>
          </w:tcPr>
          <w:p w14:paraId="354359E7" w14:textId="77777777" w:rsidR="002211B5" w:rsidRDefault="002211B5" w:rsidP="009D60E4">
            <w:pPr>
              <w:jc w:val="right"/>
              <w:rPr>
                <w:color w:val="000000"/>
                <w:sz w:val="22"/>
                <w:szCs w:val="22"/>
              </w:rPr>
            </w:pPr>
            <w:r>
              <w:rPr>
                <w:color w:val="000000"/>
                <w:sz w:val="22"/>
                <w:szCs w:val="22"/>
              </w:rPr>
              <w:t>$</w:t>
            </w:r>
            <w:r w:rsidR="009D60E4">
              <w:rPr>
                <w:color w:val="000000"/>
                <w:sz w:val="22"/>
                <w:szCs w:val="22"/>
              </w:rPr>
              <w:t>1,2</w:t>
            </w:r>
            <w:r>
              <w:rPr>
                <w:color w:val="000000"/>
                <w:sz w:val="22"/>
                <w:szCs w:val="22"/>
              </w:rPr>
              <w:t>00</w:t>
            </w:r>
          </w:p>
        </w:tc>
      </w:tr>
      <w:tr w:rsidR="002211B5" w:rsidRPr="00E95C3F" w14:paraId="77698BB8" w14:textId="77777777" w:rsidTr="00654BAD">
        <w:tc>
          <w:tcPr>
            <w:tcW w:w="5598" w:type="dxa"/>
          </w:tcPr>
          <w:p w14:paraId="77CAAA1A" w14:textId="77777777" w:rsidR="002211B5" w:rsidRPr="00E95C3F" w:rsidRDefault="002211B5" w:rsidP="00654BAD">
            <w:pPr>
              <w:widowControl w:val="0"/>
              <w:autoSpaceDE w:val="0"/>
              <w:autoSpaceDN w:val="0"/>
              <w:adjustRightInd w:val="0"/>
              <w:rPr>
                <w:rFonts w:ascii="Times" w:hAnsi="Times" w:cs="Arial"/>
                <w:color w:val="000000" w:themeColor="text1"/>
              </w:rPr>
            </w:pPr>
            <w:r w:rsidRPr="00E95C3F">
              <w:rPr>
                <w:rFonts w:ascii="Times" w:hAnsi="Times" w:cs="Arial"/>
                <w:b/>
                <w:color w:val="000000" w:themeColor="text1"/>
              </w:rPr>
              <w:t>TOTAL ESTIMATED COST TO GOVERNMENT</w:t>
            </w:r>
          </w:p>
        </w:tc>
        <w:tc>
          <w:tcPr>
            <w:tcW w:w="1350" w:type="dxa"/>
            <w:vAlign w:val="bottom"/>
          </w:tcPr>
          <w:p w14:paraId="34ECB1B0" w14:textId="77777777" w:rsidR="002211B5" w:rsidRPr="00E95C3F" w:rsidRDefault="00844EA4" w:rsidP="002C6D29">
            <w:pPr>
              <w:pStyle w:val="Heading2"/>
              <w:jc w:val="right"/>
              <w:rPr>
                <w:b/>
                <w:color w:val="000000" w:themeColor="text1"/>
                <w:u w:val="none"/>
              </w:rPr>
            </w:pPr>
            <w:r>
              <w:rPr>
                <w:b/>
                <w:color w:val="000000" w:themeColor="text1"/>
                <w:u w:val="none"/>
              </w:rPr>
              <w:t>$</w:t>
            </w:r>
            <w:r w:rsidR="002C6D29">
              <w:rPr>
                <w:b/>
                <w:color w:val="000000" w:themeColor="text1"/>
                <w:u w:val="none"/>
              </w:rPr>
              <w:t>55</w:t>
            </w:r>
            <w:r>
              <w:rPr>
                <w:b/>
                <w:color w:val="000000" w:themeColor="text1"/>
                <w:u w:val="none"/>
              </w:rPr>
              <w:t>,1</w:t>
            </w:r>
            <w:r w:rsidR="002C6D29">
              <w:rPr>
                <w:b/>
                <w:color w:val="000000" w:themeColor="text1"/>
                <w:u w:val="none"/>
              </w:rPr>
              <w:t>4</w:t>
            </w:r>
            <w:r>
              <w:rPr>
                <w:b/>
                <w:color w:val="000000" w:themeColor="text1"/>
                <w:u w:val="none"/>
              </w:rPr>
              <w:t>0</w:t>
            </w:r>
          </w:p>
        </w:tc>
      </w:tr>
    </w:tbl>
    <w:p w14:paraId="2722096E" w14:textId="77777777" w:rsidR="002211B5" w:rsidRDefault="002211B5" w:rsidP="002211B5">
      <w:pPr>
        <w:widowControl w:val="0"/>
        <w:tabs>
          <w:tab w:val="left" w:pos="720"/>
        </w:tabs>
        <w:autoSpaceDE w:val="0"/>
        <w:autoSpaceDN w:val="0"/>
        <w:adjustRightInd w:val="0"/>
        <w:ind w:left="720" w:hanging="720"/>
        <w:jc w:val="both"/>
        <w:rPr>
          <w:color w:val="000000" w:themeColor="text1"/>
        </w:rPr>
      </w:pPr>
    </w:p>
    <w:p w14:paraId="5FD096E7" w14:textId="77777777" w:rsidR="002211B5" w:rsidRPr="00E95C3F" w:rsidRDefault="002211B5"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Table </w:t>
      </w:r>
      <w:r>
        <w:rPr>
          <w:rFonts w:ascii="Times" w:hAnsi="Times" w:cs="Arial"/>
          <w:color w:val="000000" w:themeColor="text1"/>
        </w:rPr>
        <w:t>2</w:t>
      </w:r>
      <w:r w:rsidR="009D60E4">
        <w:rPr>
          <w:rFonts w:ascii="Times" w:hAnsi="Times" w:cs="Arial"/>
          <w:color w:val="000000" w:themeColor="text1"/>
        </w:rPr>
        <w:t>c</w:t>
      </w:r>
      <w:r>
        <w:rPr>
          <w:rFonts w:ascii="Times" w:hAnsi="Times" w:cs="Arial"/>
          <w:color w:val="000000" w:themeColor="text1"/>
        </w:rPr>
        <w:t>: Cost to the Government/Phase II</w:t>
      </w:r>
    </w:p>
    <w:tbl>
      <w:tblPr>
        <w:tblStyle w:val="TableGrid"/>
        <w:tblW w:w="6948" w:type="dxa"/>
        <w:tblLook w:val="04A0" w:firstRow="1" w:lastRow="0" w:firstColumn="1" w:lastColumn="0" w:noHBand="0" w:noVBand="1"/>
      </w:tblPr>
      <w:tblGrid>
        <w:gridCol w:w="5598"/>
        <w:gridCol w:w="1350"/>
      </w:tblGrid>
      <w:tr w:rsidR="002211B5" w:rsidRPr="00E95C3F" w14:paraId="35A71F10" w14:textId="77777777" w:rsidTr="00654BAD">
        <w:tc>
          <w:tcPr>
            <w:tcW w:w="5598" w:type="dxa"/>
          </w:tcPr>
          <w:p w14:paraId="603A02DE" w14:textId="77777777" w:rsidR="002211B5" w:rsidRPr="003F4E52" w:rsidRDefault="002211B5" w:rsidP="00654BAD">
            <w:pPr>
              <w:pStyle w:val="Heading2"/>
              <w:rPr>
                <w:b/>
                <w:color w:val="000000" w:themeColor="text1"/>
                <w:u w:val="none"/>
              </w:rPr>
            </w:pPr>
            <w:r w:rsidRPr="003F4E52">
              <w:rPr>
                <w:b/>
                <w:color w:val="000000" w:themeColor="text1"/>
                <w:u w:val="none"/>
              </w:rPr>
              <w:t>Contractor activity</w:t>
            </w:r>
          </w:p>
        </w:tc>
        <w:tc>
          <w:tcPr>
            <w:tcW w:w="1350" w:type="dxa"/>
            <w:vAlign w:val="bottom"/>
          </w:tcPr>
          <w:p w14:paraId="2C8CEE85" w14:textId="77777777" w:rsidR="002211B5" w:rsidRPr="003F4E52" w:rsidRDefault="002211B5" w:rsidP="00654BAD">
            <w:pPr>
              <w:pStyle w:val="Heading2"/>
              <w:jc w:val="right"/>
              <w:rPr>
                <w:b/>
                <w:color w:val="000000" w:themeColor="text1"/>
                <w:u w:val="none"/>
              </w:rPr>
            </w:pPr>
            <w:r w:rsidRPr="003F4E52">
              <w:rPr>
                <w:b/>
                <w:color w:val="000000" w:themeColor="text1"/>
                <w:u w:val="none"/>
              </w:rPr>
              <w:t>Cost</w:t>
            </w:r>
          </w:p>
        </w:tc>
      </w:tr>
      <w:tr w:rsidR="009B5803" w:rsidRPr="00E95C3F" w14:paraId="4D42AE3C" w14:textId="77777777" w:rsidTr="00654BAD">
        <w:tc>
          <w:tcPr>
            <w:tcW w:w="5598" w:type="dxa"/>
          </w:tcPr>
          <w:p w14:paraId="675F6BDF" w14:textId="77777777" w:rsidR="009B5803" w:rsidRPr="00E95C3F" w:rsidRDefault="009B5803" w:rsidP="002211B5">
            <w:pPr>
              <w:widowControl w:val="0"/>
              <w:autoSpaceDE w:val="0"/>
              <w:autoSpaceDN w:val="0"/>
              <w:adjustRightInd w:val="0"/>
              <w:rPr>
                <w:rFonts w:ascii="Times" w:hAnsi="Times" w:cs="Arial"/>
                <w:color w:val="000000" w:themeColor="text1"/>
              </w:rPr>
            </w:pPr>
            <w:r>
              <w:rPr>
                <w:rFonts w:ascii="Times" w:hAnsi="Times" w:cs="Arial"/>
                <w:color w:val="000000" w:themeColor="text1"/>
              </w:rPr>
              <w:t xml:space="preserve">       Consent</w:t>
            </w:r>
          </w:p>
        </w:tc>
        <w:tc>
          <w:tcPr>
            <w:tcW w:w="1350" w:type="dxa"/>
            <w:vAlign w:val="bottom"/>
          </w:tcPr>
          <w:p w14:paraId="52BA39A7" w14:textId="77777777" w:rsidR="009B5803" w:rsidRDefault="009B5803" w:rsidP="00844EA4">
            <w:pPr>
              <w:jc w:val="right"/>
              <w:rPr>
                <w:color w:val="000000"/>
                <w:sz w:val="22"/>
                <w:szCs w:val="22"/>
              </w:rPr>
            </w:pPr>
            <w:r>
              <w:rPr>
                <w:color w:val="000000"/>
                <w:sz w:val="22"/>
                <w:szCs w:val="22"/>
              </w:rPr>
              <w:t>$600</w:t>
            </w:r>
          </w:p>
        </w:tc>
      </w:tr>
      <w:tr w:rsidR="00844EA4" w:rsidRPr="00E95C3F" w14:paraId="6FCD1A0D" w14:textId="77777777" w:rsidTr="00654BAD">
        <w:tc>
          <w:tcPr>
            <w:tcW w:w="5598" w:type="dxa"/>
          </w:tcPr>
          <w:p w14:paraId="12230339" w14:textId="77777777" w:rsidR="00844EA4" w:rsidRPr="00E95C3F" w:rsidRDefault="00844EA4"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w:t>
            </w:r>
            <w:r>
              <w:rPr>
                <w:rFonts w:ascii="Times" w:hAnsi="Times" w:cs="Arial"/>
                <w:color w:val="000000" w:themeColor="text1"/>
              </w:rPr>
              <w:t>Training</w:t>
            </w:r>
          </w:p>
        </w:tc>
        <w:tc>
          <w:tcPr>
            <w:tcW w:w="1350" w:type="dxa"/>
            <w:vAlign w:val="bottom"/>
          </w:tcPr>
          <w:p w14:paraId="643F69DC" w14:textId="77777777" w:rsidR="00844EA4" w:rsidRDefault="00844EA4" w:rsidP="00844EA4">
            <w:pPr>
              <w:jc w:val="right"/>
              <w:rPr>
                <w:color w:val="000000"/>
                <w:sz w:val="22"/>
                <w:szCs w:val="22"/>
              </w:rPr>
            </w:pPr>
            <w:r>
              <w:rPr>
                <w:color w:val="000000"/>
                <w:sz w:val="22"/>
                <w:szCs w:val="22"/>
              </w:rPr>
              <w:t>$6,400</w:t>
            </w:r>
          </w:p>
        </w:tc>
      </w:tr>
      <w:tr w:rsidR="00844EA4" w:rsidRPr="00E95C3F" w14:paraId="3E19D4C8" w14:textId="77777777" w:rsidTr="002211B5">
        <w:trPr>
          <w:trHeight w:val="60"/>
        </w:trPr>
        <w:tc>
          <w:tcPr>
            <w:tcW w:w="5598" w:type="dxa"/>
          </w:tcPr>
          <w:p w14:paraId="2A6D4B9A" w14:textId="77777777" w:rsidR="00844EA4" w:rsidRPr="00E95C3F" w:rsidRDefault="00844EA4" w:rsidP="00654BAD">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w:t>
            </w:r>
            <w:r>
              <w:rPr>
                <w:rFonts w:ascii="Times" w:hAnsi="Times" w:cs="Arial"/>
                <w:color w:val="000000" w:themeColor="text1"/>
              </w:rPr>
              <w:t>Field Drives</w:t>
            </w:r>
          </w:p>
        </w:tc>
        <w:tc>
          <w:tcPr>
            <w:tcW w:w="1350" w:type="dxa"/>
            <w:vAlign w:val="bottom"/>
          </w:tcPr>
          <w:p w14:paraId="3DFA158F" w14:textId="77777777" w:rsidR="00844EA4" w:rsidRDefault="00844EA4" w:rsidP="00844EA4">
            <w:pPr>
              <w:jc w:val="right"/>
              <w:rPr>
                <w:color w:val="000000"/>
                <w:sz w:val="22"/>
                <w:szCs w:val="22"/>
              </w:rPr>
            </w:pPr>
            <w:r>
              <w:rPr>
                <w:color w:val="000000"/>
                <w:sz w:val="22"/>
                <w:szCs w:val="22"/>
              </w:rPr>
              <w:t>$12,640</w:t>
            </w:r>
          </w:p>
        </w:tc>
      </w:tr>
      <w:tr w:rsidR="002211B5" w:rsidRPr="00E95C3F" w14:paraId="3072F169" w14:textId="77777777" w:rsidTr="00654BAD">
        <w:trPr>
          <w:trHeight w:val="287"/>
        </w:trPr>
        <w:tc>
          <w:tcPr>
            <w:tcW w:w="5598" w:type="dxa"/>
          </w:tcPr>
          <w:p w14:paraId="0004E197" w14:textId="77777777" w:rsidR="002211B5" w:rsidRPr="00E95C3F" w:rsidRDefault="002211B5" w:rsidP="00654BAD">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      </w:t>
            </w:r>
            <w:r>
              <w:rPr>
                <w:rFonts w:ascii="Times" w:hAnsi="Times" w:cs="Arial"/>
                <w:color w:val="000000" w:themeColor="text1"/>
              </w:rPr>
              <w:t>Payment/Dismissal</w:t>
            </w:r>
          </w:p>
        </w:tc>
        <w:tc>
          <w:tcPr>
            <w:tcW w:w="1350" w:type="dxa"/>
            <w:vAlign w:val="bottom"/>
          </w:tcPr>
          <w:p w14:paraId="564F04AB" w14:textId="77777777" w:rsidR="002211B5" w:rsidRPr="00844EA4" w:rsidRDefault="00844EA4" w:rsidP="009B5803">
            <w:pPr>
              <w:pStyle w:val="Heading2"/>
              <w:jc w:val="right"/>
              <w:rPr>
                <w:color w:val="000000" w:themeColor="text1"/>
                <w:u w:val="none"/>
              </w:rPr>
            </w:pPr>
            <w:r w:rsidRPr="00844EA4">
              <w:rPr>
                <w:color w:val="000000" w:themeColor="text1"/>
                <w:u w:val="none"/>
              </w:rPr>
              <w:t>$</w:t>
            </w:r>
            <w:r w:rsidR="009B5803">
              <w:rPr>
                <w:color w:val="000000" w:themeColor="text1"/>
                <w:u w:val="none"/>
              </w:rPr>
              <w:t>4</w:t>
            </w:r>
            <w:r w:rsidRPr="00844EA4">
              <w:rPr>
                <w:color w:val="000000" w:themeColor="text1"/>
                <w:u w:val="none"/>
              </w:rPr>
              <w:t>00</w:t>
            </w:r>
          </w:p>
        </w:tc>
      </w:tr>
      <w:tr w:rsidR="002211B5" w:rsidRPr="00E95C3F" w14:paraId="04AF0082" w14:textId="77777777" w:rsidTr="00654BAD">
        <w:tc>
          <w:tcPr>
            <w:tcW w:w="5598" w:type="dxa"/>
          </w:tcPr>
          <w:p w14:paraId="44A40FF4" w14:textId="77777777" w:rsidR="002211B5" w:rsidRPr="00E95C3F" w:rsidRDefault="002211B5" w:rsidP="00654BAD">
            <w:pPr>
              <w:widowControl w:val="0"/>
              <w:autoSpaceDE w:val="0"/>
              <w:autoSpaceDN w:val="0"/>
              <w:adjustRightInd w:val="0"/>
              <w:rPr>
                <w:rFonts w:ascii="Times" w:hAnsi="Times" w:cs="Arial"/>
                <w:color w:val="000000" w:themeColor="text1"/>
              </w:rPr>
            </w:pPr>
            <w:r w:rsidRPr="00E95C3F">
              <w:rPr>
                <w:rFonts w:ascii="Times" w:hAnsi="Times" w:cs="Arial"/>
                <w:b/>
                <w:color w:val="000000" w:themeColor="text1"/>
              </w:rPr>
              <w:t>TOTAL ESTIMATED COST TO GOVERNMENT</w:t>
            </w:r>
          </w:p>
        </w:tc>
        <w:tc>
          <w:tcPr>
            <w:tcW w:w="1350" w:type="dxa"/>
            <w:vAlign w:val="bottom"/>
          </w:tcPr>
          <w:p w14:paraId="6504D011" w14:textId="77777777" w:rsidR="002211B5" w:rsidRPr="00E95C3F" w:rsidRDefault="004D4F92" w:rsidP="002C6D29">
            <w:pPr>
              <w:pStyle w:val="Heading2"/>
              <w:jc w:val="right"/>
              <w:rPr>
                <w:b/>
                <w:color w:val="000000" w:themeColor="text1"/>
                <w:u w:val="none"/>
              </w:rPr>
            </w:pPr>
            <w:r>
              <w:rPr>
                <w:b/>
                <w:color w:val="000000" w:themeColor="text1"/>
                <w:u w:val="none"/>
              </w:rPr>
              <w:t>$20,</w:t>
            </w:r>
            <w:r w:rsidR="002C6D29">
              <w:rPr>
                <w:b/>
                <w:color w:val="000000" w:themeColor="text1"/>
                <w:u w:val="none"/>
              </w:rPr>
              <w:t>0</w:t>
            </w:r>
            <w:r>
              <w:rPr>
                <w:b/>
                <w:color w:val="000000" w:themeColor="text1"/>
                <w:u w:val="none"/>
              </w:rPr>
              <w:t>40</w:t>
            </w:r>
          </w:p>
        </w:tc>
      </w:tr>
    </w:tbl>
    <w:p w14:paraId="48B33705" w14:textId="77777777" w:rsidR="002211B5" w:rsidRDefault="002211B5" w:rsidP="002211B5">
      <w:pPr>
        <w:widowControl w:val="0"/>
        <w:tabs>
          <w:tab w:val="left" w:pos="720"/>
        </w:tabs>
        <w:autoSpaceDE w:val="0"/>
        <w:autoSpaceDN w:val="0"/>
        <w:adjustRightInd w:val="0"/>
        <w:ind w:left="720" w:hanging="720"/>
        <w:jc w:val="both"/>
        <w:rPr>
          <w:color w:val="000000" w:themeColor="text1"/>
        </w:rPr>
      </w:pPr>
    </w:p>
    <w:p w14:paraId="1E5292B6" w14:textId="77777777" w:rsidR="0050780A" w:rsidRPr="00E51362" w:rsidRDefault="002C6D29" w:rsidP="008A6E67">
      <w:pPr>
        <w:rPr>
          <w:rFonts w:ascii="Times" w:hAnsi="Times" w:cs="Arial"/>
        </w:rPr>
      </w:pPr>
      <w:r>
        <w:rPr>
          <w:rFonts w:ascii="Times" w:hAnsi="Times" w:cs="Arial"/>
        </w:rPr>
        <w:t xml:space="preserve">Screening cost to Government ($3,200) + </w:t>
      </w:r>
      <w:r w:rsidR="00E51362" w:rsidRPr="00E51362">
        <w:rPr>
          <w:rFonts w:ascii="Times" w:hAnsi="Times" w:cs="Arial"/>
        </w:rPr>
        <w:t>Phase 1 cost to Government (</w:t>
      </w:r>
      <w:r w:rsidR="00E51362" w:rsidRPr="00E51362">
        <w:rPr>
          <w:color w:val="000000" w:themeColor="text1"/>
        </w:rPr>
        <w:t>$</w:t>
      </w:r>
      <w:r>
        <w:rPr>
          <w:color w:val="000000" w:themeColor="text1"/>
        </w:rPr>
        <w:t>55</w:t>
      </w:r>
      <w:r w:rsidR="00E51362" w:rsidRPr="00E51362">
        <w:rPr>
          <w:color w:val="000000" w:themeColor="text1"/>
        </w:rPr>
        <w:t>,1</w:t>
      </w:r>
      <w:r>
        <w:rPr>
          <w:color w:val="000000" w:themeColor="text1"/>
        </w:rPr>
        <w:t>4</w:t>
      </w:r>
      <w:r w:rsidR="00E51362" w:rsidRPr="00E51362">
        <w:rPr>
          <w:color w:val="000000" w:themeColor="text1"/>
        </w:rPr>
        <w:t xml:space="preserve">0) </w:t>
      </w:r>
      <w:r w:rsidR="00E51362">
        <w:rPr>
          <w:color w:val="000000" w:themeColor="text1"/>
        </w:rPr>
        <w:t>+</w:t>
      </w:r>
      <w:r w:rsidR="00E51362" w:rsidRPr="00E51362">
        <w:rPr>
          <w:color w:val="000000" w:themeColor="text1"/>
        </w:rPr>
        <w:t xml:space="preserve"> Phase 2 cost to Government ($20,</w:t>
      </w:r>
      <w:r>
        <w:rPr>
          <w:color w:val="000000" w:themeColor="text1"/>
        </w:rPr>
        <w:t>0</w:t>
      </w:r>
      <w:r w:rsidR="00E51362" w:rsidRPr="00E51362">
        <w:rPr>
          <w:color w:val="000000" w:themeColor="text1"/>
        </w:rPr>
        <w:t>40)</w:t>
      </w:r>
      <w:r w:rsidR="00E51362">
        <w:rPr>
          <w:color w:val="000000" w:themeColor="text1"/>
        </w:rPr>
        <w:t xml:space="preserve"> results in a total cost to Government of </w:t>
      </w:r>
      <w:r w:rsidR="00E51362" w:rsidRPr="002C6D29">
        <w:rPr>
          <w:b/>
          <w:color w:val="000000" w:themeColor="text1"/>
        </w:rPr>
        <w:t>$</w:t>
      </w:r>
      <w:r w:rsidRPr="002C6D29">
        <w:rPr>
          <w:b/>
          <w:color w:val="000000" w:themeColor="text1"/>
        </w:rPr>
        <w:t>78,380</w:t>
      </w:r>
      <w:r>
        <w:rPr>
          <w:color w:val="000000" w:themeColor="text1"/>
        </w:rPr>
        <w:t>.</w:t>
      </w:r>
    </w:p>
    <w:p w14:paraId="60D30610" w14:textId="77777777" w:rsidR="00B92F73" w:rsidRPr="00E51362" w:rsidRDefault="00B92F73" w:rsidP="00B92F73">
      <w:pPr>
        <w:widowControl w:val="0"/>
        <w:tabs>
          <w:tab w:val="left" w:pos="720"/>
        </w:tabs>
        <w:autoSpaceDE w:val="0"/>
        <w:autoSpaceDN w:val="0"/>
        <w:adjustRightInd w:val="0"/>
        <w:ind w:left="720" w:hanging="720"/>
        <w:jc w:val="both"/>
        <w:rPr>
          <w:rFonts w:ascii="Times" w:hAnsi="Times" w:cs="Arial"/>
          <w:bCs/>
        </w:rPr>
      </w:pPr>
    </w:p>
    <w:p w14:paraId="1A9C8BA0" w14:textId="77777777" w:rsidR="00CE2EA9" w:rsidRPr="005A69F3" w:rsidRDefault="00CE2EA9" w:rsidP="00B92F73">
      <w:pPr>
        <w:widowControl w:val="0"/>
        <w:tabs>
          <w:tab w:val="left" w:pos="720"/>
        </w:tabs>
        <w:autoSpaceDE w:val="0"/>
        <w:autoSpaceDN w:val="0"/>
        <w:adjustRightInd w:val="0"/>
        <w:ind w:left="720" w:hanging="720"/>
        <w:jc w:val="both"/>
        <w:rPr>
          <w:rFonts w:ascii="Times" w:hAnsi="Times" w:cs="Arial"/>
          <w:b/>
          <w:bCs/>
        </w:rPr>
      </w:pPr>
    </w:p>
    <w:p w14:paraId="02A53D9D" w14:textId="77777777" w:rsidR="00C800ED" w:rsidRPr="00672019" w:rsidRDefault="00C800ED" w:rsidP="00C800ED">
      <w:pPr>
        <w:pStyle w:val="Heading2"/>
        <w:ind w:left="720" w:hanging="720"/>
        <w:rPr>
          <w:b/>
          <w:u w:val="none"/>
        </w:rPr>
      </w:pPr>
      <w:bookmarkStart w:id="70" w:name="_Toc125278827"/>
      <w:bookmarkStart w:id="71" w:name="_Toc125341750"/>
      <w:bookmarkStart w:id="72" w:name="_Toc125447308"/>
      <w:bookmarkStart w:id="73" w:name="_Toc126394136"/>
      <w:r w:rsidRPr="00672019">
        <w:rPr>
          <w:b/>
          <w:u w:val="none"/>
        </w:rPr>
        <w:lastRenderedPageBreak/>
        <w:t>15.</w:t>
      </w:r>
      <w:r w:rsidRPr="00672019">
        <w:rPr>
          <w:b/>
          <w:u w:val="none"/>
        </w:rPr>
        <w:tab/>
        <w:t>Explain the reasons for any program changes or adjustments in Items 13 or 14 of the OMB 83-I.</w:t>
      </w:r>
      <w:bookmarkEnd w:id="70"/>
      <w:bookmarkEnd w:id="71"/>
      <w:bookmarkEnd w:id="72"/>
      <w:bookmarkEnd w:id="73"/>
    </w:p>
    <w:p w14:paraId="18396443" w14:textId="77777777" w:rsidR="00C800ED" w:rsidRPr="00672019" w:rsidRDefault="00C800ED" w:rsidP="00C800ED">
      <w:pPr>
        <w:ind w:left="720" w:hanging="720"/>
      </w:pPr>
    </w:p>
    <w:p w14:paraId="6CC828F8" w14:textId="77777777" w:rsidR="003707E1" w:rsidRPr="00822B6C"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sidRPr="004D6A75">
        <w:rPr>
          <w:color w:val="4F81BD" w:themeColor="accent1"/>
          <w:sz w:val="22"/>
        </w:rPr>
        <w:tab/>
      </w:r>
      <w:r w:rsidR="00B92F73" w:rsidRPr="00822B6C">
        <w:rPr>
          <w:sz w:val="22"/>
        </w:rPr>
        <w:t xml:space="preserve">This is a new information collection.  As such, it requires a program change to add the estimated </w:t>
      </w:r>
      <w:r w:rsidR="00DD610C">
        <w:rPr>
          <w:sz w:val="22"/>
        </w:rPr>
        <w:t>26</w:t>
      </w:r>
      <w:r w:rsidR="00AF3A4A">
        <w:rPr>
          <w:sz w:val="22"/>
        </w:rPr>
        <w:t>.</w:t>
      </w:r>
      <w:r w:rsidR="00DD610C">
        <w:rPr>
          <w:sz w:val="22"/>
        </w:rPr>
        <w:t>67</w:t>
      </w:r>
      <w:r w:rsidR="00B92F73" w:rsidRPr="00822B6C">
        <w:rPr>
          <w:sz w:val="22"/>
        </w:rPr>
        <w:t xml:space="preserve"> hours for the new information collection to existing burden.</w:t>
      </w:r>
    </w:p>
    <w:p w14:paraId="55D89FA3" w14:textId="77777777"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14:paraId="72711FA1" w14:textId="77777777" w:rsidR="00C800ED" w:rsidRPr="007572FB" w:rsidRDefault="00C800ED" w:rsidP="00C800ED">
      <w:pPr>
        <w:pStyle w:val="Heading2"/>
        <w:ind w:left="720" w:hanging="720"/>
        <w:rPr>
          <w:b/>
          <w:u w:val="none"/>
        </w:rPr>
      </w:pPr>
      <w:bookmarkStart w:id="74" w:name="_Toc125278828"/>
      <w:bookmarkStart w:id="75" w:name="_Toc125341751"/>
      <w:bookmarkStart w:id="76" w:name="_Toc125447309"/>
      <w:bookmarkStart w:id="77" w:name="_Toc126394137"/>
      <w:r w:rsidRPr="007572FB">
        <w:rPr>
          <w:b/>
          <w:u w:val="none"/>
        </w:rPr>
        <w:t>A.16.</w:t>
      </w:r>
      <w:r w:rsidRPr="007572FB">
        <w:rPr>
          <w:b/>
          <w:u w:val="none"/>
        </w:rPr>
        <w:tab/>
        <w:t>For collection of information whose results will be published, outline plans for tabulation and publication.</w:t>
      </w:r>
      <w:bookmarkEnd w:id="74"/>
      <w:bookmarkEnd w:id="75"/>
      <w:bookmarkEnd w:id="76"/>
      <w:bookmarkEnd w:id="77"/>
      <w:r w:rsidRPr="007572FB">
        <w:rPr>
          <w:b/>
          <w:u w:val="none"/>
        </w:rPr>
        <w:t xml:space="preserve"> </w:t>
      </w:r>
    </w:p>
    <w:p w14:paraId="78D76782" w14:textId="77777777" w:rsidR="00C800ED" w:rsidRPr="00672019" w:rsidRDefault="00C800ED" w:rsidP="00C800ED">
      <w:pPr>
        <w:ind w:left="720" w:hanging="720"/>
      </w:pPr>
    </w:p>
    <w:p w14:paraId="7AAAE886" w14:textId="4579CE01" w:rsidR="002755A3" w:rsidRPr="00822B6C" w:rsidRDefault="002755A3" w:rsidP="002755A3">
      <w:pPr>
        <w:autoSpaceDE w:val="0"/>
        <w:autoSpaceDN w:val="0"/>
        <w:adjustRightInd w:val="0"/>
        <w:ind w:firstLine="720"/>
      </w:pPr>
      <w:r>
        <w:t>Personal</w:t>
      </w:r>
      <w:r w:rsidRPr="00822B6C">
        <w:t xml:space="preserve"> information will not be published.</w:t>
      </w:r>
      <w:r>
        <w:t xml:space="preserve"> </w:t>
      </w:r>
      <w:r w:rsidR="0068627D">
        <w:t xml:space="preserve">An </w:t>
      </w:r>
      <w:r>
        <w:t>exact publication date has not been established but would occur no sooner than Quarter 4 of Fiscal Year 2018.</w:t>
      </w:r>
    </w:p>
    <w:p w14:paraId="09A75817" w14:textId="77777777" w:rsidR="00AF3A4A" w:rsidRPr="0050780A" w:rsidRDefault="00AF3A4A" w:rsidP="0050780A">
      <w:pPr>
        <w:widowControl w:val="0"/>
        <w:autoSpaceDE w:val="0"/>
        <w:autoSpaceDN w:val="0"/>
        <w:adjustRightInd w:val="0"/>
        <w:ind w:firstLine="720"/>
        <w:jc w:val="both"/>
        <w:rPr>
          <w:rFonts w:ascii="Times" w:hAnsi="Times" w:cs="Arial"/>
        </w:rPr>
      </w:pPr>
    </w:p>
    <w:p w14:paraId="73EB241F" w14:textId="77777777" w:rsidR="00C800ED" w:rsidRPr="00672019" w:rsidRDefault="00C800ED" w:rsidP="00C800ED">
      <w:pPr>
        <w:pStyle w:val="Heading2"/>
        <w:ind w:left="720" w:hanging="720"/>
        <w:rPr>
          <w:b/>
          <w:u w:val="none"/>
        </w:rPr>
      </w:pPr>
      <w:bookmarkStart w:id="78" w:name="_Toc125278829"/>
      <w:bookmarkStart w:id="79" w:name="_Toc125341752"/>
      <w:bookmarkStart w:id="80" w:name="_Toc125447310"/>
      <w:bookmarkStart w:id="81" w:name="_Toc126394138"/>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8"/>
      <w:bookmarkEnd w:id="79"/>
      <w:bookmarkEnd w:id="80"/>
      <w:bookmarkEnd w:id="81"/>
    </w:p>
    <w:p w14:paraId="1ED5BB31" w14:textId="77777777" w:rsidR="00C800ED" w:rsidRPr="00672019" w:rsidRDefault="00C800ED" w:rsidP="00C800ED">
      <w:pPr>
        <w:ind w:left="720" w:hanging="720"/>
      </w:pPr>
    </w:p>
    <w:p w14:paraId="087AF915" w14:textId="77777777" w:rsidR="00C800ED" w:rsidRPr="00822B6C" w:rsidRDefault="00C800ED" w:rsidP="007E1DAA">
      <w:pPr>
        <w:ind w:firstLine="720"/>
      </w:pPr>
      <w:r w:rsidRPr="00822B6C">
        <w:t>NHTSA will display the expiration date for OMB approval.</w:t>
      </w:r>
    </w:p>
    <w:p w14:paraId="70B24988" w14:textId="77777777" w:rsidR="00C800ED" w:rsidRPr="00672019" w:rsidRDefault="00C800ED" w:rsidP="00C800ED">
      <w:pPr>
        <w:ind w:left="720" w:hanging="720"/>
      </w:pPr>
    </w:p>
    <w:p w14:paraId="02BBDB60" w14:textId="77777777" w:rsidR="00C800ED" w:rsidRPr="00672019" w:rsidRDefault="00C800ED" w:rsidP="00C800ED">
      <w:pPr>
        <w:pStyle w:val="Heading2"/>
        <w:ind w:left="720" w:hanging="720"/>
        <w:rPr>
          <w:b/>
          <w:u w:val="none"/>
        </w:rPr>
      </w:pPr>
      <w:bookmarkStart w:id="82" w:name="_Toc125278830"/>
      <w:bookmarkStart w:id="83" w:name="_Toc125341753"/>
      <w:bookmarkStart w:id="84" w:name="_Toc125447311"/>
      <w:bookmarkStart w:id="85"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82"/>
      <w:bookmarkEnd w:id="83"/>
      <w:bookmarkEnd w:id="84"/>
      <w:bookmarkEnd w:id="85"/>
    </w:p>
    <w:p w14:paraId="7BDB93D0" w14:textId="77777777" w:rsidR="00C800ED" w:rsidRPr="00672019" w:rsidRDefault="00C800ED" w:rsidP="00C800ED">
      <w:pPr>
        <w:ind w:left="720" w:hanging="720"/>
      </w:pPr>
    </w:p>
    <w:p w14:paraId="31C29DA2" w14:textId="77777777" w:rsidR="00F321F5" w:rsidRDefault="00C800ED">
      <w:r w:rsidRPr="00822B6C">
        <w:t>No exceptions to the certification are made.</w:t>
      </w:r>
    </w:p>
    <w:sectPr w:rsidR="00F321F5" w:rsidSect="00C800ED">
      <w:footerReference w:type="even" r:id="rId10"/>
      <w:footerReference w:type="default" r:id="rId1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057C3" w14:textId="77777777" w:rsidR="00742624" w:rsidRDefault="00742624">
      <w:r>
        <w:separator/>
      </w:r>
    </w:p>
  </w:endnote>
  <w:endnote w:type="continuationSeparator" w:id="0">
    <w:p w14:paraId="30D460BB" w14:textId="77777777" w:rsidR="00742624" w:rsidRDefault="0074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7484" w14:textId="77777777" w:rsidR="00EC0F5E" w:rsidRDefault="002B4D90" w:rsidP="00EC0F5E">
    <w:pPr>
      <w:pStyle w:val="Footer"/>
      <w:framePr w:wrap="around" w:vAnchor="text" w:hAnchor="margin" w:xAlign="center" w:y="1"/>
      <w:rPr>
        <w:rStyle w:val="PageNumber"/>
      </w:rPr>
    </w:pPr>
    <w:r>
      <w:rPr>
        <w:rStyle w:val="PageNumber"/>
      </w:rPr>
      <w:fldChar w:fldCharType="begin"/>
    </w:r>
    <w:r w:rsidR="00EC0F5E">
      <w:rPr>
        <w:rStyle w:val="PageNumber"/>
      </w:rPr>
      <w:instrText xml:space="preserve">PAGE  </w:instrText>
    </w:r>
    <w:r>
      <w:rPr>
        <w:rStyle w:val="PageNumber"/>
      </w:rPr>
      <w:fldChar w:fldCharType="end"/>
    </w:r>
  </w:p>
  <w:p w14:paraId="1B1CC100" w14:textId="77777777" w:rsidR="00EC0F5E" w:rsidRDefault="00EC0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D3F42" w14:textId="77777777" w:rsidR="00EC0F5E" w:rsidRDefault="002B4D90" w:rsidP="00EC0F5E">
    <w:pPr>
      <w:pStyle w:val="Footer"/>
      <w:framePr w:wrap="around" w:vAnchor="text" w:hAnchor="margin" w:xAlign="center" w:y="1"/>
      <w:rPr>
        <w:rStyle w:val="PageNumber"/>
      </w:rPr>
    </w:pPr>
    <w:r>
      <w:rPr>
        <w:rStyle w:val="PageNumber"/>
      </w:rPr>
      <w:fldChar w:fldCharType="begin"/>
    </w:r>
    <w:r w:rsidR="00EC0F5E">
      <w:rPr>
        <w:rStyle w:val="PageNumber"/>
      </w:rPr>
      <w:instrText xml:space="preserve">PAGE  </w:instrText>
    </w:r>
    <w:r>
      <w:rPr>
        <w:rStyle w:val="PageNumber"/>
      </w:rPr>
      <w:fldChar w:fldCharType="separate"/>
    </w:r>
    <w:r w:rsidR="006E3C2A">
      <w:rPr>
        <w:rStyle w:val="PageNumber"/>
        <w:noProof/>
      </w:rPr>
      <w:t>11</w:t>
    </w:r>
    <w:r>
      <w:rPr>
        <w:rStyle w:val="PageNumber"/>
      </w:rPr>
      <w:fldChar w:fldCharType="end"/>
    </w:r>
  </w:p>
  <w:p w14:paraId="0F80A397" w14:textId="77777777" w:rsidR="00EC0F5E" w:rsidRDefault="00EC0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0954C" w14:textId="77777777" w:rsidR="00742624" w:rsidRDefault="00742624">
      <w:r>
        <w:separator/>
      </w:r>
    </w:p>
  </w:footnote>
  <w:footnote w:type="continuationSeparator" w:id="0">
    <w:p w14:paraId="5C57C3AC" w14:textId="77777777" w:rsidR="00742624" w:rsidRDefault="00742624">
      <w:r>
        <w:continuationSeparator/>
      </w:r>
    </w:p>
  </w:footnote>
  <w:footnote w:id="1">
    <w:p w14:paraId="739E3F2F" w14:textId="77777777" w:rsidR="00626D90" w:rsidRDefault="00626D90" w:rsidP="00626D90">
      <w:pPr>
        <w:pStyle w:val="FootnoteText"/>
      </w:pPr>
      <w:r>
        <w:rPr>
          <w:rStyle w:val="FootnoteReference"/>
        </w:rPr>
        <w:footnoteRef/>
      </w:r>
      <w:r>
        <w:t xml:space="preserve">   </w:t>
      </w:r>
      <w:r w:rsidRPr="005C2403">
        <w:t>http://www.fhwa.dot.gov/policyinformation/statistics/2008/dl22.cfm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A85665"/>
    <w:multiLevelType w:val="hybridMultilevel"/>
    <w:tmpl w:val="6A26B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4846E5"/>
    <w:multiLevelType w:val="hybridMultilevel"/>
    <w:tmpl w:val="1FB27A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78129F"/>
    <w:multiLevelType w:val="hybridMultilevel"/>
    <w:tmpl w:val="A42CB00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25133F"/>
    <w:multiLevelType w:val="hybridMultilevel"/>
    <w:tmpl w:val="019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50686"/>
    <w:multiLevelType w:val="hybridMultilevel"/>
    <w:tmpl w:val="D0BAE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491E4A89"/>
    <w:multiLevelType w:val="hybridMultilevel"/>
    <w:tmpl w:val="59384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EE392D"/>
    <w:multiLevelType w:val="hybridMultilevel"/>
    <w:tmpl w:val="658C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DC1881"/>
    <w:multiLevelType w:val="hybridMultilevel"/>
    <w:tmpl w:val="9E8E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A5B70"/>
    <w:multiLevelType w:val="hybridMultilevel"/>
    <w:tmpl w:val="D0BAE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857283"/>
    <w:multiLevelType w:val="hybridMultilevel"/>
    <w:tmpl w:val="B0E0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6"/>
  </w:num>
  <w:num w:numId="4">
    <w:abstractNumId w:val="27"/>
  </w:num>
  <w:num w:numId="5">
    <w:abstractNumId w:val="12"/>
  </w:num>
  <w:num w:numId="6">
    <w:abstractNumId w:val="7"/>
  </w:num>
  <w:num w:numId="7">
    <w:abstractNumId w:val="4"/>
  </w:num>
  <w:num w:numId="8">
    <w:abstractNumId w:val="20"/>
  </w:num>
  <w:num w:numId="9">
    <w:abstractNumId w:val="13"/>
  </w:num>
  <w:num w:numId="10">
    <w:abstractNumId w:val="11"/>
  </w:num>
  <w:num w:numId="11">
    <w:abstractNumId w:val="10"/>
  </w:num>
  <w:num w:numId="12">
    <w:abstractNumId w:val="23"/>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8"/>
  </w:num>
  <w:num w:numId="16">
    <w:abstractNumId w:val="24"/>
  </w:num>
  <w:num w:numId="17">
    <w:abstractNumId w:val="0"/>
  </w:num>
  <w:num w:numId="18">
    <w:abstractNumId w:val="16"/>
  </w:num>
  <w:num w:numId="19">
    <w:abstractNumId w:val="15"/>
  </w:num>
  <w:num w:numId="20">
    <w:abstractNumId w:val="18"/>
  </w:num>
  <w:num w:numId="21">
    <w:abstractNumId w:val="25"/>
  </w:num>
  <w:num w:numId="22">
    <w:abstractNumId w:val="3"/>
  </w:num>
  <w:num w:numId="23">
    <w:abstractNumId w:val="9"/>
  </w:num>
  <w:num w:numId="24">
    <w:abstractNumId w:val="17"/>
  </w:num>
  <w:num w:numId="25">
    <w:abstractNumId w:val="21"/>
  </w:num>
  <w:num w:numId="26">
    <w:abstractNumId w:val="26"/>
  </w:num>
  <w:num w:numId="27">
    <w:abstractNumId w:val="5"/>
  </w:num>
  <w:num w:numId="28">
    <w:abstractNumId w:val="8"/>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9C6"/>
    <w:rsid w:val="0000277E"/>
    <w:rsid w:val="000058C2"/>
    <w:rsid w:val="00005E5B"/>
    <w:rsid w:val="000064B7"/>
    <w:rsid w:val="000067A7"/>
    <w:rsid w:val="00006860"/>
    <w:rsid w:val="00007F10"/>
    <w:rsid w:val="00011D15"/>
    <w:rsid w:val="00020BE5"/>
    <w:rsid w:val="0002438C"/>
    <w:rsid w:val="00025DF5"/>
    <w:rsid w:val="00025F1A"/>
    <w:rsid w:val="00026764"/>
    <w:rsid w:val="000327D2"/>
    <w:rsid w:val="00032FBC"/>
    <w:rsid w:val="00034010"/>
    <w:rsid w:val="0003484A"/>
    <w:rsid w:val="00040DC0"/>
    <w:rsid w:val="00041D85"/>
    <w:rsid w:val="00042808"/>
    <w:rsid w:val="00045EDB"/>
    <w:rsid w:val="00047029"/>
    <w:rsid w:val="0005097E"/>
    <w:rsid w:val="000509FA"/>
    <w:rsid w:val="00060174"/>
    <w:rsid w:val="00060E35"/>
    <w:rsid w:val="00063B1D"/>
    <w:rsid w:val="000665A4"/>
    <w:rsid w:val="00066EA1"/>
    <w:rsid w:val="000671E1"/>
    <w:rsid w:val="00071A51"/>
    <w:rsid w:val="00073A9B"/>
    <w:rsid w:val="00074D91"/>
    <w:rsid w:val="00077EA6"/>
    <w:rsid w:val="00082DE5"/>
    <w:rsid w:val="0008408B"/>
    <w:rsid w:val="0008481A"/>
    <w:rsid w:val="000958EC"/>
    <w:rsid w:val="000A082D"/>
    <w:rsid w:val="000A26A9"/>
    <w:rsid w:val="000B3E51"/>
    <w:rsid w:val="000C019C"/>
    <w:rsid w:val="000C1E0F"/>
    <w:rsid w:val="000C3196"/>
    <w:rsid w:val="000C3A05"/>
    <w:rsid w:val="000C3A5D"/>
    <w:rsid w:val="000C3F24"/>
    <w:rsid w:val="000C43F0"/>
    <w:rsid w:val="000D1D93"/>
    <w:rsid w:val="000E0A0F"/>
    <w:rsid w:val="000E1229"/>
    <w:rsid w:val="000E682C"/>
    <w:rsid w:val="000E6F8B"/>
    <w:rsid w:val="000F0B8B"/>
    <w:rsid w:val="000F1DE9"/>
    <w:rsid w:val="000F2A14"/>
    <w:rsid w:val="000F341A"/>
    <w:rsid w:val="000F6CBC"/>
    <w:rsid w:val="001006AC"/>
    <w:rsid w:val="00101671"/>
    <w:rsid w:val="00102877"/>
    <w:rsid w:val="00102A61"/>
    <w:rsid w:val="0010478D"/>
    <w:rsid w:val="00106960"/>
    <w:rsid w:val="00111371"/>
    <w:rsid w:val="00113C3B"/>
    <w:rsid w:val="00113DEE"/>
    <w:rsid w:val="001171C5"/>
    <w:rsid w:val="00117AB9"/>
    <w:rsid w:val="0013230A"/>
    <w:rsid w:val="00141A79"/>
    <w:rsid w:val="0014286F"/>
    <w:rsid w:val="001447E7"/>
    <w:rsid w:val="00145771"/>
    <w:rsid w:val="00146204"/>
    <w:rsid w:val="00147987"/>
    <w:rsid w:val="0015213D"/>
    <w:rsid w:val="00152CE0"/>
    <w:rsid w:val="00152E5C"/>
    <w:rsid w:val="0015482E"/>
    <w:rsid w:val="00155C67"/>
    <w:rsid w:val="00156FFF"/>
    <w:rsid w:val="00157439"/>
    <w:rsid w:val="00164ADA"/>
    <w:rsid w:val="0017221C"/>
    <w:rsid w:val="0017740B"/>
    <w:rsid w:val="001774F2"/>
    <w:rsid w:val="0018231C"/>
    <w:rsid w:val="00183A60"/>
    <w:rsid w:val="00183FA0"/>
    <w:rsid w:val="00196690"/>
    <w:rsid w:val="001A2560"/>
    <w:rsid w:val="001A3C31"/>
    <w:rsid w:val="001A51FA"/>
    <w:rsid w:val="001B0E42"/>
    <w:rsid w:val="001B29A4"/>
    <w:rsid w:val="001B368A"/>
    <w:rsid w:val="001B3CFA"/>
    <w:rsid w:val="001B5C28"/>
    <w:rsid w:val="001C0617"/>
    <w:rsid w:val="001C4173"/>
    <w:rsid w:val="001D131D"/>
    <w:rsid w:val="001D31A8"/>
    <w:rsid w:val="001D4221"/>
    <w:rsid w:val="001E35D7"/>
    <w:rsid w:val="001E3C28"/>
    <w:rsid w:val="001E4FF4"/>
    <w:rsid w:val="00201595"/>
    <w:rsid w:val="002026D4"/>
    <w:rsid w:val="00207029"/>
    <w:rsid w:val="002107E3"/>
    <w:rsid w:val="00212C79"/>
    <w:rsid w:val="0021689E"/>
    <w:rsid w:val="002211B5"/>
    <w:rsid w:val="00226B8C"/>
    <w:rsid w:val="0022783E"/>
    <w:rsid w:val="00230727"/>
    <w:rsid w:val="002313C1"/>
    <w:rsid w:val="00232B40"/>
    <w:rsid w:val="002457BF"/>
    <w:rsid w:val="002467C5"/>
    <w:rsid w:val="002518F8"/>
    <w:rsid w:val="00253135"/>
    <w:rsid w:val="002679B7"/>
    <w:rsid w:val="00272BB6"/>
    <w:rsid w:val="00273246"/>
    <w:rsid w:val="00273815"/>
    <w:rsid w:val="00274AD9"/>
    <w:rsid w:val="00274FF5"/>
    <w:rsid w:val="002755A3"/>
    <w:rsid w:val="00276847"/>
    <w:rsid w:val="00280951"/>
    <w:rsid w:val="0028097E"/>
    <w:rsid w:val="00282AC1"/>
    <w:rsid w:val="002842B6"/>
    <w:rsid w:val="00290B32"/>
    <w:rsid w:val="00293426"/>
    <w:rsid w:val="00293945"/>
    <w:rsid w:val="0029554E"/>
    <w:rsid w:val="002963BC"/>
    <w:rsid w:val="002975C4"/>
    <w:rsid w:val="00297BB9"/>
    <w:rsid w:val="002A222D"/>
    <w:rsid w:val="002A2446"/>
    <w:rsid w:val="002A2F35"/>
    <w:rsid w:val="002A4213"/>
    <w:rsid w:val="002A58EF"/>
    <w:rsid w:val="002B0E4F"/>
    <w:rsid w:val="002B3E6A"/>
    <w:rsid w:val="002B4D90"/>
    <w:rsid w:val="002B51C8"/>
    <w:rsid w:val="002B7299"/>
    <w:rsid w:val="002B741E"/>
    <w:rsid w:val="002B7BC3"/>
    <w:rsid w:val="002C1B25"/>
    <w:rsid w:val="002C2387"/>
    <w:rsid w:val="002C3185"/>
    <w:rsid w:val="002C6D29"/>
    <w:rsid w:val="002D2F31"/>
    <w:rsid w:val="002D33B5"/>
    <w:rsid w:val="002D4B80"/>
    <w:rsid w:val="002D797E"/>
    <w:rsid w:val="002E213A"/>
    <w:rsid w:val="002E363C"/>
    <w:rsid w:val="002E4FDB"/>
    <w:rsid w:val="002F054C"/>
    <w:rsid w:val="002F0C93"/>
    <w:rsid w:val="002F2C4B"/>
    <w:rsid w:val="002F3AAB"/>
    <w:rsid w:val="002F4163"/>
    <w:rsid w:val="002F4387"/>
    <w:rsid w:val="002F69FF"/>
    <w:rsid w:val="002F797F"/>
    <w:rsid w:val="003017EB"/>
    <w:rsid w:val="00301EC1"/>
    <w:rsid w:val="00310160"/>
    <w:rsid w:val="00310DE6"/>
    <w:rsid w:val="00311913"/>
    <w:rsid w:val="0031228D"/>
    <w:rsid w:val="00313D5A"/>
    <w:rsid w:val="0031476A"/>
    <w:rsid w:val="00316A2D"/>
    <w:rsid w:val="00321899"/>
    <w:rsid w:val="0032464A"/>
    <w:rsid w:val="0032507B"/>
    <w:rsid w:val="00325AA7"/>
    <w:rsid w:val="003274A9"/>
    <w:rsid w:val="00341CC4"/>
    <w:rsid w:val="00346613"/>
    <w:rsid w:val="00346854"/>
    <w:rsid w:val="00347306"/>
    <w:rsid w:val="003502A1"/>
    <w:rsid w:val="0035363C"/>
    <w:rsid w:val="00354232"/>
    <w:rsid w:val="003542E4"/>
    <w:rsid w:val="00364C3C"/>
    <w:rsid w:val="00364CEE"/>
    <w:rsid w:val="0036588B"/>
    <w:rsid w:val="003707E1"/>
    <w:rsid w:val="003773D1"/>
    <w:rsid w:val="00383055"/>
    <w:rsid w:val="00387F7C"/>
    <w:rsid w:val="003907FB"/>
    <w:rsid w:val="00394AD5"/>
    <w:rsid w:val="00395E04"/>
    <w:rsid w:val="003961DB"/>
    <w:rsid w:val="00396674"/>
    <w:rsid w:val="003967DE"/>
    <w:rsid w:val="00397FB3"/>
    <w:rsid w:val="003A3C05"/>
    <w:rsid w:val="003A5B73"/>
    <w:rsid w:val="003A670F"/>
    <w:rsid w:val="003A710E"/>
    <w:rsid w:val="003B6432"/>
    <w:rsid w:val="003B6833"/>
    <w:rsid w:val="003B6A9D"/>
    <w:rsid w:val="003C343C"/>
    <w:rsid w:val="003C57C8"/>
    <w:rsid w:val="003C5893"/>
    <w:rsid w:val="003C605A"/>
    <w:rsid w:val="003C7782"/>
    <w:rsid w:val="003D0687"/>
    <w:rsid w:val="003D50A2"/>
    <w:rsid w:val="003D5608"/>
    <w:rsid w:val="003E482C"/>
    <w:rsid w:val="003E5EEE"/>
    <w:rsid w:val="003E678D"/>
    <w:rsid w:val="003F10CE"/>
    <w:rsid w:val="003F3CE6"/>
    <w:rsid w:val="003F7079"/>
    <w:rsid w:val="00401328"/>
    <w:rsid w:val="00402525"/>
    <w:rsid w:val="004058C8"/>
    <w:rsid w:val="004065DA"/>
    <w:rsid w:val="00410962"/>
    <w:rsid w:val="00425ECF"/>
    <w:rsid w:val="0042734F"/>
    <w:rsid w:val="0043047D"/>
    <w:rsid w:val="00430BAD"/>
    <w:rsid w:val="0043130B"/>
    <w:rsid w:val="004314A7"/>
    <w:rsid w:val="00432BBC"/>
    <w:rsid w:val="00434C03"/>
    <w:rsid w:val="00440CDD"/>
    <w:rsid w:val="00441F89"/>
    <w:rsid w:val="00442E5D"/>
    <w:rsid w:val="00443243"/>
    <w:rsid w:val="00445602"/>
    <w:rsid w:val="004458FA"/>
    <w:rsid w:val="00446834"/>
    <w:rsid w:val="004509B1"/>
    <w:rsid w:val="0045357D"/>
    <w:rsid w:val="0045394F"/>
    <w:rsid w:val="00453F6D"/>
    <w:rsid w:val="00465D3C"/>
    <w:rsid w:val="00467AE0"/>
    <w:rsid w:val="00467D4E"/>
    <w:rsid w:val="00472092"/>
    <w:rsid w:val="00477134"/>
    <w:rsid w:val="004805D8"/>
    <w:rsid w:val="004812A4"/>
    <w:rsid w:val="00487F5E"/>
    <w:rsid w:val="00490BDF"/>
    <w:rsid w:val="0049494E"/>
    <w:rsid w:val="004A07F5"/>
    <w:rsid w:val="004A3903"/>
    <w:rsid w:val="004A7159"/>
    <w:rsid w:val="004B01AE"/>
    <w:rsid w:val="004B093E"/>
    <w:rsid w:val="004B2260"/>
    <w:rsid w:val="004C29D8"/>
    <w:rsid w:val="004C4D8B"/>
    <w:rsid w:val="004C68DB"/>
    <w:rsid w:val="004C6E93"/>
    <w:rsid w:val="004D16D1"/>
    <w:rsid w:val="004D2988"/>
    <w:rsid w:val="004D4F92"/>
    <w:rsid w:val="004D5593"/>
    <w:rsid w:val="004D58B2"/>
    <w:rsid w:val="004D6A75"/>
    <w:rsid w:val="004D7F24"/>
    <w:rsid w:val="004D7FA1"/>
    <w:rsid w:val="004E0DDD"/>
    <w:rsid w:val="004E1B6E"/>
    <w:rsid w:val="004E2662"/>
    <w:rsid w:val="004E27B9"/>
    <w:rsid w:val="004E285E"/>
    <w:rsid w:val="004E58AE"/>
    <w:rsid w:val="004E6775"/>
    <w:rsid w:val="004F003B"/>
    <w:rsid w:val="004F1D59"/>
    <w:rsid w:val="004F2CE5"/>
    <w:rsid w:val="004F3B1A"/>
    <w:rsid w:val="004F4738"/>
    <w:rsid w:val="004F54C1"/>
    <w:rsid w:val="004F587A"/>
    <w:rsid w:val="004F79B8"/>
    <w:rsid w:val="0050410D"/>
    <w:rsid w:val="005042B5"/>
    <w:rsid w:val="00504CE0"/>
    <w:rsid w:val="005058FE"/>
    <w:rsid w:val="0050780A"/>
    <w:rsid w:val="0051038B"/>
    <w:rsid w:val="00510B32"/>
    <w:rsid w:val="005134E7"/>
    <w:rsid w:val="00516198"/>
    <w:rsid w:val="00516662"/>
    <w:rsid w:val="00523B21"/>
    <w:rsid w:val="00524026"/>
    <w:rsid w:val="005256C0"/>
    <w:rsid w:val="005271C5"/>
    <w:rsid w:val="005306E1"/>
    <w:rsid w:val="005330A4"/>
    <w:rsid w:val="005333A1"/>
    <w:rsid w:val="00537A82"/>
    <w:rsid w:val="00543F15"/>
    <w:rsid w:val="00545A54"/>
    <w:rsid w:val="00545F0D"/>
    <w:rsid w:val="00553B68"/>
    <w:rsid w:val="00553FB4"/>
    <w:rsid w:val="00556689"/>
    <w:rsid w:val="00557A13"/>
    <w:rsid w:val="00561933"/>
    <w:rsid w:val="00561FCC"/>
    <w:rsid w:val="00562097"/>
    <w:rsid w:val="00562E02"/>
    <w:rsid w:val="00564172"/>
    <w:rsid w:val="00565419"/>
    <w:rsid w:val="00566C3F"/>
    <w:rsid w:val="0058075D"/>
    <w:rsid w:val="00581F2F"/>
    <w:rsid w:val="0058299E"/>
    <w:rsid w:val="00585C58"/>
    <w:rsid w:val="00586595"/>
    <w:rsid w:val="00590C77"/>
    <w:rsid w:val="00593E41"/>
    <w:rsid w:val="00596CB2"/>
    <w:rsid w:val="005A1FD8"/>
    <w:rsid w:val="005A6CE1"/>
    <w:rsid w:val="005B3FB4"/>
    <w:rsid w:val="005B5760"/>
    <w:rsid w:val="005C051C"/>
    <w:rsid w:val="005C1771"/>
    <w:rsid w:val="005C1E40"/>
    <w:rsid w:val="005C7E99"/>
    <w:rsid w:val="005D038A"/>
    <w:rsid w:val="005D1564"/>
    <w:rsid w:val="005D19E7"/>
    <w:rsid w:val="005E59DD"/>
    <w:rsid w:val="005E77F3"/>
    <w:rsid w:val="005F530B"/>
    <w:rsid w:val="005F55E6"/>
    <w:rsid w:val="005F7212"/>
    <w:rsid w:val="00600C40"/>
    <w:rsid w:val="00601194"/>
    <w:rsid w:val="006042B3"/>
    <w:rsid w:val="0060560F"/>
    <w:rsid w:val="00606448"/>
    <w:rsid w:val="006064E3"/>
    <w:rsid w:val="006073EF"/>
    <w:rsid w:val="0061000B"/>
    <w:rsid w:val="0061122E"/>
    <w:rsid w:val="0061299B"/>
    <w:rsid w:val="006150B3"/>
    <w:rsid w:val="006162DF"/>
    <w:rsid w:val="006224FE"/>
    <w:rsid w:val="00626D90"/>
    <w:rsid w:val="006313CF"/>
    <w:rsid w:val="006322F0"/>
    <w:rsid w:val="006324CA"/>
    <w:rsid w:val="00632B3C"/>
    <w:rsid w:val="0063559E"/>
    <w:rsid w:val="006360F2"/>
    <w:rsid w:val="00641716"/>
    <w:rsid w:val="00645AC8"/>
    <w:rsid w:val="00645E58"/>
    <w:rsid w:val="00646816"/>
    <w:rsid w:val="00646A67"/>
    <w:rsid w:val="00647F0C"/>
    <w:rsid w:val="006504D5"/>
    <w:rsid w:val="0065151D"/>
    <w:rsid w:val="00651877"/>
    <w:rsid w:val="006524F5"/>
    <w:rsid w:val="00654CCC"/>
    <w:rsid w:val="006607E3"/>
    <w:rsid w:val="00661B93"/>
    <w:rsid w:val="006636F6"/>
    <w:rsid w:val="00666BAA"/>
    <w:rsid w:val="0066798F"/>
    <w:rsid w:val="00682869"/>
    <w:rsid w:val="00684778"/>
    <w:rsid w:val="0068627D"/>
    <w:rsid w:val="00686C42"/>
    <w:rsid w:val="006911D7"/>
    <w:rsid w:val="00693061"/>
    <w:rsid w:val="00695A2F"/>
    <w:rsid w:val="00696AAE"/>
    <w:rsid w:val="0069716E"/>
    <w:rsid w:val="006A5657"/>
    <w:rsid w:val="006B0D3B"/>
    <w:rsid w:val="006B57CA"/>
    <w:rsid w:val="006C16FA"/>
    <w:rsid w:val="006C2B48"/>
    <w:rsid w:val="006C6370"/>
    <w:rsid w:val="006C7E19"/>
    <w:rsid w:val="006C7F3B"/>
    <w:rsid w:val="006D2CEF"/>
    <w:rsid w:val="006D34CD"/>
    <w:rsid w:val="006D732D"/>
    <w:rsid w:val="006E3C2A"/>
    <w:rsid w:val="006E597C"/>
    <w:rsid w:val="006E6D99"/>
    <w:rsid w:val="006E75A2"/>
    <w:rsid w:val="006F1330"/>
    <w:rsid w:val="006F2A9A"/>
    <w:rsid w:val="006F77C2"/>
    <w:rsid w:val="006F7B65"/>
    <w:rsid w:val="00700943"/>
    <w:rsid w:val="00702307"/>
    <w:rsid w:val="00702770"/>
    <w:rsid w:val="00706737"/>
    <w:rsid w:val="007073F9"/>
    <w:rsid w:val="007128F3"/>
    <w:rsid w:val="0071537E"/>
    <w:rsid w:val="00721D08"/>
    <w:rsid w:val="00721E25"/>
    <w:rsid w:val="007229FD"/>
    <w:rsid w:val="00724CFF"/>
    <w:rsid w:val="0073013B"/>
    <w:rsid w:val="0073137B"/>
    <w:rsid w:val="007416BF"/>
    <w:rsid w:val="00742624"/>
    <w:rsid w:val="007430FE"/>
    <w:rsid w:val="007434E1"/>
    <w:rsid w:val="007474D1"/>
    <w:rsid w:val="007533F5"/>
    <w:rsid w:val="00754EEE"/>
    <w:rsid w:val="007564E2"/>
    <w:rsid w:val="00761541"/>
    <w:rsid w:val="0077065E"/>
    <w:rsid w:val="007724C8"/>
    <w:rsid w:val="00777283"/>
    <w:rsid w:val="007773B9"/>
    <w:rsid w:val="007868DF"/>
    <w:rsid w:val="00792503"/>
    <w:rsid w:val="00792BD5"/>
    <w:rsid w:val="00792EE4"/>
    <w:rsid w:val="007946D6"/>
    <w:rsid w:val="00795403"/>
    <w:rsid w:val="007A1A1C"/>
    <w:rsid w:val="007A298B"/>
    <w:rsid w:val="007A502E"/>
    <w:rsid w:val="007A521A"/>
    <w:rsid w:val="007A5B77"/>
    <w:rsid w:val="007B3825"/>
    <w:rsid w:val="007C0C9A"/>
    <w:rsid w:val="007C2746"/>
    <w:rsid w:val="007C2F1A"/>
    <w:rsid w:val="007D3CE3"/>
    <w:rsid w:val="007D525A"/>
    <w:rsid w:val="007D5D1B"/>
    <w:rsid w:val="007D672F"/>
    <w:rsid w:val="007D6EAF"/>
    <w:rsid w:val="007D70F6"/>
    <w:rsid w:val="007E01B3"/>
    <w:rsid w:val="007E1DAA"/>
    <w:rsid w:val="007E5179"/>
    <w:rsid w:val="007E55D1"/>
    <w:rsid w:val="007E7155"/>
    <w:rsid w:val="007E71D1"/>
    <w:rsid w:val="00803E05"/>
    <w:rsid w:val="00804CBC"/>
    <w:rsid w:val="008050C8"/>
    <w:rsid w:val="00805488"/>
    <w:rsid w:val="00805B65"/>
    <w:rsid w:val="00806124"/>
    <w:rsid w:val="00807E37"/>
    <w:rsid w:val="008124BF"/>
    <w:rsid w:val="00812C05"/>
    <w:rsid w:val="0081392C"/>
    <w:rsid w:val="008150D9"/>
    <w:rsid w:val="00815329"/>
    <w:rsid w:val="00817A5E"/>
    <w:rsid w:val="00820B74"/>
    <w:rsid w:val="00822B6C"/>
    <w:rsid w:val="008320BF"/>
    <w:rsid w:val="0083276C"/>
    <w:rsid w:val="0083466A"/>
    <w:rsid w:val="00837CE4"/>
    <w:rsid w:val="00837EEF"/>
    <w:rsid w:val="00841123"/>
    <w:rsid w:val="00844EA4"/>
    <w:rsid w:val="00846653"/>
    <w:rsid w:val="00850956"/>
    <w:rsid w:val="00852D86"/>
    <w:rsid w:val="0086518B"/>
    <w:rsid w:val="00870A0D"/>
    <w:rsid w:val="00874A0E"/>
    <w:rsid w:val="00874EA5"/>
    <w:rsid w:val="008772CE"/>
    <w:rsid w:val="00877363"/>
    <w:rsid w:val="00882C5A"/>
    <w:rsid w:val="00886416"/>
    <w:rsid w:val="008903BC"/>
    <w:rsid w:val="008910DA"/>
    <w:rsid w:val="0089426B"/>
    <w:rsid w:val="008964A7"/>
    <w:rsid w:val="00896617"/>
    <w:rsid w:val="008A0A9A"/>
    <w:rsid w:val="008A2E81"/>
    <w:rsid w:val="008A4B24"/>
    <w:rsid w:val="008A599D"/>
    <w:rsid w:val="008A5CE6"/>
    <w:rsid w:val="008A6B7E"/>
    <w:rsid w:val="008A6E67"/>
    <w:rsid w:val="008B0AA0"/>
    <w:rsid w:val="008B580D"/>
    <w:rsid w:val="008B5AAC"/>
    <w:rsid w:val="008B7033"/>
    <w:rsid w:val="008B7FA9"/>
    <w:rsid w:val="008C14F4"/>
    <w:rsid w:val="008C3A81"/>
    <w:rsid w:val="008C6910"/>
    <w:rsid w:val="008C6B50"/>
    <w:rsid w:val="008C6DBF"/>
    <w:rsid w:val="008C744F"/>
    <w:rsid w:val="008C7F2B"/>
    <w:rsid w:val="008D40C3"/>
    <w:rsid w:val="008D4B9A"/>
    <w:rsid w:val="008E2329"/>
    <w:rsid w:val="008E234A"/>
    <w:rsid w:val="008E514C"/>
    <w:rsid w:val="008F6E7A"/>
    <w:rsid w:val="00903180"/>
    <w:rsid w:val="00904D80"/>
    <w:rsid w:val="00906466"/>
    <w:rsid w:val="00910D84"/>
    <w:rsid w:val="009200EA"/>
    <w:rsid w:val="009207C0"/>
    <w:rsid w:val="00920A1A"/>
    <w:rsid w:val="00922814"/>
    <w:rsid w:val="00925649"/>
    <w:rsid w:val="00926E0B"/>
    <w:rsid w:val="00927650"/>
    <w:rsid w:val="009377B5"/>
    <w:rsid w:val="009406A0"/>
    <w:rsid w:val="00946807"/>
    <w:rsid w:val="00947393"/>
    <w:rsid w:val="009507DD"/>
    <w:rsid w:val="009528B1"/>
    <w:rsid w:val="009545F2"/>
    <w:rsid w:val="00954DE8"/>
    <w:rsid w:val="00960298"/>
    <w:rsid w:val="009632CA"/>
    <w:rsid w:val="009656CE"/>
    <w:rsid w:val="00967C5A"/>
    <w:rsid w:val="0097165E"/>
    <w:rsid w:val="00973B52"/>
    <w:rsid w:val="00980120"/>
    <w:rsid w:val="009807F0"/>
    <w:rsid w:val="009848F0"/>
    <w:rsid w:val="00984E28"/>
    <w:rsid w:val="00985ABD"/>
    <w:rsid w:val="009908E4"/>
    <w:rsid w:val="00997D6D"/>
    <w:rsid w:val="009A00C7"/>
    <w:rsid w:val="009A10BD"/>
    <w:rsid w:val="009A5632"/>
    <w:rsid w:val="009A600F"/>
    <w:rsid w:val="009B5523"/>
    <w:rsid w:val="009B5803"/>
    <w:rsid w:val="009B5D20"/>
    <w:rsid w:val="009B7BFE"/>
    <w:rsid w:val="009C00E4"/>
    <w:rsid w:val="009C18F5"/>
    <w:rsid w:val="009C2877"/>
    <w:rsid w:val="009C45F0"/>
    <w:rsid w:val="009C746A"/>
    <w:rsid w:val="009C76B6"/>
    <w:rsid w:val="009D1C79"/>
    <w:rsid w:val="009D1CCC"/>
    <w:rsid w:val="009D5AAB"/>
    <w:rsid w:val="009D60E4"/>
    <w:rsid w:val="009D624A"/>
    <w:rsid w:val="009D765B"/>
    <w:rsid w:val="009E28E5"/>
    <w:rsid w:val="009E3A45"/>
    <w:rsid w:val="009E65D0"/>
    <w:rsid w:val="009E73CA"/>
    <w:rsid w:val="009F285E"/>
    <w:rsid w:val="009F2FAF"/>
    <w:rsid w:val="009F6C1A"/>
    <w:rsid w:val="00A03D8C"/>
    <w:rsid w:val="00A03E67"/>
    <w:rsid w:val="00A042BA"/>
    <w:rsid w:val="00A05EE4"/>
    <w:rsid w:val="00A15508"/>
    <w:rsid w:val="00A16B91"/>
    <w:rsid w:val="00A1710C"/>
    <w:rsid w:val="00A20AC9"/>
    <w:rsid w:val="00A214D9"/>
    <w:rsid w:val="00A327B5"/>
    <w:rsid w:val="00A33CC4"/>
    <w:rsid w:val="00A3540F"/>
    <w:rsid w:val="00A3580A"/>
    <w:rsid w:val="00A35AF3"/>
    <w:rsid w:val="00A35C67"/>
    <w:rsid w:val="00A368E8"/>
    <w:rsid w:val="00A40806"/>
    <w:rsid w:val="00A42B7F"/>
    <w:rsid w:val="00A44913"/>
    <w:rsid w:val="00A52887"/>
    <w:rsid w:val="00A559B1"/>
    <w:rsid w:val="00A5682B"/>
    <w:rsid w:val="00A57F06"/>
    <w:rsid w:val="00A627E9"/>
    <w:rsid w:val="00A641ED"/>
    <w:rsid w:val="00A65140"/>
    <w:rsid w:val="00A65A03"/>
    <w:rsid w:val="00A66E4D"/>
    <w:rsid w:val="00A6713D"/>
    <w:rsid w:val="00A72A66"/>
    <w:rsid w:val="00A73B3F"/>
    <w:rsid w:val="00A73F1F"/>
    <w:rsid w:val="00A76A37"/>
    <w:rsid w:val="00A80D85"/>
    <w:rsid w:val="00A83D3E"/>
    <w:rsid w:val="00A9242C"/>
    <w:rsid w:val="00A96093"/>
    <w:rsid w:val="00AA356E"/>
    <w:rsid w:val="00AA4889"/>
    <w:rsid w:val="00AA4B70"/>
    <w:rsid w:val="00AA4F0B"/>
    <w:rsid w:val="00AA50C7"/>
    <w:rsid w:val="00AA620C"/>
    <w:rsid w:val="00AB1C58"/>
    <w:rsid w:val="00AB1FF1"/>
    <w:rsid w:val="00AB2EAD"/>
    <w:rsid w:val="00AB2EF6"/>
    <w:rsid w:val="00AB36BD"/>
    <w:rsid w:val="00AB44A3"/>
    <w:rsid w:val="00AB79DD"/>
    <w:rsid w:val="00AC0C66"/>
    <w:rsid w:val="00AC1291"/>
    <w:rsid w:val="00AC153B"/>
    <w:rsid w:val="00AC1A25"/>
    <w:rsid w:val="00AC40DB"/>
    <w:rsid w:val="00AC6707"/>
    <w:rsid w:val="00AD5123"/>
    <w:rsid w:val="00AD61B5"/>
    <w:rsid w:val="00AE0595"/>
    <w:rsid w:val="00AE3D9C"/>
    <w:rsid w:val="00AE69CB"/>
    <w:rsid w:val="00AF1F29"/>
    <w:rsid w:val="00AF26DF"/>
    <w:rsid w:val="00AF3239"/>
    <w:rsid w:val="00AF3A4A"/>
    <w:rsid w:val="00AF4C91"/>
    <w:rsid w:val="00AF4F4D"/>
    <w:rsid w:val="00B0036F"/>
    <w:rsid w:val="00B003B2"/>
    <w:rsid w:val="00B03218"/>
    <w:rsid w:val="00B03550"/>
    <w:rsid w:val="00B04325"/>
    <w:rsid w:val="00B10A9D"/>
    <w:rsid w:val="00B10E25"/>
    <w:rsid w:val="00B13BD5"/>
    <w:rsid w:val="00B14E06"/>
    <w:rsid w:val="00B1556E"/>
    <w:rsid w:val="00B1665B"/>
    <w:rsid w:val="00B16B17"/>
    <w:rsid w:val="00B17B93"/>
    <w:rsid w:val="00B17EF7"/>
    <w:rsid w:val="00B22559"/>
    <w:rsid w:val="00B25C6E"/>
    <w:rsid w:val="00B273E2"/>
    <w:rsid w:val="00B30C87"/>
    <w:rsid w:val="00B31B20"/>
    <w:rsid w:val="00B36F27"/>
    <w:rsid w:val="00B426E8"/>
    <w:rsid w:val="00B4696F"/>
    <w:rsid w:val="00B555AB"/>
    <w:rsid w:val="00B570FA"/>
    <w:rsid w:val="00B573AB"/>
    <w:rsid w:val="00B6305E"/>
    <w:rsid w:val="00B645CE"/>
    <w:rsid w:val="00B65D0F"/>
    <w:rsid w:val="00B672E3"/>
    <w:rsid w:val="00B70287"/>
    <w:rsid w:val="00B7111D"/>
    <w:rsid w:val="00B71FEE"/>
    <w:rsid w:val="00B72C4F"/>
    <w:rsid w:val="00B73CB7"/>
    <w:rsid w:val="00B76740"/>
    <w:rsid w:val="00B77B44"/>
    <w:rsid w:val="00B90ED5"/>
    <w:rsid w:val="00B92F73"/>
    <w:rsid w:val="00B935CB"/>
    <w:rsid w:val="00B94494"/>
    <w:rsid w:val="00B947D2"/>
    <w:rsid w:val="00B94B0A"/>
    <w:rsid w:val="00B957E3"/>
    <w:rsid w:val="00B95C57"/>
    <w:rsid w:val="00BA1C41"/>
    <w:rsid w:val="00BA3274"/>
    <w:rsid w:val="00BA6226"/>
    <w:rsid w:val="00BA6B05"/>
    <w:rsid w:val="00BB02F1"/>
    <w:rsid w:val="00BB15A5"/>
    <w:rsid w:val="00BB3A3A"/>
    <w:rsid w:val="00BC7E0F"/>
    <w:rsid w:val="00BD3A0C"/>
    <w:rsid w:val="00BD498F"/>
    <w:rsid w:val="00BD6802"/>
    <w:rsid w:val="00BD6D94"/>
    <w:rsid w:val="00BE2A7D"/>
    <w:rsid w:val="00BE2E42"/>
    <w:rsid w:val="00BF0928"/>
    <w:rsid w:val="00BF14C8"/>
    <w:rsid w:val="00BF18C0"/>
    <w:rsid w:val="00BF58D5"/>
    <w:rsid w:val="00BF774A"/>
    <w:rsid w:val="00C008A1"/>
    <w:rsid w:val="00C01819"/>
    <w:rsid w:val="00C02721"/>
    <w:rsid w:val="00C101BB"/>
    <w:rsid w:val="00C10F2C"/>
    <w:rsid w:val="00C12C51"/>
    <w:rsid w:val="00C13E95"/>
    <w:rsid w:val="00C15D28"/>
    <w:rsid w:val="00C1664F"/>
    <w:rsid w:val="00C24BA3"/>
    <w:rsid w:val="00C30B4C"/>
    <w:rsid w:val="00C408CD"/>
    <w:rsid w:val="00C44B4B"/>
    <w:rsid w:val="00C4511F"/>
    <w:rsid w:val="00C45965"/>
    <w:rsid w:val="00C466BE"/>
    <w:rsid w:val="00C47368"/>
    <w:rsid w:val="00C578E1"/>
    <w:rsid w:val="00C61D54"/>
    <w:rsid w:val="00C635BF"/>
    <w:rsid w:val="00C63FFF"/>
    <w:rsid w:val="00C65DF5"/>
    <w:rsid w:val="00C6633D"/>
    <w:rsid w:val="00C73E40"/>
    <w:rsid w:val="00C73F91"/>
    <w:rsid w:val="00C740D1"/>
    <w:rsid w:val="00C76E67"/>
    <w:rsid w:val="00C8008B"/>
    <w:rsid w:val="00C800ED"/>
    <w:rsid w:val="00C83053"/>
    <w:rsid w:val="00C857FB"/>
    <w:rsid w:val="00C86082"/>
    <w:rsid w:val="00C866FE"/>
    <w:rsid w:val="00C90097"/>
    <w:rsid w:val="00C90866"/>
    <w:rsid w:val="00C958B5"/>
    <w:rsid w:val="00CA2C59"/>
    <w:rsid w:val="00CA37AF"/>
    <w:rsid w:val="00CA4464"/>
    <w:rsid w:val="00CA67DB"/>
    <w:rsid w:val="00CB147D"/>
    <w:rsid w:val="00CB725E"/>
    <w:rsid w:val="00CC15DE"/>
    <w:rsid w:val="00CC3331"/>
    <w:rsid w:val="00CC456F"/>
    <w:rsid w:val="00CC51B0"/>
    <w:rsid w:val="00CC6C5D"/>
    <w:rsid w:val="00CC79FE"/>
    <w:rsid w:val="00CD3080"/>
    <w:rsid w:val="00CD5C7D"/>
    <w:rsid w:val="00CE207D"/>
    <w:rsid w:val="00CE2EA9"/>
    <w:rsid w:val="00CE3C0F"/>
    <w:rsid w:val="00CE476F"/>
    <w:rsid w:val="00CE5607"/>
    <w:rsid w:val="00CE666B"/>
    <w:rsid w:val="00CF1922"/>
    <w:rsid w:val="00CF2357"/>
    <w:rsid w:val="00D10051"/>
    <w:rsid w:val="00D1013D"/>
    <w:rsid w:val="00D14034"/>
    <w:rsid w:val="00D1444F"/>
    <w:rsid w:val="00D14D8B"/>
    <w:rsid w:val="00D22D96"/>
    <w:rsid w:val="00D2390D"/>
    <w:rsid w:val="00D23D42"/>
    <w:rsid w:val="00D25E71"/>
    <w:rsid w:val="00D2704E"/>
    <w:rsid w:val="00D30DDB"/>
    <w:rsid w:val="00D357EF"/>
    <w:rsid w:val="00D40BA1"/>
    <w:rsid w:val="00D46559"/>
    <w:rsid w:val="00D4661D"/>
    <w:rsid w:val="00D50F82"/>
    <w:rsid w:val="00D52275"/>
    <w:rsid w:val="00D536C8"/>
    <w:rsid w:val="00D573FC"/>
    <w:rsid w:val="00D6437B"/>
    <w:rsid w:val="00D64EFD"/>
    <w:rsid w:val="00D77B13"/>
    <w:rsid w:val="00D80441"/>
    <w:rsid w:val="00D80442"/>
    <w:rsid w:val="00D80608"/>
    <w:rsid w:val="00D8290C"/>
    <w:rsid w:val="00D82D7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4400"/>
    <w:rsid w:val="00DD4655"/>
    <w:rsid w:val="00DD4E2F"/>
    <w:rsid w:val="00DD610C"/>
    <w:rsid w:val="00DD71F8"/>
    <w:rsid w:val="00DE5198"/>
    <w:rsid w:val="00DE540E"/>
    <w:rsid w:val="00DF02F7"/>
    <w:rsid w:val="00DF7763"/>
    <w:rsid w:val="00E0136B"/>
    <w:rsid w:val="00E02220"/>
    <w:rsid w:val="00E02492"/>
    <w:rsid w:val="00E026C1"/>
    <w:rsid w:val="00E053A7"/>
    <w:rsid w:val="00E13909"/>
    <w:rsid w:val="00E1437D"/>
    <w:rsid w:val="00E14DAE"/>
    <w:rsid w:val="00E14F5F"/>
    <w:rsid w:val="00E168EE"/>
    <w:rsid w:val="00E16E65"/>
    <w:rsid w:val="00E16F89"/>
    <w:rsid w:val="00E17F6D"/>
    <w:rsid w:val="00E17F9A"/>
    <w:rsid w:val="00E264F6"/>
    <w:rsid w:val="00E26865"/>
    <w:rsid w:val="00E26A11"/>
    <w:rsid w:val="00E26C61"/>
    <w:rsid w:val="00E278AE"/>
    <w:rsid w:val="00E302B6"/>
    <w:rsid w:val="00E31A1E"/>
    <w:rsid w:val="00E35C58"/>
    <w:rsid w:val="00E36690"/>
    <w:rsid w:val="00E36992"/>
    <w:rsid w:val="00E43EF8"/>
    <w:rsid w:val="00E4728F"/>
    <w:rsid w:val="00E475E1"/>
    <w:rsid w:val="00E50055"/>
    <w:rsid w:val="00E51362"/>
    <w:rsid w:val="00E5157F"/>
    <w:rsid w:val="00E621A4"/>
    <w:rsid w:val="00E63671"/>
    <w:rsid w:val="00E732FC"/>
    <w:rsid w:val="00E745A9"/>
    <w:rsid w:val="00E74CB5"/>
    <w:rsid w:val="00E759F0"/>
    <w:rsid w:val="00E81915"/>
    <w:rsid w:val="00E850E5"/>
    <w:rsid w:val="00E86BCC"/>
    <w:rsid w:val="00E90DF7"/>
    <w:rsid w:val="00E9478F"/>
    <w:rsid w:val="00EA2146"/>
    <w:rsid w:val="00EA2930"/>
    <w:rsid w:val="00EA6EBF"/>
    <w:rsid w:val="00EA7EFB"/>
    <w:rsid w:val="00EB1597"/>
    <w:rsid w:val="00EB2822"/>
    <w:rsid w:val="00EB524E"/>
    <w:rsid w:val="00EC0F5E"/>
    <w:rsid w:val="00EC15A4"/>
    <w:rsid w:val="00EC1EDF"/>
    <w:rsid w:val="00EC26E2"/>
    <w:rsid w:val="00EC2CF3"/>
    <w:rsid w:val="00EC2F76"/>
    <w:rsid w:val="00EC4448"/>
    <w:rsid w:val="00EC44CF"/>
    <w:rsid w:val="00EC49DF"/>
    <w:rsid w:val="00EC62D0"/>
    <w:rsid w:val="00ED6784"/>
    <w:rsid w:val="00EE021B"/>
    <w:rsid w:val="00EE0C2E"/>
    <w:rsid w:val="00EE4378"/>
    <w:rsid w:val="00EE4B2B"/>
    <w:rsid w:val="00EE52E5"/>
    <w:rsid w:val="00EE7199"/>
    <w:rsid w:val="00EE7D72"/>
    <w:rsid w:val="00EF029C"/>
    <w:rsid w:val="00EF1ABF"/>
    <w:rsid w:val="00EF1BF1"/>
    <w:rsid w:val="00EF257F"/>
    <w:rsid w:val="00EF43D3"/>
    <w:rsid w:val="00EF4C55"/>
    <w:rsid w:val="00EF6ABA"/>
    <w:rsid w:val="00F01DBB"/>
    <w:rsid w:val="00F06AE7"/>
    <w:rsid w:val="00F070DE"/>
    <w:rsid w:val="00F07354"/>
    <w:rsid w:val="00F10584"/>
    <w:rsid w:val="00F124FB"/>
    <w:rsid w:val="00F15A3A"/>
    <w:rsid w:val="00F16EFD"/>
    <w:rsid w:val="00F23762"/>
    <w:rsid w:val="00F321F5"/>
    <w:rsid w:val="00F3340C"/>
    <w:rsid w:val="00F347A2"/>
    <w:rsid w:val="00F36E44"/>
    <w:rsid w:val="00F40DA8"/>
    <w:rsid w:val="00F4230E"/>
    <w:rsid w:val="00F4358D"/>
    <w:rsid w:val="00F447A2"/>
    <w:rsid w:val="00F45353"/>
    <w:rsid w:val="00F46807"/>
    <w:rsid w:val="00F5734C"/>
    <w:rsid w:val="00F57D00"/>
    <w:rsid w:val="00F63A8B"/>
    <w:rsid w:val="00F644CC"/>
    <w:rsid w:val="00F64E1B"/>
    <w:rsid w:val="00F6527A"/>
    <w:rsid w:val="00F67619"/>
    <w:rsid w:val="00F7663F"/>
    <w:rsid w:val="00F7777D"/>
    <w:rsid w:val="00F77CAD"/>
    <w:rsid w:val="00F8358C"/>
    <w:rsid w:val="00F8385C"/>
    <w:rsid w:val="00F84B65"/>
    <w:rsid w:val="00F85DEE"/>
    <w:rsid w:val="00F86742"/>
    <w:rsid w:val="00F87027"/>
    <w:rsid w:val="00F87EA9"/>
    <w:rsid w:val="00F92B35"/>
    <w:rsid w:val="00F942C3"/>
    <w:rsid w:val="00F9584D"/>
    <w:rsid w:val="00FA00DD"/>
    <w:rsid w:val="00FA0EDE"/>
    <w:rsid w:val="00FA1ABE"/>
    <w:rsid w:val="00FA3367"/>
    <w:rsid w:val="00FA3666"/>
    <w:rsid w:val="00FA4B7F"/>
    <w:rsid w:val="00FB0E59"/>
    <w:rsid w:val="00FB38C2"/>
    <w:rsid w:val="00FB4E55"/>
    <w:rsid w:val="00FC00B3"/>
    <w:rsid w:val="00FC03CB"/>
    <w:rsid w:val="00FC1D28"/>
    <w:rsid w:val="00FC34F5"/>
    <w:rsid w:val="00FC7818"/>
    <w:rsid w:val="00FD0630"/>
    <w:rsid w:val="00FD0FA1"/>
    <w:rsid w:val="00FD151B"/>
    <w:rsid w:val="00FD171A"/>
    <w:rsid w:val="00FD507D"/>
    <w:rsid w:val="00FE27CE"/>
    <w:rsid w:val="00FE2CF6"/>
    <w:rsid w:val="00FF028D"/>
    <w:rsid w:val="00FF0EA0"/>
    <w:rsid w:val="00FF24AD"/>
    <w:rsid w:val="00FF41E4"/>
    <w:rsid w:val="00FF45F0"/>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A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semiHidden/>
    <w:rsid w:val="00BE2E42"/>
  </w:style>
  <w:style w:type="character" w:customStyle="1" w:styleId="CommentSubjectChar">
    <w:name w:val="Comment Subject Char"/>
    <w:basedOn w:val="CommentTextChar"/>
    <w:link w:val="CommentSubject"/>
    <w:rsid w:val="00BE2E42"/>
    <w:rPr>
      <w:b/>
      <w:bCs/>
    </w:rPr>
  </w:style>
  <w:style w:type="paragraph" w:styleId="Revision">
    <w:name w:val="Revision"/>
    <w:hidden/>
    <w:uiPriority w:val="99"/>
    <w:semiHidden/>
    <w:rsid w:val="003D0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semiHidden/>
    <w:rsid w:val="00BE2E42"/>
  </w:style>
  <w:style w:type="character" w:customStyle="1" w:styleId="CommentSubjectChar">
    <w:name w:val="Comment Subject Char"/>
    <w:basedOn w:val="CommentTextChar"/>
    <w:link w:val="CommentSubject"/>
    <w:rsid w:val="00BE2E42"/>
    <w:rPr>
      <w:b/>
      <w:bCs/>
    </w:rPr>
  </w:style>
  <w:style w:type="paragraph" w:styleId="Revision">
    <w:name w:val="Revision"/>
    <w:hidden/>
    <w:uiPriority w:val="99"/>
    <w:semiHidden/>
    <w:rsid w:val="003D0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136">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86299541">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1EBF-CAAF-49E6-9742-000BEB35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24774</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2015-08-18T16:23:00Z</dcterms:created>
  <dcterms:modified xsi:type="dcterms:W3CDTF">2015-08-20T15:32:00Z</dcterms:modified>
</cp:coreProperties>
</file>