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Pr="00C70104" w:rsidRDefault="002262DC" w:rsidP="00A7661C">
      <w:pPr>
        <w:tabs>
          <w:tab w:val="center" w:pos="4680"/>
        </w:tabs>
        <w:jc w:val="center"/>
        <w:rPr>
          <w:b/>
          <w:bCs/>
        </w:rPr>
      </w:pPr>
      <w:r w:rsidRPr="00C70104">
        <w:rPr>
          <w:b/>
          <w:bCs/>
        </w:rPr>
        <w:fldChar w:fldCharType="begin"/>
      </w:r>
      <w:r w:rsidR="00CA4CD6" w:rsidRPr="00C70104">
        <w:rPr>
          <w:b/>
          <w:bCs/>
        </w:rPr>
        <w:instrText>tc \l2 "SF</w:instrText>
      </w:r>
      <w:r w:rsidRPr="00C70104">
        <w:rPr>
          <w:b/>
          <w:bCs/>
        </w:rPr>
        <w:fldChar w:fldCharType="end"/>
      </w:r>
      <w:r w:rsidR="00CA4CD6" w:rsidRPr="00C70104">
        <w:rPr>
          <w:b/>
          <w:bCs/>
        </w:rPr>
        <w:t>SUPPORTING STATEMENT</w:t>
      </w:r>
    </w:p>
    <w:p w:rsidR="00CA4CD6" w:rsidRPr="00C70104" w:rsidRDefault="00CA4CD6" w:rsidP="00504745">
      <w:pPr>
        <w:tabs>
          <w:tab w:val="center" w:pos="4680"/>
        </w:tabs>
        <w:outlineLvl w:val="0"/>
      </w:pPr>
      <w:r w:rsidRPr="00C70104">
        <w:rPr>
          <w:b/>
          <w:bCs/>
        </w:rPr>
        <w:tab/>
        <w:t>ENVIRONMENTAL PROTECTION AGENCY</w:t>
      </w:r>
    </w:p>
    <w:p w:rsidR="00CA4CD6" w:rsidRPr="00C70104" w:rsidRDefault="00CA4CD6">
      <w:pPr>
        <w:tabs>
          <w:tab w:val="center" w:pos="4680"/>
        </w:tabs>
      </w:pPr>
      <w:r w:rsidRPr="00C70104">
        <w:tab/>
      </w:r>
    </w:p>
    <w:p w:rsidR="00CA4CD6" w:rsidRPr="00C70104" w:rsidRDefault="008C1DFA">
      <w:r w:rsidRPr="00C70104">
        <w:rPr>
          <w:b/>
        </w:rPr>
        <w:t xml:space="preserve">NSPS for Polymeric Coating of Supporting Substrates Facilities (40 CFR Part 60, Subpart VVV) </w:t>
      </w:r>
      <w:r w:rsidR="002B29A5" w:rsidRPr="00C70104">
        <w:rPr>
          <w:b/>
        </w:rPr>
        <w:t>(Renewal)</w:t>
      </w:r>
    </w:p>
    <w:p w:rsidR="00CA4CD6" w:rsidRPr="00C70104" w:rsidRDefault="00CA4CD6"/>
    <w:p w:rsidR="00CA4CD6" w:rsidRPr="00C70104" w:rsidRDefault="00CA4CD6" w:rsidP="00504745">
      <w:pPr>
        <w:outlineLvl w:val="0"/>
        <w:rPr>
          <w:b/>
          <w:bCs/>
        </w:rPr>
      </w:pPr>
      <w:r w:rsidRPr="00C70104">
        <w:rPr>
          <w:b/>
          <w:bCs/>
        </w:rPr>
        <w:t>1.  Identification of the Information Collection</w:t>
      </w:r>
    </w:p>
    <w:p w:rsidR="00CA4CD6" w:rsidRPr="00C70104" w:rsidRDefault="00CA4CD6">
      <w:pPr>
        <w:rPr>
          <w:b/>
          <w:bCs/>
        </w:rPr>
      </w:pPr>
    </w:p>
    <w:p w:rsidR="00CA4CD6" w:rsidRPr="00C70104" w:rsidRDefault="00CA4CD6">
      <w:pPr>
        <w:ind w:firstLine="720"/>
        <w:rPr>
          <w:b/>
          <w:bCs/>
        </w:rPr>
      </w:pPr>
      <w:r w:rsidRPr="00C70104">
        <w:rPr>
          <w:b/>
          <w:bCs/>
        </w:rPr>
        <w:t>1(a)  Title of the Information Collection</w:t>
      </w:r>
    </w:p>
    <w:p w:rsidR="00CA4CD6" w:rsidRPr="00C70104" w:rsidRDefault="00CA4CD6">
      <w:pPr>
        <w:rPr>
          <w:b/>
          <w:bCs/>
        </w:rPr>
      </w:pPr>
    </w:p>
    <w:p w:rsidR="00CA4CD6" w:rsidRPr="00C70104" w:rsidRDefault="008C1DFA" w:rsidP="002B29A5">
      <w:pPr>
        <w:rPr>
          <w:bCs/>
        </w:rPr>
      </w:pPr>
      <w:r w:rsidRPr="00C70104">
        <w:rPr>
          <w:bCs/>
        </w:rPr>
        <w:t xml:space="preserve">NSPS for Polymeric Coating of Supporting Substrates Facilities (40 CFR Part 60, Subpart VVV) </w:t>
      </w:r>
      <w:r w:rsidR="002B29A5" w:rsidRPr="00C70104">
        <w:rPr>
          <w:bCs/>
        </w:rPr>
        <w:t xml:space="preserve">(Renewal), EPA ICR Number </w:t>
      </w:r>
      <w:r w:rsidRPr="00C70104">
        <w:rPr>
          <w:bCs/>
        </w:rPr>
        <w:t>1284.10</w:t>
      </w:r>
      <w:r w:rsidR="002B29A5" w:rsidRPr="00C70104">
        <w:rPr>
          <w:bCs/>
        </w:rPr>
        <w:t xml:space="preserve">, OMB Control Number </w:t>
      </w:r>
      <w:r w:rsidRPr="00C70104">
        <w:rPr>
          <w:bCs/>
        </w:rPr>
        <w:t>2060-0181</w:t>
      </w:r>
      <w:r w:rsidR="003666F0">
        <w:rPr>
          <w:bCs/>
        </w:rPr>
        <w:t>.</w:t>
      </w:r>
    </w:p>
    <w:p w:rsidR="00CA4CD6" w:rsidRPr="00C70104" w:rsidRDefault="00CA4CD6">
      <w:pPr>
        <w:rPr>
          <w:b/>
          <w:bCs/>
        </w:rPr>
      </w:pPr>
    </w:p>
    <w:p w:rsidR="00CA4CD6" w:rsidRPr="00C70104" w:rsidRDefault="00CA4CD6">
      <w:pPr>
        <w:ind w:firstLine="720"/>
      </w:pPr>
      <w:r w:rsidRPr="00C70104">
        <w:rPr>
          <w:b/>
          <w:bCs/>
        </w:rPr>
        <w:t>1(b)  Short Characterization/Abstract</w:t>
      </w:r>
    </w:p>
    <w:p w:rsidR="00CA4CD6" w:rsidRPr="00C70104" w:rsidRDefault="00CA4CD6"/>
    <w:p w:rsidR="00CA4CD6" w:rsidRPr="00C70104" w:rsidRDefault="00A31051" w:rsidP="008F37FA">
      <w:pPr>
        <w:ind w:firstLine="720"/>
      </w:pPr>
      <w:r w:rsidRPr="00C70104">
        <w:t>The New Source Performance Standards (NSPS) for Polymeric Coating of Supporting Substrates Facilities (40 CFR Part 60, Subpart VVV) were proposed on April 30, 1987 and promulgated on September 11, 1989.</w:t>
      </w:r>
      <w:r w:rsidR="00384024" w:rsidRPr="00C70104">
        <w:t xml:space="preserve">  </w:t>
      </w:r>
      <w:r w:rsidR="00CA4CD6" w:rsidRPr="00C70104">
        <w:t xml:space="preserve">These regulations apply </w:t>
      </w:r>
      <w:r w:rsidR="00724BC7" w:rsidRPr="00C70104">
        <w:t xml:space="preserve">to </w:t>
      </w:r>
      <w:r w:rsidRPr="00C70104">
        <w:t>each coating operation and any on-site coating mix preparation equipment used to prepare coatings for the polymeric coating of supporting substrates at existing and new facilities.</w:t>
      </w:r>
      <w:r w:rsidR="00CA4CD6" w:rsidRPr="00C70104">
        <w:t xml:space="preserve"> </w:t>
      </w:r>
      <w:r w:rsidR="00384024" w:rsidRPr="00C70104">
        <w:t xml:space="preserve"> </w:t>
      </w:r>
      <w:r w:rsidR="00CA4CD6" w:rsidRPr="00C70104">
        <w:t>New facilities include those that commenced construction, modification</w:t>
      </w:r>
      <w:r w:rsidRPr="00C70104">
        <w:t xml:space="preserve">, </w:t>
      </w:r>
      <w:r w:rsidR="00CA4CD6" w:rsidRPr="00C70104">
        <w:t xml:space="preserve">or reconstruction after the date of proposal.  This information is being collected to assure compliance with </w:t>
      </w:r>
      <w:r w:rsidRPr="00C70104">
        <w:t>40 CFR Part 60, Subpart VVV</w:t>
      </w:r>
      <w:r w:rsidR="00CA4CD6" w:rsidRPr="00C70104">
        <w:t>.</w:t>
      </w:r>
    </w:p>
    <w:p w:rsidR="00CA4CD6" w:rsidRPr="00C70104" w:rsidRDefault="00CA4CD6"/>
    <w:p w:rsidR="00A31051" w:rsidRPr="00C70104" w:rsidRDefault="00CA4CD6">
      <w:pPr>
        <w:ind w:firstLine="720"/>
      </w:pPr>
      <w:r w:rsidRPr="00C70104">
        <w:t>In general, all</w:t>
      </w:r>
      <w:r w:rsidR="00A31051" w:rsidRPr="00C70104">
        <w:t xml:space="preserve"> NSPS </w:t>
      </w:r>
      <w:r w:rsidRPr="00C70104">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00A31051" w:rsidRPr="00C70104">
        <w:t xml:space="preserve"> the NSPS.</w:t>
      </w:r>
    </w:p>
    <w:p w:rsidR="00A31051" w:rsidRPr="00C70104" w:rsidRDefault="00A31051">
      <w:pPr>
        <w:ind w:firstLine="720"/>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Any owner/operator subject to the provisions of this part shall maintain a file of these measurements, and retain the file for at least</w:t>
      </w:r>
      <w:r w:rsidR="004A3715" w:rsidRPr="00C70104">
        <w:t xml:space="preserve"> two </w:t>
      </w:r>
      <w:r w:rsidRPr="00C70104">
        <w:t>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4A3715" w:rsidRPr="00C70104" w:rsidRDefault="004A3715" w:rsidP="00A31051"/>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Based on our consultations with i</w:t>
      </w:r>
      <w:r w:rsidR="00260A04" w:rsidRPr="00C70104">
        <w:t>ndustry representatives, there is</w:t>
      </w:r>
      <w:r w:rsidRPr="00C70104">
        <w:t xml:space="preserve"> an average of </w:t>
      </w:r>
      <w:r w:rsidR="004A3715" w:rsidRPr="00C70104">
        <w:t xml:space="preserve">one </w:t>
      </w:r>
      <w:r w:rsidRPr="00C70104">
        <w:t>affected facilit</w:t>
      </w:r>
      <w:r w:rsidR="00260A04" w:rsidRPr="00C70104">
        <w:t>y</w:t>
      </w:r>
      <w:r w:rsidRPr="00C70104">
        <w:t xml:space="preserve"> at each plant site</w:t>
      </w:r>
      <w:r w:rsidR="00260A04" w:rsidRPr="00C70104">
        <w:t xml:space="preserve">, and </w:t>
      </w:r>
      <w:r w:rsidRPr="00C70104">
        <w:t>each plant site has only one respondent (i.e., the owner/operator of the plant site).</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E10DA7">
      <w:pPr>
        <w:pBdr>
          <w:top w:val="single" w:sz="6" w:space="0" w:color="FFFFFF"/>
          <w:left w:val="single" w:sz="6" w:space="0" w:color="FFFFFF"/>
          <w:bottom w:val="single" w:sz="6" w:space="0" w:color="FFFFFF"/>
          <w:right w:val="single" w:sz="6" w:space="0" w:color="FFFFFF"/>
        </w:pBdr>
        <w:ind w:firstLine="720"/>
      </w:pPr>
      <w:r w:rsidRPr="00C70104">
        <w:t>Over the next three years, an average of</w:t>
      </w:r>
      <w:r w:rsidR="004A3715" w:rsidRPr="00C70104">
        <w:t xml:space="preserve"> 5</w:t>
      </w:r>
      <w:r w:rsidR="00FD7631" w:rsidRPr="00C70104">
        <w:t>8</w:t>
      </w:r>
      <w:r w:rsidR="004A3715" w:rsidRPr="00C70104">
        <w:t xml:space="preserve"> </w:t>
      </w:r>
      <w:r w:rsidR="00A60014">
        <w:t xml:space="preserve">existing </w:t>
      </w:r>
      <w:r w:rsidR="00CA4CD6" w:rsidRPr="00C70104">
        <w:t xml:space="preserve">respondents </w:t>
      </w:r>
      <w:r w:rsidRPr="00C70104">
        <w:t>per year will be subject to the standard</w:t>
      </w:r>
      <w:r w:rsidR="00CA4CD6" w:rsidRPr="00C70104">
        <w:t xml:space="preserve">, and </w:t>
      </w:r>
      <w:r w:rsidR="004A3715" w:rsidRPr="00C70104">
        <w:t xml:space="preserve">1 </w:t>
      </w:r>
      <w:r w:rsidRPr="00C70104">
        <w:t xml:space="preserve">additional </w:t>
      </w:r>
      <w:r w:rsidR="004A3715" w:rsidRPr="00C70104">
        <w:t>respondent</w:t>
      </w:r>
      <w:r w:rsidR="00CA4CD6" w:rsidRPr="00C70104">
        <w:t xml:space="preserve"> </w:t>
      </w:r>
      <w:r w:rsidRPr="00C70104">
        <w:t xml:space="preserve">per year </w:t>
      </w:r>
      <w:r w:rsidR="00CA4CD6" w:rsidRPr="00C70104">
        <w:t xml:space="preserve">will become subject to the </w:t>
      </w:r>
      <w:r w:rsidRPr="00C70104">
        <w:t>standard.</w:t>
      </w:r>
    </w:p>
    <w:p w:rsidR="00CA4CD6" w:rsidRPr="00C70104" w:rsidRDefault="00CA4CD6">
      <w:pPr>
        <w:pBdr>
          <w:top w:val="single" w:sz="6" w:space="0" w:color="FFFFFF"/>
          <w:left w:val="single" w:sz="6" w:space="0" w:color="FFFFFF"/>
          <w:bottom w:val="single" w:sz="6" w:space="0" w:color="FFFFFF"/>
          <w:right w:val="single" w:sz="6" w:space="0" w:color="FFFFFF"/>
        </w:pBdr>
      </w:pPr>
    </w:p>
    <w:p w:rsidR="004A3715" w:rsidRPr="00C70104" w:rsidRDefault="00A60014" w:rsidP="004A3715">
      <w:pPr>
        <w:pBdr>
          <w:top w:val="single" w:sz="6" w:space="0" w:color="FFFFFF"/>
          <w:left w:val="single" w:sz="6" w:space="0" w:color="FFFFFF"/>
          <w:bottom w:val="single" w:sz="6" w:space="0" w:color="FFFFFF"/>
          <w:right w:val="single" w:sz="6" w:space="0" w:color="FFFFFF"/>
        </w:pBdr>
        <w:ind w:firstLine="720"/>
      </w:pPr>
      <w:r>
        <w:t>The Office of Management and Budget (</w:t>
      </w:r>
      <w:r w:rsidR="004A3715" w:rsidRPr="00C70104">
        <w:t>OMB</w:t>
      </w:r>
      <w:r>
        <w:t>)</w:t>
      </w:r>
      <w:r w:rsidR="004A3715" w:rsidRPr="00C70104">
        <w:t xml:space="preserve"> approved the currently active ICR without any “Terms of Clearance.”</w:t>
      </w:r>
    </w:p>
    <w:p w:rsidR="009D6567" w:rsidRPr="00C70104" w:rsidRDefault="009D6567">
      <w:pPr>
        <w:pBdr>
          <w:top w:val="single" w:sz="6" w:space="0" w:color="FFFFFF"/>
          <w:left w:val="single" w:sz="6" w:space="0" w:color="FFFFFF"/>
          <w:bottom w:val="single" w:sz="6" w:space="0" w:color="FFFFFF"/>
          <w:right w:val="single" w:sz="6" w:space="0" w:color="FFFFFF"/>
        </w:pBdr>
        <w:ind w:firstLine="720"/>
      </w:pPr>
    </w:p>
    <w:p w:rsidR="004A3715" w:rsidRPr="00C70104" w:rsidRDefault="004A3715" w:rsidP="007C391F">
      <w:pPr>
        <w:keepLines/>
        <w:pBdr>
          <w:top w:val="single" w:sz="6" w:space="0" w:color="FFFFFF"/>
          <w:left w:val="single" w:sz="6" w:space="0" w:color="FFFFFF"/>
          <w:bottom w:val="single" w:sz="6" w:space="0" w:color="FFFFFF"/>
          <w:right w:val="single" w:sz="6" w:space="0" w:color="FFFFFF"/>
        </w:pBdr>
        <w:ind w:firstLine="720"/>
      </w:pPr>
      <w:r w:rsidRPr="00C70104">
        <w:lastRenderedPageBreak/>
        <w:t>The term “Affected Public” applies to private sector businesses or other for-profits that perform polymeric coating of supporting substrates, and may be found in Table 1</w:t>
      </w:r>
      <w:r w:rsidR="00D73E88" w:rsidRPr="00C70104">
        <w:t>: Annual Respondent Burden and Cost – NSPS for Polymeric Coating of Supporting Substrates Facilities (40 CFR Part 60, Subpart VVV) (Renewal)</w:t>
      </w:r>
      <w:r w:rsidRPr="00C70104">
        <w:t>.  The burden to the “Federal Government” is attributed entirely to work performed by federal employees or government contractors, and may be found in Table 2</w:t>
      </w:r>
      <w:r w:rsidR="005A46D3" w:rsidRPr="00C70104">
        <w:t>: Average Annual EPA Burden and Cost – NSPS for Polymeric Coating of Supporting Substrates Facilities (40 CFR Part 60, Subpart VVV) (Renewal)</w:t>
      </w:r>
      <w:r w:rsidRPr="00C70104">
        <w:t>.</w:t>
      </w:r>
    </w:p>
    <w:p w:rsidR="002B29A5" w:rsidRPr="00C70104" w:rsidRDefault="002B29A5" w:rsidP="002B29A5"/>
    <w:p w:rsidR="00CA4CD6" w:rsidRPr="00C70104" w:rsidRDefault="00CA4CD6" w:rsidP="00504745">
      <w:pPr>
        <w:pBdr>
          <w:top w:val="single" w:sz="6" w:space="0" w:color="FFFFFF"/>
          <w:left w:val="single" w:sz="6" w:space="0" w:color="FFFFFF"/>
          <w:bottom w:val="single" w:sz="6" w:space="0" w:color="FFFFFF"/>
          <w:right w:val="single" w:sz="6" w:space="0" w:color="FFFFFF"/>
        </w:pBdr>
        <w:outlineLvl w:val="0"/>
      </w:pPr>
      <w:r w:rsidRPr="00C70104">
        <w:rPr>
          <w:b/>
          <w:bCs/>
        </w:rPr>
        <w:t>2.  Need for and Use of the Collection</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rPr>
          <w:b/>
          <w:bCs/>
        </w:rPr>
      </w:pPr>
      <w:r w:rsidRPr="00C70104">
        <w:rPr>
          <w:b/>
          <w:bCs/>
        </w:rPr>
        <w:t>2(a)  Need/Authority for the Collection</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 xml:space="preserve">The EPA is charged under Section 111 of the Clean Air Act (CAA), as amended, to establish standards of performance for new stationary sources that reflect: </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left="1440" w:right="1440"/>
      </w:pPr>
      <w:r w:rsidRPr="00C70104">
        <w:rPr>
          <w:b/>
          <w:bCs/>
        </w:rPr>
        <w:t>. . .</w:t>
      </w:r>
      <w:r w:rsidRPr="00C70104">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C70104" w:rsidRDefault="00CA4CD6">
      <w:pPr>
        <w:pBdr>
          <w:top w:val="single" w:sz="6" w:space="0" w:color="FFFFFF"/>
          <w:left w:val="single" w:sz="6" w:space="0" w:color="FFFFFF"/>
          <w:bottom w:val="single" w:sz="6" w:space="0" w:color="FFFFFF"/>
          <w:right w:val="single" w:sz="6" w:space="0" w:color="FFFFFF"/>
        </w:pBdr>
      </w:pPr>
    </w:p>
    <w:p w:rsidR="00446CDE" w:rsidRPr="00C70104" w:rsidRDefault="00CA4CD6">
      <w:pPr>
        <w:pBdr>
          <w:top w:val="single" w:sz="6" w:space="0" w:color="FFFFFF"/>
          <w:left w:val="single" w:sz="6" w:space="0" w:color="FFFFFF"/>
          <w:bottom w:val="single" w:sz="6" w:space="0" w:color="FFFFFF"/>
          <w:right w:val="single" w:sz="6" w:space="0" w:color="FFFFFF"/>
        </w:pBdr>
      </w:pPr>
      <w:r w:rsidRPr="00C70104">
        <w:t>The Agency refers to this charge as selecting the best demonstrated technology (BDT).  Section 111 also requires that the Administrator review and, if appropriate, revise such standards every four years.</w:t>
      </w:r>
    </w:p>
    <w:p w:rsidR="00446CDE" w:rsidRPr="00C70104" w:rsidRDefault="00446CDE">
      <w:pPr>
        <w:pBdr>
          <w:top w:val="single" w:sz="6" w:space="0" w:color="FFFFFF"/>
          <w:left w:val="single" w:sz="6" w:space="0" w:color="FFFFFF"/>
          <w:bottom w:val="single" w:sz="6" w:space="0" w:color="FFFFFF"/>
          <w:right w:val="single" w:sz="6" w:space="0" w:color="FFFFFF"/>
        </w:pBdr>
        <w:ind w:firstLine="720"/>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 xml:space="preserve">In addition, section 114(a) states that the Administrator may require any owner/operator subject to any requirement of this Act to: </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left="1440" w:right="1440"/>
      </w:pPr>
      <w:r w:rsidRPr="00C7010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446CDE" w:rsidRPr="00C70104">
        <w:t>strator may reasonably require.</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rsidP="007C391F">
      <w:pPr>
        <w:widowControl/>
        <w:pBdr>
          <w:top w:val="single" w:sz="6" w:space="0" w:color="FFFFFF"/>
          <w:left w:val="single" w:sz="6" w:space="0" w:color="FFFFFF"/>
          <w:bottom w:val="single" w:sz="6" w:space="0" w:color="FFFFFF"/>
          <w:right w:val="single" w:sz="6" w:space="0" w:color="FFFFFF"/>
        </w:pBdr>
        <w:ind w:firstLine="720"/>
      </w:pPr>
      <w:r w:rsidRPr="00C70104">
        <w:t>In the Administrator's judgment,</w:t>
      </w:r>
      <w:r w:rsidR="00446CDE" w:rsidRPr="00C70104">
        <w:t xml:space="preserve"> volatile organic compound (VOC) </w:t>
      </w:r>
      <w:r w:rsidRPr="00C70104">
        <w:t>emissions from</w:t>
      </w:r>
      <w:r w:rsidR="00446CDE" w:rsidRPr="00C70104">
        <w:t xml:space="preserve"> polymeric coating of supporting substrates facilities</w:t>
      </w:r>
      <w:r w:rsidRPr="00C70104">
        <w:t xml:space="preserve"> cause</w:t>
      </w:r>
      <w:r w:rsidR="005632AC" w:rsidRPr="00C70104">
        <w:t>s</w:t>
      </w:r>
      <w:r w:rsidRPr="00C70104">
        <w:t xml:space="preserve"> or contribute</w:t>
      </w:r>
      <w:r w:rsidR="005632AC" w:rsidRPr="00C70104">
        <w:t>s</w:t>
      </w:r>
      <w:r w:rsidRPr="00C70104">
        <w:t xml:space="preserve"> to air pollution that </w:t>
      </w:r>
      <w:r w:rsidRPr="00C70104">
        <w:lastRenderedPageBreak/>
        <w:t xml:space="preserve">may reasonably be anticipated to endanger public health or welfare.  Therefore, the </w:t>
      </w:r>
      <w:r w:rsidR="005632AC" w:rsidRPr="00C70104">
        <w:t xml:space="preserve">NSPS </w:t>
      </w:r>
      <w:r w:rsidRPr="00C70104">
        <w:t xml:space="preserve">were promulgated for this source category at </w:t>
      </w:r>
      <w:r w:rsidR="005632AC" w:rsidRPr="00C70104">
        <w:t>40 CFR Part 60, Subpart VVV</w:t>
      </w:r>
      <w:r w:rsidRPr="00C70104">
        <w:t>.</w:t>
      </w:r>
    </w:p>
    <w:p w:rsidR="00CA4CD6" w:rsidRPr="00C70104" w:rsidRDefault="00CA4CD6">
      <w:pPr>
        <w:pBdr>
          <w:top w:val="single" w:sz="6" w:space="0" w:color="FFFFFF"/>
          <w:left w:val="single" w:sz="6" w:space="0" w:color="FFFFFF"/>
          <w:bottom w:val="single" w:sz="6" w:space="0" w:color="FFFFFF"/>
          <w:right w:val="single" w:sz="6" w:space="0" w:color="FFFFFF"/>
        </w:pBdr>
        <w:ind w:firstLine="720"/>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rPr>
          <w:b/>
          <w:bCs/>
        </w:rPr>
        <w:t>2(b)  Practical Utility/Users of the Data</w:t>
      </w:r>
    </w:p>
    <w:p w:rsidR="00CA4CD6" w:rsidRPr="00C70104" w:rsidRDefault="00CA4CD6">
      <w:pPr>
        <w:pBdr>
          <w:top w:val="single" w:sz="6" w:space="0" w:color="FFFFFF"/>
          <w:left w:val="single" w:sz="6" w:space="0" w:color="FFFFFF"/>
          <w:bottom w:val="single" w:sz="6" w:space="0" w:color="FFFFFF"/>
          <w:right w:val="single" w:sz="6" w:space="0" w:color="FFFFFF"/>
        </w:pBdr>
      </w:pPr>
    </w:p>
    <w:p w:rsidR="00C55E0F" w:rsidRPr="00C70104" w:rsidRDefault="009B755C">
      <w:pPr>
        <w:pBdr>
          <w:top w:val="single" w:sz="6" w:space="0" w:color="FFFFFF"/>
          <w:left w:val="single" w:sz="6" w:space="0" w:color="FFFFFF"/>
          <w:bottom w:val="single" w:sz="6" w:space="0" w:color="FFFFFF"/>
          <w:right w:val="single" w:sz="6" w:space="0" w:color="FFFFFF"/>
        </w:pBdr>
        <w:ind w:firstLine="720"/>
      </w:pPr>
      <w:r w:rsidRPr="00C70104">
        <w:t xml:space="preserve">Control of VOC emissions from polymeric coating of supporting substrates facilities requires not only the installation of properly designed equipment, but also the operation and maintenance of that equipment.  VOC emissions are generated by each coating operation and associated coating mix preparation equipment used to prepare the polymeric coating.  The standard relies </w:t>
      </w:r>
      <w:r w:rsidR="00C55E0F" w:rsidRPr="00C70104">
        <w:t>on:</w:t>
      </w:r>
    </w:p>
    <w:p w:rsidR="00C55E0F" w:rsidRPr="00C70104" w:rsidRDefault="00C55E0F">
      <w:pPr>
        <w:pBdr>
          <w:top w:val="single" w:sz="6" w:space="0" w:color="FFFFFF"/>
          <w:left w:val="single" w:sz="6" w:space="0" w:color="FFFFFF"/>
          <w:bottom w:val="single" w:sz="6" w:space="0" w:color="FFFFFF"/>
          <w:right w:val="single" w:sz="6" w:space="0" w:color="FFFFFF"/>
        </w:pBdr>
        <w:ind w:firstLine="720"/>
      </w:pPr>
    </w:p>
    <w:p w:rsidR="00C55E0F" w:rsidRPr="00C70104" w:rsidRDefault="00C55E0F" w:rsidP="00A60014">
      <w:pPr>
        <w:pStyle w:val="ListParagraph"/>
        <w:numPr>
          <w:ilvl w:val="0"/>
          <w:numId w:val="5"/>
        </w:numPr>
        <w:pBdr>
          <w:top w:val="single" w:sz="6" w:space="0" w:color="FFFFFF"/>
          <w:left w:val="single" w:sz="6" w:space="0" w:color="FFFFFF"/>
          <w:bottom w:val="single" w:sz="6" w:space="0" w:color="FFFFFF"/>
          <w:right w:val="single" w:sz="6" w:space="0" w:color="FFFFFF"/>
        </w:pBdr>
        <w:ind w:left="720"/>
      </w:pPr>
      <w:r w:rsidRPr="00C70104">
        <w:t>T</w:t>
      </w:r>
      <w:r w:rsidR="009B755C" w:rsidRPr="00C70104">
        <w:t>he capture of VOC emissions by partial or total enclosure around the coating ope</w:t>
      </w:r>
      <w:r w:rsidRPr="00C70104">
        <w:t>ration and by installing covers over each piece of affected mix preparation equipment (“alternative standard”)</w:t>
      </w:r>
      <w:r w:rsidR="009B755C" w:rsidRPr="00C70104">
        <w:t>;</w:t>
      </w:r>
    </w:p>
    <w:p w:rsidR="00C55E0F" w:rsidRPr="00C70104" w:rsidRDefault="00C55E0F" w:rsidP="00A60014">
      <w:pPr>
        <w:pStyle w:val="ListParagraph"/>
        <w:numPr>
          <w:ilvl w:val="0"/>
          <w:numId w:val="5"/>
        </w:numPr>
        <w:pBdr>
          <w:top w:val="single" w:sz="6" w:space="0" w:color="FFFFFF"/>
          <w:left w:val="single" w:sz="6" w:space="0" w:color="FFFFFF"/>
          <w:bottom w:val="single" w:sz="6" w:space="0" w:color="FFFFFF"/>
          <w:right w:val="single" w:sz="6" w:space="0" w:color="FFFFFF"/>
        </w:pBdr>
        <w:ind w:left="720"/>
      </w:pPr>
      <w:r w:rsidRPr="00C70104">
        <w:t>T</w:t>
      </w:r>
      <w:r w:rsidR="009B755C" w:rsidRPr="00C70104">
        <w:t xml:space="preserve">he reduction of VOC emissions from the coating operation </w:t>
      </w:r>
      <w:r w:rsidRPr="00C70104">
        <w:t xml:space="preserve">and affected covered equipment </w:t>
      </w:r>
      <w:r w:rsidR="009B755C" w:rsidRPr="00C70104">
        <w:t>to a control device (“emission reduction standard”); and</w:t>
      </w:r>
    </w:p>
    <w:p w:rsidR="009B755C" w:rsidRPr="00C70104" w:rsidRDefault="00C55E0F" w:rsidP="00A60014">
      <w:pPr>
        <w:pStyle w:val="ListParagraph"/>
        <w:numPr>
          <w:ilvl w:val="0"/>
          <w:numId w:val="5"/>
        </w:numPr>
        <w:pBdr>
          <w:top w:val="single" w:sz="6" w:space="0" w:color="FFFFFF"/>
          <w:left w:val="single" w:sz="6" w:space="0" w:color="FFFFFF"/>
          <w:bottom w:val="single" w:sz="6" w:space="0" w:color="FFFFFF"/>
          <w:right w:val="single" w:sz="6" w:space="0" w:color="FFFFFF"/>
        </w:pBdr>
        <w:ind w:left="720"/>
      </w:pPr>
      <w:r w:rsidRPr="00C70104">
        <w:t>T</w:t>
      </w:r>
      <w:r w:rsidR="009B755C" w:rsidRPr="00C70104">
        <w:t xml:space="preserve">he recovery of VOC emissions at one coating operation if </w:t>
      </w:r>
      <w:r w:rsidRPr="00C70104">
        <w:t>the</w:t>
      </w:r>
      <w:r w:rsidR="009B755C" w:rsidRPr="00C70104">
        <w:t xml:space="preserve"> liquid material balance</w:t>
      </w:r>
      <w:r w:rsidRPr="00C70104">
        <w:t xml:space="preserve"> method</w:t>
      </w:r>
      <w:r w:rsidR="009B755C" w:rsidRPr="00C70104">
        <w:t xml:space="preserve"> is used to demonstrate compliance.</w:t>
      </w:r>
    </w:p>
    <w:p w:rsidR="009B755C" w:rsidRPr="00C70104" w:rsidRDefault="009B755C">
      <w:pPr>
        <w:pBdr>
          <w:top w:val="single" w:sz="6" w:space="0" w:color="FFFFFF"/>
          <w:left w:val="single" w:sz="6" w:space="0" w:color="FFFFFF"/>
          <w:bottom w:val="single" w:sz="6" w:space="0" w:color="FFFFFF"/>
          <w:right w:val="single" w:sz="6" w:space="0" w:color="FFFFFF"/>
        </w:pBdr>
        <w:ind w:firstLine="720"/>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The recordkeeping and reporting requirements in the standard ensure</w:t>
      </w:r>
      <w:r w:rsidR="009B755C" w:rsidRPr="00C70104">
        <w:t>s</w:t>
      </w:r>
      <w:r w:rsidRPr="00C70104">
        <w:t xml:space="preserve"> compliance with the applicable regulations which where promulgated in accordance with the Clean Air Act.  The collected information is also used for targeting inspections and as evidence in legal proceedings.</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Performance tests are required in order to determine an affected facility</w:t>
      </w:r>
      <w:r w:rsidR="00724BC7" w:rsidRPr="00C70104">
        <w:t>’</w:t>
      </w:r>
      <w:r w:rsidRPr="00C70104">
        <w:t>s initial capability to comply with the emission standard. Continuous emission monitors are used to ensure compliance with the standard at all times</w:t>
      </w:r>
      <w:r w:rsidR="009B755C" w:rsidRPr="00C70104">
        <w:t>.</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The notifications required in the standard are used to inform the Agency or delegated authority when a source becomes subject to the requirements of the regulations.  The reviewing authority may then inspect the source to check if the</w:t>
      </w:r>
      <w:r w:rsidR="009B755C" w:rsidRPr="00C70104">
        <w:t xml:space="preserve"> </w:t>
      </w:r>
      <w:r w:rsidRPr="00C70104">
        <w:t>pollution control devices are properly installed and operated</w:t>
      </w:r>
      <w:r w:rsidR="009B755C" w:rsidRPr="00C70104">
        <w:t xml:space="preserve"> </w:t>
      </w:r>
      <w:r w:rsidRPr="00C70104">
        <w:t xml:space="preserve">and </w:t>
      </w:r>
      <w:r w:rsidR="009B755C" w:rsidRPr="00C70104">
        <w:t xml:space="preserve">that </w:t>
      </w:r>
      <w:r w:rsidRPr="00C70104">
        <w:t>the standard</w:t>
      </w:r>
      <w:r w:rsidR="009B755C" w:rsidRPr="00C70104">
        <w:t xml:space="preserve"> is</w:t>
      </w:r>
      <w:r w:rsidRPr="00C70104">
        <w:t xml:space="preserve"> being met.  The performance test may also be observed.</w:t>
      </w:r>
    </w:p>
    <w:p w:rsidR="00CA4CD6" w:rsidRPr="00C70104" w:rsidRDefault="00CA4CD6">
      <w:pPr>
        <w:pBdr>
          <w:top w:val="single" w:sz="6" w:space="0" w:color="FFFFFF"/>
          <w:left w:val="single" w:sz="6" w:space="0" w:color="FFFFFF"/>
          <w:bottom w:val="single" w:sz="6" w:space="0" w:color="FFFFFF"/>
          <w:right w:val="single" w:sz="6" w:space="0" w:color="FFFFFF"/>
        </w:pBdr>
        <w:ind w:firstLine="720"/>
      </w:pPr>
    </w:p>
    <w:p w:rsidR="00C55E0F" w:rsidRPr="00C70104" w:rsidRDefault="00CA4CD6" w:rsidP="00C55E0F">
      <w:pPr>
        <w:pBdr>
          <w:top w:val="single" w:sz="6" w:space="0" w:color="FFFFFF"/>
          <w:left w:val="single" w:sz="6" w:space="0" w:color="FFFFFF"/>
          <w:bottom w:val="single" w:sz="6" w:space="0" w:color="FFFFFF"/>
          <w:right w:val="single" w:sz="6" w:space="0" w:color="FFFFFF"/>
        </w:pBdr>
        <w:ind w:firstLine="720"/>
      </w:pPr>
      <w:r w:rsidRPr="00C70104">
        <w:t xml:space="preserve">The required </w:t>
      </w:r>
      <w:r w:rsidR="009B755C" w:rsidRPr="00C70104">
        <w:t>quarterly and semiannual</w:t>
      </w:r>
      <w:r w:rsidRPr="00C70104">
        <w:t xml:space="preserve"> reports are used to determine periods of excess emissions, identify problems at the facility, verify operation/maintenance procedures</w:t>
      </w:r>
      <w:r w:rsidR="009B755C" w:rsidRPr="00C70104">
        <w:t>,</w:t>
      </w:r>
      <w:r w:rsidRPr="00C70104">
        <w:t xml:space="preserve"> and for compliance determinations.</w:t>
      </w:r>
    </w:p>
    <w:p w:rsidR="00606DEF" w:rsidRPr="00C70104" w:rsidRDefault="00606DEF">
      <w:pPr>
        <w:pBdr>
          <w:top w:val="single" w:sz="6" w:space="0" w:color="FFFFFF"/>
          <w:left w:val="single" w:sz="6" w:space="0" w:color="FFFFFF"/>
          <w:bottom w:val="single" w:sz="6" w:space="0" w:color="FFFFFF"/>
          <w:right w:val="single" w:sz="6" w:space="0" w:color="FFFFFF"/>
        </w:pBdr>
      </w:pPr>
    </w:p>
    <w:p w:rsidR="00CA4CD6" w:rsidRPr="00C70104"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C70104">
        <w:rPr>
          <w:b/>
          <w:bCs/>
        </w:rPr>
        <w:t>3.  Nonduplication, Consultations, and Other Collection Criteria</w:t>
      </w:r>
    </w:p>
    <w:p w:rsidR="00CA4CD6" w:rsidRPr="00C70104" w:rsidRDefault="00CA4CD6">
      <w:pPr>
        <w:pBdr>
          <w:top w:val="single" w:sz="6" w:space="0" w:color="FFFFFF"/>
          <w:left w:val="single" w:sz="6" w:space="0" w:color="FFFFFF"/>
          <w:bottom w:val="single" w:sz="6" w:space="0" w:color="FFFFFF"/>
          <w:right w:val="single" w:sz="6" w:space="0" w:color="FFFFFF"/>
        </w:pBdr>
        <w:rPr>
          <w:b/>
          <w:bCs/>
        </w:rPr>
      </w:pPr>
    </w:p>
    <w:p w:rsidR="00CA4CD6" w:rsidRPr="00C70104" w:rsidRDefault="00CA4CD6">
      <w:pPr>
        <w:pBdr>
          <w:top w:val="single" w:sz="6" w:space="0" w:color="FFFFFF"/>
          <w:left w:val="single" w:sz="6" w:space="0" w:color="FFFFFF"/>
          <w:bottom w:val="single" w:sz="6" w:space="0" w:color="FFFFFF"/>
          <w:right w:val="single" w:sz="6" w:space="0" w:color="FFFFFF"/>
        </w:pBdr>
        <w:ind w:firstLine="720"/>
        <w:rPr>
          <w:b/>
          <w:bCs/>
        </w:rPr>
      </w:pPr>
      <w:r w:rsidRPr="00C70104">
        <w:t>The requested recordkeeping an</w:t>
      </w:r>
      <w:r w:rsidR="003F1AFC" w:rsidRPr="00C70104">
        <w:t xml:space="preserve">d reporting are required under </w:t>
      </w:r>
      <w:r w:rsidR="007852AA" w:rsidRPr="00C70104">
        <w:t>40 CFR Part 60, Subpart VVV</w:t>
      </w:r>
      <w:r w:rsidRPr="00C70104">
        <w:t>.</w:t>
      </w:r>
    </w:p>
    <w:p w:rsidR="00CA4CD6" w:rsidRPr="00C70104" w:rsidRDefault="00CA4CD6">
      <w:pPr>
        <w:pBdr>
          <w:top w:val="single" w:sz="6" w:space="0" w:color="FFFFFF"/>
          <w:left w:val="single" w:sz="6" w:space="0" w:color="FFFFFF"/>
          <w:bottom w:val="single" w:sz="6" w:space="0" w:color="FFFFFF"/>
          <w:right w:val="single" w:sz="6" w:space="0" w:color="FFFFFF"/>
        </w:pBdr>
        <w:rPr>
          <w:b/>
          <w:bCs/>
        </w:rPr>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ind w:firstLine="720"/>
      </w:pPr>
      <w:r w:rsidRPr="00C70104">
        <w:rPr>
          <w:b/>
          <w:bCs/>
        </w:rPr>
        <w:t>3(a)  Nonduplication</w:t>
      </w:r>
    </w:p>
    <w:p w:rsidR="00CA4CD6" w:rsidRPr="00C70104" w:rsidRDefault="00CA4CD6" w:rsidP="007C391F">
      <w:pPr>
        <w:keepNext/>
        <w:pBdr>
          <w:top w:val="single" w:sz="6" w:space="0" w:color="FFFFFF"/>
          <w:left w:val="single" w:sz="6" w:space="0" w:color="FFFFFF"/>
          <w:bottom w:val="single" w:sz="6" w:space="0" w:color="FFFFFF"/>
          <w:right w:val="single" w:sz="6" w:space="0" w:color="FFFFFF"/>
        </w:pBdr>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ind w:firstLine="720"/>
      </w:pPr>
      <w:r w:rsidRPr="00C70104">
        <w:t xml:space="preserve"> If the subject standards have not been delegated, the information is sent directly to the </w:t>
      </w:r>
      <w:r w:rsidRPr="00C70104">
        <w:lastRenderedPageBreak/>
        <w:t>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rPr>
          <w:b/>
          <w:bCs/>
        </w:rPr>
        <w:t>3(b)  Public Notice Required Prior to ICR Submission to OMB</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 xml:space="preserve">An announcement of a public comment period for the renewal of this ICR was published in the </w:t>
      </w:r>
      <w:r w:rsidRPr="00C70104">
        <w:rPr>
          <w:u w:val="single"/>
        </w:rPr>
        <w:t>Federal Register</w:t>
      </w:r>
      <w:r w:rsidRPr="00C70104">
        <w:t xml:space="preserve"> </w:t>
      </w:r>
      <w:r w:rsidR="007852AA" w:rsidRPr="00C70104">
        <w:t xml:space="preserve">(79 </w:t>
      </w:r>
      <w:r w:rsidRPr="00C70104">
        <w:rPr>
          <w:u w:val="single"/>
        </w:rPr>
        <w:t>FR</w:t>
      </w:r>
      <w:r w:rsidR="007852AA" w:rsidRPr="00C70104">
        <w:t xml:space="preserve"> 30117)</w:t>
      </w:r>
      <w:r w:rsidRPr="00C70104">
        <w:t xml:space="preserve"> on</w:t>
      </w:r>
      <w:r w:rsidR="007852AA" w:rsidRPr="00C70104">
        <w:t xml:space="preserve"> May 27, 2014</w:t>
      </w:r>
      <w:r w:rsidRPr="00C70104">
        <w:t xml:space="preserve">.  No comments were received on the burden published in the </w:t>
      </w:r>
      <w:r w:rsidRPr="00C70104">
        <w:rPr>
          <w:u w:val="single"/>
        </w:rPr>
        <w:t>Federal Register</w:t>
      </w:r>
      <w:r w:rsidRPr="00C70104">
        <w:t>.</w:t>
      </w:r>
    </w:p>
    <w:p w:rsidR="00CA4CD6" w:rsidRPr="00C70104" w:rsidRDefault="00CA4CD6">
      <w:pPr>
        <w:pBdr>
          <w:top w:val="single" w:sz="6" w:space="0" w:color="FFFFFF"/>
          <w:left w:val="single" w:sz="6" w:space="0" w:color="FFFFFF"/>
          <w:bottom w:val="single" w:sz="6" w:space="0" w:color="FFFFFF"/>
          <w:right w:val="single" w:sz="6" w:space="0" w:color="FFFFFF"/>
        </w:pBdr>
      </w:pPr>
    </w:p>
    <w:p w:rsidR="00123889" w:rsidRPr="00C70104" w:rsidRDefault="00123889" w:rsidP="00123889">
      <w:pPr>
        <w:pBdr>
          <w:top w:val="single" w:sz="6" w:space="0" w:color="FFFFFF"/>
          <w:left w:val="single" w:sz="6" w:space="0" w:color="FFFFFF"/>
          <w:bottom w:val="single" w:sz="6" w:space="0" w:color="FFFFFF"/>
          <w:right w:val="single" w:sz="6" w:space="0" w:color="FFFFFF"/>
        </w:pBdr>
        <w:ind w:firstLine="720"/>
      </w:pPr>
      <w:r w:rsidRPr="00C70104">
        <w:rPr>
          <w:b/>
          <w:bCs/>
        </w:rPr>
        <w:t>3(c)  Consultations</w:t>
      </w:r>
    </w:p>
    <w:p w:rsidR="00E53137" w:rsidRPr="00C70104" w:rsidRDefault="00E53137" w:rsidP="00D92F66">
      <w:pPr>
        <w:spacing w:line="244" w:lineRule="exact"/>
      </w:pPr>
    </w:p>
    <w:p w:rsidR="00DD7050" w:rsidRPr="00C70104" w:rsidRDefault="00DD7050" w:rsidP="007852AA">
      <w:pPr>
        <w:widowControl/>
        <w:ind w:firstLine="720"/>
        <w:outlineLvl w:val="0"/>
      </w:pPr>
      <w:r w:rsidRPr="00C70104">
        <w:t xml:space="preserve">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w:t>
      </w:r>
    </w:p>
    <w:p w:rsidR="00DD7050" w:rsidRPr="00C70104" w:rsidRDefault="00DD7050" w:rsidP="00E43D4E">
      <w:pPr>
        <w:widowControl/>
        <w:ind w:firstLine="720"/>
        <w:outlineLvl w:val="0"/>
      </w:pPr>
    </w:p>
    <w:p w:rsidR="00E43D4E" w:rsidRPr="00C70104" w:rsidRDefault="00123889" w:rsidP="00CC681F">
      <w:pPr>
        <w:widowControl/>
        <w:ind w:firstLine="720"/>
        <w:outlineLvl w:val="0"/>
      </w:pPr>
      <w:r w:rsidRPr="00C70104">
        <w:t>Consultations with industry representatives (i.e., respondents) were conducted to determine if there is any</w:t>
      </w:r>
      <w:r w:rsidR="00E43D4E" w:rsidRPr="00C70104">
        <w:t xml:space="preserve"> </w:t>
      </w:r>
      <w:r w:rsidRPr="00C70104">
        <w:t>way for EPA to reduce the recordkeeping and reporting burden or improve the language in the standard to make it easier to comply.</w:t>
      </w:r>
      <w:r w:rsidR="00E43D4E" w:rsidRPr="00C70104">
        <w:t xml:space="preserve">  </w:t>
      </w:r>
      <w:r w:rsidR="00CF2B37" w:rsidRPr="00C70104">
        <w:t xml:space="preserve">In developing this ICR, we contacted both </w:t>
      </w:r>
      <w:r w:rsidR="009621DE" w:rsidRPr="00C70104">
        <w:t xml:space="preserve">Cytec Engineered Materials at (507) 312-8824 and </w:t>
      </w:r>
      <w:r w:rsidR="00CF2B37" w:rsidRPr="00C70104">
        <w:t>the</w:t>
      </w:r>
      <w:r w:rsidR="009621DE" w:rsidRPr="00C70104">
        <w:t xml:space="preserve"> Chemical Fabrics and Film Association at (216) 241-7333.</w:t>
      </w:r>
    </w:p>
    <w:p w:rsidR="00123889" w:rsidRPr="00C70104" w:rsidRDefault="00123889">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rPr>
          <w:b/>
          <w:bCs/>
        </w:rPr>
        <w:t>3(d)  Effects of Less Frequent Collection</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C70104">
        <w:t xml:space="preserve">the proper </w:t>
      </w:r>
      <w:r w:rsidRPr="00C70104">
        <w:t xml:space="preserve">operation and maintenance of control equipment </w:t>
      </w:r>
      <w:r w:rsidR="002C1F95" w:rsidRPr="00C70104">
        <w:t>and the possibility of detecting violations would be less likely.</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rPr>
          <w:b/>
          <w:bCs/>
        </w:rPr>
        <w:t>3(e)  General Guidelines</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101B40">
      <w:pPr>
        <w:pBdr>
          <w:top w:val="single" w:sz="6" w:space="0" w:color="FFFFFF"/>
          <w:left w:val="single" w:sz="6" w:space="0" w:color="FFFFFF"/>
          <w:bottom w:val="single" w:sz="6" w:space="0" w:color="FFFFFF"/>
          <w:right w:val="single" w:sz="6" w:space="0" w:color="FFFFFF"/>
        </w:pBdr>
        <w:ind w:firstLine="720"/>
      </w:pPr>
      <w:r w:rsidRPr="00C70104">
        <w:t>T</w:t>
      </w:r>
      <w:r w:rsidR="00CA4CD6" w:rsidRPr="00C70104">
        <w:t xml:space="preserve">hese reporting or recordkeeping requirements </w:t>
      </w:r>
      <w:r w:rsidRPr="00C70104">
        <w:t xml:space="preserve">do not </w:t>
      </w:r>
      <w:r w:rsidR="00CA4CD6" w:rsidRPr="00C70104">
        <w:t xml:space="preserve">violate any of the regulations </w:t>
      </w:r>
      <w:r w:rsidR="00206932" w:rsidRPr="00C70104">
        <w:t>promulgated by</w:t>
      </w:r>
      <w:r w:rsidRPr="00C70104">
        <w:t xml:space="preserve"> </w:t>
      </w:r>
      <w:r w:rsidR="00CA4CD6" w:rsidRPr="00C70104">
        <w:t xml:space="preserve">OMB </w:t>
      </w:r>
      <w:r w:rsidRPr="00C70104">
        <w:t>under</w:t>
      </w:r>
      <w:r w:rsidR="00CA4CD6" w:rsidRPr="00C70104">
        <w:t xml:space="preserve"> 5 CFR </w:t>
      </w:r>
      <w:r w:rsidR="003B384B" w:rsidRPr="00C70104">
        <w:t xml:space="preserve">Part </w:t>
      </w:r>
      <w:r w:rsidR="00CA4CD6" w:rsidRPr="00C70104">
        <w:t xml:space="preserve">1320, </w:t>
      </w:r>
      <w:r w:rsidR="003B384B" w:rsidRPr="00C70104">
        <w:t xml:space="preserve">Section </w:t>
      </w:r>
      <w:r w:rsidR="00CA4CD6" w:rsidRPr="00C70104">
        <w:t>1320.5.</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ind w:firstLine="720"/>
      </w:pPr>
      <w:r w:rsidRPr="00C70104">
        <w:rPr>
          <w:b/>
          <w:bCs/>
        </w:rPr>
        <w:t>3(f)  Confidentiality</w:t>
      </w:r>
    </w:p>
    <w:p w:rsidR="00CA4CD6" w:rsidRPr="00C70104" w:rsidRDefault="00CA4CD6" w:rsidP="007C391F">
      <w:pPr>
        <w:keepNext/>
        <w:pBdr>
          <w:top w:val="single" w:sz="6" w:space="0" w:color="FFFFFF"/>
          <w:left w:val="single" w:sz="6" w:space="0" w:color="FFFFFF"/>
          <w:bottom w:val="single" w:sz="6" w:space="0" w:color="FFFFFF"/>
          <w:right w:val="single" w:sz="6" w:space="0" w:color="FFFFFF"/>
        </w:pBdr>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ind w:firstLine="720"/>
      </w:pPr>
      <w:r w:rsidRPr="00C70104">
        <w:t xml:space="preserve">Any information submitted to the Agency for which a claim of confidentiality is made will be safeguarded according to the Agency policies set forth in Title 40, chapter 1, part 2, </w:t>
      </w:r>
      <w:r w:rsidRPr="00C70104">
        <w:lastRenderedPageBreak/>
        <w:t xml:space="preserve">subpart B - Confidentiality of Business Information (see 40 CFR 2; 41 </w:t>
      </w:r>
      <w:r w:rsidRPr="00C70104">
        <w:rPr>
          <w:u w:val="single"/>
        </w:rPr>
        <w:t>FR</w:t>
      </w:r>
      <w:r w:rsidRPr="00C70104">
        <w:t xml:space="preserve"> 36902, September 1, 1976; amended by 43 </w:t>
      </w:r>
      <w:r w:rsidRPr="00C70104">
        <w:rPr>
          <w:u w:val="single"/>
        </w:rPr>
        <w:t>FR</w:t>
      </w:r>
      <w:r w:rsidRPr="00C70104">
        <w:t xml:space="preserve"> 40000, September 8, 1978; 43 </w:t>
      </w:r>
      <w:r w:rsidRPr="00C70104">
        <w:rPr>
          <w:u w:val="single"/>
        </w:rPr>
        <w:t>FR</w:t>
      </w:r>
      <w:r w:rsidRPr="00C70104">
        <w:t xml:space="preserve"> 42251, September 20, 1978; 44 </w:t>
      </w:r>
      <w:r w:rsidRPr="00C70104">
        <w:rPr>
          <w:u w:val="single"/>
        </w:rPr>
        <w:t>FR</w:t>
      </w:r>
      <w:r w:rsidRPr="00C70104">
        <w:t xml:space="preserve"> 17674, March 23, 1979).</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rPr>
          <w:b/>
          <w:bCs/>
        </w:rPr>
        <w:t>3(g)  Sensitive Questions</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40391F">
      <w:pPr>
        <w:pBdr>
          <w:top w:val="single" w:sz="6" w:space="0" w:color="FFFFFF"/>
          <w:left w:val="single" w:sz="6" w:space="0" w:color="FFFFFF"/>
          <w:bottom w:val="single" w:sz="6" w:space="0" w:color="FFFFFF"/>
          <w:right w:val="single" w:sz="6" w:space="0" w:color="FFFFFF"/>
        </w:pBdr>
        <w:ind w:firstLine="720"/>
      </w:pPr>
      <w:r w:rsidRPr="00C70104">
        <w:t>T</w:t>
      </w:r>
      <w:r w:rsidR="00CA4CD6" w:rsidRPr="00C70104">
        <w:t xml:space="preserve">he reporting or recordkeeping requirements </w:t>
      </w:r>
      <w:r w:rsidRPr="00C70104">
        <w:t xml:space="preserve">in the standard do not </w:t>
      </w:r>
      <w:r w:rsidR="00B46A57" w:rsidRPr="00C70104">
        <w:t xml:space="preserve">include </w:t>
      </w:r>
      <w:r w:rsidR="00CA4CD6" w:rsidRPr="00C70104">
        <w:t>sensitive questions.</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C70104">
        <w:rPr>
          <w:b/>
          <w:bCs/>
        </w:rPr>
        <w:t>4.  The Respondents and the Information Requested</w:t>
      </w:r>
    </w:p>
    <w:p w:rsidR="00CA4CD6" w:rsidRPr="00C70104" w:rsidRDefault="00CA4CD6">
      <w:pPr>
        <w:pBdr>
          <w:top w:val="single" w:sz="6" w:space="0" w:color="FFFFFF"/>
          <w:left w:val="single" w:sz="6" w:space="0" w:color="FFFFFF"/>
          <w:bottom w:val="single" w:sz="6" w:space="0" w:color="FFFFFF"/>
          <w:right w:val="single" w:sz="6" w:space="0" w:color="FFFFFF"/>
        </w:pBdr>
        <w:rPr>
          <w:b/>
          <w:bCs/>
        </w:rP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rPr>
          <w:b/>
          <w:bCs/>
        </w:rPr>
        <w:t>4(a)  Respondents/SIC Codes</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The respondents to the recordkeeping and reporting requirements are</w:t>
      </w:r>
      <w:r w:rsidR="00DD7050" w:rsidRPr="00C70104">
        <w:t xml:space="preserve"> owners/operators of polymeric coating of supporting substrates facilities.  </w:t>
      </w:r>
      <w:r w:rsidRPr="00C70104">
        <w:t xml:space="preserve">The </w:t>
      </w:r>
      <w:r w:rsidR="00CF2B37" w:rsidRPr="00C70104">
        <w:t>United States Standard Industrial Classification (</w:t>
      </w:r>
      <w:r w:rsidRPr="00C70104">
        <w:t>SIC</w:t>
      </w:r>
      <w:r w:rsidR="00CF2B37" w:rsidRPr="00C70104">
        <w:t>)</w:t>
      </w:r>
      <w:r w:rsidRPr="00C70104">
        <w:t xml:space="preserve"> code</w:t>
      </w:r>
      <w:r w:rsidR="00FE4153" w:rsidRPr="00C70104">
        <w:t>s and corresponding North American Industry Classification System (NAICS) codes</w:t>
      </w:r>
      <w:r w:rsidRPr="00C70104">
        <w:t xml:space="preserve"> for respo</w:t>
      </w:r>
      <w:r w:rsidR="00FE4153" w:rsidRPr="00C70104">
        <w:t>ndents affected by the standard are listed in the following table.</w:t>
      </w:r>
    </w:p>
    <w:p w:rsidR="00CA4CD6" w:rsidRPr="00C70104" w:rsidRDefault="00CA4CD6">
      <w:pPr>
        <w:pBdr>
          <w:top w:val="single" w:sz="6" w:space="0" w:color="FFFFFF"/>
          <w:left w:val="single" w:sz="6" w:space="0" w:color="FFFFFF"/>
          <w:bottom w:val="single" w:sz="6" w:space="0" w:color="FFFFFF"/>
          <w:right w:val="single" w:sz="6" w:space="0" w:color="FFFFFF"/>
        </w:pBdr>
      </w:pPr>
    </w:p>
    <w:tbl>
      <w:tblPr>
        <w:tblW w:w="9450" w:type="dxa"/>
        <w:jc w:val="center"/>
        <w:tblLayout w:type="fixed"/>
        <w:tblCellMar>
          <w:left w:w="112" w:type="dxa"/>
          <w:right w:w="112" w:type="dxa"/>
        </w:tblCellMar>
        <w:tblLook w:val="0000" w:firstRow="0" w:lastRow="0" w:firstColumn="0" w:lastColumn="0" w:noHBand="0" w:noVBand="0"/>
      </w:tblPr>
      <w:tblGrid>
        <w:gridCol w:w="5490"/>
        <w:gridCol w:w="1710"/>
        <w:gridCol w:w="2250"/>
      </w:tblGrid>
      <w:tr w:rsidR="00CA4CD6" w:rsidRPr="00C70104" w:rsidTr="008F0750">
        <w:trPr>
          <w:jc w:val="center"/>
        </w:trPr>
        <w:tc>
          <w:tcPr>
            <w:tcW w:w="5490" w:type="dxa"/>
            <w:tcBorders>
              <w:top w:val="single" w:sz="7" w:space="0" w:color="000000"/>
              <w:left w:val="single" w:sz="7" w:space="0" w:color="000000"/>
              <w:bottom w:val="single" w:sz="6" w:space="0" w:color="FFFFFF"/>
              <w:right w:val="single" w:sz="6" w:space="0" w:color="FFFFFF"/>
            </w:tcBorders>
          </w:tcPr>
          <w:p w:rsidR="00CA4CD6" w:rsidRPr="00C70104" w:rsidRDefault="00CA4CD6" w:rsidP="00CF2B37">
            <w:pPr>
              <w:spacing w:line="120" w:lineRule="exact"/>
              <w:jc w:val="center"/>
            </w:pPr>
          </w:p>
          <w:p w:rsidR="00CA4CD6" w:rsidRPr="00C70104" w:rsidRDefault="00A60014" w:rsidP="00FE4153">
            <w:pPr>
              <w:pBdr>
                <w:top w:val="single" w:sz="6" w:space="0" w:color="FFFFFF"/>
                <w:left w:val="single" w:sz="6" w:space="0" w:color="FFFFFF"/>
                <w:bottom w:val="single" w:sz="6" w:space="0" w:color="FFFFFF"/>
                <w:right w:val="single" w:sz="6" w:space="0" w:color="FFFFFF"/>
              </w:pBdr>
              <w:spacing w:after="54"/>
              <w:jc w:val="center"/>
              <w:rPr>
                <w:b/>
                <w:bCs/>
              </w:rPr>
            </w:pPr>
            <w:r>
              <w:rPr>
                <w:b/>
                <w:bCs/>
              </w:rPr>
              <w:t>Standard (</w:t>
            </w:r>
            <w:r w:rsidR="00FE4153" w:rsidRPr="00C70104">
              <w:rPr>
                <w:b/>
                <w:bCs/>
              </w:rPr>
              <w:t>40 CFR Part 60, Subpart VVV</w:t>
            </w:r>
            <w:r>
              <w:rPr>
                <w:b/>
                <w:bCs/>
              </w:rPr>
              <w:t>)</w:t>
            </w:r>
          </w:p>
        </w:tc>
        <w:tc>
          <w:tcPr>
            <w:tcW w:w="1710" w:type="dxa"/>
            <w:tcBorders>
              <w:top w:val="single" w:sz="7" w:space="0" w:color="000000"/>
              <w:left w:val="single" w:sz="7" w:space="0" w:color="000000"/>
              <w:bottom w:val="single" w:sz="6" w:space="0" w:color="FFFFFF"/>
              <w:right w:val="single" w:sz="6" w:space="0" w:color="FFFFFF"/>
            </w:tcBorders>
          </w:tcPr>
          <w:p w:rsidR="00CA4CD6" w:rsidRPr="00C70104" w:rsidRDefault="00CA4CD6" w:rsidP="00CF2B37">
            <w:pPr>
              <w:spacing w:line="120" w:lineRule="exact"/>
              <w:jc w:val="center"/>
              <w:rPr>
                <w:b/>
                <w:bCs/>
              </w:rPr>
            </w:pPr>
          </w:p>
          <w:p w:rsidR="00CA4CD6" w:rsidRPr="00C70104"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C70104">
              <w:rPr>
                <w:b/>
                <w:bCs/>
              </w:rPr>
              <w:t>SIC Codes</w:t>
            </w:r>
          </w:p>
        </w:tc>
        <w:tc>
          <w:tcPr>
            <w:tcW w:w="2250" w:type="dxa"/>
            <w:tcBorders>
              <w:top w:val="single" w:sz="7" w:space="0" w:color="000000"/>
              <w:left w:val="single" w:sz="7" w:space="0" w:color="000000"/>
              <w:bottom w:val="single" w:sz="6" w:space="0" w:color="FFFFFF"/>
              <w:right w:val="single" w:sz="7" w:space="0" w:color="000000"/>
            </w:tcBorders>
          </w:tcPr>
          <w:p w:rsidR="00CA4CD6" w:rsidRPr="00C70104" w:rsidRDefault="00CA4CD6" w:rsidP="00CF2B37">
            <w:pPr>
              <w:spacing w:line="120" w:lineRule="exact"/>
              <w:jc w:val="center"/>
              <w:rPr>
                <w:b/>
                <w:bCs/>
              </w:rPr>
            </w:pPr>
          </w:p>
          <w:p w:rsidR="00CA4CD6" w:rsidRPr="00C70104"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C70104">
              <w:rPr>
                <w:b/>
                <w:bCs/>
              </w:rPr>
              <w:t>NAICS Codes</w:t>
            </w:r>
          </w:p>
        </w:tc>
      </w:tr>
      <w:tr w:rsidR="008F0750" w:rsidRPr="00C70104" w:rsidTr="00A60014">
        <w:trPr>
          <w:jc w:val="center"/>
        </w:trPr>
        <w:tc>
          <w:tcPr>
            <w:tcW w:w="5490" w:type="dxa"/>
            <w:tcBorders>
              <w:top w:val="single" w:sz="7" w:space="0" w:color="000000"/>
              <w:left w:val="single" w:sz="7" w:space="0" w:color="000000"/>
              <w:bottom w:val="single" w:sz="6" w:space="0" w:color="FFFFFF"/>
              <w:right w:val="single" w:sz="6" w:space="0" w:color="FFFFFF"/>
            </w:tcBorders>
            <w:vAlign w:val="center"/>
          </w:tcPr>
          <w:p w:rsidR="008F0750" w:rsidRPr="00C70104" w:rsidRDefault="008F0750" w:rsidP="00A60014">
            <w:pPr>
              <w:spacing w:line="120" w:lineRule="exact"/>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54"/>
            </w:pPr>
            <w:r w:rsidRPr="00C70104">
              <w:t>Narrow Fabric and Other Smallwares Mills</w:t>
            </w:r>
          </w:p>
        </w:tc>
        <w:tc>
          <w:tcPr>
            <w:tcW w:w="1710" w:type="dxa"/>
            <w:tcBorders>
              <w:top w:val="single" w:sz="7" w:space="0" w:color="000000"/>
              <w:left w:val="single" w:sz="7" w:space="0" w:color="000000"/>
              <w:bottom w:val="single" w:sz="6" w:space="0" w:color="FFFFFF"/>
              <w:right w:val="single" w:sz="6" w:space="0" w:color="FFFFFF"/>
            </w:tcBorders>
            <w:vAlign w:val="center"/>
          </w:tcPr>
          <w:p w:rsidR="008F0750" w:rsidRPr="00C70104" w:rsidRDefault="008F0750" w:rsidP="00A60014">
            <w:pPr>
              <w:spacing w:line="120" w:lineRule="exact"/>
              <w:jc w:val="center"/>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54"/>
              <w:jc w:val="center"/>
            </w:pPr>
            <w:r w:rsidRPr="00C70104">
              <w:t>2241</w:t>
            </w:r>
          </w:p>
        </w:tc>
        <w:tc>
          <w:tcPr>
            <w:tcW w:w="2250" w:type="dxa"/>
            <w:tcBorders>
              <w:top w:val="single" w:sz="7" w:space="0" w:color="000000"/>
              <w:left w:val="single" w:sz="7" w:space="0" w:color="000000"/>
              <w:bottom w:val="single" w:sz="6" w:space="0" w:color="FFFFFF"/>
              <w:right w:val="single" w:sz="7" w:space="0" w:color="000000"/>
            </w:tcBorders>
            <w:vAlign w:val="center"/>
          </w:tcPr>
          <w:p w:rsidR="008F0750" w:rsidRPr="00C70104" w:rsidRDefault="008F0750" w:rsidP="00A60014">
            <w:pPr>
              <w:spacing w:line="120" w:lineRule="exact"/>
              <w:jc w:val="center"/>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54"/>
              <w:jc w:val="center"/>
            </w:pPr>
            <w:r w:rsidRPr="00C70104">
              <w:t>313221</w:t>
            </w:r>
          </w:p>
        </w:tc>
      </w:tr>
      <w:tr w:rsidR="008F0750" w:rsidRPr="00C70104" w:rsidTr="00A60014">
        <w:trPr>
          <w:jc w:val="center"/>
        </w:trPr>
        <w:tc>
          <w:tcPr>
            <w:tcW w:w="5490" w:type="dxa"/>
            <w:tcBorders>
              <w:top w:val="single" w:sz="7" w:space="0" w:color="000000"/>
              <w:left w:val="single" w:sz="7" w:space="0" w:color="000000"/>
              <w:bottom w:val="single" w:sz="6" w:space="0" w:color="FFFFFF"/>
              <w:right w:val="single" w:sz="6" w:space="0" w:color="FFFFFF"/>
            </w:tcBorders>
            <w:vAlign w:val="center"/>
          </w:tcPr>
          <w:p w:rsidR="008F0750" w:rsidRPr="00C70104" w:rsidRDefault="008F0750" w:rsidP="00A60014">
            <w:pPr>
              <w:spacing w:line="120" w:lineRule="exact"/>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54"/>
            </w:pPr>
            <w:r w:rsidRPr="00C70104">
              <w:t>Coated Fabrics, Not Rubberized</w:t>
            </w:r>
          </w:p>
        </w:tc>
        <w:tc>
          <w:tcPr>
            <w:tcW w:w="1710" w:type="dxa"/>
            <w:tcBorders>
              <w:top w:val="single" w:sz="7" w:space="0" w:color="000000"/>
              <w:left w:val="single" w:sz="7" w:space="0" w:color="000000"/>
              <w:bottom w:val="single" w:sz="6" w:space="0" w:color="FFFFFF"/>
              <w:right w:val="single" w:sz="6" w:space="0" w:color="FFFFFF"/>
            </w:tcBorders>
            <w:vAlign w:val="center"/>
          </w:tcPr>
          <w:p w:rsidR="008F0750" w:rsidRPr="00C70104" w:rsidRDefault="008F0750" w:rsidP="00A60014">
            <w:pPr>
              <w:spacing w:line="120" w:lineRule="exact"/>
              <w:jc w:val="center"/>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54"/>
              <w:jc w:val="center"/>
            </w:pPr>
            <w:r w:rsidRPr="00C70104">
              <w:t>2295</w:t>
            </w:r>
          </w:p>
        </w:tc>
        <w:tc>
          <w:tcPr>
            <w:tcW w:w="2250" w:type="dxa"/>
            <w:tcBorders>
              <w:top w:val="single" w:sz="7" w:space="0" w:color="000000"/>
              <w:left w:val="single" w:sz="7" w:space="0" w:color="000000"/>
              <w:bottom w:val="single" w:sz="6" w:space="0" w:color="FFFFFF"/>
              <w:right w:val="single" w:sz="7" w:space="0" w:color="000000"/>
            </w:tcBorders>
            <w:vAlign w:val="center"/>
          </w:tcPr>
          <w:p w:rsidR="008F0750" w:rsidRPr="00C70104" w:rsidRDefault="008F0750" w:rsidP="00A60014">
            <w:pPr>
              <w:spacing w:line="120" w:lineRule="exact"/>
              <w:jc w:val="center"/>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54"/>
              <w:jc w:val="center"/>
            </w:pPr>
            <w:r w:rsidRPr="00C70104">
              <w:t>31332</w:t>
            </w:r>
          </w:p>
        </w:tc>
      </w:tr>
      <w:tr w:rsidR="008F0750" w:rsidRPr="00C70104" w:rsidTr="00A60014">
        <w:trPr>
          <w:jc w:val="center"/>
        </w:trPr>
        <w:tc>
          <w:tcPr>
            <w:tcW w:w="5490" w:type="dxa"/>
            <w:tcBorders>
              <w:top w:val="single" w:sz="7" w:space="0" w:color="000000"/>
              <w:left w:val="single" w:sz="7" w:space="0" w:color="000000"/>
              <w:bottom w:val="single" w:sz="6" w:space="0" w:color="FFFFFF"/>
              <w:right w:val="single" w:sz="6" w:space="0" w:color="FFFFFF"/>
            </w:tcBorders>
            <w:vAlign w:val="center"/>
          </w:tcPr>
          <w:p w:rsidR="008F0750" w:rsidRPr="00C70104" w:rsidRDefault="008F0750" w:rsidP="00A60014">
            <w:pPr>
              <w:spacing w:line="120" w:lineRule="exact"/>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54"/>
            </w:pPr>
            <w:r w:rsidRPr="00C70104">
              <w:t>Tire Cord and Fabrics</w:t>
            </w:r>
          </w:p>
        </w:tc>
        <w:tc>
          <w:tcPr>
            <w:tcW w:w="1710" w:type="dxa"/>
            <w:tcBorders>
              <w:top w:val="single" w:sz="7" w:space="0" w:color="000000"/>
              <w:left w:val="single" w:sz="7" w:space="0" w:color="000000"/>
              <w:bottom w:val="single" w:sz="6" w:space="0" w:color="FFFFFF"/>
              <w:right w:val="single" w:sz="6" w:space="0" w:color="FFFFFF"/>
            </w:tcBorders>
            <w:vAlign w:val="center"/>
          </w:tcPr>
          <w:p w:rsidR="008F0750" w:rsidRPr="00C70104" w:rsidRDefault="008F0750" w:rsidP="00A60014">
            <w:pPr>
              <w:spacing w:line="120" w:lineRule="exact"/>
              <w:jc w:val="center"/>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54"/>
              <w:jc w:val="center"/>
            </w:pPr>
            <w:r w:rsidRPr="00C70104">
              <w:t>2296</w:t>
            </w:r>
          </w:p>
        </w:tc>
        <w:tc>
          <w:tcPr>
            <w:tcW w:w="2250" w:type="dxa"/>
            <w:tcBorders>
              <w:top w:val="single" w:sz="7" w:space="0" w:color="000000"/>
              <w:left w:val="single" w:sz="7" w:space="0" w:color="000000"/>
              <w:bottom w:val="single" w:sz="6" w:space="0" w:color="FFFFFF"/>
              <w:right w:val="single" w:sz="7" w:space="0" w:color="000000"/>
            </w:tcBorders>
            <w:vAlign w:val="center"/>
          </w:tcPr>
          <w:p w:rsidR="008F0750" w:rsidRPr="00C70104" w:rsidRDefault="008F0750" w:rsidP="00A60014">
            <w:pPr>
              <w:spacing w:line="120" w:lineRule="exact"/>
              <w:jc w:val="center"/>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54"/>
              <w:jc w:val="center"/>
            </w:pPr>
            <w:r w:rsidRPr="00C70104">
              <w:t>314992</w:t>
            </w:r>
          </w:p>
        </w:tc>
      </w:tr>
      <w:tr w:rsidR="008F0750" w:rsidRPr="00C70104" w:rsidTr="00A60014">
        <w:trPr>
          <w:jc w:val="center"/>
        </w:trPr>
        <w:tc>
          <w:tcPr>
            <w:tcW w:w="5490" w:type="dxa"/>
            <w:tcBorders>
              <w:top w:val="single" w:sz="7" w:space="0" w:color="000000"/>
              <w:left w:val="single" w:sz="7" w:space="0" w:color="000000"/>
              <w:bottom w:val="single" w:sz="6" w:space="0" w:color="FFFFFF"/>
              <w:right w:val="single" w:sz="6" w:space="0" w:color="FFFFFF"/>
            </w:tcBorders>
            <w:vAlign w:val="center"/>
          </w:tcPr>
          <w:p w:rsidR="008F0750" w:rsidRPr="00C70104" w:rsidRDefault="008F0750" w:rsidP="00A60014">
            <w:pPr>
              <w:spacing w:line="120" w:lineRule="exact"/>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54"/>
            </w:pPr>
            <w:r w:rsidRPr="00C70104">
              <w:t>Canvas and Related Products</w:t>
            </w:r>
          </w:p>
        </w:tc>
        <w:tc>
          <w:tcPr>
            <w:tcW w:w="1710" w:type="dxa"/>
            <w:tcBorders>
              <w:top w:val="single" w:sz="7" w:space="0" w:color="000000"/>
              <w:left w:val="single" w:sz="7" w:space="0" w:color="000000"/>
              <w:bottom w:val="single" w:sz="6" w:space="0" w:color="FFFFFF"/>
              <w:right w:val="single" w:sz="6" w:space="0" w:color="FFFFFF"/>
            </w:tcBorders>
            <w:vAlign w:val="center"/>
          </w:tcPr>
          <w:p w:rsidR="008F0750" w:rsidRPr="00C70104" w:rsidRDefault="008F0750" w:rsidP="00A60014">
            <w:pPr>
              <w:spacing w:line="120" w:lineRule="exact"/>
              <w:jc w:val="center"/>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54"/>
              <w:jc w:val="center"/>
            </w:pPr>
            <w:r w:rsidRPr="00C70104">
              <w:t>2394</w:t>
            </w:r>
          </w:p>
        </w:tc>
        <w:tc>
          <w:tcPr>
            <w:tcW w:w="2250" w:type="dxa"/>
            <w:tcBorders>
              <w:top w:val="single" w:sz="7" w:space="0" w:color="000000"/>
              <w:left w:val="single" w:sz="7" w:space="0" w:color="000000"/>
              <w:bottom w:val="single" w:sz="6" w:space="0" w:color="FFFFFF"/>
              <w:right w:val="single" w:sz="7" w:space="0" w:color="000000"/>
            </w:tcBorders>
            <w:vAlign w:val="center"/>
          </w:tcPr>
          <w:p w:rsidR="008F0750" w:rsidRPr="00C70104" w:rsidRDefault="008F0750" w:rsidP="00A60014">
            <w:pPr>
              <w:spacing w:line="120" w:lineRule="exact"/>
              <w:jc w:val="center"/>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54"/>
              <w:jc w:val="center"/>
            </w:pPr>
            <w:r w:rsidRPr="00C70104">
              <w:t>314912</w:t>
            </w:r>
          </w:p>
        </w:tc>
      </w:tr>
      <w:tr w:rsidR="008F0750" w:rsidRPr="00C70104" w:rsidTr="00A60014">
        <w:trPr>
          <w:jc w:val="center"/>
        </w:trPr>
        <w:tc>
          <w:tcPr>
            <w:tcW w:w="5490" w:type="dxa"/>
            <w:tcBorders>
              <w:top w:val="single" w:sz="7" w:space="0" w:color="000000"/>
              <w:left w:val="single" w:sz="7" w:space="0" w:color="000000"/>
              <w:bottom w:val="single" w:sz="6" w:space="0" w:color="FFFFFF"/>
              <w:right w:val="single" w:sz="6" w:space="0" w:color="FFFFFF"/>
            </w:tcBorders>
            <w:vAlign w:val="center"/>
          </w:tcPr>
          <w:p w:rsidR="008F0750" w:rsidRPr="00C70104" w:rsidRDefault="008F0750" w:rsidP="00A60014">
            <w:pPr>
              <w:spacing w:line="120" w:lineRule="exact"/>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54"/>
            </w:pPr>
            <w:r w:rsidRPr="00C70104">
              <w:t>Rubber and Plastics Hose and Belting</w:t>
            </w:r>
          </w:p>
        </w:tc>
        <w:tc>
          <w:tcPr>
            <w:tcW w:w="1710" w:type="dxa"/>
            <w:tcBorders>
              <w:top w:val="single" w:sz="7" w:space="0" w:color="000000"/>
              <w:left w:val="single" w:sz="7" w:space="0" w:color="000000"/>
              <w:bottom w:val="single" w:sz="6" w:space="0" w:color="FFFFFF"/>
              <w:right w:val="single" w:sz="6" w:space="0" w:color="FFFFFF"/>
            </w:tcBorders>
            <w:vAlign w:val="center"/>
          </w:tcPr>
          <w:p w:rsidR="008F0750" w:rsidRPr="00C70104" w:rsidRDefault="008F0750" w:rsidP="00A60014">
            <w:pPr>
              <w:spacing w:line="120" w:lineRule="exact"/>
              <w:jc w:val="center"/>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54"/>
              <w:jc w:val="center"/>
            </w:pPr>
            <w:r w:rsidRPr="00C70104">
              <w:t>3052</w:t>
            </w:r>
          </w:p>
        </w:tc>
        <w:tc>
          <w:tcPr>
            <w:tcW w:w="2250" w:type="dxa"/>
            <w:tcBorders>
              <w:top w:val="single" w:sz="7" w:space="0" w:color="000000"/>
              <w:left w:val="single" w:sz="7" w:space="0" w:color="000000"/>
              <w:bottom w:val="single" w:sz="6" w:space="0" w:color="FFFFFF"/>
              <w:right w:val="single" w:sz="7" w:space="0" w:color="000000"/>
            </w:tcBorders>
            <w:vAlign w:val="center"/>
          </w:tcPr>
          <w:p w:rsidR="008F0750" w:rsidRPr="00C70104" w:rsidRDefault="008F0750" w:rsidP="00A60014">
            <w:pPr>
              <w:spacing w:line="120" w:lineRule="exact"/>
              <w:jc w:val="center"/>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54"/>
              <w:jc w:val="center"/>
            </w:pPr>
            <w:r w:rsidRPr="00C70104">
              <w:t>32622</w:t>
            </w:r>
          </w:p>
        </w:tc>
      </w:tr>
      <w:tr w:rsidR="008F0750" w:rsidRPr="00C70104" w:rsidTr="00A60014">
        <w:trPr>
          <w:jc w:val="center"/>
        </w:trPr>
        <w:tc>
          <w:tcPr>
            <w:tcW w:w="5490" w:type="dxa"/>
            <w:tcBorders>
              <w:top w:val="single" w:sz="7" w:space="0" w:color="000000"/>
              <w:left w:val="single" w:sz="7" w:space="0" w:color="000000"/>
              <w:bottom w:val="single" w:sz="6" w:space="0" w:color="FFFFFF"/>
              <w:right w:val="single" w:sz="6" w:space="0" w:color="FFFFFF"/>
            </w:tcBorders>
            <w:vAlign w:val="center"/>
          </w:tcPr>
          <w:p w:rsidR="008F0750" w:rsidRPr="00C70104" w:rsidRDefault="008F0750" w:rsidP="00A60014">
            <w:pPr>
              <w:spacing w:line="120" w:lineRule="exact"/>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54"/>
            </w:pPr>
            <w:r w:rsidRPr="00C70104">
              <w:t>Gaskets, Packing, and Sealing Devices</w:t>
            </w:r>
          </w:p>
        </w:tc>
        <w:tc>
          <w:tcPr>
            <w:tcW w:w="1710" w:type="dxa"/>
            <w:tcBorders>
              <w:top w:val="single" w:sz="7" w:space="0" w:color="000000"/>
              <w:left w:val="single" w:sz="7" w:space="0" w:color="000000"/>
              <w:bottom w:val="single" w:sz="6" w:space="0" w:color="FFFFFF"/>
              <w:right w:val="single" w:sz="6" w:space="0" w:color="FFFFFF"/>
            </w:tcBorders>
            <w:vAlign w:val="center"/>
          </w:tcPr>
          <w:p w:rsidR="008F0750" w:rsidRPr="00C70104" w:rsidRDefault="008F0750" w:rsidP="00A60014">
            <w:pPr>
              <w:spacing w:line="120" w:lineRule="exact"/>
              <w:jc w:val="center"/>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54"/>
              <w:jc w:val="center"/>
            </w:pPr>
            <w:r w:rsidRPr="00C70104">
              <w:t>3053</w:t>
            </w:r>
          </w:p>
        </w:tc>
        <w:tc>
          <w:tcPr>
            <w:tcW w:w="2250" w:type="dxa"/>
            <w:tcBorders>
              <w:top w:val="single" w:sz="7" w:space="0" w:color="000000"/>
              <w:left w:val="single" w:sz="7" w:space="0" w:color="000000"/>
              <w:bottom w:val="single" w:sz="6" w:space="0" w:color="FFFFFF"/>
              <w:right w:val="single" w:sz="7" w:space="0" w:color="000000"/>
            </w:tcBorders>
            <w:vAlign w:val="center"/>
          </w:tcPr>
          <w:p w:rsidR="008F0750" w:rsidRPr="00C70104" w:rsidRDefault="008F0750" w:rsidP="00A60014">
            <w:pPr>
              <w:spacing w:line="120" w:lineRule="exact"/>
              <w:jc w:val="center"/>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54"/>
              <w:jc w:val="center"/>
            </w:pPr>
            <w:r w:rsidRPr="00C70104">
              <w:t>339991</w:t>
            </w:r>
          </w:p>
        </w:tc>
      </w:tr>
      <w:tr w:rsidR="008F0750" w:rsidRPr="00C70104" w:rsidTr="00A60014">
        <w:trPr>
          <w:jc w:val="center"/>
        </w:trPr>
        <w:tc>
          <w:tcPr>
            <w:tcW w:w="5490" w:type="dxa"/>
            <w:tcBorders>
              <w:top w:val="single" w:sz="7" w:space="0" w:color="000000"/>
              <w:left w:val="single" w:sz="7" w:space="0" w:color="000000"/>
              <w:bottom w:val="single" w:sz="7" w:space="0" w:color="000000"/>
              <w:right w:val="single" w:sz="6" w:space="0" w:color="FFFFFF"/>
            </w:tcBorders>
            <w:vAlign w:val="center"/>
          </w:tcPr>
          <w:p w:rsidR="008F0750" w:rsidRPr="00C70104" w:rsidRDefault="008F0750" w:rsidP="00A60014">
            <w:pPr>
              <w:spacing w:line="120" w:lineRule="exact"/>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73"/>
            </w:pPr>
            <w:r w:rsidRPr="00C70104">
              <w:t>Fabricated Rubber Products, Not Elsewhere Classified</w:t>
            </w:r>
          </w:p>
        </w:tc>
        <w:tc>
          <w:tcPr>
            <w:tcW w:w="1710" w:type="dxa"/>
            <w:tcBorders>
              <w:top w:val="single" w:sz="7" w:space="0" w:color="000000"/>
              <w:left w:val="single" w:sz="7" w:space="0" w:color="000000"/>
              <w:bottom w:val="single" w:sz="7" w:space="0" w:color="000000"/>
              <w:right w:val="single" w:sz="6" w:space="0" w:color="FFFFFF"/>
            </w:tcBorders>
            <w:vAlign w:val="center"/>
          </w:tcPr>
          <w:p w:rsidR="008F0750" w:rsidRPr="00C70104" w:rsidRDefault="008F0750" w:rsidP="00A60014">
            <w:pPr>
              <w:spacing w:line="120" w:lineRule="exact"/>
              <w:jc w:val="center"/>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73"/>
              <w:jc w:val="center"/>
            </w:pPr>
            <w:r w:rsidRPr="00C70104">
              <w:t>3069</w:t>
            </w:r>
          </w:p>
        </w:tc>
        <w:tc>
          <w:tcPr>
            <w:tcW w:w="2250" w:type="dxa"/>
            <w:tcBorders>
              <w:top w:val="single" w:sz="7" w:space="0" w:color="000000"/>
              <w:left w:val="single" w:sz="7" w:space="0" w:color="000000"/>
              <w:bottom w:val="single" w:sz="7" w:space="0" w:color="000000"/>
              <w:right w:val="single" w:sz="7" w:space="0" w:color="000000"/>
            </w:tcBorders>
            <w:vAlign w:val="center"/>
          </w:tcPr>
          <w:p w:rsidR="008F0750" w:rsidRPr="00C70104" w:rsidRDefault="008F0750" w:rsidP="00A60014">
            <w:pPr>
              <w:spacing w:line="120" w:lineRule="exact"/>
              <w:jc w:val="center"/>
            </w:pPr>
          </w:p>
          <w:p w:rsidR="008F0750" w:rsidRPr="00C70104" w:rsidRDefault="008F0750" w:rsidP="00A60014">
            <w:pPr>
              <w:pBdr>
                <w:top w:val="single" w:sz="6" w:space="0" w:color="FFFFFF"/>
                <w:left w:val="single" w:sz="6" w:space="0" w:color="FFFFFF"/>
                <w:bottom w:val="single" w:sz="6" w:space="0" w:color="FFFFFF"/>
                <w:right w:val="single" w:sz="6" w:space="0" w:color="FFFFFF"/>
              </w:pBdr>
              <w:spacing w:after="73"/>
              <w:jc w:val="center"/>
            </w:pPr>
            <w:r w:rsidRPr="00C70104">
              <w:t>31332, 315299, 315999, 339113, 33992, 339932, 326192, and 326299</w:t>
            </w:r>
          </w:p>
        </w:tc>
      </w:tr>
    </w:tbl>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ind w:firstLine="720"/>
      </w:pPr>
      <w:r w:rsidRPr="00C70104">
        <w:rPr>
          <w:b/>
          <w:bCs/>
        </w:rPr>
        <w:t>4(b)  Information Requested</w:t>
      </w:r>
    </w:p>
    <w:p w:rsidR="00CA4CD6" w:rsidRPr="00C70104" w:rsidRDefault="00CA4CD6" w:rsidP="007C391F">
      <w:pPr>
        <w:keepNext/>
        <w:pBdr>
          <w:top w:val="single" w:sz="6" w:space="0" w:color="FFFFFF"/>
          <w:left w:val="single" w:sz="6" w:space="0" w:color="FFFFFF"/>
          <w:bottom w:val="single" w:sz="6" w:space="0" w:color="FFFFFF"/>
          <w:right w:val="single" w:sz="6" w:space="0" w:color="FFFFFF"/>
        </w:pBdr>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ind w:firstLine="1440"/>
        <w:outlineLvl w:val="0"/>
      </w:pPr>
      <w:r w:rsidRPr="00C70104">
        <w:rPr>
          <w:b/>
          <w:bCs/>
        </w:rPr>
        <w:t>(i)  Data Items</w:t>
      </w:r>
    </w:p>
    <w:p w:rsidR="00CA4CD6" w:rsidRPr="00C70104" w:rsidRDefault="00CA4CD6" w:rsidP="007C391F">
      <w:pPr>
        <w:keepNext/>
        <w:pBdr>
          <w:top w:val="single" w:sz="6" w:space="0" w:color="FFFFFF"/>
          <w:left w:val="single" w:sz="6" w:space="0" w:color="FFFFFF"/>
          <w:bottom w:val="single" w:sz="6" w:space="0" w:color="FFFFFF"/>
          <w:right w:val="single" w:sz="6" w:space="0" w:color="FFFFFF"/>
        </w:pBdr>
      </w:pPr>
    </w:p>
    <w:p w:rsidR="00CA4CD6" w:rsidRPr="00C70104" w:rsidRDefault="00817E8B" w:rsidP="007C391F">
      <w:pPr>
        <w:keepNext/>
        <w:pBdr>
          <w:top w:val="single" w:sz="6" w:space="0" w:color="FFFFFF"/>
          <w:left w:val="single" w:sz="6" w:space="0" w:color="FFFFFF"/>
          <w:bottom w:val="single" w:sz="6" w:space="0" w:color="FFFFFF"/>
          <w:right w:val="single" w:sz="6" w:space="0" w:color="FFFFFF"/>
        </w:pBdr>
        <w:ind w:firstLine="720"/>
      </w:pPr>
      <w:r w:rsidRPr="00C70104">
        <w:t>I</w:t>
      </w:r>
      <w:r w:rsidR="00CA4CD6" w:rsidRPr="00C70104">
        <w:t>n this ICR</w:t>
      </w:r>
      <w:r w:rsidRPr="00C70104">
        <w:t>, all the data</w:t>
      </w:r>
      <w:r w:rsidR="00CA4CD6" w:rsidRPr="00C70104">
        <w:t xml:space="preserve"> </w:t>
      </w:r>
      <w:r w:rsidRPr="00C70104">
        <w:t xml:space="preserve">that is </w:t>
      </w:r>
      <w:r w:rsidR="00CA4CD6" w:rsidRPr="00C70104">
        <w:t xml:space="preserve">recorded or reported </w:t>
      </w:r>
      <w:r w:rsidRPr="00C70104">
        <w:t>is</w:t>
      </w:r>
      <w:r w:rsidR="00CA4CD6" w:rsidRPr="00C70104">
        <w:t xml:space="preserve"> required by</w:t>
      </w:r>
      <w:r w:rsidR="00123366" w:rsidRPr="00C70104">
        <w:t xml:space="preserve"> the NSPS for Polymeric Coating of Supporting Substrates Facilities (40 CFR Part 60, Subpart VVV).</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 xml:space="preserve">A source must make the following </w:t>
      </w:r>
      <w:r w:rsidR="00BF24AC" w:rsidRPr="00C70104">
        <w:t xml:space="preserve">notifications and </w:t>
      </w:r>
      <w:r w:rsidRPr="00C70104">
        <w:t>reports:</w:t>
      </w:r>
    </w:p>
    <w:p w:rsidR="00CA4CD6" w:rsidRPr="00C70104" w:rsidRDefault="00CA4CD6">
      <w:pPr>
        <w:pBdr>
          <w:top w:val="single" w:sz="6" w:space="0" w:color="FFFFFF"/>
          <w:left w:val="single" w:sz="6" w:space="0" w:color="FFFFFF"/>
          <w:bottom w:val="single" w:sz="6" w:space="0" w:color="FFFFFF"/>
          <w:right w:val="single" w:sz="6" w:space="0" w:color="FFFFFF"/>
        </w:pBdr>
      </w:pPr>
    </w:p>
    <w:tbl>
      <w:tblPr>
        <w:tblW w:w="9386" w:type="dxa"/>
        <w:jc w:val="center"/>
        <w:tblLayout w:type="fixed"/>
        <w:tblCellMar>
          <w:left w:w="120" w:type="dxa"/>
          <w:right w:w="120" w:type="dxa"/>
        </w:tblCellMar>
        <w:tblLook w:val="0000" w:firstRow="0" w:lastRow="0" w:firstColumn="0" w:lastColumn="0" w:noHBand="0" w:noVBand="0"/>
      </w:tblPr>
      <w:tblGrid>
        <w:gridCol w:w="6236"/>
        <w:gridCol w:w="3150"/>
      </w:tblGrid>
      <w:tr w:rsidR="00A73600" w:rsidRPr="00C70104" w:rsidTr="00BF24AC">
        <w:trPr>
          <w:tblHeader/>
          <w:jc w:val="center"/>
        </w:trPr>
        <w:tc>
          <w:tcPr>
            <w:tcW w:w="9386" w:type="dxa"/>
            <w:gridSpan w:val="2"/>
            <w:tcBorders>
              <w:top w:val="single" w:sz="7" w:space="0" w:color="000000"/>
              <w:left w:val="single" w:sz="7" w:space="0" w:color="000000"/>
              <w:bottom w:val="single" w:sz="7" w:space="0" w:color="000000"/>
              <w:right w:val="single" w:sz="7" w:space="0" w:color="000000"/>
            </w:tcBorders>
          </w:tcPr>
          <w:p w:rsidR="00CA4CD6" w:rsidRPr="00C70104" w:rsidRDefault="00CA4CD6">
            <w:pPr>
              <w:spacing w:line="120" w:lineRule="exact"/>
            </w:pPr>
          </w:p>
          <w:p w:rsidR="00CA4CD6" w:rsidRPr="00C70104"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70104">
              <w:rPr>
                <w:b/>
              </w:rPr>
              <w:t>Notification</w:t>
            </w:r>
            <w:r w:rsidR="006E4A6E" w:rsidRPr="00C70104">
              <w:rPr>
                <w:b/>
              </w:rPr>
              <w:t>s</w:t>
            </w:r>
          </w:p>
        </w:tc>
      </w:tr>
      <w:tr w:rsidR="00236E06" w:rsidRPr="00C70104" w:rsidTr="00BF24AC">
        <w:trPr>
          <w:trHeight w:val="360"/>
          <w:jc w:val="center"/>
        </w:trPr>
        <w:tc>
          <w:tcPr>
            <w:tcW w:w="6236" w:type="dxa"/>
            <w:tcBorders>
              <w:top w:val="single" w:sz="7" w:space="0" w:color="000000"/>
              <w:left w:val="single" w:sz="7" w:space="0" w:color="000000"/>
              <w:bottom w:val="single" w:sz="7" w:space="0" w:color="000000"/>
              <w:right w:val="single" w:sz="7" w:space="0" w:color="000000"/>
            </w:tcBorders>
          </w:tcPr>
          <w:p w:rsidR="00236E06" w:rsidRPr="00C70104" w:rsidRDefault="00BF24AC" w:rsidP="0022346C">
            <w:r w:rsidRPr="00C70104">
              <w:t>C</w:t>
            </w:r>
            <w:r w:rsidR="0022346C" w:rsidRPr="00C70104">
              <w:t>onstruction/reconstruction</w:t>
            </w:r>
          </w:p>
        </w:tc>
        <w:tc>
          <w:tcPr>
            <w:tcW w:w="3150" w:type="dxa"/>
            <w:tcBorders>
              <w:top w:val="single" w:sz="7" w:space="0" w:color="000000"/>
              <w:left w:val="single" w:sz="7" w:space="0" w:color="000000"/>
              <w:bottom w:val="single" w:sz="7" w:space="0" w:color="000000"/>
              <w:right w:val="single" w:sz="7" w:space="0" w:color="000000"/>
            </w:tcBorders>
          </w:tcPr>
          <w:p w:rsidR="00236E06" w:rsidRPr="00C70104" w:rsidRDefault="00236E06" w:rsidP="00D73E88">
            <w:r w:rsidRPr="00C70104">
              <w:t>60.7(a)(1)</w:t>
            </w:r>
          </w:p>
        </w:tc>
      </w:tr>
      <w:tr w:rsidR="00236E06" w:rsidRPr="00C70104" w:rsidTr="00BF24AC">
        <w:trPr>
          <w:trHeight w:val="360"/>
          <w:jc w:val="center"/>
        </w:trPr>
        <w:tc>
          <w:tcPr>
            <w:tcW w:w="6236" w:type="dxa"/>
            <w:tcBorders>
              <w:top w:val="single" w:sz="7" w:space="0" w:color="000000"/>
              <w:left w:val="single" w:sz="7" w:space="0" w:color="000000"/>
              <w:bottom w:val="single" w:sz="7" w:space="0" w:color="000000"/>
              <w:right w:val="single" w:sz="7" w:space="0" w:color="000000"/>
            </w:tcBorders>
          </w:tcPr>
          <w:p w:rsidR="00236E06" w:rsidRPr="00C70104" w:rsidRDefault="00BF24AC" w:rsidP="0022346C">
            <w:r w:rsidRPr="00C70104">
              <w:t>A</w:t>
            </w:r>
            <w:r w:rsidR="0022346C" w:rsidRPr="00C70104">
              <w:t>ctual startup</w:t>
            </w:r>
          </w:p>
        </w:tc>
        <w:tc>
          <w:tcPr>
            <w:tcW w:w="3150" w:type="dxa"/>
            <w:tcBorders>
              <w:top w:val="single" w:sz="7" w:space="0" w:color="000000"/>
              <w:left w:val="single" w:sz="7" w:space="0" w:color="000000"/>
              <w:bottom w:val="single" w:sz="7" w:space="0" w:color="000000"/>
              <w:right w:val="single" w:sz="7" w:space="0" w:color="000000"/>
            </w:tcBorders>
          </w:tcPr>
          <w:p w:rsidR="00236E06" w:rsidRPr="00C70104" w:rsidRDefault="00236E06" w:rsidP="00D73E88">
            <w:r w:rsidRPr="00C70104">
              <w:t>60.7(a)(3)</w:t>
            </w:r>
          </w:p>
        </w:tc>
      </w:tr>
      <w:tr w:rsidR="00236E06" w:rsidRPr="00C70104" w:rsidTr="00BF24AC">
        <w:trPr>
          <w:trHeight w:val="360"/>
          <w:jc w:val="center"/>
        </w:trPr>
        <w:tc>
          <w:tcPr>
            <w:tcW w:w="6236" w:type="dxa"/>
            <w:tcBorders>
              <w:top w:val="single" w:sz="7" w:space="0" w:color="000000"/>
              <w:left w:val="single" w:sz="7" w:space="0" w:color="000000"/>
              <w:bottom w:val="single" w:sz="7" w:space="0" w:color="000000"/>
              <w:right w:val="single" w:sz="7" w:space="0" w:color="000000"/>
            </w:tcBorders>
          </w:tcPr>
          <w:p w:rsidR="00236E06" w:rsidRPr="00C70104" w:rsidRDefault="00BF24AC" w:rsidP="00D91BF3">
            <w:r w:rsidRPr="00C70104">
              <w:t>P</w:t>
            </w:r>
            <w:r w:rsidR="00D91BF3" w:rsidRPr="00C70104">
              <w:t>erformance test</w:t>
            </w:r>
          </w:p>
        </w:tc>
        <w:tc>
          <w:tcPr>
            <w:tcW w:w="3150" w:type="dxa"/>
            <w:tcBorders>
              <w:top w:val="single" w:sz="7" w:space="0" w:color="000000"/>
              <w:left w:val="single" w:sz="7" w:space="0" w:color="000000"/>
              <w:bottom w:val="single" w:sz="7" w:space="0" w:color="000000"/>
              <w:right w:val="single" w:sz="7" w:space="0" w:color="000000"/>
            </w:tcBorders>
          </w:tcPr>
          <w:p w:rsidR="00236E06" w:rsidRPr="00C70104" w:rsidRDefault="00236E06" w:rsidP="00D73E88">
            <w:r w:rsidRPr="00C70104">
              <w:t>60.8(d)</w:t>
            </w:r>
          </w:p>
        </w:tc>
      </w:tr>
      <w:tr w:rsidR="00236E06" w:rsidRPr="00C70104" w:rsidTr="00BF24AC">
        <w:trPr>
          <w:trHeight w:val="360"/>
          <w:jc w:val="center"/>
        </w:trPr>
        <w:tc>
          <w:tcPr>
            <w:tcW w:w="6236" w:type="dxa"/>
            <w:tcBorders>
              <w:top w:val="single" w:sz="7" w:space="0" w:color="000000"/>
              <w:left w:val="single" w:sz="7" w:space="0" w:color="000000"/>
              <w:bottom w:val="single" w:sz="7" w:space="0" w:color="000000"/>
              <w:right w:val="single" w:sz="7" w:space="0" w:color="000000"/>
            </w:tcBorders>
          </w:tcPr>
          <w:p w:rsidR="00236E06" w:rsidRPr="00C70104" w:rsidRDefault="00BF24AC" w:rsidP="00A70B22">
            <w:r w:rsidRPr="00C70104">
              <w:t>D</w:t>
            </w:r>
            <w:r w:rsidR="00A70B22" w:rsidRPr="00C70104">
              <w:t xml:space="preserve">emonstration of </w:t>
            </w:r>
            <w:r w:rsidR="00236E06" w:rsidRPr="00C70104">
              <w:t>continuous monitoring system</w:t>
            </w:r>
            <w:r w:rsidR="00A70B22" w:rsidRPr="00C70104">
              <w:t xml:space="preserve"> performance</w:t>
            </w:r>
          </w:p>
        </w:tc>
        <w:tc>
          <w:tcPr>
            <w:tcW w:w="3150" w:type="dxa"/>
            <w:tcBorders>
              <w:top w:val="single" w:sz="7" w:space="0" w:color="000000"/>
              <w:left w:val="single" w:sz="7" w:space="0" w:color="000000"/>
              <w:bottom w:val="single" w:sz="7" w:space="0" w:color="000000"/>
              <w:right w:val="single" w:sz="7" w:space="0" w:color="000000"/>
            </w:tcBorders>
          </w:tcPr>
          <w:p w:rsidR="00236E06" w:rsidRPr="00C70104" w:rsidRDefault="00236E06" w:rsidP="00D73E88">
            <w:r w:rsidRPr="00C70104">
              <w:t xml:space="preserve">60.7(a)(5) </w:t>
            </w:r>
          </w:p>
        </w:tc>
      </w:tr>
      <w:tr w:rsidR="00236E06" w:rsidRPr="00C70104" w:rsidTr="00BF24AC">
        <w:trPr>
          <w:trHeight w:val="360"/>
          <w:jc w:val="center"/>
        </w:trPr>
        <w:tc>
          <w:tcPr>
            <w:tcW w:w="6236" w:type="dxa"/>
            <w:tcBorders>
              <w:top w:val="single" w:sz="7" w:space="0" w:color="000000"/>
              <w:left w:val="single" w:sz="7" w:space="0" w:color="000000"/>
              <w:bottom w:val="single" w:sz="7" w:space="0" w:color="000000"/>
              <w:right w:val="single" w:sz="7" w:space="0" w:color="000000"/>
            </w:tcBorders>
          </w:tcPr>
          <w:p w:rsidR="00236E06" w:rsidRPr="00C70104" w:rsidRDefault="00BF24AC" w:rsidP="00A70B22">
            <w:r w:rsidRPr="00C70104">
              <w:t>P</w:t>
            </w:r>
            <w:r w:rsidR="00A70B22" w:rsidRPr="00C70104">
              <w:t>hysical or operational change</w:t>
            </w:r>
          </w:p>
        </w:tc>
        <w:tc>
          <w:tcPr>
            <w:tcW w:w="3150" w:type="dxa"/>
            <w:tcBorders>
              <w:top w:val="single" w:sz="7" w:space="0" w:color="000000"/>
              <w:left w:val="single" w:sz="7" w:space="0" w:color="000000"/>
              <w:bottom w:val="single" w:sz="7" w:space="0" w:color="000000"/>
              <w:right w:val="single" w:sz="7" w:space="0" w:color="000000"/>
            </w:tcBorders>
          </w:tcPr>
          <w:p w:rsidR="00236E06" w:rsidRPr="00C70104" w:rsidRDefault="00236E06" w:rsidP="00D73E88">
            <w:r w:rsidRPr="00C70104">
              <w:t xml:space="preserve">60.7(a)(4) </w:t>
            </w:r>
          </w:p>
        </w:tc>
      </w:tr>
      <w:tr w:rsidR="00236E06" w:rsidRPr="00C70104" w:rsidTr="00BF24AC">
        <w:trPr>
          <w:trHeight w:val="360"/>
          <w:jc w:val="center"/>
        </w:trPr>
        <w:tc>
          <w:tcPr>
            <w:tcW w:w="6236" w:type="dxa"/>
            <w:tcBorders>
              <w:top w:val="single" w:sz="7" w:space="0" w:color="000000"/>
              <w:left w:val="single" w:sz="7" w:space="0" w:color="000000"/>
              <w:bottom w:val="single" w:sz="7" w:space="0" w:color="000000"/>
              <w:right w:val="single" w:sz="7" w:space="0" w:color="000000"/>
            </w:tcBorders>
          </w:tcPr>
          <w:p w:rsidR="00236E06" w:rsidRPr="00C70104" w:rsidRDefault="00236E06" w:rsidP="0022346C">
            <w:r w:rsidRPr="00C70104">
              <w:t>Projected and actual VOC use</w:t>
            </w:r>
            <w:r w:rsidR="0022346C" w:rsidRPr="00C70104">
              <w:t xml:space="preserve"> (</w:t>
            </w:r>
            <w:r w:rsidRPr="00C70104">
              <w:t xml:space="preserve">if </w:t>
            </w:r>
            <w:r w:rsidR="0022346C" w:rsidRPr="00C70104">
              <w:t>&lt;130 or &lt;</w:t>
            </w:r>
            <w:r w:rsidRPr="00C70104">
              <w:t>95 Mg/yr</w:t>
            </w:r>
            <w:r w:rsidR="0022346C" w:rsidRPr="00C70104">
              <w:t>)</w:t>
            </w:r>
          </w:p>
        </w:tc>
        <w:tc>
          <w:tcPr>
            <w:tcW w:w="3150" w:type="dxa"/>
            <w:tcBorders>
              <w:top w:val="single" w:sz="7" w:space="0" w:color="000000"/>
              <w:left w:val="single" w:sz="7" w:space="0" w:color="000000"/>
              <w:bottom w:val="single" w:sz="7" w:space="0" w:color="000000"/>
              <w:right w:val="single" w:sz="7" w:space="0" w:color="000000"/>
            </w:tcBorders>
          </w:tcPr>
          <w:p w:rsidR="00236E06" w:rsidRPr="00C70104" w:rsidRDefault="00236E06" w:rsidP="0022346C">
            <w:r w:rsidRPr="00C70104">
              <w:t>60.747</w:t>
            </w:r>
            <w:r w:rsidR="0022346C" w:rsidRPr="00C70104">
              <w:t>(b) and (c)</w:t>
            </w:r>
          </w:p>
        </w:tc>
      </w:tr>
    </w:tbl>
    <w:p w:rsidR="00CA4CD6" w:rsidRPr="00C70104" w:rsidRDefault="00CA4CD6">
      <w:pPr>
        <w:pBdr>
          <w:top w:val="single" w:sz="6" w:space="0" w:color="FFFFFF"/>
          <w:left w:val="single" w:sz="6" w:space="0" w:color="FFFFFF"/>
          <w:bottom w:val="single" w:sz="6" w:space="0" w:color="FFFFFF"/>
          <w:right w:val="single" w:sz="6" w:space="0" w:color="FFFFFF"/>
        </w:pBdr>
      </w:pPr>
    </w:p>
    <w:tbl>
      <w:tblPr>
        <w:tblW w:w="9364" w:type="dxa"/>
        <w:jc w:val="center"/>
        <w:tblLayout w:type="fixed"/>
        <w:tblCellMar>
          <w:left w:w="120" w:type="dxa"/>
          <w:right w:w="120" w:type="dxa"/>
        </w:tblCellMar>
        <w:tblLook w:val="0000" w:firstRow="0" w:lastRow="0" w:firstColumn="0" w:lastColumn="0" w:noHBand="0" w:noVBand="0"/>
      </w:tblPr>
      <w:tblGrid>
        <w:gridCol w:w="6199"/>
        <w:gridCol w:w="3165"/>
      </w:tblGrid>
      <w:tr w:rsidR="00A73600" w:rsidRPr="00C70104" w:rsidTr="00BF24AC">
        <w:trPr>
          <w:tblHeader/>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CA4CD6" w:rsidRPr="00C70104" w:rsidRDefault="00CA4CD6">
            <w:pPr>
              <w:spacing w:line="120" w:lineRule="exact"/>
            </w:pPr>
          </w:p>
          <w:p w:rsidR="00CA4CD6" w:rsidRPr="00C70104"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70104">
              <w:rPr>
                <w:b/>
              </w:rPr>
              <w:t>Reports</w:t>
            </w:r>
          </w:p>
        </w:tc>
      </w:tr>
      <w:tr w:rsidR="00D91BF3" w:rsidRPr="00C70104" w:rsidTr="00BF24AC">
        <w:trPr>
          <w:jc w:val="center"/>
        </w:trPr>
        <w:tc>
          <w:tcPr>
            <w:tcW w:w="6199" w:type="dxa"/>
            <w:tcBorders>
              <w:top w:val="single" w:sz="7" w:space="0" w:color="000000"/>
              <w:left w:val="single" w:sz="7" w:space="0" w:color="000000"/>
              <w:bottom w:val="single" w:sz="7" w:space="0" w:color="000000"/>
              <w:right w:val="single" w:sz="7" w:space="0" w:color="000000"/>
            </w:tcBorders>
          </w:tcPr>
          <w:p w:rsidR="00D91BF3" w:rsidRPr="00C70104" w:rsidRDefault="00D91BF3" w:rsidP="005D62F4">
            <w:r w:rsidRPr="00C70104">
              <w:t>Performance test results</w:t>
            </w:r>
          </w:p>
        </w:tc>
        <w:tc>
          <w:tcPr>
            <w:tcW w:w="3165" w:type="dxa"/>
            <w:tcBorders>
              <w:top w:val="single" w:sz="7" w:space="0" w:color="000000"/>
              <w:left w:val="single" w:sz="7" w:space="0" w:color="000000"/>
              <w:bottom w:val="single" w:sz="7" w:space="0" w:color="000000"/>
              <w:right w:val="single" w:sz="7" w:space="0" w:color="000000"/>
            </w:tcBorders>
          </w:tcPr>
          <w:p w:rsidR="00D91BF3" w:rsidRPr="00C70104" w:rsidRDefault="00D91BF3" w:rsidP="005D62F4">
            <w:r w:rsidRPr="00C70104">
              <w:t>60.747(a) and 60.8(a)</w:t>
            </w:r>
          </w:p>
        </w:tc>
      </w:tr>
      <w:tr w:rsidR="00BF24AC" w:rsidRPr="00C70104" w:rsidTr="00BF24AC">
        <w:trPr>
          <w:jc w:val="center"/>
        </w:trPr>
        <w:tc>
          <w:tcPr>
            <w:tcW w:w="6199" w:type="dxa"/>
            <w:tcBorders>
              <w:top w:val="single" w:sz="7" w:space="0" w:color="000000"/>
              <w:left w:val="single" w:sz="7" w:space="0" w:color="000000"/>
              <w:bottom w:val="single" w:sz="7" w:space="0" w:color="000000"/>
              <w:right w:val="single" w:sz="7" w:space="0" w:color="000000"/>
            </w:tcBorders>
          </w:tcPr>
          <w:p w:rsidR="00BF24AC" w:rsidRPr="00C70104" w:rsidRDefault="00BF24AC" w:rsidP="00BF24AC">
            <w:pPr>
              <w:rPr>
                <w:highlight w:val="yellow"/>
              </w:rPr>
            </w:pPr>
            <w:r w:rsidRPr="00C70104">
              <w:t>Quarterly reports of excess emissions or periods of noncompliance</w:t>
            </w:r>
          </w:p>
        </w:tc>
        <w:tc>
          <w:tcPr>
            <w:tcW w:w="3165" w:type="dxa"/>
            <w:tcBorders>
              <w:top w:val="single" w:sz="7" w:space="0" w:color="000000"/>
              <w:left w:val="single" w:sz="7" w:space="0" w:color="000000"/>
              <w:bottom w:val="single" w:sz="7" w:space="0" w:color="000000"/>
              <w:right w:val="single" w:sz="7" w:space="0" w:color="000000"/>
            </w:tcBorders>
          </w:tcPr>
          <w:p w:rsidR="00BF24AC" w:rsidRPr="00C70104" w:rsidRDefault="00BF24AC" w:rsidP="00BF24AC">
            <w:pPr>
              <w:rPr>
                <w:highlight w:val="yellow"/>
              </w:rPr>
            </w:pPr>
            <w:r w:rsidRPr="00C70104">
              <w:t>60.747(d)(1)-(6), 60.747(e)(2), and 60.747(f)</w:t>
            </w:r>
          </w:p>
        </w:tc>
      </w:tr>
      <w:tr w:rsidR="00CA4CD6" w:rsidRPr="00C70104" w:rsidTr="00BF24AC">
        <w:trPr>
          <w:jc w:val="center"/>
        </w:trPr>
        <w:tc>
          <w:tcPr>
            <w:tcW w:w="6199" w:type="dxa"/>
            <w:tcBorders>
              <w:top w:val="single" w:sz="7" w:space="0" w:color="000000"/>
              <w:left w:val="single" w:sz="7" w:space="0" w:color="000000"/>
              <w:bottom w:val="single" w:sz="7" w:space="0" w:color="000000"/>
              <w:right w:val="single" w:sz="7" w:space="0" w:color="000000"/>
            </w:tcBorders>
          </w:tcPr>
          <w:p w:rsidR="00CA4CD6" w:rsidRPr="00C70104" w:rsidRDefault="00BF24AC">
            <w:pPr>
              <w:pBdr>
                <w:top w:val="single" w:sz="6" w:space="0" w:color="FFFFFF"/>
                <w:left w:val="single" w:sz="6" w:space="0" w:color="FFFFFF"/>
                <w:bottom w:val="single" w:sz="6" w:space="0" w:color="FFFFFF"/>
                <w:right w:val="single" w:sz="6" w:space="0" w:color="FFFFFF"/>
              </w:pBdr>
              <w:spacing w:after="58"/>
            </w:pPr>
            <w:r w:rsidRPr="00C70104">
              <w:t>Semiannual reports of no excess emissions/deviations from operating parameters</w:t>
            </w:r>
          </w:p>
        </w:tc>
        <w:tc>
          <w:tcPr>
            <w:tcW w:w="3165" w:type="dxa"/>
            <w:tcBorders>
              <w:top w:val="single" w:sz="7" w:space="0" w:color="000000"/>
              <w:left w:val="single" w:sz="7" w:space="0" w:color="000000"/>
              <w:bottom w:val="single" w:sz="7" w:space="0" w:color="000000"/>
              <w:right w:val="single" w:sz="7" w:space="0" w:color="000000"/>
            </w:tcBorders>
          </w:tcPr>
          <w:p w:rsidR="00CA4CD6" w:rsidRPr="00C70104" w:rsidRDefault="00BF24AC">
            <w:pPr>
              <w:pBdr>
                <w:top w:val="single" w:sz="6" w:space="0" w:color="FFFFFF"/>
                <w:left w:val="single" w:sz="6" w:space="0" w:color="FFFFFF"/>
                <w:bottom w:val="single" w:sz="6" w:space="0" w:color="FFFFFF"/>
                <w:right w:val="single" w:sz="6" w:space="0" w:color="FFFFFF"/>
              </w:pBdr>
              <w:spacing w:after="58"/>
            </w:pPr>
            <w:r w:rsidRPr="00C70104">
              <w:t>60.747(d)(7) and 60.747(e)(1)</w:t>
            </w:r>
          </w:p>
        </w:tc>
      </w:tr>
    </w:tbl>
    <w:p w:rsidR="00CA4CD6" w:rsidRPr="00C70104" w:rsidRDefault="00CA4CD6">
      <w:pPr>
        <w:pBdr>
          <w:top w:val="single" w:sz="6" w:space="0" w:color="FFFFFF"/>
          <w:left w:val="single" w:sz="6" w:space="0" w:color="FFFFFF"/>
          <w:bottom w:val="single" w:sz="6" w:space="0" w:color="FFFFFF"/>
          <w:right w:val="single" w:sz="6" w:space="0" w:color="FFFFFF"/>
        </w:pBdr>
        <w:ind w:firstLine="720"/>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A source must keep the following records:</w:t>
      </w:r>
    </w:p>
    <w:p w:rsidR="00CA4CD6" w:rsidRPr="00C70104" w:rsidRDefault="00CA4CD6">
      <w:pPr>
        <w:pBdr>
          <w:top w:val="single" w:sz="6" w:space="0" w:color="FFFFFF"/>
          <w:left w:val="single" w:sz="6" w:space="0" w:color="FFFFFF"/>
          <w:bottom w:val="single" w:sz="6" w:space="0" w:color="FFFFFF"/>
          <w:right w:val="single" w:sz="6" w:space="0" w:color="FFFFFF"/>
        </w:pBdr>
      </w:pPr>
    </w:p>
    <w:tbl>
      <w:tblPr>
        <w:tblW w:w="9405" w:type="dxa"/>
        <w:jc w:val="center"/>
        <w:tblLayout w:type="fixed"/>
        <w:tblCellMar>
          <w:left w:w="120" w:type="dxa"/>
          <w:right w:w="120" w:type="dxa"/>
        </w:tblCellMar>
        <w:tblLook w:val="0000" w:firstRow="0" w:lastRow="0" w:firstColumn="0" w:lastColumn="0" w:noHBand="0" w:noVBand="0"/>
      </w:tblPr>
      <w:tblGrid>
        <w:gridCol w:w="8190"/>
        <w:gridCol w:w="1215"/>
      </w:tblGrid>
      <w:tr w:rsidR="00A73600" w:rsidRPr="00C70104" w:rsidTr="00BF24AC">
        <w:trPr>
          <w:tblHeader/>
          <w:jc w:val="center"/>
        </w:trPr>
        <w:tc>
          <w:tcPr>
            <w:tcW w:w="9405" w:type="dxa"/>
            <w:gridSpan w:val="2"/>
            <w:tcBorders>
              <w:top w:val="single" w:sz="7" w:space="0" w:color="000000"/>
              <w:left w:val="single" w:sz="7" w:space="0" w:color="000000"/>
              <w:bottom w:val="single" w:sz="7" w:space="0" w:color="000000"/>
              <w:right w:val="single" w:sz="7" w:space="0" w:color="000000"/>
            </w:tcBorders>
          </w:tcPr>
          <w:p w:rsidR="00CA4CD6" w:rsidRPr="00C70104" w:rsidRDefault="00CA4CD6">
            <w:pPr>
              <w:spacing w:line="120" w:lineRule="exact"/>
            </w:pPr>
          </w:p>
          <w:p w:rsidR="00CA4CD6" w:rsidRPr="00C70104"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70104">
              <w:rPr>
                <w:b/>
              </w:rPr>
              <w:t>Recordkeeping</w:t>
            </w:r>
          </w:p>
        </w:tc>
      </w:tr>
      <w:tr w:rsidR="00236E06" w:rsidRPr="00C70104" w:rsidTr="00BF24AC">
        <w:trPr>
          <w:jc w:val="center"/>
        </w:trPr>
        <w:tc>
          <w:tcPr>
            <w:tcW w:w="8190" w:type="dxa"/>
            <w:tcBorders>
              <w:top w:val="single" w:sz="7" w:space="0" w:color="000000"/>
              <w:left w:val="single" w:sz="7" w:space="0" w:color="000000"/>
              <w:bottom w:val="single" w:sz="7" w:space="0" w:color="000000"/>
              <w:right w:val="single" w:sz="7" w:space="0" w:color="000000"/>
            </w:tcBorders>
          </w:tcPr>
          <w:p w:rsidR="00D91BF3" w:rsidRPr="00C70104" w:rsidRDefault="00D91BF3" w:rsidP="00D91BF3">
            <w:r w:rsidRPr="00C70104">
              <w:t>Maintain records of startups, shutdowns, malfunctions, or periods where the continuous monitoring system is inoperative</w:t>
            </w:r>
          </w:p>
        </w:tc>
        <w:tc>
          <w:tcPr>
            <w:tcW w:w="1215" w:type="dxa"/>
            <w:tcBorders>
              <w:top w:val="single" w:sz="7" w:space="0" w:color="000000"/>
              <w:left w:val="single" w:sz="7" w:space="0" w:color="000000"/>
              <w:bottom w:val="single" w:sz="7" w:space="0" w:color="000000"/>
              <w:right w:val="single" w:sz="7" w:space="0" w:color="000000"/>
            </w:tcBorders>
          </w:tcPr>
          <w:p w:rsidR="00236E06" w:rsidRPr="00C70104" w:rsidRDefault="00236E06" w:rsidP="00D73E88">
            <w:r w:rsidRPr="00C70104">
              <w:t xml:space="preserve">60.7(b) </w:t>
            </w:r>
          </w:p>
        </w:tc>
      </w:tr>
      <w:tr w:rsidR="00236E06" w:rsidRPr="00C70104" w:rsidTr="00BF24AC">
        <w:trPr>
          <w:jc w:val="center"/>
        </w:trPr>
        <w:tc>
          <w:tcPr>
            <w:tcW w:w="8190" w:type="dxa"/>
            <w:tcBorders>
              <w:top w:val="single" w:sz="7" w:space="0" w:color="000000"/>
              <w:left w:val="single" w:sz="7" w:space="0" w:color="000000"/>
              <w:bottom w:val="single" w:sz="7" w:space="0" w:color="000000"/>
              <w:right w:val="single" w:sz="7" w:space="0" w:color="000000"/>
            </w:tcBorders>
          </w:tcPr>
          <w:p w:rsidR="00236E06" w:rsidRPr="00C70104" w:rsidRDefault="00236E06" w:rsidP="00D73E88">
            <w:r w:rsidRPr="00C70104">
              <w:t>Records for performance t</w:t>
            </w:r>
            <w:r w:rsidR="00D91BF3" w:rsidRPr="00C70104">
              <w:t>est measurements</w:t>
            </w:r>
          </w:p>
        </w:tc>
        <w:tc>
          <w:tcPr>
            <w:tcW w:w="1215" w:type="dxa"/>
            <w:tcBorders>
              <w:top w:val="single" w:sz="7" w:space="0" w:color="000000"/>
              <w:left w:val="single" w:sz="7" w:space="0" w:color="000000"/>
              <w:bottom w:val="single" w:sz="7" w:space="0" w:color="000000"/>
              <w:right w:val="single" w:sz="7" w:space="0" w:color="000000"/>
            </w:tcBorders>
          </w:tcPr>
          <w:p w:rsidR="00236E06" w:rsidRPr="00C70104" w:rsidRDefault="00236E06" w:rsidP="00D91BF3">
            <w:r w:rsidRPr="00C70104">
              <w:t>60.8(</w:t>
            </w:r>
            <w:r w:rsidR="00D91BF3" w:rsidRPr="00C70104">
              <w:t>c</w:t>
            </w:r>
            <w:r w:rsidRPr="00C70104">
              <w:t>)</w:t>
            </w:r>
          </w:p>
        </w:tc>
      </w:tr>
      <w:tr w:rsidR="00236E06" w:rsidRPr="00C70104" w:rsidTr="00BF24AC">
        <w:trPr>
          <w:jc w:val="center"/>
        </w:trPr>
        <w:tc>
          <w:tcPr>
            <w:tcW w:w="8190" w:type="dxa"/>
            <w:tcBorders>
              <w:top w:val="single" w:sz="7" w:space="0" w:color="000000"/>
              <w:left w:val="single" w:sz="7" w:space="0" w:color="000000"/>
              <w:bottom w:val="single" w:sz="7" w:space="0" w:color="000000"/>
              <w:right w:val="single" w:sz="7" w:space="0" w:color="000000"/>
            </w:tcBorders>
          </w:tcPr>
          <w:p w:rsidR="00236E06" w:rsidRPr="00C70104" w:rsidRDefault="00236E06" w:rsidP="00D73E88">
            <w:r w:rsidRPr="00C70104">
              <w:t>Record projected VOC use and actual 12-month VOC use, operating parameters (e.g., concentration level of organic compounds, periods of actual coating operations, system efficiency, average combustion temperature, gas temperature before and after the catalytic bed) of the control device (e.g., carbon absorption system, thermal incinerator, and catalytic incinerator)</w:t>
            </w:r>
            <w:r w:rsidR="00BF24AC" w:rsidRPr="00C70104">
              <w:t>;</w:t>
            </w:r>
            <w:r w:rsidRPr="00C70104">
              <w:t xml:space="preserve"> and other parameters</w:t>
            </w:r>
            <w:r w:rsidR="00BF24AC" w:rsidRPr="00C70104">
              <w:t>,</w:t>
            </w:r>
            <w:r w:rsidRPr="00C70104">
              <w:t xml:space="preserve"> depending on t</w:t>
            </w:r>
            <w:r w:rsidR="00BF24AC" w:rsidRPr="00C70104">
              <w:t>he compliance method being used</w:t>
            </w:r>
          </w:p>
        </w:tc>
        <w:tc>
          <w:tcPr>
            <w:tcW w:w="1215" w:type="dxa"/>
            <w:tcBorders>
              <w:top w:val="single" w:sz="7" w:space="0" w:color="000000"/>
              <w:left w:val="single" w:sz="7" w:space="0" w:color="000000"/>
              <w:bottom w:val="single" w:sz="7" w:space="0" w:color="000000"/>
              <w:right w:val="single" w:sz="7" w:space="0" w:color="000000"/>
            </w:tcBorders>
          </w:tcPr>
          <w:p w:rsidR="00236E06" w:rsidRPr="00C70104" w:rsidRDefault="00236E06" w:rsidP="00D73E88">
            <w:r w:rsidRPr="00C70104">
              <w:t>60.747</w:t>
            </w:r>
          </w:p>
        </w:tc>
      </w:tr>
      <w:tr w:rsidR="00236E06" w:rsidRPr="00C70104" w:rsidTr="00BF24AC">
        <w:trPr>
          <w:jc w:val="center"/>
        </w:trPr>
        <w:tc>
          <w:tcPr>
            <w:tcW w:w="8190" w:type="dxa"/>
            <w:tcBorders>
              <w:top w:val="single" w:sz="7" w:space="0" w:color="000000"/>
              <w:left w:val="single" w:sz="7" w:space="0" w:color="000000"/>
              <w:bottom w:val="single" w:sz="7" w:space="0" w:color="000000"/>
              <w:right w:val="single" w:sz="7" w:space="0" w:color="000000"/>
            </w:tcBorders>
          </w:tcPr>
          <w:p w:rsidR="00236E06" w:rsidRPr="00C70104" w:rsidRDefault="00D91BF3" w:rsidP="00D73E88">
            <w:r w:rsidRPr="00C70104">
              <w:t>Maintain r</w:t>
            </w:r>
            <w:r w:rsidR="00236E06" w:rsidRPr="00C70104">
              <w:t>ecords for sources with continuous monit</w:t>
            </w:r>
            <w:r w:rsidRPr="00C70104">
              <w:t>oring systems</w:t>
            </w:r>
          </w:p>
        </w:tc>
        <w:tc>
          <w:tcPr>
            <w:tcW w:w="1215" w:type="dxa"/>
            <w:tcBorders>
              <w:top w:val="single" w:sz="7" w:space="0" w:color="000000"/>
              <w:left w:val="single" w:sz="7" w:space="0" w:color="000000"/>
              <w:bottom w:val="single" w:sz="7" w:space="0" w:color="000000"/>
              <w:right w:val="single" w:sz="7" w:space="0" w:color="000000"/>
            </w:tcBorders>
          </w:tcPr>
          <w:p w:rsidR="00236E06" w:rsidRPr="00C70104" w:rsidRDefault="00236E06" w:rsidP="00D73E88">
            <w:r w:rsidRPr="00C70104">
              <w:t>60.7(f)</w:t>
            </w:r>
          </w:p>
        </w:tc>
      </w:tr>
      <w:tr w:rsidR="00236E06" w:rsidRPr="00C70104" w:rsidTr="00BF24AC">
        <w:trPr>
          <w:jc w:val="center"/>
        </w:trPr>
        <w:tc>
          <w:tcPr>
            <w:tcW w:w="8190" w:type="dxa"/>
            <w:tcBorders>
              <w:top w:val="single" w:sz="7" w:space="0" w:color="000000"/>
              <w:left w:val="single" w:sz="7" w:space="0" w:color="000000"/>
              <w:bottom w:val="single" w:sz="7" w:space="0" w:color="000000"/>
              <w:right w:val="single" w:sz="7" w:space="0" w:color="000000"/>
            </w:tcBorders>
          </w:tcPr>
          <w:p w:rsidR="00236E06" w:rsidRPr="00C70104" w:rsidRDefault="00D91BF3" w:rsidP="00D91BF3">
            <w:r w:rsidRPr="00C70104">
              <w:t>Retain r</w:t>
            </w:r>
            <w:r w:rsidR="00236E06" w:rsidRPr="00C70104">
              <w:t>ecords for two years</w:t>
            </w:r>
          </w:p>
        </w:tc>
        <w:tc>
          <w:tcPr>
            <w:tcW w:w="1215" w:type="dxa"/>
            <w:tcBorders>
              <w:top w:val="single" w:sz="7" w:space="0" w:color="000000"/>
              <w:left w:val="single" w:sz="7" w:space="0" w:color="000000"/>
              <w:bottom w:val="single" w:sz="7" w:space="0" w:color="000000"/>
              <w:right w:val="single" w:sz="7" w:space="0" w:color="000000"/>
            </w:tcBorders>
          </w:tcPr>
          <w:p w:rsidR="00236E06" w:rsidRPr="00C70104" w:rsidRDefault="00236E06" w:rsidP="00D73E88">
            <w:r w:rsidRPr="00C70104">
              <w:t>60.747(h)</w:t>
            </w:r>
          </w:p>
        </w:tc>
      </w:tr>
    </w:tbl>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rsidP="00504745">
      <w:pPr>
        <w:pBdr>
          <w:top w:val="single" w:sz="6" w:space="0" w:color="FFFFFF"/>
          <w:left w:val="single" w:sz="6" w:space="0" w:color="FFFFFF"/>
          <w:bottom w:val="single" w:sz="6" w:space="0" w:color="FFFFFF"/>
          <w:right w:val="single" w:sz="6" w:space="0" w:color="FFFFFF"/>
        </w:pBdr>
        <w:outlineLvl w:val="0"/>
      </w:pPr>
      <w:r w:rsidRPr="00C70104">
        <w:rPr>
          <w:u w:val="single"/>
        </w:rPr>
        <w:t>Electronic Reporting</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2743D2">
      <w:pPr>
        <w:pBdr>
          <w:top w:val="single" w:sz="6" w:space="0" w:color="FFFFFF"/>
          <w:left w:val="single" w:sz="6" w:space="0" w:color="FFFFFF"/>
          <w:bottom w:val="single" w:sz="6" w:space="0" w:color="FFFFFF"/>
          <w:right w:val="single" w:sz="6" w:space="0" w:color="FFFFFF"/>
        </w:pBdr>
        <w:ind w:firstLine="720"/>
      </w:pPr>
      <w:r w:rsidRPr="00C70104">
        <w:t>Some of the r</w:t>
      </w:r>
      <w:r w:rsidR="00CA4CD6" w:rsidRPr="00C70104">
        <w:t xml:space="preserve">espondents are using monitoring equipment that automatically records parameter data.  Although personnel at the affected facility must </w:t>
      </w:r>
      <w:r w:rsidRPr="00C70104">
        <w:t xml:space="preserve">still </w:t>
      </w:r>
      <w:r w:rsidR="00CA4CD6" w:rsidRPr="00C70104">
        <w:t xml:space="preserve">evaluate the data, internal automation has significantly reduced the burden associated with monitoring and recordkeeping at </w:t>
      </w:r>
      <w:r w:rsidRPr="00C70104">
        <w:t>a</w:t>
      </w:r>
      <w:r w:rsidR="00CA4CD6" w:rsidRPr="00C70104">
        <w:t xml:space="preserve"> plant site. </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Also, regulatory agencies in cooperation with th</w:t>
      </w:r>
      <w:r w:rsidR="00724BC7" w:rsidRPr="00C70104">
        <w:t>e respondents</w:t>
      </w:r>
      <w:r w:rsidRPr="00C70104">
        <w:t xml:space="preserve"> continue to create reporting </w:t>
      </w:r>
      <w:r w:rsidRPr="00C70104">
        <w:lastRenderedPageBreak/>
        <w:t>systems to transmit data electronically.  However, electronic reporting systems are still not widely used.  At this time, it is estimated that approximately 10 percent of the respon</w:t>
      </w:r>
      <w:r w:rsidR="00236E06" w:rsidRPr="00C70104">
        <w:t>dents use electronic reporting.</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C70104">
        <w:rPr>
          <w:b/>
          <w:bCs/>
        </w:rPr>
        <w:t>(ii)  Respondent Activities</w:t>
      </w:r>
      <w:r w:rsidRPr="00C70104">
        <w:rPr>
          <w:b/>
          <w:bCs/>
        </w:rPr>
        <w:tab/>
      </w:r>
    </w:p>
    <w:p w:rsidR="00CA4CD6" w:rsidRPr="00C70104"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C70104">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C70104" w:rsidRDefault="00CA4CD6">
            <w:pPr>
              <w:spacing w:line="120" w:lineRule="exact"/>
            </w:pPr>
          </w:p>
          <w:p w:rsidR="00CA4CD6" w:rsidRPr="00C70104"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C70104">
              <w:rPr>
                <w:b/>
                <w:bCs/>
              </w:rPr>
              <w:t>Respondent Activities</w:t>
            </w:r>
          </w:p>
        </w:tc>
      </w:tr>
      <w:tr w:rsidR="00CA4CD6" w:rsidRPr="00C70104">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C70104" w:rsidRDefault="00CA4CD6">
            <w:pPr>
              <w:spacing w:line="120" w:lineRule="exact"/>
              <w:rPr>
                <w:b/>
                <w:bCs/>
              </w:rPr>
            </w:pPr>
          </w:p>
          <w:p w:rsidR="00CA4CD6" w:rsidRPr="00C70104" w:rsidRDefault="00CA4CD6">
            <w:pPr>
              <w:pBdr>
                <w:top w:val="single" w:sz="6" w:space="0" w:color="FFFFFF"/>
                <w:left w:val="single" w:sz="6" w:space="0" w:color="FFFFFF"/>
                <w:bottom w:val="single" w:sz="6" w:space="0" w:color="FFFFFF"/>
                <w:right w:val="single" w:sz="6" w:space="0" w:color="FFFFFF"/>
              </w:pBdr>
              <w:spacing w:after="55"/>
            </w:pPr>
            <w:r w:rsidRPr="00C70104">
              <w:t>Read instructions.</w:t>
            </w:r>
          </w:p>
        </w:tc>
      </w:tr>
      <w:tr w:rsidR="00CA4CD6" w:rsidRPr="00C70104">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C70104" w:rsidRDefault="00CA4CD6">
            <w:pPr>
              <w:spacing w:line="120" w:lineRule="exact"/>
            </w:pPr>
          </w:p>
          <w:p w:rsidR="00CA4CD6" w:rsidRPr="00C70104" w:rsidRDefault="00CA4CD6" w:rsidP="00E649D4">
            <w:pPr>
              <w:pBdr>
                <w:top w:val="single" w:sz="6" w:space="0" w:color="FFFFFF"/>
                <w:left w:val="single" w:sz="6" w:space="0" w:color="FFFFFF"/>
                <w:bottom w:val="single" w:sz="6" w:space="0" w:color="FFFFFF"/>
                <w:right w:val="single" w:sz="6" w:space="0" w:color="FFFFFF"/>
              </w:pBdr>
              <w:spacing w:after="55"/>
            </w:pPr>
            <w:r w:rsidRPr="00C70104">
              <w:t xml:space="preserve">Install, calibrate, maintain, and operate </w:t>
            </w:r>
            <w:r w:rsidR="00236E06" w:rsidRPr="00C70104">
              <w:t>required monitoring devices to monitor concentration level</w:t>
            </w:r>
            <w:r w:rsidR="00E649D4" w:rsidRPr="00C70104">
              <w:t>s</w:t>
            </w:r>
            <w:r w:rsidR="00236E06" w:rsidRPr="00C70104">
              <w:t xml:space="preserve"> of organic compounds, combustion temperature, gas temperature</w:t>
            </w:r>
            <w:r w:rsidR="00E649D4" w:rsidRPr="00C70104">
              <w:t>,</w:t>
            </w:r>
            <w:r w:rsidR="00236E06" w:rsidRPr="00C70104">
              <w:t xml:space="preserve"> or other value</w:t>
            </w:r>
            <w:r w:rsidR="00E649D4" w:rsidRPr="00C70104">
              <w:t>s</w:t>
            </w:r>
            <w:r w:rsidR="00236E06" w:rsidRPr="00C70104">
              <w:t xml:space="preserve"> of the chosen parameter, depending on the control device used.</w:t>
            </w:r>
          </w:p>
        </w:tc>
      </w:tr>
      <w:tr w:rsidR="00236E06" w:rsidRPr="00C70104" w:rsidTr="00D73E88">
        <w:trPr>
          <w:jc w:val="center"/>
        </w:trPr>
        <w:tc>
          <w:tcPr>
            <w:tcW w:w="9360" w:type="dxa"/>
            <w:tcBorders>
              <w:top w:val="single" w:sz="7" w:space="0" w:color="000000"/>
              <w:left w:val="single" w:sz="7" w:space="0" w:color="000000"/>
              <w:bottom w:val="single" w:sz="6" w:space="0" w:color="FFFFFF"/>
              <w:right w:val="single" w:sz="7" w:space="0" w:color="000000"/>
            </w:tcBorders>
          </w:tcPr>
          <w:p w:rsidR="00236E06" w:rsidRPr="00C70104" w:rsidRDefault="00236E06" w:rsidP="00D73E88">
            <w:pPr>
              <w:spacing w:line="120" w:lineRule="exact"/>
            </w:pPr>
          </w:p>
          <w:p w:rsidR="00236E06" w:rsidRPr="00C70104" w:rsidRDefault="00236E06" w:rsidP="00236E06">
            <w:pPr>
              <w:pBdr>
                <w:top w:val="single" w:sz="6" w:space="0" w:color="FFFFFF"/>
                <w:left w:val="single" w:sz="6" w:space="0" w:color="FFFFFF"/>
                <w:bottom w:val="single" w:sz="6" w:space="0" w:color="FFFFFF"/>
                <w:right w:val="single" w:sz="6" w:space="0" w:color="FFFFFF"/>
              </w:pBdr>
              <w:spacing w:after="55"/>
            </w:pPr>
            <w:r w:rsidRPr="00C70104">
              <w:t>Monitor projected and actual VOC use.</w:t>
            </w:r>
          </w:p>
        </w:tc>
      </w:tr>
      <w:tr w:rsidR="00CA4CD6" w:rsidRPr="00C70104">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C70104" w:rsidRDefault="00CA4CD6">
            <w:pPr>
              <w:spacing w:line="120" w:lineRule="exact"/>
            </w:pPr>
          </w:p>
          <w:p w:rsidR="00236E06" w:rsidRPr="00C70104" w:rsidRDefault="00CA4CD6" w:rsidP="00236E06">
            <w:pPr>
              <w:pBdr>
                <w:top w:val="single" w:sz="6" w:space="0" w:color="FFFFFF"/>
                <w:left w:val="single" w:sz="6" w:space="0" w:color="FFFFFF"/>
                <w:bottom w:val="single" w:sz="6" w:space="0" w:color="FFFFFF"/>
                <w:right w:val="single" w:sz="6" w:space="0" w:color="FFFFFF"/>
              </w:pBdr>
              <w:spacing w:after="55"/>
            </w:pPr>
            <w:r w:rsidRPr="00C70104">
              <w:t>Perform performance test</w:t>
            </w:r>
            <w:r w:rsidR="00236E06" w:rsidRPr="00C70104">
              <w:t>s and use the appropriate reference methods:</w:t>
            </w:r>
          </w:p>
          <w:p w:rsidR="00236E06" w:rsidRPr="00C70104" w:rsidRDefault="00236E06" w:rsidP="00A60014">
            <w:pPr>
              <w:pBdr>
                <w:top w:val="single" w:sz="6" w:space="0" w:color="FFFFFF"/>
                <w:left w:val="single" w:sz="6" w:space="0" w:color="FFFFFF"/>
                <w:bottom w:val="single" w:sz="6" w:space="0" w:color="FFFFFF"/>
                <w:right w:val="single" w:sz="6" w:space="0" w:color="FFFFFF"/>
              </w:pBdr>
              <w:spacing w:after="55"/>
              <w:ind w:left="330"/>
            </w:pPr>
            <w:r w:rsidRPr="00C70104">
              <w:t>Reference Method 24 to determine VOC content in coating or formulation data (if approv</w:t>
            </w:r>
            <w:r w:rsidR="00EC67B2" w:rsidRPr="00C70104">
              <w:t>ed by Administrator);</w:t>
            </w:r>
          </w:p>
          <w:p w:rsidR="00236E06" w:rsidRPr="00C70104" w:rsidRDefault="00EC67B2" w:rsidP="00A60014">
            <w:pPr>
              <w:pBdr>
                <w:top w:val="single" w:sz="6" w:space="0" w:color="FFFFFF"/>
                <w:left w:val="single" w:sz="6" w:space="0" w:color="FFFFFF"/>
                <w:bottom w:val="single" w:sz="6" w:space="0" w:color="FFFFFF"/>
                <w:right w:val="single" w:sz="6" w:space="0" w:color="FFFFFF"/>
              </w:pBdr>
              <w:spacing w:after="55"/>
              <w:ind w:left="330"/>
            </w:pPr>
            <w:r w:rsidRPr="00C70104">
              <w:t>Reference Method 25 (or alternative Methods 18 or 25A) to determine VOC concentrations from incinerator gas streams or the efficiency of fixed-bed carbon adsorption system</w:t>
            </w:r>
            <w:r w:rsidR="00E649D4" w:rsidRPr="00C70104">
              <w:t>s</w:t>
            </w:r>
            <w:r w:rsidR="00236E06" w:rsidRPr="00C70104">
              <w:t xml:space="preserve">; </w:t>
            </w:r>
          </w:p>
          <w:p w:rsidR="00236E06" w:rsidRPr="00C70104" w:rsidRDefault="00236E06" w:rsidP="00A60014">
            <w:pPr>
              <w:pBdr>
                <w:top w:val="single" w:sz="6" w:space="0" w:color="FFFFFF"/>
                <w:left w:val="single" w:sz="6" w:space="0" w:color="FFFFFF"/>
                <w:bottom w:val="single" w:sz="6" w:space="0" w:color="FFFFFF"/>
                <w:right w:val="single" w:sz="6" w:space="0" w:color="FFFFFF"/>
              </w:pBdr>
              <w:spacing w:after="55"/>
              <w:ind w:left="330"/>
            </w:pPr>
            <w:r w:rsidRPr="00C70104">
              <w:t xml:space="preserve">Method 1 or 1A for sample and velocity traverses; </w:t>
            </w:r>
          </w:p>
          <w:p w:rsidR="00236E06" w:rsidRPr="00C70104" w:rsidRDefault="00EC67B2" w:rsidP="00A60014">
            <w:pPr>
              <w:pBdr>
                <w:top w:val="single" w:sz="6" w:space="0" w:color="FFFFFF"/>
                <w:left w:val="single" w:sz="6" w:space="0" w:color="FFFFFF"/>
                <w:bottom w:val="single" w:sz="6" w:space="0" w:color="FFFFFF"/>
                <w:right w:val="single" w:sz="6" w:space="0" w:color="FFFFFF"/>
              </w:pBdr>
              <w:spacing w:after="55"/>
              <w:ind w:left="330"/>
            </w:pPr>
            <w:r w:rsidRPr="00C70104">
              <w:t>Method 2, 2A, 2C or 2D for velocity and volumetric rates;</w:t>
            </w:r>
          </w:p>
          <w:p w:rsidR="00236E06" w:rsidRPr="00C70104" w:rsidRDefault="00EC67B2" w:rsidP="00A60014">
            <w:pPr>
              <w:pBdr>
                <w:top w:val="single" w:sz="6" w:space="0" w:color="FFFFFF"/>
                <w:left w:val="single" w:sz="6" w:space="0" w:color="FFFFFF"/>
                <w:bottom w:val="single" w:sz="6" w:space="0" w:color="FFFFFF"/>
                <w:right w:val="single" w:sz="6" w:space="0" w:color="FFFFFF"/>
              </w:pBdr>
              <w:spacing w:after="55"/>
              <w:ind w:left="330"/>
            </w:pPr>
            <w:r w:rsidRPr="00C70104">
              <w:t>Method 3 for gas analysis; and</w:t>
            </w:r>
          </w:p>
          <w:p w:rsidR="00CA4CD6" w:rsidRPr="00C70104" w:rsidRDefault="00EC67B2" w:rsidP="00A60014">
            <w:pPr>
              <w:pBdr>
                <w:top w:val="single" w:sz="6" w:space="0" w:color="FFFFFF"/>
                <w:left w:val="single" w:sz="6" w:space="0" w:color="FFFFFF"/>
                <w:bottom w:val="single" w:sz="6" w:space="0" w:color="FFFFFF"/>
                <w:right w:val="single" w:sz="6" w:space="0" w:color="FFFFFF"/>
              </w:pBdr>
              <w:spacing w:after="55"/>
              <w:ind w:left="330"/>
            </w:pPr>
            <w:r w:rsidRPr="00C70104">
              <w:t>Method 4 for stack gas moisture measurements.</w:t>
            </w:r>
          </w:p>
        </w:tc>
      </w:tr>
      <w:tr w:rsidR="00CA4CD6" w:rsidRPr="00C70104">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C70104" w:rsidRDefault="00CA4CD6">
            <w:pPr>
              <w:spacing w:line="120" w:lineRule="exact"/>
            </w:pPr>
          </w:p>
          <w:p w:rsidR="00CA4CD6" w:rsidRPr="00C70104" w:rsidRDefault="00CA4CD6">
            <w:pPr>
              <w:pBdr>
                <w:top w:val="single" w:sz="6" w:space="0" w:color="FFFFFF"/>
                <w:left w:val="single" w:sz="6" w:space="0" w:color="FFFFFF"/>
                <w:bottom w:val="single" w:sz="6" w:space="0" w:color="FFFFFF"/>
                <w:right w:val="single" w:sz="6" w:space="0" w:color="FFFFFF"/>
              </w:pBdr>
              <w:spacing w:after="55"/>
            </w:pPr>
            <w:r w:rsidRPr="00C70104">
              <w:t>Write the notifications and reports listed above.</w:t>
            </w:r>
          </w:p>
        </w:tc>
      </w:tr>
      <w:tr w:rsidR="00CA4CD6" w:rsidRPr="00C70104">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C70104" w:rsidRDefault="00CA4CD6">
            <w:pPr>
              <w:spacing w:line="120" w:lineRule="exact"/>
            </w:pPr>
          </w:p>
          <w:p w:rsidR="00CA4CD6" w:rsidRPr="00C70104" w:rsidRDefault="00CA4CD6">
            <w:pPr>
              <w:pBdr>
                <w:top w:val="single" w:sz="6" w:space="0" w:color="FFFFFF"/>
                <w:left w:val="single" w:sz="6" w:space="0" w:color="FFFFFF"/>
                <w:bottom w:val="single" w:sz="6" w:space="0" w:color="FFFFFF"/>
                <w:right w:val="single" w:sz="6" w:space="0" w:color="FFFFFF"/>
              </w:pBdr>
              <w:spacing w:after="55"/>
            </w:pPr>
            <w:r w:rsidRPr="00C70104">
              <w:t>Enter information required to be recorded above.</w:t>
            </w:r>
          </w:p>
        </w:tc>
      </w:tr>
      <w:tr w:rsidR="00CA4CD6" w:rsidRPr="00C70104">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C70104" w:rsidRDefault="00CA4CD6">
            <w:pPr>
              <w:spacing w:line="120" w:lineRule="exact"/>
            </w:pPr>
          </w:p>
          <w:p w:rsidR="00CA4CD6" w:rsidRPr="00C70104" w:rsidRDefault="00CA4CD6">
            <w:pPr>
              <w:pBdr>
                <w:top w:val="single" w:sz="6" w:space="0" w:color="FFFFFF"/>
                <w:left w:val="single" w:sz="6" w:space="0" w:color="FFFFFF"/>
                <w:bottom w:val="single" w:sz="6" w:space="0" w:color="FFFFFF"/>
                <w:right w:val="single" w:sz="6" w:space="0" w:color="FFFFFF"/>
              </w:pBdr>
              <w:spacing w:after="55"/>
            </w:pPr>
            <w:r w:rsidRPr="00C70104">
              <w:t>Submit the required reports developing, acquiring, installing, and utilizing technology and systems for the purpose of collecting, validating, and verifying information.</w:t>
            </w:r>
          </w:p>
        </w:tc>
      </w:tr>
      <w:tr w:rsidR="00CA4CD6" w:rsidRPr="00C70104">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C70104" w:rsidRDefault="00CA4CD6">
            <w:pPr>
              <w:spacing w:line="120" w:lineRule="exact"/>
            </w:pPr>
          </w:p>
          <w:p w:rsidR="00CA4CD6" w:rsidRPr="00C70104" w:rsidRDefault="00CA4CD6">
            <w:pPr>
              <w:pBdr>
                <w:top w:val="single" w:sz="6" w:space="0" w:color="FFFFFF"/>
                <w:left w:val="single" w:sz="6" w:space="0" w:color="FFFFFF"/>
                <w:bottom w:val="single" w:sz="6" w:space="0" w:color="FFFFFF"/>
                <w:right w:val="single" w:sz="6" w:space="0" w:color="FFFFFF"/>
              </w:pBdr>
              <w:spacing w:after="55"/>
            </w:pPr>
            <w:r w:rsidRPr="00C70104">
              <w:t>Develop, acquire, install, and utilize technology and systems for the purpose of processing and maintaining information.</w:t>
            </w:r>
          </w:p>
        </w:tc>
      </w:tr>
      <w:tr w:rsidR="00CA4CD6" w:rsidRPr="00C70104">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C70104" w:rsidRDefault="00CA4CD6" w:rsidP="007C391F">
            <w:pPr>
              <w:keepNext/>
              <w:spacing w:line="120" w:lineRule="exact"/>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spacing w:after="55"/>
            </w:pPr>
            <w:r w:rsidRPr="00C70104">
              <w:t>Develop, acquire, install, and utilize technology and systems for the purpose of disclosing and providing information.</w:t>
            </w:r>
          </w:p>
        </w:tc>
      </w:tr>
      <w:tr w:rsidR="00236E06" w:rsidRPr="00C70104" w:rsidTr="00D73E88">
        <w:trPr>
          <w:jc w:val="center"/>
        </w:trPr>
        <w:tc>
          <w:tcPr>
            <w:tcW w:w="9360" w:type="dxa"/>
            <w:tcBorders>
              <w:top w:val="single" w:sz="7" w:space="0" w:color="000000"/>
              <w:left w:val="single" w:sz="7" w:space="0" w:color="000000"/>
              <w:bottom w:val="single" w:sz="6" w:space="0" w:color="FFFFFF"/>
              <w:right w:val="single" w:sz="7" w:space="0" w:color="000000"/>
            </w:tcBorders>
          </w:tcPr>
          <w:p w:rsidR="00236E06" w:rsidRPr="00C70104" w:rsidRDefault="00236E06" w:rsidP="00D73E88">
            <w:pPr>
              <w:spacing w:line="120" w:lineRule="exact"/>
            </w:pPr>
          </w:p>
          <w:p w:rsidR="00236E06" w:rsidRPr="00C70104" w:rsidRDefault="00236E06" w:rsidP="00236E06">
            <w:pPr>
              <w:pBdr>
                <w:top w:val="single" w:sz="6" w:space="0" w:color="FFFFFF"/>
                <w:left w:val="single" w:sz="6" w:space="0" w:color="FFFFFF"/>
                <w:bottom w:val="single" w:sz="6" w:space="0" w:color="FFFFFF"/>
                <w:right w:val="single" w:sz="6" w:space="0" w:color="FFFFFF"/>
              </w:pBdr>
              <w:spacing w:after="55"/>
            </w:pPr>
            <w:r w:rsidRPr="00C70104">
              <w:t>Adjust the existing ways to comply with any previously applicable instructions and requirements.</w:t>
            </w:r>
          </w:p>
        </w:tc>
      </w:tr>
      <w:tr w:rsidR="00CA4CD6" w:rsidRPr="00C70104">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C70104" w:rsidRDefault="00CA4CD6">
            <w:pPr>
              <w:spacing w:line="120" w:lineRule="exact"/>
            </w:pPr>
          </w:p>
          <w:p w:rsidR="00CA4CD6" w:rsidRPr="00C70104" w:rsidRDefault="00CA4CD6">
            <w:pPr>
              <w:pBdr>
                <w:top w:val="single" w:sz="6" w:space="0" w:color="FFFFFF"/>
                <w:left w:val="single" w:sz="6" w:space="0" w:color="FFFFFF"/>
                <w:bottom w:val="single" w:sz="6" w:space="0" w:color="FFFFFF"/>
                <w:right w:val="single" w:sz="6" w:space="0" w:color="FFFFFF"/>
              </w:pBdr>
              <w:spacing w:after="55"/>
            </w:pPr>
            <w:r w:rsidRPr="00C70104">
              <w:t>Train personnel to be able to respond to a collection of information.</w:t>
            </w:r>
          </w:p>
        </w:tc>
      </w:tr>
      <w:tr w:rsidR="00CA4CD6" w:rsidRPr="00C70104">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C70104" w:rsidRDefault="00CA4CD6">
            <w:pPr>
              <w:spacing w:line="120" w:lineRule="exact"/>
            </w:pPr>
          </w:p>
          <w:p w:rsidR="00CA4CD6" w:rsidRPr="00C70104" w:rsidRDefault="00CA4CD6">
            <w:pPr>
              <w:pBdr>
                <w:top w:val="single" w:sz="6" w:space="0" w:color="FFFFFF"/>
                <w:left w:val="single" w:sz="6" w:space="0" w:color="FFFFFF"/>
                <w:bottom w:val="single" w:sz="6" w:space="0" w:color="FFFFFF"/>
                <w:right w:val="single" w:sz="6" w:space="0" w:color="FFFFFF"/>
              </w:pBdr>
              <w:spacing w:after="74"/>
            </w:pPr>
            <w:r w:rsidRPr="00C70104">
              <w:lastRenderedPageBreak/>
              <w:t>Transmit, or otherwise disclose the information.</w:t>
            </w:r>
          </w:p>
        </w:tc>
      </w:tr>
    </w:tbl>
    <w:p w:rsidR="00CA4CD6" w:rsidRPr="00C70104" w:rsidRDefault="00CA4CD6">
      <w:pPr>
        <w:pBdr>
          <w:top w:val="single" w:sz="6" w:space="0" w:color="FFFFFF"/>
          <w:left w:val="single" w:sz="6" w:space="0" w:color="FFFFFF"/>
          <w:bottom w:val="single" w:sz="6" w:space="0" w:color="FFFFFF"/>
          <w:right w:val="single" w:sz="6" w:space="0" w:color="FFFFFF"/>
        </w:pBdr>
      </w:pPr>
    </w:p>
    <w:p w:rsidR="00606DEF" w:rsidRPr="00C70104" w:rsidRDefault="00CF2B37" w:rsidP="00CF2B37">
      <w:pPr>
        <w:pBdr>
          <w:top w:val="single" w:sz="6" w:space="0" w:color="FFFFFF"/>
          <w:left w:val="single" w:sz="6" w:space="0" w:color="FFFFFF"/>
          <w:bottom w:val="single" w:sz="6" w:space="0" w:color="FFFFFF"/>
          <w:right w:val="single" w:sz="6" w:space="0" w:color="FFFFFF"/>
        </w:pBdr>
        <w:ind w:firstLine="720"/>
      </w:pPr>
      <w:r w:rsidRPr="00C70104">
        <w:t xml:space="preserve">Currently sources are using monitoring and reporting equipment that provide parameter data in an automated way </w:t>
      </w:r>
      <w:r w:rsidR="00E649D4" w:rsidRPr="00C70104">
        <w:t>(</w:t>
      </w:r>
      <w:r w:rsidRPr="00C70104">
        <w:t>e.g., continuous parameter monitoring system</w:t>
      </w:r>
      <w:r w:rsidR="00E649D4" w:rsidRPr="00C70104">
        <w:t>s)</w:t>
      </w:r>
      <w:r w:rsidRPr="00C70104">
        <w:t xml:space="preserve">.  Although personnel at the source still need to evaluate the data, this type of monitoring equipment has significantly reduced the burden associated with monitoring and recordkeeping. </w:t>
      </w:r>
      <w:r w:rsidRPr="00C70104">
        <w:rPr>
          <w:rStyle w:val="CommentReference"/>
        </w:rPr>
        <w:t/>
      </w:r>
    </w:p>
    <w:p w:rsidR="00CF2B37" w:rsidRPr="00C70104" w:rsidRDefault="00CF2B37">
      <w:pPr>
        <w:pBdr>
          <w:top w:val="single" w:sz="6" w:space="0" w:color="FFFFFF"/>
          <w:left w:val="single" w:sz="6" w:space="0" w:color="FFFFFF"/>
          <w:bottom w:val="single" w:sz="6" w:space="0" w:color="FFFFFF"/>
          <w:right w:val="single" w:sz="6" w:space="0" w:color="FFFFFF"/>
        </w:pBdr>
        <w:rPr>
          <w:b/>
          <w:bCs/>
        </w:rPr>
      </w:pPr>
    </w:p>
    <w:p w:rsidR="00CA4CD6" w:rsidRPr="00C70104"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C70104">
        <w:rPr>
          <w:b/>
          <w:bCs/>
        </w:rPr>
        <w:t>5.  The Information Collected:  Agency Activities, Collection Methodology, and Information Management</w:t>
      </w:r>
    </w:p>
    <w:p w:rsidR="00CA4CD6" w:rsidRPr="00C70104" w:rsidRDefault="00CA4CD6">
      <w:pPr>
        <w:pBdr>
          <w:top w:val="single" w:sz="6" w:space="0" w:color="FFFFFF"/>
          <w:left w:val="single" w:sz="6" w:space="0" w:color="FFFFFF"/>
          <w:bottom w:val="single" w:sz="6" w:space="0" w:color="FFFFFF"/>
          <w:right w:val="single" w:sz="6" w:space="0" w:color="FFFFFF"/>
        </w:pBdr>
        <w:rPr>
          <w:b/>
          <w:bCs/>
        </w:rP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rPr>
          <w:b/>
          <w:bCs/>
        </w:rPr>
        <w:t>5(a)  Agency Activities</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EPA conducts the following activities in connection with the acquisition, analysis, storage, and distribution of the required information.</w:t>
      </w:r>
    </w:p>
    <w:p w:rsidR="00CA4CD6" w:rsidRPr="00C70104"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C70104">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C70104" w:rsidRDefault="00CA4CD6">
            <w:pPr>
              <w:spacing w:line="120" w:lineRule="exact"/>
            </w:pPr>
          </w:p>
          <w:p w:rsidR="00CA4CD6" w:rsidRPr="00C70104"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C70104">
              <w:rPr>
                <w:b/>
                <w:bCs/>
              </w:rPr>
              <w:t>Agency Activities</w:t>
            </w:r>
          </w:p>
        </w:tc>
      </w:tr>
      <w:tr w:rsidR="00286E10" w:rsidRPr="00C70104" w:rsidTr="00D73E88">
        <w:tc>
          <w:tcPr>
            <w:tcW w:w="9360" w:type="dxa"/>
            <w:tcBorders>
              <w:top w:val="single" w:sz="7" w:space="0" w:color="000000"/>
              <w:left w:val="single" w:sz="7" w:space="0" w:color="000000"/>
              <w:bottom w:val="single" w:sz="6" w:space="0" w:color="FFFFFF"/>
              <w:right w:val="single" w:sz="7" w:space="0" w:color="000000"/>
            </w:tcBorders>
          </w:tcPr>
          <w:p w:rsidR="00286E10" w:rsidRPr="00C70104" w:rsidRDefault="00286E10" w:rsidP="00D73E88">
            <w:pPr>
              <w:spacing w:line="120" w:lineRule="exact"/>
            </w:pPr>
          </w:p>
          <w:p w:rsidR="00286E10" w:rsidRPr="00C70104" w:rsidRDefault="00286E10" w:rsidP="00286E10">
            <w:pPr>
              <w:pBdr>
                <w:top w:val="single" w:sz="6" w:space="0" w:color="FFFFFF"/>
                <w:left w:val="single" w:sz="6" w:space="0" w:color="FFFFFF"/>
                <w:bottom w:val="single" w:sz="6" w:space="0" w:color="FFFFFF"/>
                <w:right w:val="single" w:sz="6" w:space="0" w:color="FFFFFF"/>
              </w:pBdr>
              <w:spacing w:after="52"/>
            </w:pPr>
            <w:r w:rsidRPr="00C70104">
              <w:t>Observe initial performance tests and repeat performance tests if necessary.</w:t>
            </w:r>
          </w:p>
        </w:tc>
      </w:tr>
      <w:tr w:rsidR="00CA4CD6" w:rsidRPr="00C70104">
        <w:tc>
          <w:tcPr>
            <w:tcW w:w="9360" w:type="dxa"/>
            <w:tcBorders>
              <w:top w:val="single" w:sz="7" w:space="0" w:color="000000"/>
              <w:left w:val="single" w:sz="7" w:space="0" w:color="000000"/>
              <w:bottom w:val="single" w:sz="6" w:space="0" w:color="FFFFFF"/>
              <w:right w:val="single" w:sz="7" w:space="0" w:color="000000"/>
            </w:tcBorders>
          </w:tcPr>
          <w:p w:rsidR="00CA4CD6" w:rsidRPr="00C70104" w:rsidRDefault="00CA4CD6">
            <w:pPr>
              <w:spacing w:line="120" w:lineRule="exact"/>
            </w:pPr>
          </w:p>
          <w:p w:rsidR="00CA4CD6" w:rsidRPr="00C70104" w:rsidRDefault="00CA4CD6">
            <w:pPr>
              <w:pBdr>
                <w:top w:val="single" w:sz="6" w:space="0" w:color="FFFFFF"/>
                <w:left w:val="single" w:sz="6" w:space="0" w:color="FFFFFF"/>
                <w:bottom w:val="single" w:sz="6" w:space="0" w:color="FFFFFF"/>
                <w:right w:val="single" w:sz="6" w:space="0" w:color="FFFFFF"/>
              </w:pBdr>
              <w:spacing w:after="52"/>
            </w:pPr>
            <w:r w:rsidRPr="00C70104">
              <w:t>Review notifications and reports, including performance test reports, and excess emissions reports, required to be submitted by industry.</w:t>
            </w:r>
          </w:p>
        </w:tc>
      </w:tr>
      <w:tr w:rsidR="00CA4CD6" w:rsidRPr="00C70104">
        <w:tc>
          <w:tcPr>
            <w:tcW w:w="9360" w:type="dxa"/>
            <w:tcBorders>
              <w:top w:val="single" w:sz="7" w:space="0" w:color="000000"/>
              <w:left w:val="single" w:sz="7" w:space="0" w:color="000000"/>
              <w:bottom w:val="single" w:sz="6" w:space="0" w:color="FFFFFF"/>
              <w:right w:val="single" w:sz="7" w:space="0" w:color="000000"/>
            </w:tcBorders>
          </w:tcPr>
          <w:p w:rsidR="00CA4CD6" w:rsidRPr="00C70104" w:rsidRDefault="00CA4CD6">
            <w:pPr>
              <w:spacing w:line="120" w:lineRule="exact"/>
            </w:pPr>
          </w:p>
          <w:p w:rsidR="00CA4CD6" w:rsidRPr="00C70104" w:rsidRDefault="00CA4CD6">
            <w:pPr>
              <w:pBdr>
                <w:top w:val="single" w:sz="6" w:space="0" w:color="FFFFFF"/>
                <w:left w:val="single" w:sz="6" w:space="0" w:color="FFFFFF"/>
                <w:bottom w:val="single" w:sz="6" w:space="0" w:color="FFFFFF"/>
                <w:right w:val="single" w:sz="6" w:space="0" w:color="FFFFFF"/>
              </w:pBdr>
              <w:spacing w:after="52"/>
            </w:pPr>
            <w:r w:rsidRPr="00C70104">
              <w:t>Audit facility records.</w:t>
            </w:r>
          </w:p>
        </w:tc>
      </w:tr>
      <w:tr w:rsidR="00CA4CD6" w:rsidRPr="00C70104">
        <w:tc>
          <w:tcPr>
            <w:tcW w:w="9360" w:type="dxa"/>
            <w:tcBorders>
              <w:top w:val="single" w:sz="7" w:space="0" w:color="000000"/>
              <w:left w:val="single" w:sz="7" w:space="0" w:color="000000"/>
              <w:bottom w:val="single" w:sz="7" w:space="0" w:color="000000"/>
              <w:right w:val="single" w:sz="7" w:space="0" w:color="000000"/>
            </w:tcBorders>
          </w:tcPr>
          <w:p w:rsidR="00CA4CD6" w:rsidRPr="00C70104" w:rsidRDefault="00CA4CD6">
            <w:pPr>
              <w:spacing w:line="120" w:lineRule="exact"/>
            </w:pPr>
          </w:p>
          <w:p w:rsidR="00CA4CD6" w:rsidRPr="00C70104" w:rsidRDefault="00CA4CD6" w:rsidP="004C701D">
            <w:pPr>
              <w:pBdr>
                <w:top w:val="single" w:sz="6" w:space="0" w:color="FFFFFF"/>
                <w:left w:val="single" w:sz="6" w:space="0" w:color="FFFFFF"/>
                <w:bottom w:val="single" w:sz="6" w:space="0" w:color="FFFFFF"/>
                <w:right w:val="single" w:sz="6" w:space="0" w:color="FFFFFF"/>
              </w:pBdr>
              <w:spacing w:after="72"/>
            </w:pPr>
            <w:r w:rsidRPr="00C70104">
              <w:t xml:space="preserve">Input, analyze, and maintain data in the </w:t>
            </w:r>
            <w:r w:rsidR="004C701D" w:rsidRPr="00C70104">
              <w:t xml:space="preserve">Online Tracking Information System (OTIS). </w:t>
            </w:r>
          </w:p>
        </w:tc>
      </w:tr>
    </w:tbl>
    <w:p w:rsidR="00CA4CD6" w:rsidRPr="00C70104" w:rsidRDefault="00CA4CD6">
      <w:pPr>
        <w:pBdr>
          <w:top w:val="single" w:sz="6" w:space="0" w:color="FFFFFF"/>
          <w:left w:val="single" w:sz="6" w:space="0" w:color="FFFFFF"/>
          <w:bottom w:val="single" w:sz="6" w:space="0" w:color="FFFFFF"/>
          <w:right w:val="single" w:sz="6" w:space="0" w:color="FFFFFF"/>
        </w:pBdr>
        <w:rPr>
          <w:b/>
          <w:bCs/>
        </w:rP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rPr>
          <w:b/>
          <w:bCs/>
        </w:rPr>
        <w:t>5(b)  Collection Methodology and Management</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 xml:space="preserve">Following notification of startup, the reviewing authority </w:t>
      </w:r>
      <w:r w:rsidR="002B29A7" w:rsidRPr="00C70104">
        <w:t xml:space="preserve">could </w:t>
      </w:r>
      <w:r w:rsidRPr="00C70104">
        <w:t>inspect the source to determine whether the pollution control devices are properly installed and operated</w:t>
      </w:r>
      <w:r w:rsidR="00286E10" w:rsidRPr="00C70104">
        <w:t>.  P</w:t>
      </w:r>
      <w:r w:rsidRPr="00C70104">
        <w:t>erformance test reports are used by the Agency to discern a source</w:t>
      </w:r>
      <w:r w:rsidR="004C701D" w:rsidRPr="00C70104">
        <w:t>’</w:t>
      </w:r>
      <w:r w:rsidRPr="00C70104">
        <w:t>s initial capability to comply with the emission standard</w:t>
      </w:r>
      <w:r w:rsidR="00286E10" w:rsidRPr="00C70104">
        <w:t xml:space="preserve">, and </w:t>
      </w:r>
      <w:r w:rsidRPr="00C70104">
        <w:t>note the operating conditions under which compliance was achieved.</w:t>
      </w:r>
      <w:r w:rsidR="00286E10" w:rsidRPr="00C70104">
        <w:t xml:space="preserve">  </w:t>
      </w:r>
      <w:r w:rsidRPr="00C70104">
        <w:t xml:space="preserve">Data and records maintained by the respondents are tabulated and published for use in compliance and enforcement programs.  The </w:t>
      </w:r>
      <w:r w:rsidR="00286E10" w:rsidRPr="00C70104">
        <w:t xml:space="preserve">quarterly and semiannual </w:t>
      </w:r>
      <w:r w:rsidRPr="00C70104">
        <w:t>reports are used for problem identification, as a check on source operation and maintenance, and for compliance determinations.</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 xml:space="preserve">Information contained in </w:t>
      </w:r>
      <w:r w:rsidR="004C701D" w:rsidRPr="00C70104">
        <w:t>the reports is entered into OTIS</w:t>
      </w:r>
      <w:r w:rsidR="008A2729" w:rsidRPr="00C70104">
        <w:t>,</w:t>
      </w:r>
      <w:r w:rsidR="004C701D" w:rsidRPr="00C70104">
        <w:t xml:space="preserve"> </w:t>
      </w:r>
      <w:r w:rsidRPr="00C70104">
        <w:t xml:space="preserve">which is operated and maintained by EPA's Office of Compliance.  </w:t>
      </w:r>
      <w:r w:rsidR="004C701D" w:rsidRPr="00C70104">
        <w:t xml:space="preserve">OTIS </w:t>
      </w:r>
      <w:r w:rsidRPr="00C70104">
        <w:t>is EPA</w:t>
      </w:r>
      <w:r w:rsidR="004C701D" w:rsidRPr="00C70104">
        <w:t>’</w:t>
      </w:r>
      <w:r w:rsidRPr="00C70104">
        <w:t xml:space="preserve">s database for the collection, maintenance, and retrieval of compliance data for approximately 125,000 industrial and government-owned facilities.  EPA uses the </w:t>
      </w:r>
      <w:r w:rsidR="004C701D" w:rsidRPr="00C70104">
        <w:t>OTIS</w:t>
      </w:r>
      <w:r w:rsidRPr="00C70104">
        <w:t xml:space="preserve"> for tracking air pollution compliance and enforcement by local and state regulatory agencies, EPA regional offices</w:t>
      </w:r>
      <w:r w:rsidR="008A2729" w:rsidRPr="00C70104">
        <w:t>,</w:t>
      </w:r>
      <w:r w:rsidRPr="00C70104">
        <w:t xml:space="preserve"> and EPA headquarters.  </w:t>
      </w:r>
      <w:r w:rsidRPr="00C70104">
        <w:lastRenderedPageBreak/>
        <w:t>EPA and its delegated Authorities can edit, store, retrieve</w:t>
      </w:r>
      <w:r w:rsidR="008A2729" w:rsidRPr="00C70104">
        <w:t>,</w:t>
      </w:r>
      <w:r w:rsidRPr="00C70104">
        <w:t xml:space="preserve"> and analyze the data.</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 xml:space="preserve"> The records required by this regulation must be retained by the owner/operator for </w:t>
      </w:r>
      <w:r w:rsidR="008A2729" w:rsidRPr="00C70104">
        <w:t xml:space="preserve">two </w:t>
      </w:r>
      <w:r w:rsidRPr="00C70104">
        <w:t>years.</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rPr>
          <w:b/>
          <w:bCs/>
        </w:rPr>
        <w:t>5(c)  Small Entity Flexibility</w:t>
      </w:r>
    </w:p>
    <w:p w:rsidR="00CA4CD6" w:rsidRPr="00C70104" w:rsidRDefault="00CA4CD6" w:rsidP="006E4A6E">
      <w:pPr>
        <w:pBdr>
          <w:top w:val="single" w:sz="6" w:space="0" w:color="FFFFFF"/>
          <w:left w:val="single" w:sz="6" w:space="0" w:color="FFFFFF"/>
          <w:bottom w:val="single" w:sz="6" w:space="0" w:color="FFFFFF"/>
          <w:right w:val="single" w:sz="6" w:space="0" w:color="FFFFFF"/>
        </w:pBdr>
      </w:pPr>
    </w:p>
    <w:p w:rsidR="00451B31" w:rsidRPr="00C70104" w:rsidRDefault="00451B31" w:rsidP="00451B31">
      <w:pPr>
        <w:pBdr>
          <w:top w:val="single" w:sz="6" w:space="0" w:color="FFFFFF"/>
          <w:left w:val="single" w:sz="6" w:space="0" w:color="FFFFFF"/>
          <w:bottom w:val="single" w:sz="6" w:space="0" w:color="FFFFFF"/>
          <w:right w:val="single" w:sz="6" w:space="0" w:color="FFFFFF"/>
        </w:pBdr>
        <w:ind w:firstLine="720"/>
      </w:pPr>
      <w:r w:rsidRPr="00C70104">
        <w:t xml:space="preserve">There is a distribution of small and large business affected by the standard.  However, the impact on small entities (i.e., small businesses) was taken into consideration during the development of the regulation.  Any affected facility for which the amount of VOC used is less than 95 Mg per 12-month period is subject only to the requirements of </w:t>
      </w:r>
      <w:r w:rsidR="00356914">
        <w:t>S</w:t>
      </w:r>
      <w:r w:rsidRPr="00C70104">
        <w:t>ections 60.744(b), 60.747(b) and 60.747(c) of the standard, which require reports and records of VOC use.  This reduces regulatory requirements for smaller facilities.</w:t>
      </w:r>
    </w:p>
    <w:p w:rsidR="00451B31" w:rsidRPr="00C70104" w:rsidRDefault="00451B31" w:rsidP="00451B31">
      <w:pPr>
        <w:pBdr>
          <w:top w:val="single" w:sz="6" w:space="0" w:color="FFFFFF"/>
          <w:left w:val="single" w:sz="6" w:space="0" w:color="FFFFFF"/>
          <w:bottom w:val="single" w:sz="6" w:space="0" w:color="FFFFFF"/>
          <w:right w:val="single" w:sz="6" w:space="0" w:color="FFFFFF"/>
        </w:pBdr>
      </w:pPr>
    </w:p>
    <w:p w:rsidR="00451B31" w:rsidRPr="00C70104" w:rsidRDefault="00451B31" w:rsidP="00451B31">
      <w:pPr>
        <w:pBdr>
          <w:top w:val="single" w:sz="6" w:space="0" w:color="FFFFFF"/>
          <w:left w:val="single" w:sz="6" w:space="0" w:color="FFFFFF"/>
          <w:bottom w:val="single" w:sz="6" w:space="0" w:color="FFFFFF"/>
          <w:right w:val="single" w:sz="6" w:space="0" w:color="FFFFFF"/>
        </w:pBdr>
        <w:ind w:firstLine="720"/>
      </w:pPr>
      <w:r w:rsidRPr="00C70104">
        <w:t xml:space="preserve">According to EPA’s </w:t>
      </w:r>
      <w:r w:rsidRPr="00C70104">
        <w:rPr>
          <w:i/>
        </w:rPr>
        <w:t>Polymeric Coating of Supporting Substrates – Background Information for Proposed Standards</w:t>
      </w:r>
      <w:r w:rsidRPr="00C70104">
        <w:t xml:space="preserve"> (May 1985), approximately 55 percent of plants applying polymeric coatings to supporting substrates are small businesses according to employment-size criteria established by the U.S. Small Business Administration. Applying this percentage to the estimated number of respondents affected by this rule, </w:t>
      </w:r>
      <w:r w:rsidR="00FD7631" w:rsidRPr="00C70104">
        <w:t xml:space="preserve">approximately </w:t>
      </w:r>
      <w:r w:rsidRPr="00C70104">
        <w:t>3</w:t>
      </w:r>
      <w:r w:rsidR="00FD7631" w:rsidRPr="00C70104">
        <w:t>2</w:t>
      </w:r>
      <w:r w:rsidRPr="00C70104">
        <w:t xml:space="preserve"> respondents are small entities.</w:t>
      </w:r>
    </w:p>
    <w:p w:rsidR="00451B31" w:rsidRPr="00C70104" w:rsidRDefault="00451B31" w:rsidP="008E1555">
      <w:pPr>
        <w:pBdr>
          <w:top w:val="single" w:sz="6" w:space="0" w:color="FFFFFF"/>
          <w:left w:val="single" w:sz="6" w:space="0" w:color="FFFFFF"/>
          <w:bottom w:val="single" w:sz="6" w:space="0" w:color="FFFFFF"/>
          <w:right w:val="single" w:sz="6" w:space="0" w:color="FFFFFF"/>
        </w:pBdr>
      </w:pPr>
    </w:p>
    <w:p w:rsidR="00CA4CD6" w:rsidRPr="00C70104" w:rsidRDefault="00CA4CD6" w:rsidP="00451B31">
      <w:pPr>
        <w:pBdr>
          <w:top w:val="single" w:sz="6" w:space="0" w:color="FFFFFF"/>
          <w:left w:val="single" w:sz="6" w:space="0" w:color="FFFFFF"/>
          <w:bottom w:val="single" w:sz="6" w:space="0" w:color="FFFFFF"/>
          <w:right w:val="single" w:sz="6" w:space="0" w:color="FFFFFF"/>
        </w:pBdr>
        <w:ind w:firstLine="720"/>
      </w:pPr>
      <w:r w:rsidRPr="00C70104">
        <w:t xml:space="preserve">The Agency considers these </w:t>
      </w:r>
      <w:r w:rsidR="002B29A7" w:rsidRPr="00C70104">
        <w:t xml:space="preserve">to be the minimum </w:t>
      </w:r>
      <w:r w:rsidRPr="00C70104">
        <w:t>requirements needed to ensure compliance and, therefore, cannot reduce them further for small entities.  To the extent that larger businesses can use economies of scale to reduce their burden, the overall burden will be reduced.</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rPr>
          <w:b/>
          <w:bCs/>
        </w:rPr>
        <w:t>5(d)  Collection Schedule</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rPr>
          <w:b/>
          <w:bCs/>
        </w:rPr>
      </w:pPr>
      <w:r w:rsidRPr="00C70104">
        <w:t xml:space="preserve">The specific frequency for each information collection activity within this request is shown in </w:t>
      </w:r>
      <w:r w:rsidR="007A458D" w:rsidRPr="00C70104">
        <w:t xml:space="preserve">below </w:t>
      </w:r>
      <w:r w:rsidRPr="00C70104">
        <w:t>Table 1</w:t>
      </w:r>
      <w:r w:rsidR="00D73E88" w:rsidRPr="00C70104">
        <w:t>: Annual Respondent Burden and Cost – NSPS for Polymeric Coating of Supporting Substrates Facilities (40 CFR Part 60, Subpart VVV) (Renewal)</w:t>
      </w:r>
      <w:r w:rsidRPr="00C70104">
        <w:t>.</w:t>
      </w:r>
    </w:p>
    <w:p w:rsidR="00CA4CD6" w:rsidRPr="00C70104" w:rsidRDefault="00CA4CD6">
      <w:pPr>
        <w:pBdr>
          <w:top w:val="single" w:sz="6" w:space="0" w:color="FFFFFF"/>
          <w:left w:val="single" w:sz="6" w:space="0" w:color="FFFFFF"/>
          <w:bottom w:val="single" w:sz="6" w:space="0" w:color="FFFFFF"/>
          <w:right w:val="single" w:sz="6" w:space="0" w:color="FFFFFF"/>
        </w:pBdr>
        <w:rPr>
          <w:b/>
          <w:bCs/>
        </w:rPr>
      </w:pPr>
    </w:p>
    <w:p w:rsidR="00CA4CD6" w:rsidRPr="00C70104"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C70104">
        <w:rPr>
          <w:b/>
          <w:bCs/>
        </w:rPr>
        <w:t>6.  Estimating the Burden and Cost of the Collection</w:t>
      </w:r>
    </w:p>
    <w:p w:rsidR="00CA4CD6" w:rsidRPr="00C70104"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C70104" w:rsidRDefault="00CA4CD6" w:rsidP="004C701D">
      <w:pPr>
        <w:pBdr>
          <w:top w:val="single" w:sz="6" w:space="1" w:color="FFFFFF"/>
          <w:left w:val="single" w:sz="6" w:space="0" w:color="FFFFFF"/>
          <w:bottom w:val="single" w:sz="6" w:space="0" w:color="FFFFFF"/>
          <w:right w:val="single" w:sz="6" w:space="0" w:color="FFFFFF"/>
        </w:pBdr>
        <w:ind w:firstLine="720"/>
      </w:pPr>
      <w:r w:rsidRPr="00C70104">
        <w:t>Table 1 documents the computation of individual burdens for the recordkeeping and reporting requirements applicable to the industry for the subpart</w:t>
      </w:r>
      <w:r w:rsidR="00A330E7" w:rsidRPr="00C70104">
        <w:t xml:space="preserve"> </w:t>
      </w:r>
      <w:r w:rsidRPr="00C70104">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Pr="00C70104" w:rsidRDefault="00CA4CD6" w:rsidP="004C701D">
      <w:pPr>
        <w:pBdr>
          <w:top w:val="single" w:sz="6" w:space="1" w:color="FFFFFF"/>
          <w:left w:val="single" w:sz="6" w:space="0" w:color="FFFFFF"/>
          <w:bottom w:val="single" w:sz="6" w:space="0" w:color="FFFFFF"/>
          <w:right w:val="single" w:sz="6" w:space="0" w:color="FFFFFF"/>
        </w:pBdr>
      </w:pPr>
    </w:p>
    <w:p w:rsidR="00CA4CD6" w:rsidRPr="00C70104" w:rsidRDefault="00CA4CD6" w:rsidP="004C701D">
      <w:pPr>
        <w:pBdr>
          <w:top w:val="single" w:sz="6" w:space="1" w:color="FFFFFF"/>
          <w:left w:val="single" w:sz="6" w:space="0" w:color="FFFFFF"/>
          <w:bottom w:val="single" w:sz="6" w:space="0" w:color="FFFFFF"/>
          <w:right w:val="single" w:sz="6" w:space="0" w:color="FFFFFF"/>
        </w:pBdr>
        <w:ind w:firstLine="720"/>
      </w:pPr>
      <w:r w:rsidRPr="00C70104">
        <w:t>The Agency may not conduct or sponsor, and a person is not required to respond to, a collection of information unless it displays a currently valid OMB Control Number.</w:t>
      </w:r>
    </w:p>
    <w:p w:rsidR="00CA4CD6" w:rsidRPr="00C70104" w:rsidRDefault="00CA4CD6" w:rsidP="004C701D">
      <w:pPr>
        <w:pBdr>
          <w:top w:val="single" w:sz="6" w:space="1" w:color="FFFFFF"/>
          <w:left w:val="single" w:sz="6" w:space="0" w:color="FFFFFF"/>
          <w:bottom w:val="single" w:sz="6" w:space="0" w:color="FFFFFF"/>
          <w:right w:val="single" w:sz="6" w:space="0" w:color="FFFFFF"/>
        </w:pBdr>
      </w:pPr>
    </w:p>
    <w:p w:rsidR="00CA4CD6" w:rsidRPr="00C70104" w:rsidRDefault="00CA4CD6" w:rsidP="004C701D">
      <w:pPr>
        <w:pBdr>
          <w:top w:val="single" w:sz="6" w:space="1" w:color="FFFFFF"/>
          <w:left w:val="single" w:sz="6" w:space="0" w:color="FFFFFF"/>
          <w:bottom w:val="single" w:sz="6" w:space="0" w:color="FFFFFF"/>
          <w:right w:val="single" w:sz="6" w:space="0" w:color="FFFFFF"/>
        </w:pBdr>
        <w:ind w:firstLine="720"/>
      </w:pPr>
      <w:r w:rsidRPr="00C70104">
        <w:rPr>
          <w:b/>
          <w:bCs/>
        </w:rPr>
        <w:t>6(a)  Estimating Respondent Burden</w:t>
      </w:r>
    </w:p>
    <w:p w:rsidR="00CA4CD6" w:rsidRPr="00C70104" w:rsidRDefault="00CA4CD6" w:rsidP="004C701D">
      <w:pPr>
        <w:pBdr>
          <w:top w:val="single" w:sz="6" w:space="1" w:color="FFFFFF"/>
          <w:left w:val="single" w:sz="6" w:space="0" w:color="FFFFFF"/>
          <w:bottom w:val="single" w:sz="6" w:space="0" w:color="FFFFFF"/>
          <w:right w:val="single" w:sz="6" w:space="0" w:color="FFFFFF"/>
        </w:pBdr>
      </w:pPr>
    </w:p>
    <w:p w:rsidR="00CA4CD6" w:rsidRPr="00C70104" w:rsidRDefault="00CA4CD6" w:rsidP="004C701D">
      <w:pPr>
        <w:pBdr>
          <w:top w:val="single" w:sz="6" w:space="1" w:color="FFFFFF"/>
          <w:left w:val="single" w:sz="6" w:space="0" w:color="FFFFFF"/>
          <w:bottom w:val="single" w:sz="6" w:space="0" w:color="FFFFFF"/>
          <w:right w:val="single" w:sz="6" w:space="0" w:color="FFFFFF"/>
        </w:pBdr>
        <w:ind w:firstLine="720"/>
      </w:pPr>
      <w:r w:rsidRPr="00C70104">
        <w:lastRenderedPageBreak/>
        <w:t>The average annual burden to industry over the next three years from these recordkeeping and reporting requirement</w:t>
      </w:r>
      <w:r w:rsidR="004C701D" w:rsidRPr="00C70104">
        <w:t>s is estimated to be</w:t>
      </w:r>
      <w:r w:rsidR="007C391F" w:rsidRPr="00C70104">
        <w:t xml:space="preserve"> 13,667 </w:t>
      </w:r>
      <w:r w:rsidR="004C701D" w:rsidRPr="00C70104">
        <w:t>(</w:t>
      </w:r>
      <w:r w:rsidRPr="00C70104">
        <w:t xml:space="preserve">Total Labor Hours from Table 1). </w:t>
      </w:r>
      <w:r w:rsidR="001C5991" w:rsidRPr="00C70104">
        <w:t xml:space="preserve">  T</w:t>
      </w:r>
      <w:r w:rsidRPr="00C70104">
        <w:t>hese hours are based on Agency studies and background documen</w:t>
      </w:r>
      <w:r w:rsidR="004C701D" w:rsidRPr="00C70104">
        <w:t xml:space="preserve">ts from the development of the </w:t>
      </w:r>
      <w:r w:rsidRPr="00C70104">
        <w:t>regulation, Agency knowledge and experience with the</w:t>
      </w:r>
      <w:r w:rsidR="00A330E7" w:rsidRPr="00C70104">
        <w:t xml:space="preserve"> NSPS </w:t>
      </w:r>
      <w:r w:rsidRPr="00C70104">
        <w:t>program, the previously approved ICR, and any comments received.</w:t>
      </w:r>
    </w:p>
    <w:p w:rsidR="00CA4CD6" w:rsidRPr="00C70104" w:rsidRDefault="00CA4CD6" w:rsidP="004C701D">
      <w:pPr>
        <w:pBdr>
          <w:top w:val="single" w:sz="6" w:space="1" w:color="FFFFFF"/>
          <w:left w:val="single" w:sz="6" w:space="0" w:color="FFFFFF"/>
          <w:bottom w:val="single" w:sz="6" w:space="0" w:color="FFFFFF"/>
          <w:right w:val="single" w:sz="6" w:space="0" w:color="FFFFFF"/>
        </w:pBdr>
      </w:pPr>
    </w:p>
    <w:p w:rsidR="002712EB" w:rsidRPr="00C70104"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C70104">
        <w:rPr>
          <w:b/>
          <w:bCs/>
        </w:rPr>
        <w:t>6(b)  Estimating Respondent Costs</w:t>
      </w:r>
    </w:p>
    <w:p w:rsidR="002712EB" w:rsidRPr="00C70104"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C70104"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C70104">
        <w:rPr>
          <w:b/>
          <w:bCs/>
        </w:rPr>
        <w:t>(i)  Estimating Labor Costs</w:t>
      </w:r>
      <w:r w:rsidRPr="00C70104">
        <w:t xml:space="preserve"> </w:t>
      </w:r>
    </w:p>
    <w:p w:rsidR="002712EB" w:rsidRPr="00C70104" w:rsidRDefault="002712EB" w:rsidP="004C701D">
      <w:pPr>
        <w:pBdr>
          <w:top w:val="single" w:sz="6" w:space="1" w:color="FFFFFF"/>
          <w:left w:val="single" w:sz="6" w:space="0" w:color="FFFFFF"/>
          <w:bottom w:val="single" w:sz="6" w:space="0" w:color="FFFFFF"/>
          <w:right w:val="single" w:sz="6" w:space="0" w:color="FFFFFF"/>
        </w:pBdr>
      </w:pPr>
      <w:r w:rsidRPr="00C70104">
        <w:t xml:space="preserve"> </w:t>
      </w:r>
    </w:p>
    <w:p w:rsidR="002712EB" w:rsidRPr="00C70104" w:rsidRDefault="002712EB" w:rsidP="004C701D">
      <w:pPr>
        <w:pBdr>
          <w:top w:val="single" w:sz="6" w:space="1" w:color="FFFFFF"/>
          <w:left w:val="single" w:sz="6" w:space="0" w:color="FFFFFF"/>
          <w:bottom w:val="single" w:sz="6" w:space="0" w:color="FFFFFF"/>
          <w:right w:val="single" w:sz="6" w:space="0" w:color="FFFFFF"/>
        </w:pBdr>
        <w:ind w:firstLine="720"/>
      </w:pPr>
      <w:r w:rsidRPr="00C70104">
        <w:t xml:space="preserve">This ICR uses the following labor rates: </w:t>
      </w:r>
    </w:p>
    <w:p w:rsidR="002712EB" w:rsidRPr="00C70104" w:rsidRDefault="002712EB" w:rsidP="004C701D">
      <w:pPr>
        <w:pBdr>
          <w:top w:val="single" w:sz="6" w:space="1" w:color="FFFFFF"/>
          <w:left w:val="single" w:sz="6" w:space="0" w:color="FFFFFF"/>
          <w:bottom w:val="single" w:sz="6" w:space="0" w:color="FFFFFF"/>
          <w:right w:val="single" w:sz="6" w:space="0" w:color="FFFFFF"/>
        </w:pBdr>
      </w:pPr>
    </w:p>
    <w:p w:rsidR="002712EB" w:rsidRPr="00C7010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C70104">
        <w:t>Managerial</w:t>
      </w:r>
      <w:r w:rsidRPr="00C70104">
        <w:tab/>
        <w:t>$1</w:t>
      </w:r>
      <w:r w:rsidR="00861489" w:rsidRPr="00C70104">
        <w:t>2</w:t>
      </w:r>
      <w:r w:rsidR="00D043CA" w:rsidRPr="00C70104">
        <w:t>8</w:t>
      </w:r>
      <w:r w:rsidR="004F6FCD" w:rsidRPr="00C70104">
        <w:t>.</w:t>
      </w:r>
      <w:r w:rsidR="00F87E6A" w:rsidRPr="00C70104">
        <w:t>0</w:t>
      </w:r>
      <w:r w:rsidR="00D043CA" w:rsidRPr="00C70104">
        <w:t>2</w:t>
      </w:r>
      <w:r w:rsidRPr="00C70104">
        <w:t xml:space="preserve"> ($</w:t>
      </w:r>
      <w:r w:rsidR="00D043CA" w:rsidRPr="00C70104">
        <w:t xml:space="preserve">60.98 </w:t>
      </w:r>
      <w:r w:rsidR="001C28B5" w:rsidRPr="00C70104">
        <w:t>+ 110%)</w:t>
      </w:r>
    </w:p>
    <w:p w:rsidR="002712EB" w:rsidRPr="00C7010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C70104">
        <w:t>Technical</w:t>
      </w:r>
      <w:r w:rsidRPr="00C70104">
        <w:tab/>
        <w:t>$</w:t>
      </w:r>
      <w:r w:rsidR="00102B52" w:rsidRPr="00C70104">
        <w:t>10</w:t>
      </w:r>
      <w:r w:rsidR="00E72D70" w:rsidRPr="00C70104">
        <w:t>1</w:t>
      </w:r>
      <w:r w:rsidR="00861489" w:rsidRPr="00C70104">
        <w:t>.</w:t>
      </w:r>
      <w:r w:rsidR="00D043CA" w:rsidRPr="00C70104">
        <w:t>05</w:t>
      </w:r>
      <w:r w:rsidRPr="00C70104">
        <w:t xml:space="preserve"> ($4</w:t>
      </w:r>
      <w:r w:rsidR="00E72D70" w:rsidRPr="00C70104">
        <w:t>8</w:t>
      </w:r>
      <w:r w:rsidRPr="00C70104">
        <w:t>.</w:t>
      </w:r>
      <w:r w:rsidR="00D043CA" w:rsidRPr="00C70104">
        <w:t>12</w:t>
      </w:r>
      <w:r w:rsidRPr="00C70104">
        <w:t xml:space="preserve"> + 110%)</w:t>
      </w:r>
    </w:p>
    <w:p w:rsidR="002712EB" w:rsidRPr="00C70104"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C70104">
        <w:t>Clerical</w:t>
      </w:r>
      <w:r w:rsidRPr="00C70104">
        <w:tab/>
        <w:t>$</w:t>
      </w:r>
      <w:r w:rsidR="00102B52" w:rsidRPr="00C70104">
        <w:t>5</w:t>
      </w:r>
      <w:r w:rsidR="00F87E6A" w:rsidRPr="00C70104">
        <w:t>1</w:t>
      </w:r>
      <w:r w:rsidRPr="00C70104">
        <w:t>.</w:t>
      </w:r>
      <w:r w:rsidR="00D043CA" w:rsidRPr="00C70104">
        <w:t>37</w:t>
      </w:r>
      <w:r w:rsidRPr="00C70104">
        <w:t xml:space="preserve"> ($2</w:t>
      </w:r>
      <w:r w:rsidR="00102B52" w:rsidRPr="00C70104">
        <w:t>4</w:t>
      </w:r>
      <w:r w:rsidRPr="00C70104">
        <w:t>.</w:t>
      </w:r>
      <w:r w:rsidR="00D043CA" w:rsidRPr="00C70104">
        <w:t>46</w:t>
      </w:r>
      <w:r w:rsidRPr="00C70104">
        <w:t xml:space="preserve"> + 110%)</w:t>
      </w:r>
    </w:p>
    <w:p w:rsidR="002712EB" w:rsidRPr="00C70104" w:rsidRDefault="002712EB" w:rsidP="002712EB">
      <w:pPr>
        <w:pBdr>
          <w:top w:val="single" w:sz="6" w:space="0" w:color="FFFFFF"/>
          <w:left w:val="single" w:sz="6" w:space="0" w:color="FFFFFF"/>
          <w:bottom w:val="single" w:sz="6" w:space="0" w:color="FFFFFF"/>
          <w:right w:val="single" w:sz="6" w:space="0" w:color="FFFFFF"/>
        </w:pBdr>
      </w:pPr>
    </w:p>
    <w:p w:rsidR="002712EB" w:rsidRPr="00C70104" w:rsidRDefault="002712EB" w:rsidP="002712EB">
      <w:pPr>
        <w:pBdr>
          <w:top w:val="single" w:sz="6" w:space="0" w:color="FFFFFF"/>
          <w:left w:val="single" w:sz="6" w:space="0" w:color="FFFFFF"/>
          <w:bottom w:val="single" w:sz="6" w:space="0" w:color="FFFFFF"/>
          <w:right w:val="single" w:sz="6" w:space="0" w:color="FFFFFF"/>
        </w:pBdr>
      </w:pPr>
      <w:r w:rsidRPr="00C70104">
        <w:t xml:space="preserve">These rates are from the United States Department of Labor, Bureau of Labor Statistics, </w:t>
      </w:r>
      <w:r w:rsidR="00D043CA" w:rsidRPr="00C70104">
        <w:t>March 2014</w:t>
      </w:r>
      <w:r w:rsidRPr="00C70104">
        <w:t xml:space="preserve">, </w:t>
      </w:r>
      <w:r w:rsidR="004C701D" w:rsidRPr="00C70104">
        <w:t>“</w:t>
      </w:r>
      <w:r w:rsidRPr="00C70104">
        <w:t xml:space="preserve">Table 2. Civilian </w:t>
      </w:r>
      <w:r w:rsidR="00DF0E57" w:rsidRPr="00C70104">
        <w:t>w</w:t>
      </w:r>
      <w:r w:rsidRPr="00C70104">
        <w:t>orkers, by occupational and industry group.</w:t>
      </w:r>
      <w:r w:rsidR="004C701D" w:rsidRPr="00C70104">
        <w:t>”</w:t>
      </w:r>
      <w:r w:rsidRPr="00C70104">
        <w:t xml:space="preserve">  The rates are from column 1, </w:t>
      </w:r>
      <w:r w:rsidR="004C701D" w:rsidRPr="00C70104">
        <w:t>“</w:t>
      </w:r>
      <w:r w:rsidRPr="00C70104">
        <w:t>Total compensation.</w:t>
      </w:r>
      <w:r w:rsidR="004C701D" w:rsidRPr="00C70104">
        <w:t>”</w:t>
      </w:r>
      <w:r w:rsidRPr="00C70104">
        <w:t xml:space="preserve">  The rates have been increased by 110 percent to account for the benefit packages available to those employed by private industry.</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C70104">
        <w:rPr>
          <w:b/>
          <w:bCs/>
        </w:rPr>
        <w:t>(ii)  Estimating Capital/Startup and Operation and Maintenance Costs</w:t>
      </w:r>
    </w:p>
    <w:p w:rsidR="00A330E7" w:rsidRPr="00C70104" w:rsidRDefault="00A330E7">
      <w:pPr>
        <w:pBdr>
          <w:top w:val="single" w:sz="6" w:space="0" w:color="FFFFFF"/>
          <w:left w:val="single" w:sz="6" w:space="0" w:color="FFFFFF"/>
          <w:bottom w:val="single" w:sz="6" w:space="0" w:color="FFFFFF"/>
          <w:right w:val="single" w:sz="6" w:space="0" w:color="FFFFFF"/>
        </w:pBdr>
        <w:ind w:firstLine="720"/>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The type of industry costs associated with the information collection activities in the subject standard</w:t>
      </w:r>
      <w:r w:rsidR="00A330E7" w:rsidRPr="00C70104">
        <w:t xml:space="preserve"> are </w:t>
      </w:r>
      <w:r w:rsidRPr="00C70104">
        <w:t>both labor costs</w:t>
      </w:r>
      <w:r w:rsidR="00A330E7" w:rsidRPr="00C70104">
        <w:t>,</w:t>
      </w:r>
      <w:r w:rsidRPr="00C70104">
        <w:t xml:space="preserve"> which are addressed elsewhere in this ICR</w:t>
      </w:r>
      <w:r w:rsidR="00A330E7" w:rsidRPr="00C70104">
        <w:t>,</w:t>
      </w:r>
      <w:r w:rsidRPr="00C70104">
        <w:t xml:space="preserve"> and the costs associated with continuous monitoring.  The capital/startup</w:t>
      </w:r>
      <w:r w:rsidR="00A330E7" w:rsidRPr="00C70104">
        <w:t xml:space="preserve"> costs are one-</w:t>
      </w:r>
      <w:r w:rsidRPr="00C70104">
        <w:t>time costs when a facility becomes subject to the regulation.  The annual operation and maintenance costs are the ongoing costs to maintain the monitor(s) and other costs su</w:t>
      </w:r>
      <w:r w:rsidR="00A330E7" w:rsidRPr="00C70104">
        <w:t>ch as photocopying and postage.</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ind w:firstLine="1440"/>
        <w:outlineLvl w:val="0"/>
      </w:pPr>
      <w:r w:rsidRPr="00C70104">
        <w:rPr>
          <w:b/>
          <w:bCs/>
        </w:rPr>
        <w:t>(iii)  Capital/Startup vs. Operation and Maintenance (O&amp;M) Costs</w:t>
      </w:r>
    </w:p>
    <w:p w:rsidR="00CA4CD6" w:rsidRPr="00C70104" w:rsidRDefault="00CA4CD6" w:rsidP="007C391F">
      <w:pPr>
        <w:keepNext/>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11" w:type="dxa"/>
          <w:right w:w="111" w:type="dxa"/>
        </w:tblCellMar>
        <w:tblLook w:val="0000" w:firstRow="0" w:lastRow="0" w:firstColumn="0" w:lastColumn="0" w:noHBand="0" w:noVBand="0"/>
      </w:tblPr>
      <w:tblGrid>
        <w:gridCol w:w="1260"/>
        <w:gridCol w:w="1440"/>
        <w:gridCol w:w="1260"/>
        <w:gridCol w:w="1440"/>
        <w:gridCol w:w="1350"/>
        <w:gridCol w:w="1260"/>
        <w:gridCol w:w="1260"/>
      </w:tblGrid>
      <w:tr w:rsidR="00A73600" w:rsidRPr="00C70104" w:rsidTr="00CF7AA6">
        <w:trPr>
          <w:tblHeader/>
          <w:jc w:val="center"/>
        </w:trPr>
        <w:tc>
          <w:tcPr>
            <w:tcW w:w="9270" w:type="dxa"/>
            <w:gridSpan w:val="7"/>
            <w:tcBorders>
              <w:top w:val="single" w:sz="7" w:space="0" w:color="000000"/>
              <w:left w:val="single" w:sz="7" w:space="0" w:color="000000"/>
              <w:bottom w:val="single" w:sz="6" w:space="0" w:color="FFFFFF"/>
              <w:right w:val="single" w:sz="7" w:space="0" w:color="000000"/>
            </w:tcBorders>
          </w:tcPr>
          <w:p w:rsidR="00CA4CD6" w:rsidRPr="00C70104" w:rsidRDefault="00CA4CD6" w:rsidP="007C391F">
            <w:pPr>
              <w:keepNext/>
              <w:spacing w:line="120" w:lineRule="exact"/>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spacing w:after="52"/>
              <w:jc w:val="center"/>
              <w:rPr>
                <w:b/>
                <w:bCs/>
              </w:rPr>
            </w:pPr>
            <w:r w:rsidRPr="00C70104">
              <w:rPr>
                <w:b/>
                <w:bCs/>
              </w:rPr>
              <w:t>Capital/Startup vs. Operation and Maintenance (O&amp;M) Costs</w:t>
            </w:r>
          </w:p>
        </w:tc>
      </w:tr>
      <w:tr w:rsidR="00CA4CD6" w:rsidRPr="00C70104" w:rsidTr="00CF7AA6">
        <w:trPr>
          <w:tblHeader/>
          <w:jc w:val="center"/>
        </w:trPr>
        <w:tc>
          <w:tcPr>
            <w:tcW w:w="1260" w:type="dxa"/>
            <w:tcBorders>
              <w:top w:val="single" w:sz="7" w:space="0" w:color="000000"/>
              <w:left w:val="single" w:sz="7" w:space="0" w:color="000000"/>
              <w:bottom w:val="single" w:sz="6" w:space="0" w:color="FFFFFF"/>
              <w:right w:val="single" w:sz="6" w:space="0" w:color="FFFFFF"/>
            </w:tcBorders>
          </w:tcPr>
          <w:p w:rsidR="00CA4CD6" w:rsidRPr="00C70104" w:rsidRDefault="00CA4CD6" w:rsidP="007C391F">
            <w:pPr>
              <w:keepNext/>
              <w:spacing w:line="120" w:lineRule="exact"/>
              <w:rPr>
                <w:b/>
                <w:bCs/>
              </w:rPr>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jc w:val="center"/>
              <w:rPr>
                <w:sz w:val="20"/>
                <w:szCs w:val="20"/>
              </w:rPr>
            </w:pPr>
            <w:r w:rsidRPr="00C70104">
              <w:rPr>
                <w:sz w:val="20"/>
                <w:szCs w:val="20"/>
              </w:rPr>
              <w:t>(A)</w:t>
            </w:r>
          </w:p>
          <w:p w:rsidR="00CA4CD6" w:rsidRPr="00C70104" w:rsidRDefault="00CA4CD6" w:rsidP="007C391F">
            <w:pPr>
              <w:keepNext/>
              <w:pBdr>
                <w:top w:val="single" w:sz="6" w:space="0" w:color="FFFFFF"/>
                <w:left w:val="single" w:sz="6" w:space="0" w:color="FFFFFF"/>
                <w:bottom w:val="single" w:sz="6" w:space="0" w:color="FFFFFF"/>
                <w:right w:val="single" w:sz="6" w:space="0" w:color="FFFFFF"/>
              </w:pBdr>
              <w:spacing w:after="52"/>
              <w:rPr>
                <w:sz w:val="20"/>
                <w:szCs w:val="20"/>
              </w:rPr>
            </w:pPr>
            <w:r w:rsidRPr="00C70104">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Pr="00C70104" w:rsidRDefault="00CA4CD6" w:rsidP="007C391F">
            <w:pPr>
              <w:keepNext/>
              <w:spacing w:line="120" w:lineRule="exact"/>
              <w:rPr>
                <w:sz w:val="20"/>
                <w:szCs w:val="20"/>
              </w:rPr>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jc w:val="center"/>
              <w:rPr>
                <w:sz w:val="20"/>
                <w:szCs w:val="20"/>
              </w:rPr>
            </w:pPr>
            <w:r w:rsidRPr="00C70104">
              <w:rPr>
                <w:sz w:val="20"/>
                <w:szCs w:val="20"/>
              </w:rPr>
              <w:t>(B)</w:t>
            </w:r>
          </w:p>
          <w:p w:rsidR="00CA4CD6" w:rsidRPr="00C70104" w:rsidRDefault="00CA4CD6" w:rsidP="007C391F">
            <w:pPr>
              <w:keepNext/>
              <w:pBdr>
                <w:top w:val="single" w:sz="6" w:space="0" w:color="FFFFFF"/>
                <w:left w:val="single" w:sz="6" w:space="0" w:color="FFFFFF"/>
                <w:bottom w:val="single" w:sz="6" w:space="0" w:color="FFFFFF"/>
                <w:right w:val="single" w:sz="6" w:space="0" w:color="FFFFFF"/>
              </w:pBdr>
              <w:spacing w:after="52"/>
              <w:rPr>
                <w:sz w:val="20"/>
                <w:szCs w:val="20"/>
              </w:rPr>
            </w:pPr>
            <w:r w:rsidRPr="00C70104">
              <w:rPr>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C70104" w:rsidRDefault="00CA4CD6" w:rsidP="007C391F">
            <w:pPr>
              <w:keepNext/>
              <w:spacing w:line="120" w:lineRule="exact"/>
              <w:rPr>
                <w:sz w:val="20"/>
                <w:szCs w:val="20"/>
              </w:rPr>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jc w:val="center"/>
              <w:rPr>
                <w:sz w:val="20"/>
                <w:szCs w:val="20"/>
              </w:rPr>
            </w:pPr>
            <w:r w:rsidRPr="00C70104">
              <w:rPr>
                <w:sz w:val="20"/>
                <w:szCs w:val="20"/>
              </w:rPr>
              <w:t>(C)</w:t>
            </w:r>
          </w:p>
          <w:p w:rsidR="00CA4CD6" w:rsidRPr="00C70104" w:rsidRDefault="00CA4CD6" w:rsidP="007C391F">
            <w:pPr>
              <w:keepNext/>
              <w:pBdr>
                <w:top w:val="single" w:sz="6" w:space="0" w:color="FFFFFF"/>
                <w:left w:val="single" w:sz="6" w:space="0" w:color="FFFFFF"/>
                <w:bottom w:val="single" w:sz="6" w:space="0" w:color="FFFFFF"/>
                <w:right w:val="single" w:sz="6" w:space="0" w:color="FFFFFF"/>
              </w:pBdr>
              <w:spacing w:after="52"/>
              <w:rPr>
                <w:sz w:val="20"/>
                <w:szCs w:val="20"/>
              </w:rPr>
            </w:pPr>
            <w:r w:rsidRPr="00C70104">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Pr="00C70104" w:rsidRDefault="00CA4CD6" w:rsidP="007C391F">
            <w:pPr>
              <w:keepNext/>
              <w:spacing w:line="120" w:lineRule="exact"/>
              <w:rPr>
                <w:sz w:val="20"/>
                <w:szCs w:val="20"/>
              </w:rPr>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jc w:val="center"/>
              <w:rPr>
                <w:sz w:val="20"/>
                <w:szCs w:val="20"/>
              </w:rPr>
            </w:pPr>
            <w:r w:rsidRPr="00C70104">
              <w:rPr>
                <w:sz w:val="20"/>
                <w:szCs w:val="20"/>
              </w:rPr>
              <w:t>(D)</w:t>
            </w:r>
          </w:p>
          <w:p w:rsidR="00CA4CD6" w:rsidRPr="00C70104" w:rsidRDefault="00CA4CD6" w:rsidP="007C391F">
            <w:pPr>
              <w:keepNext/>
              <w:pBdr>
                <w:top w:val="single" w:sz="6" w:space="0" w:color="FFFFFF"/>
                <w:left w:val="single" w:sz="6" w:space="0" w:color="FFFFFF"/>
                <w:bottom w:val="single" w:sz="6" w:space="0" w:color="FFFFFF"/>
                <w:right w:val="single" w:sz="6" w:space="0" w:color="FFFFFF"/>
              </w:pBdr>
              <w:spacing w:after="52"/>
              <w:rPr>
                <w:sz w:val="20"/>
                <w:szCs w:val="20"/>
              </w:rPr>
            </w:pPr>
            <w:r w:rsidRPr="00C70104">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Pr="00C70104" w:rsidRDefault="00CA4CD6" w:rsidP="007C391F">
            <w:pPr>
              <w:keepNext/>
              <w:spacing w:line="120" w:lineRule="exact"/>
              <w:rPr>
                <w:sz w:val="20"/>
                <w:szCs w:val="20"/>
              </w:rPr>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jc w:val="center"/>
              <w:rPr>
                <w:sz w:val="20"/>
                <w:szCs w:val="20"/>
              </w:rPr>
            </w:pPr>
            <w:r w:rsidRPr="00C70104">
              <w:rPr>
                <w:sz w:val="20"/>
                <w:szCs w:val="20"/>
              </w:rPr>
              <w:t>(E)</w:t>
            </w:r>
          </w:p>
          <w:p w:rsidR="00CA4CD6" w:rsidRPr="00C70104" w:rsidRDefault="00CA4CD6" w:rsidP="007C391F">
            <w:pPr>
              <w:keepNext/>
              <w:pBdr>
                <w:top w:val="single" w:sz="6" w:space="0" w:color="FFFFFF"/>
                <w:left w:val="single" w:sz="6" w:space="0" w:color="FFFFFF"/>
                <w:bottom w:val="single" w:sz="6" w:space="0" w:color="FFFFFF"/>
                <w:right w:val="single" w:sz="6" w:space="0" w:color="FFFFFF"/>
              </w:pBdr>
              <w:spacing w:after="52"/>
              <w:rPr>
                <w:sz w:val="20"/>
                <w:szCs w:val="20"/>
              </w:rPr>
            </w:pPr>
            <w:r w:rsidRPr="00C70104">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C70104" w:rsidRDefault="00CA4CD6" w:rsidP="007C391F">
            <w:pPr>
              <w:keepNext/>
              <w:spacing w:line="120" w:lineRule="exact"/>
              <w:rPr>
                <w:sz w:val="20"/>
                <w:szCs w:val="20"/>
              </w:rPr>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jc w:val="center"/>
              <w:rPr>
                <w:sz w:val="20"/>
                <w:szCs w:val="20"/>
              </w:rPr>
            </w:pPr>
            <w:r w:rsidRPr="00C70104">
              <w:rPr>
                <w:sz w:val="20"/>
                <w:szCs w:val="20"/>
              </w:rPr>
              <w:t>(F)</w:t>
            </w:r>
          </w:p>
          <w:p w:rsidR="00CA4CD6" w:rsidRPr="00C70104" w:rsidRDefault="00CA4CD6" w:rsidP="007C391F">
            <w:pPr>
              <w:keepNext/>
              <w:pBdr>
                <w:top w:val="single" w:sz="6" w:space="0" w:color="FFFFFF"/>
                <w:left w:val="single" w:sz="6" w:space="0" w:color="FFFFFF"/>
                <w:bottom w:val="single" w:sz="6" w:space="0" w:color="FFFFFF"/>
                <w:right w:val="single" w:sz="6" w:space="0" w:color="FFFFFF"/>
              </w:pBdr>
              <w:spacing w:after="52"/>
              <w:rPr>
                <w:sz w:val="20"/>
                <w:szCs w:val="20"/>
              </w:rPr>
            </w:pPr>
            <w:r w:rsidRPr="00C70104">
              <w:rPr>
                <w:sz w:val="20"/>
                <w:szCs w:val="20"/>
              </w:rPr>
              <w:t>Number of Respondents  with O&amp;M</w:t>
            </w:r>
          </w:p>
        </w:tc>
        <w:tc>
          <w:tcPr>
            <w:tcW w:w="1260" w:type="dxa"/>
            <w:tcBorders>
              <w:top w:val="single" w:sz="7" w:space="0" w:color="000000"/>
              <w:left w:val="single" w:sz="7" w:space="0" w:color="000000"/>
              <w:bottom w:val="single" w:sz="6" w:space="0" w:color="FFFFFF"/>
              <w:right w:val="single" w:sz="7" w:space="0" w:color="000000"/>
            </w:tcBorders>
          </w:tcPr>
          <w:p w:rsidR="00CA4CD6" w:rsidRPr="00C70104" w:rsidRDefault="00CA4CD6" w:rsidP="007C391F">
            <w:pPr>
              <w:keepNext/>
              <w:spacing w:line="120" w:lineRule="exact"/>
              <w:rPr>
                <w:sz w:val="20"/>
                <w:szCs w:val="20"/>
              </w:rPr>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jc w:val="center"/>
              <w:rPr>
                <w:sz w:val="20"/>
                <w:szCs w:val="20"/>
              </w:rPr>
            </w:pPr>
            <w:r w:rsidRPr="00C70104">
              <w:rPr>
                <w:sz w:val="20"/>
                <w:szCs w:val="20"/>
              </w:rPr>
              <w:t>(G)</w:t>
            </w:r>
          </w:p>
          <w:p w:rsidR="00CA4CD6" w:rsidRPr="00C70104" w:rsidRDefault="00CA4CD6" w:rsidP="007C391F">
            <w:pPr>
              <w:keepNext/>
              <w:pBdr>
                <w:top w:val="single" w:sz="6" w:space="0" w:color="FFFFFF"/>
                <w:left w:val="single" w:sz="6" w:space="0" w:color="FFFFFF"/>
                <w:bottom w:val="single" w:sz="6" w:space="0" w:color="FFFFFF"/>
                <w:right w:val="single" w:sz="6" w:space="0" w:color="FFFFFF"/>
              </w:pBdr>
              <w:rPr>
                <w:sz w:val="20"/>
                <w:szCs w:val="20"/>
              </w:rPr>
            </w:pPr>
            <w:r w:rsidRPr="00C70104">
              <w:rPr>
                <w:sz w:val="20"/>
                <w:szCs w:val="20"/>
              </w:rPr>
              <w:t>Total O&amp;M,</w:t>
            </w:r>
          </w:p>
          <w:p w:rsidR="00CA4CD6" w:rsidRPr="00C70104" w:rsidRDefault="00CA4CD6" w:rsidP="007C391F">
            <w:pPr>
              <w:keepNext/>
              <w:pBdr>
                <w:top w:val="single" w:sz="6" w:space="0" w:color="FFFFFF"/>
                <w:left w:val="single" w:sz="6" w:space="0" w:color="FFFFFF"/>
                <w:bottom w:val="single" w:sz="6" w:space="0" w:color="FFFFFF"/>
                <w:right w:val="single" w:sz="6" w:space="0" w:color="FFFFFF"/>
              </w:pBdr>
              <w:spacing w:after="52"/>
              <w:rPr>
                <w:sz w:val="20"/>
                <w:szCs w:val="20"/>
              </w:rPr>
            </w:pPr>
            <w:r w:rsidRPr="00C70104">
              <w:rPr>
                <w:sz w:val="20"/>
                <w:szCs w:val="20"/>
              </w:rPr>
              <w:t>(E X F)</w:t>
            </w:r>
          </w:p>
        </w:tc>
      </w:tr>
      <w:tr w:rsidR="00A330E7" w:rsidRPr="00C70104" w:rsidTr="00CF7AA6">
        <w:trPr>
          <w:jc w:val="center"/>
        </w:trPr>
        <w:tc>
          <w:tcPr>
            <w:tcW w:w="1260" w:type="dxa"/>
            <w:tcBorders>
              <w:top w:val="single" w:sz="7" w:space="0" w:color="000000"/>
              <w:left w:val="single" w:sz="7" w:space="0" w:color="000000"/>
              <w:bottom w:val="single" w:sz="6" w:space="0" w:color="FFFFFF"/>
              <w:right w:val="single" w:sz="6" w:space="0" w:color="FFFFFF"/>
            </w:tcBorders>
          </w:tcPr>
          <w:p w:rsidR="00A330E7" w:rsidRPr="00C70104" w:rsidRDefault="00A330E7" w:rsidP="007C391F">
            <w:pPr>
              <w:keepNext/>
              <w:spacing w:line="120" w:lineRule="exact"/>
              <w:rPr>
                <w:sz w:val="20"/>
                <w:szCs w:val="20"/>
              </w:rPr>
            </w:pPr>
          </w:p>
          <w:p w:rsidR="00A330E7" w:rsidRPr="00C70104" w:rsidRDefault="00A330E7" w:rsidP="007C391F">
            <w:pPr>
              <w:keepNext/>
              <w:pBdr>
                <w:top w:val="single" w:sz="6" w:space="0" w:color="FFFFFF"/>
                <w:left w:val="single" w:sz="6" w:space="0" w:color="FFFFFF"/>
                <w:bottom w:val="single" w:sz="6" w:space="0" w:color="FFFFFF"/>
                <w:right w:val="single" w:sz="6" w:space="0" w:color="FFFFFF"/>
              </w:pBdr>
              <w:spacing w:after="52"/>
              <w:rPr>
                <w:sz w:val="20"/>
                <w:szCs w:val="20"/>
              </w:rPr>
            </w:pPr>
            <w:r w:rsidRPr="00C70104">
              <w:rPr>
                <w:sz w:val="20"/>
                <w:szCs w:val="20"/>
              </w:rPr>
              <w:t>VOC Monitor</w:t>
            </w:r>
          </w:p>
        </w:tc>
        <w:tc>
          <w:tcPr>
            <w:tcW w:w="1440" w:type="dxa"/>
            <w:tcBorders>
              <w:top w:val="single" w:sz="7" w:space="0" w:color="000000"/>
              <w:left w:val="single" w:sz="7" w:space="0" w:color="000000"/>
              <w:bottom w:val="single" w:sz="6" w:space="0" w:color="FFFFFF"/>
              <w:right w:val="single" w:sz="6" w:space="0" w:color="FFFFFF"/>
            </w:tcBorders>
          </w:tcPr>
          <w:p w:rsidR="00A330E7" w:rsidRPr="00C70104" w:rsidRDefault="00A330E7" w:rsidP="007C391F">
            <w:pPr>
              <w:keepNext/>
              <w:spacing w:line="120" w:lineRule="exact"/>
              <w:jc w:val="right"/>
              <w:rPr>
                <w:sz w:val="20"/>
                <w:szCs w:val="20"/>
              </w:rPr>
            </w:pPr>
          </w:p>
          <w:p w:rsidR="00A330E7" w:rsidRPr="00C70104" w:rsidRDefault="00A330E7" w:rsidP="007C391F">
            <w:pPr>
              <w:keepNext/>
              <w:pBdr>
                <w:top w:val="single" w:sz="6" w:space="0" w:color="FFFFFF"/>
                <w:left w:val="single" w:sz="6" w:space="0" w:color="FFFFFF"/>
                <w:bottom w:val="single" w:sz="6" w:space="0" w:color="FFFFFF"/>
                <w:right w:val="single" w:sz="6" w:space="0" w:color="FFFFFF"/>
              </w:pBdr>
              <w:spacing w:after="52"/>
              <w:jc w:val="right"/>
              <w:rPr>
                <w:sz w:val="20"/>
                <w:szCs w:val="20"/>
              </w:rPr>
            </w:pPr>
            <w:r w:rsidRPr="00C70104">
              <w:rPr>
                <w:sz w:val="20"/>
                <w:szCs w:val="20"/>
              </w:rPr>
              <w:t>$40,000</w:t>
            </w:r>
          </w:p>
        </w:tc>
        <w:tc>
          <w:tcPr>
            <w:tcW w:w="1260" w:type="dxa"/>
            <w:tcBorders>
              <w:top w:val="single" w:sz="7" w:space="0" w:color="000000"/>
              <w:left w:val="single" w:sz="7" w:space="0" w:color="000000"/>
              <w:bottom w:val="single" w:sz="6" w:space="0" w:color="FFFFFF"/>
              <w:right w:val="single" w:sz="6" w:space="0" w:color="FFFFFF"/>
            </w:tcBorders>
          </w:tcPr>
          <w:p w:rsidR="00A330E7" w:rsidRPr="00C70104" w:rsidRDefault="00A330E7" w:rsidP="007C391F">
            <w:pPr>
              <w:keepNext/>
              <w:spacing w:line="120" w:lineRule="exact"/>
              <w:jc w:val="center"/>
              <w:rPr>
                <w:sz w:val="20"/>
                <w:szCs w:val="20"/>
              </w:rPr>
            </w:pPr>
          </w:p>
          <w:p w:rsidR="00A330E7" w:rsidRPr="00C70104" w:rsidRDefault="00A330E7" w:rsidP="007C391F">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C70104">
              <w:rPr>
                <w:sz w:val="20"/>
                <w:szCs w:val="20"/>
              </w:rPr>
              <w:t>1</w:t>
            </w:r>
          </w:p>
        </w:tc>
        <w:tc>
          <w:tcPr>
            <w:tcW w:w="1440" w:type="dxa"/>
            <w:tcBorders>
              <w:top w:val="single" w:sz="7" w:space="0" w:color="000000"/>
              <w:left w:val="single" w:sz="7" w:space="0" w:color="000000"/>
              <w:bottom w:val="single" w:sz="6" w:space="0" w:color="FFFFFF"/>
              <w:right w:val="single" w:sz="6" w:space="0" w:color="FFFFFF"/>
            </w:tcBorders>
          </w:tcPr>
          <w:p w:rsidR="00A330E7" w:rsidRPr="00C70104" w:rsidRDefault="00A330E7" w:rsidP="007C391F">
            <w:pPr>
              <w:keepNext/>
              <w:spacing w:line="120" w:lineRule="exact"/>
              <w:jc w:val="right"/>
              <w:rPr>
                <w:sz w:val="20"/>
                <w:szCs w:val="20"/>
              </w:rPr>
            </w:pPr>
          </w:p>
          <w:p w:rsidR="00A330E7" w:rsidRPr="00C70104" w:rsidRDefault="00A330E7" w:rsidP="007C391F">
            <w:pPr>
              <w:keepNext/>
              <w:pBdr>
                <w:top w:val="single" w:sz="6" w:space="0" w:color="FFFFFF"/>
                <w:left w:val="single" w:sz="6" w:space="0" w:color="FFFFFF"/>
                <w:bottom w:val="single" w:sz="6" w:space="0" w:color="FFFFFF"/>
                <w:right w:val="single" w:sz="6" w:space="0" w:color="FFFFFF"/>
              </w:pBdr>
              <w:spacing w:after="52"/>
              <w:jc w:val="right"/>
              <w:rPr>
                <w:sz w:val="20"/>
                <w:szCs w:val="20"/>
              </w:rPr>
            </w:pPr>
            <w:r w:rsidRPr="00C70104">
              <w:rPr>
                <w:sz w:val="20"/>
                <w:szCs w:val="20"/>
              </w:rPr>
              <w:t>$40,000</w:t>
            </w:r>
          </w:p>
        </w:tc>
        <w:tc>
          <w:tcPr>
            <w:tcW w:w="1350" w:type="dxa"/>
            <w:tcBorders>
              <w:top w:val="single" w:sz="7" w:space="0" w:color="000000"/>
              <w:left w:val="single" w:sz="7" w:space="0" w:color="000000"/>
              <w:bottom w:val="single" w:sz="6" w:space="0" w:color="FFFFFF"/>
              <w:right w:val="single" w:sz="6" w:space="0" w:color="FFFFFF"/>
            </w:tcBorders>
          </w:tcPr>
          <w:p w:rsidR="00A330E7" w:rsidRPr="00C70104" w:rsidRDefault="00A330E7" w:rsidP="007C391F">
            <w:pPr>
              <w:keepNext/>
              <w:spacing w:line="120" w:lineRule="exact"/>
              <w:jc w:val="right"/>
              <w:rPr>
                <w:sz w:val="20"/>
                <w:szCs w:val="20"/>
              </w:rPr>
            </w:pPr>
          </w:p>
          <w:p w:rsidR="00A330E7" w:rsidRPr="00C70104" w:rsidRDefault="00A330E7" w:rsidP="007C391F">
            <w:pPr>
              <w:keepNext/>
              <w:pBdr>
                <w:top w:val="single" w:sz="6" w:space="0" w:color="FFFFFF"/>
                <w:left w:val="single" w:sz="6" w:space="0" w:color="FFFFFF"/>
                <w:bottom w:val="single" w:sz="6" w:space="0" w:color="FFFFFF"/>
                <w:right w:val="single" w:sz="6" w:space="0" w:color="FFFFFF"/>
              </w:pBdr>
              <w:spacing w:after="52"/>
              <w:jc w:val="right"/>
              <w:rPr>
                <w:sz w:val="20"/>
                <w:szCs w:val="20"/>
              </w:rPr>
            </w:pPr>
            <w:r w:rsidRPr="00C70104">
              <w:rPr>
                <w:sz w:val="20"/>
                <w:szCs w:val="20"/>
              </w:rPr>
              <w:t>$8,500</w:t>
            </w:r>
          </w:p>
        </w:tc>
        <w:tc>
          <w:tcPr>
            <w:tcW w:w="1260" w:type="dxa"/>
            <w:tcBorders>
              <w:top w:val="single" w:sz="7" w:space="0" w:color="000000"/>
              <w:left w:val="single" w:sz="7" w:space="0" w:color="000000"/>
              <w:bottom w:val="single" w:sz="6" w:space="0" w:color="FFFFFF"/>
              <w:right w:val="single" w:sz="6" w:space="0" w:color="FFFFFF"/>
            </w:tcBorders>
          </w:tcPr>
          <w:p w:rsidR="00A330E7" w:rsidRPr="00C70104" w:rsidRDefault="00A330E7" w:rsidP="007C391F">
            <w:pPr>
              <w:keepNext/>
              <w:spacing w:line="120" w:lineRule="exact"/>
              <w:jc w:val="center"/>
              <w:rPr>
                <w:sz w:val="20"/>
                <w:szCs w:val="20"/>
              </w:rPr>
            </w:pPr>
          </w:p>
          <w:p w:rsidR="00A330E7" w:rsidRPr="00C70104" w:rsidRDefault="00A330E7" w:rsidP="007C391F">
            <w:pPr>
              <w:keepNext/>
              <w:pBdr>
                <w:top w:val="single" w:sz="6" w:space="0" w:color="FFFFFF"/>
                <w:left w:val="single" w:sz="6" w:space="0" w:color="FFFFFF"/>
                <w:bottom w:val="single" w:sz="6" w:space="0" w:color="FFFFFF"/>
                <w:right w:val="single" w:sz="6" w:space="0" w:color="FFFFFF"/>
              </w:pBdr>
              <w:spacing w:after="52"/>
              <w:jc w:val="center"/>
              <w:rPr>
                <w:sz w:val="20"/>
                <w:szCs w:val="20"/>
              </w:rPr>
            </w:pPr>
            <w:r w:rsidRPr="00C70104">
              <w:rPr>
                <w:sz w:val="20"/>
                <w:szCs w:val="20"/>
              </w:rPr>
              <w:t>5</w:t>
            </w:r>
            <w:r w:rsidR="00577FB7" w:rsidRPr="00C70104">
              <w:rPr>
                <w:sz w:val="20"/>
                <w:szCs w:val="20"/>
              </w:rPr>
              <w:t>8</w:t>
            </w:r>
          </w:p>
        </w:tc>
        <w:tc>
          <w:tcPr>
            <w:tcW w:w="1260" w:type="dxa"/>
            <w:tcBorders>
              <w:top w:val="single" w:sz="7" w:space="0" w:color="000000"/>
              <w:left w:val="single" w:sz="7" w:space="0" w:color="000000"/>
              <w:bottom w:val="single" w:sz="6" w:space="0" w:color="FFFFFF"/>
              <w:right w:val="single" w:sz="7" w:space="0" w:color="000000"/>
            </w:tcBorders>
          </w:tcPr>
          <w:p w:rsidR="00A330E7" w:rsidRPr="00C70104" w:rsidRDefault="00A330E7" w:rsidP="007C391F">
            <w:pPr>
              <w:keepNext/>
              <w:spacing w:line="120" w:lineRule="exact"/>
              <w:jc w:val="right"/>
              <w:rPr>
                <w:sz w:val="20"/>
                <w:szCs w:val="20"/>
              </w:rPr>
            </w:pPr>
          </w:p>
          <w:p w:rsidR="00A330E7" w:rsidRPr="00C70104" w:rsidRDefault="00A330E7" w:rsidP="007C391F">
            <w:pPr>
              <w:keepNext/>
              <w:pBdr>
                <w:top w:val="single" w:sz="6" w:space="0" w:color="FFFFFF"/>
                <w:left w:val="single" w:sz="6" w:space="0" w:color="FFFFFF"/>
                <w:bottom w:val="single" w:sz="6" w:space="0" w:color="FFFFFF"/>
                <w:right w:val="single" w:sz="6" w:space="0" w:color="FFFFFF"/>
              </w:pBdr>
              <w:spacing w:after="52"/>
              <w:jc w:val="right"/>
              <w:rPr>
                <w:sz w:val="20"/>
                <w:szCs w:val="20"/>
              </w:rPr>
            </w:pPr>
            <w:r w:rsidRPr="00C70104">
              <w:rPr>
                <w:sz w:val="20"/>
                <w:szCs w:val="20"/>
              </w:rPr>
              <w:t>$</w:t>
            </w:r>
            <w:r w:rsidR="00577FB7" w:rsidRPr="00C70104">
              <w:rPr>
                <w:sz w:val="20"/>
                <w:szCs w:val="20"/>
              </w:rPr>
              <w:t>493,000</w:t>
            </w:r>
          </w:p>
        </w:tc>
      </w:tr>
      <w:tr w:rsidR="00CF7AA6" w:rsidRPr="00C70104" w:rsidTr="00CF7AA6">
        <w:trPr>
          <w:jc w:val="center"/>
        </w:trPr>
        <w:tc>
          <w:tcPr>
            <w:tcW w:w="1260" w:type="dxa"/>
            <w:tcBorders>
              <w:top w:val="single" w:sz="7" w:space="0" w:color="000000"/>
              <w:left w:val="single" w:sz="7" w:space="0" w:color="000000"/>
              <w:bottom w:val="single" w:sz="7" w:space="0" w:color="000000"/>
              <w:right w:val="single" w:sz="6" w:space="0" w:color="FFFFFF"/>
            </w:tcBorders>
          </w:tcPr>
          <w:p w:rsidR="00CF7AA6" w:rsidRPr="00C70104" w:rsidRDefault="00CF7AA6" w:rsidP="00CF7AA6">
            <w:pPr>
              <w:spacing w:line="120" w:lineRule="exact"/>
              <w:rPr>
                <w:sz w:val="20"/>
                <w:szCs w:val="20"/>
              </w:rPr>
            </w:pPr>
          </w:p>
          <w:p w:rsidR="00CF7AA6" w:rsidRPr="00C70104" w:rsidRDefault="00CF7AA6" w:rsidP="00CF7AA6">
            <w:pPr>
              <w:pBdr>
                <w:top w:val="single" w:sz="6" w:space="0" w:color="FFFFFF"/>
                <w:left w:val="single" w:sz="6" w:space="0" w:color="FFFFFF"/>
                <w:bottom w:val="single" w:sz="6" w:space="0" w:color="FFFFFF"/>
                <w:right w:val="single" w:sz="6" w:space="0" w:color="FFFFFF"/>
              </w:pBdr>
              <w:spacing w:after="72"/>
              <w:rPr>
                <w:sz w:val="20"/>
                <w:szCs w:val="20"/>
              </w:rPr>
            </w:pPr>
            <w:r w:rsidRPr="00C70104">
              <w:rPr>
                <w:sz w:val="20"/>
                <w:szCs w:val="20"/>
              </w:rPr>
              <w:t>Temperature Monitor</w:t>
            </w:r>
          </w:p>
        </w:tc>
        <w:tc>
          <w:tcPr>
            <w:tcW w:w="1440" w:type="dxa"/>
            <w:tcBorders>
              <w:top w:val="single" w:sz="7" w:space="0" w:color="000000"/>
              <w:left w:val="single" w:sz="7" w:space="0" w:color="000000"/>
              <w:bottom w:val="single" w:sz="7" w:space="0" w:color="000000"/>
              <w:right w:val="single" w:sz="6" w:space="0" w:color="FFFFFF"/>
            </w:tcBorders>
          </w:tcPr>
          <w:p w:rsidR="00CF7AA6" w:rsidRPr="00C70104" w:rsidRDefault="00CF7AA6" w:rsidP="00CF7AA6">
            <w:pPr>
              <w:spacing w:line="120" w:lineRule="exact"/>
              <w:jc w:val="right"/>
              <w:rPr>
                <w:sz w:val="20"/>
                <w:szCs w:val="20"/>
              </w:rPr>
            </w:pPr>
          </w:p>
          <w:p w:rsidR="00CF7AA6" w:rsidRPr="00C70104" w:rsidRDefault="00CF7AA6" w:rsidP="00CF7AA6">
            <w:pPr>
              <w:pBdr>
                <w:top w:val="single" w:sz="6" w:space="0" w:color="FFFFFF"/>
                <w:left w:val="single" w:sz="6" w:space="0" w:color="FFFFFF"/>
                <w:bottom w:val="single" w:sz="6" w:space="0" w:color="FFFFFF"/>
                <w:right w:val="single" w:sz="6" w:space="0" w:color="FFFFFF"/>
              </w:pBdr>
              <w:spacing w:after="72"/>
              <w:jc w:val="right"/>
              <w:rPr>
                <w:sz w:val="20"/>
                <w:szCs w:val="20"/>
              </w:rPr>
            </w:pPr>
            <w:r w:rsidRPr="00C70104">
              <w:rPr>
                <w:sz w:val="20"/>
                <w:szCs w:val="20"/>
              </w:rPr>
              <w:t>$8,500</w:t>
            </w:r>
          </w:p>
        </w:tc>
        <w:tc>
          <w:tcPr>
            <w:tcW w:w="1260" w:type="dxa"/>
            <w:tcBorders>
              <w:top w:val="single" w:sz="7" w:space="0" w:color="000000"/>
              <w:left w:val="single" w:sz="7" w:space="0" w:color="000000"/>
              <w:bottom w:val="single" w:sz="7" w:space="0" w:color="000000"/>
              <w:right w:val="single" w:sz="6" w:space="0" w:color="FFFFFF"/>
            </w:tcBorders>
          </w:tcPr>
          <w:p w:rsidR="00CF7AA6" w:rsidRPr="00C70104" w:rsidRDefault="00CF7AA6" w:rsidP="00CF7AA6">
            <w:pPr>
              <w:spacing w:line="120" w:lineRule="exact"/>
              <w:jc w:val="center"/>
              <w:rPr>
                <w:sz w:val="20"/>
                <w:szCs w:val="20"/>
              </w:rPr>
            </w:pPr>
          </w:p>
          <w:p w:rsidR="00CF7AA6" w:rsidRPr="00C70104" w:rsidRDefault="00CF7AA6" w:rsidP="00CF7AA6">
            <w:pPr>
              <w:pBdr>
                <w:top w:val="single" w:sz="6" w:space="0" w:color="FFFFFF"/>
                <w:left w:val="single" w:sz="6" w:space="0" w:color="FFFFFF"/>
                <w:bottom w:val="single" w:sz="6" w:space="0" w:color="FFFFFF"/>
                <w:right w:val="single" w:sz="6" w:space="0" w:color="FFFFFF"/>
              </w:pBdr>
              <w:spacing w:after="72"/>
              <w:jc w:val="center"/>
              <w:rPr>
                <w:sz w:val="20"/>
                <w:szCs w:val="20"/>
              </w:rPr>
            </w:pPr>
            <w:r w:rsidRPr="00C70104">
              <w:rPr>
                <w:sz w:val="20"/>
                <w:szCs w:val="20"/>
              </w:rPr>
              <w:t>1</w:t>
            </w:r>
          </w:p>
        </w:tc>
        <w:tc>
          <w:tcPr>
            <w:tcW w:w="1440" w:type="dxa"/>
            <w:tcBorders>
              <w:top w:val="single" w:sz="7" w:space="0" w:color="000000"/>
              <w:left w:val="single" w:sz="7" w:space="0" w:color="000000"/>
              <w:bottom w:val="single" w:sz="7" w:space="0" w:color="000000"/>
              <w:right w:val="single" w:sz="6" w:space="0" w:color="FFFFFF"/>
            </w:tcBorders>
          </w:tcPr>
          <w:p w:rsidR="00CF7AA6" w:rsidRPr="00C70104" w:rsidRDefault="00CF7AA6" w:rsidP="00CF7AA6">
            <w:pPr>
              <w:spacing w:line="120" w:lineRule="exact"/>
              <w:jc w:val="right"/>
              <w:rPr>
                <w:sz w:val="20"/>
                <w:szCs w:val="20"/>
              </w:rPr>
            </w:pPr>
          </w:p>
          <w:p w:rsidR="00CF7AA6" w:rsidRPr="00C70104" w:rsidRDefault="00CF7AA6" w:rsidP="00CF7AA6">
            <w:pPr>
              <w:pBdr>
                <w:top w:val="single" w:sz="6" w:space="0" w:color="FFFFFF"/>
                <w:left w:val="single" w:sz="6" w:space="0" w:color="FFFFFF"/>
                <w:bottom w:val="single" w:sz="6" w:space="0" w:color="FFFFFF"/>
                <w:right w:val="single" w:sz="6" w:space="0" w:color="FFFFFF"/>
              </w:pBdr>
              <w:spacing w:after="72"/>
              <w:jc w:val="right"/>
              <w:rPr>
                <w:sz w:val="20"/>
                <w:szCs w:val="20"/>
              </w:rPr>
            </w:pPr>
            <w:r w:rsidRPr="00C70104">
              <w:rPr>
                <w:sz w:val="20"/>
                <w:szCs w:val="20"/>
              </w:rPr>
              <w:t>$8,500</w:t>
            </w:r>
          </w:p>
        </w:tc>
        <w:tc>
          <w:tcPr>
            <w:tcW w:w="1350" w:type="dxa"/>
            <w:tcBorders>
              <w:top w:val="single" w:sz="7" w:space="0" w:color="000000"/>
              <w:left w:val="single" w:sz="7" w:space="0" w:color="000000"/>
              <w:bottom w:val="single" w:sz="7" w:space="0" w:color="000000"/>
              <w:right w:val="single" w:sz="6" w:space="0" w:color="FFFFFF"/>
            </w:tcBorders>
          </w:tcPr>
          <w:p w:rsidR="00CF7AA6" w:rsidRPr="00C70104" w:rsidRDefault="00CF7AA6" w:rsidP="00CF7AA6">
            <w:pPr>
              <w:spacing w:line="120" w:lineRule="exact"/>
              <w:jc w:val="right"/>
              <w:rPr>
                <w:sz w:val="20"/>
                <w:szCs w:val="20"/>
              </w:rPr>
            </w:pPr>
          </w:p>
          <w:p w:rsidR="00CF7AA6" w:rsidRPr="00C70104" w:rsidRDefault="00CF7AA6" w:rsidP="00CF7AA6">
            <w:pPr>
              <w:pBdr>
                <w:top w:val="single" w:sz="6" w:space="0" w:color="FFFFFF"/>
                <w:left w:val="single" w:sz="6" w:space="0" w:color="FFFFFF"/>
                <w:bottom w:val="single" w:sz="6" w:space="0" w:color="FFFFFF"/>
                <w:right w:val="single" w:sz="6" w:space="0" w:color="FFFFFF"/>
              </w:pBdr>
              <w:spacing w:after="72"/>
              <w:jc w:val="right"/>
              <w:rPr>
                <w:sz w:val="20"/>
                <w:szCs w:val="20"/>
              </w:rPr>
            </w:pPr>
            <w:r w:rsidRPr="00C70104">
              <w:rPr>
                <w:sz w:val="20"/>
                <w:szCs w:val="20"/>
              </w:rPr>
              <w:t>$2,000</w:t>
            </w:r>
          </w:p>
        </w:tc>
        <w:tc>
          <w:tcPr>
            <w:tcW w:w="1260" w:type="dxa"/>
            <w:tcBorders>
              <w:top w:val="single" w:sz="7" w:space="0" w:color="000000"/>
              <w:left w:val="single" w:sz="7" w:space="0" w:color="000000"/>
              <w:bottom w:val="single" w:sz="7" w:space="0" w:color="000000"/>
              <w:right w:val="single" w:sz="6" w:space="0" w:color="FFFFFF"/>
            </w:tcBorders>
          </w:tcPr>
          <w:p w:rsidR="00CF7AA6" w:rsidRPr="00C70104" w:rsidRDefault="00CF7AA6" w:rsidP="00CF7AA6">
            <w:pPr>
              <w:spacing w:line="120" w:lineRule="exact"/>
              <w:jc w:val="center"/>
              <w:rPr>
                <w:sz w:val="20"/>
                <w:szCs w:val="20"/>
              </w:rPr>
            </w:pPr>
          </w:p>
          <w:p w:rsidR="00CF7AA6" w:rsidRPr="00C70104" w:rsidRDefault="00CF7AA6" w:rsidP="00CF7AA6">
            <w:pPr>
              <w:pBdr>
                <w:top w:val="single" w:sz="6" w:space="0" w:color="FFFFFF"/>
                <w:left w:val="single" w:sz="6" w:space="0" w:color="FFFFFF"/>
                <w:bottom w:val="single" w:sz="6" w:space="0" w:color="FFFFFF"/>
                <w:right w:val="single" w:sz="6" w:space="0" w:color="FFFFFF"/>
              </w:pBdr>
              <w:spacing w:after="72"/>
              <w:jc w:val="center"/>
              <w:rPr>
                <w:sz w:val="20"/>
                <w:szCs w:val="20"/>
              </w:rPr>
            </w:pPr>
            <w:r w:rsidRPr="00C70104">
              <w:rPr>
                <w:sz w:val="20"/>
                <w:szCs w:val="20"/>
              </w:rPr>
              <w:t>58</w:t>
            </w:r>
          </w:p>
        </w:tc>
        <w:tc>
          <w:tcPr>
            <w:tcW w:w="1260" w:type="dxa"/>
            <w:tcBorders>
              <w:top w:val="single" w:sz="7" w:space="0" w:color="000000"/>
              <w:left w:val="single" w:sz="7" w:space="0" w:color="000000"/>
              <w:bottom w:val="single" w:sz="7" w:space="0" w:color="000000"/>
              <w:right w:val="single" w:sz="7" w:space="0" w:color="000000"/>
            </w:tcBorders>
          </w:tcPr>
          <w:p w:rsidR="00CF7AA6" w:rsidRPr="00C70104" w:rsidRDefault="00CF7AA6" w:rsidP="00CF7AA6">
            <w:pPr>
              <w:spacing w:line="120" w:lineRule="exact"/>
              <w:jc w:val="right"/>
              <w:rPr>
                <w:sz w:val="20"/>
                <w:szCs w:val="20"/>
              </w:rPr>
            </w:pPr>
          </w:p>
          <w:p w:rsidR="00CF7AA6" w:rsidRPr="00C70104" w:rsidRDefault="00CF7AA6" w:rsidP="00CF7AA6">
            <w:pPr>
              <w:pBdr>
                <w:top w:val="single" w:sz="6" w:space="0" w:color="FFFFFF"/>
                <w:left w:val="single" w:sz="6" w:space="0" w:color="FFFFFF"/>
                <w:bottom w:val="single" w:sz="6" w:space="0" w:color="FFFFFF"/>
                <w:right w:val="single" w:sz="6" w:space="0" w:color="FFFFFF"/>
              </w:pBdr>
              <w:spacing w:after="72"/>
              <w:jc w:val="right"/>
              <w:rPr>
                <w:sz w:val="20"/>
                <w:szCs w:val="20"/>
              </w:rPr>
            </w:pPr>
            <w:r w:rsidRPr="00C70104">
              <w:rPr>
                <w:sz w:val="20"/>
                <w:szCs w:val="20"/>
              </w:rPr>
              <w:t>$116,000</w:t>
            </w:r>
          </w:p>
        </w:tc>
      </w:tr>
      <w:tr w:rsidR="00CF7AA6" w:rsidRPr="00C70104" w:rsidTr="00CF7AA6">
        <w:trPr>
          <w:jc w:val="center"/>
        </w:trPr>
        <w:tc>
          <w:tcPr>
            <w:tcW w:w="1260" w:type="dxa"/>
            <w:tcBorders>
              <w:top w:val="single" w:sz="7" w:space="0" w:color="000000"/>
              <w:left w:val="single" w:sz="7" w:space="0" w:color="000000"/>
              <w:bottom w:val="single" w:sz="7" w:space="0" w:color="000000"/>
              <w:right w:val="single" w:sz="6" w:space="0" w:color="FFFFFF"/>
            </w:tcBorders>
          </w:tcPr>
          <w:p w:rsidR="00CF7AA6" w:rsidRPr="00C70104" w:rsidRDefault="00CF7AA6" w:rsidP="00A330E7">
            <w:pPr>
              <w:spacing w:line="120" w:lineRule="exact"/>
              <w:rPr>
                <w:sz w:val="20"/>
                <w:szCs w:val="20"/>
              </w:rPr>
            </w:pPr>
          </w:p>
          <w:p w:rsidR="00CF7AA6" w:rsidRPr="00C70104" w:rsidRDefault="00CF7AA6" w:rsidP="00CF7AA6">
            <w:pPr>
              <w:pBdr>
                <w:top w:val="single" w:sz="6" w:space="0" w:color="FFFFFF"/>
                <w:left w:val="single" w:sz="6" w:space="0" w:color="FFFFFF"/>
                <w:bottom w:val="single" w:sz="6" w:space="0" w:color="FFFFFF"/>
                <w:right w:val="single" w:sz="6" w:space="0" w:color="FFFFFF"/>
              </w:pBdr>
              <w:spacing w:after="72"/>
              <w:jc w:val="center"/>
              <w:rPr>
                <w:sz w:val="20"/>
                <w:szCs w:val="20"/>
              </w:rPr>
            </w:pPr>
            <w:r w:rsidRPr="00C70104">
              <w:rPr>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rsidR="00CF7AA6" w:rsidRPr="00C70104" w:rsidRDefault="00CF7AA6" w:rsidP="00A330E7">
            <w:pPr>
              <w:pBdr>
                <w:top w:val="single" w:sz="6" w:space="0" w:color="FFFFFF"/>
                <w:left w:val="single" w:sz="6" w:space="0" w:color="FFFFFF"/>
                <w:bottom w:val="single" w:sz="6" w:space="0" w:color="FFFFFF"/>
                <w:right w:val="single" w:sz="6" w:space="0" w:color="FFFFFF"/>
              </w:pBdr>
              <w:spacing w:after="72"/>
              <w:jc w:val="right"/>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CF7AA6" w:rsidRPr="00C70104" w:rsidRDefault="00CF7AA6" w:rsidP="00A330E7">
            <w:pPr>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CF7AA6" w:rsidRPr="00C70104" w:rsidRDefault="00CF7AA6" w:rsidP="00A330E7">
            <w:pPr>
              <w:spacing w:line="120" w:lineRule="exact"/>
              <w:jc w:val="right"/>
              <w:rPr>
                <w:sz w:val="20"/>
                <w:szCs w:val="20"/>
              </w:rPr>
            </w:pPr>
          </w:p>
          <w:p w:rsidR="00CF7AA6" w:rsidRPr="00C70104" w:rsidRDefault="00CF7AA6" w:rsidP="00A330E7">
            <w:pPr>
              <w:pBdr>
                <w:top w:val="single" w:sz="6" w:space="0" w:color="FFFFFF"/>
                <w:left w:val="single" w:sz="6" w:space="0" w:color="FFFFFF"/>
                <w:bottom w:val="single" w:sz="6" w:space="0" w:color="FFFFFF"/>
                <w:right w:val="single" w:sz="6" w:space="0" w:color="FFFFFF"/>
              </w:pBdr>
              <w:spacing w:after="72"/>
              <w:jc w:val="right"/>
              <w:rPr>
                <w:sz w:val="20"/>
                <w:szCs w:val="20"/>
              </w:rPr>
            </w:pPr>
            <w:r w:rsidRPr="00C70104">
              <w:rPr>
                <w:sz w:val="20"/>
                <w:szCs w:val="20"/>
              </w:rPr>
              <w:t>$48,500</w:t>
            </w:r>
          </w:p>
        </w:tc>
        <w:tc>
          <w:tcPr>
            <w:tcW w:w="1350" w:type="dxa"/>
            <w:tcBorders>
              <w:top w:val="single" w:sz="7" w:space="0" w:color="000000"/>
              <w:left w:val="single" w:sz="7" w:space="0" w:color="000000"/>
              <w:bottom w:val="single" w:sz="7" w:space="0" w:color="000000"/>
              <w:right w:val="single" w:sz="6" w:space="0" w:color="FFFFFF"/>
            </w:tcBorders>
          </w:tcPr>
          <w:p w:rsidR="00CF7AA6" w:rsidRPr="00C70104" w:rsidRDefault="00CF7AA6" w:rsidP="00CF7AA6">
            <w:pPr>
              <w:pBdr>
                <w:top w:val="single" w:sz="6" w:space="0" w:color="FFFFFF"/>
                <w:left w:val="single" w:sz="6" w:space="0" w:color="FFFFFF"/>
                <w:bottom w:val="single" w:sz="6" w:space="0" w:color="FFFFFF"/>
                <w:right w:val="single" w:sz="6" w:space="0" w:color="FFFFFF"/>
              </w:pBdr>
              <w:spacing w:after="72"/>
              <w:jc w:val="right"/>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CF7AA6" w:rsidRPr="00C70104" w:rsidRDefault="00CF7AA6" w:rsidP="00A330E7">
            <w:pPr>
              <w:pBdr>
                <w:top w:val="single" w:sz="6" w:space="0" w:color="FFFFFF"/>
                <w:left w:val="single" w:sz="6" w:space="0" w:color="FFFFFF"/>
                <w:bottom w:val="single" w:sz="6" w:space="0" w:color="FFFFFF"/>
                <w:right w:val="single" w:sz="6" w:space="0" w:color="FFFFFF"/>
              </w:pBdr>
              <w:spacing w:after="72"/>
              <w:jc w:val="center"/>
              <w:rPr>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CF7AA6" w:rsidRPr="00C70104" w:rsidRDefault="00CF7AA6" w:rsidP="00CF7AA6">
            <w:pPr>
              <w:spacing w:line="120" w:lineRule="exact"/>
              <w:jc w:val="right"/>
              <w:rPr>
                <w:sz w:val="20"/>
                <w:szCs w:val="20"/>
              </w:rPr>
            </w:pPr>
          </w:p>
          <w:p w:rsidR="00CF7AA6" w:rsidRPr="00C70104" w:rsidRDefault="00CF7AA6" w:rsidP="00CF7AA6">
            <w:pPr>
              <w:pBdr>
                <w:top w:val="single" w:sz="6" w:space="0" w:color="FFFFFF"/>
                <w:left w:val="single" w:sz="6" w:space="0" w:color="FFFFFF"/>
                <w:bottom w:val="single" w:sz="6" w:space="0" w:color="FFFFFF"/>
                <w:right w:val="single" w:sz="6" w:space="0" w:color="FFFFFF"/>
              </w:pBdr>
              <w:spacing w:after="72"/>
              <w:jc w:val="right"/>
            </w:pPr>
            <w:r w:rsidRPr="00C70104">
              <w:rPr>
                <w:sz w:val="20"/>
                <w:szCs w:val="20"/>
              </w:rPr>
              <w:t>$609,000</w:t>
            </w:r>
          </w:p>
        </w:tc>
      </w:tr>
    </w:tbl>
    <w:p w:rsidR="00CA4CD6" w:rsidRPr="00C70104" w:rsidRDefault="00CA4CD6">
      <w:pPr>
        <w:pBdr>
          <w:top w:val="single" w:sz="6" w:space="0" w:color="FFFFFF"/>
          <w:left w:val="single" w:sz="6" w:space="0" w:color="FFFFFF"/>
          <w:bottom w:val="single" w:sz="6" w:space="0" w:color="FFFFFF"/>
          <w:right w:val="single" w:sz="6" w:space="0" w:color="FFFFFF"/>
        </w:pBdr>
      </w:pPr>
      <w:r w:rsidRPr="00C70104">
        <w:t xml:space="preserve"> </w:t>
      </w:r>
      <w:r w:rsidRPr="00C70104">
        <w:tab/>
      </w: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lastRenderedPageBreak/>
        <w:t xml:space="preserve">The total capital/startup costs for this ICR are </w:t>
      </w:r>
      <w:r w:rsidR="00CF7AA6" w:rsidRPr="00C70104">
        <w:t>$48,500</w:t>
      </w:r>
      <w:r w:rsidRPr="00C70104">
        <w:t>.  This is the total o</w:t>
      </w:r>
      <w:r w:rsidR="00507EC5" w:rsidRPr="00C70104">
        <w:t xml:space="preserve">f column D in the above table. </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The total operation and maintenance (</w:t>
      </w:r>
      <w:r w:rsidR="003F1AFC" w:rsidRPr="00C70104">
        <w:t xml:space="preserve">O&amp;M) costs for this ICR are </w:t>
      </w:r>
      <w:r w:rsidR="00CF7AA6" w:rsidRPr="00C70104">
        <w:t>$609,000</w:t>
      </w:r>
      <w:r w:rsidRPr="00C70104">
        <w:t xml:space="preserve">.  </w:t>
      </w:r>
      <w:r w:rsidR="00507EC5" w:rsidRPr="00C70104">
        <w:t xml:space="preserve">This is the total of column G. </w:t>
      </w:r>
    </w:p>
    <w:p w:rsidR="004C701D" w:rsidRPr="00C70104" w:rsidRDefault="004C701D">
      <w:pPr>
        <w:pBdr>
          <w:top w:val="single" w:sz="6" w:space="0" w:color="FFFFFF"/>
          <w:left w:val="single" w:sz="6" w:space="0" w:color="FFFFFF"/>
          <w:bottom w:val="single" w:sz="6" w:space="0" w:color="FFFFFF"/>
          <w:right w:val="single" w:sz="6" w:space="0" w:color="FFFFFF"/>
        </w:pBdr>
        <w:ind w:firstLine="720"/>
      </w:pPr>
    </w:p>
    <w:p w:rsidR="00CA4CD6" w:rsidRPr="00C70104" w:rsidRDefault="00A038EC">
      <w:pPr>
        <w:pBdr>
          <w:top w:val="single" w:sz="6" w:space="0" w:color="FFFFFF"/>
          <w:left w:val="single" w:sz="6" w:space="0" w:color="FFFFFF"/>
          <w:bottom w:val="single" w:sz="6" w:space="0" w:color="FFFFFF"/>
          <w:right w:val="single" w:sz="6" w:space="0" w:color="FFFFFF"/>
        </w:pBdr>
        <w:ind w:firstLine="720"/>
      </w:pPr>
      <w:r w:rsidRPr="00C70104">
        <w:t xml:space="preserve">      </w:t>
      </w:r>
      <w:r w:rsidR="00CA4CD6" w:rsidRPr="00C70104">
        <w:t xml:space="preserve">The average annual cost for capital/startup and operation and maintenance costs to industry over the next three years of the ICR is estimated to be </w:t>
      </w:r>
      <w:r w:rsidR="00CC681F" w:rsidRPr="00C70104">
        <w:t>$657,500</w:t>
      </w:r>
      <w:r w:rsidR="00CA4CD6" w:rsidRPr="00C70104">
        <w:t xml:space="preserve">. </w:t>
      </w:r>
      <w:r w:rsidR="001C5991" w:rsidRPr="00C70104">
        <w:t xml:space="preserve"> These are recordkeeping costs.  </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rPr>
          <w:b/>
          <w:bCs/>
        </w:rPr>
        <w:t>6(c)  Estimating Agency Burden and Cost</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The only costs to the Agency are those costs associated with analysis of the reported information.  EPA's overall compliance and enforcement program i</w:t>
      </w:r>
      <w:r w:rsidR="005C42AC" w:rsidRPr="00C70104">
        <w:t xml:space="preserve">ncludes activities such as the </w:t>
      </w:r>
      <w:r w:rsidRPr="00C70104">
        <w:t>examination of records maint</w:t>
      </w:r>
      <w:r w:rsidR="0035325B" w:rsidRPr="00C70104">
        <w:t xml:space="preserve">ained by the respondents, </w:t>
      </w:r>
      <w:r w:rsidRPr="00C70104">
        <w:t xml:space="preserve">periodic inspection of sources of emissions, and the publication and distribution of collected information. </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The average annual Agency cost during the three years of the ICR is estimated to be</w:t>
      </w:r>
      <w:r w:rsidR="007C391F" w:rsidRPr="00C70104">
        <w:t xml:space="preserve"> $34,440</w:t>
      </w:r>
      <w:r w:rsidR="001C28B5" w:rsidRPr="00C70104">
        <w:t>.</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ind w:firstLine="720"/>
      </w:pPr>
      <w:r w:rsidRPr="00C70104">
        <w:t>This cost is based on the average hourly labor rate as follows:</w:t>
      </w:r>
    </w:p>
    <w:p w:rsidR="00D2273E" w:rsidRPr="00C70104" w:rsidRDefault="00D2273E" w:rsidP="007C391F">
      <w:pPr>
        <w:keepNext/>
      </w:pPr>
    </w:p>
    <w:p w:rsidR="00CA4CD6" w:rsidRPr="00C70104" w:rsidRDefault="00D2273E" w:rsidP="007C391F">
      <w:pPr>
        <w:keepNext/>
      </w:pPr>
      <w:r w:rsidRPr="00C70104">
        <w:tab/>
      </w:r>
      <w:r w:rsidRPr="00C70104">
        <w:tab/>
      </w:r>
      <w:r w:rsidR="00CA4CD6" w:rsidRPr="00C70104">
        <w:t>Managerial</w:t>
      </w:r>
      <w:r w:rsidR="00CA4CD6" w:rsidRPr="00C70104">
        <w:tab/>
        <w:t>$</w:t>
      </w:r>
      <w:r w:rsidR="00A038EC" w:rsidRPr="00C70104">
        <w:t>6</w:t>
      </w:r>
      <w:r w:rsidR="002B517F" w:rsidRPr="00C70104">
        <w:t>2.</w:t>
      </w:r>
      <w:r w:rsidR="003D536B" w:rsidRPr="00C70104">
        <w:t>90</w:t>
      </w:r>
      <w:r w:rsidR="00CA4CD6" w:rsidRPr="00C70104">
        <w:t xml:space="preserve"> (GS-13, Step 5, $</w:t>
      </w:r>
      <w:r w:rsidR="009018EC" w:rsidRPr="00C70104">
        <w:t>3</w:t>
      </w:r>
      <w:r w:rsidR="003D536B" w:rsidRPr="00C70104">
        <w:t>9.31</w:t>
      </w:r>
      <w:r w:rsidR="00CA4CD6" w:rsidRPr="00C70104">
        <w:t xml:space="preserve"> </w:t>
      </w:r>
      <w:r w:rsidR="00E77D5E" w:rsidRPr="00C70104">
        <w:t>+ 60%</w:t>
      </w:r>
      <w:r w:rsidR="001C28B5" w:rsidRPr="00C70104">
        <w:t>)</w:t>
      </w:r>
    </w:p>
    <w:p w:rsidR="00CA4CD6" w:rsidRPr="00C70104" w:rsidRDefault="00D2273E" w:rsidP="00D2273E">
      <w:r w:rsidRPr="00C70104">
        <w:tab/>
      </w:r>
      <w:r w:rsidRPr="00C70104">
        <w:tab/>
      </w:r>
      <w:r w:rsidR="00CA4CD6" w:rsidRPr="00C70104">
        <w:t>Technical</w:t>
      </w:r>
      <w:r w:rsidR="00CA4CD6" w:rsidRPr="00C70104">
        <w:tab/>
        <w:t>$</w:t>
      </w:r>
      <w:r w:rsidR="009018EC" w:rsidRPr="00C70104">
        <w:t>4</w:t>
      </w:r>
      <w:r w:rsidR="002B517F" w:rsidRPr="00C70104">
        <w:t>6</w:t>
      </w:r>
      <w:r w:rsidR="00A038EC" w:rsidRPr="00C70104">
        <w:t>.</w:t>
      </w:r>
      <w:r w:rsidR="003D536B" w:rsidRPr="00C70104">
        <w:t>67</w:t>
      </w:r>
      <w:r w:rsidR="00CA4CD6" w:rsidRPr="00C70104">
        <w:t xml:space="preserve"> (GS-12, Step 1, $</w:t>
      </w:r>
      <w:r w:rsidR="00A038EC" w:rsidRPr="00C70104">
        <w:t>2</w:t>
      </w:r>
      <w:r w:rsidR="003D536B" w:rsidRPr="00C70104">
        <w:t>9</w:t>
      </w:r>
      <w:r w:rsidR="00A038EC" w:rsidRPr="00C70104">
        <w:t>.</w:t>
      </w:r>
      <w:r w:rsidR="003D536B" w:rsidRPr="00C70104">
        <w:t>17</w:t>
      </w:r>
      <w:r w:rsidR="00CA4CD6" w:rsidRPr="00C70104">
        <w:t xml:space="preserve"> </w:t>
      </w:r>
      <w:r w:rsidR="00E77D5E" w:rsidRPr="00C70104">
        <w:t>+ 60%</w:t>
      </w:r>
      <w:r w:rsidR="00CA4CD6" w:rsidRPr="00C70104">
        <w:t>)</w:t>
      </w:r>
    </w:p>
    <w:p w:rsidR="00CA4CD6" w:rsidRPr="00C70104" w:rsidRDefault="00D2273E" w:rsidP="00D2273E">
      <w:r w:rsidRPr="00C70104">
        <w:tab/>
      </w:r>
      <w:r w:rsidRPr="00C70104">
        <w:tab/>
      </w:r>
      <w:r w:rsidR="00CA4CD6" w:rsidRPr="00C70104">
        <w:t>Clerical</w:t>
      </w:r>
      <w:r w:rsidR="00CA4CD6" w:rsidRPr="00C70104">
        <w:tab/>
        <w:t>$2</w:t>
      </w:r>
      <w:r w:rsidR="002B517F" w:rsidRPr="00C70104">
        <w:t>5.</w:t>
      </w:r>
      <w:r w:rsidR="003D536B" w:rsidRPr="00C70104">
        <w:t>25</w:t>
      </w:r>
      <w:r w:rsidR="00CA4CD6" w:rsidRPr="00C70104">
        <w:t xml:space="preserve"> (GS-6, Step 3, $</w:t>
      </w:r>
      <w:r w:rsidR="00A038EC" w:rsidRPr="00C70104">
        <w:t>15.</w:t>
      </w:r>
      <w:r w:rsidR="003D536B" w:rsidRPr="00C70104">
        <w:t>78</w:t>
      </w:r>
      <w:r w:rsidR="00CA4CD6" w:rsidRPr="00C70104">
        <w:t xml:space="preserve"> </w:t>
      </w:r>
      <w:r w:rsidR="00E77D5E" w:rsidRPr="00C70104">
        <w:t>+ 60%</w:t>
      </w:r>
      <w:r w:rsidR="00CA4CD6" w:rsidRPr="00C70104">
        <w:t>)</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pPr>
      <w:r w:rsidRPr="00C70104">
        <w:t>These rates are from the Office of Personnel Management (OPM)</w:t>
      </w:r>
      <w:r w:rsidR="007A458D" w:rsidRPr="00C70104">
        <w:t>,</w:t>
      </w:r>
      <w:r w:rsidRPr="00C70104">
        <w:t xml:space="preserve"> 20</w:t>
      </w:r>
      <w:r w:rsidR="002B517F" w:rsidRPr="00C70104">
        <w:t>1</w:t>
      </w:r>
      <w:r w:rsidR="003D536B" w:rsidRPr="00C70104">
        <w:t>4</w:t>
      </w:r>
      <w:r w:rsidRPr="00C70104">
        <w:t xml:space="preserve"> General Schedule</w:t>
      </w:r>
      <w:r w:rsidR="007A458D" w:rsidRPr="00C70104">
        <w:t>,</w:t>
      </w:r>
      <w:r w:rsidRPr="00C70104">
        <w:t xml:space="preserve"> which excludes locality rates of pay.</w:t>
      </w:r>
      <w:r w:rsidR="00E77D5E" w:rsidRPr="00C70104">
        <w:t xml:space="preserve">  The rates have been increased by 60</w:t>
      </w:r>
      <w:r w:rsidR="00D2273E" w:rsidRPr="00C70104">
        <w:t xml:space="preserve"> percent</w:t>
      </w:r>
      <w:r w:rsidR="00E77D5E" w:rsidRPr="00C70104">
        <w:t xml:space="preserve"> to account for the benefit packages available to government employees.  </w:t>
      </w:r>
      <w:r w:rsidRPr="00C70104">
        <w:t xml:space="preserve">Details upon which this estimate is based appear </w:t>
      </w:r>
      <w:r w:rsidR="007A458D" w:rsidRPr="00C70104">
        <w:t xml:space="preserve">below in </w:t>
      </w:r>
      <w:r w:rsidRPr="00C70104">
        <w:t>Table 2</w:t>
      </w:r>
      <w:r w:rsidR="005A46D3" w:rsidRPr="00C70104">
        <w:t>: Average Annual EPA Burden and Cost – NSPS for Polymeric Coating of Supporting Substrates Facilities (40 CFR Part 60, Subpart VVV) (Renewal)</w:t>
      </w:r>
      <w:r w:rsidR="001C28B5" w:rsidRPr="00C70104">
        <w:t>.</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rPr>
          <w:b/>
          <w:bCs/>
        </w:rPr>
      </w:pPr>
      <w:r w:rsidRPr="00C70104">
        <w:rPr>
          <w:b/>
          <w:bCs/>
        </w:rPr>
        <w:t>6(d)  Estimating the Respondent Universe and Total Burden and Costs</w:t>
      </w:r>
    </w:p>
    <w:p w:rsidR="00CA4CD6" w:rsidRPr="00C70104" w:rsidRDefault="00CA4CD6">
      <w:pPr>
        <w:pBdr>
          <w:top w:val="single" w:sz="6" w:space="0" w:color="FFFFFF"/>
          <w:left w:val="single" w:sz="6" w:space="0" w:color="FFFFFF"/>
          <w:bottom w:val="single" w:sz="6" w:space="0" w:color="FFFFFF"/>
          <w:right w:val="single" w:sz="6" w:space="0" w:color="FFFFFF"/>
        </w:pBdr>
        <w:rPr>
          <w:b/>
          <w:bCs/>
        </w:rPr>
      </w:pPr>
    </w:p>
    <w:p w:rsidR="00CA4CD6" w:rsidRPr="00C70104" w:rsidRDefault="00CA4CD6" w:rsidP="001C28B5">
      <w:pPr>
        <w:pBdr>
          <w:top w:val="single" w:sz="6" w:space="0" w:color="FFFFFF"/>
          <w:left w:val="single" w:sz="6" w:space="0" w:color="FFFFFF"/>
          <w:bottom w:val="single" w:sz="6" w:space="0" w:color="FFFFFF"/>
          <w:right w:val="single" w:sz="6" w:space="0" w:color="FFFFFF"/>
        </w:pBdr>
        <w:ind w:firstLine="720"/>
      </w:pPr>
      <w:r w:rsidRPr="00C70104">
        <w:t xml:space="preserve">Based on our research for this ICR, on average over the next three years, approximately </w:t>
      </w:r>
      <w:r w:rsidR="001C28B5" w:rsidRPr="00C70104">
        <w:t>5</w:t>
      </w:r>
      <w:r w:rsidR="009621DE" w:rsidRPr="00C70104">
        <w:t>8</w:t>
      </w:r>
      <w:r w:rsidR="001C28B5" w:rsidRPr="00C70104">
        <w:t xml:space="preserve"> </w:t>
      </w:r>
      <w:r w:rsidRPr="00C70104">
        <w:t xml:space="preserve">existing respondents will be subject to the standard.  It is estimated that </w:t>
      </w:r>
      <w:r w:rsidR="001C28B5" w:rsidRPr="00C70104">
        <w:t xml:space="preserve">one </w:t>
      </w:r>
      <w:r w:rsidRPr="00C70104">
        <w:t xml:space="preserve">additional </w:t>
      </w:r>
      <w:r w:rsidR="001C28B5" w:rsidRPr="00C70104">
        <w:t xml:space="preserve">respondent </w:t>
      </w:r>
      <w:r w:rsidRPr="00C70104">
        <w:t>per year will become subject.  The overall average number of responden</w:t>
      </w:r>
      <w:r w:rsidR="0035325B" w:rsidRPr="00C70104">
        <w:t>ts, as shown in the table below,</w:t>
      </w:r>
      <w:r w:rsidRPr="00C70104">
        <w:t xml:space="preserve"> is</w:t>
      </w:r>
      <w:r w:rsidR="009621DE" w:rsidRPr="00C70104">
        <w:t xml:space="preserve"> 59 </w:t>
      </w:r>
      <w:r w:rsidRPr="00C70104">
        <w:t>per year.</w:t>
      </w:r>
    </w:p>
    <w:p w:rsidR="001C28B5" w:rsidRPr="00C70104" w:rsidRDefault="001C28B5" w:rsidP="001C28B5">
      <w:pPr>
        <w:pBdr>
          <w:top w:val="single" w:sz="6" w:space="0" w:color="FFFFFF"/>
          <w:left w:val="single" w:sz="6" w:space="0" w:color="FFFFFF"/>
          <w:bottom w:val="single" w:sz="6" w:space="0" w:color="FFFFFF"/>
          <w:right w:val="single" w:sz="6" w:space="0" w:color="FFFFFF"/>
        </w:pBdr>
        <w:ind w:firstLine="720"/>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 xml:space="preserve">The number of respondents is calculated using the following table </w:t>
      </w:r>
      <w:r w:rsidR="002B29A7" w:rsidRPr="00C70104">
        <w:t xml:space="preserve">that </w:t>
      </w:r>
      <w:r w:rsidRPr="00C70104">
        <w:t xml:space="preserve">addresses the three years covered by this ICR.  </w:t>
      </w:r>
    </w:p>
    <w:p w:rsidR="00CA4CD6" w:rsidRPr="00C70104"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C70104" w:rsidTr="00FD7631">
        <w:trPr>
          <w:tblHeader/>
          <w:jc w:val="cent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Pr="00C70104" w:rsidRDefault="00CA4CD6" w:rsidP="00B17267">
            <w:pPr>
              <w:keepNext/>
              <w:keepLines/>
              <w:spacing w:line="120" w:lineRule="exact"/>
            </w:pP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C70104">
              <w:rPr>
                <w:b/>
                <w:bCs/>
              </w:rPr>
              <w:t>Number of Respondents</w:t>
            </w:r>
          </w:p>
        </w:tc>
      </w:tr>
      <w:tr w:rsidR="00A73600" w:rsidRPr="00C70104" w:rsidTr="00FD7631">
        <w:trPr>
          <w:jc w:val="center"/>
        </w:trPr>
        <w:tc>
          <w:tcPr>
            <w:tcW w:w="900" w:type="dxa"/>
            <w:tcBorders>
              <w:top w:val="single" w:sz="7" w:space="0" w:color="000000"/>
              <w:left w:val="single" w:sz="7" w:space="0" w:color="000000"/>
              <w:bottom w:val="single" w:sz="6" w:space="0" w:color="FFFFFF"/>
              <w:right w:val="single" w:sz="6" w:space="0" w:color="FFFFFF"/>
            </w:tcBorders>
          </w:tcPr>
          <w:p w:rsidR="00CA4CD6" w:rsidRPr="00C70104" w:rsidRDefault="00CA4CD6" w:rsidP="00B17267">
            <w:pPr>
              <w:keepNext/>
              <w:keepLines/>
              <w:spacing w:line="120" w:lineRule="exact"/>
              <w:rPr>
                <w:b/>
                <w:bCs/>
              </w:rPr>
            </w:pP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Pr="00C70104" w:rsidRDefault="00CA4CD6" w:rsidP="00B17267">
            <w:pPr>
              <w:keepNext/>
              <w:keepLines/>
              <w:spacing w:line="120" w:lineRule="exact"/>
              <w:rPr>
                <w:sz w:val="18"/>
                <w:szCs w:val="18"/>
              </w:rPr>
            </w:pP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C70104">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C70104" w:rsidRDefault="00CA4CD6" w:rsidP="00B17267">
            <w:pPr>
              <w:keepNext/>
              <w:keepLines/>
              <w:spacing w:line="120" w:lineRule="exact"/>
              <w:rPr>
                <w:sz w:val="18"/>
                <w:szCs w:val="18"/>
              </w:rPr>
            </w:pP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C70104">
              <w:rPr>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Pr="00C70104" w:rsidRDefault="00CA4CD6" w:rsidP="00B17267">
            <w:pPr>
              <w:keepNext/>
              <w:keepLines/>
              <w:spacing w:line="120" w:lineRule="exact"/>
              <w:rPr>
                <w:sz w:val="18"/>
                <w:szCs w:val="18"/>
              </w:rPr>
            </w:pP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C70104" w:rsidTr="00FD7631">
        <w:trPr>
          <w:jc w:val="center"/>
        </w:trPr>
        <w:tc>
          <w:tcPr>
            <w:tcW w:w="900" w:type="dxa"/>
            <w:tcBorders>
              <w:top w:val="single" w:sz="7" w:space="0" w:color="000000"/>
              <w:left w:val="single" w:sz="7" w:space="0" w:color="000000"/>
              <w:bottom w:val="single" w:sz="8" w:space="0" w:color="000000"/>
              <w:right w:val="single" w:sz="6" w:space="0" w:color="FFFFFF"/>
            </w:tcBorders>
          </w:tcPr>
          <w:p w:rsidR="00CA4CD6" w:rsidRPr="00C70104" w:rsidRDefault="00CA4CD6" w:rsidP="00B17267">
            <w:pPr>
              <w:keepNext/>
              <w:keepLines/>
              <w:spacing w:line="120" w:lineRule="exact"/>
              <w:rPr>
                <w:sz w:val="18"/>
                <w:szCs w:val="18"/>
              </w:rPr>
            </w:pP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rPr>
                <w:sz w:val="20"/>
                <w:szCs w:val="20"/>
              </w:rPr>
            </w:pP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C70104">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C70104" w:rsidRDefault="00CA4CD6" w:rsidP="00B17267">
            <w:pPr>
              <w:keepNext/>
              <w:keepLines/>
              <w:spacing w:line="120" w:lineRule="exact"/>
              <w:rPr>
                <w:sz w:val="20"/>
                <w:szCs w:val="20"/>
              </w:rPr>
            </w:pP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C70104">
              <w:rPr>
                <w:sz w:val="20"/>
                <w:szCs w:val="20"/>
              </w:rPr>
              <w:t>(A)</w:t>
            </w: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C70104">
              <w:rPr>
                <w:sz w:val="20"/>
                <w:szCs w:val="20"/>
              </w:rPr>
              <w:t xml:space="preserve">Number of New Respondents </w:t>
            </w:r>
            <w:r w:rsidRPr="00C70104">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C70104" w:rsidRDefault="00CA4CD6" w:rsidP="00B17267">
            <w:pPr>
              <w:keepNext/>
              <w:keepLines/>
              <w:spacing w:line="120" w:lineRule="exact"/>
              <w:rPr>
                <w:sz w:val="20"/>
                <w:szCs w:val="20"/>
              </w:rPr>
            </w:pP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C70104">
              <w:rPr>
                <w:sz w:val="20"/>
                <w:szCs w:val="20"/>
              </w:rPr>
              <w:t>(B)</w:t>
            </w: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C70104">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C70104" w:rsidRDefault="00CA4CD6" w:rsidP="00B17267">
            <w:pPr>
              <w:keepNext/>
              <w:keepLines/>
              <w:spacing w:line="120" w:lineRule="exact"/>
              <w:rPr>
                <w:sz w:val="20"/>
                <w:szCs w:val="20"/>
              </w:rPr>
            </w:pP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C70104">
              <w:rPr>
                <w:sz w:val="20"/>
                <w:szCs w:val="20"/>
              </w:rPr>
              <w:t>(C)</w:t>
            </w: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C70104">
              <w:rPr>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C70104" w:rsidRDefault="00CA4CD6" w:rsidP="00B17267">
            <w:pPr>
              <w:keepNext/>
              <w:keepLines/>
              <w:spacing w:line="120" w:lineRule="exact"/>
              <w:rPr>
                <w:sz w:val="20"/>
                <w:szCs w:val="20"/>
              </w:rPr>
            </w:pP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C70104">
              <w:rPr>
                <w:sz w:val="20"/>
                <w:szCs w:val="20"/>
              </w:rPr>
              <w:t>(D)</w:t>
            </w: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C70104">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Pr="00C70104" w:rsidRDefault="00CA4CD6" w:rsidP="00B17267">
            <w:pPr>
              <w:keepNext/>
              <w:keepLines/>
              <w:spacing w:line="120" w:lineRule="exact"/>
              <w:rPr>
                <w:sz w:val="20"/>
                <w:szCs w:val="20"/>
              </w:rPr>
            </w:pP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C70104">
              <w:rPr>
                <w:sz w:val="20"/>
                <w:szCs w:val="20"/>
              </w:rPr>
              <w:t>(E)</w:t>
            </w: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rPr>
                <w:sz w:val="20"/>
                <w:szCs w:val="20"/>
              </w:rPr>
            </w:pPr>
            <w:r w:rsidRPr="00C70104">
              <w:rPr>
                <w:sz w:val="20"/>
                <w:szCs w:val="20"/>
              </w:rPr>
              <w:t>Number of Respondents</w:t>
            </w: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C70104">
              <w:rPr>
                <w:sz w:val="20"/>
                <w:szCs w:val="20"/>
              </w:rPr>
              <w:t>(E=A+B+C-D)</w:t>
            </w:r>
          </w:p>
        </w:tc>
      </w:tr>
      <w:tr w:rsidR="00CA4CD6" w:rsidRPr="00C70104" w:rsidTr="00FD7631">
        <w:trPr>
          <w:jc w:val="center"/>
        </w:trPr>
        <w:tc>
          <w:tcPr>
            <w:tcW w:w="900" w:type="dxa"/>
            <w:tcBorders>
              <w:top w:val="single" w:sz="8" w:space="0" w:color="000000"/>
              <w:left w:val="single" w:sz="8" w:space="0" w:color="000000"/>
              <w:bottom w:val="single" w:sz="6" w:space="0" w:color="000000"/>
              <w:right w:val="single" w:sz="6" w:space="0" w:color="000000"/>
            </w:tcBorders>
          </w:tcPr>
          <w:p w:rsidR="00CA4CD6" w:rsidRPr="00C70104" w:rsidRDefault="00CA4CD6" w:rsidP="00B17267">
            <w:pPr>
              <w:keepNext/>
              <w:keepLines/>
              <w:spacing w:line="120" w:lineRule="exact"/>
              <w:rPr>
                <w:sz w:val="20"/>
                <w:szCs w:val="20"/>
              </w:rPr>
            </w:pP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5</w:t>
            </w:r>
          </w:p>
        </w:tc>
        <w:tc>
          <w:tcPr>
            <w:tcW w:w="1282" w:type="dxa"/>
            <w:tcBorders>
              <w:top w:val="single" w:sz="8" w:space="0" w:color="000000"/>
              <w:left w:val="single" w:sz="6" w:space="0" w:color="000000"/>
              <w:bottom w:val="single" w:sz="6"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57</w:t>
            </w:r>
          </w:p>
        </w:tc>
        <w:tc>
          <w:tcPr>
            <w:tcW w:w="2070" w:type="dxa"/>
            <w:tcBorders>
              <w:top w:val="single" w:sz="8" w:space="0" w:color="000000"/>
              <w:left w:val="single" w:sz="6" w:space="0" w:color="000000"/>
              <w:bottom w:val="single" w:sz="6"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4</w:t>
            </w:r>
          </w:p>
        </w:tc>
        <w:tc>
          <w:tcPr>
            <w:tcW w:w="1710" w:type="dxa"/>
            <w:tcBorders>
              <w:top w:val="single" w:sz="8" w:space="0" w:color="000000"/>
              <w:left w:val="single" w:sz="6" w:space="0" w:color="000000"/>
              <w:bottom w:val="single" w:sz="6" w:space="0" w:color="000000"/>
              <w:right w:val="single" w:sz="8"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58</w:t>
            </w:r>
          </w:p>
        </w:tc>
      </w:tr>
      <w:tr w:rsidR="00CA4CD6" w:rsidRPr="00C70104" w:rsidTr="00FD7631">
        <w:trPr>
          <w:jc w:val="center"/>
        </w:trPr>
        <w:tc>
          <w:tcPr>
            <w:tcW w:w="900" w:type="dxa"/>
            <w:tcBorders>
              <w:top w:val="single" w:sz="6" w:space="0" w:color="000000"/>
              <w:left w:val="single" w:sz="8" w:space="0" w:color="000000"/>
              <w:bottom w:val="single" w:sz="6"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5</w:t>
            </w:r>
          </w:p>
        </w:tc>
        <w:tc>
          <w:tcPr>
            <w:tcW w:w="1282" w:type="dxa"/>
            <w:tcBorders>
              <w:top w:val="single" w:sz="6" w:space="0" w:color="000000"/>
              <w:left w:val="single" w:sz="6" w:space="0" w:color="000000"/>
              <w:bottom w:val="single" w:sz="6"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58</w:t>
            </w:r>
          </w:p>
        </w:tc>
        <w:tc>
          <w:tcPr>
            <w:tcW w:w="2070" w:type="dxa"/>
            <w:tcBorders>
              <w:top w:val="single" w:sz="6" w:space="0" w:color="000000"/>
              <w:left w:val="single" w:sz="6" w:space="0" w:color="000000"/>
              <w:bottom w:val="single" w:sz="6"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4</w:t>
            </w:r>
          </w:p>
        </w:tc>
        <w:tc>
          <w:tcPr>
            <w:tcW w:w="1710" w:type="dxa"/>
            <w:tcBorders>
              <w:top w:val="single" w:sz="6" w:space="0" w:color="000000"/>
              <w:left w:val="single" w:sz="6" w:space="0" w:color="000000"/>
              <w:bottom w:val="single" w:sz="6" w:space="0" w:color="000000"/>
              <w:right w:val="single" w:sz="8"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59</w:t>
            </w:r>
          </w:p>
        </w:tc>
      </w:tr>
      <w:tr w:rsidR="00CA4CD6" w:rsidRPr="00C70104" w:rsidTr="00FD7631">
        <w:trPr>
          <w:jc w:val="center"/>
        </w:trPr>
        <w:tc>
          <w:tcPr>
            <w:tcW w:w="900" w:type="dxa"/>
            <w:tcBorders>
              <w:top w:val="single" w:sz="6" w:space="0" w:color="000000"/>
              <w:left w:val="single" w:sz="8" w:space="0" w:color="000000"/>
              <w:bottom w:val="single" w:sz="6"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C70104">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C70104">
              <w:rPr>
                <w:sz w:val="18"/>
                <w:szCs w:val="18"/>
              </w:rPr>
              <w:t>5</w:t>
            </w:r>
          </w:p>
        </w:tc>
        <w:tc>
          <w:tcPr>
            <w:tcW w:w="1282" w:type="dxa"/>
            <w:tcBorders>
              <w:top w:val="single" w:sz="6" w:space="0" w:color="000000"/>
              <w:left w:val="single" w:sz="6" w:space="0" w:color="000000"/>
              <w:bottom w:val="single" w:sz="6"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C70104">
              <w:rPr>
                <w:sz w:val="18"/>
                <w:szCs w:val="18"/>
              </w:rPr>
              <w:t>59</w:t>
            </w:r>
          </w:p>
        </w:tc>
        <w:tc>
          <w:tcPr>
            <w:tcW w:w="2070" w:type="dxa"/>
            <w:tcBorders>
              <w:top w:val="single" w:sz="6" w:space="0" w:color="000000"/>
              <w:left w:val="single" w:sz="6" w:space="0" w:color="000000"/>
              <w:bottom w:val="single" w:sz="6"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C70104">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C70104">
              <w:rPr>
                <w:sz w:val="18"/>
                <w:szCs w:val="18"/>
              </w:rPr>
              <w:t>4</w:t>
            </w:r>
          </w:p>
        </w:tc>
        <w:tc>
          <w:tcPr>
            <w:tcW w:w="1710" w:type="dxa"/>
            <w:tcBorders>
              <w:top w:val="single" w:sz="6" w:space="0" w:color="000000"/>
              <w:left w:val="single" w:sz="6" w:space="0" w:color="000000"/>
              <w:bottom w:val="single" w:sz="6" w:space="0" w:color="000000"/>
              <w:right w:val="single" w:sz="8"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C70104">
              <w:rPr>
                <w:sz w:val="18"/>
                <w:szCs w:val="18"/>
              </w:rPr>
              <w:t>60</w:t>
            </w:r>
          </w:p>
        </w:tc>
      </w:tr>
      <w:tr w:rsidR="00CA4CD6" w:rsidRPr="00C70104" w:rsidTr="00FD7631">
        <w:trPr>
          <w:jc w:val="center"/>
        </w:trPr>
        <w:tc>
          <w:tcPr>
            <w:tcW w:w="900" w:type="dxa"/>
            <w:tcBorders>
              <w:top w:val="single" w:sz="6" w:space="0" w:color="000000"/>
              <w:left w:val="single" w:sz="8" w:space="0" w:color="000000"/>
              <w:bottom w:val="single" w:sz="8"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CA4CD6" w:rsidP="00B17267">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C70104">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C70104">
              <w:rPr>
                <w:sz w:val="18"/>
                <w:szCs w:val="18"/>
              </w:rPr>
              <w:t>5</w:t>
            </w:r>
          </w:p>
        </w:tc>
        <w:tc>
          <w:tcPr>
            <w:tcW w:w="1282" w:type="dxa"/>
            <w:tcBorders>
              <w:top w:val="single" w:sz="6" w:space="0" w:color="000000"/>
              <w:left w:val="single" w:sz="6" w:space="0" w:color="000000"/>
              <w:bottom w:val="single" w:sz="8"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C70104">
              <w:rPr>
                <w:sz w:val="18"/>
                <w:szCs w:val="18"/>
              </w:rPr>
              <w:t>58</w:t>
            </w:r>
          </w:p>
        </w:tc>
        <w:tc>
          <w:tcPr>
            <w:tcW w:w="2070" w:type="dxa"/>
            <w:tcBorders>
              <w:top w:val="single" w:sz="6" w:space="0" w:color="000000"/>
              <w:left w:val="single" w:sz="6" w:space="0" w:color="000000"/>
              <w:bottom w:val="single" w:sz="8"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C70104">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C70104">
              <w:rPr>
                <w:sz w:val="18"/>
                <w:szCs w:val="18"/>
              </w:rPr>
              <w:t>4</w:t>
            </w:r>
          </w:p>
        </w:tc>
        <w:tc>
          <w:tcPr>
            <w:tcW w:w="1710" w:type="dxa"/>
            <w:tcBorders>
              <w:top w:val="single" w:sz="6" w:space="0" w:color="000000"/>
              <w:left w:val="single" w:sz="6" w:space="0" w:color="000000"/>
              <w:bottom w:val="single" w:sz="8" w:space="0" w:color="000000"/>
              <w:right w:val="single" w:sz="8" w:space="0" w:color="000000"/>
            </w:tcBorders>
          </w:tcPr>
          <w:p w:rsidR="00CA4CD6" w:rsidRPr="00C70104" w:rsidRDefault="00CA4CD6" w:rsidP="00B17267">
            <w:pPr>
              <w:keepNext/>
              <w:keepLines/>
              <w:spacing w:line="120" w:lineRule="exact"/>
              <w:rPr>
                <w:sz w:val="18"/>
                <w:szCs w:val="18"/>
              </w:rPr>
            </w:pPr>
          </w:p>
          <w:p w:rsidR="00CA4CD6" w:rsidRPr="00C70104" w:rsidRDefault="001C28B5" w:rsidP="00B17267">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C70104">
              <w:rPr>
                <w:sz w:val="18"/>
                <w:szCs w:val="18"/>
              </w:rPr>
              <w:t>59</w:t>
            </w:r>
          </w:p>
        </w:tc>
      </w:tr>
    </w:tbl>
    <w:p w:rsidR="00CA4CD6" w:rsidRPr="00C70104" w:rsidRDefault="00CA4CD6" w:rsidP="00FD7631">
      <w:pPr>
        <w:pBdr>
          <w:top w:val="single" w:sz="6" w:space="0" w:color="FFFFFF"/>
          <w:left w:val="single" w:sz="6" w:space="0" w:color="FFFFFF"/>
          <w:bottom w:val="single" w:sz="6" w:space="0" w:color="FFFFFF"/>
          <w:right w:val="single" w:sz="6" w:space="0" w:color="FFFFFF"/>
        </w:pBdr>
        <w:rPr>
          <w:sz w:val="20"/>
          <w:szCs w:val="20"/>
        </w:rPr>
      </w:pPr>
      <w:r w:rsidRPr="00C70104">
        <w:rPr>
          <w:vertAlign w:val="superscript"/>
        </w:rPr>
        <w:t>1</w:t>
      </w:r>
      <w:r w:rsidRPr="00C70104">
        <w:t xml:space="preserve"> </w:t>
      </w:r>
      <w:r w:rsidRPr="00C70104">
        <w:rPr>
          <w:sz w:val="20"/>
          <w:szCs w:val="20"/>
        </w:rPr>
        <w:t>New respondents include sources with constructed, reconstructed</w:t>
      </w:r>
      <w:r w:rsidR="001C28B5" w:rsidRPr="00C70104">
        <w:rPr>
          <w:sz w:val="20"/>
          <w:szCs w:val="20"/>
        </w:rPr>
        <w:t>,</w:t>
      </w:r>
      <w:r w:rsidRPr="00C70104">
        <w:rPr>
          <w:sz w:val="20"/>
          <w:szCs w:val="20"/>
        </w:rPr>
        <w:t xml:space="preserve"> and modified affected facilities.</w:t>
      </w:r>
    </w:p>
    <w:p w:rsidR="00CA4CD6" w:rsidRPr="00C70104" w:rsidRDefault="00CA4CD6">
      <w:pPr>
        <w:pBdr>
          <w:top w:val="single" w:sz="6" w:space="0" w:color="FFFFFF"/>
          <w:left w:val="single" w:sz="6" w:space="0" w:color="FFFFFF"/>
          <w:bottom w:val="single" w:sz="6" w:space="0" w:color="FFFFFF"/>
          <w:right w:val="single" w:sz="6" w:space="0" w:color="FFFFFF"/>
        </w:pBdr>
        <w:ind w:firstLine="5760"/>
      </w:pPr>
    </w:p>
    <w:p w:rsidR="00CA4CD6" w:rsidRPr="00C70104" w:rsidRDefault="002B29A7">
      <w:pPr>
        <w:pBdr>
          <w:top w:val="single" w:sz="6" w:space="0" w:color="FFFFFF"/>
          <w:left w:val="single" w:sz="6" w:space="0" w:color="FFFFFF"/>
          <w:bottom w:val="single" w:sz="6" w:space="0" w:color="FFFFFF"/>
          <w:right w:val="single" w:sz="6" w:space="0" w:color="FFFFFF"/>
        </w:pBdr>
        <w:ind w:firstLine="720"/>
      </w:pPr>
      <w:r w:rsidRPr="00C70104">
        <w:t>C</w:t>
      </w:r>
      <w:r w:rsidR="00CA4CD6" w:rsidRPr="00C70104">
        <w:t>olumn D is subtracted</w:t>
      </w:r>
      <w:r w:rsidRPr="00C70104">
        <w:t xml:space="preserve"> to avoid double-counting respondents</w:t>
      </w:r>
      <w:r w:rsidR="00CA4CD6" w:rsidRPr="00C70104">
        <w:t>.</w:t>
      </w:r>
      <w:r w:rsidRPr="00C70104">
        <w:t xml:space="preserve">  </w:t>
      </w:r>
      <w:r w:rsidR="00CA4CD6" w:rsidRPr="00C70104">
        <w:t>As shown above, the average Number of Respondents over the three year period of this ICR is</w:t>
      </w:r>
      <w:r w:rsidR="00577FB7" w:rsidRPr="00C70104">
        <w:t xml:space="preserve"> 59</w:t>
      </w:r>
      <w:r w:rsidR="00507EC5" w:rsidRPr="00C70104">
        <w:t xml:space="preserve">. </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ind w:firstLine="720"/>
      </w:pPr>
      <w:r w:rsidRPr="00C70104">
        <w:t>The total number of annual responses per year is calculated using the following table:</w:t>
      </w:r>
    </w:p>
    <w:p w:rsidR="00CA4CD6" w:rsidRPr="00C70104" w:rsidRDefault="00CA4CD6" w:rsidP="007C391F">
      <w:pPr>
        <w:keepNext/>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C70104" w:rsidTr="00CF7AA6">
        <w:trPr>
          <w:tblHeader/>
        </w:trPr>
        <w:tc>
          <w:tcPr>
            <w:tcW w:w="9180" w:type="dxa"/>
            <w:gridSpan w:val="5"/>
          </w:tcPr>
          <w:p w:rsidR="00CA4CD6" w:rsidRPr="00C70104" w:rsidRDefault="00CA4CD6" w:rsidP="007C391F">
            <w:pPr>
              <w:keepNext/>
              <w:spacing w:line="120" w:lineRule="exact"/>
            </w:pPr>
          </w:p>
          <w:p w:rsidR="00CA4CD6" w:rsidRPr="00C70104" w:rsidRDefault="00CA4CD6" w:rsidP="007C391F">
            <w:pPr>
              <w:keepNext/>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C70104">
              <w:rPr>
                <w:b/>
                <w:bCs/>
              </w:rPr>
              <w:t>Total Annual Responses</w:t>
            </w:r>
          </w:p>
        </w:tc>
      </w:tr>
      <w:tr w:rsidR="00CA4CD6" w:rsidRPr="00C70104" w:rsidTr="00CF7AA6">
        <w:trPr>
          <w:tblHeader/>
        </w:trPr>
        <w:tc>
          <w:tcPr>
            <w:tcW w:w="2700" w:type="dxa"/>
          </w:tcPr>
          <w:p w:rsidR="00CA4CD6" w:rsidRPr="00C70104" w:rsidRDefault="00CA4CD6" w:rsidP="0035325B">
            <w:pPr>
              <w:spacing w:line="120" w:lineRule="exact"/>
              <w:jc w:val="center"/>
              <w:rPr>
                <w:b/>
                <w:bCs/>
                <w:sz w:val="18"/>
                <w:szCs w:val="18"/>
              </w:rPr>
            </w:pPr>
          </w:p>
          <w:p w:rsidR="00CA4CD6" w:rsidRPr="00C70104"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C70104">
              <w:rPr>
                <w:sz w:val="18"/>
                <w:szCs w:val="18"/>
              </w:rPr>
              <w:t>(A)</w:t>
            </w:r>
          </w:p>
          <w:p w:rsidR="00CA4CD6" w:rsidRPr="00C70104"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rsidR="00CA4CD6" w:rsidRPr="00C70104"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Information Collection Activity</w:t>
            </w:r>
          </w:p>
        </w:tc>
        <w:tc>
          <w:tcPr>
            <w:tcW w:w="1260" w:type="dxa"/>
          </w:tcPr>
          <w:p w:rsidR="00CA4CD6" w:rsidRPr="00C70104" w:rsidRDefault="00CA4CD6" w:rsidP="0035325B">
            <w:pPr>
              <w:spacing w:line="120" w:lineRule="exact"/>
              <w:jc w:val="center"/>
              <w:rPr>
                <w:sz w:val="18"/>
                <w:szCs w:val="18"/>
              </w:rPr>
            </w:pPr>
          </w:p>
          <w:p w:rsidR="00CA4CD6" w:rsidRPr="00C70104"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C70104">
              <w:rPr>
                <w:sz w:val="18"/>
                <w:szCs w:val="18"/>
              </w:rPr>
              <w:t>(B)</w:t>
            </w:r>
          </w:p>
          <w:p w:rsidR="00CA4CD6" w:rsidRPr="00C70104"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rsidR="00CA4CD6" w:rsidRPr="00C70104"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Number of Respondents</w:t>
            </w:r>
          </w:p>
        </w:tc>
        <w:tc>
          <w:tcPr>
            <w:tcW w:w="1260" w:type="dxa"/>
          </w:tcPr>
          <w:p w:rsidR="00CA4CD6" w:rsidRPr="00C70104" w:rsidRDefault="00CA4CD6" w:rsidP="0035325B">
            <w:pPr>
              <w:spacing w:line="120" w:lineRule="exact"/>
              <w:jc w:val="center"/>
              <w:rPr>
                <w:sz w:val="18"/>
                <w:szCs w:val="18"/>
              </w:rPr>
            </w:pPr>
          </w:p>
          <w:p w:rsidR="00CA4CD6" w:rsidRPr="00C70104"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C70104">
              <w:rPr>
                <w:sz w:val="18"/>
                <w:szCs w:val="18"/>
              </w:rPr>
              <w:t>(C)</w:t>
            </w:r>
          </w:p>
          <w:p w:rsidR="00CA4CD6" w:rsidRPr="00C70104"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rsidR="00CA4CD6" w:rsidRPr="00C70104"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Number of Responses</w:t>
            </w:r>
          </w:p>
        </w:tc>
        <w:tc>
          <w:tcPr>
            <w:tcW w:w="1890" w:type="dxa"/>
          </w:tcPr>
          <w:p w:rsidR="00CA4CD6" w:rsidRPr="00C70104" w:rsidRDefault="00CA4CD6" w:rsidP="0035325B">
            <w:pPr>
              <w:spacing w:line="120" w:lineRule="exact"/>
              <w:jc w:val="center"/>
              <w:rPr>
                <w:sz w:val="18"/>
                <w:szCs w:val="18"/>
              </w:rPr>
            </w:pPr>
          </w:p>
          <w:p w:rsidR="00CA4CD6" w:rsidRPr="00C70104"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C70104">
              <w:rPr>
                <w:sz w:val="18"/>
                <w:szCs w:val="18"/>
              </w:rPr>
              <w:t>(D)</w:t>
            </w:r>
          </w:p>
          <w:p w:rsidR="00CA4CD6" w:rsidRPr="00C70104"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Number of Existing Respondents That Keep Records But Do Not Submit Reports</w:t>
            </w:r>
          </w:p>
        </w:tc>
        <w:tc>
          <w:tcPr>
            <w:tcW w:w="2070" w:type="dxa"/>
          </w:tcPr>
          <w:p w:rsidR="00CA4CD6" w:rsidRPr="00C70104" w:rsidRDefault="00CA4CD6" w:rsidP="0035325B">
            <w:pPr>
              <w:spacing w:line="120" w:lineRule="exact"/>
              <w:jc w:val="center"/>
              <w:rPr>
                <w:sz w:val="18"/>
                <w:szCs w:val="18"/>
              </w:rPr>
            </w:pPr>
          </w:p>
          <w:p w:rsidR="00CA4CD6" w:rsidRPr="00C70104"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C70104">
              <w:rPr>
                <w:sz w:val="18"/>
                <w:szCs w:val="18"/>
              </w:rPr>
              <w:t>(E)</w:t>
            </w:r>
          </w:p>
          <w:p w:rsidR="00CA4CD6" w:rsidRPr="00C70104"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C70104">
              <w:rPr>
                <w:sz w:val="18"/>
                <w:szCs w:val="18"/>
              </w:rPr>
              <w:t>Total Annual  Responses</w:t>
            </w:r>
          </w:p>
          <w:p w:rsidR="00CA4CD6" w:rsidRPr="00C70104"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E=(BxC)+D</w:t>
            </w:r>
          </w:p>
        </w:tc>
      </w:tr>
      <w:tr w:rsidR="00634084" w:rsidRPr="00C70104" w:rsidTr="00D73E88">
        <w:tc>
          <w:tcPr>
            <w:tcW w:w="2700" w:type="dxa"/>
          </w:tcPr>
          <w:p w:rsidR="00634084" w:rsidRPr="00C70104" w:rsidRDefault="00634084" w:rsidP="00CF7AA6">
            <w:pPr>
              <w:spacing w:line="120" w:lineRule="exact"/>
              <w:rPr>
                <w:sz w:val="18"/>
                <w:szCs w:val="18"/>
              </w:rPr>
            </w:pPr>
          </w:p>
          <w:p w:rsidR="00634084" w:rsidRPr="00C70104" w:rsidRDefault="00634084" w:rsidP="00CF7AA6">
            <w:pPr>
              <w:pBdr>
                <w:top w:val="single" w:sz="6" w:space="0" w:color="FFFFFF"/>
                <w:left w:val="single" w:sz="6" w:space="0" w:color="FFFFFF"/>
                <w:bottom w:val="single" w:sz="6" w:space="0" w:color="FFFFFF"/>
                <w:right w:val="single" w:sz="6" w:space="0" w:color="FFFFFF"/>
              </w:pBdr>
              <w:spacing w:after="52"/>
              <w:rPr>
                <w:sz w:val="18"/>
                <w:szCs w:val="18"/>
              </w:rPr>
            </w:pPr>
            <w:r w:rsidRPr="00C70104">
              <w:rPr>
                <w:sz w:val="18"/>
                <w:szCs w:val="18"/>
              </w:rPr>
              <w:t>Notification of construction/ reconstruction</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5</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1</w:t>
            </w:r>
          </w:p>
        </w:tc>
        <w:tc>
          <w:tcPr>
            <w:tcW w:w="189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0</w:t>
            </w:r>
          </w:p>
        </w:tc>
        <w:tc>
          <w:tcPr>
            <w:tcW w:w="207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5</w:t>
            </w:r>
          </w:p>
        </w:tc>
      </w:tr>
      <w:tr w:rsidR="00634084" w:rsidRPr="00C70104" w:rsidTr="00D73E88">
        <w:tc>
          <w:tcPr>
            <w:tcW w:w="2700" w:type="dxa"/>
          </w:tcPr>
          <w:p w:rsidR="00634084" w:rsidRPr="00C70104" w:rsidRDefault="00634084" w:rsidP="00CF7AA6">
            <w:pPr>
              <w:spacing w:line="120" w:lineRule="exact"/>
              <w:rPr>
                <w:sz w:val="18"/>
                <w:szCs w:val="18"/>
              </w:rPr>
            </w:pPr>
          </w:p>
          <w:p w:rsidR="00634084" w:rsidRPr="00C70104" w:rsidRDefault="00634084" w:rsidP="00CF7AA6">
            <w:pPr>
              <w:pBdr>
                <w:top w:val="single" w:sz="6" w:space="0" w:color="FFFFFF"/>
                <w:left w:val="single" w:sz="6" w:space="0" w:color="FFFFFF"/>
                <w:bottom w:val="single" w:sz="6" w:space="0" w:color="FFFFFF"/>
                <w:right w:val="single" w:sz="6" w:space="0" w:color="FFFFFF"/>
              </w:pBdr>
              <w:spacing w:after="52"/>
              <w:rPr>
                <w:sz w:val="18"/>
                <w:szCs w:val="18"/>
              </w:rPr>
            </w:pPr>
            <w:r w:rsidRPr="00C70104">
              <w:rPr>
                <w:sz w:val="18"/>
                <w:szCs w:val="18"/>
              </w:rPr>
              <w:t>Notification of actual startup</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5</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1</w:t>
            </w:r>
          </w:p>
        </w:tc>
        <w:tc>
          <w:tcPr>
            <w:tcW w:w="189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0</w:t>
            </w:r>
          </w:p>
        </w:tc>
        <w:tc>
          <w:tcPr>
            <w:tcW w:w="207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5</w:t>
            </w:r>
          </w:p>
        </w:tc>
      </w:tr>
      <w:tr w:rsidR="00634084" w:rsidRPr="00C70104" w:rsidTr="00D73E88">
        <w:tc>
          <w:tcPr>
            <w:tcW w:w="2700" w:type="dxa"/>
          </w:tcPr>
          <w:p w:rsidR="00634084" w:rsidRPr="00C70104" w:rsidRDefault="00634084" w:rsidP="00CF7AA6">
            <w:pPr>
              <w:spacing w:line="120" w:lineRule="exact"/>
              <w:rPr>
                <w:sz w:val="18"/>
                <w:szCs w:val="18"/>
              </w:rPr>
            </w:pPr>
          </w:p>
          <w:p w:rsidR="00634084" w:rsidRPr="00C70104" w:rsidRDefault="00634084" w:rsidP="00CF7AA6">
            <w:pPr>
              <w:pBdr>
                <w:top w:val="single" w:sz="6" w:space="0" w:color="FFFFFF"/>
                <w:left w:val="single" w:sz="6" w:space="0" w:color="FFFFFF"/>
                <w:bottom w:val="single" w:sz="6" w:space="0" w:color="FFFFFF"/>
                <w:right w:val="single" w:sz="6" w:space="0" w:color="FFFFFF"/>
              </w:pBdr>
              <w:spacing w:after="52"/>
              <w:rPr>
                <w:sz w:val="18"/>
                <w:szCs w:val="18"/>
              </w:rPr>
            </w:pPr>
            <w:r w:rsidRPr="00C70104">
              <w:rPr>
                <w:sz w:val="18"/>
                <w:szCs w:val="18"/>
              </w:rPr>
              <w:t>Notification of initial</w:t>
            </w:r>
            <w:r w:rsidR="00CF7AA6" w:rsidRPr="00C70104">
              <w:rPr>
                <w:sz w:val="18"/>
                <w:szCs w:val="18"/>
              </w:rPr>
              <w:t xml:space="preserve"> </w:t>
            </w:r>
            <w:r w:rsidRPr="00C70104">
              <w:rPr>
                <w:sz w:val="18"/>
                <w:szCs w:val="18"/>
              </w:rPr>
              <w:t>performance test</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5</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1</w:t>
            </w:r>
          </w:p>
        </w:tc>
        <w:tc>
          <w:tcPr>
            <w:tcW w:w="189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0</w:t>
            </w:r>
          </w:p>
        </w:tc>
        <w:tc>
          <w:tcPr>
            <w:tcW w:w="207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5</w:t>
            </w:r>
          </w:p>
        </w:tc>
      </w:tr>
      <w:tr w:rsidR="00634084" w:rsidRPr="00C70104" w:rsidTr="00D73E88">
        <w:tc>
          <w:tcPr>
            <w:tcW w:w="2700" w:type="dxa"/>
          </w:tcPr>
          <w:p w:rsidR="00634084" w:rsidRPr="00C70104" w:rsidRDefault="00634084" w:rsidP="00CF7AA6">
            <w:pPr>
              <w:spacing w:line="120" w:lineRule="exact"/>
              <w:rPr>
                <w:sz w:val="18"/>
                <w:szCs w:val="18"/>
              </w:rPr>
            </w:pPr>
          </w:p>
          <w:p w:rsidR="00634084" w:rsidRPr="00C70104" w:rsidRDefault="00634084" w:rsidP="00CF7AA6">
            <w:pPr>
              <w:pBdr>
                <w:top w:val="single" w:sz="6" w:space="0" w:color="FFFFFF"/>
                <w:left w:val="single" w:sz="6" w:space="0" w:color="FFFFFF"/>
                <w:bottom w:val="single" w:sz="6" w:space="0" w:color="FFFFFF"/>
                <w:right w:val="single" w:sz="6" w:space="0" w:color="FFFFFF"/>
              </w:pBdr>
              <w:spacing w:after="52"/>
              <w:rPr>
                <w:sz w:val="18"/>
                <w:szCs w:val="18"/>
              </w:rPr>
            </w:pPr>
            <w:r w:rsidRPr="00C70104">
              <w:rPr>
                <w:sz w:val="18"/>
                <w:szCs w:val="18"/>
              </w:rPr>
              <w:t xml:space="preserve">Notification of VOC use </w:t>
            </w:r>
            <w:r w:rsidR="00CF7AA6" w:rsidRPr="00C70104">
              <w:rPr>
                <w:sz w:val="18"/>
                <w:szCs w:val="18"/>
              </w:rPr>
              <w:t xml:space="preserve">at end of initial </w:t>
            </w:r>
            <w:r w:rsidRPr="00C70104">
              <w:rPr>
                <w:sz w:val="18"/>
                <w:szCs w:val="18"/>
              </w:rPr>
              <w:t>year</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1</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1</w:t>
            </w:r>
          </w:p>
        </w:tc>
        <w:tc>
          <w:tcPr>
            <w:tcW w:w="189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0</w:t>
            </w:r>
          </w:p>
        </w:tc>
        <w:tc>
          <w:tcPr>
            <w:tcW w:w="207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1</w:t>
            </w:r>
          </w:p>
        </w:tc>
      </w:tr>
      <w:tr w:rsidR="00634084" w:rsidRPr="00C70104" w:rsidTr="00D73E88">
        <w:tc>
          <w:tcPr>
            <w:tcW w:w="2700" w:type="dxa"/>
          </w:tcPr>
          <w:p w:rsidR="00634084" w:rsidRPr="00C70104" w:rsidRDefault="00634084" w:rsidP="00CF7AA6">
            <w:pPr>
              <w:spacing w:line="120" w:lineRule="exact"/>
              <w:rPr>
                <w:sz w:val="18"/>
                <w:szCs w:val="18"/>
              </w:rPr>
            </w:pPr>
          </w:p>
          <w:p w:rsidR="00634084" w:rsidRPr="00C70104" w:rsidRDefault="00634084" w:rsidP="00CF7AA6">
            <w:pPr>
              <w:pBdr>
                <w:top w:val="single" w:sz="6" w:space="0" w:color="FFFFFF"/>
                <w:left w:val="single" w:sz="6" w:space="0" w:color="FFFFFF"/>
                <w:bottom w:val="single" w:sz="6" w:space="0" w:color="FFFFFF"/>
                <w:right w:val="single" w:sz="6" w:space="0" w:color="FFFFFF"/>
              </w:pBdr>
              <w:spacing w:after="52"/>
              <w:rPr>
                <w:sz w:val="18"/>
                <w:szCs w:val="18"/>
              </w:rPr>
            </w:pPr>
            <w:r w:rsidRPr="00C70104">
              <w:rPr>
                <w:sz w:val="18"/>
                <w:szCs w:val="18"/>
              </w:rPr>
              <w:t>Report of performance test</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5</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1</w:t>
            </w:r>
          </w:p>
        </w:tc>
        <w:tc>
          <w:tcPr>
            <w:tcW w:w="189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0</w:t>
            </w:r>
          </w:p>
        </w:tc>
        <w:tc>
          <w:tcPr>
            <w:tcW w:w="207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5</w:t>
            </w:r>
          </w:p>
        </w:tc>
      </w:tr>
      <w:tr w:rsidR="00634084" w:rsidRPr="00C70104" w:rsidTr="00D73E88">
        <w:tc>
          <w:tcPr>
            <w:tcW w:w="2700" w:type="dxa"/>
          </w:tcPr>
          <w:p w:rsidR="00634084" w:rsidRPr="00C70104" w:rsidRDefault="00634084" w:rsidP="00CF7AA6">
            <w:pPr>
              <w:spacing w:line="120" w:lineRule="exact"/>
              <w:rPr>
                <w:sz w:val="18"/>
                <w:szCs w:val="18"/>
              </w:rPr>
            </w:pPr>
          </w:p>
          <w:p w:rsidR="00634084" w:rsidRPr="00C70104" w:rsidRDefault="00634084" w:rsidP="00CF7AA6">
            <w:pPr>
              <w:pBdr>
                <w:top w:val="single" w:sz="6" w:space="0" w:color="FFFFFF"/>
                <w:left w:val="single" w:sz="6" w:space="0" w:color="FFFFFF"/>
                <w:bottom w:val="single" w:sz="6" w:space="0" w:color="FFFFFF"/>
                <w:right w:val="single" w:sz="6" w:space="0" w:color="FFFFFF"/>
              </w:pBdr>
              <w:spacing w:after="52"/>
              <w:rPr>
                <w:sz w:val="18"/>
                <w:szCs w:val="18"/>
              </w:rPr>
            </w:pPr>
            <w:r w:rsidRPr="00C70104">
              <w:rPr>
                <w:sz w:val="18"/>
                <w:szCs w:val="18"/>
              </w:rPr>
              <w:t>Report of repeat performance test</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1</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1</w:t>
            </w:r>
          </w:p>
        </w:tc>
        <w:tc>
          <w:tcPr>
            <w:tcW w:w="189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0</w:t>
            </w:r>
          </w:p>
        </w:tc>
        <w:tc>
          <w:tcPr>
            <w:tcW w:w="207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1</w:t>
            </w:r>
          </w:p>
        </w:tc>
      </w:tr>
      <w:tr w:rsidR="00634084" w:rsidRPr="00C70104" w:rsidTr="00D73E88">
        <w:tc>
          <w:tcPr>
            <w:tcW w:w="2700" w:type="dxa"/>
          </w:tcPr>
          <w:p w:rsidR="00634084" w:rsidRPr="00C70104" w:rsidRDefault="00634084" w:rsidP="00CF7AA6">
            <w:pPr>
              <w:spacing w:line="120" w:lineRule="exact"/>
              <w:rPr>
                <w:sz w:val="18"/>
                <w:szCs w:val="18"/>
              </w:rPr>
            </w:pPr>
          </w:p>
          <w:p w:rsidR="00634084" w:rsidRPr="00C70104" w:rsidRDefault="00634084" w:rsidP="00CF7AA6">
            <w:pPr>
              <w:pBdr>
                <w:top w:val="single" w:sz="6" w:space="0" w:color="FFFFFF"/>
                <w:left w:val="single" w:sz="6" w:space="0" w:color="FFFFFF"/>
                <w:bottom w:val="single" w:sz="6" w:space="0" w:color="FFFFFF"/>
                <w:right w:val="single" w:sz="6" w:space="0" w:color="FFFFFF"/>
              </w:pBdr>
              <w:spacing w:after="52"/>
              <w:rPr>
                <w:sz w:val="18"/>
                <w:szCs w:val="18"/>
              </w:rPr>
            </w:pPr>
            <w:r w:rsidRPr="00C70104">
              <w:rPr>
                <w:sz w:val="18"/>
                <w:szCs w:val="18"/>
              </w:rPr>
              <w:t>Report of monitoring exceedances and</w:t>
            </w:r>
            <w:r w:rsidR="00CF7AA6" w:rsidRPr="00C70104">
              <w:rPr>
                <w:sz w:val="18"/>
                <w:szCs w:val="18"/>
              </w:rPr>
              <w:t xml:space="preserve"> non-compliance</w:t>
            </w:r>
            <w:r w:rsidRPr="00C70104">
              <w:rPr>
                <w:sz w:val="18"/>
                <w:szCs w:val="18"/>
              </w:rPr>
              <w:t xml:space="preserve"> periods</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1</w:t>
            </w:r>
            <w:r w:rsidR="00CF7AA6" w:rsidRPr="00C70104">
              <w:rPr>
                <w:sz w:val="18"/>
                <w:szCs w:val="18"/>
              </w:rPr>
              <w:t>2</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4</w:t>
            </w:r>
          </w:p>
        </w:tc>
        <w:tc>
          <w:tcPr>
            <w:tcW w:w="189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0</w:t>
            </w:r>
          </w:p>
        </w:tc>
        <w:tc>
          <w:tcPr>
            <w:tcW w:w="2070" w:type="dxa"/>
          </w:tcPr>
          <w:p w:rsidR="00634084" w:rsidRPr="00C70104" w:rsidRDefault="00634084" w:rsidP="00D73E88">
            <w:pPr>
              <w:spacing w:line="120" w:lineRule="exact"/>
              <w:rPr>
                <w:sz w:val="18"/>
                <w:szCs w:val="18"/>
              </w:rPr>
            </w:pPr>
          </w:p>
          <w:p w:rsidR="00634084" w:rsidRPr="00C70104" w:rsidRDefault="00634084" w:rsidP="00CF7AA6">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4</w:t>
            </w:r>
            <w:r w:rsidR="00CF7AA6" w:rsidRPr="00C70104">
              <w:rPr>
                <w:sz w:val="18"/>
                <w:szCs w:val="18"/>
              </w:rPr>
              <w:t>8</w:t>
            </w:r>
          </w:p>
        </w:tc>
      </w:tr>
      <w:tr w:rsidR="00634084" w:rsidRPr="00C70104" w:rsidTr="00D73E88">
        <w:tc>
          <w:tcPr>
            <w:tcW w:w="2700" w:type="dxa"/>
          </w:tcPr>
          <w:p w:rsidR="00634084" w:rsidRPr="00C70104" w:rsidRDefault="00634084" w:rsidP="00CF7AA6">
            <w:pPr>
              <w:spacing w:line="120" w:lineRule="exact"/>
              <w:rPr>
                <w:sz w:val="18"/>
                <w:szCs w:val="18"/>
              </w:rPr>
            </w:pPr>
          </w:p>
          <w:p w:rsidR="00634084" w:rsidRPr="00C70104" w:rsidRDefault="00634084" w:rsidP="00CF7AA6">
            <w:pPr>
              <w:pBdr>
                <w:top w:val="single" w:sz="6" w:space="0" w:color="FFFFFF"/>
                <w:left w:val="single" w:sz="6" w:space="0" w:color="FFFFFF"/>
                <w:bottom w:val="single" w:sz="6" w:space="0" w:color="FFFFFF"/>
                <w:right w:val="single" w:sz="6" w:space="0" w:color="FFFFFF"/>
              </w:pBdr>
              <w:spacing w:after="52"/>
              <w:rPr>
                <w:sz w:val="18"/>
                <w:szCs w:val="18"/>
              </w:rPr>
            </w:pPr>
            <w:r w:rsidRPr="00C70104">
              <w:rPr>
                <w:sz w:val="18"/>
                <w:szCs w:val="18"/>
              </w:rPr>
              <w:t>Report of no excess emissions</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4</w:t>
            </w:r>
            <w:r w:rsidR="00CF7AA6" w:rsidRPr="00C70104">
              <w:rPr>
                <w:sz w:val="18"/>
                <w:szCs w:val="18"/>
              </w:rPr>
              <w:t>7</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2</w:t>
            </w:r>
          </w:p>
        </w:tc>
        <w:tc>
          <w:tcPr>
            <w:tcW w:w="189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0</w:t>
            </w:r>
          </w:p>
        </w:tc>
        <w:tc>
          <w:tcPr>
            <w:tcW w:w="2070" w:type="dxa"/>
          </w:tcPr>
          <w:p w:rsidR="00634084" w:rsidRPr="00C70104" w:rsidRDefault="00634084" w:rsidP="00D73E88">
            <w:pPr>
              <w:spacing w:line="120" w:lineRule="exact"/>
              <w:rPr>
                <w:sz w:val="18"/>
                <w:szCs w:val="18"/>
              </w:rPr>
            </w:pPr>
          </w:p>
          <w:p w:rsidR="00634084" w:rsidRPr="00C70104" w:rsidRDefault="00CF7AA6"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94</w:t>
            </w:r>
          </w:p>
        </w:tc>
      </w:tr>
      <w:tr w:rsidR="00634084" w:rsidRPr="00C70104" w:rsidTr="00D73E88">
        <w:tc>
          <w:tcPr>
            <w:tcW w:w="2700" w:type="dxa"/>
          </w:tcPr>
          <w:p w:rsidR="00634084" w:rsidRPr="00C70104" w:rsidRDefault="00634084" w:rsidP="00CF7AA6">
            <w:pPr>
              <w:spacing w:line="120" w:lineRule="exact"/>
              <w:rPr>
                <w:sz w:val="18"/>
                <w:szCs w:val="18"/>
              </w:rPr>
            </w:pPr>
          </w:p>
          <w:p w:rsidR="00634084" w:rsidRPr="00C70104" w:rsidRDefault="00634084" w:rsidP="00CF7AA6">
            <w:pPr>
              <w:pBdr>
                <w:top w:val="single" w:sz="6" w:space="0" w:color="FFFFFF"/>
                <w:left w:val="single" w:sz="6" w:space="0" w:color="FFFFFF"/>
                <w:bottom w:val="single" w:sz="6" w:space="0" w:color="FFFFFF"/>
                <w:right w:val="single" w:sz="6" w:space="0" w:color="FFFFFF"/>
              </w:pBdr>
              <w:spacing w:after="52"/>
              <w:rPr>
                <w:sz w:val="18"/>
                <w:szCs w:val="18"/>
              </w:rPr>
            </w:pPr>
            <w:r w:rsidRPr="00C70104">
              <w:rPr>
                <w:sz w:val="18"/>
                <w:szCs w:val="18"/>
              </w:rPr>
              <w:t xml:space="preserve">Report when 1st  projected VOC use exceeds </w:t>
            </w:r>
            <w:r w:rsidR="00CF7AA6" w:rsidRPr="00C70104">
              <w:rPr>
                <w:sz w:val="18"/>
                <w:szCs w:val="18"/>
              </w:rPr>
              <w:t>cutoff</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2</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1</w:t>
            </w:r>
          </w:p>
        </w:tc>
        <w:tc>
          <w:tcPr>
            <w:tcW w:w="189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0</w:t>
            </w:r>
          </w:p>
        </w:tc>
        <w:tc>
          <w:tcPr>
            <w:tcW w:w="207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2</w:t>
            </w:r>
          </w:p>
        </w:tc>
      </w:tr>
      <w:tr w:rsidR="00CF7AA6" w:rsidRPr="00C70104" w:rsidTr="00CF7AA6">
        <w:tc>
          <w:tcPr>
            <w:tcW w:w="2700" w:type="dxa"/>
          </w:tcPr>
          <w:p w:rsidR="00CF7AA6" w:rsidRPr="00C70104" w:rsidRDefault="00CF7AA6" w:rsidP="00CF7AA6">
            <w:pPr>
              <w:spacing w:line="120" w:lineRule="exact"/>
              <w:rPr>
                <w:sz w:val="18"/>
                <w:szCs w:val="18"/>
              </w:rPr>
            </w:pPr>
          </w:p>
          <w:p w:rsidR="00CF7AA6" w:rsidRPr="00C70104" w:rsidRDefault="00CF7AA6" w:rsidP="00CF7AA6">
            <w:pPr>
              <w:pBdr>
                <w:top w:val="single" w:sz="6" w:space="0" w:color="FFFFFF"/>
                <w:left w:val="single" w:sz="6" w:space="0" w:color="FFFFFF"/>
                <w:bottom w:val="single" w:sz="6" w:space="0" w:color="FFFFFF"/>
                <w:right w:val="single" w:sz="6" w:space="0" w:color="FFFFFF"/>
              </w:pBdr>
              <w:spacing w:after="52"/>
              <w:rPr>
                <w:sz w:val="18"/>
                <w:szCs w:val="18"/>
              </w:rPr>
            </w:pPr>
            <w:r w:rsidRPr="00C70104">
              <w:rPr>
                <w:sz w:val="18"/>
                <w:szCs w:val="18"/>
              </w:rPr>
              <w:t>Report when 1st actual 12-month VOC use exceeds cutoff</w:t>
            </w:r>
          </w:p>
        </w:tc>
        <w:tc>
          <w:tcPr>
            <w:tcW w:w="1260" w:type="dxa"/>
          </w:tcPr>
          <w:p w:rsidR="00CF7AA6" w:rsidRPr="00C70104" w:rsidRDefault="00CF7AA6" w:rsidP="00CF7AA6">
            <w:pPr>
              <w:spacing w:line="120" w:lineRule="exact"/>
              <w:rPr>
                <w:sz w:val="18"/>
                <w:szCs w:val="18"/>
              </w:rPr>
            </w:pPr>
          </w:p>
          <w:p w:rsidR="00CF7AA6" w:rsidRPr="00C70104" w:rsidRDefault="00CF7AA6" w:rsidP="00CF7AA6">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0</w:t>
            </w:r>
          </w:p>
        </w:tc>
        <w:tc>
          <w:tcPr>
            <w:tcW w:w="1260" w:type="dxa"/>
          </w:tcPr>
          <w:p w:rsidR="00CF7AA6" w:rsidRPr="00C70104" w:rsidRDefault="00CF7AA6" w:rsidP="00CF7AA6">
            <w:pPr>
              <w:spacing w:line="120" w:lineRule="exact"/>
              <w:rPr>
                <w:sz w:val="18"/>
                <w:szCs w:val="18"/>
              </w:rPr>
            </w:pPr>
          </w:p>
          <w:p w:rsidR="00CF7AA6" w:rsidRPr="00C70104" w:rsidRDefault="00CF7AA6" w:rsidP="00CF7AA6">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1</w:t>
            </w:r>
          </w:p>
        </w:tc>
        <w:tc>
          <w:tcPr>
            <w:tcW w:w="1890" w:type="dxa"/>
          </w:tcPr>
          <w:p w:rsidR="00CF7AA6" w:rsidRPr="00C70104" w:rsidRDefault="00CF7AA6" w:rsidP="00CF7AA6">
            <w:pPr>
              <w:spacing w:line="120" w:lineRule="exact"/>
              <w:rPr>
                <w:sz w:val="18"/>
                <w:szCs w:val="18"/>
              </w:rPr>
            </w:pPr>
          </w:p>
          <w:p w:rsidR="00CF7AA6" w:rsidRPr="00C70104" w:rsidRDefault="00CF7AA6" w:rsidP="00CF7AA6">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0</w:t>
            </w:r>
          </w:p>
        </w:tc>
        <w:tc>
          <w:tcPr>
            <w:tcW w:w="2070" w:type="dxa"/>
          </w:tcPr>
          <w:p w:rsidR="00CF7AA6" w:rsidRPr="00C70104" w:rsidRDefault="00CF7AA6" w:rsidP="00CF7AA6">
            <w:pPr>
              <w:spacing w:line="120" w:lineRule="exact"/>
              <w:rPr>
                <w:sz w:val="18"/>
                <w:szCs w:val="18"/>
              </w:rPr>
            </w:pPr>
          </w:p>
          <w:p w:rsidR="00CF7AA6" w:rsidRPr="00C70104" w:rsidRDefault="00CF7AA6" w:rsidP="00CF7AA6">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0</w:t>
            </w:r>
          </w:p>
        </w:tc>
      </w:tr>
      <w:tr w:rsidR="00634084" w:rsidRPr="00C70104" w:rsidTr="00D73E88">
        <w:tc>
          <w:tcPr>
            <w:tcW w:w="2700" w:type="dxa"/>
          </w:tcPr>
          <w:p w:rsidR="00634084" w:rsidRPr="00C70104" w:rsidRDefault="00634084" w:rsidP="00CF7AA6">
            <w:pPr>
              <w:spacing w:line="120" w:lineRule="exact"/>
              <w:rPr>
                <w:sz w:val="18"/>
                <w:szCs w:val="18"/>
              </w:rPr>
            </w:pPr>
          </w:p>
          <w:p w:rsidR="00634084" w:rsidRPr="00C70104" w:rsidRDefault="00634084" w:rsidP="00CF7AA6">
            <w:pPr>
              <w:pBdr>
                <w:top w:val="single" w:sz="6" w:space="0" w:color="FFFFFF"/>
                <w:left w:val="single" w:sz="6" w:space="0" w:color="FFFFFF"/>
                <w:bottom w:val="single" w:sz="6" w:space="0" w:color="FFFFFF"/>
                <w:right w:val="single" w:sz="6" w:space="0" w:color="FFFFFF"/>
              </w:pBdr>
              <w:spacing w:after="52"/>
              <w:rPr>
                <w:sz w:val="18"/>
                <w:szCs w:val="18"/>
              </w:rPr>
            </w:pPr>
            <w:r w:rsidRPr="00C70104">
              <w:rPr>
                <w:sz w:val="18"/>
                <w:szCs w:val="18"/>
              </w:rPr>
              <w:t>Notification of changes</w:t>
            </w:r>
          </w:p>
        </w:tc>
        <w:tc>
          <w:tcPr>
            <w:tcW w:w="1260" w:type="dxa"/>
          </w:tcPr>
          <w:p w:rsidR="00634084" w:rsidRPr="00C70104" w:rsidRDefault="00634084" w:rsidP="00D73E88">
            <w:pPr>
              <w:spacing w:line="120" w:lineRule="exact"/>
              <w:rPr>
                <w:sz w:val="18"/>
                <w:szCs w:val="18"/>
              </w:rPr>
            </w:pPr>
          </w:p>
          <w:p w:rsidR="00634084" w:rsidRPr="00C70104" w:rsidRDefault="00CF7AA6" w:rsidP="00CF7AA6">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5</w:t>
            </w:r>
          </w:p>
        </w:tc>
        <w:tc>
          <w:tcPr>
            <w:tcW w:w="126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1</w:t>
            </w:r>
          </w:p>
        </w:tc>
        <w:tc>
          <w:tcPr>
            <w:tcW w:w="1890" w:type="dxa"/>
          </w:tcPr>
          <w:p w:rsidR="00634084" w:rsidRPr="00C70104" w:rsidRDefault="00634084" w:rsidP="00D73E88">
            <w:pPr>
              <w:spacing w:line="120" w:lineRule="exact"/>
              <w:rPr>
                <w:sz w:val="18"/>
                <w:szCs w:val="18"/>
              </w:rPr>
            </w:pPr>
          </w:p>
          <w:p w:rsidR="00634084" w:rsidRPr="00C70104" w:rsidRDefault="00634084" w:rsidP="00D73E88">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0</w:t>
            </w:r>
          </w:p>
        </w:tc>
        <w:tc>
          <w:tcPr>
            <w:tcW w:w="2070" w:type="dxa"/>
          </w:tcPr>
          <w:p w:rsidR="00634084" w:rsidRPr="00C70104" w:rsidRDefault="00634084" w:rsidP="00D73E88">
            <w:pPr>
              <w:spacing w:line="120" w:lineRule="exact"/>
              <w:rPr>
                <w:sz w:val="18"/>
                <w:szCs w:val="18"/>
              </w:rPr>
            </w:pPr>
          </w:p>
          <w:p w:rsidR="00634084" w:rsidRPr="00C70104" w:rsidRDefault="00CF7AA6" w:rsidP="00CF7AA6">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5</w:t>
            </w:r>
          </w:p>
        </w:tc>
      </w:tr>
      <w:tr w:rsidR="00634084" w:rsidRPr="00C70104">
        <w:tc>
          <w:tcPr>
            <w:tcW w:w="2700" w:type="dxa"/>
          </w:tcPr>
          <w:p w:rsidR="00634084" w:rsidRPr="00C70104" w:rsidRDefault="00634084">
            <w:pPr>
              <w:spacing w:line="120" w:lineRule="exact"/>
              <w:rPr>
                <w:sz w:val="18"/>
                <w:szCs w:val="18"/>
              </w:rPr>
            </w:pPr>
          </w:p>
          <w:p w:rsidR="00634084" w:rsidRPr="00C70104" w:rsidRDefault="00634084">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634084" w:rsidRPr="00C70104" w:rsidRDefault="00634084">
            <w:pPr>
              <w:spacing w:line="120" w:lineRule="exact"/>
              <w:rPr>
                <w:sz w:val="18"/>
                <w:szCs w:val="18"/>
              </w:rPr>
            </w:pPr>
          </w:p>
          <w:p w:rsidR="00634084" w:rsidRPr="00C70104" w:rsidRDefault="00634084">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634084" w:rsidRPr="00C70104" w:rsidRDefault="00634084">
            <w:pPr>
              <w:spacing w:line="120" w:lineRule="exact"/>
              <w:rPr>
                <w:sz w:val="18"/>
                <w:szCs w:val="18"/>
              </w:rPr>
            </w:pPr>
          </w:p>
          <w:p w:rsidR="00634084" w:rsidRPr="00C70104" w:rsidRDefault="00634084">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634084" w:rsidRPr="00C70104" w:rsidRDefault="00634084">
            <w:pPr>
              <w:spacing w:line="120" w:lineRule="exact"/>
              <w:rPr>
                <w:sz w:val="18"/>
                <w:szCs w:val="18"/>
              </w:rPr>
            </w:pPr>
          </w:p>
          <w:p w:rsidR="00634084" w:rsidRPr="00C70104" w:rsidRDefault="00634084">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Total</w:t>
            </w:r>
          </w:p>
        </w:tc>
        <w:tc>
          <w:tcPr>
            <w:tcW w:w="2070" w:type="dxa"/>
          </w:tcPr>
          <w:p w:rsidR="00634084" w:rsidRPr="00C70104" w:rsidRDefault="00634084">
            <w:pPr>
              <w:spacing w:line="120" w:lineRule="exact"/>
              <w:rPr>
                <w:sz w:val="18"/>
                <w:szCs w:val="18"/>
              </w:rPr>
            </w:pPr>
          </w:p>
          <w:p w:rsidR="00634084" w:rsidRPr="00C70104" w:rsidRDefault="00CF7AA6">
            <w:pPr>
              <w:pBdr>
                <w:top w:val="single" w:sz="6" w:space="0" w:color="FFFFFF"/>
                <w:left w:val="single" w:sz="6" w:space="0" w:color="FFFFFF"/>
                <w:bottom w:val="single" w:sz="6" w:space="0" w:color="FFFFFF"/>
                <w:right w:val="single" w:sz="6" w:space="0" w:color="FFFFFF"/>
              </w:pBdr>
              <w:spacing w:after="52"/>
              <w:jc w:val="center"/>
              <w:rPr>
                <w:sz w:val="18"/>
                <w:szCs w:val="18"/>
              </w:rPr>
            </w:pPr>
            <w:r w:rsidRPr="00C70104">
              <w:rPr>
                <w:sz w:val="18"/>
                <w:szCs w:val="18"/>
              </w:rPr>
              <w:t>171</w:t>
            </w:r>
          </w:p>
        </w:tc>
      </w:tr>
    </w:tbl>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The number of Total Annual Responses is</w:t>
      </w:r>
      <w:r w:rsidR="00CF7AA6" w:rsidRPr="00C70104">
        <w:t xml:space="preserve"> 171</w:t>
      </w:r>
      <w:r w:rsidRPr="00C70104">
        <w:t>.</w:t>
      </w:r>
      <w:r w:rsidR="00634084" w:rsidRPr="00C70104">
        <w:t xml:space="preserve">  </w:t>
      </w:r>
      <w:r w:rsidRPr="00C70104">
        <w:t xml:space="preserve">Note that </w:t>
      </w:r>
      <w:r w:rsidR="00634084" w:rsidRPr="00C70104">
        <w:t xml:space="preserve">four </w:t>
      </w:r>
      <w:r w:rsidRPr="00C70104">
        <w:t>respondents have been double counted in the above table because they have both existing affected faciliti</w:t>
      </w:r>
      <w:r w:rsidR="00634084" w:rsidRPr="00C70104">
        <w:t>es and new affected facilities.</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The total annual labor costs are</w:t>
      </w:r>
      <w:r w:rsidR="007C391F" w:rsidRPr="00C70104">
        <w:t xml:space="preserve"> $1,337,996</w:t>
      </w:r>
      <w:r w:rsidRPr="00C70104">
        <w:t>.</w:t>
      </w:r>
      <w:r w:rsidR="00507EC5" w:rsidRPr="00C70104">
        <w:t xml:space="preserve">  </w:t>
      </w:r>
      <w:r w:rsidRPr="00C70104">
        <w:t xml:space="preserve">Details regarding these estimates may be found </w:t>
      </w:r>
      <w:r w:rsidR="007A458D" w:rsidRPr="00C70104">
        <w:t xml:space="preserve">below </w:t>
      </w:r>
      <w:r w:rsidR="0035325B" w:rsidRPr="00C70104">
        <w:t>in Table 1</w:t>
      </w:r>
      <w:r w:rsidR="00D73E88" w:rsidRPr="00C70104">
        <w:t>: Annual Respondent Burden and Cost – NSPS for Polymeric Coating of Supporting Substrates Facilities (40 CFR Part 60, Subpart VVV) (Renewal)</w:t>
      </w:r>
      <w:r w:rsidRPr="00C70104">
        <w:t>.</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rPr>
          <w:b/>
          <w:bCs/>
        </w:rPr>
        <w:t>6(e)  Bottom Line Burden Hours and Cost Tables</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 xml:space="preserve">The detailed bottom line burden hours and cost calculations for the respondents and the Agency are shown in Tables 1 and 2, respectively, and summarized below.  </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C70104">
        <w:rPr>
          <w:b/>
          <w:bCs/>
        </w:rPr>
        <w:t>(i) Respondent Tally</w:t>
      </w:r>
    </w:p>
    <w:p w:rsidR="00CA4CD6" w:rsidRPr="00C70104" w:rsidRDefault="00CA4CD6">
      <w:pPr>
        <w:pBdr>
          <w:top w:val="single" w:sz="6" w:space="0" w:color="FFFFFF"/>
          <w:left w:val="single" w:sz="6" w:space="0" w:color="FFFFFF"/>
          <w:bottom w:val="single" w:sz="6" w:space="0" w:color="FFFFFF"/>
          <w:right w:val="single" w:sz="6" w:space="0" w:color="FFFFFF"/>
        </w:pBdr>
      </w:pPr>
    </w:p>
    <w:p w:rsidR="00144F35" w:rsidRPr="00C70104" w:rsidRDefault="00CA4CD6" w:rsidP="0021722B">
      <w:pPr>
        <w:pBdr>
          <w:top w:val="single" w:sz="6" w:space="0" w:color="FFFFFF"/>
          <w:left w:val="single" w:sz="6" w:space="0" w:color="FFFFFF"/>
          <w:bottom w:val="single" w:sz="6" w:space="0" w:color="FFFFFF"/>
          <w:right w:val="single" w:sz="6" w:space="0" w:color="FFFFFF"/>
        </w:pBdr>
        <w:ind w:firstLine="720"/>
      </w:pPr>
      <w:r w:rsidRPr="00C70104">
        <w:t xml:space="preserve">The total annual labor </w:t>
      </w:r>
      <w:r w:rsidR="002C416A" w:rsidRPr="00C70104">
        <w:t>hours are</w:t>
      </w:r>
      <w:r w:rsidR="007C391F" w:rsidRPr="00C70104">
        <w:t xml:space="preserve"> 13,667</w:t>
      </w:r>
      <w:r w:rsidRPr="00C70104">
        <w:t>.</w:t>
      </w:r>
      <w:r w:rsidR="00507EC5" w:rsidRPr="00C70104">
        <w:t xml:space="preserve">  </w:t>
      </w:r>
      <w:r w:rsidRPr="00C70104">
        <w:t>Details regarding these estimates may be found in Table 1</w:t>
      </w:r>
      <w:r w:rsidR="00D73E88" w:rsidRPr="00C70104">
        <w:t>: Annual Respondent Burden and Cost – NSPS for Polymeric Coating of Supporting Substrates Facilities (40 CFR Part 60, Subpart VVV) (Renewal)</w:t>
      </w:r>
      <w:r w:rsidRPr="00C70104">
        <w:t xml:space="preserve">.  </w:t>
      </w:r>
    </w:p>
    <w:p w:rsidR="00144F35" w:rsidRPr="00C70104"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C70104" w:rsidRDefault="00CA4CD6" w:rsidP="0021722B">
      <w:pPr>
        <w:pBdr>
          <w:top w:val="single" w:sz="6" w:space="0" w:color="FFFFFF"/>
          <w:left w:val="single" w:sz="6" w:space="0" w:color="FFFFFF"/>
          <w:bottom w:val="single" w:sz="6" w:space="0" w:color="FFFFFF"/>
          <w:right w:val="single" w:sz="6" w:space="0" w:color="FFFFFF"/>
        </w:pBdr>
        <w:ind w:firstLine="720"/>
      </w:pPr>
      <w:r w:rsidRPr="00C70104">
        <w:t>Furthermore, the annual public reporting and recordkeeping burden for this collection of information is estimated to average</w:t>
      </w:r>
      <w:r w:rsidR="00C70104" w:rsidRPr="00C70104">
        <w:t xml:space="preserve"> 80 </w:t>
      </w:r>
      <w:r w:rsidRPr="00C70104">
        <w:t>hours per response</w:t>
      </w:r>
      <w:r w:rsidR="0021722B" w:rsidRPr="00C70104">
        <w:t>.</w:t>
      </w:r>
    </w:p>
    <w:p w:rsidR="0021722B" w:rsidRPr="00C70104"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The total annual capital/startup and O&amp;M costs to the regulated entity are</w:t>
      </w:r>
      <w:r w:rsidR="00C70104" w:rsidRPr="00C70104">
        <w:t xml:space="preserve"> $657,500</w:t>
      </w:r>
      <w:r w:rsidR="00507EC5" w:rsidRPr="00C70104">
        <w:t xml:space="preserve">.  </w:t>
      </w:r>
      <w:r w:rsidRPr="00C70104">
        <w:t>The cost calculations are detailed in Section 6(b)(iii), Capital/Startup vs. Operation and Maintenance (O&amp;M) Costs.</w:t>
      </w:r>
    </w:p>
    <w:p w:rsidR="00CA4CD6" w:rsidRPr="00C70104" w:rsidRDefault="00CA4CD6">
      <w:pPr>
        <w:pBdr>
          <w:top w:val="single" w:sz="6" w:space="0" w:color="FFFFFF"/>
          <w:left w:val="single" w:sz="6" w:space="0" w:color="FFFFFF"/>
          <w:bottom w:val="single" w:sz="6" w:space="0" w:color="FFFFFF"/>
          <w:right w:val="single" w:sz="6" w:space="0" w:color="FFFFFF"/>
        </w:pBdr>
        <w:ind w:firstLine="2160"/>
      </w:pPr>
    </w:p>
    <w:p w:rsidR="00CA4CD6" w:rsidRPr="00C70104"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C70104">
        <w:rPr>
          <w:b/>
          <w:bCs/>
        </w:rPr>
        <w:t>(ii) The Agency Tally</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rsidP="00144F35">
      <w:pPr>
        <w:pBdr>
          <w:top w:val="single" w:sz="6" w:space="0" w:color="FFFFFF"/>
          <w:left w:val="single" w:sz="6" w:space="0" w:color="FFFFFF"/>
          <w:bottom w:val="single" w:sz="6" w:space="0" w:color="FFFFFF"/>
          <w:right w:val="single" w:sz="6" w:space="0" w:color="FFFFFF"/>
        </w:pBdr>
        <w:ind w:firstLine="720"/>
      </w:pPr>
      <w:r w:rsidRPr="00C70104">
        <w:t xml:space="preserve">The average annual Agency burden and cost over next three years is estimated to be </w:t>
      </w:r>
      <w:r w:rsidR="00C70104" w:rsidRPr="00C70104">
        <w:t xml:space="preserve">757 </w:t>
      </w:r>
      <w:r w:rsidRPr="00C70104">
        <w:t>labor hours at a cost of</w:t>
      </w:r>
      <w:r w:rsidR="00C70104" w:rsidRPr="00C70104">
        <w:t xml:space="preserve"> $34,440</w:t>
      </w:r>
      <w:r w:rsidR="00144F35" w:rsidRPr="00C70104">
        <w:t>.  See Table 2</w:t>
      </w:r>
      <w:r w:rsidR="005A46D3" w:rsidRPr="00C70104">
        <w:t xml:space="preserve">: Average Annual EPA Burden and Cost – NSPS </w:t>
      </w:r>
      <w:r w:rsidR="005A46D3" w:rsidRPr="00C70104">
        <w:lastRenderedPageBreak/>
        <w:t>for Polymeric Coating of Supporting Substrates Facilities (40 CFR Part 60, Subpart VVV) (Renewal)</w:t>
      </w:r>
      <w:r w:rsidRPr="00C70104">
        <w:t>.</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795647" w:rsidRDefault="00CA4CD6">
      <w:pPr>
        <w:pBdr>
          <w:top w:val="single" w:sz="6" w:space="0" w:color="FFFFFF"/>
          <w:left w:val="single" w:sz="6" w:space="0" w:color="FFFFFF"/>
          <w:bottom w:val="single" w:sz="6" w:space="0" w:color="FFFFFF"/>
          <w:right w:val="single" w:sz="6" w:space="0" w:color="FFFFFF"/>
        </w:pBdr>
        <w:ind w:firstLine="720"/>
      </w:pPr>
      <w:r w:rsidRPr="00795647">
        <w:rPr>
          <w:b/>
          <w:bCs/>
        </w:rPr>
        <w:t>6(f)  Reasons for Change in Burden</w:t>
      </w:r>
    </w:p>
    <w:p w:rsidR="00CA4CD6" w:rsidRPr="00795647" w:rsidRDefault="00CA4CD6">
      <w:pPr>
        <w:pBdr>
          <w:top w:val="single" w:sz="6" w:space="0" w:color="FFFFFF"/>
          <w:left w:val="single" w:sz="6" w:space="0" w:color="FFFFFF"/>
          <w:bottom w:val="single" w:sz="6" w:space="0" w:color="FFFFFF"/>
          <w:right w:val="single" w:sz="6" w:space="0" w:color="FFFFFF"/>
        </w:pBdr>
      </w:pPr>
    </w:p>
    <w:p w:rsidR="00795647" w:rsidRPr="00795647" w:rsidRDefault="00795647" w:rsidP="00795647">
      <w:pPr>
        <w:pBdr>
          <w:top w:val="single" w:sz="6" w:space="0" w:color="FFFFFF"/>
          <w:left w:val="single" w:sz="6" w:space="0" w:color="FFFFFF"/>
          <w:bottom w:val="single" w:sz="6" w:space="0" w:color="FFFFFF"/>
          <w:right w:val="single" w:sz="6" w:space="0" w:color="FFFFFF"/>
        </w:pBdr>
        <w:ind w:firstLine="720"/>
      </w:pPr>
      <w:r w:rsidRPr="00795647">
        <w:t>There is an adjustment increase in the total estimated burden, capital/startup, and O&amp;M costs as currently identified in the OMB Inventory of Approved Burdens.  This increase is due to industry growth and is not due to any program changes.</w:t>
      </w:r>
    </w:p>
    <w:p w:rsidR="00795647" w:rsidRPr="00795647" w:rsidRDefault="00795647" w:rsidP="00795647">
      <w:pPr>
        <w:pBdr>
          <w:top w:val="single" w:sz="6" w:space="0" w:color="FFFFFF"/>
          <w:left w:val="single" w:sz="6" w:space="0" w:color="FFFFFF"/>
          <w:bottom w:val="single" w:sz="6" w:space="0" w:color="FFFFFF"/>
          <w:right w:val="single" w:sz="6" w:space="0" w:color="FFFFFF"/>
        </w:pBdr>
      </w:pPr>
    </w:p>
    <w:p w:rsidR="00795647" w:rsidRPr="00795647" w:rsidRDefault="00795647" w:rsidP="00795647">
      <w:pPr>
        <w:pBdr>
          <w:top w:val="single" w:sz="6" w:space="0" w:color="FFFFFF"/>
          <w:left w:val="single" w:sz="6" w:space="0" w:color="FFFFFF"/>
          <w:bottom w:val="single" w:sz="6" w:space="0" w:color="FFFFFF"/>
          <w:right w:val="single" w:sz="6" w:space="0" w:color="FFFFFF"/>
        </w:pBdr>
        <w:ind w:firstLine="720"/>
      </w:pPr>
      <w:r w:rsidRPr="00795647">
        <w:t>There is an apparent decrease in the Agency labor burden</w:t>
      </w:r>
      <w:r w:rsidR="00B17267">
        <w:t xml:space="preserve"> hours</w:t>
      </w:r>
      <w:r>
        <w:t xml:space="preserve"> due to a summation error </w:t>
      </w:r>
      <w:r w:rsidRPr="00795647">
        <w:t>in the most recently approved ICR</w:t>
      </w:r>
      <w:r w:rsidR="00281F13">
        <w:t xml:space="preserve">. This error resulted in the overestimation of Agency burden. </w:t>
      </w:r>
      <w:r>
        <w:t xml:space="preserve">EPA has identified and </w:t>
      </w:r>
      <w:r w:rsidR="00E74997">
        <w:t xml:space="preserve">reconciled </w:t>
      </w:r>
      <w:r>
        <w:t>this discrepancy during the preparation of t</w:t>
      </w:r>
      <w:r w:rsidR="008936A7">
        <w:t xml:space="preserve">his </w:t>
      </w:r>
      <w:r>
        <w:t>ICR renewal, hence the</w:t>
      </w:r>
      <w:r w:rsidR="00E74997">
        <w:t xml:space="preserve"> </w:t>
      </w:r>
      <w:r w:rsidR="008936A7">
        <w:t xml:space="preserve">apparent </w:t>
      </w:r>
      <w:r w:rsidR="00E74997">
        <w:t>burden</w:t>
      </w:r>
      <w:r w:rsidR="008936A7">
        <w:t xml:space="preserve"> decrease</w:t>
      </w:r>
      <w:r w:rsidR="003666F0">
        <w:t>.</w:t>
      </w:r>
    </w:p>
    <w:p w:rsidR="009621DE" w:rsidRPr="00795647" w:rsidRDefault="009621DE">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rPr>
          <w:b/>
          <w:bCs/>
        </w:rPr>
        <w:t>6(g)  Burden Statement</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The annual public reporting and recordkeeping burden for this collection of information is estimated to average</w:t>
      </w:r>
      <w:r w:rsidR="00C70104" w:rsidRPr="00C70104">
        <w:t xml:space="preserve"> 80 </w:t>
      </w:r>
      <w:r w:rsidRPr="00C70104">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C70104" w:rsidRDefault="00CA4CD6">
      <w:pPr>
        <w:pBdr>
          <w:top w:val="single" w:sz="6" w:space="0" w:color="FFFFFF"/>
          <w:left w:val="single" w:sz="6" w:space="0" w:color="FFFFFF"/>
          <w:bottom w:val="single" w:sz="6" w:space="0" w:color="FFFFFF"/>
          <w:right w:val="single" w:sz="6" w:space="0" w:color="FFFFFF"/>
        </w:pBdr>
      </w:pPr>
    </w:p>
    <w:p w:rsidR="00CA4CD6" w:rsidRPr="00C70104" w:rsidRDefault="00CA4CD6">
      <w:pPr>
        <w:pBdr>
          <w:top w:val="single" w:sz="6" w:space="0" w:color="FFFFFF"/>
          <w:left w:val="single" w:sz="6" w:space="0" w:color="FFFFFF"/>
          <w:bottom w:val="single" w:sz="6" w:space="0" w:color="FFFFFF"/>
          <w:right w:val="single" w:sz="6" w:space="0" w:color="FFFFFF"/>
        </w:pBdr>
        <w:ind w:firstLine="720"/>
      </w:pPr>
      <w:r w:rsidRPr="00C70104">
        <w:t>An agency may not conduct or sponsor, and a person is not required to respond to, a collection of information unless it displays a valid OMB Control Number.  The OMB Control Numbers for EPA</w:t>
      </w:r>
      <w:r w:rsidR="00906EDB" w:rsidRPr="00C70104">
        <w:t xml:space="preserve"> </w:t>
      </w:r>
      <w:r w:rsidRPr="00C70104">
        <w:t xml:space="preserve">regulations are listed at 40 CFR </w:t>
      </w:r>
      <w:r w:rsidR="00377D7F" w:rsidRPr="00C70104">
        <w:t xml:space="preserve">Part </w:t>
      </w:r>
      <w:r w:rsidRPr="00C70104">
        <w:t xml:space="preserve">9 and 48 CFR </w:t>
      </w:r>
      <w:r w:rsidR="00377D7F" w:rsidRPr="00C70104">
        <w:t xml:space="preserve">Chapter </w:t>
      </w:r>
      <w:r w:rsidRPr="00C70104">
        <w:t>15.</w:t>
      </w:r>
    </w:p>
    <w:p w:rsidR="006741F7" w:rsidRPr="00C70104" w:rsidRDefault="006741F7" w:rsidP="00354C15"/>
    <w:p w:rsidR="00354C15" w:rsidRPr="008C1DFA" w:rsidRDefault="00FB0650" w:rsidP="00354C15">
      <w:r w:rsidRPr="00C70104">
        <w:tab/>
      </w:r>
      <w:r w:rsidR="00CA4CD6" w:rsidRPr="00C70104">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8C1DFA" w:rsidRPr="00C70104">
        <w:t>EPA-HQ-OECA-2014-0043</w:t>
      </w:r>
      <w:r w:rsidR="00354C15" w:rsidRPr="00C70104">
        <w:t>.  An electronic version of the public docket is available at</w:t>
      </w:r>
      <w:r w:rsidR="00354C15" w:rsidRPr="00354C15">
        <w:t xml:space="preserve"> </w:t>
      </w:r>
      <w:hyperlink r:id="rId8" w:history="1">
        <w:r w:rsidR="00377D7F" w:rsidRPr="00000F64">
          <w:rPr>
            <w:rStyle w:val="Hyperlink"/>
          </w:rPr>
          <w:t>http://www.regulations.gov/</w:t>
        </w:r>
      </w:hyperlink>
      <w:r w:rsidR="00377D7F">
        <w:t xml:space="preserve"> </w:t>
      </w:r>
      <w:r w:rsidR="00354C15">
        <w:t xml:space="preserve">which </w:t>
      </w:r>
      <w:r w:rsidR="00354C15" w:rsidRPr="008C1DFA">
        <w:t>may be used to obtain a copy of the draft collection of information, submit or view public comments, access the index listing of the contents of the docket, and to access those documents in the public docket that are available electronically.  When in the system</w:t>
      </w:r>
      <w:r w:rsidR="00354C15" w:rsidRPr="008C1DFA">
        <w:rPr>
          <w:rStyle w:val="1"/>
        </w:rPr>
        <w:t xml:space="preserve">, select “search,” then key in the docket ID number identified in this document.  The documents are also </w:t>
      </w:r>
      <w:r w:rsidR="00CA4CD6" w:rsidRPr="008C1DFA">
        <w:t xml:space="preserve">available for public viewing at the Enforcement and Compliance Docket and Information Center in the EPA Docket Center (EPA/DC), </w:t>
      </w:r>
      <w:r w:rsidR="00D95819" w:rsidRPr="008C1DFA">
        <w:t>EPA West, Room 3334</w:t>
      </w:r>
      <w:r w:rsidR="00CA4CD6" w:rsidRPr="008C1DFA">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rsidRPr="008C1DFA">
        <w:t>for the docket center i</w:t>
      </w:r>
      <w:r w:rsidR="00CA4CD6" w:rsidRPr="008C1DFA">
        <w:t>s (202) 566-</w:t>
      </w:r>
      <w:r w:rsidR="00850ACF" w:rsidRPr="008C1DFA">
        <w:t>1927</w:t>
      </w:r>
      <w:r w:rsidR="00354C15" w:rsidRPr="008C1DFA">
        <w:t xml:space="preserve">.  </w:t>
      </w:r>
      <w:r w:rsidR="00CA4CD6" w:rsidRPr="008C1DFA">
        <w:t xml:space="preserve">Also, you can send comments to the Office of </w:t>
      </w:r>
      <w:r w:rsidR="00CA4CD6" w:rsidRPr="008C1DFA">
        <w:lastRenderedPageBreak/>
        <w:t xml:space="preserve">Information and Regulatory Affairs, Office of Management and Budget, 725 17th Street, NW, Washington, DC 20503, Attention: Desk Officer for EPA.  Please include the EPA Docket ID Number </w:t>
      </w:r>
      <w:r w:rsidR="008C1DFA" w:rsidRPr="008C1DFA">
        <w:t xml:space="preserve">EPA-HQ-OECA-2014-0043 </w:t>
      </w:r>
      <w:r w:rsidR="00CA4CD6" w:rsidRPr="008C1DFA">
        <w:t>and OMB Control Number</w:t>
      </w:r>
      <w:r w:rsidR="008C1DFA" w:rsidRPr="008C1DFA">
        <w:t xml:space="preserve"> 2060-0181 </w:t>
      </w:r>
      <w:r w:rsidR="00CA4CD6" w:rsidRPr="008C1DFA">
        <w:t xml:space="preserve">in any correspondence. </w:t>
      </w:r>
    </w:p>
    <w:p w:rsidR="00F340DF" w:rsidRPr="008C1DFA" w:rsidRDefault="00F340DF" w:rsidP="00F340DF">
      <w:pPr>
        <w:rPr>
          <w:rStyle w:val="1"/>
          <w:rFonts w:ascii="WP TypographicSymbols" w:hAnsi="WP TypographicSymbols" w:cs="WP TypographicSymbols"/>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Pr="00C70104" w:rsidRDefault="00144F35" w:rsidP="00B17267">
      <w:pPr>
        <w:jc w:val="center"/>
        <w:outlineLvl w:val="0"/>
        <w:rPr>
          <w:b/>
          <w:bCs/>
        </w:rPr>
      </w:pPr>
      <w:r w:rsidRPr="00C4183F">
        <w:rPr>
          <w:b/>
          <w:bCs/>
          <w:color w:val="000000"/>
        </w:rPr>
        <w:lastRenderedPageBreak/>
        <w:t>Table 1</w:t>
      </w:r>
      <w:r w:rsidR="00D73E88" w:rsidRPr="00D73E88">
        <w:rPr>
          <w:b/>
          <w:bCs/>
          <w:color w:val="000000"/>
        </w:rPr>
        <w:t xml:space="preserve">: Annual </w:t>
      </w:r>
      <w:r w:rsidR="00D73E88" w:rsidRPr="00C70104">
        <w:rPr>
          <w:b/>
          <w:bCs/>
        </w:rPr>
        <w:t>Respondent Burden and Cost – NSPS for Polymeric Coating of Supporting Substrates Facilities (40 CFR Part 60, Subpart VVV) (Renewal)</w:t>
      </w:r>
    </w:p>
    <w:p w:rsidR="005D62F4" w:rsidRDefault="005D62F4" w:rsidP="00144F35">
      <w:pPr>
        <w:rPr>
          <w:bCs/>
        </w:rPr>
      </w:pPr>
    </w:p>
    <w:tbl>
      <w:tblPr>
        <w:tblW w:w="12877" w:type="dxa"/>
        <w:jc w:val="center"/>
        <w:tblCellMar>
          <w:left w:w="58" w:type="dxa"/>
          <w:right w:w="58" w:type="dxa"/>
        </w:tblCellMar>
        <w:tblLook w:val="04A0" w:firstRow="1" w:lastRow="0" w:firstColumn="1" w:lastColumn="0" w:noHBand="0" w:noVBand="1"/>
      </w:tblPr>
      <w:tblGrid>
        <w:gridCol w:w="3297"/>
        <w:gridCol w:w="1260"/>
        <w:gridCol w:w="1480"/>
        <w:gridCol w:w="1440"/>
        <w:gridCol w:w="1206"/>
        <w:gridCol w:w="954"/>
        <w:gridCol w:w="1260"/>
        <w:gridCol w:w="900"/>
        <w:gridCol w:w="1080"/>
      </w:tblGrid>
      <w:tr w:rsidR="005D62F4" w:rsidRPr="005D62F4" w:rsidTr="00283785">
        <w:trPr>
          <w:trHeight w:val="285"/>
          <w:tblHeader/>
          <w:jc w:val="center"/>
        </w:trPr>
        <w:tc>
          <w:tcPr>
            <w:tcW w:w="329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D62F4" w:rsidRPr="005D62F4" w:rsidRDefault="005D62F4" w:rsidP="005D62F4">
            <w:pPr>
              <w:widowControl/>
              <w:autoSpaceDE/>
              <w:autoSpaceDN/>
              <w:adjustRightInd/>
              <w:jc w:val="center"/>
              <w:rPr>
                <w:b/>
                <w:bCs/>
                <w:sz w:val="20"/>
                <w:szCs w:val="20"/>
              </w:rPr>
            </w:pPr>
            <w:r w:rsidRPr="005D62F4">
              <w:rPr>
                <w:b/>
                <w:bCs/>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5D62F4" w:rsidRPr="005D62F4" w:rsidRDefault="005D62F4" w:rsidP="005D62F4">
            <w:pPr>
              <w:widowControl/>
              <w:autoSpaceDE/>
              <w:autoSpaceDN/>
              <w:adjustRightInd/>
              <w:jc w:val="center"/>
              <w:rPr>
                <w:b/>
                <w:bCs/>
                <w:sz w:val="20"/>
                <w:szCs w:val="20"/>
              </w:rPr>
            </w:pPr>
            <w:r w:rsidRPr="005D62F4">
              <w:rPr>
                <w:b/>
                <w:bCs/>
                <w:sz w:val="20"/>
                <w:szCs w:val="20"/>
              </w:rPr>
              <w:t>A</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5D62F4" w:rsidRPr="005D62F4" w:rsidRDefault="005D62F4" w:rsidP="005D62F4">
            <w:pPr>
              <w:widowControl/>
              <w:autoSpaceDE/>
              <w:autoSpaceDN/>
              <w:adjustRightInd/>
              <w:jc w:val="center"/>
              <w:rPr>
                <w:b/>
                <w:bCs/>
                <w:sz w:val="20"/>
                <w:szCs w:val="20"/>
              </w:rPr>
            </w:pPr>
            <w:r w:rsidRPr="005D62F4">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5D62F4" w:rsidRPr="005D62F4" w:rsidRDefault="005D62F4" w:rsidP="005D62F4">
            <w:pPr>
              <w:widowControl/>
              <w:autoSpaceDE/>
              <w:autoSpaceDN/>
              <w:adjustRightInd/>
              <w:jc w:val="center"/>
              <w:rPr>
                <w:b/>
                <w:bCs/>
                <w:sz w:val="20"/>
                <w:szCs w:val="20"/>
              </w:rPr>
            </w:pPr>
            <w:r w:rsidRPr="005D62F4">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5D62F4" w:rsidRPr="005D62F4" w:rsidRDefault="005D62F4" w:rsidP="005D62F4">
            <w:pPr>
              <w:widowControl/>
              <w:autoSpaceDE/>
              <w:autoSpaceDN/>
              <w:adjustRightInd/>
              <w:jc w:val="center"/>
              <w:rPr>
                <w:b/>
                <w:bCs/>
                <w:sz w:val="20"/>
                <w:szCs w:val="20"/>
              </w:rPr>
            </w:pPr>
            <w:r w:rsidRPr="005D62F4">
              <w:rPr>
                <w:b/>
                <w:bCs/>
                <w:sz w:val="20"/>
                <w:szCs w:val="20"/>
              </w:rPr>
              <w:t>D</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5D62F4" w:rsidRPr="005D62F4" w:rsidRDefault="005D62F4" w:rsidP="005D62F4">
            <w:pPr>
              <w:widowControl/>
              <w:autoSpaceDE/>
              <w:autoSpaceDN/>
              <w:adjustRightInd/>
              <w:jc w:val="center"/>
              <w:rPr>
                <w:b/>
                <w:bCs/>
                <w:sz w:val="20"/>
                <w:szCs w:val="20"/>
              </w:rPr>
            </w:pPr>
            <w:r w:rsidRPr="005D62F4">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5D62F4" w:rsidRPr="005D62F4" w:rsidRDefault="005D62F4" w:rsidP="005D62F4">
            <w:pPr>
              <w:widowControl/>
              <w:autoSpaceDE/>
              <w:autoSpaceDN/>
              <w:adjustRightInd/>
              <w:jc w:val="center"/>
              <w:rPr>
                <w:b/>
                <w:bCs/>
                <w:sz w:val="20"/>
                <w:szCs w:val="20"/>
              </w:rPr>
            </w:pPr>
            <w:r w:rsidRPr="005D62F4">
              <w:rPr>
                <w:b/>
                <w:bCs/>
                <w:sz w:val="20"/>
                <w:szCs w:val="20"/>
              </w:rPr>
              <w:t>F</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5D62F4" w:rsidRPr="005D62F4" w:rsidRDefault="005D62F4" w:rsidP="005D62F4">
            <w:pPr>
              <w:widowControl/>
              <w:autoSpaceDE/>
              <w:autoSpaceDN/>
              <w:adjustRightInd/>
              <w:jc w:val="center"/>
              <w:rPr>
                <w:b/>
                <w:bCs/>
                <w:sz w:val="20"/>
                <w:szCs w:val="20"/>
              </w:rPr>
            </w:pPr>
            <w:r w:rsidRPr="005D62F4">
              <w:rPr>
                <w:b/>
                <w:bCs/>
                <w:sz w:val="20"/>
                <w:szCs w:val="20"/>
              </w:rPr>
              <w:t>G</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D62F4" w:rsidRPr="005D62F4" w:rsidRDefault="005D62F4" w:rsidP="005D62F4">
            <w:pPr>
              <w:widowControl/>
              <w:autoSpaceDE/>
              <w:autoSpaceDN/>
              <w:adjustRightInd/>
              <w:jc w:val="center"/>
              <w:rPr>
                <w:b/>
                <w:bCs/>
                <w:sz w:val="20"/>
                <w:szCs w:val="20"/>
              </w:rPr>
            </w:pPr>
            <w:r w:rsidRPr="005D62F4">
              <w:rPr>
                <w:b/>
                <w:bCs/>
                <w:sz w:val="20"/>
                <w:szCs w:val="20"/>
              </w:rPr>
              <w:t>H</w:t>
            </w:r>
          </w:p>
        </w:tc>
      </w:tr>
      <w:tr w:rsidR="005D62F4" w:rsidRPr="005D62F4" w:rsidTr="00283785">
        <w:trPr>
          <w:trHeight w:val="825"/>
          <w:tblHeader/>
          <w:jc w:val="center"/>
        </w:trPr>
        <w:tc>
          <w:tcPr>
            <w:tcW w:w="3297" w:type="dxa"/>
            <w:vMerge/>
            <w:tcBorders>
              <w:top w:val="single" w:sz="4" w:space="0" w:color="auto"/>
              <w:left w:val="single" w:sz="4" w:space="0" w:color="auto"/>
              <w:bottom w:val="single" w:sz="4" w:space="0" w:color="auto"/>
              <w:right w:val="single" w:sz="4" w:space="0" w:color="auto"/>
            </w:tcBorders>
            <w:vAlign w:val="center"/>
            <w:hideMark/>
          </w:tcPr>
          <w:p w:rsidR="005D62F4" w:rsidRPr="005D62F4" w:rsidRDefault="005D62F4" w:rsidP="005D62F4">
            <w:pPr>
              <w:widowControl/>
              <w:autoSpaceDE/>
              <w:autoSpaceDN/>
              <w:adjustRightInd/>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5D62F4" w:rsidRPr="005D62F4" w:rsidRDefault="005D62F4" w:rsidP="005D62F4">
            <w:pPr>
              <w:widowControl/>
              <w:autoSpaceDE/>
              <w:autoSpaceDN/>
              <w:adjustRightInd/>
              <w:jc w:val="center"/>
              <w:rPr>
                <w:b/>
                <w:bCs/>
                <w:sz w:val="20"/>
                <w:szCs w:val="20"/>
              </w:rPr>
            </w:pPr>
            <w:r w:rsidRPr="005D62F4">
              <w:rPr>
                <w:b/>
                <w:bCs/>
                <w:sz w:val="20"/>
                <w:szCs w:val="20"/>
              </w:rPr>
              <w:t>Technical person-hours per occurrence</w:t>
            </w:r>
          </w:p>
        </w:tc>
        <w:tc>
          <w:tcPr>
            <w:tcW w:w="1480" w:type="dxa"/>
            <w:tcBorders>
              <w:top w:val="nil"/>
              <w:left w:val="nil"/>
              <w:bottom w:val="single" w:sz="4" w:space="0" w:color="auto"/>
              <w:right w:val="single" w:sz="4" w:space="0" w:color="auto"/>
            </w:tcBorders>
            <w:shd w:val="clear" w:color="auto" w:fill="auto"/>
            <w:vAlign w:val="bottom"/>
            <w:hideMark/>
          </w:tcPr>
          <w:p w:rsidR="005D62F4" w:rsidRDefault="005D62F4" w:rsidP="005D62F4">
            <w:pPr>
              <w:widowControl/>
              <w:autoSpaceDE/>
              <w:autoSpaceDN/>
              <w:adjustRightInd/>
              <w:jc w:val="center"/>
              <w:rPr>
                <w:b/>
                <w:bCs/>
                <w:sz w:val="20"/>
                <w:szCs w:val="20"/>
              </w:rPr>
            </w:pPr>
            <w:r w:rsidRPr="005D62F4">
              <w:rPr>
                <w:b/>
                <w:bCs/>
                <w:sz w:val="20"/>
                <w:szCs w:val="20"/>
              </w:rPr>
              <w:t xml:space="preserve">No. of occurrences </w:t>
            </w:r>
          </w:p>
          <w:p w:rsidR="005D62F4" w:rsidRPr="005D62F4" w:rsidRDefault="005D62F4" w:rsidP="005D62F4">
            <w:pPr>
              <w:widowControl/>
              <w:autoSpaceDE/>
              <w:autoSpaceDN/>
              <w:adjustRightInd/>
              <w:jc w:val="center"/>
              <w:rPr>
                <w:b/>
                <w:bCs/>
                <w:sz w:val="20"/>
                <w:szCs w:val="20"/>
              </w:rPr>
            </w:pPr>
            <w:r w:rsidRPr="005D62F4">
              <w:rPr>
                <w:b/>
                <w:bCs/>
                <w:sz w:val="20"/>
                <w:szCs w:val="20"/>
              </w:rPr>
              <w:t>per respondent per year</w:t>
            </w:r>
          </w:p>
        </w:tc>
        <w:tc>
          <w:tcPr>
            <w:tcW w:w="1440" w:type="dxa"/>
            <w:tcBorders>
              <w:top w:val="nil"/>
              <w:left w:val="nil"/>
              <w:bottom w:val="single" w:sz="4" w:space="0" w:color="auto"/>
              <w:right w:val="single" w:sz="4" w:space="0" w:color="auto"/>
            </w:tcBorders>
            <w:shd w:val="clear" w:color="auto" w:fill="auto"/>
            <w:vAlign w:val="bottom"/>
            <w:hideMark/>
          </w:tcPr>
          <w:p w:rsidR="005D62F4" w:rsidRPr="005D62F4" w:rsidRDefault="005D62F4" w:rsidP="005D62F4">
            <w:pPr>
              <w:widowControl/>
              <w:autoSpaceDE/>
              <w:autoSpaceDN/>
              <w:adjustRightInd/>
              <w:jc w:val="center"/>
              <w:rPr>
                <w:b/>
                <w:bCs/>
                <w:sz w:val="20"/>
                <w:szCs w:val="20"/>
              </w:rPr>
            </w:pPr>
            <w:r w:rsidRPr="005D62F4">
              <w:rPr>
                <w:b/>
                <w:bCs/>
                <w:sz w:val="20"/>
                <w:szCs w:val="20"/>
              </w:rPr>
              <w:t>Technical person-hours per respondent per year (AxB)</w:t>
            </w:r>
          </w:p>
        </w:tc>
        <w:tc>
          <w:tcPr>
            <w:tcW w:w="1206" w:type="dxa"/>
            <w:tcBorders>
              <w:top w:val="nil"/>
              <w:left w:val="nil"/>
              <w:bottom w:val="single" w:sz="4" w:space="0" w:color="auto"/>
              <w:right w:val="single" w:sz="4" w:space="0" w:color="auto"/>
            </w:tcBorders>
            <w:shd w:val="clear" w:color="auto" w:fill="auto"/>
            <w:vAlign w:val="bottom"/>
            <w:hideMark/>
          </w:tcPr>
          <w:p w:rsidR="005D62F4" w:rsidRPr="005D62F4" w:rsidRDefault="005D62F4" w:rsidP="005D62F4">
            <w:pPr>
              <w:widowControl/>
              <w:autoSpaceDE/>
              <w:autoSpaceDN/>
              <w:adjustRightInd/>
              <w:jc w:val="center"/>
              <w:rPr>
                <w:b/>
                <w:bCs/>
                <w:sz w:val="20"/>
                <w:szCs w:val="20"/>
              </w:rPr>
            </w:pPr>
            <w:r w:rsidRPr="005D62F4">
              <w:rPr>
                <w:b/>
                <w:bCs/>
                <w:sz w:val="20"/>
                <w:szCs w:val="20"/>
              </w:rPr>
              <w:t xml:space="preserve">Respondents per year </w:t>
            </w:r>
            <w:r w:rsidRPr="005D62F4">
              <w:rPr>
                <w:b/>
                <w:bCs/>
                <w:sz w:val="20"/>
                <w:szCs w:val="20"/>
                <w:vertAlign w:val="superscript"/>
              </w:rPr>
              <w:t>a</w:t>
            </w:r>
          </w:p>
        </w:tc>
        <w:tc>
          <w:tcPr>
            <w:tcW w:w="954" w:type="dxa"/>
            <w:tcBorders>
              <w:top w:val="nil"/>
              <w:left w:val="nil"/>
              <w:bottom w:val="single" w:sz="4" w:space="0" w:color="auto"/>
              <w:right w:val="single" w:sz="4" w:space="0" w:color="auto"/>
            </w:tcBorders>
            <w:shd w:val="clear" w:color="auto" w:fill="auto"/>
            <w:vAlign w:val="bottom"/>
            <w:hideMark/>
          </w:tcPr>
          <w:p w:rsidR="005D62F4" w:rsidRDefault="005D62F4" w:rsidP="005D62F4">
            <w:pPr>
              <w:widowControl/>
              <w:autoSpaceDE/>
              <w:autoSpaceDN/>
              <w:adjustRightInd/>
              <w:jc w:val="center"/>
              <w:rPr>
                <w:b/>
                <w:bCs/>
                <w:sz w:val="20"/>
                <w:szCs w:val="20"/>
              </w:rPr>
            </w:pPr>
            <w:r w:rsidRPr="005D62F4">
              <w:rPr>
                <w:b/>
                <w:bCs/>
                <w:sz w:val="20"/>
                <w:szCs w:val="20"/>
              </w:rPr>
              <w:t xml:space="preserve">Technical hours </w:t>
            </w:r>
          </w:p>
          <w:p w:rsidR="005D62F4" w:rsidRPr="005D62F4" w:rsidRDefault="005D62F4" w:rsidP="005D62F4">
            <w:pPr>
              <w:widowControl/>
              <w:autoSpaceDE/>
              <w:autoSpaceDN/>
              <w:adjustRightInd/>
              <w:jc w:val="center"/>
              <w:rPr>
                <w:b/>
                <w:bCs/>
                <w:sz w:val="20"/>
                <w:szCs w:val="20"/>
              </w:rPr>
            </w:pPr>
            <w:r w:rsidRPr="005D62F4">
              <w:rPr>
                <w:b/>
                <w:bCs/>
                <w:sz w:val="20"/>
                <w:szCs w:val="20"/>
              </w:rPr>
              <w:t>per year (CxD)</w:t>
            </w:r>
          </w:p>
        </w:tc>
        <w:tc>
          <w:tcPr>
            <w:tcW w:w="1260" w:type="dxa"/>
            <w:tcBorders>
              <w:top w:val="nil"/>
              <w:left w:val="nil"/>
              <w:bottom w:val="single" w:sz="4" w:space="0" w:color="auto"/>
              <w:right w:val="single" w:sz="4" w:space="0" w:color="auto"/>
            </w:tcBorders>
            <w:shd w:val="clear" w:color="auto" w:fill="auto"/>
            <w:vAlign w:val="bottom"/>
            <w:hideMark/>
          </w:tcPr>
          <w:p w:rsidR="005D62F4" w:rsidRDefault="005D62F4" w:rsidP="005D62F4">
            <w:pPr>
              <w:widowControl/>
              <w:autoSpaceDE/>
              <w:autoSpaceDN/>
              <w:adjustRightInd/>
              <w:jc w:val="center"/>
              <w:rPr>
                <w:b/>
                <w:bCs/>
                <w:sz w:val="20"/>
                <w:szCs w:val="20"/>
              </w:rPr>
            </w:pPr>
            <w:r w:rsidRPr="005D62F4">
              <w:rPr>
                <w:b/>
                <w:bCs/>
                <w:sz w:val="20"/>
                <w:szCs w:val="20"/>
              </w:rPr>
              <w:t xml:space="preserve">Management hours </w:t>
            </w:r>
          </w:p>
          <w:p w:rsidR="005D62F4" w:rsidRPr="005D62F4" w:rsidRDefault="005D62F4" w:rsidP="005D62F4">
            <w:pPr>
              <w:widowControl/>
              <w:autoSpaceDE/>
              <w:autoSpaceDN/>
              <w:adjustRightInd/>
              <w:jc w:val="center"/>
              <w:rPr>
                <w:b/>
                <w:bCs/>
                <w:sz w:val="20"/>
                <w:szCs w:val="20"/>
              </w:rPr>
            </w:pPr>
            <w:r w:rsidRPr="005D62F4">
              <w:rPr>
                <w:b/>
                <w:bCs/>
                <w:sz w:val="20"/>
                <w:szCs w:val="20"/>
              </w:rPr>
              <w:t>per year  (Ex0.05)</w:t>
            </w:r>
          </w:p>
        </w:tc>
        <w:tc>
          <w:tcPr>
            <w:tcW w:w="900" w:type="dxa"/>
            <w:tcBorders>
              <w:top w:val="nil"/>
              <w:left w:val="nil"/>
              <w:bottom w:val="single" w:sz="4" w:space="0" w:color="auto"/>
              <w:right w:val="single" w:sz="4" w:space="0" w:color="auto"/>
            </w:tcBorders>
            <w:shd w:val="clear" w:color="auto" w:fill="auto"/>
            <w:vAlign w:val="bottom"/>
            <w:hideMark/>
          </w:tcPr>
          <w:p w:rsidR="005D62F4" w:rsidRPr="005D62F4" w:rsidRDefault="005D62F4" w:rsidP="005D62F4">
            <w:pPr>
              <w:widowControl/>
              <w:autoSpaceDE/>
              <w:autoSpaceDN/>
              <w:adjustRightInd/>
              <w:jc w:val="center"/>
              <w:rPr>
                <w:b/>
                <w:bCs/>
                <w:sz w:val="20"/>
                <w:szCs w:val="20"/>
              </w:rPr>
            </w:pPr>
            <w:r w:rsidRPr="005D62F4">
              <w:rPr>
                <w:b/>
                <w:bCs/>
                <w:sz w:val="20"/>
                <w:szCs w:val="20"/>
              </w:rPr>
              <w:t>Clerical hours per year (Ex0.10)</w:t>
            </w:r>
          </w:p>
        </w:tc>
        <w:tc>
          <w:tcPr>
            <w:tcW w:w="1080" w:type="dxa"/>
            <w:tcBorders>
              <w:top w:val="nil"/>
              <w:left w:val="nil"/>
              <w:bottom w:val="single" w:sz="4" w:space="0" w:color="auto"/>
              <w:right w:val="single" w:sz="4" w:space="0" w:color="auto"/>
            </w:tcBorders>
            <w:shd w:val="clear" w:color="auto" w:fill="auto"/>
            <w:vAlign w:val="bottom"/>
            <w:hideMark/>
          </w:tcPr>
          <w:p w:rsidR="005D62F4" w:rsidRPr="005D62F4" w:rsidRDefault="005D62F4" w:rsidP="005D62F4">
            <w:pPr>
              <w:widowControl/>
              <w:autoSpaceDE/>
              <w:autoSpaceDN/>
              <w:adjustRightInd/>
              <w:jc w:val="center"/>
              <w:rPr>
                <w:b/>
                <w:bCs/>
                <w:sz w:val="20"/>
                <w:szCs w:val="20"/>
              </w:rPr>
            </w:pPr>
            <w:r w:rsidRPr="005D62F4">
              <w:rPr>
                <w:b/>
                <w:bCs/>
                <w:sz w:val="20"/>
                <w:szCs w:val="20"/>
              </w:rPr>
              <w:t xml:space="preserve">Total cost per year ($) </w:t>
            </w:r>
            <w:r w:rsidRPr="005D62F4">
              <w:rPr>
                <w:b/>
                <w:bCs/>
                <w:sz w:val="20"/>
                <w:szCs w:val="20"/>
                <w:vertAlign w:val="superscript"/>
              </w:rPr>
              <w:t>b</w:t>
            </w:r>
          </w:p>
        </w:tc>
      </w:tr>
      <w:tr w:rsidR="005D62F4" w:rsidRPr="005D62F4" w:rsidTr="00283785">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rPr>
                <w:sz w:val="20"/>
                <w:szCs w:val="20"/>
              </w:rPr>
            </w:pPr>
            <w:r w:rsidRPr="005D62F4">
              <w:rPr>
                <w:sz w:val="20"/>
                <w:szCs w:val="20"/>
              </w:rPr>
              <w:t>1.  Applications</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N/A</w:t>
            </w:r>
          </w:p>
        </w:tc>
        <w:tc>
          <w:tcPr>
            <w:tcW w:w="14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44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54"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0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right"/>
              <w:rPr>
                <w:sz w:val="20"/>
                <w:szCs w:val="20"/>
              </w:rPr>
            </w:pPr>
            <w:r w:rsidRPr="005D62F4">
              <w:rPr>
                <w:sz w:val="20"/>
                <w:szCs w:val="20"/>
              </w:rPr>
              <w:t> </w:t>
            </w:r>
          </w:p>
        </w:tc>
      </w:tr>
      <w:tr w:rsidR="005D62F4" w:rsidRPr="005D62F4" w:rsidTr="00283785">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rPr>
                <w:sz w:val="20"/>
                <w:szCs w:val="20"/>
              </w:rPr>
            </w:pPr>
            <w:r w:rsidRPr="005D62F4">
              <w:rPr>
                <w:sz w:val="20"/>
                <w:szCs w:val="20"/>
              </w:rPr>
              <w:t>2.  Surveys and studies</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N/A</w:t>
            </w:r>
          </w:p>
        </w:tc>
        <w:tc>
          <w:tcPr>
            <w:tcW w:w="14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44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54"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0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right"/>
              <w:rPr>
                <w:sz w:val="20"/>
                <w:szCs w:val="20"/>
              </w:rPr>
            </w:pPr>
            <w:r w:rsidRPr="005D62F4">
              <w:rPr>
                <w:sz w:val="20"/>
                <w:szCs w:val="20"/>
              </w:rPr>
              <w:t> </w:t>
            </w:r>
          </w:p>
        </w:tc>
      </w:tr>
      <w:tr w:rsidR="005D62F4" w:rsidRPr="005D62F4" w:rsidTr="00283785">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rPr>
                <w:sz w:val="20"/>
                <w:szCs w:val="20"/>
              </w:rPr>
            </w:pPr>
            <w:r w:rsidRPr="005D62F4">
              <w:rPr>
                <w:sz w:val="20"/>
                <w:szCs w:val="20"/>
              </w:rPr>
              <w:t>3.  Reporting requirements</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4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44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54"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0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right"/>
              <w:rPr>
                <w:sz w:val="20"/>
                <w:szCs w:val="20"/>
              </w:rPr>
            </w:pPr>
            <w:r w:rsidRPr="005D62F4">
              <w:rPr>
                <w:sz w:val="20"/>
                <w:szCs w:val="20"/>
              </w:rPr>
              <w:t> </w:t>
            </w:r>
          </w:p>
        </w:tc>
      </w:tr>
      <w:tr w:rsidR="005D62F4" w:rsidRPr="005D62F4" w:rsidTr="00AF733D">
        <w:trPr>
          <w:trHeight w:val="31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firstLineChars="100" w:firstLine="200"/>
              <w:rPr>
                <w:sz w:val="20"/>
                <w:szCs w:val="20"/>
              </w:rPr>
            </w:pPr>
            <w:r w:rsidRPr="005D62F4">
              <w:rPr>
                <w:sz w:val="20"/>
                <w:szCs w:val="20"/>
              </w:rPr>
              <w:t>A.  Read instructions</w:t>
            </w:r>
            <w:r w:rsidRPr="005D62F4">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5</w:t>
            </w: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5</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0.25</w:t>
            </w: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0.5</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562.94</w:t>
            </w:r>
          </w:p>
        </w:tc>
      </w:tr>
      <w:tr w:rsidR="005D62F4" w:rsidRPr="005D62F4" w:rsidTr="00AF733D">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firstLineChars="100" w:firstLine="200"/>
              <w:rPr>
                <w:sz w:val="20"/>
                <w:szCs w:val="20"/>
              </w:rPr>
            </w:pPr>
            <w:r w:rsidRPr="005D62F4">
              <w:rPr>
                <w:sz w:val="20"/>
                <w:szCs w:val="20"/>
              </w:rPr>
              <w:t>B.  Required activities</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 </w:t>
            </w:r>
          </w:p>
        </w:tc>
      </w:tr>
      <w:tr w:rsidR="005D62F4" w:rsidRPr="005D62F4" w:rsidTr="00AF733D">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firstLineChars="300" w:firstLine="600"/>
              <w:rPr>
                <w:sz w:val="20"/>
                <w:szCs w:val="20"/>
              </w:rPr>
            </w:pPr>
            <w:r w:rsidRPr="005D62F4">
              <w:rPr>
                <w:sz w:val="20"/>
                <w:szCs w:val="20"/>
              </w:rPr>
              <w:t>Initial performance test</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280</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280</w:t>
            </w: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5</w:t>
            </w: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1,400</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70</w:t>
            </w: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140</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157,623.2</w:t>
            </w:r>
          </w:p>
        </w:tc>
      </w:tr>
      <w:tr w:rsidR="005D62F4" w:rsidRPr="005D62F4" w:rsidTr="00AF733D">
        <w:trPr>
          <w:trHeight w:val="31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firstLineChars="300" w:firstLine="600"/>
              <w:rPr>
                <w:sz w:val="20"/>
                <w:szCs w:val="20"/>
              </w:rPr>
            </w:pPr>
            <w:r w:rsidRPr="005D62F4">
              <w:rPr>
                <w:sz w:val="20"/>
                <w:szCs w:val="20"/>
              </w:rPr>
              <w:t>Repeat performance test</w:t>
            </w:r>
            <w:r w:rsidRPr="005D62F4">
              <w:rPr>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280</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280</w:t>
            </w: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280</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14</w:t>
            </w: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28</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31,524.64</w:t>
            </w:r>
          </w:p>
        </w:tc>
      </w:tr>
      <w:tr w:rsidR="005D62F4" w:rsidRPr="005D62F4" w:rsidTr="00AF733D">
        <w:trPr>
          <w:trHeight w:val="31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firstLineChars="300" w:firstLine="600"/>
              <w:rPr>
                <w:sz w:val="20"/>
                <w:szCs w:val="20"/>
              </w:rPr>
            </w:pPr>
            <w:r w:rsidRPr="005D62F4">
              <w:rPr>
                <w:sz w:val="20"/>
                <w:szCs w:val="20"/>
              </w:rPr>
              <w:t>Monthly compliance test</w:t>
            </w:r>
            <w:r w:rsidRPr="005D62F4">
              <w:rPr>
                <w:sz w:val="20"/>
                <w:szCs w:val="20"/>
                <w:vertAlign w:val="superscript"/>
              </w:rPr>
              <w:t>e</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90</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12</w:t>
            </w: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1,080</w:t>
            </w: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1,080</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54</w:t>
            </w: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108</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121,595.04</w:t>
            </w:r>
          </w:p>
        </w:tc>
      </w:tr>
      <w:tr w:rsidR="005D62F4" w:rsidRPr="005D62F4" w:rsidTr="00AF733D">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firstLineChars="100" w:firstLine="200"/>
              <w:rPr>
                <w:sz w:val="20"/>
                <w:szCs w:val="20"/>
              </w:rPr>
            </w:pPr>
            <w:r w:rsidRPr="005D62F4">
              <w:rPr>
                <w:sz w:val="20"/>
                <w:szCs w:val="20"/>
              </w:rPr>
              <w:t>C.  Create information</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See 3B</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 </w:t>
            </w:r>
          </w:p>
        </w:tc>
      </w:tr>
      <w:tr w:rsidR="005D62F4" w:rsidRPr="005D62F4" w:rsidTr="00AF733D">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firstLineChars="100" w:firstLine="200"/>
              <w:rPr>
                <w:sz w:val="20"/>
                <w:szCs w:val="20"/>
              </w:rPr>
            </w:pPr>
            <w:r w:rsidRPr="005D62F4">
              <w:rPr>
                <w:sz w:val="20"/>
                <w:szCs w:val="20"/>
              </w:rPr>
              <w:t>D.  Gather existing information</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See 3E</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 </w:t>
            </w:r>
          </w:p>
        </w:tc>
      </w:tr>
      <w:tr w:rsidR="005D62F4" w:rsidRPr="005D62F4" w:rsidTr="00AF733D">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firstLineChars="100" w:firstLine="200"/>
              <w:rPr>
                <w:sz w:val="20"/>
                <w:szCs w:val="20"/>
              </w:rPr>
            </w:pPr>
            <w:r w:rsidRPr="005D62F4">
              <w:rPr>
                <w:sz w:val="20"/>
                <w:szCs w:val="20"/>
              </w:rPr>
              <w:t>E.  Write report</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 </w:t>
            </w:r>
          </w:p>
        </w:tc>
      </w:tr>
      <w:tr w:rsidR="005D62F4" w:rsidRPr="005D62F4" w:rsidTr="00AF733D">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firstLineChars="300" w:firstLine="600"/>
              <w:rPr>
                <w:sz w:val="20"/>
                <w:szCs w:val="20"/>
              </w:rPr>
            </w:pPr>
            <w:r w:rsidRPr="005D62F4">
              <w:rPr>
                <w:sz w:val="20"/>
                <w:szCs w:val="20"/>
              </w:rPr>
              <w:t>New facilities</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 </w:t>
            </w:r>
          </w:p>
        </w:tc>
      </w:tr>
      <w:tr w:rsidR="005D62F4" w:rsidRPr="005D62F4" w:rsidTr="00AF733D">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left="809"/>
              <w:rPr>
                <w:sz w:val="20"/>
                <w:szCs w:val="20"/>
              </w:rPr>
            </w:pPr>
            <w:r w:rsidRPr="005D62F4">
              <w:rPr>
                <w:sz w:val="20"/>
                <w:szCs w:val="20"/>
              </w:rPr>
              <w:t>Notification of construction/</w:t>
            </w:r>
            <w:r>
              <w:rPr>
                <w:sz w:val="20"/>
                <w:szCs w:val="20"/>
              </w:rPr>
              <w:t xml:space="preserve"> </w:t>
            </w:r>
            <w:r w:rsidRPr="005D62F4">
              <w:rPr>
                <w:sz w:val="20"/>
                <w:szCs w:val="20"/>
              </w:rPr>
              <w:t>reconstruction</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5</w:t>
            </w: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0.5</w:t>
            </w: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1,125.88</w:t>
            </w:r>
          </w:p>
        </w:tc>
      </w:tr>
      <w:tr w:rsidR="005D62F4" w:rsidRPr="005D62F4" w:rsidTr="00AF733D">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left="809"/>
              <w:rPr>
                <w:sz w:val="20"/>
                <w:szCs w:val="20"/>
              </w:rPr>
            </w:pPr>
            <w:r w:rsidRPr="005D62F4">
              <w:rPr>
                <w:sz w:val="20"/>
                <w:szCs w:val="20"/>
              </w:rPr>
              <w:t>Notification of actual startup</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5</w:t>
            </w: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0.5</w:t>
            </w: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1,125.88</w:t>
            </w:r>
          </w:p>
        </w:tc>
      </w:tr>
      <w:tr w:rsidR="005D62F4" w:rsidRPr="005D62F4" w:rsidTr="00AF733D">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left="809"/>
              <w:rPr>
                <w:sz w:val="20"/>
                <w:szCs w:val="20"/>
              </w:rPr>
            </w:pPr>
            <w:r w:rsidRPr="005D62F4">
              <w:rPr>
                <w:sz w:val="20"/>
                <w:szCs w:val="20"/>
              </w:rPr>
              <w:t>Notification of initial performance test</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5</w:t>
            </w: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10</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0.5</w:t>
            </w: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1,125.88</w:t>
            </w:r>
          </w:p>
        </w:tc>
      </w:tr>
      <w:tr w:rsidR="005D62F4" w:rsidRPr="005D62F4" w:rsidTr="00AF733D">
        <w:trPr>
          <w:trHeight w:val="31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left="809"/>
              <w:rPr>
                <w:sz w:val="20"/>
                <w:szCs w:val="20"/>
              </w:rPr>
            </w:pPr>
            <w:r w:rsidRPr="005D62F4">
              <w:rPr>
                <w:sz w:val="20"/>
                <w:szCs w:val="20"/>
              </w:rPr>
              <w:t>Notification of VOC use at end of initial year</w:t>
            </w:r>
            <w:r w:rsidRPr="005D62F4">
              <w:rPr>
                <w:sz w:val="20"/>
                <w:szCs w:val="20"/>
                <w:vertAlign w:val="superscript"/>
              </w:rPr>
              <w:t>f</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0.1</w:t>
            </w: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0.2</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225.18</w:t>
            </w:r>
          </w:p>
        </w:tc>
      </w:tr>
      <w:tr w:rsidR="005D62F4" w:rsidRPr="005D62F4" w:rsidTr="00AF733D">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left="809"/>
              <w:rPr>
                <w:sz w:val="20"/>
                <w:szCs w:val="20"/>
              </w:rPr>
            </w:pPr>
            <w:r w:rsidRPr="005D62F4">
              <w:rPr>
                <w:sz w:val="20"/>
                <w:szCs w:val="20"/>
              </w:rPr>
              <w:t>Report of performance test</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See 3B</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 </w:t>
            </w:r>
          </w:p>
        </w:tc>
      </w:tr>
      <w:tr w:rsidR="005D62F4" w:rsidRPr="005D62F4" w:rsidTr="00AF733D">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firstLineChars="300" w:firstLine="600"/>
              <w:rPr>
                <w:sz w:val="20"/>
                <w:szCs w:val="20"/>
              </w:rPr>
            </w:pPr>
            <w:r w:rsidRPr="005D62F4">
              <w:rPr>
                <w:sz w:val="20"/>
                <w:szCs w:val="20"/>
              </w:rPr>
              <w:t>New and existing facilities</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 </w:t>
            </w:r>
          </w:p>
        </w:tc>
      </w:tr>
      <w:tr w:rsidR="005D62F4" w:rsidRPr="005D62F4" w:rsidTr="00AF733D">
        <w:trPr>
          <w:trHeight w:val="570"/>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left="809"/>
              <w:rPr>
                <w:sz w:val="20"/>
                <w:szCs w:val="20"/>
              </w:rPr>
            </w:pPr>
            <w:r w:rsidRPr="005D62F4">
              <w:rPr>
                <w:sz w:val="20"/>
                <w:szCs w:val="20"/>
              </w:rPr>
              <w:t>Report of monitoring exceedances and non-compliance periods</w:t>
            </w:r>
            <w:r w:rsidRPr="005D62F4">
              <w:rPr>
                <w:sz w:val="20"/>
                <w:szCs w:val="20"/>
                <w:vertAlign w:val="superscript"/>
              </w:rPr>
              <w:t>g</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16</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4</w:t>
            </w: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64</w:t>
            </w: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12</w:t>
            </w: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768</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38.4</w:t>
            </w: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76.8</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86,467.58</w:t>
            </w:r>
          </w:p>
        </w:tc>
      </w:tr>
      <w:tr w:rsidR="005D62F4" w:rsidRPr="005D62F4" w:rsidTr="00AF733D">
        <w:trPr>
          <w:trHeight w:val="31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283785">
            <w:pPr>
              <w:keepNext/>
              <w:autoSpaceDE/>
              <w:autoSpaceDN/>
              <w:adjustRightInd/>
              <w:ind w:left="809"/>
              <w:rPr>
                <w:sz w:val="20"/>
                <w:szCs w:val="20"/>
              </w:rPr>
            </w:pPr>
            <w:r w:rsidRPr="005D62F4">
              <w:rPr>
                <w:sz w:val="20"/>
                <w:szCs w:val="20"/>
              </w:rPr>
              <w:lastRenderedPageBreak/>
              <w:t>Report of no excess emissions</w:t>
            </w:r>
            <w:r w:rsidRPr="005D62F4">
              <w:rPr>
                <w:sz w:val="20"/>
                <w:szCs w:val="20"/>
                <w:vertAlign w:val="superscript"/>
              </w:rPr>
              <w:t>h</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keepNext/>
              <w:autoSpaceDE/>
              <w:autoSpaceDN/>
              <w:adjustRightInd/>
              <w:jc w:val="center"/>
              <w:rPr>
                <w:sz w:val="20"/>
                <w:szCs w:val="20"/>
              </w:rPr>
            </w:pPr>
            <w:r w:rsidRPr="005D62F4">
              <w:rPr>
                <w:sz w:val="20"/>
                <w:szCs w:val="20"/>
              </w:rPr>
              <w:t>8</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keepNext/>
              <w:autoSpaceDE/>
              <w:autoSpaceDN/>
              <w:adjustRightInd/>
              <w:jc w:val="center"/>
              <w:rPr>
                <w:sz w:val="20"/>
                <w:szCs w:val="20"/>
              </w:rPr>
            </w:pPr>
            <w:r w:rsidRPr="005D62F4">
              <w:rPr>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keepNext/>
              <w:autoSpaceDE/>
              <w:autoSpaceDN/>
              <w:adjustRightInd/>
              <w:jc w:val="center"/>
              <w:rPr>
                <w:sz w:val="20"/>
                <w:szCs w:val="20"/>
              </w:rPr>
            </w:pPr>
            <w:r w:rsidRPr="005D62F4">
              <w:rPr>
                <w:sz w:val="20"/>
                <w:szCs w:val="20"/>
              </w:rPr>
              <w:t>16</w:t>
            </w: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keepNext/>
              <w:autoSpaceDE/>
              <w:autoSpaceDN/>
              <w:adjustRightInd/>
              <w:jc w:val="center"/>
              <w:rPr>
                <w:sz w:val="20"/>
                <w:szCs w:val="20"/>
              </w:rPr>
            </w:pPr>
            <w:r w:rsidRPr="005D62F4">
              <w:rPr>
                <w:sz w:val="20"/>
                <w:szCs w:val="20"/>
              </w:rPr>
              <w:t>47</w:t>
            </w: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keepNext/>
              <w:autoSpaceDE/>
              <w:autoSpaceDN/>
              <w:adjustRightInd/>
              <w:jc w:val="center"/>
              <w:rPr>
                <w:sz w:val="20"/>
                <w:szCs w:val="20"/>
              </w:rPr>
            </w:pPr>
            <w:r w:rsidRPr="005D62F4">
              <w:rPr>
                <w:sz w:val="20"/>
                <w:szCs w:val="20"/>
              </w:rPr>
              <w:t>752</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keepNext/>
              <w:autoSpaceDE/>
              <w:autoSpaceDN/>
              <w:adjustRightInd/>
              <w:jc w:val="center"/>
              <w:rPr>
                <w:sz w:val="20"/>
                <w:szCs w:val="20"/>
              </w:rPr>
            </w:pPr>
            <w:r w:rsidRPr="005D62F4">
              <w:rPr>
                <w:sz w:val="20"/>
                <w:szCs w:val="20"/>
              </w:rPr>
              <w:t>37.6</w:t>
            </w: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keepNext/>
              <w:autoSpaceDE/>
              <w:autoSpaceDN/>
              <w:adjustRightInd/>
              <w:jc w:val="center"/>
              <w:rPr>
                <w:sz w:val="20"/>
                <w:szCs w:val="20"/>
              </w:rPr>
            </w:pPr>
            <w:r w:rsidRPr="005D62F4">
              <w:rPr>
                <w:sz w:val="20"/>
                <w:szCs w:val="20"/>
              </w:rPr>
              <w:t>75.2</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keepNext/>
              <w:autoSpaceDE/>
              <w:autoSpaceDN/>
              <w:adjustRightInd/>
              <w:jc w:val="right"/>
              <w:rPr>
                <w:sz w:val="20"/>
                <w:szCs w:val="20"/>
              </w:rPr>
            </w:pPr>
            <w:r w:rsidRPr="005D62F4">
              <w:rPr>
                <w:sz w:val="20"/>
                <w:szCs w:val="20"/>
              </w:rPr>
              <w:t>84,666.18</w:t>
            </w:r>
          </w:p>
        </w:tc>
      </w:tr>
      <w:tr w:rsidR="005D62F4" w:rsidRPr="005D62F4" w:rsidTr="00AF733D">
        <w:trPr>
          <w:trHeight w:val="510"/>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left="809"/>
              <w:rPr>
                <w:sz w:val="20"/>
                <w:szCs w:val="20"/>
              </w:rPr>
            </w:pPr>
            <w:r w:rsidRPr="005D62F4">
              <w:rPr>
                <w:sz w:val="20"/>
                <w:szCs w:val="20"/>
              </w:rPr>
              <w:t>Report when 1st projected VOC use exceeds cutoff</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w:t>
            </w: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4</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0.2</w:t>
            </w: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0.4</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450.35</w:t>
            </w:r>
          </w:p>
        </w:tc>
      </w:tr>
      <w:tr w:rsidR="005D62F4" w:rsidRPr="005D62F4" w:rsidTr="00AF733D">
        <w:trPr>
          <w:trHeight w:val="570"/>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left="809"/>
              <w:rPr>
                <w:sz w:val="20"/>
                <w:szCs w:val="20"/>
              </w:rPr>
            </w:pPr>
            <w:r w:rsidRPr="005D62F4">
              <w:rPr>
                <w:sz w:val="20"/>
                <w:szCs w:val="20"/>
              </w:rPr>
              <w:t>Report when 1st a</w:t>
            </w:r>
            <w:bookmarkStart w:id="0" w:name="_GoBack"/>
            <w:bookmarkEnd w:id="0"/>
            <w:r w:rsidRPr="005D62F4">
              <w:rPr>
                <w:sz w:val="20"/>
                <w:szCs w:val="20"/>
              </w:rPr>
              <w:t>ctual 12-month VOC use exceeds cutoff</w:t>
            </w:r>
            <w:r w:rsidRPr="005D62F4">
              <w:rPr>
                <w:sz w:val="20"/>
                <w:szCs w:val="20"/>
                <w:vertAlign w:val="superscript"/>
              </w:rPr>
              <w:t>i</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0</w:t>
            </w: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0</w:t>
            </w: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0</w:t>
            </w:r>
          </w:p>
        </w:tc>
      </w:tr>
      <w:tr w:rsidR="005D62F4" w:rsidRPr="005D62F4" w:rsidTr="00AF733D">
        <w:trPr>
          <w:trHeight w:val="31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left="809"/>
              <w:rPr>
                <w:sz w:val="20"/>
                <w:szCs w:val="20"/>
              </w:rPr>
            </w:pPr>
            <w:r w:rsidRPr="005D62F4">
              <w:rPr>
                <w:sz w:val="20"/>
                <w:szCs w:val="20"/>
              </w:rPr>
              <w:t>Notification of changes</w:t>
            </w:r>
            <w:r w:rsidRPr="005D62F4">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4</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4</w:t>
            </w: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5</w:t>
            </w: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20</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2,251.76</w:t>
            </w:r>
          </w:p>
        </w:tc>
      </w:tr>
      <w:tr w:rsidR="005D62F4" w:rsidRPr="005D62F4" w:rsidTr="00AF733D">
        <w:trPr>
          <w:trHeight w:val="270"/>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rPr>
                <w:b/>
                <w:bCs/>
                <w:i/>
                <w:iCs/>
                <w:sz w:val="20"/>
                <w:szCs w:val="20"/>
              </w:rPr>
            </w:pPr>
            <w:r w:rsidRPr="005D62F4">
              <w:rPr>
                <w:b/>
                <w:bCs/>
                <w:i/>
                <w:iCs/>
                <w:sz w:val="20"/>
                <w:szCs w:val="20"/>
              </w:rPr>
              <w:t>Subtotal for Reporting Requirements</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b/>
                <w:bCs/>
                <w:sz w:val="20"/>
                <w:szCs w:val="20"/>
              </w:rPr>
            </w:pPr>
            <w:r w:rsidRPr="005D62F4">
              <w:rPr>
                <w:b/>
                <w:bCs/>
                <w:sz w:val="20"/>
                <w:szCs w:val="20"/>
              </w:rPr>
              <w:t> </w:t>
            </w:r>
          </w:p>
        </w:tc>
        <w:tc>
          <w:tcPr>
            <w:tcW w:w="14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b/>
                <w:bCs/>
                <w:sz w:val="20"/>
                <w:szCs w:val="20"/>
              </w:rPr>
            </w:pPr>
            <w:r w:rsidRPr="005D62F4">
              <w:rPr>
                <w:b/>
                <w:bCs/>
                <w:sz w:val="20"/>
                <w:szCs w:val="20"/>
              </w:rPr>
              <w:t> </w:t>
            </w:r>
          </w:p>
        </w:tc>
        <w:tc>
          <w:tcPr>
            <w:tcW w:w="144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b/>
                <w:bCs/>
                <w:sz w:val="20"/>
                <w:szCs w:val="20"/>
              </w:rPr>
            </w:pPr>
            <w:r w:rsidRPr="005D62F4">
              <w:rPr>
                <w:b/>
                <w:bCs/>
                <w:sz w:val="20"/>
                <w:szCs w:val="20"/>
              </w:rPr>
              <w:t> </w:t>
            </w:r>
          </w:p>
        </w:tc>
        <w:tc>
          <w:tcPr>
            <w:tcW w:w="1206"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b/>
                <w:bCs/>
                <w:sz w:val="20"/>
                <w:szCs w:val="20"/>
              </w:rPr>
            </w:pPr>
            <w:r w:rsidRPr="005D62F4">
              <w:rPr>
                <w:b/>
                <w:bCs/>
                <w:sz w:val="20"/>
                <w:szCs w:val="20"/>
              </w:rPr>
              <w:t> </w:t>
            </w:r>
          </w:p>
        </w:tc>
        <w:tc>
          <w:tcPr>
            <w:tcW w:w="3114" w:type="dxa"/>
            <w:gridSpan w:val="3"/>
            <w:tcBorders>
              <w:top w:val="single" w:sz="4" w:space="0" w:color="auto"/>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b/>
                <w:bCs/>
                <w:sz w:val="20"/>
                <w:szCs w:val="20"/>
              </w:rPr>
            </w:pPr>
            <w:r w:rsidRPr="005D62F4">
              <w:rPr>
                <w:b/>
                <w:bCs/>
                <w:sz w:val="20"/>
                <w:szCs w:val="20"/>
              </w:rPr>
              <w:t>4,992</w:t>
            </w:r>
            <w:r w:rsidR="00B17267">
              <w:rPr>
                <w:b/>
                <w:bCs/>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b/>
                <w:bCs/>
                <w:sz w:val="20"/>
                <w:szCs w:val="20"/>
              </w:rPr>
            </w:pPr>
            <w:r w:rsidRPr="005D62F4">
              <w:rPr>
                <w:b/>
                <w:bCs/>
                <w:sz w:val="20"/>
                <w:szCs w:val="20"/>
              </w:rPr>
              <w:t>488,745</w:t>
            </w:r>
          </w:p>
        </w:tc>
      </w:tr>
      <w:tr w:rsidR="005D62F4" w:rsidRPr="005D62F4" w:rsidTr="00283785">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rPr>
                <w:sz w:val="20"/>
                <w:szCs w:val="20"/>
              </w:rPr>
            </w:pPr>
            <w:r w:rsidRPr="005D62F4">
              <w:rPr>
                <w:sz w:val="20"/>
                <w:szCs w:val="20"/>
              </w:rPr>
              <w:t>4.  Recordkeeping requirements</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4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44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54"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0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right"/>
              <w:rPr>
                <w:sz w:val="20"/>
                <w:szCs w:val="20"/>
              </w:rPr>
            </w:pPr>
            <w:r w:rsidRPr="005D62F4">
              <w:rPr>
                <w:sz w:val="20"/>
                <w:szCs w:val="20"/>
              </w:rPr>
              <w:t> </w:t>
            </w:r>
          </w:p>
        </w:tc>
      </w:tr>
      <w:tr w:rsidR="005D62F4" w:rsidRPr="005D62F4" w:rsidTr="00283785">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firstLineChars="100" w:firstLine="200"/>
              <w:rPr>
                <w:sz w:val="20"/>
                <w:szCs w:val="20"/>
              </w:rPr>
            </w:pPr>
            <w:r w:rsidRPr="005D62F4">
              <w:rPr>
                <w:sz w:val="20"/>
                <w:szCs w:val="20"/>
              </w:rPr>
              <w:t>A.  Read instructions</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See 3A</w:t>
            </w:r>
          </w:p>
        </w:tc>
        <w:tc>
          <w:tcPr>
            <w:tcW w:w="14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44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54"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0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right"/>
              <w:rPr>
                <w:sz w:val="20"/>
                <w:szCs w:val="20"/>
              </w:rPr>
            </w:pPr>
            <w:r w:rsidRPr="005D62F4">
              <w:rPr>
                <w:sz w:val="20"/>
                <w:szCs w:val="20"/>
              </w:rPr>
              <w:t> </w:t>
            </w:r>
          </w:p>
        </w:tc>
      </w:tr>
      <w:tr w:rsidR="005D62F4" w:rsidRPr="005D62F4" w:rsidTr="00283785">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firstLineChars="100" w:firstLine="200"/>
              <w:rPr>
                <w:sz w:val="20"/>
                <w:szCs w:val="20"/>
              </w:rPr>
            </w:pPr>
            <w:r w:rsidRPr="005D62F4">
              <w:rPr>
                <w:sz w:val="20"/>
                <w:szCs w:val="20"/>
              </w:rPr>
              <w:t>B.  Plan activities</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See 3B</w:t>
            </w:r>
          </w:p>
        </w:tc>
        <w:tc>
          <w:tcPr>
            <w:tcW w:w="14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44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54"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0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right"/>
              <w:rPr>
                <w:sz w:val="20"/>
                <w:szCs w:val="20"/>
              </w:rPr>
            </w:pPr>
            <w:r w:rsidRPr="005D62F4">
              <w:rPr>
                <w:sz w:val="20"/>
                <w:szCs w:val="20"/>
              </w:rPr>
              <w:t> </w:t>
            </w:r>
          </w:p>
        </w:tc>
      </w:tr>
      <w:tr w:rsidR="005D62F4" w:rsidRPr="005D62F4" w:rsidTr="00283785">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firstLineChars="100" w:firstLine="200"/>
              <w:rPr>
                <w:sz w:val="20"/>
                <w:szCs w:val="20"/>
              </w:rPr>
            </w:pPr>
            <w:r w:rsidRPr="005D62F4">
              <w:rPr>
                <w:sz w:val="20"/>
                <w:szCs w:val="20"/>
              </w:rPr>
              <w:t>C.  Implement activities</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See 3B</w:t>
            </w:r>
          </w:p>
        </w:tc>
        <w:tc>
          <w:tcPr>
            <w:tcW w:w="14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44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54"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0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right"/>
              <w:rPr>
                <w:sz w:val="20"/>
                <w:szCs w:val="20"/>
              </w:rPr>
            </w:pPr>
            <w:r w:rsidRPr="005D62F4">
              <w:rPr>
                <w:sz w:val="20"/>
                <w:szCs w:val="20"/>
              </w:rPr>
              <w:t> </w:t>
            </w:r>
          </w:p>
        </w:tc>
      </w:tr>
      <w:tr w:rsidR="005D62F4" w:rsidRPr="005D62F4" w:rsidTr="00283785">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firstLineChars="100" w:firstLine="200"/>
              <w:rPr>
                <w:sz w:val="20"/>
                <w:szCs w:val="20"/>
              </w:rPr>
            </w:pPr>
            <w:r w:rsidRPr="005D62F4">
              <w:rPr>
                <w:sz w:val="20"/>
                <w:szCs w:val="20"/>
              </w:rPr>
              <w:t>D.  Develop record system</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N/A</w:t>
            </w:r>
          </w:p>
        </w:tc>
        <w:tc>
          <w:tcPr>
            <w:tcW w:w="14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44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54"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0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right"/>
              <w:rPr>
                <w:sz w:val="20"/>
                <w:szCs w:val="20"/>
              </w:rPr>
            </w:pPr>
            <w:r w:rsidRPr="005D62F4">
              <w:rPr>
                <w:sz w:val="20"/>
                <w:szCs w:val="20"/>
              </w:rPr>
              <w:t> </w:t>
            </w:r>
          </w:p>
        </w:tc>
      </w:tr>
      <w:tr w:rsidR="005D62F4" w:rsidRPr="005D62F4" w:rsidTr="00283785">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firstLineChars="100" w:firstLine="200"/>
              <w:rPr>
                <w:sz w:val="20"/>
                <w:szCs w:val="20"/>
              </w:rPr>
            </w:pPr>
            <w:r w:rsidRPr="005D62F4">
              <w:rPr>
                <w:sz w:val="20"/>
                <w:szCs w:val="20"/>
              </w:rPr>
              <w:t>E.  Time to enter information</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4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44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54"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0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0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right"/>
              <w:rPr>
                <w:sz w:val="20"/>
                <w:szCs w:val="20"/>
              </w:rPr>
            </w:pPr>
            <w:r w:rsidRPr="005D62F4">
              <w:rPr>
                <w:sz w:val="20"/>
                <w:szCs w:val="20"/>
              </w:rPr>
              <w:t> </w:t>
            </w:r>
          </w:p>
        </w:tc>
      </w:tr>
      <w:tr w:rsidR="005D62F4" w:rsidRPr="005D62F4" w:rsidTr="00AF733D">
        <w:trPr>
          <w:trHeight w:val="31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leftChars="262" w:left="629"/>
              <w:rPr>
                <w:sz w:val="20"/>
                <w:szCs w:val="20"/>
              </w:rPr>
            </w:pPr>
            <w:r w:rsidRPr="005D62F4">
              <w:rPr>
                <w:sz w:val="20"/>
                <w:szCs w:val="20"/>
              </w:rPr>
              <w:t>Records of startups, shutdowns, malfunctions, etc.</w:t>
            </w:r>
            <w:r w:rsidRPr="005D62F4">
              <w:rPr>
                <w:sz w:val="20"/>
                <w:szCs w:val="20"/>
                <w:vertAlign w:val="superscript"/>
              </w:rPr>
              <w:t>j</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1.5</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25</w:t>
            </w: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37.5</w:t>
            </w: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59</w:t>
            </w: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2,212.5</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110.63</w:t>
            </w: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221.25</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249,100.95</w:t>
            </w:r>
          </w:p>
        </w:tc>
      </w:tr>
      <w:tr w:rsidR="005D62F4" w:rsidRPr="005D62F4" w:rsidTr="00AF733D">
        <w:trPr>
          <w:trHeight w:val="31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leftChars="262" w:left="629"/>
              <w:rPr>
                <w:sz w:val="20"/>
                <w:szCs w:val="20"/>
              </w:rPr>
            </w:pPr>
            <w:r w:rsidRPr="005D62F4">
              <w:rPr>
                <w:sz w:val="20"/>
                <w:szCs w:val="20"/>
              </w:rPr>
              <w:t>Records of operating parameters</w:t>
            </w:r>
            <w:r w:rsidRPr="005D62F4">
              <w:rPr>
                <w:sz w:val="20"/>
                <w:szCs w:val="20"/>
                <w:vertAlign w:val="superscript"/>
              </w:rPr>
              <w:t>k</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0.25</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350</w:t>
            </w: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87.5</w:t>
            </w: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59</w:t>
            </w: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5,162.5</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258.13</w:t>
            </w: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516.25</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581,235.55</w:t>
            </w:r>
          </w:p>
        </w:tc>
      </w:tr>
      <w:tr w:rsidR="005D62F4" w:rsidRPr="005D62F4" w:rsidTr="00AF733D">
        <w:trPr>
          <w:trHeight w:val="31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leftChars="262" w:left="629"/>
              <w:rPr>
                <w:sz w:val="20"/>
                <w:szCs w:val="20"/>
              </w:rPr>
            </w:pPr>
            <w:r w:rsidRPr="005D62F4">
              <w:rPr>
                <w:sz w:val="20"/>
                <w:szCs w:val="20"/>
              </w:rPr>
              <w:t>Records of semiannual projected VOC use estimate</w:t>
            </w:r>
            <w:r w:rsidRPr="005D62F4">
              <w:rPr>
                <w:sz w:val="20"/>
                <w:szCs w:val="20"/>
                <w:vertAlign w:val="superscript"/>
              </w:rPr>
              <w:t>l</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w:t>
            </w: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12</w:t>
            </w: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24</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1.2</w:t>
            </w: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2.4</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2,702.11</w:t>
            </w:r>
          </w:p>
        </w:tc>
      </w:tr>
      <w:tr w:rsidR="005D62F4" w:rsidRPr="005D62F4" w:rsidTr="00AF733D">
        <w:trPr>
          <w:trHeight w:val="31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leftChars="262" w:left="629"/>
              <w:rPr>
                <w:sz w:val="20"/>
                <w:szCs w:val="20"/>
              </w:rPr>
            </w:pPr>
            <w:r w:rsidRPr="005D62F4">
              <w:rPr>
                <w:sz w:val="20"/>
                <w:szCs w:val="20"/>
              </w:rPr>
              <w:t>Records of 12-month actual VOC use</w:t>
            </w:r>
            <w:r w:rsidRPr="005D62F4">
              <w:rPr>
                <w:sz w:val="20"/>
                <w:szCs w:val="20"/>
                <w:vertAlign w:val="superscript"/>
              </w:rPr>
              <w:t>l</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12</w:t>
            </w:r>
          </w:p>
        </w:tc>
        <w:tc>
          <w:tcPr>
            <w:tcW w:w="144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12</w:t>
            </w:r>
          </w:p>
        </w:tc>
        <w:tc>
          <w:tcPr>
            <w:tcW w:w="1206"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12</w:t>
            </w:r>
          </w:p>
        </w:tc>
        <w:tc>
          <w:tcPr>
            <w:tcW w:w="954"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144</w:t>
            </w:r>
          </w:p>
        </w:tc>
        <w:tc>
          <w:tcPr>
            <w:tcW w:w="126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7.2</w:t>
            </w:r>
          </w:p>
        </w:tc>
        <w:tc>
          <w:tcPr>
            <w:tcW w:w="90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sz w:val="20"/>
                <w:szCs w:val="20"/>
              </w:rPr>
            </w:pPr>
            <w:r w:rsidRPr="005D62F4">
              <w:rPr>
                <w:sz w:val="20"/>
                <w:szCs w:val="20"/>
              </w:rPr>
              <w:t>14.4</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16,212.67</w:t>
            </w:r>
          </w:p>
        </w:tc>
      </w:tr>
      <w:tr w:rsidR="005D62F4" w:rsidRPr="005D62F4" w:rsidTr="00AF733D">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firstLineChars="100" w:firstLine="200"/>
              <w:rPr>
                <w:sz w:val="20"/>
                <w:szCs w:val="20"/>
              </w:rPr>
            </w:pPr>
            <w:r w:rsidRPr="005D62F4">
              <w:rPr>
                <w:sz w:val="20"/>
                <w:szCs w:val="20"/>
              </w:rPr>
              <w:t>F.  Train personnel</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N/A</w:t>
            </w:r>
          </w:p>
        </w:tc>
        <w:tc>
          <w:tcPr>
            <w:tcW w:w="14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44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54"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0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 </w:t>
            </w:r>
          </w:p>
        </w:tc>
      </w:tr>
      <w:tr w:rsidR="005D62F4" w:rsidRPr="005D62F4" w:rsidTr="00AF733D">
        <w:trPr>
          <w:trHeight w:val="255"/>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ind w:firstLineChars="100" w:firstLine="200"/>
              <w:rPr>
                <w:sz w:val="20"/>
                <w:szCs w:val="20"/>
              </w:rPr>
            </w:pPr>
            <w:r w:rsidRPr="005D62F4">
              <w:rPr>
                <w:sz w:val="20"/>
                <w:szCs w:val="20"/>
              </w:rPr>
              <w:t>G.  A</w:t>
            </w:r>
            <w:r>
              <w:rPr>
                <w:sz w:val="20"/>
                <w:szCs w:val="20"/>
              </w:rPr>
              <w:t>u</w:t>
            </w:r>
            <w:r w:rsidRPr="005D62F4">
              <w:rPr>
                <w:sz w:val="20"/>
                <w:szCs w:val="20"/>
              </w:rPr>
              <w:t>dits</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N/A</w:t>
            </w:r>
          </w:p>
        </w:tc>
        <w:tc>
          <w:tcPr>
            <w:tcW w:w="14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44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06"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54"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90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sz w:val="20"/>
                <w:szCs w:val="20"/>
              </w:rPr>
            </w:pPr>
            <w:r w:rsidRPr="005D62F4">
              <w:rPr>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sz w:val="20"/>
                <w:szCs w:val="20"/>
              </w:rPr>
            </w:pPr>
            <w:r w:rsidRPr="005D62F4">
              <w:rPr>
                <w:sz w:val="20"/>
                <w:szCs w:val="20"/>
              </w:rPr>
              <w:t> </w:t>
            </w:r>
          </w:p>
        </w:tc>
      </w:tr>
      <w:tr w:rsidR="005D62F4" w:rsidRPr="005D62F4" w:rsidTr="00AF733D">
        <w:trPr>
          <w:trHeight w:val="270"/>
          <w:jc w:val="center"/>
        </w:trPr>
        <w:tc>
          <w:tcPr>
            <w:tcW w:w="3297" w:type="dxa"/>
            <w:tcBorders>
              <w:top w:val="nil"/>
              <w:left w:val="single" w:sz="4" w:space="0" w:color="auto"/>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rPr>
                <w:b/>
                <w:bCs/>
                <w:i/>
                <w:iCs/>
                <w:sz w:val="20"/>
                <w:szCs w:val="20"/>
              </w:rPr>
            </w:pPr>
            <w:r w:rsidRPr="005D62F4">
              <w:rPr>
                <w:b/>
                <w:bCs/>
                <w:i/>
                <w:iCs/>
                <w:sz w:val="20"/>
                <w:szCs w:val="20"/>
              </w:rPr>
              <w:t>Subtotal for Recordkeeping Requirements</w:t>
            </w:r>
          </w:p>
        </w:tc>
        <w:tc>
          <w:tcPr>
            <w:tcW w:w="126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b/>
                <w:bCs/>
                <w:sz w:val="20"/>
                <w:szCs w:val="20"/>
              </w:rPr>
            </w:pPr>
            <w:r w:rsidRPr="005D62F4">
              <w:rPr>
                <w:b/>
                <w:bCs/>
                <w:sz w:val="20"/>
                <w:szCs w:val="20"/>
              </w:rPr>
              <w:t> </w:t>
            </w:r>
          </w:p>
        </w:tc>
        <w:tc>
          <w:tcPr>
            <w:tcW w:w="148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b/>
                <w:bCs/>
                <w:sz w:val="20"/>
                <w:szCs w:val="20"/>
              </w:rPr>
            </w:pPr>
            <w:r w:rsidRPr="005D62F4">
              <w:rPr>
                <w:b/>
                <w:bCs/>
                <w:sz w:val="20"/>
                <w:szCs w:val="20"/>
              </w:rPr>
              <w:t> </w:t>
            </w:r>
          </w:p>
        </w:tc>
        <w:tc>
          <w:tcPr>
            <w:tcW w:w="1440"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b/>
                <w:bCs/>
                <w:sz w:val="20"/>
                <w:szCs w:val="20"/>
              </w:rPr>
            </w:pPr>
            <w:r w:rsidRPr="005D62F4">
              <w:rPr>
                <w:b/>
                <w:bCs/>
                <w:sz w:val="20"/>
                <w:szCs w:val="20"/>
              </w:rPr>
              <w:t> </w:t>
            </w:r>
          </w:p>
        </w:tc>
        <w:tc>
          <w:tcPr>
            <w:tcW w:w="1206" w:type="dxa"/>
            <w:tcBorders>
              <w:top w:val="nil"/>
              <w:left w:val="nil"/>
              <w:bottom w:val="single" w:sz="4" w:space="0" w:color="auto"/>
              <w:right w:val="single" w:sz="4" w:space="0" w:color="auto"/>
            </w:tcBorders>
            <w:shd w:val="clear" w:color="auto" w:fill="auto"/>
            <w:hideMark/>
          </w:tcPr>
          <w:p w:rsidR="005D62F4" w:rsidRPr="005D62F4" w:rsidRDefault="005D62F4" w:rsidP="005D62F4">
            <w:pPr>
              <w:widowControl/>
              <w:autoSpaceDE/>
              <w:autoSpaceDN/>
              <w:adjustRightInd/>
              <w:jc w:val="center"/>
              <w:rPr>
                <w:b/>
                <w:bCs/>
                <w:sz w:val="20"/>
                <w:szCs w:val="20"/>
              </w:rPr>
            </w:pPr>
            <w:r w:rsidRPr="005D62F4">
              <w:rPr>
                <w:b/>
                <w:bCs/>
                <w:sz w:val="20"/>
                <w:szCs w:val="20"/>
              </w:rPr>
              <w:t> </w:t>
            </w:r>
          </w:p>
        </w:tc>
        <w:tc>
          <w:tcPr>
            <w:tcW w:w="3114" w:type="dxa"/>
            <w:gridSpan w:val="3"/>
            <w:tcBorders>
              <w:top w:val="single" w:sz="4" w:space="0" w:color="auto"/>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center"/>
              <w:rPr>
                <w:b/>
                <w:bCs/>
                <w:sz w:val="20"/>
                <w:szCs w:val="20"/>
              </w:rPr>
            </w:pPr>
            <w:r w:rsidRPr="005D62F4">
              <w:rPr>
                <w:b/>
                <w:bCs/>
                <w:sz w:val="20"/>
                <w:szCs w:val="20"/>
              </w:rPr>
              <w:t>8,674</w:t>
            </w:r>
            <w:r w:rsidR="00B17267">
              <w:rPr>
                <w:b/>
                <w:bCs/>
                <w:sz w:val="20"/>
                <w:szCs w:val="20"/>
              </w:rPr>
              <w:t>.5</w:t>
            </w:r>
          </w:p>
        </w:tc>
        <w:tc>
          <w:tcPr>
            <w:tcW w:w="1080" w:type="dxa"/>
            <w:tcBorders>
              <w:top w:val="nil"/>
              <w:left w:val="nil"/>
              <w:bottom w:val="single" w:sz="4" w:space="0" w:color="auto"/>
              <w:right w:val="single" w:sz="4" w:space="0" w:color="auto"/>
            </w:tcBorders>
            <w:shd w:val="clear" w:color="auto" w:fill="auto"/>
            <w:vAlign w:val="center"/>
            <w:hideMark/>
          </w:tcPr>
          <w:p w:rsidR="005D62F4" w:rsidRPr="005D62F4" w:rsidRDefault="005D62F4" w:rsidP="00AF733D">
            <w:pPr>
              <w:widowControl/>
              <w:autoSpaceDE/>
              <w:autoSpaceDN/>
              <w:adjustRightInd/>
              <w:jc w:val="right"/>
              <w:rPr>
                <w:b/>
                <w:bCs/>
                <w:sz w:val="20"/>
                <w:szCs w:val="20"/>
              </w:rPr>
            </w:pPr>
            <w:r w:rsidRPr="005D62F4">
              <w:rPr>
                <w:b/>
                <w:bCs/>
                <w:sz w:val="20"/>
                <w:szCs w:val="20"/>
              </w:rPr>
              <w:t>849,251</w:t>
            </w:r>
          </w:p>
        </w:tc>
      </w:tr>
      <w:tr w:rsidR="00283785" w:rsidRPr="005D62F4" w:rsidTr="00AF733D">
        <w:trPr>
          <w:trHeight w:val="255"/>
          <w:jc w:val="center"/>
        </w:trPr>
        <w:tc>
          <w:tcPr>
            <w:tcW w:w="8683" w:type="dxa"/>
            <w:gridSpan w:val="5"/>
            <w:tcBorders>
              <w:top w:val="nil"/>
              <w:left w:val="single" w:sz="4" w:space="0" w:color="auto"/>
              <w:bottom w:val="single" w:sz="4" w:space="0" w:color="auto"/>
              <w:right w:val="single" w:sz="4" w:space="0" w:color="auto"/>
            </w:tcBorders>
            <w:shd w:val="clear" w:color="auto" w:fill="auto"/>
            <w:hideMark/>
          </w:tcPr>
          <w:p w:rsidR="00283785" w:rsidRPr="005D62F4" w:rsidRDefault="00283785" w:rsidP="00283785">
            <w:pPr>
              <w:widowControl/>
              <w:autoSpaceDE/>
              <w:autoSpaceDN/>
              <w:adjustRightInd/>
              <w:rPr>
                <w:b/>
                <w:bCs/>
                <w:sz w:val="20"/>
                <w:szCs w:val="20"/>
              </w:rPr>
            </w:pPr>
            <w:r w:rsidRPr="005D62F4">
              <w:rPr>
                <w:b/>
                <w:bCs/>
                <w:sz w:val="20"/>
                <w:szCs w:val="20"/>
              </w:rPr>
              <w:t>TOTAL ANNUAL BURDEN AND COST (ROUNDED) </w:t>
            </w:r>
          </w:p>
        </w:tc>
        <w:tc>
          <w:tcPr>
            <w:tcW w:w="3114" w:type="dxa"/>
            <w:gridSpan w:val="3"/>
            <w:tcBorders>
              <w:top w:val="single" w:sz="4" w:space="0" w:color="auto"/>
              <w:left w:val="nil"/>
              <w:bottom w:val="single" w:sz="4" w:space="0" w:color="auto"/>
              <w:right w:val="single" w:sz="4" w:space="0" w:color="auto"/>
            </w:tcBorders>
            <w:shd w:val="clear" w:color="auto" w:fill="auto"/>
            <w:vAlign w:val="center"/>
            <w:hideMark/>
          </w:tcPr>
          <w:p w:rsidR="00283785" w:rsidRPr="005D62F4" w:rsidRDefault="00283785" w:rsidP="00AF733D">
            <w:pPr>
              <w:widowControl/>
              <w:autoSpaceDE/>
              <w:autoSpaceDN/>
              <w:adjustRightInd/>
              <w:jc w:val="center"/>
              <w:rPr>
                <w:b/>
                <w:bCs/>
                <w:sz w:val="20"/>
                <w:szCs w:val="20"/>
              </w:rPr>
            </w:pPr>
            <w:r w:rsidRPr="005D62F4">
              <w:rPr>
                <w:b/>
                <w:bCs/>
                <w:sz w:val="20"/>
                <w:szCs w:val="20"/>
              </w:rPr>
              <w:t>13,667</w:t>
            </w:r>
          </w:p>
        </w:tc>
        <w:tc>
          <w:tcPr>
            <w:tcW w:w="1080" w:type="dxa"/>
            <w:tcBorders>
              <w:top w:val="nil"/>
              <w:left w:val="nil"/>
              <w:bottom w:val="single" w:sz="4" w:space="0" w:color="auto"/>
              <w:right w:val="single" w:sz="4" w:space="0" w:color="auto"/>
            </w:tcBorders>
            <w:shd w:val="clear" w:color="auto" w:fill="auto"/>
            <w:vAlign w:val="center"/>
            <w:hideMark/>
          </w:tcPr>
          <w:p w:rsidR="00283785" w:rsidRPr="005D62F4" w:rsidRDefault="00283785" w:rsidP="00AF733D">
            <w:pPr>
              <w:widowControl/>
              <w:autoSpaceDE/>
              <w:autoSpaceDN/>
              <w:adjustRightInd/>
              <w:jc w:val="right"/>
              <w:rPr>
                <w:b/>
                <w:bCs/>
                <w:sz w:val="20"/>
                <w:szCs w:val="20"/>
              </w:rPr>
            </w:pPr>
            <w:r w:rsidRPr="005D62F4">
              <w:rPr>
                <w:b/>
                <w:bCs/>
                <w:sz w:val="20"/>
                <w:szCs w:val="20"/>
              </w:rPr>
              <w:t>1,337,996</w:t>
            </w:r>
          </w:p>
        </w:tc>
      </w:tr>
    </w:tbl>
    <w:p w:rsidR="005D62F4" w:rsidRDefault="005D62F4" w:rsidP="00144F35">
      <w:pPr>
        <w:rPr>
          <w:bCs/>
        </w:rPr>
      </w:pPr>
    </w:p>
    <w:p w:rsidR="005D62F4" w:rsidRPr="005D62F4" w:rsidRDefault="005D62F4" w:rsidP="00283785">
      <w:pPr>
        <w:ind w:left="90" w:hanging="90"/>
        <w:rPr>
          <w:bCs/>
          <w:sz w:val="20"/>
          <w:szCs w:val="20"/>
        </w:rPr>
      </w:pPr>
      <w:r w:rsidRPr="005D62F4">
        <w:rPr>
          <w:bCs/>
          <w:sz w:val="20"/>
          <w:szCs w:val="20"/>
          <w:vertAlign w:val="superscript"/>
        </w:rPr>
        <w:t>a</w:t>
      </w:r>
      <w:r w:rsidRPr="005D62F4">
        <w:rPr>
          <w:bCs/>
          <w:sz w:val="20"/>
          <w:szCs w:val="20"/>
        </w:rPr>
        <w:t xml:space="preserve"> This ICR uses the following labor rates: $101.05 (technical), $128.02 (managerial), and $51.37 (clerical).  These rates are from the United States Department of </w:t>
      </w:r>
      <w:r w:rsidRPr="005D62F4">
        <w:rPr>
          <w:bCs/>
          <w:sz w:val="20"/>
          <w:szCs w:val="20"/>
        </w:rPr>
        <w:lastRenderedPageBreak/>
        <w:t>Labor, Bureau of Labor Statistics, March 2014, “Table 2. Civilian workers, by occupational and industry group.”  The rates are from column 1, “Total compensation.”  They have been increased by 110 percent to account for the benefit packages available to those employed by private industry.</w:t>
      </w:r>
    </w:p>
    <w:p w:rsidR="005D62F4" w:rsidRPr="005D62F4" w:rsidRDefault="005D62F4" w:rsidP="00283785">
      <w:pPr>
        <w:ind w:left="90" w:hanging="90"/>
        <w:rPr>
          <w:bCs/>
          <w:sz w:val="20"/>
          <w:szCs w:val="20"/>
        </w:rPr>
      </w:pPr>
      <w:r w:rsidRPr="005D62F4">
        <w:rPr>
          <w:bCs/>
          <w:sz w:val="20"/>
          <w:szCs w:val="20"/>
          <w:vertAlign w:val="superscript"/>
        </w:rPr>
        <w:t>b</w:t>
      </w:r>
      <w:r w:rsidRPr="005D62F4">
        <w:rPr>
          <w:bCs/>
          <w:sz w:val="20"/>
          <w:szCs w:val="20"/>
        </w:rPr>
        <w:t xml:space="preserve"> On average, EPA estimates 58 existing plants and 1 new plant per year will be subject to the NSPS over the next 3 years.  EPA assumes 4 existing plants per year will install new coating lines.</w:t>
      </w:r>
    </w:p>
    <w:p w:rsidR="005D62F4" w:rsidRPr="005D62F4" w:rsidRDefault="005D62F4" w:rsidP="00283785">
      <w:pPr>
        <w:ind w:left="90" w:hanging="90"/>
        <w:rPr>
          <w:bCs/>
          <w:sz w:val="20"/>
          <w:szCs w:val="20"/>
        </w:rPr>
      </w:pPr>
      <w:r w:rsidRPr="005D62F4">
        <w:rPr>
          <w:bCs/>
          <w:sz w:val="20"/>
          <w:szCs w:val="20"/>
          <w:vertAlign w:val="superscript"/>
        </w:rPr>
        <w:t>c</w:t>
      </w:r>
      <w:r w:rsidRPr="005D62F4">
        <w:rPr>
          <w:bCs/>
          <w:sz w:val="20"/>
          <w:szCs w:val="20"/>
        </w:rPr>
        <w:t xml:space="preserve"> This burden applies to new plants and existing plants that modify or reconstruct coating operations or coating mix preparation equipment.  Per footnote b, EPA estimates 1 new plant per year and 4 existing plants with new coating lines per year.</w:t>
      </w:r>
    </w:p>
    <w:p w:rsidR="005D62F4" w:rsidRPr="005D62F4" w:rsidRDefault="005D62F4" w:rsidP="00283785">
      <w:pPr>
        <w:ind w:left="90" w:hanging="90"/>
        <w:rPr>
          <w:bCs/>
          <w:sz w:val="20"/>
          <w:szCs w:val="20"/>
        </w:rPr>
      </w:pPr>
      <w:r w:rsidRPr="005D62F4">
        <w:rPr>
          <w:bCs/>
          <w:sz w:val="20"/>
          <w:szCs w:val="20"/>
          <w:vertAlign w:val="superscript"/>
        </w:rPr>
        <w:t>d</w:t>
      </w:r>
      <w:r w:rsidRPr="005D62F4">
        <w:rPr>
          <w:bCs/>
          <w:sz w:val="20"/>
          <w:szCs w:val="20"/>
        </w:rPr>
        <w:t xml:space="preserve"> EPA assumes 20 percent of initial performance tests must be repeated due to failure (5 × 20% = 1).</w:t>
      </w:r>
    </w:p>
    <w:p w:rsidR="005D62F4" w:rsidRPr="005D62F4" w:rsidRDefault="005D62F4" w:rsidP="00283785">
      <w:pPr>
        <w:ind w:left="90" w:hanging="90"/>
        <w:rPr>
          <w:bCs/>
          <w:sz w:val="20"/>
          <w:szCs w:val="20"/>
        </w:rPr>
      </w:pPr>
      <w:r w:rsidRPr="005D62F4">
        <w:rPr>
          <w:bCs/>
          <w:sz w:val="20"/>
          <w:szCs w:val="20"/>
          <w:vertAlign w:val="superscript"/>
        </w:rPr>
        <w:t>e</w:t>
      </w:r>
      <w:r w:rsidRPr="005D62F4">
        <w:rPr>
          <w:bCs/>
          <w:sz w:val="20"/>
          <w:szCs w:val="20"/>
        </w:rPr>
        <w:t xml:space="preserve"> EPA assumes one coating line per year will demonstrate compliance by the liquid material balance method, which requires monthly compliance testing.</w:t>
      </w:r>
    </w:p>
    <w:p w:rsidR="005D62F4" w:rsidRPr="005D62F4" w:rsidRDefault="005D62F4" w:rsidP="00283785">
      <w:pPr>
        <w:ind w:left="90" w:hanging="90"/>
        <w:rPr>
          <w:bCs/>
          <w:sz w:val="20"/>
          <w:szCs w:val="20"/>
        </w:rPr>
      </w:pPr>
      <w:r w:rsidRPr="005D62F4">
        <w:rPr>
          <w:bCs/>
          <w:sz w:val="20"/>
          <w:szCs w:val="20"/>
          <w:vertAlign w:val="superscript"/>
        </w:rPr>
        <w:t>f</w:t>
      </w:r>
      <w:r w:rsidRPr="005D62F4">
        <w:rPr>
          <w:bCs/>
          <w:sz w:val="20"/>
          <w:szCs w:val="20"/>
        </w:rPr>
        <w:t xml:space="preserve"> EPA assumes one plant per year will be required to submit this notification.</w:t>
      </w:r>
    </w:p>
    <w:p w:rsidR="005D62F4" w:rsidRPr="005D62F4" w:rsidRDefault="005D62F4" w:rsidP="00283785">
      <w:pPr>
        <w:ind w:left="90" w:hanging="90"/>
        <w:rPr>
          <w:bCs/>
          <w:sz w:val="20"/>
          <w:szCs w:val="20"/>
        </w:rPr>
      </w:pPr>
      <w:r w:rsidRPr="005D62F4">
        <w:rPr>
          <w:bCs/>
          <w:sz w:val="20"/>
          <w:szCs w:val="20"/>
          <w:vertAlign w:val="superscript"/>
        </w:rPr>
        <w:t>g</w:t>
      </w:r>
      <w:r w:rsidRPr="005D62F4">
        <w:rPr>
          <w:bCs/>
          <w:sz w:val="20"/>
          <w:szCs w:val="20"/>
        </w:rPr>
        <w:t xml:space="preserve"> EPA assumes 20 percent of existing and new plants will report monitoring exceedances or non-compliance periods on a quarterly basis (59×20% = 12, after rounding).  These plants will comply though either the emission reduction, alternative, or coating mix preparation equipment standards.</w:t>
      </w:r>
    </w:p>
    <w:p w:rsidR="005D62F4" w:rsidRPr="005D62F4" w:rsidRDefault="005D62F4" w:rsidP="00283785">
      <w:pPr>
        <w:ind w:left="90" w:hanging="90"/>
        <w:rPr>
          <w:bCs/>
          <w:sz w:val="20"/>
          <w:szCs w:val="20"/>
        </w:rPr>
      </w:pPr>
      <w:r w:rsidRPr="005D62F4">
        <w:rPr>
          <w:bCs/>
          <w:sz w:val="20"/>
          <w:szCs w:val="20"/>
          <w:vertAlign w:val="superscript"/>
        </w:rPr>
        <w:t>h</w:t>
      </w:r>
      <w:r w:rsidRPr="005D62F4">
        <w:rPr>
          <w:bCs/>
          <w:sz w:val="20"/>
          <w:szCs w:val="20"/>
        </w:rPr>
        <w:t xml:space="preserve"> EPA assumes 80 percent of existing and new plants will report no excess emissions (59×80% = 47, after rounding).</w:t>
      </w:r>
    </w:p>
    <w:p w:rsidR="005D62F4" w:rsidRPr="005D62F4" w:rsidRDefault="005D62F4" w:rsidP="00283785">
      <w:pPr>
        <w:ind w:left="90" w:hanging="90"/>
        <w:rPr>
          <w:bCs/>
          <w:sz w:val="20"/>
          <w:szCs w:val="20"/>
        </w:rPr>
      </w:pPr>
      <w:r w:rsidRPr="005D62F4">
        <w:rPr>
          <w:bCs/>
          <w:sz w:val="20"/>
          <w:szCs w:val="20"/>
          <w:vertAlign w:val="superscript"/>
        </w:rPr>
        <w:t>i</w:t>
      </w:r>
      <w:r w:rsidRPr="005D62F4">
        <w:rPr>
          <w:bCs/>
          <w:sz w:val="20"/>
          <w:szCs w:val="20"/>
        </w:rPr>
        <w:t xml:space="preserve"> EPA does not expect coating lines at any existing or new plants to exceed the cutoff value.</w:t>
      </w:r>
    </w:p>
    <w:p w:rsidR="005D62F4" w:rsidRPr="005D62F4" w:rsidRDefault="005D62F4" w:rsidP="00283785">
      <w:pPr>
        <w:ind w:left="90" w:hanging="90"/>
        <w:rPr>
          <w:bCs/>
          <w:sz w:val="20"/>
          <w:szCs w:val="20"/>
        </w:rPr>
      </w:pPr>
      <w:r w:rsidRPr="005D62F4">
        <w:rPr>
          <w:bCs/>
          <w:sz w:val="20"/>
          <w:szCs w:val="20"/>
          <w:vertAlign w:val="superscript"/>
        </w:rPr>
        <w:t>j</w:t>
      </w:r>
      <w:r w:rsidRPr="005D62F4">
        <w:rPr>
          <w:bCs/>
          <w:sz w:val="20"/>
          <w:szCs w:val="20"/>
        </w:rPr>
        <w:t xml:space="preserve"> EPA assumes there will be one malfunction or shutdown every 2 weeks over 50 weeks per year, or 25 occurrences per year (50/2 = 25).</w:t>
      </w:r>
    </w:p>
    <w:p w:rsidR="005D62F4" w:rsidRPr="005D62F4" w:rsidRDefault="005D62F4" w:rsidP="00283785">
      <w:pPr>
        <w:ind w:left="90" w:hanging="90"/>
        <w:rPr>
          <w:bCs/>
          <w:sz w:val="20"/>
          <w:szCs w:val="20"/>
        </w:rPr>
      </w:pPr>
      <w:r w:rsidRPr="005D62F4">
        <w:rPr>
          <w:bCs/>
          <w:sz w:val="20"/>
          <w:szCs w:val="20"/>
          <w:vertAlign w:val="superscript"/>
        </w:rPr>
        <w:t>k</w:t>
      </w:r>
      <w:r w:rsidRPr="005D62F4">
        <w:rPr>
          <w:bCs/>
          <w:sz w:val="20"/>
          <w:szCs w:val="20"/>
        </w:rPr>
        <w:t xml:space="preserve"> EPA assumes operating parameters will be recorded over 350 days per year.</w:t>
      </w:r>
    </w:p>
    <w:p w:rsidR="00144F35" w:rsidRPr="00283785" w:rsidRDefault="005D62F4" w:rsidP="00283785">
      <w:pPr>
        <w:ind w:left="90" w:hanging="90"/>
        <w:rPr>
          <w:bCs/>
          <w:sz w:val="20"/>
          <w:szCs w:val="20"/>
        </w:rPr>
      </w:pPr>
      <w:r w:rsidRPr="005D62F4">
        <w:rPr>
          <w:bCs/>
          <w:sz w:val="20"/>
          <w:szCs w:val="20"/>
          <w:vertAlign w:val="superscript"/>
        </w:rPr>
        <w:t>l</w:t>
      </w:r>
      <w:r w:rsidRPr="005D62F4">
        <w:rPr>
          <w:bCs/>
          <w:sz w:val="20"/>
          <w:szCs w:val="20"/>
        </w:rPr>
        <w:t xml:space="preserve"> EPA assumes 20 percent of existing and new plants will record VOC use estimates (59×20% = 12, after rounding).</w:t>
      </w:r>
    </w:p>
    <w:p w:rsidR="00A7661C" w:rsidRPr="00C70104" w:rsidRDefault="00A7661C" w:rsidP="00A7661C"/>
    <w:p w:rsidR="00377D7F" w:rsidRPr="00C70104" w:rsidRDefault="00377D7F" w:rsidP="00A7661C"/>
    <w:p w:rsidR="003D6951" w:rsidRPr="00C70104" w:rsidRDefault="003D6951" w:rsidP="003D6951"/>
    <w:p w:rsidR="00144F35" w:rsidRPr="00C70104" w:rsidRDefault="00144F35" w:rsidP="00AA6C63">
      <w:pPr>
        <w:jc w:val="center"/>
        <w:outlineLvl w:val="0"/>
        <w:rPr>
          <w:b/>
          <w:bCs/>
        </w:rPr>
      </w:pPr>
      <w:r>
        <w:rPr>
          <w:b/>
          <w:bCs/>
          <w:color w:val="000000"/>
        </w:rPr>
        <w:br w:type="page"/>
      </w:r>
      <w:r w:rsidRPr="00C4183F">
        <w:rPr>
          <w:b/>
          <w:bCs/>
          <w:color w:val="000000"/>
        </w:rPr>
        <w:lastRenderedPageBreak/>
        <w:t>Table 2</w:t>
      </w:r>
      <w:r w:rsidR="005A46D3" w:rsidRPr="005A46D3">
        <w:rPr>
          <w:b/>
          <w:bCs/>
          <w:color w:val="000000"/>
        </w:rPr>
        <w:t xml:space="preserve">: Average </w:t>
      </w:r>
      <w:r w:rsidR="005A46D3" w:rsidRPr="00C70104">
        <w:rPr>
          <w:b/>
          <w:bCs/>
        </w:rPr>
        <w:t>Annual EPA Burden and Cost – NSPS for Polymeric Coating of Supporting Substrates Facilities (40 CFR Part 60, Subpart VVV) (Renewal)</w:t>
      </w:r>
    </w:p>
    <w:p w:rsidR="00144F35" w:rsidRPr="00C70104" w:rsidRDefault="00144F35" w:rsidP="00F340DF">
      <w:pPr>
        <w:rPr>
          <w:b/>
          <w:bCs/>
        </w:rPr>
      </w:pPr>
    </w:p>
    <w:tbl>
      <w:tblPr>
        <w:tblW w:w="12975" w:type="dxa"/>
        <w:jc w:val="center"/>
        <w:tblCellMar>
          <w:left w:w="58" w:type="dxa"/>
          <w:right w:w="58" w:type="dxa"/>
        </w:tblCellMar>
        <w:tblLook w:val="04A0" w:firstRow="1" w:lastRow="0" w:firstColumn="1" w:lastColumn="0" w:noHBand="0" w:noVBand="1"/>
      </w:tblPr>
      <w:tblGrid>
        <w:gridCol w:w="3599"/>
        <w:gridCol w:w="1260"/>
        <w:gridCol w:w="1440"/>
        <w:gridCol w:w="1440"/>
        <w:gridCol w:w="1206"/>
        <w:gridCol w:w="954"/>
        <w:gridCol w:w="1260"/>
        <w:gridCol w:w="900"/>
        <w:gridCol w:w="916"/>
      </w:tblGrid>
      <w:tr w:rsidR="00283785" w:rsidRPr="00283785" w:rsidTr="00283785">
        <w:trPr>
          <w:trHeight w:val="255"/>
          <w:jc w:val="center"/>
        </w:trPr>
        <w:tc>
          <w:tcPr>
            <w:tcW w:w="359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83785" w:rsidRPr="00283785" w:rsidRDefault="00283785" w:rsidP="00283785">
            <w:pPr>
              <w:widowControl/>
              <w:autoSpaceDE/>
              <w:autoSpaceDN/>
              <w:adjustRightInd/>
              <w:rPr>
                <w:b/>
                <w:bCs/>
                <w:sz w:val="20"/>
                <w:szCs w:val="20"/>
              </w:rPr>
            </w:pPr>
            <w:r w:rsidRPr="00283785">
              <w:rPr>
                <w:b/>
                <w:bCs/>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283785" w:rsidRPr="00283785" w:rsidRDefault="00283785" w:rsidP="00283785">
            <w:pPr>
              <w:widowControl/>
              <w:autoSpaceDE/>
              <w:autoSpaceDN/>
              <w:adjustRightInd/>
              <w:jc w:val="center"/>
              <w:rPr>
                <w:b/>
                <w:bCs/>
                <w:sz w:val="20"/>
                <w:szCs w:val="20"/>
              </w:rPr>
            </w:pPr>
            <w:r w:rsidRPr="00283785">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283785" w:rsidRPr="00283785" w:rsidRDefault="00283785" w:rsidP="00283785">
            <w:pPr>
              <w:widowControl/>
              <w:autoSpaceDE/>
              <w:autoSpaceDN/>
              <w:adjustRightInd/>
              <w:jc w:val="center"/>
              <w:rPr>
                <w:b/>
                <w:bCs/>
                <w:sz w:val="20"/>
                <w:szCs w:val="20"/>
              </w:rPr>
            </w:pPr>
            <w:r w:rsidRPr="00283785">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283785" w:rsidRPr="00283785" w:rsidRDefault="00283785" w:rsidP="00283785">
            <w:pPr>
              <w:widowControl/>
              <w:autoSpaceDE/>
              <w:autoSpaceDN/>
              <w:adjustRightInd/>
              <w:jc w:val="center"/>
              <w:rPr>
                <w:b/>
                <w:bCs/>
                <w:sz w:val="20"/>
                <w:szCs w:val="20"/>
              </w:rPr>
            </w:pPr>
            <w:r w:rsidRPr="00283785">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rsidR="00283785" w:rsidRPr="00283785" w:rsidRDefault="00283785" w:rsidP="00283785">
            <w:pPr>
              <w:widowControl/>
              <w:autoSpaceDE/>
              <w:autoSpaceDN/>
              <w:adjustRightInd/>
              <w:jc w:val="center"/>
              <w:rPr>
                <w:b/>
                <w:bCs/>
                <w:sz w:val="20"/>
                <w:szCs w:val="20"/>
              </w:rPr>
            </w:pPr>
            <w:r w:rsidRPr="00283785">
              <w:rPr>
                <w:b/>
                <w:bCs/>
                <w:sz w:val="20"/>
                <w:szCs w:val="20"/>
              </w:rPr>
              <w:t>D</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283785" w:rsidRPr="00283785" w:rsidRDefault="00283785" w:rsidP="00283785">
            <w:pPr>
              <w:widowControl/>
              <w:autoSpaceDE/>
              <w:autoSpaceDN/>
              <w:adjustRightInd/>
              <w:jc w:val="center"/>
              <w:rPr>
                <w:b/>
                <w:bCs/>
                <w:sz w:val="20"/>
                <w:szCs w:val="20"/>
              </w:rPr>
            </w:pPr>
            <w:r w:rsidRPr="00283785">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283785" w:rsidRPr="00283785" w:rsidRDefault="00283785" w:rsidP="00283785">
            <w:pPr>
              <w:widowControl/>
              <w:autoSpaceDE/>
              <w:autoSpaceDN/>
              <w:adjustRightInd/>
              <w:jc w:val="center"/>
              <w:rPr>
                <w:b/>
                <w:bCs/>
                <w:sz w:val="20"/>
                <w:szCs w:val="20"/>
              </w:rPr>
            </w:pPr>
            <w:r w:rsidRPr="00283785">
              <w:rPr>
                <w:b/>
                <w:bCs/>
                <w:sz w:val="20"/>
                <w:szCs w:val="20"/>
              </w:rPr>
              <w:t>F</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283785" w:rsidRPr="00283785" w:rsidRDefault="00283785" w:rsidP="00283785">
            <w:pPr>
              <w:widowControl/>
              <w:autoSpaceDE/>
              <w:autoSpaceDN/>
              <w:adjustRightInd/>
              <w:jc w:val="center"/>
              <w:rPr>
                <w:b/>
                <w:bCs/>
                <w:sz w:val="20"/>
                <w:szCs w:val="20"/>
              </w:rPr>
            </w:pPr>
            <w:r w:rsidRPr="00283785">
              <w:rPr>
                <w:b/>
                <w:bCs/>
                <w:sz w:val="20"/>
                <w:szCs w:val="20"/>
              </w:rPr>
              <w:t>G</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rsidR="00283785" w:rsidRPr="00283785" w:rsidRDefault="00283785" w:rsidP="00283785">
            <w:pPr>
              <w:widowControl/>
              <w:autoSpaceDE/>
              <w:autoSpaceDN/>
              <w:adjustRightInd/>
              <w:jc w:val="center"/>
              <w:rPr>
                <w:b/>
                <w:bCs/>
                <w:sz w:val="20"/>
                <w:szCs w:val="20"/>
              </w:rPr>
            </w:pPr>
            <w:r w:rsidRPr="00283785">
              <w:rPr>
                <w:b/>
                <w:bCs/>
                <w:sz w:val="20"/>
                <w:szCs w:val="20"/>
              </w:rPr>
              <w:t>H</w:t>
            </w:r>
          </w:p>
        </w:tc>
      </w:tr>
      <w:tr w:rsidR="00283785" w:rsidRPr="00283785" w:rsidTr="00283785">
        <w:trPr>
          <w:trHeight w:val="765"/>
          <w:jc w:val="center"/>
        </w:trPr>
        <w:tc>
          <w:tcPr>
            <w:tcW w:w="3599" w:type="dxa"/>
            <w:vMerge/>
            <w:tcBorders>
              <w:top w:val="single" w:sz="4" w:space="0" w:color="auto"/>
              <w:left w:val="single" w:sz="4" w:space="0" w:color="auto"/>
              <w:bottom w:val="single" w:sz="4" w:space="0" w:color="auto"/>
              <w:right w:val="single" w:sz="4" w:space="0" w:color="auto"/>
            </w:tcBorders>
            <w:vAlign w:val="center"/>
            <w:hideMark/>
          </w:tcPr>
          <w:p w:rsidR="00283785" w:rsidRPr="00283785" w:rsidRDefault="00283785" w:rsidP="00283785">
            <w:pPr>
              <w:widowControl/>
              <w:autoSpaceDE/>
              <w:autoSpaceDN/>
              <w:adjustRightInd/>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283785" w:rsidRPr="00283785" w:rsidRDefault="00283785" w:rsidP="00283785">
            <w:pPr>
              <w:widowControl/>
              <w:autoSpaceDE/>
              <w:autoSpaceDN/>
              <w:adjustRightInd/>
              <w:jc w:val="center"/>
              <w:rPr>
                <w:b/>
                <w:bCs/>
                <w:sz w:val="20"/>
                <w:szCs w:val="20"/>
              </w:rPr>
            </w:pPr>
            <w:r w:rsidRPr="00283785">
              <w:rPr>
                <w:b/>
                <w:bCs/>
                <w:sz w:val="20"/>
                <w:szCs w:val="20"/>
              </w:rPr>
              <w:t>Technical person-hours per occurrence</w:t>
            </w:r>
          </w:p>
        </w:tc>
        <w:tc>
          <w:tcPr>
            <w:tcW w:w="1440" w:type="dxa"/>
            <w:tcBorders>
              <w:top w:val="nil"/>
              <w:left w:val="nil"/>
              <w:bottom w:val="single" w:sz="4" w:space="0" w:color="auto"/>
              <w:right w:val="single" w:sz="4" w:space="0" w:color="auto"/>
            </w:tcBorders>
            <w:shd w:val="clear" w:color="auto" w:fill="auto"/>
            <w:vAlign w:val="bottom"/>
            <w:hideMark/>
          </w:tcPr>
          <w:p w:rsidR="00283785" w:rsidRDefault="00283785" w:rsidP="00283785">
            <w:pPr>
              <w:widowControl/>
              <w:autoSpaceDE/>
              <w:autoSpaceDN/>
              <w:adjustRightInd/>
              <w:jc w:val="center"/>
              <w:rPr>
                <w:b/>
                <w:bCs/>
                <w:sz w:val="20"/>
                <w:szCs w:val="20"/>
              </w:rPr>
            </w:pPr>
            <w:r w:rsidRPr="00283785">
              <w:rPr>
                <w:b/>
                <w:bCs/>
                <w:sz w:val="20"/>
                <w:szCs w:val="20"/>
              </w:rPr>
              <w:t xml:space="preserve">No. of occurrences </w:t>
            </w:r>
          </w:p>
          <w:p w:rsidR="00283785" w:rsidRPr="00283785" w:rsidRDefault="00283785" w:rsidP="00283785">
            <w:pPr>
              <w:widowControl/>
              <w:autoSpaceDE/>
              <w:autoSpaceDN/>
              <w:adjustRightInd/>
              <w:jc w:val="center"/>
              <w:rPr>
                <w:b/>
                <w:bCs/>
                <w:sz w:val="20"/>
                <w:szCs w:val="20"/>
              </w:rPr>
            </w:pPr>
            <w:r w:rsidRPr="00283785">
              <w:rPr>
                <w:b/>
                <w:bCs/>
                <w:sz w:val="20"/>
                <w:szCs w:val="20"/>
              </w:rPr>
              <w:t>per respondent per year</w:t>
            </w:r>
          </w:p>
        </w:tc>
        <w:tc>
          <w:tcPr>
            <w:tcW w:w="1440" w:type="dxa"/>
            <w:tcBorders>
              <w:top w:val="nil"/>
              <w:left w:val="nil"/>
              <w:bottom w:val="single" w:sz="4" w:space="0" w:color="auto"/>
              <w:right w:val="single" w:sz="4" w:space="0" w:color="auto"/>
            </w:tcBorders>
            <w:shd w:val="clear" w:color="auto" w:fill="auto"/>
            <w:vAlign w:val="bottom"/>
            <w:hideMark/>
          </w:tcPr>
          <w:p w:rsidR="00283785" w:rsidRPr="00283785" w:rsidRDefault="00283785" w:rsidP="00283785">
            <w:pPr>
              <w:widowControl/>
              <w:autoSpaceDE/>
              <w:autoSpaceDN/>
              <w:adjustRightInd/>
              <w:jc w:val="center"/>
              <w:rPr>
                <w:b/>
                <w:bCs/>
                <w:sz w:val="20"/>
                <w:szCs w:val="20"/>
              </w:rPr>
            </w:pPr>
            <w:r w:rsidRPr="00283785">
              <w:rPr>
                <w:b/>
                <w:bCs/>
                <w:sz w:val="20"/>
                <w:szCs w:val="20"/>
              </w:rPr>
              <w:t>Technical person-hours per respondent per year (AxB)</w:t>
            </w:r>
          </w:p>
        </w:tc>
        <w:tc>
          <w:tcPr>
            <w:tcW w:w="1206" w:type="dxa"/>
            <w:tcBorders>
              <w:top w:val="nil"/>
              <w:left w:val="nil"/>
              <w:bottom w:val="single" w:sz="4" w:space="0" w:color="auto"/>
              <w:right w:val="single" w:sz="4" w:space="0" w:color="auto"/>
            </w:tcBorders>
            <w:shd w:val="clear" w:color="auto" w:fill="auto"/>
            <w:vAlign w:val="bottom"/>
            <w:hideMark/>
          </w:tcPr>
          <w:p w:rsidR="00283785" w:rsidRPr="00283785" w:rsidRDefault="00283785" w:rsidP="00283785">
            <w:pPr>
              <w:widowControl/>
              <w:autoSpaceDE/>
              <w:autoSpaceDN/>
              <w:adjustRightInd/>
              <w:jc w:val="center"/>
              <w:rPr>
                <w:b/>
                <w:bCs/>
                <w:sz w:val="20"/>
                <w:szCs w:val="20"/>
              </w:rPr>
            </w:pPr>
            <w:r w:rsidRPr="00283785">
              <w:rPr>
                <w:b/>
                <w:bCs/>
                <w:sz w:val="20"/>
                <w:szCs w:val="20"/>
              </w:rPr>
              <w:t xml:space="preserve">Respondents per year </w:t>
            </w:r>
            <w:r w:rsidRPr="00283785">
              <w:rPr>
                <w:b/>
                <w:bCs/>
                <w:sz w:val="20"/>
                <w:szCs w:val="20"/>
                <w:vertAlign w:val="superscript"/>
              </w:rPr>
              <w:t>a</w:t>
            </w:r>
          </w:p>
        </w:tc>
        <w:tc>
          <w:tcPr>
            <w:tcW w:w="954" w:type="dxa"/>
            <w:tcBorders>
              <w:top w:val="nil"/>
              <w:left w:val="nil"/>
              <w:bottom w:val="single" w:sz="4" w:space="0" w:color="auto"/>
              <w:right w:val="single" w:sz="4" w:space="0" w:color="auto"/>
            </w:tcBorders>
            <w:shd w:val="clear" w:color="auto" w:fill="auto"/>
            <w:vAlign w:val="bottom"/>
            <w:hideMark/>
          </w:tcPr>
          <w:p w:rsidR="00283785" w:rsidRDefault="00283785" w:rsidP="00283785">
            <w:pPr>
              <w:widowControl/>
              <w:autoSpaceDE/>
              <w:autoSpaceDN/>
              <w:adjustRightInd/>
              <w:jc w:val="center"/>
              <w:rPr>
                <w:b/>
                <w:bCs/>
                <w:sz w:val="20"/>
                <w:szCs w:val="20"/>
              </w:rPr>
            </w:pPr>
            <w:r w:rsidRPr="00283785">
              <w:rPr>
                <w:b/>
                <w:bCs/>
                <w:sz w:val="20"/>
                <w:szCs w:val="20"/>
              </w:rPr>
              <w:t xml:space="preserve">Technical hours </w:t>
            </w:r>
          </w:p>
          <w:p w:rsidR="00283785" w:rsidRPr="00283785" w:rsidRDefault="00283785" w:rsidP="00283785">
            <w:pPr>
              <w:widowControl/>
              <w:autoSpaceDE/>
              <w:autoSpaceDN/>
              <w:adjustRightInd/>
              <w:jc w:val="center"/>
              <w:rPr>
                <w:b/>
                <w:bCs/>
                <w:sz w:val="20"/>
                <w:szCs w:val="20"/>
              </w:rPr>
            </w:pPr>
            <w:r w:rsidRPr="00283785">
              <w:rPr>
                <w:b/>
                <w:bCs/>
                <w:sz w:val="20"/>
                <w:szCs w:val="20"/>
              </w:rPr>
              <w:t>per year (CxD)</w:t>
            </w:r>
          </w:p>
        </w:tc>
        <w:tc>
          <w:tcPr>
            <w:tcW w:w="1260" w:type="dxa"/>
            <w:tcBorders>
              <w:top w:val="nil"/>
              <w:left w:val="nil"/>
              <w:bottom w:val="single" w:sz="4" w:space="0" w:color="auto"/>
              <w:right w:val="single" w:sz="4" w:space="0" w:color="auto"/>
            </w:tcBorders>
            <w:shd w:val="clear" w:color="auto" w:fill="auto"/>
            <w:vAlign w:val="bottom"/>
            <w:hideMark/>
          </w:tcPr>
          <w:p w:rsidR="00283785" w:rsidRDefault="00283785" w:rsidP="00283785">
            <w:pPr>
              <w:widowControl/>
              <w:autoSpaceDE/>
              <w:autoSpaceDN/>
              <w:adjustRightInd/>
              <w:jc w:val="center"/>
              <w:rPr>
                <w:b/>
                <w:bCs/>
                <w:sz w:val="20"/>
                <w:szCs w:val="20"/>
              </w:rPr>
            </w:pPr>
            <w:r w:rsidRPr="00283785">
              <w:rPr>
                <w:b/>
                <w:bCs/>
                <w:sz w:val="20"/>
                <w:szCs w:val="20"/>
              </w:rPr>
              <w:t xml:space="preserve">Management hours </w:t>
            </w:r>
          </w:p>
          <w:p w:rsidR="00283785" w:rsidRPr="00283785" w:rsidRDefault="00283785" w:rsidP="00283785">
            <w:pPr>
              <w:widowControl/>
              <w:autoSpaceDE/>
              <w:autoSpaceDN/>
              <w:adjustRightInd/>
              <w:jc w:val="center"/>
              <w:rPr>
                <w:b/>
                <w:bCs/>
                <w:sz w:val="20"/>
                <w:szCs w:val="20"/>
              </w:rPr>
            </w:pPr>
            <w:r w:rsidRPr="00283785">
              <w:rPr>
                <w:b/>
                <w:bCs/>
                <w:sz w:val="20"/>
                <w:szCs w:val="20"/>
              </w:rPr>
              <w:t>per year  (Ex0.05)</w:t>
            </w:r>
          </w:p>
        </w:tc>
        <w:tc>
          <w:tcPr>
            <w:tcW w:w="900" w:type="dxa"/>
            <w:tcBorders>
              <w:top w:val="nil"/>
              <w:left w:val="nil"/>
              <w:bottom w:val="single" w:sz="4" w:space="0" w:color="auto"/>
              <w:right w:val="single" w:sz="4" w:space="0" w:color="auto"/>
            </w:tcBorders>
            <w:shd w:val="clear" w:color="auto" w:fill="auto"/>
            <w:vAlign w:val="bottom"/>
            <w:hideMark/>
          </w:tcPr>
          <w:p w:rsidR="00283785" w:rsidRPr="00283785" w:rsidRDefault="00283785" w:rsidP="00283785">
            <w:pPr>
              <w:widowControl/>
              <w:autoSpaceDE/>
              <w:autoSpaceDN/>
              <w:adjustRightInd/>
              <w:jc w:val="center"/>
              <w:rPr>
                <w:b/>
                <w:bCs/>
                <w:sz w:val="20"/>
                <w:szCs w:val="20"/>
              </w:rPr>
            </w:pPr>
            <w:r w:rsidRPr="00283785">
              <w:rPr>
                <w:b/>
                <w:bCs/>
                <w:sz w:val="20"/>
                <w:szCs w:val="20"/>
              </w:rPr>
              <w:t>Clerical hours per year (Ex0.10)</w:t>
            </w:r>
          </w:p>
        </w:tc>
        <w:tc>
          <w:tcPr>
            <w:tcW w:w="916" w:type="dxa"/>
            <w:tcBorders>
              <w:top w:val="nil"/>
              <w:left w:val="nil"/>
              <w:bottom w:val="single" w:sz="4" w:space="0" w:color="auto"/>
              <w:right w:val="single" w:sz="4" w:space="0" w:color="auto"/>
            </w:tcBorders>
            <w:shd w:val="clear" w:color="auto" w:fill="auto"/>
            <w:vAlign w:val="bottom"/>
            <w:hideMark/>
          </w:tcPr>
          <w:p w:rsidR="00283785" w:rsidRPr="00283785" w:rsidRDefault="00283785" w:rsidP="00283785">
            <w:pPr>
              <w:widowControl/>
              <w:autoSpaceDE/>
              <w:autoSpaceDN/>
              <w:adjustRightInd/>
              <w:jc w:val="center"/>
              <w:rPr>
                <w:b/>
                <w:bCs/>
                <w:sz w:val="20"/>
                <w:szCs w:val="20"/>
              </w:rPr>
            </w:pPr>
            <w:r w:rsidRPr="00283785">
              <w:rPr>
                <w:b/>
                <w:bCs/>
                <w:sz w:val="20"/>
                <w:szCs w:val="20"/>
              </w:rPr>
              <w:t xml:space="preserve">Total cost per year ($) </w:t>
            </w:r>
            <w:r w:rsidRPr="00283785">
              <w:rPr>
                <w:b/>
                <w:bCs/>
                <w:sz w:val="20"/>
                <w:szCs w:val="20"/>
                <w:vertAlign w:val="superscript"/>
              </w:rPr>
              <w:t>b</w:t>
            </w:r>
          </w:p>
        </w:tc>
      </w:tr>
      <w:tr w:rsidR="00283785" w:rsidRPr="00283785" w:rsidTr="00283785">
        <w:trPr>
          <w:trHeight w:val="255"/>
          <w:jc w:val="center"/>
        </w:trPr>
        <w:tc>
          <w:tcPr>
            <w:tcW w:w="3599" w:type="dxa"/>
            <w:tcBorders>
              <w:top w:val="nil"/>
              <w:left w:val="single" w:sz="4" w:space="0" w:color="auto"/>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rPr>
                <w:sz w:val="20"/>
                <w:szCs w:val="20"/>
              </w:rPr>
            </w:pPr>
            <w:r w:rsidRPr="00283785">
              <w:rPr>
                <w:sz w:val="20"/>
                <w:szCs w:val="20"/>
              </w:rPr>
              <w:t>New facilities</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 </w:t>
            </w:r>
          </w:p>
        </w:tc>
        <w:tc>
          <w:tcPr>
            <w:tcW w:w="120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 </w:t>
            </w:r>
          </w:p>
        </w:tc>
        <w:tc>
          <w:tcPr>
            <w:tcW w:w="954"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 </w:t>
            </w:r>
          </w:p>
        </w:tc>
        <w:tc>
          <w:tcPr>
            <w:tcW w:w="90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 </w:t>
            </w:r>
          </w:p>
        </w:tc>
        <w:tc>
          <w:tcPr>
            <w:tcW w:w="91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 </w:t>
            </w:r>
          </w:p>
        </w:tc>
      </w:tr>
      <w:tr w:rsidR="00283785" w:rsidRPr="00283785" w:rsidTr="00283785">
        <w:trPr>
          <w:trHeight w:val="255"/>
          <w:jc w:val="center"/>
        </w:trPr>
        <w:tc>
          <w:tcPr>
            <w:tcW w:w="3599" w:type="dxa"/>
            <w:tcBorders>
              <w:top w:val="nil"/>
              <w:left w:val="single" w:sz="4" w:space="0" w:color="auto"/>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ind w:left="265"/>
              <w:rPr>
                <w:sz w:val="20"/>
                <w:szCs w:val="20"/>
              </w:rPr>
            </w:pPr>
            <w:r w:rsidRPr="00283785">
              <w:rPr>
                <w:sz w:val="20"/>
                <w:szCs w:val="20"/>
              </w:rPr>
              <w:t>Notification of construction/</w:t>
            </w:r>
            <w:r>
              <w:rPr>
                <w:sz w:val="20"/>
                <w:szCs w:val="20"/>
              </w:rPr>
              <w:t xml:space="preserve"> </w:t>
            </w:r>
            <w:r w:rsidRPr="00283785">
              <w:rPr>
                <w:sz w:val="20"/>
                <w:szCs w:val="20"/>
              </w:rPr>
              <w:t>reconstruction</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120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5</w:t>
            </w:r>
          </w:p>
        </w:tc>
        <w:tc>
          <w:tcPr>
            <w:tcW w:w="954"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10</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0.5</w:t>
            </w:r>
          </w:p>
        </w:tc>
        <w:tc>
          <w:tcPr>
            <w:tcW w:w="90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w:t>
            </w:r>
          </w:p>
        </w:tc>
        <w:tc>
          <w:tcPr>
            <w:tcW w:w="91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right"/>
              <w:rPr>
                <w:sz w:val="20"/>
                <w:szCs w:val="20"/>
              </w:rPr>
            </w:pPr>
            <w:r w:rsidRPr="00283785">
              <w:rPr>
                <w:sz w:val="20"/>
                <w:szCs w:val="20"/>
              </w:rPr>
              <w:t>523.4</w:t>
            </w:r>
          </w:p>
        </w:tc>
      </w:tr>
      <w:tr w:rsidR="00283785" w:rsidRPr="00283785" w:rsidTr="00283785">
        <w:trPr>
          <w:trHeight w:val="255"/>
          <w:jc w:val="center"/>
        </w:trPr>
        <w:tc>
          <w:tcPr>
            <w:tcW w:w="3599" w:type="dxa"/>
            <w:tcBorders>
              <w:top w:val="nil"/>
              <w:left w:val="single" w:sz="4" w:space="0" w:color="auto"/>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ind w:left="265"/>
              <w:rPr>
                <w:sz w:val="20"/>
                <w:szCs w:val="20"/>
              </w:rPr>
            </w:pPr>
            <w:r w:rsidRPr="00283785">
              <w:rPr>
                <w:sz w:val="20"/>
                <w:szCs w:val="20"/>
              </w:rPr>
              <w:t>Notification of actual startup</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120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5</w:t>
            </w:r>
          </w:p>
        </w:tc>
        <w:tc>
          <w:tcPr>
            <w:tcW w:w="954"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10</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0.5</w:t>
            </w:r>
          </w:p>
        </w:tc>
        <w:tc>
          <w:tcPr>
            <w:tcW w:w="90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w:t>
            </w:r>
          </w:p>
        </w:tc>
        <w:tc>
          <w:tcPr>
            <w:tcW w:w="91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right"/>
              <w:rPr>
                <w:sz w:val="20"/>
                <w:szCs w:val="20"/>
              </w:rPr>
            </w:pPr>
            <w:r w:rsidRPr="00283785">
              <w:rPr>
                <w:sz w:val="20"/>
                <w:szCs w:val="20"/>
              </w:rPr>
              <w:t>523.4</w:t>
            </w:r>
          </w:p>
        </w:tc>
      </w:tr>
      <w:tr w:rsidR="00283785" w:rsidRPr="00283785" w:rsidTr="00283785">
        <w:trPr>
          <w:trHeight w:val="255"/>
          <w:jc w:val="center"/>
        </w:trPr>
        <w:tc>
          <w:tcPr>
            <w:tcW w:w="3599" w:type="dxa"/>
            <w:tcBorders>
              <w:top w:val="nil"/>
              <w:left w:val="single" w:sz="4" w:space="0" w:color="auto"/>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ind w:left="265"/>
              <w:rPr>
                <w:sz w:val="20"/>
                <w:szCs w:val="20"/>
              </w:rPr>
            </w:pPr>
            <w:r w:rsidRPr="00283785">
              <w:rPr>
                <w:sz w:val="20"/>
                <w:szCs w:val="20"/>
              </w:rPr>
              <w:t>Notification of initial performance test</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120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5</w:t>
            </w:r>
          </w:p>
        </w:tc>
        <w:tc>
          <w:tcPr>
            <w:tcW w:w="954"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10</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0.5</w:t>
            </w:r>
          </w:p>
        </w:tc>
        <w:tc>
          <w:tcPr>
            <w:tcW w:w="90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w:t>
            </w:r>
          </w:p>
        </w:tc>
        <w:tc>
          <w:tcPr>
            <w:tcW w:w="91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right"/>
              <w:rPr>
                <w:sz w:val="20"/>
                <w:szCs w:val="20"/>
              </w:rPr>
            </w:pPr>
            <w:r w:rsidRPr="00283785">
              <w:rPr>
                <w:sz w:val="20"/>
                <w:szCs w:val="20"/>
              </w:rPr>
              <w:t>523.4</w:t>
            </w:r>
          </w:p>
        </w:tc>
      </w:tr>
      <w:tr w:rsidR="00283785" w:rsidRPr="00283785" w:rsidTr="00283785">
        <w:trPr>
          <w:trHeight w:val="255"/>
          <w:jc w:val="center"/>
        </w:trPr>
        <w:tc>
          <w:tcPr>
            <w:tcW w:w="3599" w:type="dxa"/>
            <w:tcBorders>
              <w:top w:val="nil"/>
              <w:left w:val="single" w:sz="4" w:space="0" w:color="auto"/>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ind w:left="265"/>
              <w:rPr>
                <w:sz w:val="20"/>
                <w:szCs w:val="20"/>
              </w:rPr>
            </w:pPr>
            <w:r w:rsidRPr="00283785">
              <w:rPr>
                <w:sz w:val="20"/>
                <w:szCs w:val="20"/>
              </w:rPr>
              <w:t>Notification of VOC use at end of initial year</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120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w:t>
            </w:r>
          </w:p>
        </w:tc>
        <w:tc>
          <w:tcPr>
            <w:tcW w:w="954"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0.1</w:t>
            </w:r>
          </w:p>
        </w:tc>
        <w:tc>
          <w:tcPr>
            <w:tcW w:w="90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0.2</w:t>
            </w:r>
          </w:p>
        </w:tc>
        <w:tc>
          <w:tcPr>
            <w:tcW w:w="91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right"/>
              <w:rPr>
                <w:sz w:val="20"/>
                <w:szCs w:val="20"/>
              </w:rPr>
            </w:pPr>
            <w:r w:rsidRPr="00283785">
              <w:rPr>
                <w:sz w:val="20"/>
                <w:szCs w:val="20"/>
              </w:rPr>
              <w:t>104.68</w:t>
            </w:r>
          </w:p>
        </w:tc>
      </w:tr>
      <w:tr w:rsidR="00283785" w:rsidRPr="00283785" w:rsidTr="00283785">
        <w:trPr>
          <w:trHeight w:val="255"/>
          <w:jc w:val="center"/>
        </w:trPr>
        <w:tc>
          <w:tcPr>
            <w:tcW w:w="3599" w:type="dxa"/>
            <w:tcBorders>
              <w:top w:val="nil"/>
              <w:left w:val="single" w:sz="4" w:space="0" w:color="auto"/>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ind w:left="265"/>
              <w:rPr>
                <w:sz w:val="20"/>
                <w:szCs w:val="20"/>
              </w:rPr>
            </w:pPr>
            <w:r w:rsidRPr="00283785">
              <w:rPr>
                <w:sz w:val="20"/>
                <w:szCs w:val="20"/>
              </w:rPr>
              <w:t>Performance test results</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8</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8</w:t>
            </w:r>
          </w:p>
        </w:tc>
        <w:tc>
          <w:tcPr>
            <w:tcW w:w="120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5</w:t>
            </w:r>
          </w:p>
        </w:tc>
        <w:tc>
          <w:tcPr>
            <w:tcW w:w="954"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40</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90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4</w:t>
            </w:r>
          </w:p>
        </w:tc>
        <w:tc>
          <w:tcPr>
            <w:tcW w:w="91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right"/>
              <w:rPr>
                <w:sz w:val="20"/>
                <w:szCs w:val="20"/>
              </w:rPr>
            </w:pPr>
            <w:r w:rsidRPr="00283785">
              <w:rPr>
                <w:sz w:val="20"/>
                <w:szCs w:val="20"/>
              </w:rPr>
              <w:t>2,093.6</w:t>
            </w:r>
          </w:p>
        </w:tc>
      </w:tr>
      <w:tr w:rsidR="00283785" w:rsidRPr="00283785" w:rsidTr="00283785">
        <w:trPr>
          <w:trHeight w:val="255"/>
          <w:jc w:val="center"/>
        </w:trPr>
        <w:tc>
          <w:tcPr>
            <w:tcW w:w="3599" w:type="dxa"/>
            <w:tcBorders>
              <w:top w:val="nil"/>
              <w:left w:val="single" w:sz="4" w:space="0" w:color="auto"/>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ind w:left="265"/>
              <w:rPr>
                <w:sz w:val="20"/>
                <w:szCs w:val="20"/>
              </w:rPr>
            </w:pPr>
            <w:r w:rsidRPr="00283785">
              <w:rPr>
                <w:sz w:val="20"/>
                <w:szCs w:val="20"/>
              </w:rPr>
              <w:t>New and existing facilities</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 </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 </w:t>
            </w:r>
          </w:p>
        </w:tc>
        <w:tc>
          <w:tcPr>
            <w:tcW w:w="120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 </w:t>
            </w:r>
          </w:p>
        </w:tc>
        <w:tc>
          <w:tcPr>
            <w:tcW w:w="954"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 </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 </w:t>
            </w:r>
          </w:p>
        </w:tc>
        <w:tc>
          <w:tcPr>
            <w:tcW w:w="90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 </w:t>
            </w:r>
          </w:p>
        </w:tc>
        <w:tc>
          <w:tcPr>
            <w:tcW w:w="91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 </w:t>
            </w:r>
          </w:p>
        </w:tc>
      </w:tr>
      <w:tr w:rsidR="00283785" w:rsidRPr="00283785" w:rsidTr="00283785">
        <w:trPr>
          <w:trHeight w:val="510"/>
          <w:jc w:val="center"/>
        </w:trPr>
        <w:tc>
          <w:tcPr>
            <w:tcW w:w="3599" w:type="dxa"/>
            <w:tcBorders>
              <w:top w:val="nil"/>
              <w:left w:val="single" w:sz="4" w:space="0" w:color="auto"/>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ind w:left="265"/>
              <w:rPr>
                <w:sz w:val="20"/>
                <w:szCs w:val="20"/>
              </w:rPr>
            </w:pPr>
            <w:r w:rsidRPr="00283785">
              <w:rPr>
                <w:sz w:val="20"/>
                <w:szCs w:val="20"/>
              </w:rPr>
              <w:t>Report of monitoring exceedances and non-compliance periods</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8</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4</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32</w:t>
            </w:r>
          </w:p>
        </w:tc>
        <w:tc>
          <w:tcPr>
            <w:tcW w:w="120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12</w:t>
            </w:r>
          </w:p>
        </w:tc>
        <w:tc>
          <w:tcPr>
            <w:tcW w:w="954"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384</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19.2</w:t>
            </w:r>
          </w:p>
        </w:tc>
        <w:tc>
          <w:tcPr>
            <w:tcW w:w="90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38.4</w:t>
            </w:r>
          </w:p>
        </w:tc>
        <w:tc>
          <w:tcPr>
            <w:tcW w:w="91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right"/>
              <w:rPr>
                <w:sz w:val="20"/>
                <w:szCs w:val="20"/>
              </w:rPr>
            </w:pPr>
            <w:r w:rsidRPr="00283785">
              <w:rPr>
                <w:sz w:val="20"/>
                <w:szCs w:val="20"/>
              </w:rPr>
              <w:t>20,098.56</w:t>
            </w:r>
          </w:p>
        </w:tc>
      </w:tr>
      <w:tr w:rsidR="00283785" w:rsidRPr="00283785" w:rsidTr="00283785">
        <w:trPr>
          <w:trHeight w:val="255"/>
          <w:jc w:val="center"/>
        </w:trPr>
        <w:tc>
          <w:tcPr>
            <w:tcW w:w="3599" w:type="dxa"/>
            <w:tcBorders>
              <w:top w:val="nil"/>
              <w:left w:val="single" w:sz="4" w:space="0" w:color="auto"/>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ind w:left="265"/>
              <w:rPr>
                <w:sz w:val="20"/>
                <w:szCs w:val="20"/>
              </w:rPr>
            </w:pPr>
            <w:r w:rsidRPr="00283785">
              <w:rPr>
                <w:sz w:val="20"/>
                <w:szCs w:val="20"/>
              </w:rPr>
              <w:t>Report of no excess emissions</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4</w:t>
            </w:r>
          </w:p>
        </w:tc>
        <w:tc>
          <w:tcPr>
            <w:tcW w:w="120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47</w:t>
            </w:r>
          </w:p>
        </w:tc>
        <w:tc>
          <w:tcPr>
            <w:tcW w:w="954"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188</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9.4</w:t>
            </w:r>
          </w:p>
        </w:tc>
        <w:tc>
          <w:tcPr>
            <w:tcW w:w="90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18.8</w:t>
            </w:r>
          </w:p>
        </w:tc>
        <w:tc>
          <w:tcPr>
            <w:tcW w:w="91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right"/>
              <w:rPr>
                <w:sz w:val="20"/>
                <w:szCs w:val="20"/>
              </w:rPr>
            </w:pPr>
            <w:r w:rsidRPr="00283785">
              <w:rPr>
                <w:sz w:val="20"/>
                <w:szCs w:val="20"/>
              </w:rPr>
              <w:t>9,839.92</w:t>
            </w:r>
          </w:p>
        </w:tc>
      </w:tr>
      <w:tr w:rsidR="00283785" w:rsidRPr="00283785" w:rsidTr="00283785">
        <w:trPr>
          <w:trHeight w:val="255"/>
          <w:jc w:val="center"/>
        </w:trPr>
        <w:tc>
          <w:tcPr>
            <w:tcW w:w="3599" w:type="dxa"/>
            <w:tcBorders>
              <w:top w:val="nil"/>
              <w:left w:val="single" w:sz="4" w:space="0" w:color="auto"/>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ind w:left="265"/>
              <w:rPr>
                <w:sz w:val="20"/>
                <w:szCs w:val="20"/>
              </w:rPr>
            </w:pPr>
            <w:r w:rsidRPr="00283785">
              <w:rPr>
                <w:sz w:val="20"/>
                <w:szCs w:val="20"/>
              </w:rPr>
              <w:t>Report when 1st projected VOC use exceeds cutoff</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120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954"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4</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0.2</w:t>
            </w:r>
          </w:p>
        </w:tc>
        <w:tc>
          <w:tcPr>
            <w:tcW w:w="90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0.4</w:t>
            </w:r>
          </w:p>
        </w:tc>
        <w:tc>
          <w:tcPr>
            <w:tcW w:w="91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right"/>
              <w:rPr>
                <w:sz w:val="20"/>
                <w:szCs w:val="20"/>
              </w:rPr>
            </w:pPr>
            <w:r w:rsidRPr="00283785">
              <w:rPr>
                <w:sz w:val="20"/>
                <w:szCs w:val="20"/>
              </w:rPr>
              <w:t>209.36</w:t>
            </w:r>
          </w:p>
        </w:tc>
      </w:tr>
      <w:tr w:rsidR="00283785" w:rsidRPr="00283785" w:rsidTr="00283785">
        <w:trPr>
          <w:trHeight w:val="255"/>
          <w:jc w:val="center"/>
        </w:trPr>
        <w:tc>
          <w:tcPr>
            <w:tcW w:w="3599" w:type="dxa"/>
            <w:tcBorders>
              <w:top w:val="nil"/>
              <w:left w:val="single" w:sz="4" w:space="0" w:color="auto"/>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ind w:left="265"/>
              <w:rPr>
                <w:sz w:val="20"/>
                <w:szCs w:val="20"/>
              </w:rPr>
            </w:pPr>
            <w:r w:rsidRPr="00283785">
              <w:rPr>
                <w:sz w:val="20"/>
                <w:szCs w:val="20"/>
              </w:rPr>
              <w:t>Report when 1st actual 12-month VOC use exceeds cutoff</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120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0</w:t>
            </w:r>
          </w:p>
        </w:tc>
        <w:tc>
          <w:tcPr>
            <w:tcW w:w="954"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0</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0</w:t>
            </w:r>
          </w:p>
        </w:tc>
        <w:tc>
          <w:tcPr>
            <w:tcW w:w="90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0</w:t>
            </w:r>
          </w:p>
        </w:tc>
        <w:tc>
          <w:tcPr>
            <w:tcW w:w="91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right"/>
              <w:rPr>
                <w:sz w:val="20"/>
                <w:szCs w:val="20"/>
              </w:rPr>
            </w:pPr>
            <w:r w:rsidRPr="00283785">
              <w:rPr>
                <w:sz w:val="20"/>
                <w:szCs w:val="20"/>
              </w:rPr>
              <w:t>0</w:t>
            </w:r>
          </w:p>
        </w:tc>
      </w:tr>
      <w:tr w:rsidR="00283785" w:rsidRPr="00283785" w:rsidTr="00283785">
        <w:trPr>
          <w:trHeight w:val="255"/>
          <w:jc w:val="center"/>
        </w:trPr>
        <w:tc>
          <w:tcPr>
            <w:tcW w:w="3599" w:type="dxa"/>
            <w:tcBorders>
              <w:top w:val="nil"/>
              <w:left w:val="single" w:sz="4" w:space="0" w:color="auto"/>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ind w:left="265"/>
              <w:rPr>
                <w:sz w:val="20"/>
                <w:szCs w:val="20"/>
              </w:rPr>
            </w:pPr>
            <w:r w:rsidRPr="00283785">
              <w:rPr>
                <w:sz w:val="20"/>
                <w:szCs w:val="20"/>
              </w:rPr>
              <w:t>Notification of changes</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w:t>
            </w:r>
          </w:p>
        </w:tc>
        <w:tc>
          <w:tcPr>
            <w:tcW w:w="144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2</w:t>
            </w:r>
          </w:p>
        </w:tc>
        <w:tc>
          <w:tcPr>
            <w:tcW w:w="120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5</w:t>
            </w:r>
          </w:p>
        </w:tc>
        <w:tc>
          <w:tcPr>
            <w:tcW w:w="954"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10</w:t>
            </w:r>
          </w:p>
        </w:tc>
        <w:tc>
          <w:tcPr>
            <w:tcW w:w="126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0.5</w:t>
            </w:r>
          </w:p>
        </w:tc>
        <w:tc>
          <w:tcPr>
            <w:tcW w:w="900"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sz w:val="20"/>
                <w:szCs w:val="20"/>
              </w:rPr>
            </w:pPr>
            <w:r w:rsidRPr="00283785">
              <w:rPr>
                <w:sz w:val="20"/>
                <w:szCs w:val="20"/>
              </w:rPr>
              <w:t>1</w:t>
            </w:r>
          </w:p>
        </w:tc>
        <w:tc>
          <w:tcPr>
            <w:tcW w:w="91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right"/>
              <w:rPr>
                <w:sz w:val="20"/>
                <w:szCs w:val="20"/>
              </w:rPr>
            </w:pPr>
            <w:r w:rsidRPr="00283785">
              <w:rPr>
                <w:sz w:val="20"/>
                <w:szCs w:val="20"/>
              </w:rPr>
              <w:t>523.4</w:t>
            </w:r>
          </w:p>
        </w:tc>
      </w:tr>
      <w:tr w:rsidR="00283785" w:rsidRPr="00283785" w:rsidTr="00A60014">
        <w:trPr>
          <w:trHeight w:val="255"/>
          <w:jc w:val="center"/>
        </w:trPr>
        <w:tc>
          <w:tcPr>
            <w:tcW w:w="8945" w:type="dxa"/>
            <w:gridSpan w:val="5"/>
            <w:tcBorders>
              <w:top w:val="nil"/>
              <w:left w:val="single" w:sz="4" w:space="0" w:color="auto"/>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rPr>
                <w:b/>
                <w:bCs/>
                <w:sz w:val="20"/>
                <w:szCs w:val="20"/>
              </w:rPr>
            </w:pPr>
            <w:r w:rsidRPr="00283785">
              <w:rPr>
                <w:b/>
                <w:bCs/>
                <w:sz w:val="20"/>
                <w:szCs w:val="20"/>
              </w:rPr>
              <w:t>TOTAL ANNUAL BURDEN AND COST (ROUNDED) </w:t>
            </w:r>
          </w:p>
        </w:tc>
        <w:tc>
          <w:tcPr>
            <w:tcW w:w="3114" w:type="dxa"/>
            <w:gridSpan w:val="3"/>
            <w:tcBorders>
              <w:top w:val="single" w:sz="4" w:space="0" w:color="auto"/>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center"/>
              <w:rPr>
                <w:b/>
                <w:bCs/>
                <w:sz w:val="20"/>
                <w:szCs w:val="20"/>
              </w:rPr>
            </w:pPr>
            <w:r w:rsidRPr="00283785">
              <w:rPr>
                <w:b/>
                <w:bCs/>
                <w:sz w:val="20"/>
                <w:szCs w:val="20"/>
              </w:rPr>
              <w:t>757</w:t>
            </w:r>
          </w:p>
        </w:tc>
        <w:tc>
          <w:tcPr>
            <w:tcW w:w="916" w:type="dxa"/>
            <w:tcBorders>
              <w:top w:val="nil"/>
              <w:left w:val="nil"/>
              <w:bottom w:val="single" w:sz="4" w:space="0" w:color="auto"/>
              <w:right w:val="single" w:sz="4" w:space="0" w:color="auto"/>
            </w:tcBorders>
            <w:shd w:val="clear" w:color="auto" w:fill="auto"/>
            <w:hideMark/>
          </w:tcPr>
          <w:p w:rsidR="00283785" w:rsidRPr="00283785" w:rsidRDefault="00283785" w:rsidP="00283785">
            <w:pPr>
              <w:widowControl/>
              <w:autoSpaceDE/>
              <w:autoSpaceDN/>
              <w:adjustRightInd/>
              <w:jc w:val="right"/>
              <w:rPr>
                <w:b/>
                <w:bCs/>
                <w:sz w:val="20"/>
                <w:szCs w:val="20"/>
              </w:rPr>
            </w:pPr>
            <w:r w:rsidRPr="00283785">
              <w:rPr>
                <w:b/>
                <w:bCs/>
                <w:sz w:val="20"/>
                <w:szCs w:val="20"/>
              </w:rPr>
              <w:t>34,440</w:t>
            </w:r>
          </w:p>
        </w:tc>
      </w:tr>
    </w:tbl>
    <w:p w:rsidR="00283785" w:rsidRDefault="00283785" w:rsidP="00F340DF">
      <w:pPr>
        <w:rPr>
          <w:bCs/>
        </w:rPr>
      </w:pPr>
    </w:p>
    <w:p w:rsidR="00283785" w:rsidRPr="00283785" w:rsidRDefault="00283785" w:rsidP="00283785">
      <w:pPr>
        <w:ind w:left="90" w:hanging="90"/>
        <w:rPr>
          <w:bCs/>
          <w:sz w:val="20"/>
        </w:rPr>
      </w:pPr>
      <w:r w:rsidRPr="00283785">
        <w:rPr>
          <w:bCs/>
          <w:sz w:val="20"/>
          <w:vertAlign w:val="superscript"/>
        </w:rPr>
        <w:t>a</w:t>
      </w:r>
      <w:r w:rsidRPr="00283785">
        <w:rPr>
          <w:bCs/>
          <w:sz w:val="20"/>
        </w:rPr>
        <w:t xml:space="preserve"> On average, EPA estimates 58 existing plants and 1 new plant per year will be subject to the NSPS over the next 3 years.  EPA assumes 4 existing plants per year will install new coating lines.</w:t>
      </w:r>
    </w:p>
    <w:p w:rsidR="00144F35" w:rsidRPr="00283785" w:rsidRDefault="00283785" w:rsidP="00283785">
      <w:pPr>
        <w:ind w:left="90" w:hanging="90"/>
        <w:rPr>
          <w:bCs/>
          <w:sz w:val="20"/>
        </w:rPr>
      </w:pPr>
      <w:r w:rsidRPr="00283785">
        <w:rPr>
          <w:bCs/>
          <w:sz w:val="20"/>
          <w:vertAlign w:val="superscript"/>
        </w:rPr>
        <w:t>b</w:t>
      </w:r>
      <w:r w:rsidRPr="00283785">
        <w:rPr>
          <w:bCs/>
          <w:sz w:val="20"/>
        </w:rPr>
        <w:t xml:space="preserve"> This ICR uses the following labor rates: $46.67 (technical), $62.90 (managerial), and $25.25 (clerical).  These rates are from the Office of Personnel Management (OPM), 2014 General Schedule, which excludes locality rates of pay.  The rates have been increased by 60 percent to account for the benefit packages available to government employees.</w:t>
      </w:r>
    </w:p>
    <w:sectPr w:rsidR="00144F35" w:rsidRPr="0028378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39F" w:rsidRDefault="00F8239F">
      <w:r>
        <w:separator/>
      </w:r>
    </w:p>
  </w:endnote>
  <w:endnote w:type="continuationSeparator" w:id="0">
    <w:p w:rsidR="00F8239F" w:rsidRDefault="00F8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39F" w:rsidRDefault="00F8239F">
      <w:r>
        <w:separator/>
      </w:r>
    </w:p>
  </w:footnote>
  <w:footnote w:type="continuationSeparator" w:id="0">
    <w:p w:rsidR="00F8239F" w:rsidRDefault="00F82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914" w:rsidRDefault="00F8239F">
    <w:pPr>
      <w:framePr w:w="9361" w:wrap="notBeside" w:vAnchor="text" w:hAnchor="text" w:x="1" w:y="1"/>
      <w:jc w:val="center"/>
    </w:pPr>
    <w:r>
      <w:fldChar w:fldCharType="begin"/>
    </w:r>
    <w:r>
      <w:instrText xml:space="preserve">PAGE </w:instrText>
    </w:r>
    <w:r>
      <w:fldChar w:fldCharType="separate"/>
    </w:r>
    <w:r w:rsidR="00562B14">
      <w:rPr>
        <w:noProof/>
      </w:rPr>
      <w:t>17</w:t>
    </w:r>
    <w:r>
      <w:rPr>
        <w:noProof/>
      </w:rPr>
      <w:fldChar w:fldCharType="end"/>
    </w:r>
  </w:p>
  <w:p w:rsidR="00356914" w:rsidRDefault="00356914"/>
  <w:p w:rsidR="00356914" w:rsidRDefault="0035691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3617B49"/>
    <w:multiLevelType w:val="hybridMultilevel"/>
    <w:tmpl w:val="FC3C386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84579"/>
    <w:rsid w:val="000A1FBB"/>
    <w:rsid w:val="000A687C"/>
    <w:rsid w:val="000D2272"/>
    <w:rsid w:val="000F3266"/>
    <w:rsid w:val="000F772C"/>
    <w:rsid w:val="00101B40"/>
    <w:rsid w:val="00102B52"/>
    <w:rsid w:val="0010697C"/>
    <w:rsid w:val="00123366"/>
    <w:rsid w:val="00123889"/>
    <w:rsid w:val="00126A7C"/>
    <w:rsid w:val="001356D4"/>
    <w:rsid w:val="0014079D"/>
    <w:rsid w:val="001436AF"/>
    <w:rsid w:val="00144978"/>
    <w:rsid w:val="00144A82"/>
    <w:rsid w:val="00144F35"/>
    <w:rsid w:val="0015433E"/>
    <w:rsid w:val="00186DA3"/>
    <w:rsid w:val="00195753"/>
    <w:rsid w:val="001A0B41"/>
    <w:rsid w:val="001B0B9A"/>
    <w:rsid w:val="001B35F2"/>
    <w:rsid w:val="001C28B5"/>
    <w:rsid w:val="001C5991"/>
    <w:rsid w:val="001D762C"/>
    <w:rsid w:val="001F19FF"/>
    <w:rsid w:val="002041C5"/>
    <w:rsid w:val="002063FE"/>
    <w:rsid w:val="00206932"/>
    <w:rsid w:val="0021722B"/>
    <w:rsid w:val="0022346C"/>
    <w:rsid w:val="002262DC"/>
    <w:rsid w:val="0022738C"/>
    <w:rsid w:val="00234A28"/>
    <w:rsid w:val="00236DB3"/>
    <w:rsid w:val="00236E06"/>
    <w:rsid w:val="002431D9"/>
    <w:rsid w:val="00260A04"/>
    <w:rsid w:val="002638A0"/>
    <w:rsid w:val="002712EB"/>
    <w:rsid w:val="0027222A"/>
    <w:rsid w:val="002743D2"/>
    <w:rsid w:val="00277F42"/>
    <w:rsid w:val="00281CAE"/>
    <w:rsid w:val="00281F13"/>
    <w:rsid w:val="00283785"/>
    <w:rsid w:val="00286E10"/>
    <w:rsid w:val="0029006A"/>
    <w:rsid w:val="002904E7"/>
    <w:rsid w:val="002976E9"/>
    <w:rsid w:val="002B29A5"/>
    <w:rsid w:val="002B29A7"/>
    <w:rsid w:val="002B517F"/>
    <w:rsid w:val="002B6993"/>
    <w:rsid w:val="002C1F95"/>
    <w:rsid w:val="002C416A"/>
    <w:rsid w:val="002C77DF"/>
    <w:rsid w:val="002D7683"/>
    <w:rsid w:val="002E002D"/>
    <w:rsid w:val="002F54E5"/>
    <w:rsid w:val="002F674B"/>
    <w:rsid w:val="002F6DB3"/>
    <w:rsid w:val="003139FC"/>
    <w:rsid w:val="00341540"/>
    <w:rsid w:val="003511C6"/>
    <w:rsid w:val="0035325B"/>
    <w:rsid w:val="00354C15"/>
    <w:rsid w:val="00356914"/>
    <w:rsid w:val="003666F0"/>
    <w:rsid w:val="00377D7F"/>
    <w:rsid w:val="00384024"/>
    <w:rsid w:val="003B384B"/>
    <w:rsid w:val="003B49E7"/>
    <w:rsid w:val="003C4B46"/>
    <w:rsid w:val="003C5023"/>
    <w:rsid w:val="003D536B"/>
    <w:rsid w:val="003D6951"/>
    <w:rsid w:val="003E30B5"/>
    <w:rsid w:val="003E3BD0"/>
    <w:rsid w:val="003E4C18"/>
    <w:rsid w:val="003F1AFC"/>
    <w:rsid w:val="0040391F"/>
    <w:rsid w:val="00421BCD"/>
    <w:rsid w:val="0044133C"/>
    <w:rsid w:val="00446CDE"/>
    <w:rsid w:val="00451B31"/>
    <w:rsid w:val="00455557"/>
    <w:rsid w:val="00473407"/>
    <w:rsid w:val="00484A45"/>
    <w:rsid w:val="00493928"/>
    <w:rsid w:val="004A3715"/>
    <w:rsid w:val="004A4B25"/>
    <w:rsid w:val="004C5E95"/>
    <w:rsid w:val="004C701D"/>
    <w:rsid w:val="004F1469"/>
    <w:rsid w:val="004F6FCD"/>
    <w:rsid w:val="00504745"/>
    <w:rsid w:val="00507EC5"/>
    <w:rsid w:val="00516952"/>
    <w:rsid w:val="005253D4"/>
    <w:rsid w:val="0054615B"/>
    <w:rsid w:val="00551815"/>
    <w:rsid w:val="00560AD2"/>
    <w:rsid w:val="00562B14"/>
    <w:rsid w:val="005632AC"/>
    <w:rsid w:val="00565A51"/>
    <w:rsid w:val="00571260"/>
    <w:rsid w:val="00577FB7"/>
    <w:rsid w:val="00583626"/>
    <w:rsid w:val="00584345"/>
    <w:rsid w:val="005A1986"/>
    <w:rsid w:val="005A46D3"/>
    <w:rsid w:val="005B5DE8"/>
    <w:rsid w:val="005C3665"/>
    <w:rsid w:val="005C42AC"/>
    <w:rsid w:val="005D385C"/>
    <w:rsid w:val="005D62F4"/>
    <w:rsid w:val="005E194B"/>
    <w:rsid w:val="005F42F8"/>
    <w:rsid w:val="00601205"/>
    <w:rsid w:val="00602411"/>
    <w:rsid w:val="00603F5C"/>
    <w:rsid w:val="00606DEF"/>
    <w:rsid w:val="00631517"/>
    <w:rsid w:val="00634084"/>
    <w:rsid w:val="00635DBD"/>
    <w:rsid w:val="00640490"/>
    <w:rsid w:val="006741F7"/>
    <w:rsid w:val="006810C3"/>
    <w:rsid w:val="00694B55"/>
    <w:rsid w:val="006D1B12"/>
    <w:rsid w:val="006D5A27"/>
    <w:rsid w:val="006E4A6E"/>
    <w:rsid w:val="006E642B"/>
    <w:rsid w:val="00724BC7"/>
    <w:rsid w:val="00763160"/>
    <w:rsid w:val="00776770"/>
    <w:rsid w:val="00780612"/>
    <w:rsid w:val="007852AA"/>
    <w:rsid w:val="00786A20"/>
    <w:rsid w:val="00795647"/>
    <w:rsid w:val="007A0634"/>
    <w:rsid w:val="007A16F4"/>
    <w:rsid w:val="007A458D"/>
    <w:rsid w:val="007B66A4"/>
    <w:rsid w:val="007C0FAA"/>
    <w:rsid w:val="007C391F"/>
    <w:rsid w:val="007E6FF4"/>
    <w:rsid w:val="007F07FB"/>
    <w:rsid w:val="00810507"/>
    <w:rsid w:val="00813E69"/>
    <w:rsid w:val="00817E8B"/>
    <w:rsid w:val="008338D4"/>
    <w:rsid w:val="00837642"/>
    <w:rsid w:val="0084255D"/>
    <w:rsid w:val="00850ACF"/>
    <w:rsid w:val="00850CAB"/>
    <w:rsid w:val="00852038"/>
    <w:rsid w:val="00861489"/>
    <w:rsid w:val="00872994"/>
    <w:rsid w:val="008857BF"/>
    <w:rsid w:val="0088639E"/>
    <w:rsid w:val="008936A7"/>
    <w:rsid w:val="008A2729"/>
    <w:rsid w:val="008A46EB"/>
    <w:rsid w:val="008B407C"/>
    <w:rsid w:val="008B6D13"/>
    <w:rsid w:val="008C1DFA"/>
    <w:rsid w:val="008E1555"/>
    <w:rsid w:val="008E65E6"/>
    <w:rsid w:val="008F0750"/>
    <w:rsid w:val="008F285B"/>
    <w:rsid w:val="008F37FA"/>
    <w:rsid w:val="008F4564"/>
    <w:rsid w:val="009018EC"/>
    <w:rsid w:val="00906EDB"/>
    <w:rsid w:val="00912E00"/>
    <w:rsid w:val="00923C46"/>
    <w:rsid w:val="0095085D"/>
    <w:rsid w:val="009621DE"/>
    <w:rsid w:val="009648BC"/>
    <w:rsid w:val="009711DB"/>
    <w:rsid w:val="009A0F50"/>
    <w:rsid w:val="009A16CD"/>
    <w:rsid w:val="009B755C"/>
    <w:rsid w:val="009C06F5"/>
    <w:rsid w:val="009D6567"/>
    <w:rsid w:val="009E0F31"/>
    <w:rsid w:val="00A007F5"/>
    <w:rsid w:val="00A038EC"/>
    <w:rsid w:val="00A145B0"/>
    <w:rsid w:val="00A15172"/>
    <w:rsid w:val="00A254B9"/>
    <w:rsid w:val="00A26EF7"/>
    <w:rsid w:val="00A277D6"/>
    <w:rsid w:val="00A31051"/>
    <w:rsid w:val="00A330E7"/>
    <w:rsid w:val="00A379F8"/>
    <w:rsid w:val="00A54EEA"/>
    <w:rsid w:val="00A56BFF"/>
    <w:rsid w:val="00A60014"/>
    <w:rsid w:val="00A70B22"/>
    <w:rsid w:val="00A73600"/>
    <w:rsid w:val="00A74C1E"/>
    <w:rsid w:val="00A7661C"/>
    <w:rsid w:val="00A949F7"/>
    <w:rsid w:val="00A95BC7"/>
    <w:rsid w:val="00A962DF"/>
    <w:rsid w:val="00AA4008"/>
    <w:rsid w:val="00AA6C63"/>
    <w:rsid w:val="00AF70A1"/>
    <w:rsid w:val="00AF733D"/>
    <w:rsid w:val="00B07F79"/>
    <w:rsid w:val="00B16C07"/>
    <w:rsid w:val="00B17267"/>
    <w:rsid w:val="00B46A57"/>
    <w:rsid w:val="00B65754"/>
    <w:rsid w:val="00B66231"/>
    <w:rsid w:val="00B769F1"/>
    <w:rsid w:val="00B82025"/>
    <w:rsid w:val="00BA0A91"/>
    <w:rsid w:val="00BA4887"/>
    <w:rsid w:val="00BB3390"/>
    <w:rsid w:val="00BB3C1A"/>
    <w:rsid w:val="00BC6DEF"/>
    <w:rsid w:val="00BD7CAE"/>
    <w:rsid w:val="00BE2989"/>
    <w:rsid w:val="00BE7A11"/>
    <w:rsid w:val="00BF24AC"/>
    <w:rsid w:val="00BF722F"/>
    <w:rsid w:val="00C026E6"/>
    <w:rsid w:val="00C13FE8"/>
    <w:rsid w:val="00C30A60"/>
    <w:rsid w:val="00C33ABA"/>
    <w:rsid w:val="00C37BB6"/>
    <w:rsid w:val="00C52EFD"/>
    <w:rsid w:val="00C55E0F"/>
    <w:rsid w:val="00C64378"/>
    <w:rsid w:val="00C664EB"/>
    <w:rsid w:val="00C70104"/>
    <w:rsid w:val="00C75CF0"/>
    <w:rsid w:val="00C808B5"/>
    <w:rsid w:val="00C82DB6"/>
    <w:rsid w:val="00CA4CD6"/>
    <w:rsid w:val="00CA7DA0"/>
    <w:rsid w:val="00CC48AB"/>
    <w:rsid w:val="00CC58F6"/>
    <w:rsid w:val="00CC681F"/>
    <w:rsid w:val="00CD2069"/>
    <w:rsid w:val="00CD280D"/>
    <w:rsid w:val="00CF2B37"/>
    <w:rsid w:val="00CF7AA6"/>
    <w:rsid w:val="00D043CA"/>
    <w:rsid w:val="00D13D9A"/>
    <w:rsid w:val="00D14A8D"/>
    <w:rsid w:val="00D21198"/>
    <w:rsid w:val="00D2273E"/>
    <w:rsid w:val="00D42D52"/>
    <w:rsid w:val="00D46FA2"/>
    <w:rsid w:val="00D5080D"/>
    <w:rsid w:val="00D56F5F"/>
    <w:rsid w:val="00D61B37"/>
    <w:rsid w:val="00D63B96"/>
    <w:rsid w:val="00D73E88"/>
    <w:rsid w:val="00D91BF3"/>
    <w:rsid w:val="00D92F66"/>
    <w:rsid w:val="00D95819"/>
    <w:rsid w:val="00DA7285"/>
    <w:rsid w:val="00DB59E1"/>
    <w:rsid w:val="00DB7758"/>
    <w:rsid w:val="00DD0312"/>
    <w:rsid w:val="00DD1AC1"/>
    <w:rsid w:val="00DD7050"/>
    <w:rsid w:val="00DD7D49"/>
    <w:rsid w:val="00DF0E57"/>
    <w:rsid w:val="00DF5C4E"/>
    <w:rsid w:val="00E10DA7"/>
    <w:rsid w:val="00E1538C"/>
    <w:rsid w:val="00E200F5"/>
    <w:rsid w:val="00E25DB6"/>
    <w:rsid w:val="00E276CD"/>
    <w:rsid w:val="00E32EDA"/>
    <w:rsid w:val="00E43D4E"/>
    <w:rsid w:val="00E53137"/>
    <w:rsid w:val="00E649D4"/>
    <w:rsid w:val="00E702F6"/>
    <w:rsid w:val="00E72D70"/>
    <w:rsid w:val="00E74997"/>
    <w:rsid w:val="00E77D5E"/>
    <w:rsid w:val="00E8495E"/>
    <w:rsid w:val="00E868BB"/>
    <w:rsid w:val="00EA37A9"/>
    <w:rsid w:val="00EA7026"/>
    <w:rsid w:val="00EB14C0"/>
    <w:rsid w:val="00EC4074"/>
    <w:rsid w:val="00EC67B2"/>
    <w:rsid w:val="00ED741E"/>
    <w:rsid w:val="00EE4A3C"/>
    <w:rsid w:val="00EF113F"/>
    <w:rsid w:val="00F02EB3"/>
    <w:rsid w:val="00F033F0"/>
    <w:rsid w:val="00F03803"/>
    <w:rsid w:val="00F066C9"/>
    <w:rsid w:val="00F20822"/>
    <w:rsid w:val="00F340DF"/>
    <w:rsid w:val="00F538BC"/>
    <w:rsid w:val="00F8239F"/>
    <w:rsid w:val="00F87E6A"/>
    <w:rsid w:val="00F9092B"/>
    <w:rsid w:val="00F92D22"/>
    <w:rsid w:val="00FB0650"/>
    <w:rsid w:val="00FB4D98"/>
    <w:rsid w:val="00FB6378"/>
    <w:rsid w:val="00FB7BCE"/>
    <w:rsid w:val="00FC4E09"/>
    <w:rsid w:val="00FD1C4C"/>
    <w:rsid w:val="00FD72B2"/>
    <w:rsid w:val="00FD7631"/>
    <w:rsid w:val="00FE2099"/>
    <w:rsid w:val="00FE4153"/>
    <w:rsid w:val="00FF1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9ABFFE-B0A8-492B-88C2-08768F7C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BF24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71355830">
      <w:bodyDiv w:val="1"/>
      <w:marLeft w:val="0"/>
      <w:marRight w:val="0"/>
      <w:marTop w:val="0"/>
      <w:marBottom w:val="0"/>
      <w:divBdr>
        <w:top w:val="none" w:sz="0" w:space="0" w:color="auto"/>
        <w:left w:val="none" w:sz="0" w:space="0" w:color="auto"/>
        <w:bottom w:val="none" w:sz="0" w:space="0" w:color="auto"/>
        <w:right w:val="none" w:sz="0" w:space="0" w:color="auto"/>
      </w:divBdr>
    </w:div>
    <w:div w:id="1072460419">
      <w:bodyDiv w:val="1"/>
      <w:marLeft w:val="0"/>
      <w:marRight w:val="0"/>
      <w:marTop w:val="0"/>
      <w:marBottom w:val="0"/>
      <w:divBdr>
        <w:top w:val="none" w:sz="0" w:space="0" w:color="auto"/>
        <w:left w:val="none" w:sz="0" w:space="0" w:color="auto"/>
        <w:bottom w:val="none" w:sz="0" w:space="0" w:color="auto"/>
        <w:right w:val="none" w:sz="0" w:space="0" w:color="auto"/>
      </w:divBdr>
    </w:div>
    <w:div w:id="1760445171">
      <w:bodyDiv w:val="1"/>
      <w:marLeft w:val="0"/>
      <w:marRight w:val="0"/>
      <w:marTop w:val="0"/>
      <w:marBottom w:val="0"/>
      <w:divBdr>
        <w:top w:val="none" w:sz="0" w:space="0" w:color="auto"/>
        <w:left w:val="none" w:sz="0" w:space="0" w:color="auto"/>
        <w:bottom w:val="none" w:sz="0" w:space="0" w:color="auto"/>
        <w:right w:val="none" w:sz="0" w:space="0" w:color="auto"/>
      </w:divBdr>
    </w:div>
    <w:div w:id="21068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EDE94-AE6D-4108-A942-620804168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5500</Words>
  <Characters>31354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3</cp:revision>
  <dcterms:created xsi:type="dcterms:W3CDTF">2014-10-24T00:33:00Z</dcterms:created>
  <dcterms:modified xsi:type="dcterms:W3CDTF">2014-10-24T00:33:00Z</dcterms:modified>
</cp:coreProperties>
</file>