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D4B6B"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3DED4B6C" w14:textId="74B2798A" w:rsidR="00FD66F1" w:rsidRDefault="0098635C" w:rsidP="00FD66F1">
      <w:pPr>
        <w:spacing w:after="0"/>
        <w:jc w:val="center"/>
        <w:rPr>
          <w:rFonts w:ascii="Times New Roman" w:hAnsi="Times New Roman" w:cs="Times New Roman"/>
          <w:b/>
          <w:sz w:val="24"/>
          <w:szCs w:val="24"/>
        </w:rPr>
      </w:pPr>
      <w:r w:rsidRPr="0098635C">
        <w:rPr>
          <w:rFonts w:ascii="Times New Roman" w:hAnsi="Times New Roman" w:cs="Times New Roman"/>
          <w:b/>
          <w:sz w:val="24"/>
          <w:szCs w:val="24"/>
        </w:rPr>
        <w:t>FERC-725U, Mandatory Reliability Standards: Reliability Standard CIP-014-1</w:t>
      </w:r>
    </w:p>
    <w:p w14:paraId="18E50B36" w14:textId="53589F56" w:rsidR="006C7D20" w:rsidRPr="0012161C" w:rsidRDefault="00270892" w:rsidP="00FD66F1">
      <w:pPr>
        <w:spacing w:after="0"/>
        <w:jc w:val="center"/>
        <w:rPr>
          <w:rFonts w:ascii="Times New Roman" w:hAnsi="Times New Roman" w:cs="Times New Roman"/>
          <w:sz w:val="24"/>
          <w:szCs w:val="24"/>
        </w:rPr>
      </w:pPr>
      <w:r w:rsidRPr="0012161C">
        <w:rPr>
          <w:rFonts w:ascii="Times New Roman" w:hAnsi="Times New Roman" w:cs="Times New Roman"/>
          <w:sz w:val="24"/>
          <w:szCs w:val="24"/>
        </w:rPr>
        <w:t xml:space="preserve">Final </w:t>
      </w:r>
      <w:r w:rsidR="002417A5" w:rsidRPr="0012161C">
        <w:rPr>
          <w:rFonts w:ascii="Times New Roman" w:hAnsi="Times New Roman" w:cs="Times New Roman"/>
          <w:sz w:val="24"/>
          <w:szCs w:val="24"/>
        </w:rPr>
        <w:t>R</w:t>
      </w:r>
      <w:r w:rsidR="006C7D20" w:rsidRPr="0012161C">
        <w:rPr>
          <w:rFonts w:ascii="Times New Roman" w:hAnsi="Times New Roman" w:cs="Times New Roman"/>
          <w:sz w:val="24"/>
          <w:szCs w:val="24"/>
        </w:rPr>
        <w:t>ule in Docket No. RM14-15</w:t>
      </w:r>
    </w:p>
    <w:p w14:paraId="3DED4B6E" w14:textId="77777777" w:rsidR="00FD66F1" w:rsidRPr="0012161C" w:rsidRDefault="00FD66F1" w:rsidP="00FD66F1">
      <w:pPr>
        <w:spacing w:after="0"/>
        <w:jc w:val="center"/>
        <w:rPr>
          <w:rFonts w:ascii="Times New Roman" w:hAnsi="Times New Roman" w:cs="Times New Roman"/>
          <w:sz w:val="24"/>
          <w:szCs w:val="24"/>
        </w:rPr>
      </w:pPr>
    </w:p>
    <w:p w14:paraId="3DED4B70" w14:textId="16126C39" w:rsidR="00A72E7B" w:rsidRDefault="00DC107E" w:rsidP="00FD66F1">
      <w:pPr>
        <w:spacing w:after="0"/>
        <w:rPr>
          <w:rFonts w:ascii="Times New Roman" w:hAnsi="Times New Roman" w:cs="Times New Roman"/>
          <w:sz w:val="24"/>
          <w:szCs w:val="24"/>
        </w:rPr>
      </w:pPr>
      <w:r w:rsidRPr="0012161C">
        <w:rPr>
          <w:rFonts w:ascii="Times New Roman" w:hAnsi="Times New Roman" w:cs="Times New Roman"/>
          <w:sz w:val="24"/>
          <w:szCs w:val="24"/>
        </w:rPr>
        <w:t xml:space="preserve">The Federal Energy Regulatory Commission (FERC or Commission) requests that the Office of Management and Budget (OMB) review and approve the </w:t>
      </w:r>
      <w:r w:rsidR="0098635C" w:rsidRPr="0012161C">
        <w:rPr>
          <w:rFonts w:ascii="Times New Roman" w:hAnsi="Times New Roman" w:cs="Times New Roman"/>
          <w:sz w:val="24"/>
          <w:szCs w:val="24"/>
        </w:rPr>
        <w:t>FERC-725U, Mandatory Reliability Standards: Reliability Standard CIP-014-1</w:t>
      </w:r>
      <w:r w:rsidRPr="0012161C">
        <w:rPr>
          <w:rFonts w:ascii="Times New Roman" w:hAnsi="Times New Roman" w:cs="Times New Roman"/>
          <w:sz w:val="24"/>
          <w:szCs w:val="24"/>
        </w:rPr>
        <w:t>, information collection</w:t>
      </w:r>
      <w:r w:rsidR="00D75E64" w:rsidRPr="0012161C">
        <w:rPr>
          <w:rFonts w:ascii="Times New Roman" w:hAnsi="Times New Roman" w:cs="Times New Roman"/>
          <w:sz w:val="24"/>
          <w:szCs w:val="24"/>
        </w:rPr>
        <w:t xml:space="preserve"> as included in the </w:t>
      </w:r>
      <w:r w:rsidR="002417A5" w:rsidRPr="0012161C">
        <w:rPr>
          <w:rFonts w:ascii="Times New Roman" w:hAnsi="Times New Roman" w:cs="Times New Roman"/>
          <w:sz w:val="24"/>
          <w:szCs w:val="24"/>
        </w:rPr>
        <w:t>F</w:t>
      </w:r>
      <w:r w:rsidR="00270892" w:rsidRPr="0012161C">
        <w:rPr>
          <w:rFonts w:ascii="Times New Roman" w:hAnsi="Times New Roman" w:cs="Times New Roman"/>
          <w:sz w:val="24"/>
          <w:szCs w:val="24"/>
        </w:rPr>
        <w:t xml:space="preserve">inal </w:t>
      </w:r>
      <w:r w:rsidR="002417A5" w:rsidRPr="0012161C">
        <w:rPr>
          <w:rFonts w:ascii="Times New Roman" w:hAnsi="Times New Roman" w:cs="Times New Roman"/>
          <w:sz w:val="24"/>
          <w:szCs w:val="24"/>
        </w:rPr>
        <w:t>R</w:t>
      </w:r>
      <w:r w:rsidR="00270892" w:rsidRPr="0012161C">
        <w:rPr>
          <w:rFonts w:ascii="Times New Roman" w:hAnsi="Times New Roman" w:cs="Times New Roman"/>
          <w:sz w:val="24"/>
          <w:szCs w:val="24"/>
        </w:rPr>
        <w:t>ule</w:t>
      </w:r>
      <w:r w:rsidR="00D75E64" w:rsidRPr="0012161C">
        <w:rPr>
          <w:rFonts w:ascii="Times New Roman" w:hAnsi="Times New Roman" w:cs="Times New Roman"/>
          <w:sz w:val="24"/>
          <w:szCs w:val="24"/>
        </w:rPr>
        <w:t xml:space="preserve"> </w:t>
      </w:r>
      <w:r w:rsidR="002417A5" w:rsidRPr="0012161C">
        <w:rPr>
          <w:rFonts w:ascii="Times New Roman" w:hAnsi="Times New Roman" w:cs="Times New Roman"/>
          <w:sz w:val="24"/>
          <w:szCs w:val="24"/>
        </w:rPr>
        <w:t>(</w:t>
      </w:r>
      <w:r w:rsidR="002417A5" w:rsidRPr="003A4676">
        <w:rPr>
          <w:rFonts w:ascii="Times New Roman" w:hAnsi="Times New Roman" w:cs="Times New Roman"/>
          <w:sz w:val="24"/>
          <w:szCs w:val="24"/>
        </w:rPr>
        <w:t xml:space="preserve">Order </w:t>
      </w:r>
      <w:r w:rsidR="006162B0">
        <w:rPr>
          <w:rFonts w:ascii="Times New Roman" w:hAnsi="Times New Roman" w:cs="Times New Roman"/>
          <w:sz w:val="24"/>
          <w:szCs w:val="24"/>
        </w:rPr>
        <w:t xml:space="preserve">No. </w:t>
      </w:r>
      <w:r w:rsidR="0012161C" w:rsidRPr="003A4676">
        <w:rPr>
          <w:rFonts w:ascii="Times New Roman" w:hAnsi="Times New Roman" w:cs="Times New Roman"/>
          <w:sz w:val="24"/>
          <w:szCs w:val="24"/>
        </w:rPr>
        <w:t xml:space="preserve">802, </w:t>
      </w:r>
      <w:r w:rsidR="00B62963" w:rsidRPr="003A4676">
        <w:rPr>
          <w:rFonts w:ascii="Times New Roman" w:hAnsi="Times New Roman" w:cs="Times New Roman"/>
          <w:sz w:val="24"/>
          <w:szCs w:val="24"/>
        </w:rPr>
        <w:t>issued 11/</w:t>
      </w:r>
      <w:r w:rsidR="0012161C" w:rsidRPr="003A4676">
        <w:rPr>
          <w:rFonts w:ascii="Times New Roman" w:hAnsi="Times New Roman" w:cs="Times New Roman"/>
          <w:sz w:val="24"/>
          <w:szCs w:val="24"/>
        </w:rPr>
        <w:t>20</w:t>
      </w:r>
      <w:r w:rsidR="00B62963" w:rsidRPr="003A4676">
        <w:rPr>
          <w:rFonts w:ascii="Times New Roman" w:hAnsi="Times New Roman" w:cs="Times New Roman"/>
          <w:sz w:val="24"/>
          <w:szCs w:val="24"/>
        </w:rPr>
        <w:t>/2014</w:t>
      </w:r>
      <w:r w:rsidR="002417A5" w:rsidRPr="003A4676">
        <w:rPr>
          <w:rFonts w:ascii="Times New Roman" w:hAnsi="Times New Roman" w:cs="Times New Roman"/>
          <w:sz w:val="24"/>
          <w:szCs w:val="24"/>
        </w:rPr>
        <w:t>)</w:t>
      </w:r>
      <w:r w:rsidR="002417A5" w:rsidRPr="0012161C">
        <w:rPr>
          <w:rFonts w:ascii="Times New Roman" w:hAnsi="Times New Roman" w:cs="Times New Roman"/>
          <w:sz w:val="24"/>
          <w:szCs w:val="24"/>
        </w:rPr>
        <w:t xml:space="preserve"> i</w:t>
      </w:r>
      <w:r w:rsidR="00D75E64" w:rsidRPr="0012161C">
        <w:rPr>
          <w:rFonts w:ascii="Times New Roman" w:hAnsi="Times New Roman" w:cs="Times New Roman"/>
          <w:sz w:val="24"/>
          <w:szCs w:val="24"/>
        </w:rPr>
        <w:t>n Docket No. RM14-15</w:t>
      </w:r>
      <w:r w:rsidR="006162B0">
        <w:rPr>
          <w:rFonts w:ascii="Times New Roman" w:hAnsi="Times New Roman" w:cs="Times New Roman"/>
          <w:sz w:val="24"/>
          <w:szCs w:val="24"/>
        </w:rPr>
        <w:t>-000</w:t>
      </w:r>
      <w:r w:rsidRPr="0012161C">
        <w:rPr>
          <w:rFonts w:ascii="Times New Roman" w:hAnsi="Times New Roman" w:cs="Times New Roman"/>
          <w:sz w:val="24"/>
          <w:szCs w:val="24"/>
        </w:rPr>
        <w:t>.</w:t>
      </w:r>
      <w:r w:rsidR="00BD0B45" w:rsidRPr="003A4676">
        <w:rPr>
          <w:rStyle w:val="FootnoteReference"/>
          <w:rFonts w:ascii="Times New Roman" w:hAnsi="Times New Roman" w:cs="Times New Roman"/>
          <w:b/>
          <w:sz w:val="24"/>
          <w:szCs w:val="24"/>
          <w:vertAlign w:val="superscript"/>
        </w:rPr>
        <w:footnoteReference w:id="1"/>
      </w:r>
    </w:p>
    <w:p w14:paraId="3DED4B72" w14:textId="77777777" w:rsidR="0002242D" w:rsidRDefault="0002242D" w:rsidP="00FD66F1">
      <w:pPr>
        <w:spacing w:after="0"/>
        <w:rPr>
          <w:rFonts w:ascii="Times New Roman" w:hAnsi="Times New Roman" w:cs="Times New Roman"/>
          <w:sz w:val="24"/>
          <w:szCs w:val="24"/>
        </w:rPr>
      </w:pPr>
    </w:p>
    <w:p w14:paraId="3DED4B73"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DED4B74" w14:textId="77777777" w:rsidR="00A72E7B" w:rsidRDefault="00A72E7B" w:rsidP="00EB3E6F">
      <w:pPr>
        <w:spacing w:after="0"/>
        <w:rPr>
          <w:rFonts w:ascii="Times New Roman" w:hAnsi="Times New Roman" w:cs="Times New Roman"/>
          <w:sz w:val="24"/>
          <w:szCs w:val="24"/>
        </w:rPr>
      </w:pPr>
    </w:p>
    <w:p w14:paraId="52EA4298" w14:textId="77777777"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On August 8, 2005, the Electricity Modernization Act of 2005, which is Title XII,</w:t>
      </w:r>
    </w:p>
    <w:p w14:paraId="0009B523" w14:textId="39F028D4"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Subtitle A, of the Energy Policy Act of 2005 (</w:t>
      </w:r>
      <w:proofErr w:type="spellStart"/>
      <w:r w:rsidRPr="00DC107E">
        <w:rPr>
          <w:rFonts w:ascii="Times New Roman" w:hAnsi="Times New Roman" w:cs="Times New Roman"/>
          <w:sz w:val="24"/>
          <w:szCs w:val="24"/>
        </w:rPr>
        <w:t>EPAct</w:t>
      </w:r>
      <w:proofErr w:type="spellEnd"/>
      <w:r w:rsidRPr="00DC107E">
        <w:rPr>
          <w:rFonts w:ascii="Times New Roman" w:hAnsi="Times New Roman" w:cs="Times New Roman"/>
          <w:sz w:val="24"/>
          <w:szCs w:val="24"/>
        </w:rPr>
        <w:t xml:space="preserve"> 2005), was enacted into law.  </w:t>
      </w:r>
      <w:proofErr w:type="spellStart"/>
      <w:r w:rsidRPr="00DC107E">
        <w:rPr>
          <w:rFonts w:ascii="Times New Roman" w:hAnsi="Times New Roman" w:cs="Times New Roman"/>
          <w:sz w:val="24"/>
          <w:szCs w:val="24"/>
        </w:rPr>
        <w:t>EPAct</w:t>
      </w:r>
      <w:proofErr w:type="spellEnd"/>
      <w:r w:rsidRPr="00DC107E">
        <w:rPr>
          <w:rFonts w:ascii="Times New Roman" w:hAnsi="Times New Roman" w:cs="Times New Roman"/>
          <w:sz w:val="24"/>
          <w:szCs w:val="24"/>
        </w:rPr>
        <w:t xml:space="preserve"> 2005 adds a new </w:t>
      </w:r>
      <w:r w:rsidR="003362B4">
        <w:rPr>
          <w:rFonts w:ascii="Times New Roman" w:hAnsi="Times New Roman" w:cs="Times New Roman"/>
          <w:sz w:val="24"/>
          <w:szCs w:val="24"/>
        </w:rPr>
        <w:t>s</w:t>
      </w:r>
      <w:r w:rsidRPr="00DC107E">
        <w:rPr>
          <w:rFonts w:ascii="Times New Roman" w:hAnsi="Times New Roman" w:cs="Times New Roman"/>
          <w:sz w:val="24"/>
          <w:szCs w:val="24"/>
        </w:rPr>
        <w:t>ection 215 to the F</w:t>
      </w:r>
      <w:r w:rsidR="00646E13">
        <w:rPr>
          <w:rFonts w:ascii="Times New Roman" w:hAnsi="Times New Roman" w:cs="Times New Roman"/>
          <w:sz w:val="24"/>
          <w:szCs w:val="24"/>
        </w:rPr>
        <w:t>ederal Power Act (F</w:t>
      </w:r>
      <w:r w:rsidRPr="00DC107E">
        <w:rPr>
          <w:rFonts w:ascii="Times New Roman" w:hAnsi="Times New Roman" w:cs="Times New Roman"/>
          <w:sz w:val="24"/>
          <w:szCs w:val="24"/>
        </w:rPr>
        <w:t>PA</w:t>
      </w:r>
      <w:r w:rsidR="00646E13">
        <w:rPr>
          <w:rFonts w:ascii="Times New Roman" w:hAnsi="Times New Roman" w:cs="Times New Roman"/>
          <w:sz w:val="24"/>
          <w:szCs w:val="24"/>
        </w:rPr>
        <w:t>)</w:t>
      </w:r>
      <w:r w:rsidRPr="00DC107E">
        <w:rPr>
          <w:rFonts w:ascii="Times New Roman" w:hAnsi="Times New Roman" w:cs="Times New Roman"/>
          <w:sz w:val="24"/>
          <w:szCs w:val="24"/>
        </w:rPr>
        <w:t xml:space="preserve">, which requires a Commission-certified Electric Reliability Organization (ERO) to develop mandatory and enforceable Reliability Standards which are subject to Commission review and approval.  Once approved, an ERO would enforce the Reliability Standards either subject to Commission oversight or by the Commission independently. </w:t>
      </w:r>
    </w:p>
    <w:p w14:paraId="0F76B31E" w14:textId="77777777" w:rsidR="00DC107E" w:rsidRPr="00DC107E" w:rsidRDefault="00DC107E" w:rsidP="00DC107E">
      <w:pPr>
        <w:spacing w:after="0"/>
        <w:rPr>
          <w:rFonts w:ascii="Times New Roman" w:hAnsi="Times New Roman" w:cs="Times New Roman"/>
          <w:sz w:val="24"/>
          <w:szCs w:val="24"/>
        </w:rPr>
      </w:pPr>
    </w:p>
    <w:p w14:paraId="57C2509A" w14:textId="533D0F26"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 xml:space="preserve">On February 3, 2006, the Commission issued Order No. 672, implementing section 215 of the FPA.  Pursuant to Order No. 672, the Commission certified one organization, NERC, as the ERO.  The ERO is required to develop Reliability Standards, which are subject to Commission review and approval.   The Reliability Standards </w:t>
      </w:r>
      <w:r w:rsidR="00BE56DC" w:rsidRPr="00DC107E">
        <w:rPr>
          <w:rFonts w:ascii="Times New Roman" w:hAnsi="Times New Roman" w:cs="Times New Roman"/>
          <w:sz w:val="24"/>
          <w:szCs w:val="24"/>
        </w:rPr>
        <w:t>appl</w:t>
      </w:r>
      <w:r w:rsidR="00BE56DC">
        <w:rPr>
          <w:rFonts w:ascii="Times New Roman" w:hAnsi="Times New Roman" w:cs="Times New Roman"/>
          <w:sz w:val="24"/>
          <w:szCs w:val="24"/>
        </w:rPr>
        <w:t>y</w:t>
      </w:r>
      <w:r w:rsidR="00BE56DC" w:rsidRPr="00DC107E">
        <w:rPr>
          <w:rFonts w:ascii="Times New Roman" w:hAnsi="Times New Roman" w:cs="Times New Roman"/>
          <w:sz w:val="24"/>
          <w:szCs w:val="24"/>
        </w:rPr>
        <w:t xml:space="preserve"> </w:t>
      </w:r>
      <w:r w:rsidRPr="00DC107E">
        <w:rPr>
          <w:rFonts w:ascii="Times New Roman" w:hAnsi="Times New Roman" w:cs="Times New Roman"/>
          <w:sz w:val="24"/>
          <w:szCs w:val="24"/>
        </w:rPr>
        <w:t xml:space="preserve">to users, owners and operators of the Bulk-Power System, as set forth in each Reliability Standard.  </w:t>
      </w:r>
    </w:p>
    <w:p w14:paraId="549B0F1C" w14:textId="77777777" w:rsidR="00DC107E" w:rsidRPr="00DC107E" w:rsidRDefault="00DC107E" w:rsidP="00DC107E">
      <w:pPr>
        <w:spacing w:after="0"/>
        <w:rPr>
          <w:rFonts w:ascii="Times New Roman" w:hAnsi="Times New Roman" w:cs="Times New Roman"/>
          <w:sz w:val="24"/>
          <w:szCs w:val="24"/>
        </w:rPr>
      </w:pPr>
    </w:p>
    <w:p w14:paraId="6D6BCF8E" w14:textId="5D763A2B" w:rsid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 xml:space="preserve">Section 215(d)(2) of the FPA and the Commission’s regulations provide that the Commission may approve a proposed Reliability Standard if it determines that the proposal is just, reasonable, not unduly discriminatory or preferential, and in the public interest. </w:t>
      </w:r>
      <w:r w:rsidR="006162B0">
        <w:rPr>
          <w:rFonts w:ascii="Times New Roman" w:hAnsi="Times New Roman" w:cs="Times New Roman"/>
          <w:sz w:val="24"/>
          <w:szCs w:val="24"/>
        </w:rPr>
        <w:t xml:space="preserve"> </w:t>
      </w:r>
      <w:r w:rsidRPr="00DC107E">
        <w:rPr>
          <w:rFonts w:ascii="Times New Roman" w:hAnsi="Times New Roman" w:cs="Times New Roman"/>
          <w:sz w:val="24"/>
          <w:szCs w:val="24"/>
        </w:rPr>
        <w:t xml:space="preserve">The Commission specified in Order No. 672 certain general factors it would consider when assessing whether a particular Reliability Standard is just and reasonable.   According to this guidance, a Reliability Standard must provide for the </w:t>
      </w:r>
      <w:r w:rsidR="003362B4">
        <w:rPr>
          <w:rFonts w:ascii="Times New Roman" w:hAnsi="Times New Roman" w:cs="Times New Roman"/>
          <w:sz w:val="24"/>
          <w:szCs w:val="24"/>
        </w:rPr>
        <w:t>r</w:t>
      </w:r>
      <w:r w:rsidRPr="00DC107E">
        <w:rPr>
          <w:rFonts w:ascii="Times New Roman" w:hAnsi="Times New Roman" w:cs="Times New Roman"/>
          <w:sz w:val="24"/>
          <w:szCs w:val="24"/>
        </w:rPr>
        <w:t xml:space="preserve">eliable </w:t>
      </w:r>
      <w:r w:rsidR="003362B4">
        <w:rPr>
          <w:rFonts w:ascii="Times New Roman" w:hAnsi="Times New Roman" w:cs="Times New Roman"/>
          <w:sz w:val="24"/>
          <w:szCs w:val="24"/>
        </w:rPr>
        <w:t>o</w:t>
      </w:r>
      <w:r w:rsidRPr="00DC107E">
        <w:rPr>
          <w:rFonts w:ascii="Times New Roman" w:hAnsi="Times New Roman" w:cs="Times New Roman"/>
          <w:sz w:val="24"/>
          <w:szCs w:val="24"/>
        </w:rPr>
        <w:t xml:space="preserve">peration of </w:t>
      </w:r>
      <w:r w:rsidR="003362B4" w:rsidRPr="00DC107E">
        <w:rPr>
          <w:rFonts w:ascii="Times New Roman" w:hAnsi="Times New Roman" w:cs="Times New Roman"/>
          <w:sz w:val="24"/>
          <w:szCs w:val="24"/>
        </w:rPr>
        <w:t>Bulk-Power System</w:t>
      </w:r>
      <w:r w:rsidRPr="00DC107E">
        <w:rPr>
          <w:rFonts w:ascii="Times New Roman" w:hAnsi="Times New Roman" w:cs="Times New Roman"/>
          <w:sz w:val="24"/>
          <w:szCs w:val="24"/>
        </w:rPr>
        <w:t xml:space="preserve"> </w:t>
      </w:r>
      <w:r w:rsidR="00AA377F" w:rsidRPr="00FC0499">
        <w:rPr>
          <w:rStyle w:val="FootnoteReference"/>
          <w:rFonts w:ascii="Times New Roman" w:hAnsi="Times New Roman" w:cs="Times New Roman"/>
          <w:sz w:val="24"/>
          <w:szCs w:val="24"/>
          <w:vertAlign w:val="superscript"/>
        </w:rPr>
        <w:footnoteReference w:id="2"/>
      </w:r>
      <w:r w:rsidRPr="00DC107E">
        <w:rPr>
          <w:rFonts w:ascii="Times New Roman" w:hAnsi="Times New Roman" w:cs="Times New Roman"/>
          <w:sz w:val="24"/>
          <w:szCs w:val="24"/>
        </w:rPr>
        <w:t xml:space="preserve">facilities and may impose a </w:t>
      </w:r>
      <w:r w:rsidRPr="00DC107E">
        <w:rPr>
          <w:rFonts w:ascii="Times New Roman" w:hAnsi="Times New Roman" w:cs="Times New Roman"/>
          <w:sz w:val="24"/>
          <w:szCs w:val="24"/>
        </w:rPr>
        <w:lastRenderedPageBreak/>
        <w:t xml:space="preserve">requirement on any user, owner or operator of such facilities. </w:t>
      </w:r>
      <w:r w:rsidR="003362B4">
        <w:rPr>
          <w:rFonts w:ascii="Times New Roman" w:hAnsi="Times New Roman" w:cs="Times New Roman"/>
          <w:sz w:val="24"/>
          <w:szCs w:val="24"/>
        </w:rPr>
        <w:t xml:space="preserve"> </w:t>
      </w:r>
      <w:r w:rsidRPr="00DC107E">
        <w:rPr>
          <w:rFonts w:ascii="Times New Roman" w:hAnsi="Times New Roman" w:cs="Times New Roman"/>
          <w:sz w:val="24"/>
          <w:szCs w:val="24"/>
        </w:rPr>
        <w:t xml:space="preserve">It must be designed to achieve a specified reliability goal and must contain a technically sound means to achieve this goal. </w:t>
      </w:r>
      <w:r w:rsidR="003362B4">
        <w:rPr>
          <w:rFonts w:ascii="Times New Roman" w:hAnsi="Times New Roman" w:cs="Times New Roman"/>
          <w:sz w:val="24"/>
          <w:szCs w:val="24"/>
        </w:rPr>
        <w:t xml:space="preserve"> </w:t>
      </w:r>
      <w:r w:rsidRPr="00DC107E">
        <w:rPr>
          <w:rFonts w:ascii="Times New Roman" w:hAnsi="Times New Roman" w:cs="Times New Roman"/>
          <w:sz w:val="24"/>
          <w:szCs w:val="24"/>
        </w:rPr>
        <w:t>The Reliability Standard should be clear and unambiguous regarding what is required and who is required to comply.</w:t>
      </w:r>
    </w:p>
    <w:p w14:paraId="50EAB108" w14:textId="77777777" w:rsidR="00DC107E" w:rsidRDefault="00DC107E" w:rsidP="00DC107E">
      <w:pPr>
        <w:spacing w:after="0"/>
        <w:rPr>
          <w:rFonts w:ascii="Times New Roman" w:hAnsi="Times New Roman" w:cs="Times New Roman"/>
          <w:sz w:val="24"/>
          <w:szCs w:val="24"/>
        </w:rPr>
      </w:pPr>
    </w:p>
    <w:p w14:paraId="066B5952" w14:textId="68BCC9E6" w:rsidR="00693DD2" w:rsidRDefault="00646E13" w:rsidP="00DC107E">
      <w:pPr>
        <w:spacing w:after="0"/>
        <w:rPr>
          <w:rFonts w:ascii="Times New Roman" w:hAnsi="Times New Roman" w:cs="Times New Roman"/>
          <w:sz w:val="24"/>
          <w:szCs w:val="24"/>
        </w:rPr>
      </w:pPr>
      <w:r w:rsidRPr="00646E13">
        <w:rPr>
          <w:rFonts w:ascii="Times New Roman" w:hAnsi="Times New Roman" w:cs="Times New Roman"/>
          <w:sz w:val="24"/>
          <w:szCs w:val="24"/>
        </w:rPr>
        <w:t>Pursuant to sect</w:t>
      </w:r>
      <w:r>
        <w:rPr>
          <w:rFonts w:ascii="Times New Roman" w:hAnsi="Times New Roman" w:cs="Times New Roman"/>
          <w:sz w:val="24"/>
          <w:szCs w:val="24"/>
        </w:rPr>
        <w:t xml:space="preserve">ion 215 of the </w:t>
      </w:r>
      <w:r w:rsidRPr="00646E13">
        <w:rPr>
          <w:rFonts w:ascii="Times New Roman" w:hAnsi="Times New Roman" w:cs="Times New Roman"/>
          <w:sz w:val="24"/>
          <w:szCs w:val="24"/>
        </w:rPr>
        <w:t xml:space="preserve">FPA, the Commission </w:t>
      </w:r>
      <w:r w:rsidR="006162B0">
        <w:rPr>
          <w:rFonts w:ascii="Times New Roman" w:hAnsi="Times New Roman" w:cs="Times New Roman"/>
          <w:sz w:val="24"/>
          <w:szCs w:val="24"/>
        </w:rPr>
        <w:t>has approved</w:t>
      </w:r>
      <w:r w:rsidRPr="00646E13">
        <w:rPr>
          <w:rFonts w:ascii="Times New Roman" w:hAnsi="Times New Roman" w:cs="Times New Roman"/>
          <w:sz w:val="24"/>
          <w:szCs w:val="24"/>
        </w:rPr>
        <w:t xml:space="preserve"> Reliability Standard CIP-014-1 (Physical Security).  NERC submitted the Reliability Standard for Commission approval in response to a Commission order issued on March 7, 2014.</w:t>
      </w:r>
      <w:r w:rsidRPr="00646E13">
        <w:rPr>
          <w:rFonts w:ascii="Times New Roman" w:hAnsi="Times New Roman" w:cs="Times New Roman"/>
          <w:b/>
          <w:sz w:val="24"/>
          <w:szCs w:val="24"/>
          <w:vertAlign w:val="superscript"/>
        </w:rPr>
        <w:footnoteReference w:id="3"/>
      </w:r>
    </w:p>
    <w:p w14:paraId="739D5CB5" w14:textId="77777777" w:rsidR="00646E13" w:rsidRDefault="00646E13" w:rsidP="00DC107E">
      <w:pPr>
        <w:spacing w:after="0"/>
        <w:rPr>
          <w:rFonts w:ascii="Times New Roman" w:hAnsi="Times New Roman" w:cs="Times New Roman"/>
          <w:sz w:val="24"/>
          <w:szCs w:val="24"/>
        </w:rPr>
      </w:pPr>
    </w:p>
    <w:p w14:paraId="3878825A" w14:textId="7B2513C3" w:rsidR="00646E13" w:rsidRPr="00646E13"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t xml:space="preserve">In the March 7 Order, the Commission determined that physical attacks on the Bulk-Power System could adversely impact the reliable operation of the Bulk-Power System, resulting in instability, uncontrolled separation, or cascading failures.  Moreover, the Commission observed that the </w:t>
      </w:r>
      <w:r w:rsidR="006162B0">
        <w:rPr>
          <w:rFonts w:ascii="Times New Roman" w:hAnsi="Times New Roman" w:cs="Times New Roman"/>
          <w:sz w:val="24"/>
          <w:szCs w:val="24"/>
        </w:rPr>
        <w:t>then-</w:t>
      </w:r>
      <w:r w:rsidRPr="00646E13">
        <w:rPr>
          <w:rFonts w:ascii="Times New Roman" w:hAnsi="Times New Roman" w:cs="Times New Roman"/>
          <w:sz w:val="24"/>
          <w:szCs w:val="24"/>
        </w:rPr>
        <w:t>current Reliability Standards do not specifically require entities to take steps to reasonably protect against physical security attacks on the Bulk-Power System.  Accordingly, to carry out section 215 of the FPA and to provide for the reliable operation of the Bulk-Power System, the Commission directed NERC, pursuant to FPA section 215(d)(5), to develop and file for approval proposed Reliability Standards that address threats and vulnerabilities to the physical security of critical facilities on the Bulk-Power System.</w:t>
      </w:r>
      <w:r w:rsidRPr="00646E13">
        <w:rPr>
          <w:rFonts w:ascii="Times New Roman" w:hAnsi="Times New Roman" w:cs="Times New Roman"/>
          <w:b/>
          <w:sz w:val="24"/>
          <w:szCs w:val="24"/>
          <w:vertAlign w:val="superscript"/>
        </w:rPr>
        <w:footnoteReference w:id="4"/>
      </w:r>
      <w:r w:rsidRPr="00646E13">
        <w:rPr>
          <w:rFonts w:ascii="Times New Roman" w:hAnsi="Times New Roman" w:cs="Times New Roman"/>
          <w:sz w:val="24"/>
          <w:szCs w:val="24"/>
        </w:rPr>
        <w:t xml:space="preserve">  </w:t>
      </w:r>
    </w:p>
    <w:p w14:paraId="1AA502B6" w14:textId="77777777" w:rsidR="00646E13" w:rsidRDefault="00646E13" w:rsidP="00646E13">
      <w:pPr>
        <w:spacing w:after="0"/>
        <w:rPr>
          <w:rFonts w:ascii="Times New Roman" w:hAnsi="Times New Roman" w:cs="Times New Roman"/>
          <w:sz w:val="24"/>
          <w:szCs w:val="24"/>
        </w:rPr>
      </w:pPr>
    </w:p>
    <w:p w14:paraId="022D8B5E" w14:textId="77777777" w:rsidR="00646E13" w:rsidRPr="00101C4A"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t xml:space="preserve">The March 7 Order indicated that the Reliability Standards should require owners or operators of the Bulk-Power System to take at least three steps to address the risks that physical security attacks pose to the reliable operation of the Bulk-Power System.  Specifically, the March 7 Order </w:t>
      </w:r>
      <w:r w:rsidRPr="00646E13">
        <w:rPr>
          <w:rFonts w:ascii="Times New Roman" w:hAnsi="Times New Roman" w:cs="Times New Roman"/>
          <w:sz w:val="24"/>
          <w:szCs w:val="24"/>
        </w:rPr>
        <w:lastRenderedPageBreak/>
        <w:t xml:space="preserve">directed that:  </w:t>
      </w:r>
      <w:r w:rsidRPr="00101C4A">
        <w:rPr>
          <w:rFonts w:ascii="Times New Roman" w:hAnsi="Times New Roman" w:cs="Times New Roman"/>
          <w:sz w:val="24"/>
          <w:szCs w:val="24"/>
        </w:rPr>
        <w:t>(1) the Reliability Standards should require owners or operators of the Bulk-Power System to perform a risk assessment of their systems to identify their “critical facilities”; (2) the Reliability Standards should require owners or operators of the identified critical facilities to evaluate the potential threats and vulnerabilities to those identified facilities; and (3) the Reliability Standards should require those owners or operators of critical facilities to develop and implement a security plan designed to protect against attacks to those identified critical facilities based on the assessment of the potential threats and vulnerabilities to their physical security.</w:t>
      </w:r>
    </w:p>
    <w:p w14:paraId="4765B8FD" w14:textId="77777777" w:rsidR="00646E13" w:rsidRPr="00101C4A" w:rsidRDefault="00646E13" w:rsidP="00646E13">
      <w:pPr>
        <w:spacing w:after="0"/>
        <w:rPr>
          <w:rFonts w:ascii="Times New Roman" w:hAnsi="Times New Roman" w:cs="Times New Roman"/>
          <w:sz w:val="24"/>
          <w:szCs w:val="24"/>
        </w:rPr>
      </w:pPr>
    </w:p>
    <w:p w14:paraId="3990C2F6" w14:textId="2CF7D6E9" w:rsidR="006F07CE" w:rsidRDefault="006F07CE" w:rsidP="00646E13">
      <w:pPr>
        <w:spacing w:after="0"/>
        <w:rPr>
          <w:rFonts w:ascii="Times New Roman" w:hAnsi="Times New Roman" w:cs="Times New Roman"/>
          <w:sz w:val="24"/>
          <w:szCs w:val="24"/>
        </w:rPr>
      </w:pPr>
      <w:r>
        <w:rPr>
          <w:rFonts w:ascii="Times New Roman" w:hAnsi="Times New Roman" w:cs="Times New Roman"/>
          <w:sz w:val="24"/>
          <w:szCs w:val="24"/>
        </w:rPr>
        <w:t>In addition, t</w:t>
      </w:r>
      <w:r w:rsidR="00646E13" w:rsidRPr="00646E13">
        <w:rPr>
          <w:rFonts w:ascii="Times New Roman" w:hAnsi="Times New Roman" w:cs="Times New Roman"/>
          <w:sz w:val="24"/>
          <w:szCs w:val="24"/>
        </w:rPr>
        <w:t xml:space="preserve">he March 7 Order stated that the </w:t>
      </w:r>
      <w:r>
        <w:rPr>
          <w:rFonts w:ascii="Times New Roman" w:hAnsi="Times New Roman" w:cs="Times New Roman"/>
          <w:sz w:val="24"/>
          <w:szCs w:val="24"/>
        </w:rPr>
        <w:t>“</w:t>
      </w:r>
      <w:r w:rsidR="00646E13" w:rsidRPr="00646E13">
        <w:rPr>
          <w:rFonts w:ascii="Times New Roman" w:hAnsi="Times New Roman" w:cs="Times New Roman"/>
          <w:sz w:val="24"/>
          <w:szCs w:val="24"/>
        </w:rPr>
        <w:t>risk assessment used by an owner or operator to identify critical facilities should be verified by an entity other than the owner or operator,</w:t>
      </w:r>
      <w:r>
        <w:rPr>
          <w:rFonts w:ascii="Times New Roman" w:hAnsi="Times New Roman" w:cs="Times New Roman"/>
          <w:sz w:val="24"/>
          <w:szCs w:val="24"/>
        </w:rPr>
        <w:t>”</w:t>
      </w:r>
      <w:r w:rsidR="00646E13" w:rsidRPr="00646E13">
        <w:rPr>
          <w:rFonts w:ascii="Times New Roman" w:hAnsi="Times New Roman" w:cs="Times New Roman"/>
          <w:sz w:val="24"/>
          <w:szCs w:val="24"/>
        </w:rPr>
        <w:t xml:space="preserve"> such as by NERC, the relevant Regional Entity, a reliability coordinator, or another entity.</w:t>
      </w:r>
      <w:r w:rsidR="00646E13" w:rsidRPr="00646E13">
        <w:rPr>
          <w:rFonts w:ascii="Times New Roman" w:hAnsi="Times New Roman" w:cs="Times New Roman"/>
          <w:b/>
          <w:sz w:val="24"/>
          <w:szCs w:val="24"/>
          <w:vertAlign w:val="superscript"/>
        </w:rPr>
        <w:footnoteReference w:id="5"/>
      </w:r>
      <w:r w:rsidR="00646E13" w:rsidRPr="00646E13">
        <w:rPr>
          <w:rFonts w:ascii="Times New Roman" w:hAnsi="Times New Roman" w:cs="Times New Roman"/>
          <w:sz w:val="24"/>
          <w:szCs w:val="24"/>
        </w:rPr>
        <w:t xml:space="preserve">  In addition, the March 7 Order also indicated that the Reliability Standards should include a </w:t>
      </w:r>
      <w:r>
        <w:rPr>
          <w:rFonts w:ascii="Times New Roman" w:hAnsi="Times New Roman" w:cs="Times New Roman"/>
          <w:sz w:val="24"/>
          <w:szCs w:val="24"/>
        </w:rPr>
        <w:t>“</w:t>
      </w:r>
      <w:r w:rsidR="00646E13" w:rsidRPr="00646E13">
        <w:rPr>
          <w:rFonts w:ascii="Times New Roman" w:hAnsi="Times New Roman" w:cs="Times New Roman"/>
          <w:sz w:val="24"/>
          <w:szCs w:val="24"/>
        </w:rPr>
        <w:t>procedure for the verifying entity, as well as the Commission, to add or remove facilities from an owner’s or operator’s list of critical facilities.</w:t>
      </w:r>
      <w:r>
        <w:rPr>
          <w:rFonts w:ascii="Times New Roman" w:hAnsi="Times New Roman" w:cs="Times New Roman"/>
          <w:sz w:val="24"/>
          <w:szCs w:val="24"/>
        </w:rPr>
        <w:t>”</w:t>
      </w:r>
      <w:r w:rsidR="00646E13" w:rsidRPr="00646E13">
        <w:rPr>
          <w:rFonts w:ascii="Times New Roman" w:hAnsi="Times New Roman" w:cs="Times New Roman"/>
          <w:b/>
          <w:sz w:val="24"/>
          <w:szCs w:val="24"/>
          <w:vertAlign w:val="superscript"/>
        </w:rPr>
        <w:footnoteReference w:id="6"/>
      </w:r>
      <w:r w:rsidR="00646E13" w:rsidRPr="00646E13">
        <w:rPr>
          <w:rFonts w:ascii="Times New Roman" w:hAnsi="Times New Roman" w:cs="Times New Roman"/>
          <w:sz w:val="24"/>
          <w:szCs w:val="24"/>
        </w:rPr>
        <w:t xml:space="preserve">  </w:t>
      </w:r>
    </w:p>
    <w:p w14:paraId="2BEE9E69" w14:textId="77777777" w:rsidR="006F07CE" w:rsidRDefault="006F07CE" w:rsidP="00646E13">
      <w:pPr>
        <w:spacing w:after="0"/>
        <w:rPr>
          <w:rFonts w:ascii="Times New Roman" w:hAnsi="Times New Roman" w:cs="Times New Roman"/>
          <w:sz w:val="24"/>
          <w:szCs w:val="24"/>
        </w:rPr>
      </w:pPr>
    </w:p>
    <w:p w14:paraId="2848525E" w14:textId="019428D2" w:rsidR="00646E13" w:rsidRPr="00646E13"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t xml:space="preserve">The March 7 Order further stated that the determination of threats and vulnerabilities and the security plan should be reviewed by NERC, the relevant Regional Entity, the reliability coordinator, or another entity with appropriate expertise. </w:t>
      </w:r>
    </w:p>
    <w:p w14:paraId="24769695" w14:textId="77777777" w:rsidR="00646E13" w:rsidRDefault="00646E13" w:rsidP="00646E13">
      <w:pPr>
        <w:spacing w:after="0"/>
        <w:rPr>
          <w:rFonts w:ascii="Times New Roman" w:hAnsi="Times New Roman" w:cs="Times New Roman"/>
          <w:sz w:val="24"/>
          <w:szCs w:val="24"/>
        </w:rPr>
      </w:pPr>
    </w:p>
    <w:p w14:paraId="798CA2FC" w14:textId="77777777" w:rsidR="00646E13"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t>The March 7 Order stated that, because the three steps of compliance with the contemplated Reliability Standards could contain sensitive or confidential information that, if released to the public, could jeopardize the reliable operation of the Bulk-Power System, NERC should include in the Reliability Standards a procedure that will ensure confidential treatment of sensitive or confidential information but still allow for the Commission, NERC and the Regional Entities to review and inspect any information that is needed to ensure compliance with the Reliability Standards.</w:t>
      </w:r>
    </w:p>
    <w:p w14:paraId="7358398E" w14:textId="77777777" w:rsidR="00646E13" w:rsidRPr="00646E13" w:rsidRDefault="00646E13" w:rsidP="00646E13">
      <w:pPr>
        <w:spacing w:after="0"/>
        <w:rPr>
          <w:rFonts w:ascii="Times New Roman" w:hAnsi="Times New Roman" w:cs="Times New Roman"/>
          <w:sz w:val="24"/>
          <w:szCs w:val="24"/>
        </w:rPr>
      </w:pPr>
    </w:p>
    <w:p w14:paraId="76FA6EF5" w14:textId="1A373900" w:rsidR="00646E13"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t>The Commission directed NERC to submit the proposed Reliability Standards to the Commission for approval within 90 days of issuance of the March 7 Order (i.e., June 5, 2014).</w:t>
      </w:r>
      <w:r w:rsidR="00A56B45">
        <w:rPr>
          <w:rFonts w:ascii="Times New Roman" w:hAnsi="Times New Roman" w:cs="Times New Roman"/>
          <w:sz w:val="24"/>
          <w:szCs w:val="24"/>
        </w:rPr>
        <w:t xml:space="preserve">  NERC submitted its proposal dated May 23, 2014</w:t>
      </w:r>
      <w:r w:rsidR="00A56B45" w:rsidRPr="0021015B">
        <w:rPr>
          <w:rFonts w:ascii="Times New Roman" w:hAnsi="Times New Roman" w:cs="Times New Roman"/>
          <w:sz w:val="24"/>
          <w:szCs w:val="24"/>
          <w:vertAlign w:val="superscript"/>
        </w:rPr>
        <w:t>.</w:t>
      </w:r>
      <w:r w:rsidR="00665D6B" w:rsidRPr="0021015B">
        <w:rPr>
          <w:rStyle w:val="FootnoteReference"/>
          <w:rFonts w:ascii="Times New Roman" w:hAnsi="Times New Roman" w:cs="Times New Roman"/>
          <w:sz w:val="24"/>
          <w:szCs w:val="24"/>
          <w:vertAlign w:val="superscript"/>
        </w:rPr>
        <w:footnoteReference w:id="7"/>
      </w:r>
    </w:p>
    <w:p w14:paraId="40AD97EB" w14:textId="77777777" w:rsidR="00D2212D" w:rsidRDefault="00D2212D" w:rsidP="00646E13">
      <w:pPr>
        <w:spacing w:after="0"/>
        <w:rPr>
          <w:rFonts w:ascii="Times New Roman" w:hAnsi="Times New Roman" w:cs="Times New Roman"/>
          <w:sz w:val="24"/>
          <w:szCs w:val="24"/>
        </w:rPr>
      </w:pPr>
    </w:p>
    <w:p w14:paraId="3DED4B75" w14:textId="77777777" w:rsidR="00EB3E6F" w:rsidRPr="00EB3E6F" w:rsidRDefault="00EB3E6F" w:rsidP="00EB3E6F">
      <w:pPr>
        <w:spacing w:after="0"/>
        <w:rPr>
          <w:rFonts w:ascii="Times New Roman" w:hAnsi="Times New Roman" w:cs="Times New Roman"/>
          <w:sz w:val="24"/>
          <w:szCs w:val="24"/>
        </w:rPr>
      </w:pPr>
    </w:p>
    <w:p w14:paraId="3DED4B76"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HOW, BY WHOM, AND FOR WHAT PURPOSE THE INFORMATION IS TO BE USED AND THE CONSEQUENCES OF NOT COLLECTING THE INFORMATION</w:t>
      </w:r>
    </w:p>
    <w:p w14:paraId="3DED4B77" w14:textId="77777777" w:rsidR="00EB3E6F" w:rsidRDefault="00EB3E6F" w:rsidP="00EB3E6F">
      <w:pPr>
        <w:spacing w:after="0"/>
        <w:rPr>
          <w:rFonts w:ascii="Times New Roman" w:hAnsi="Times New Roman" w:cs="Times New Roman"/>
          <w:sz w:val="24"/>
          <w:szCs w:val="24"/>
        </w:rPr>
      </w:pPr>
    </w:p>
    <w:p w14:paraId="66C7A40F" w14:textId="3A5C7D09" w:rsidR="00794B5E" w:rsidRDefault="009647F6" w:rsidP="00794B5E">
      <w:pPr>
        <w:spacing w:after="0"/>
        <w:rPr>
          <w:rFonts w:ascii="Times New Roman" w:hAnsi="Times New Roman" w:cs="Times New Roman"/>
          <w:sz w:val="24"/>
          <w:szCs w:val="24"/>
        </w:rPr>
      </w:pPr>
      <w:r>
        <w:rPr>
          <w:rFonts w:ascii="Times New Roman" w:hAnsi="Times New Roman" w:cs="Times New Roman"/>
          <w:sz w:val="24"/>
          <w:szCs w:val="24"/>
        </w:rPr>
        <w:t>Reliability Standard CIP-014-1</w:t>
      </w:r>
      <w:r w:rsidR="00F729C6" w:rsidRPr="0021015B">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requires</w:t>
      </w:r>
      <w:r w:rsidR="006162B0">
        <w:rPr>
          <w:rFonts w:ascii="Times New Roman" w:hAnsi="Times New Roman" w:cs="Times New Roman"/>
          <w:sz w:val="24"/>
          <w:szCs w:val="24"/>
        </w:rPr>
        <w:t xml:space="preserve"> applicable</w:t>
      </w:r>
      <w:r>
        <w:rPr>
          <w:rFonts w:ascii="Times New Roman" w:hAnsi="Times New Roman" w:cs="Times New Roman"/>
          <w:sz w:val="24"/>
          <w:szCs w:val="24"/>
        </w:rPr>
        <w:t xml:space="preserve"> </w:t>
      </w:r>
      <w:r w:rsidR="003362B4">
        <w:rPr>
          <w:rFonts w:ascii="Times New Roman" w:hAnsi="Times New Roman" w:cs="Times New Roman"/>
          <w:sz w:val="24"/>
          <w:szCs w:val="24"/>
        </w:rPr>
        <w:t>t</w:t>
      </w:r>
      <w:r>
        <w:rPr>
          <w:rFonts w:ascii="Times New Roman" w:hAnsi="Times New Roman" w:cs="Times New Roman"/>
          <w:sz w:val="24"/>
          <w:szCs w:val="24"/>
        </w:rPr>
        <w:t xml:space="preserve">ransmission </w:t>
      </w:r>
      <w:r w:rsidR="003362B4">
        <w:rPr>
          <w:rFonts w:ascii="Times New Roman" w:hAnsi="Times New Roman" w:cs="Times New Roman"/>
          <w:sz w:val="24"/>
          <w:szCs w:val="24"/>
        </w:rPr>
        <w:t>o</w:t>
      </w:r>
      <w:r>
        <w:rPr>
          <w:rFonts w:ascii="Times New Roman" w:hAnsi="Times New Roman" w:cs="Times New Roman"/>
          <w:sz w:val="24"/>
          <w:szCs w:val="24"/>
        </w:rPr>
        <w:t xml:space="preserve">wners and </w:t>
      </w:r>
      <w:r w:rsidR="003362B4">
        <w:rPr>
          <w:rFonts w:ascii="Times New Roman" w:hAnsi="Times New Roman" w:cs="Times New Roman"/>
          <w:sz w:val="24"/>
          <w:szCs w:val="24"/>
        </w:rPr>
        <w:t>t</w:t>
      </w:r>
      <w:r>
        <w:rPr>
          <w:rFonts w:ascii="Times New Roman" w:hAnsi="Times New Roman" w:cs="Times New Roman"/>
          <w:sz w:val="24"/>
          <w:szCs w:val="24"/>
        </w:rPr>
        <w:t xml:space="preserve">ransmission </w:t>
      </w:r>
      <w:r w:rsidR="003362B4">
        <w:rPr>
          <w:rFonts w:ascii="Times New Roman" w:hAnsi="Times New Roman" w:cs="Times New Roman"/>
          <w:sz w:val="24"/>
          <w:szCs w:val="24"/>
        </w:rPr>
        <w:t>o</w:t>
      </w:r>
      <w:r>
        <w:rPr>
          <w:rFonts w:ascii="Times New Roman" w:hAnsi="Times New Roman" w:cs="Times New Roman"/>
          <w:sz w:val="24"/>
          <w:szCs w:val="24"/>
        </w:rPr>
        <w:t xml:space="preserve">perators </w:t>
      </w:r>
      <w:r w:rsidR="00794B5E">
        <w:rPr>
          <w:rFonts w:ascii="Times New Roman" w:hAnsi="Times New Roman" w:cs="Times New Roman"/>
          <w:sz w:val="24"/>
          <w:szCs w:val="24"/>
        </w:rPr>
        <w:t>t</w:t>
      </w:r>
      <w:r w:rsidR="00794B5E" w:rsidRPr="00794B5E">
        <w:rPr>
          <w:rFonts w:ascii="Times New Roman" w:hAnsi="Times New Roman" w:cs="Times New Roman"/>
          <w:sz w:val="24"/>
          <w:szCs w:val="24"/>
        </w:rPr>
        <w:t xml:space="preserve">o identify and protect </w:t>
      </w:r>
      <w:r w:rsidR="003362B4">
        <w:rPr>
          <w:rFonts w:ascii="Times New Roman" w:hAnsi="Times New Roman" w:cs="Times New Roman"/>
          <w:sz w:val="24"/>
          <w:szCs w:val="24"/>
        </w:rPr>
        <w:t>t</w:t>
      </w:r>
      <w:r w:rsidR="00794B5E" w:rsidRPr="00794B5E">
        <w:rPr>
          <w:rFonts w:ascii="Times New Roman" w:hAnsi="Times New Roman" w:cs="Times New Roman"/>
          <w:sz w:val="24"/>
          <w:szCs w:val="24"/>
        </w:rPr>
        <w:t xml:space="preserve">ransmission stations and </w:t>
      </w:r>
      <w:r w:rsidR="003362B4">
        <w:rPr>
          <w:rFonts w:ascii="Times New Roman" w:hAnsi="Times New Roman" w:cs="Times New Roman"/>
          <w:sz w:val="24"/>
          <w:szCs w:val="24"/>
        </w:rPr>
        <w:t>t</w:t>
      </w:r>
      <w:r w:rsidR="00794B5E" w:rsidRPr="00794B5E">
        <w:rPr>
          <w:rFonts w:ascii="Times New Roman" w:hAnsi="Times New Roman" w:cs="Times New Roman"/>
          <w:sz w:val="24"/>
          <w:szCs w:val="24"/>
        </w:rPr>
        <w:t xml:space="preserve">ransmission substations, and their associated primary control centers, that if rendered inoperable or damaged as a result of a physical attack could result in widespread instability, uncontrolled separation, or </w:t>
      </w:r>
      <w:r w:rsidR="003362B4">
        <w:rPr>
          <w:rFonts w:ascii="Times New Roman" w:hAnsi="Times New Roman" w:cs="Times New Roman"/>
          <w:sz w:val="24"/>
          <w:szCs w:val="24"/>
        </w:rPr>
        <w:t>c</w:t>
      </w:r>
      <w:r w:rsidR="00794B5E" w:rsidRPr="00794B5E">
        <w:rPr>
          <w:rFonts w:ascii="Times New Roman" w:hAnsi="Times New Roman" w:cs="Times New Roman"/>
          <w:sz w:val="24"/>
          <w:szCs w:val="24"/>
        </w:rPr>
        <w:t>ascading within an Interconnection.</w:t>
      </w:r>
      <w:r w:rsidR="00794B5E" w:rsidRPr="00794B5E">
        <w:rPr>
          <w:rStyle w:val="FootnoteReference"/>
          <w:rFonts w:ascii="Times New Roman" w:hAnsi="Times New Roman" w:cs="Times New Roman"/>
          <w:sz w:val="24"/>
          <w:szCs w:val="24"/>
          <w:vertAlign w:val="superscript"/>
        </w:rPr>
        <w:footnoteReference w:id="9"/>
      </w:r>
    </w:p>
    <w:p w14:paraId="2048DF9E" w14:textId="77777777" w:rsidR="00794B5E" w:rsidRDefault="00794B5E" w:rsidP="00794B5E">
      <w:pPr>
        <w:spacing w:after="0"/>
        <w:rPr>
          <w:rFonts w:ascii="Times New Roman" w:hAnsi="Times New Roman" w:cs="Times New Roman"/>
          <w:sz w:val="24"/>
          <w:szCs w:val="24"/>
        </w:rPr>
      </w:pPr>
    </w:p>
    <w:p w14:paraId="6CC0ED8C" w14:textId="2D9A63CF" w:rsidR="00794B5E" w:rsidRDefault="00794B5E" w:rsidP="00331DF9">
      <w:pPr>
        <w:spacing w:after="0"/>
        <w:rPr>
          <w:rFonts w:ascii="Times New Roman" w:hAnsi="Times New Roman" w:cs="Times New Roman"/>
          <w:sz w:val="24"/>
          <w:szCs w:val="24"/>
        </w:rPr>
      </w:pPr>
      <w:r w:rsidRPr="00C97814">
        <w:rPr>
          <w:rFonts w:ascii="Times New Roman" w:hAnsi="Times New Roman" w:cs="Times New Roman"/>
          <w:sz w:val="24"/>
          <w:szCs w:val="24"/>
        </w:rPr>
        <w:t>In terms of informati</w:t>
      </w:r>
      <w:r w:rsidR="00331DF9" w:rsidRPr="00C97814">
        <w:rPr>
          <w:rFonts w:ascii="Times New Roman" w:hAnsi="Times New Roman" w:cs="Times New Roman"/>
          <w:sz w:val="24"/>
          <w:szCs w:val="24"/>
        </w:rPr>
        <w:t xml:space="preserve">on collection requirements, </w:t>
      </w:r>
      <w:r w:rsidR="003362B4" w:rsidRPr="00C97814">
        <w:rPr>
          <w:rFonts w:ascii="Times New Roman" w:hAnsi="Times New Roman" w:cs="Times New Roman"/>
          <w:sz w:val="24"/>
          <w:szCs w:val="24"/>
        </w:rPr>
        <w:t>a</w:t>
      </w:r>
      <w:r w:rsidR="00A706ED" w:rsidRPr="00C97814">
        <w:rPr>
          <w:rFonts w:ascii="Times New Roman" w:hAnsi="Times New Roman" w:cs="Times New Roman"/>
          <w:sz w:val="24"/>
          <w:szCs w:val="24"/>
        </w:rPr>
        <w:t xml:space="preserve">n </w:t>
      </w:r>
      <w:r w:rsidR="0056058A" w:rsidRPr="00C97814">
        <w:rPr>
          <w:rFonts w:ascii="Times New Roman" w:hAnsi="Times New Roman" w:cs="Times New Roman"/>
          <w:sz w:val="24"/>
          <w:szCs w:val="24"/>
        </w:rPr>
        <w:t xml:space="preserve">applicable </w:t>
      </w:r>
      <w:r w:rsidR="003362B4" w:rsidRPr="00C97814">
        <w:rPr>
          <w:rFonts w:ascii="Times New Roman" w:hAnsi="Times New Roman" w:cs="Times New Roman"/>
          <w:sz w:val="24"/>
          <w:szCs w:val="24"/>
        </w:rPr>
        <w:t>entity must</w:t>
      </w:r>
      <w:r w:rsidR="00331DF9" w:rsidRPr="00C97814">
        <w:rPr>
          <w:rFonts w:ascii="Times New Roman" w:hAnsi="Times New Roman" w:cs="Times New Roman"/>
          <w:sz w:val="24"/>
          <w:szCs w:val="24"/>
        </w:rPr>
        <w:t xml:space="preserve"> </w:t>
      </w:r>
      <w:r w:rsidR="003362B4" w:rsidRPr="00C97814">
        <w:rPr>
          <w:rFonts w:ascii="Times New Roman" w:hAnsi="Times New Roman" w:cs="Times New Roman"/>
          <w:sz w:val="24"/>
          <w:szCs w:val="24"/>
        </w:rPr>
        <w:t>c</w:t>
      </w:r>
      <w:r w:rsidR="00331DF9" w:rsidRPr="00C97814">
        <w:rPr>
          <w:rFonts w:ascii="Times New Roman" w:hAnsi="Times New Roman" w:cs="Times New Roman"/>
          <w:sz w:val="24"/>
          <w:szCs w:val="24"/>
        </w:rPr>
        <w:t xml:space="preserve">reate or maintain documentation showing </w:t>
      </w:r>
      <w:r w:rsidR="003362B4" w:rsidRPr="00C97814">
        <w:rPr>
          <w:rFonts w:ascii="Times New Roman" w:hAnsi="Times New Roman" w:cs="Times New Roman"/>
          <w:sz w:val="24"/>
          <w:szCs w:val="24"/>
        </w:rPr>
        <w:t>compliance, when appropriate, with each requirement of the Reliability Standard.</w:t>
      </w:r>
      <w:r w:rsidR="00331DF9" w:rsidRPr="00C97814">
        <w:rPr>
          <w:rFonts w:ascii="Times New Roman" w:hAnsi="Times New Roman" w:cs="Times New Roman"/>
          <w:sz w:val="24"/>
          <w:szCs w:val="24"/>
        </w:rPr>
        <w:t xml:space="preserve"> </w:t>
      </w:r>
      <w:r w:rsidR="003362B4" w:rsidRPr="00C97814">
        <w:rPr>
          <w:rFonts w:ascii="Times New Roman" w:hAnsi="Times New Roman" w:cs="Times New Roman"/>
          <w:sz w:val="24"/>
          <w:szCs w:val="24"/>
        </w:rPr>
        <w:t xml:space="preserve"> </w:t>
      </w:r>
      <w:r w:rsidR="00CB10CA" w:rsidRPr="00C97814">
        <w:rPr>
          <w:rFonts w:ascii="Times New Roman" w:hAnsi="Times New Roman" w:cs="Times New Roman"/>
          <w:sz w:val="24"/>
          <w:szCs w:val="24"/>
        </w:rPr>
        <w:t xml:space="preserve">Reliability Standard CIP-014-1 has six requirements.  </w:t>
      </w:r>
    </w:p>
    <w:p w14:paraId="09359AEA" w14:textId="77777777" w:rsidR="006162B0" w:rsidRPr="000C659D" w:rsidRDefault="006162B0" w:rsidP="00331DF9">
      <w:pPr>
        <w:spacing w:after="0"/>
        <w:rPr>
          <w:rFonts w:ascii="Times New Roman" w:hAnsi="Times New Roman" w:cs="Times New Roman"/>
          <w:sz w:val="24"/>
          <w:szCs w:val="24"/>
        </w:rPr>
      </w:pPr>
    </w:p>
    <w:p w14:paraId="3A3D6BF2" w14:textId="20212132" w:rsidR="00AD457A" w:rsidRPr="003A4676" w:rsidRDefault="00CB10CA" w:rsidP="003A4676">
      <w:pPr>
        <w:pStyle w:val="FERCparanumber"/>
        <w:numPr>
          <w:ilvl w:val="0"/>
          <w:numId w:val="12"/>
        </w:numPr>
        <w:spacing w:line="240" w:lineRule="auto"/>
        <w:ind w:left="720" w:hanging="360"/>
        <w:rPr>
          <w:sz w:val="24"/>
        </w:rPr>
      </w:pPr>
      <w:r w:rsidRPr="00101C4A">
        <w:rPr>
          <w:sz w:val="24"/>
        </w:rPr>
        <w:t>Requirement R1 requires applicable transmission owners to perform risk assessments on a periodic basis</w:t>
      </w:r>
      <w:r w:rsidR="00970133" w:rsidRPr="00FC0499">
        <w:rPr>
          <w:rStyle w:val="FootnoteReference"/>
          <w:sz w:val="24"/>
          <w:vertAlign w:val="superscript"/>
        </w:rPr>
        <w:footnoteReference w:id="10"/>
      </w:r>
      <w:r w:rsidRPr="00101C4A">
        <w:rPr>
          <w:sz w:val="24"/>
        </w:rPr>
        <w:t xml:space="preserve"> to</w:t>
      </w:r>
      <w:r w:rsidRPr="008B09FA">
        <w:rPr>
          <w:sz w:val="24"/>
        </w:rPr>
        <w:t xml:space="preserve"> </w:t>
      </w:r>
      <w:r w:rsidRPr="003A4676">
        <w:rPr>
          <w:sz w:val="24"/>
        </w:rPr>
        <w:t>identify their transmission stations and transmission substations that, if rendered inoperable or damaged, could result in widespread instability, uncontrolled separation, or cascading within an Interconnection.  Requirement R1 also requires transmission owners to identify the primary control center that operationally controls each of the identified transmission stations or transmission substations.</w:t>
      </w:r>
      <w:r w:rsidR="00FA3007">
        <w:rPr>
          <w:sz w:val="24"/>
        </w:rPr>
        <w:t xml:space="preserve"> </w:t>
      </w:r>
      <w:r w:rsidR="00AD457A">
        <w:rPr>
          <w:sz w:val="24"/>
        </w:rPr>
        <w:t xml:space="preserve">  </w:t>
      </w:r>
      <w:r w:rsidR="00AD457A" w:rsidRPr="000C659D">
        <w:rPr>
          <w:sz w:val="24"/>
        </w:rPr>
        <w:t xml:space="preserve">Examples of acceptable evidence may include dated written or electronic documentation of the risk assessment of its </w:t>
      </w:r>
      <w:r w:rsidR="006162B0">
        <w:rPr>
          <w:sz w:val="24"/>
        </w:rPr>
        <w:t>t</w:t>
      </w:r>
      <w:r w:rsidR="00AD457A" w:rsidRPr="000C659D">
        <w:rPr>
          <w:sz w:val="24"/>
        </w:rPr>
        <w:t xml:space="preserve">ransmission stations and </w:t>
      </w:r>
      <w:r w:rsidR="006162B0">
        <w:rPr>
          <w:sz w:val="24"/>
        </w:rPr>
        <w:t>t</w:t>
      </w:r>
      <w:r w:rsidR="00AD457A" w:rsidRPr="00AD457A">
        <w:rPr>
          <w:sz w:val="24"/>
        </w:rPr>
        <w:t>ransmission substations (existing and planned to be in service within 24 months) that meet the criteria in Applicability Section 4.1.1 as specified in Requirement R1.</w:t>
      </w:r>
    </w:p>
    <w:p w14:paraId="2487AE72" w14:textId="69D6E4C2" w:rsidR="00AD457A" w:rsidRPr="00AD457A" w:rsidRDefault="00CB10CA" w:rsidP="003A4676">
      <w:pPr>
        <w:pStyle w:val="FERCparanumber"/>
        <w:numPr>
          <w:ilvl w:val="0"/>
          <w:numId w:val="12"/>
        </w:numPr>
        <w:spacing w:line="240" w:lineRule="auto"/>
        <w:ind w:left="720" w:hanging="360"/>
        <w:rPr>
          <w:sz w:val="24"/>
        </w:rPr>
      </w:pPr>
      <w:r w:rsidRPr="00E035AD">
        <w:rPr>
          <w:sz w:val="24"/>
        </w:rPr>
        <w:lastRenderedPageBreak/>
        <w:t>Requirement R2 requires that each applicable transmission owner have an unaffiliated third party with appropriate experience verify the risk assessment performed under Requirement R1</w:t>
      </w:r>
      <w:r w:rsidRPr="003042D7">
        <w:rPr>
          <w:sz w:val="24"/>
        </w:rPr>
        <w:t>.</w:t>
      </w:r>
      <w:r w:rsidRPr="003A4676">
        <w:rPr>
          <w:sz w:val="24"/>
        </w:rPr>
        <w:t xml:space="preserve">  Requirement R2 states that the transmission owner must either modify its identification of facilities consistent with the verifier’s recommendation or document the technical basis for not doing so.  In addition, Requirement R2 requires each transmission owner to implement procedures for protecting sensitive or confidential information made available to third-party verifiers or developed under the Reliability Standard from public disclosure.</w:t>
      </w:r>
      <w:r w:rsidR="00AD457A">
        <w:rPr>
          <w:sz w:val="24"/>
        </w:rPr>
        <w:t xml:space="preserve">  </w:t>
      </w:r>
      <w:r w:rsidR="00AD457A" w:rsidRPr="000C659D">
        <w:rPr>
          <w:sz w:val="24"/>
        </w:rPr>
        <w:t xml:space="preserve">Examples of acceptable evidence may include dated written or electronic documentation that the </w:t>
      </w:r>
      <w:r w:rsidR="006162B0">
        <w:rPr>
          <w:sz w:val="24"/>
        </w:rPr>
        <w:t>t</w:t>
      </w:r>
      <w:r w:rsidR="00AD457A" w:rsidRPr="000C659D">
        <w:rPr>
          <w:sz w:val="24"/>
        </w:rPr>
        <w:t xml:space="preserve">ransmission </w:t>
      </w:r>
      <w:r w:rsidR="006162B0">
        <w:rPr>
          <w:sz w:val="24"/>
        </w:rPr>
        <w:t>o</w:t>
      </w:r>
      <w:r w:rsidR="00AD457A" w:rsidRPr="000C659D">
        <w:rPr>
          <w:sz w:val="24"/>
        </w:rPr>
        <w:t>wner completed an unaffiliated</w:t>
      </w:r>
      <w:r w:rsidR="00AD457A" w:rsidRPr="00AD457A">
        <w:rPr>
          <w:sz w:val="24"/>
        </w:rPr>
        <w:t xml:space="preserve"> third party verification of the Requirement R1 risk assessment and satisfied all of the applicable provisions of Requirement R2, including, if applicable, documenting the technical basis for not modifying the Requirement R1 identification as specified under Part 2.3.</w:t>
      </w:r>
    </w:p>
    <w:p w14:paraId="397A7962" w14:textId="67183F40" w:rsidR="00AD457A" w:rsidRPr="00AD457A" w:rsidRDefault="00CB10CA" w:rsidP="003A4676">
      <w:pPr>
        <w:pStyle w:val="FERCparanumber"/>
        <w:numPr>
          <w:ilvl w:val="0"/>
          <w:numId w:val="12"/>
        </w:numPr>
        <w:spacing w:line="240" w:lineRule="auto"/>
        <w:ind w:left="720" w:hanging="360"/>
        <w:rPr>
          <w:sz w:val="24"/>
        </w:rPr>
      </w:pPr>
      <w:r w:rsidRPr="003A4676">
        <w:rPr>
          <w:sz w:val="24"/>
        </w:rPr>
        <w:t>Requirement R3 requires the transmission owner to notify a transmission operator that operationally controls a primary control center identified under Requirement R1 of such identification to ensure that the transmission operator has notice of the identification so that it may timely fulfill its obligations under Requirements R4 and R5 to protect the primary control center.</w:t>
      </w:r>
      <w:r w:rsidR="00AD457A">
        <w:rPr>
          <w:sz w:val="24"/>
        </w:rPr>
        <w:t xml:space="preserve">  </w:t>
      </w:r>
      <w:r w:rsidR="00AD457A" w:rsidRPr="000C659D">
        <w:rPr>
          <w:sz w:val="24"/>
        </w:rPr>
        <w:t xml:space="preserve">Examples of acceptable evidence may include dated written or electronic communications that the </w:t>
      </w:r>
      <w:r w:rsidR="006162B0">
        <w:rPr>
          <w:sz w:val="24"/>
        </w:rPr>
        <w:t>t</w:t>
      </w:r>
      <w:r w:rsidR="00AD457A" w:rsidRPr="000C659D">
        <w:rPr>
          <w:sz w:val="24"/>
        </w:rPr>
        <w:t xml:space="preserve">ransmission </w:t>
      </w:r>
      <w:r w:rsidR="006162B0">
        <w:rPr>
          <w:sz w:val="24"/>
        </w:rPr>
        <w:t>o</w:t>
      </w:r>
      <w:r w:rsidR="00AD457A" w:rsidRPr="000C659D">
        <w:rPr>
          <w:sz w:val="24"/>
        </w:rPr>
        <w:t xml:space="preserve">wner notified each </w:t>
      </w:r>
      <w:r w:rsidR="006162B0">
        <w:rPr>
          <w:sz w:val="24"/>
        </w:rPr>
        <w:t>t</w:t>
      </w:r>
      <w:r w:rsidR="00AD457A" w:rsidRPr="000C659D">
        <w:rPr>
          <w:sz w:val="24"/>
        </w:rPr>
        <w:t xml:space="preserve">ransmission </w:t>
      </w:r>
      <w:r w:rsidR="006162B0">
        <w:rPr>
          <w:sz w:val="24"/>
        </w:rPr>
        <w:t>o</w:t>
      </w:r>
      <w:r w:rsidR="00AD457A" w:rsidRPr="000C659D">
        <w:rPr>
          <w:sz w:val="24"/>
        </w:rPr>
        <w:t>perator, as applicable, according to Requirement R3.</w:t>
      </w:r>
    </w:p>
    <w:p w14:paraId="55B26448" w14:textId="5A4231D6" w:rsidR="00AD457A" w:rsidRDefault="00CB10CA" w:rsidP="003A4676">
      <w:pPr>
        <w:pStyle w:val="FERCparanumber"/>
        <w:numPr>
          <w:ilvl w:val="0"/>
          <w:numId w:val="12"/>
        </w:numPr>
        <w:spacing w:line="240" w:lineRule="auto"/>
        <w:ind w:left="720" w:hanging="360"/>
        <w:rPr>
          <w:sz w:val="24"/>
        </w:rPr>
      </w:pPr>
      <w:r w:rsidRPr="003A4676">
        <w:rPr>
          <w:sz w:val="24"/>
        </w:rPr>
        <w:t xml:space="preserve">Requirement R4 requires each applicable transmission owner and transmission operator to conduct an evaluation of the potential threats and vulnerabilities of a physical attack on each of its respective transmission stations, transmission </w:t>
      </w:r>
      <w:r w:rsidRPr="00BF7946">
        <w:rPr>
          <w:sz w:val="24"/>
        </w:rPr>
        <w:t xml:space="preserve">substations, </w:t>
      </w:r>
      <w:r w:rsidRPr="008C6B03">
        <w:rPr>
          <w:sz w:val="24"/>
        </w:rPr>
        <w:t>and primary control centers identified as critical in Requirement R1</w:t>
      </w:r>
      <w:r w:rsidRPr="00BF7946">
        <w:rPr>
          <w:sz w:val="24"/>
        </w:rPr>
        <w:t>.</w:t>
      </w:r>
      <w:r w:rsidR="00AD457A" w:rsidRPr="00BF7946">
        <w:rPr>
          <w:sz w:val="24"/>
        </w:rPr>
        <w:t xml:space="preserve">  Examples of evidence may include dated written or electronic documentation that the </w:t>
      </w:r>
      <w:r w:rsidR="006162B0" w:rsidRPr="008C6B03">
        <w:rPr>
          <w:sz w:val="24"/>
        </w:rPr>
        <w:t>t</w:t>
      </w:r>
      <w:r w:rsidR="00AD457A" w:rsidRPr="008C6B03">
        <w:rPr>
          <w:sz w:val="24"/>
        </w:rPr>
        <w:t xml:space="preserve">ransmission </w:t>
      </w:r>
      <w:r w:rsidR="006162B0" w:rsidRPr="008C6B03">
        <w:rPr>
          <w:sz w:val="24"/>
        </w:rPr>
        <w:t>o</w:t>
      </w:r>
      <w:r w:rsidR="00AD457A" w:rsidRPr="008C6B03">
        <w:rPr>
          <w:sz w:val="24"/>
        </w:rPr>
        <w:t xml:space="preserve">wner or </w:t>
      </w:r>
      <w:r w:rsidR="006162B0" w:rsidRPr="008C6B03">
        <w:rPr>
          <w:sz w:val="24"/>
        </w:rPr>
        <w:t>t</w:t>
      </w:r>
      <w:r w:rsidR="00AD457A" w:rsidRPr="008C6B03">
        <w:rPr>
          <w:sz w:val="24"/>
        </w:rPr>
        <w:t xml:space="preserve">ransmission </w:t>
      </w:r>
      <w:r w:rsidR="006162B0" w:rsidRPr="008C6B03">
        <w:rPr>
          <w:sz w:val="24"/>
        </w:rPr>
        <w:t>o</w:t>
      </w:r>
      <w:r w:rsidR="00AD457A" w:rsidRPr="008C6B03">
        <w:rPr>
          <w:sz w:val="24"/>
        </w:rPr>
        <w:t>perator conducted an evaluation of the potential threats an</w:t>
      </w:r>
      <w:r w:rsidR="00AD457A" w:rsidRPr="00AD457A">
        <w:rPr>
          <w:sz w:val="24"/>
        </w:rPr>
        <w:t xml:space="preserve">d vulnerabilities of a physical attack to their respective </w:t>
      </w:r>
      <w:r w:rsidR="006162B0">
        <w:rPr>
          <w:sz w:val="24"/>
        </w:rPr>
        <w:t>t</w:t>
      </w:r>
      <w:r w:rsidR="00AD457A" w:rsidRPr="00AD457A">
        <w:rPr>
          <w:sz w:val="24"/>
        </w:rPr>
        <w:t xml:space="preserve">ransmission station(s), </w:t>
      </w:r>
      <w:r w:rsidR="006162B0">
        <w:rPr>
          <w:sz w:val="24"/>
        </w:rPr>
        <w:t>t</w:t>
      </w:r>
      <w:r w:rsidR="00AD457A" w:rsidRPr="00AD457A">
        <w:rPr>
          <w:sz w:val="24"/>
        </w:rPr>
        <w:t>ransmission substation(s) and primary control center(s) as specified in Requirement R4.</w:t>
      </w:r>
    </w:p>
    <w:p w14:paraId="71B584D1" w14:textId="0E43A826" w:rsidR="00AD457A" w:rsidRPr="00AD457A" w:rsidRDefault="00CB10CA" w:rsidP="003A4676">
      <w:pPr>
        <w:pStyle w:val="FERCparanumber"/>
        <w:numPr>
          <w:ilvl w:val="0"/>
          <w:numId w:val="12"/>
        </w:numPr>
        <w:spacing w:line="240" w:lineRule="auto"/>
        <w:ind w:left="720" w:hanging="360"/>
        <w:rPr>
          <w:sz w:val="24"/>
        </w:rPr>
      </w:pPr>
      <w:r w:rsidRPr="003A4676">
        <w:rPr>
          <w:sz w:val="24"/>
        </w:rPr>
        <w:t>Requirement R5 requires each transmission owner and transmission operator to develop and implement documented physical security plans that cover each of their respective transmission stations, transmission substations, and primary control centers identified as critical in Requirement R1.</w:t>
      </w:r>
      <w:r w:rsidR="00AD457A" w:rsidRPr="000C659D">
        <w:rPr>
          <w:sz w:val="24"/>
        </w:rPr>
        <w:t xml:space="preserve">  Examples of evidence may include dated written or electronic documentation of its physical security plan(s) that covers their respective identified and verified </w:t>
      </w:r>
      <w:r w:rsidR="006162B0">
        <w:rPr>
          <w:sz w:val="24"/>
        </w:rPr>
        <w:t>t</w:t>
      </w:r>
      <w:r w:rsidR="00AD457A" w:rsidRPr="000C659D">
        <w:rPr>
          <w:sz w:val="24"/>
        </w:rPr>
        <w:t xml:space="preserve">ransmission station(s), </w:t>
      </w:r>
      <w:r w:rsidR="006162B0">
        <w:rPr>
          <w:sz w:val="24"/>
        </w:rPr>
        <w:t>t</w:t>
      </w:r>
      <w:r w:rsidR="00AD457A" w:rsidRPr="000C659D">
        <w:rPr>
          <w:sz w:val="24"/>
        </w:rPr>
        <w:t xml:space="preserve">ransmission substation(s), and primary control </w:t>
      </w:r>
      <w:r w:rsidR="00AD457A" w:rsidRPr="00AD457A">
        <w:rPr>
          <w:sz w:val="24"/>
        </w:rPr>
        <w:t>center(s) as specified in Requirement R5, and additional evidence demonstrating implementation of the physical security plan.</w:t>
      </w:r>
    </w:p>
    <w:p w14:paraId="5052D0ED" w14:textId="6BBC1DF8" w:rsidR="00AD457A" w:rsidRPr="003A4676" w:rsidRDefault="00CB10CA" w:rsidP="003A4676">
      <w:pPr>
        <w:pStyle w:val="FERCparanumber"/>
        <w:numPr>
          <w:ilvl w:val="0"/>
          <w:numId w:val="12"/>
        </w:numPr>
        <w:spacing w:line="240" w:lineRule="auto"/>
        <w:ind w:left="720" w:hanging="360"/>
        <w:rPr>
          <w:sz w:val="24"/>
        </w:rPr>
      </w:pPr>
      <w:r w:rsidRPr="003A4676">
        <w:rPr>
          <w:sz w:val="24"/>
        </w:rPr>
        <w:t xml:space="preserve">Requirement R6 requires that each transmission owner and transmission operator subject to Requirements R4 and R5 have an unaffiliated third party with appropriate experience review its Requirement R4 evaluation and Requirement R5 security plan.  Requirement R6 states that the transmission owner or transmission operator must either modify its evaluation and security plan consistent with the recommendation, if any, of the reviewer or document its reasons for not doing so.  In addition, Requirement R6 requires each transmission owner to implement procedures for protecting sensitive or confidential information made available to third-party reviewers or developed under the Reliability </w:t>
      </w:r>
      <w:r w:rsidRPr="003A4676">
        <w:rPr>
          <w:sz w:val="24"/>
        </w:rPr>
        <w:lastRenderedPageBreak/>
        <w:t>Standard from public disclosure.</w:t>
      </w:r>
      <w:r w:rsidR="00AD457A">
        <w:rPr>
          <w:sz w:val="24"/>
        </w:rPr>
        <w:t xml:space="preserve">  </w:t>
      </w:r>
      <w:r w:rsidR="00AD457A" w:rsidRPr="000C659D">
        <w:rPr>
          <w:sz w:val="24"/>
        </w:rPr>
        <w:t xml:space="preserve">Examples of evidence may include written or electronic </w:t>
      </w:r>
      <w:r w:rsidR="00AD457A" w:rsidRPr="00AD457A">
        <w:rPr>
          <w:sz w:val="24"/>
        </w:rPr>
        <w:t xml:space="preserve">documentation that the </w:t>
      </w:r>
      <w:r w:rsidR="006162B0">
        <w:rPr>
          <w:sz w:val="24"/>
        </w:rPr>
        <w:t>t</w:t>
      </w:r>
      <w:r w:rsidR="00AD457A" w:rsidRPr="00AD457A">
        <w:rPr>
          <w:sz w:val="24"/>
        </w:rPr>
        <w:t xml:space="preserve">ransmission </w:t>
      </w:r>
      <w:r w:rsidR="006162B0">
        <w:rPr>
          <w:sz w:val="24"/>
        </w:rPr>
        <w:t>o</w:t>
      </w:r>
      <w:r w:rsidR="00AD457A" w:rsidRPr="00AD457A">
        <w:rPr>
          <w:sz w:val="24"/>
        </w:rPr>
        <w:t xml:space="preserve">wner or </w:t>
      </w:r>
      <w:r w:rsidR="006162B0">
        <w:rPr>
          <w:sz w:val="24"/>
        </w:rPr>
        <w:t>t</w:t>
      </w:r>
      <w:r w:rsidR="00AD457A" w:rsidRPr="00AD457A">
        <w:rPr>
          <w:sz w:val="24"/>
        </w:rPr>
        <w:t xml:space="preserve">ransmission </w:t>
      </w:r>
      <w:r w:rsidR="006162B0">
        <w:rPr>
          <w:sz w:val="24"/>
        </w:rPr>
        <w:t>o</w:t>
      </w:r>
      <w:r w:rsidR="00AD457A" w:rsidRPr="00AD457A">
        <w:rPr>
          <w:sz w:val="24"/>
        </w:rPr>
        <w:t>perator had an unaffiliated third party review the evaluation performed under Requirement R4 and the security plan(s) developed under Requirement R5 as specified in Requirement R6 including, if applicable, documenting the reasons for not modifying the evaluation or security plan(s) in accordance with a recommendation under Part 6.3.</w:t>
      </w:r>
    </w:p>
    <w:p w14:paraId="324A41D1" w14:textId="77777777" w:rsidR="00FA3007" w:rsidRDefault="00FA3007" w:rsidP="003A4676">
      <w:pPr>
        <w:pStyle w:val="FERCparanumber"/>
        <w:numPr>
          <w:ilvl w:val="0"/>
          <w:numId w:val="0"/>
        </w:numPr>
        <w:spacing w:line="240" w:lineRule="auto"/>
        <w:rPr>
          <w:sz w:val="24"/>
        </w:rPr>
      </w:pPr>
    </w:p>
    <w:p w14:paraId="4BF45C08" w14:textId="52E586C8" w:rsidR="00FA3007" w:rsidRPr="003A4676" w:rsidRDefault="00FA3007" w:rsidP="003A4676">
      <w:pPr>
        <w:rPr>
          <w:sz w:val="24"/>
        </w:rPr>
      </w:pPr>
      <w:r w:rsidRPr="003A4676">
        <w:rPr>
          <w:rFonts w:ascii="Times New Roman" w:hAnsi="Times New Roman" w:cs="Times New Roman"/>
          <w:sz w:val="24"/>
          <w:szCs w:val="24"/>
        </w:rPr>
        <w:t xml:space="preserve">Transmission </w:t>
      </w:r>
      <w:r w:rsidR="006162B0">
        <w:rPr>
          <w:rFonts w:ascii="Times New Roman" w:hAnsi="Times New Roman" w:cs="Times New Roman"/>
          <w:sz w:val="24"/>
          <w:szCs w:val="24"/>
        </w:rPr>
        <w:t>o</w:t>
      </w:r>
      <w:r w:rsidRPr="003A4676">
        <w:rPr>
          <w:rFonts w:ascii="Times New Roman" w:hAnsi="Times New Roman" w:cs="Times New Roman"/>
          <w:sz w:val="24"/>
          <w:szCs w:val="24"/>
        </w:rPr>
        <w:t>wner</w:t>
      </w:r>
      <w:r w:rsidR="006162B0">
        <w:rPr>
          <w:rFonts w:ascii="Times New Roman" w:hAnsi="Times New Roman" w:cs="Times New Roman"/>
          <w:sz w:val="24"/>
          <w:szCs w:val="24"/>
        </w:rPr>
        <w:t>s</w:t>
      </w:r>
      <w:r w:rsidRPr="003A4676">
        <w:rPr>
          <w:rFonts w:ascii="Times New Roman" w:hAnsi="Times New Roman" w:cs="Times New Roman"/>
          <w:sz w:val="24"/>
          <w:szCs w:val="24"/>
        </w:rPr>
        <w:t xml:space="preserve"> and </w:t>
      </w:r>
      <w:r w:rsidR="006162B0">
        <w:rPr>
          <w:rFonts w:ascii="Times New Roman" w:hAnsi="Times New Roman" w:cs="Times New Roman"/>
          <w:sz w:val="24"/>
          <w:szCs w:val="24"/>
        </w:rPr>
        <w:t>t</w:t>
      </w:r>
      <w:r w:rsidRPr="003A4676">
        <w:rPr>
          <w:rFonts w:ascii="Times New Roman" w:hAnsi="Times New Roman" w:cs="Times New Roman"/>
          <w:sz w:val="24"/>
          <w:szCs w:val="24"/>
        </w:rPr>
        <w:t xml:space="preserve">ransmission </w:t>
      </w:r>
      <w:r w:rsidR="006162B0">
        <w:rPr>
          <w:rFonts w:ascii="Times New Roman" w:hAnsi="Times New Roman" w:cs="Times New Roman"/>
          <w:sz w:val="24"/>
          <w:szCs w:val="24"/>
        </w:rPr>
        <w:t>o</w:t>
      </w:r>
      <w:r w:rsidRPr="003A4676">
        <w:rPr>
          <w:rFonts w:ascii="Times New Roman" w:hAnsi="Times New Roman" w:cs="Times New Roman"/>
          <w:sz w:val="24"/>
          <w:szCs w:val="24"/>
        </w:rPr>
        <w:t>perator</w:t>
      </w:r>
      <w:r w:rsidR="006162B0">
        <w:rPr>
          <w:rFonts w:ascii="Times New Roman" w:hAnsi="Times New Roman" w:cs="Times New Roman"/>
          <w:sz w:val="24"/>
          <w:szCs w:val="24"/>
        </w:rPr>
        <w:t>s</w:t>
      </w:r>
      <w:r w:rsidRPr="003A4676">
        <w:rPr>
          <w:rFonts w:ascii="Times New Roman" w:hAnsi="Times New Roman" w:cs="Times New Roman"/>
          <w:sz w:val="24"/>
          <w:szCs w:val="24"/>
        </w:rPr>
        <w:t xml:space="preserve"> must keep data or evidence to show compliance with the standard for three years unless directed by its Compliance Enforcement Authority.  If a </w:t>
      </w:r>
      <w:r w:rsidR="006162B0">
        <w:rPr>
          <w:rFonts w:ascii="Times New Roman" w:hAnsi="Times New Roman" w:cs="Times New Roman"/>
          <w:sz w:val="24"/>
          <w:szCs w:val="24"/>
        </w:rPr>
        <w:t>r</w:t>
      </w:r>
      <w:r w:rsidRPr="003A4676">
        <w:rPr>
          <w:rFonts w:ascii="Times New Roman" w:hAnsi="Times New Roman" w:cs="Times New Roman"/>
          <w:sz w:val="24"/>
          <w:szCs w:val="24"/>
        </w:rPr>
        <w:t xml:space="preserve">esponsible </w:t>
      </w:r>
      <w:r w:rsidR="006162B0">
        <w:rPr>
          <w:rFonts w:ascii="Times New Roman" w:hAnsi="Times New Roman" w:cs="Times New Roman"/>
          <w:sz w:val="24"/>
          <w:szCs w:val="24"/>
        </w:rPr>
        <w:t>e</w:t>
      </w:r>
      <w:r w:rsidRPr="003A4676">
        <w:rPr>
          <w:rFonts w:ascii="Times New Roman" w:hAnsi="Times New Roman" w:cs="Times New Roman"/>
          <w:sz w:val="24"/>
          <w:szCs w:val="24"/>
        </w:rPr>
        <w:t xml:space="preserve">ntity is found non-compliant, it must keep information related to the non-compliance until mitigation is complete and approved, or for the three years, whichever is longer. </w:t>
      </w:r>
    </w:p>
    <w:p w14:paraId="0DC5631C" w14:textId="2DE2624A" w:rsidR="00794141" w:rsidRDefault="0075494B" w:rsidP="005E389D">
      <w:pPr>
        <w:spacing w:after="0"/>
        <w:rPr>
          <w:rFonts w:ascii="Times New Roman" w:hAnsi="Times New Roman" w:cs="Times New Roman"/>
          <w:sz w:val="24"/>
          <w:szCs w:val="24"/>
        </w:rPr>
      </w:pPr>
      <w:r w:rsidRPr="00C97814">
        <w:rPr>
          <w:rFonts w:ascii="Times New Roman" w:hAnsi="Times New Roman" w:cs="Times New Roman"/>
          <w:sz w:val="24"/>
          <w:szCs w:val="24"/>
        </w:rPr>
        <w:t>Note that t</w:t>
      </w:r>
      <w:r w:rsidR="00794141" w:rsidRPr="00C97814">
        <w:rPr>
          <w:rFonts w:ascii="Times New Roman" w:hAnsi="Times New Roman" w:cs="Times New Roman"/>
          <w:sz w:val="24"/>
          <w:szCs w:val="24"/>
        </w:rPr>
        <w:t xml:space="preserve">he requirement for NERC to make the informational filing </w:t>
      </w:r>
      <w:r w:rsidR="00114C90" w:rsidRPr="00C97814">
        <w:rPr>
          <w:rFonts w:ascii="Times New Roman" w:hAnsi="Times New Roman" w:cs="Times New Roman"/>
          <w:sz w:val="24"/>
          <w:szCs w:val="24"/>
        </w:rPr>
        <w:t>(</w:t>
      </w:r>
      <w:r w:rsidR="00283149" w:rsidRPr="00C97814">
        <w:rPr>
          <w:rFonts w:ascii="Times New Roman" w:hAnsi="Times New Roman" w:cs="Times New Roman"/>
          <w:sz w:val="24"/>
          <w:szCs w:val="24"/>
        </w:rPr>
        <w:t>addressing the possibility that Reliability Standard CIP-014-1 may not provide physical security for all “High Impact”</w:t>
      </w:r>
      <w:r w:rsidR="00283149" w:rsidRPr="00283149">
        <w:rPr>
          <w:rFonts w:ascii="Times New Roman" w:hAnsi="Times New Roman" w:cs="Times New Roman"/>
          <w:sz w:val="24"/>
          <w:szCs w:val="24"/>
        </w:rPr>
        <w:t xml:space="preserve"> control centers, as that term is defined in Reliability Standard CIP-002-5.1, necessary for the reliable operation of the Bulk-Power System</w:t>
      </w:r>
      <w:r w:rsidR="00114C90">
        <w:rPr>
          <w:rFonts w:ascii="Times New Roman" w:hAnsi="Times New Roman" w:cs="Times New Roman"/>
          <w:sz w:val="24"/>
          <w:szCs w:val="24"/>
        </w:rPr>
        <w:t xml:space="preserve">) </w:t>
      </w:r>
      <w:r w:rsidR="00794141" w:rsidRPr="00794141">
        <w:rPr>
          <w:rFonts w:ascii="Times New Roman" w:hAnsi="Times New Roman" w:cs="Times New Roman"/>
          <w:sz w:val="24"/>
          <w:szCs w:val="24"/>
        </w:rPr>
        <w:t xml:space="preserve">is part of </w:t>
      </w:r>
      <w:r w:rsidR="00794141">
        <w:rPr>
          <w:rFonts w:ascii="Times New Roman" w:hAnsi="Times New Roman" w:cs="Times New Roman"/>
          <w:sz w:val="24"/>
          <w:szCs w:val="24"/>
        </w:rPr>
        <w:t xml:space="preserve">the regular responsibilities </w:t>
      </w:r>
      <w:r w:rsidR="00794141" w:rsidRPr="00794141">
        <w:rPr>
          <w:rFonts w:ascii="Times New Roman" w:hAnsi="Times New Roman" w:cs="Times New Roman"/>
          <w:sz w:val="24"/>
          <w:szCs w:val="24"/>
        </w:rPr>
        <w:t xml:space="preserve">related to </w:t>
      </w:r>
      <w:r w:rsidR="00794141">
        <w:rPr>
          <w:rFonts w:ascii="Times New Roman" w:hAnsi="Times New Roman" w:cs="Times New Roman"/>
          <w:sz w:val="24"/>
          <w:szCs w:val="24"/>
        </w:rPr>
        <w:t xml:space="preserve">NERC’s </w:t>
      </w:r>
      <w:r w:rsidR="00794141" w:rsidRPr="00794141">
        <w:rPr>
          <w:rFonts w:ascii="Times New Roman" w:hAnsi="Times New Roman" w:cs="Times New Roman"/>
          <w:sz w:val="24"/>
          <w:szCs w:val="24"/>
        </w:rPr>
        <w:t xml:space="preserve">being the </w:t>
      </w:r>
      <w:r w:rsidR="0082470A">
        <w:rPr>
          <w:rFonts w:ascii="Times New Roman" w:hAnsi="Times New Roman" w:cs="Times New Roman"/>
          <w:sz w:val="24"/>
          <w:szCs w:val="24"/>
        </w:rPr>
        <w:t>Commission</w:t>
      </w:r>
      <w:r w:rsidR="00114C90">
        <w:rPr>
          <w:rFonts w:ascii="Times New Roman" w:hAnsi="Times New Roman" w:cs="Times New Roman"/>
          <w:sz w:val="24"/>
          <w:szCs w:val="24"/>
        </w:rPr>
        <w:t xml:space="preserve">-approved </w:t>
      </w:r>
      <w:r w:rsidR="00794141" w:rsidRPr="00794141">
        <w:rPr>
          <w:rFonts w:ascii="Times New Roman" w:hAnsi="Times New Roman" w:cs="Times New Roman"/>
          <w:sz w:val="24"/>
          <w:szCs w:val="24"/>
        </w:rPr>
        <w:t>nation-wide Electri</w:t>
      </w:r>
      <w:r w:rsidR="00794141">
        <w:rPr>
          <w:rFonts w:ascii="Times New Roman" w:hAnsi="Times New Roman" w:cs="Times New Roman"/>
          <w:sz w:val="24"/>
          <w:szCs w:val="24"/>
        </w:rPr>
        <w:t xml:space="preserve">c Reliability Organization.  </w:t>
      </w:r>
      <w:r w:rsidR="006162B0">
        <w:rPr>
          <w:rFonts w:ascii="Times New Roman" w:hAnsi="Times New Roman" w:cs="Times New Roman"/>
          <w:sz w:val="24"/>
          <w:szCs w:val="24"/>
        </w:rPr>
        <w:t>The Commission</w:t>
      </w:r>
      <w:r>
        <w:rPr>
          <w:rFonts w:ascii="Times New Roman" w:hAnsi="Times New Roman" w:cs="Times New Roman"/>
          <w:sz w:val="24"/>
          <w:szCs w:val="24"/>
        </w:rPr>
        <w:t xml:space="preserve"> </w:t>
      </w:r>
      <w:r w:rsidRPr="0075494B">
        <w:rPr>
          <w:rFonts w:ascii="Times New Roman" w:hAnsi="Times New Roman" w:cs="Times New Roman"/>
          <w:sz w:val="24"/>
          <w:szCs w:val="24"/>
        </w:rPr>
        <w:t>extend</w:t>
      </w:r>
      <w:r w:rsidR="006162B0">
        <w:rPr>
          <w:rFonts w:ascii="Times New Roman" w:hAnsi="Times New Roman" w:cs="Times New Roman"/>
          <w:sz w:val="24"/>
          <w:szCs w:val="24"/>
        </w:rPr>
        <w:t>ed</w:t>
      </w:r>
      <w:r w:rsidRPr="0075494B">
        <w:rPr>
          <w:rFonts w:ascii="Times New Roman" w:hAnsi="Times New Roman" w:cs="Times New Roman"/>
          <w:sz w:val="24"/>
          <w:szCs w:val="24"/>
        </w:rPr>
        <w:t xml:space="preserve"> the </w:t>
      </w:r>
      <w:r w:rsidR="006162B0">
        <w:rPr>
          <w:rFonts w:ascii="Times New Roman" w:hAnsi="Times New Roman" w:cs="Times New Roman"/>
          <w:sz w:val="24"/>
          <w:szCs w:val="24"/>
        </w:rPr>
        <w:t xml:space="preserve">originally proposed </w:t>
      </w:r>
      <w:r w:rsidRPr="0075494B">
        <w:rPr>
          <w:rFonts w:ascii="Times New Roman" w:hAnsi="Times New Roman" w:cs="Times New Roman"/>
          <w:sz w:val="24"/>
          <w:szCs w:val="24"/>
        </w:rPr>
        <w:t>deadline for that informational filing until two years following the effective date of Reliability Standard CIP-014-1</w:t>
      </w:r>
      <w:r>
        <w:rPr>
          <w:rFonts w:ascii="Times New Roman" w:hAnsi="Times New Roman" w:cs="Times New Roman"/>
          <w:sz w:val="24"/>
          <w:szCs w:val="24"/>
        </w:rPr>
        <w:t>.</w:t>
      </w:r>
      <w:r w:rsidR="006162B0">
        <w:rPr>
          <w:rFonts w:ascii="Times New Roman" w:hAnsi="Times New Roman" w:cs="Times New Roman"/>
          <w:sz w:val="24"/>
          <w:szCs w:val="24"/>
        </w:rPr>
        <w:t xml:space="preserve"> </w:t>
      </w:r>
      <w:r>
        <w:rPr>
          <w:rFonts w:ascii="Times New Roman" w:hAnsi="Times New Roman" w:cs="Times New Roman"/>
          <w:sz w:val="24"/>
          <w:szCs w:val="24"/>
        </w:rPr>
        <w:t xml:space="preserve"> </w:t>
      </w:r>
      <w:r w:rsidR="00794141">
        <w:rPr>
          <w:rFonts w:ascii="Times New Roman" w:hAnsi="Times New Roman" w:cs="Times New Roman"/>
          <w:sz w:val="24"/>
          <w:szCs w:val="24"/>
        </w:rPr>
        <w:t>The</w:t>
      </w:r>
      <w:r w:rsidR="00794141" w:rsidRPr="00794141">
        <w:rPr>
          <w:rFonts w:ascii="Times New Roman" w:hAnsi="Times New Roman" w:cs="Times New Roman"/>
          <w:sz w:val="24"/>
          <w:szCs w:val="24"/>
        </w:rPr>
        <w:t xml:space="preserve"> burden related to th</w:t>
      </w:r>
      <w:r w:rsidR="00794141">
        <w:rPr>
          <w:rFonts w:ascii="Times New Roman" w:hAnsi="Times New Roman" w:cs="Times New Roman"/>
          <w:sz w:val="24"/>
          <w:szCs w:val="24"/>
        </w:rPr>
        <w:t>at</w:t>
      </w:r>
      <w:r w:rsidR="00794141" w:rsidRPr="00794141">
        <w:rPr>
          <w:rFonts w:ascii="Times New Roman" w:hAnsi="Times New Roman" w:cs="Times New Roman"/>
          <w:sz w:val="24"/>
          <w:szCs w:val="24"/>
        </w:rPr>
        <w:t xml:space="preserve"> filing is a part of</w:t>
      </w:r>
      <w:r w:rsidR="00794141">
        <w:rPr>
          <w:rFonts w:ascii="Times New Roman" w:hAnsi="Times New Roman" w:cs="Times New Roman"/>
          <w:sz w:val="24"/>
          <w:szCs w:val="24"/>
        </w:rPr>
        <w:t xml:space="preserve"> </w:t>
      </w:r>
      <w:r w:rsidR="00794141" w:rsidRPr="00794141">
        <w:rPr>
          <w:rFonts w:ascii="Times New Roman" w:hAnsi="Times New Roman" w:cs="Times New Roman"/>
          <w:sz w:val="24"/>
          <w:szCs w:val="24"/>
        </w:rPr>
        <w:t>FERC-725 (OMB Control Number 1902-0225)</w:t>
      </w:r>
      <w:r w:rsidR="00794141">
        <w:rPr>
          <w:rFonts w:ascii="Times New Roman" w:hAnsi="Times New Roman" w:cs="Times New Roman"/>
          <w:sz w:val="24"/>
          <w:szCs w:val="24"/>
        </w:rPr>
        <w:t xml:space="preserve"> and is not discussed further here</w:t>
      </w:r>
      <w:r w:rsidR="00794141" w:rsidRPr="00794141">
        <w:rPr>
          <w:rFonts w:ascii="Times New Roman" w:hAnsi="Times New Roman" w:cs="Times New Roman"/>
          <w:sz w:val="24"/>
          <w:szCs w:val="24"/>
        </w:rPr>
        <w:t>.</w:t>
      </w:r>
    </w:p>
    <w:p w14:paraId="6877CEC9" w14:textId="77777777" w:rsidR="00794141" w:rsidRDefault="00794141" w:rsidP="005E389D">
      <w:pPr>
        <w:spacing w:after="0"/>
        <w:rPr>
          <w:rFonts w:ascii="Times New Roman" w:hAnsi="Times New Roman" w:cs="Times New Roman"/>
          <w:sz w:val="24"/>
          <w:szCs w:val="24"/>
        </w:rPr>
      </w:pPr>
    </w:p>
    <w:p w14:paraId="3DED4B7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D4B7A" w14:textId="77777777" w:rsidR="00EB3E6F" w:rsidRDefault="00EB3E6F" w:rsidP="00EB3E6F">
      <w:pPr>
        <w:spacing w:after="0"/>
        <w:rPr>
          <w:rFonts w:ascii="Times New Roman" w:hAnsi="Times New Roman" w:cs="Times New Roman"/>
          <w:sz w:val="24"/>
          <w:szCs w:val="24"/>
        </w:rPr>
      </w:pPr>
    </w:p>
    <w:p w14:paraId="5E427E0A" w14:textId="5E1A3400" w:rsidR="00984FD6" w:rsidRDefault="00AA7F6A" w:rsidP="00984FD6">
      <w:pPr>
        <w:spacing w:after="0"/>
        <w:rPr>
          <w:rFonts w:ascii="Times New Roman" w:hAnsi="Times New Roman" w:cs="Times New Roman"/>
          <w:sz w:val="24"/>
          <w:szCs w:val="24"/>
        </w:rPr>
      </w:pPr>
      <w:r>
        <w:rPr>
          <w:rFonts w:ascii="Times New Roman" w:hAnsi="Times New Roman" w:cs="Times New Roman"/>
          <w:sz w:val="24"/>
          <w:szCs w:val="24"/>
        </w:rPr>
        <w:t>The</w:t>
      </w:r>
      <w:r w:rsidR="00805832">
        <w:rPr>
          <w:rFonts w:ascii="Times New Roman" w:hAnsi="Times New Roman" w:cs="Times New Roman"/>
          <w:sz w:val="24"/>
          <w:szCs w:val="24"/>
        </w:rPr>
        <w:t xml:space="preserve"> information technology to meet the information collection requirements is not specifically covered in the Reliability Standard</w:t>
      </w:r>
      <w:r>
        <w:rPr>
          <w:rFonts w:ascii="Times New Roman" w:hAnsi="Times New Roman" w:cs="Times New Roman"/>
          <w:sz w:val="24"/>
          <w:szCs w:val="24"/>
        </w:rPr>
        <w:t>, leaving the decision up to the entities, and NERC</w:t>
      </w:r>
      <w:r w:rsidR="00805832">
        <w:rPr>
          <w:rFonts w:ascii="Times New Roman" w:hAnsi="Times New Roman" w:cs="Times New Roman"/>
          <w:sz w:val="24"/>
          <w:szCs w:val="24"/>
        </w:rPr>
        <w:t xml:space="preserve">.  </w:t>
      </w:r>
    </w:p>
    <w:p w14:paraId="454D7AF3" w14:textId="77777777" w:rsidR="00805832" w:rsidRDefault="00805832" w:rsidP="00984FD6">
      <w:pPr>
        <w:spacing w:after="0"/>
        <w:rPr>
          <w:rFonts w:ascii="Times New Roman" w:hAnsi="Times New Roman" w:cs="Times New Roman"/>
          <w:sz w:val="24"/>
          <w:szCs w:val="24"/>
        </w:rPr>
      </w:pPr>
    </w:p>
    <w:p w14:paraId="713D5450" w14:textId="7B069164" w:rsidR="00805832" w:rsidRDefault="00805832" w:rsidP="00984FD6">
      <w:pPr>
        <w:spacing w:after="0"/>
        <w:rPr>
          <w:rFonts w:ascii="Times New Roman" w:hAnsi="Times New Roman" w:cs="Times New Roman"/>
          <w:sz w:val="24"/>
          <w:szCs w:val="24"/>
        </w:rPr>
      </w:pPr>
      <w:r>
        <w:rPr>
          <w:rFonts w:ascii="Times New Roman" w:hAnsi="Times New Roman" w:cs="Times New Roman"/>
          <w:sz w:val="24"/>
          <w:szCs w:val="24"/>
        </w:rPr>
        <w:t xml:space="preserve">In general, the Commission supports the use of information technology to reduce burden.  </w:t>
      </w:r>
    </w:p>
    <w:p w14:paraId="3DED4B7B" w14:textId="77777777" w:rsidR="00EB3E6F" w:rsidRPr="00EB3E6F" w:rsidRDefault="00EB3E6F" w:rsidP="00EB3E6F">
      <w:pPr>
        <w:spacing w:after="0"/>
        <w:rPr>
          <w:rFonts w:ascii="Times New Roman" w:hAnsi="Times New Roman" w:cs="Times New Roman"/>
          <w:sz w:val="24"/>
          <w:szCs w:val="24"/>
        </w:rPr>
      </w:pPr>
    </w:p>
    <w:p w14:paraId="3DED4B7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3DED4B7D" w14:textId="77777777" w:rsidR="00EB3E6F" w:rsidRDefault="00EB3E6F" w:rsidP="00EB3E6F">
      <w:pPr>
        <w:spacing w:after="0"/>
        <w:rPr>
          <w:rFonts w:ascii="Times New Roman" w:hAnsi="Times New Roman" w:cs="Times New Roman"/>
          <w:sz w:val="24"/>
          <w:szCs w:val="24"/>
        </w:rPr>
      </w:pPr>
    </w:p>
    <w:p w14:paraId="3DED4B7E" w14:textId="2B772A26" w:rsidR="00EB3E6F" w:rsidRDefault="00984FD6" w:rsidP="00EB3E6F">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w:t>
      </w:r>
    </w:p>
    <w:p w14:paraId="1F0D1DF1" w14:textId="77777777" w:rsidR="00EE52BD" w:rsidRDefault="00EE52BD" w:rsidP="00EB3E6F">
      <w:pPr>
        <w:spacing w:after="0"/>
        <w:rPr>
          <w:rFonts w:ascii="Times New Roman" w:hAnsi="Times New Roman" w:cs="Times New Roman"/>
          <w:sz w:val="24"/>
          <w:szCs w:val="24"/>
        </w:rPr>
      </w:pPr>
    </w:p>
    <w:p w14:paraId="554262CB" w14:textId="098C0D43" w:rsidR="00EE52BD" w:rsidRDefault="00EE52BD"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Commission is unaware of any other source of information </w:t>
      </w:r>
      <w:r w:rsidR="00805832">
        <w:rPr>
          <w:rFonts w:ascii="Times New Roman" w:hAnsi="Times New Roman" w:cs="Times New Roman"/>
          <w:sz w:val="24"/>
          <w:szCs w:val="24"/>
        </w:rPr>
        <w:t xml:space="preserve">related to </w:t>
      </w:r>
      <w:r w:rsidR="006B51F9">
        <w:rPr>
          <w:rFonts w:ascii="Times New Roman" w:hAnsi="Times New Roman" w:cs="Times New Roman"/>
          <w:sz w:val="24"/>
          <w:szCs w:val="24"/>
        </w:rPr>
        <w:t>bulk electric system</w:t>
      </w:r>
      <w:r w:rsidR="00805832">
        <w:rPr>
          <w:rFonts w:ascii="Times New Roman" w:hAnsi="Times New Roman" w:cs="Times New Roman"/>
          <w:sz w:val="24"/>
          <w:szCs w:val="24"/>
        </w:rPr>
        <w:t xml:space="preserve"> physical security.</w:t>
      </w:r>
    </w:p>
    <w:p w14:paraId="1598C7F4" w14:textId="77777777" w:rsidR="00984FD6" w:rsidRPr="00EB3E6F" w:rsidRDefault="00984FD6" w:rsidP="00EB3E6F">
      <w:pPr>
        <w:spacing w:after="0"/>
        <w:rPr>
          <w:rFonts w:ascii="Times New Roman" w:hAnsi="Times New Roman" w:cs="Times New Roman"/>
          <w:sz w:val="24"/>
          <w:szCs w:val="24"/>
        </w:rPr>
      </w:pPr>
    </w:p>
    <w:p w14:paraId="3DED4B7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3DED4B80" w14:textId="77777777" w:rsidR="00EB3E6F" w:rsidRDefault="00EB3E6F" w:rsidP="00EB3E6F">
      <w:pPr>
        <w:spacing w:after="0"/>
        <w:rPr>
          <w:rFonts w:ascii="Times New Roman" w:hAnsi="Times New Roman" w:cs="Times New Roman"/>
          <w:sz w:val="24"/>
          <w:szCs w:val="24"/>
        </w:rPr>
      </w:pPr>
    </w:p>
    <w:p w14:paraId="63295869" w14:textId="77777777" w:rsidR="00984FD6" w:rsidRDefault="00984FD6" w:rsidP="00984FD6">
      <w:pPr>
        <w:spacing w:after="0"/>
        <w:rPr>
          <w:rFonts w:ascii="Times New Roman" w:hAnsi="Times New Roman" w:cs="Times New Roman"/>
          <w:sz w:val="24"/>
          <w:szCs w:val="24"/>
        </w:rPr>
      </w:pPr>
      <w:r>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4AAB5135" w14:textId="77777777" w:rsidR="002179EA" w:rsidRDefault="002179EA" w:rsidP="00984FD6">
      <w:pPr>
        <w:spacing w:after="0"/>
        <w:rPr>
          <w:rFonts w:ascii="Times New Roman" w:hAnsi="Times New Roman" w:cs="Times New Roman"/>
          <w:sz w:val="24"/>
          <w:szCs w:val="24"/>
        </w:rPr>
      </w:pPr>
    </w:p>
    <w:p w14:paraId="33902483" w14:textId="77777777" w:rsidR="002179EA" w:rsidRDefault="002179EA" w:rsidP="002179EA">
      <w:pPr>
        <w:spacing w:after="0" w:line="240" w:lineRule="auto"/>
        <w:rPr>
          <w:rFonts w:ascii="Times New Roman" w:hAnsi="Times New Roman" w:cs="Times New Roman"/>
          <w:sz w:val="24"/>
          <w:szCs w:val="24"/>
        </w:rPr>
      </w:pPr>
      <w:r>
        <w:rPr>
          <w:rFonts w:ascii="Times New Roman" w:hAnsi="Times New Roman" w:cs="Times New Roman"/>
          <w:sz w:val="24"/>
          <w:szCs w:val="24"/>
        </w:rPr>
        <w:t>Detailed information regarding these options are available in NERC’s Rules of Procedure at sections 507 and 508.</w:t>
      </w:r>
      <w:r>
        <w:rPr>
          <w:rStyle w:val="FootnoteReference"/>
          <w:rFonts w:ascii="Times New Roman" w:hAnsi="Times New Roman" w:cs="Times New Roman"/>
          <w:sz w:val="24"/>
          <w:szCs w:val="24"/>
          <w:vertAlign w:val="superscript"/>
        </w:rPr>
        <w:footnoteReference w:id="11"/>
      </w:r>
      <w:r>
        <w:rPr>
          <w:rFonts w:ascii="Times New Roman" w:hAnsi="Times New Roman" w:cs="Times New Roman"/>
          <w:sz w:val="24"/>
          <w:szCs w:val="24"/>
        </w:rPr>
        <w:t xml:space="preserve"> </w:t>
      </w:r>
    </w:p>
    <w:p w14:paraId="3DED4B81" w14:textId="77777777" w:rsidR="00EB3E6F" w:rsidRPr="00EB3E6F" w:rsidRDefault="00EB3E6F" w:rsidP="00EB3E6F">
      <w:pPr>
        <w:spacing w:after="0"/>
        <w:rPr>
          <w:rFonts w:ascii="Times New Roman" w:hAnsi="Times New Roman" w:cs="Times New Roman"/>
          <w:sz w:val="24"/>
          <w:szCs w:val="24"/>
        </w:rPr>
      </w:pPr>
    </w:p>
    <w:p w14:paraId="3DED4B82"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DED4B83" w14:textId="77777777" w:rsidR="00EB3E6F" w:rsidRDefault="00EB3E6F" w:rsidP="00EB3E6F">
      <w:pPr>
        <w:spacing w:after="0"/>
        <w:rPr>
          <w:rFonts w:ascii="Times New Roman" w:hAnsi="Times New Roman" w:cs="Times New Roman"/>
          <w:sz w:val="24"/>
          <w:szCs w:val="24"/>
        </w:rPr>
      </w:pPr>
    </w:p>
    <w:p w14:paraId="3DED4B84" w14:textId="5E46CFCD" w:rsidR="00EB3E6F" w:rsidRDefault="0008037A" w:rsidP="00EB3E6F">
      <w:pPr>
        <w:spacing w:after="0"/>
        <w:rPr>
          <w:rFonts w:ascii="Times New Roman" w:hAnsi="Times New Roman" w:cs="Times New Roman"/>
          <w:sz w:val="24"/>
          <w:szCs w:val="24"/>
        </w:rPr>
      </w:pPr>
      <w:r>
        <w:rPr>
          <w:rFonts w:ascii="Times New Roman" w:hAnsi="Times New Roman" w:cs="Times New Roman"/>
          <w:sz w:val="24"/>
          <w:szCs w:val="24"/>
        </w:rPr>
        <w:t>The paperwork requirements document</w:t>
      </w:r>
      <w:r w:rsidR="00AA7F6A">
        <w:rPr>
          <w:rFonts w:ascii="Times New Roman" w:hAnsi="Times New Roman" w:cs="Times New Roman"/>
          <w:sz w:val="24"/>
          <w:szCs w:val="24"/>
        </w:rPr>
        <w:t>ing</w:t>
      </w:r>
      <w:r>
        <w:rPr>
          <w:rFonts w:ascii="Times New Roman" w:hAnsi="Times New Roman" w:cs="Times New Roman"/>
          <w:sz w:val="24"/>
          <w:szCs w:val="24"/>
        </w:rPr>
        <w:t xml:space="preserve"> compliance with substantive requirements </w:t>
      </w:r>
      <w:r w:rsidR="00AA7F6A">
        <w:rPr>
          <w:rFonts w:ascii="Times New Roman" w:hAnsi="Times New Roman" w:cs="Times New Roman"/>
          <w:sz w:val="24"/>
          <w:szCs w:val="24"/>
        </w:rPr>
        <w:t>(</w:t>
      </w:r>
      <w:r w:rsidR="00145CB0">
        <w:rPr>
          <w:rFonts w:ascii="Times New Roman" w:hAnsi="Times New Roman" w:cs="Times New Roman"/>
          <w:sz w:val="24"/>
          <w:szCs w:val="24"/>
        </w:rPr>
        <w:t xml:space="preserve">including the </w:t>
      </w:r>
      <w:r w:rsidR="002179EA">
        <w:rPr>
          <w:rFonts w:ascii="Times New Roman" w:hAnsi="Times New Roman" w:cs="Times New Roman"/>
          <w:sz w:val="24"/>
          <w:szCs w:val="24"/>
        </w:rPr>
        <w:t>prepar</w:t>
      </w:r>
      <w:r w:rsidR="00145CB0">
        <w:rPr>
          <w:rFonts w:ascii="Times New Roman" w:hAnsi="Times New Roman" w:cs="Times New Roman"/>
          <w:sz w:val="24"/>
          <w:szCs w:val="24"/>
        </w:rPr>
        <w:t>ation of</w:t>
      </w:r>
      <w:r w:rsidR="002179EA">
        <w:rPr>
          <w:rFonts w:ascii="Times New Roman" w:hAnsi="Times New Roman" w:cs="Times New Roman"/>
          <w:sz w:val="24"/>
          <w:szCs w:val="24"/>
        </w:rPr>
        <w:t xml:space="preserve"> a physical security plan</w:t>
      </w:r>
      <w:r w:rsidR="00AA7F6A">
        <w:rPr>
          <w:rFonts w:ascii="Times New Roman" w:hAnsi="Times New Roman" w:cs="Times New Roman"/>
          <w:sz w:val="24"/>
          <w:szCs w:val="24"/>
        </w:rPr>
        <w:t>)</w:t>
      </w:r>
      <w:r w:rsidR="00145CB0">
        <w:rPr>
          <w:rFonts w:ascii="Times New Roman" w:hAnsi="Times New Roman" w:cs="Times New Roman"/>
          <w:sz w:val="24"/>
          <w:szCs w:val="24"/>
        </w:rPr>
        <w:t>, and maintaining such documents</w:t>
      </w:r>
      <w:r w:rsidR="002179EA">
        <w:rPr>
          <w:rFonts w:ascii="Times New Roman" w:hAnsi="Times New Roman" w:cs="Times New Roman"/>
          <w:sz w:val="24"/>
          <w:szCs w:val="24"/>
        </w:rPr>
        <w:t>.</w:t>
      </w:r>
      <w:r>
        <w:rPr>
          <w:rFonts w:ascii="Times New Roman" w:hAnsi="Times New Roman" w:cs="Times New Roman"/>
          <w:sz w:val="24"/>
          <w:szCs w:val="24"/>
        </w:rPr>
        <w:t xml:space="preserve">  </w:t>
      </w:r>
      <w:r w:rsidR="00F37770">
        <w:rPr>
          <w:rFonts w:ascii="Times New Roman" w:hAnsi="Times New Roman" w:cs="Times New Roman"/>
          <w:sz w:val="24"/>
          <w:szCs w:val="24"/>
        </w:rPr>
        <w:t>The frequency of the paperwork requirements was vetted and approved by industry consensus in the NERC standard development process and is ultimately meant to support the reliability of the bulk electric system.</w:t>
      </w:r>
      <w:r>
        <w:rPr>
          <w:rFonts w:ascii="Times New Roman" w:hAnsi="Times New Roman" w:cs="Times New Roman"/>
          <w:sz w:val="24"/>
          <w:szCs w:val="24"/>
        </w:rPr>
        <w:t xml:space="preserve"> </w:t>
      </w:r>
    </w:p>
    <w:p w14:paraId="11F8F0D1" w14:textId="77777777" w:rsidR="00F37770" w:rsidRPr="00EB3E6F" w:rsidRDefault="00F37770" w:rsidP="00EB3E6F">
      <w:pPr>
        <w:spacing w:after="0"/>
        <w:rPr>
          <w:rFonts w:ascii="Times New Roman" w:hAnsi="Times New Roman" w:cs="Times New Roman"/>
          <w:sz w:val="24"/>
          <w:szCs w:val="24"/>
        </w:rPr>
      </w:pPr>
    </w:p>
    <w:p w14:paraId="3DED4B85"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DED4B86" w14:textId="77777777" w:rsidR="00EB3E6F" w:rsidRDefault="00EB3E6F" w:rsidP="00EB3E6F">
      <w:pPr>
        <w:spacing w:after="0"/>
        <w:rPr>
          <w:rFonts w:ascii="Times New Roman" w:hAnsi="Times New Roman" w:cs="Times New Roman"/>
          <w:sz w:val="24"/>
          <w:szCs w:val="24"/>
        </w:rPr>
      </w:pPr>
    </w:p>
    <w:p w14:paraId="3DED4B87" w14:textId="12D8C2A3" w:rsidR="00EB3E6F" w:rsidRDefault="006B51F9"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for this collection.</w:t>
      </w:r>
    </w:p>
    <w:p w14:paraId="2F42E9AB" w14:textId="77777777" w:rsidR="00EF1EC2" w:rsidRPr="00EB3E6F" w:rsidRDefault="00EF1EC2" w:rsidP="00EB3E6F">
      <w:pPr>
        <w:spacing w:after="0"/>
        <w:rPr>
          <w:rFonts w:ascii="Times New Roman" w:hAnsi="Times New Roman" w:cs="Times New Roman"/>
          <w:sz w:val="24"/>
          <w:szCs w:val="24"/>
        </w:rPr>
      </w:pPr>
    </w:p>
    <w:p w14:paraId="3DED4B8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3DED4B89" w14:textId="77777777" w:rsidR="00EB3E6F" w:rsidRDefault="00EB3E6F" w:rsidP="00EB3E6F">
      <w:pPr>
        <w:spacing w:after="0"/>
        <w:rPr>
          <w:rFonts w:ascii="Times New Roman" w:hAnsi="Times New Roman" w:cs="Times New Roman"/>
          <w:sz w:val="24"/>
          <w:szCs w:val="24"/>
        </w:rPr>
      </w:pPr>
    </w:p>
    <w:p w14:paraId="4E1BC4F8" w14:textId="43CAF876" w:rsidR="00941D3C" w:rsidRDefault="006B51F9" w:rsidP="006B51F9">
      <w:pPr>
        <w:spacing w:after="0" w:line="240" w:lineRule="auto"/>
        <w:rPr>
          <w:rFonts w:ascii="Times New Roman" w:hAnsi="Times New Roman"/>
          <w:sz w:val="24"/>
          <w:szCs w:val="24"/>
        </w:rPr>
      </w:pPr>
      <w:r>
        <w:rPr>
          <w:rFonts w:ascii="Times New Roman" w:hAnsi="Times New Roman"/>
          <w:bCs/>
          <w:sz w:val="24"/>
          <w:szCs w:val="24"/>
        </w:rPr>
        <w:t xml:space="preserve">The ERO process to establish Reliability Standards is a collaborative process with the ERO, Regional Entities and other stakeholders developing and reviewing drafts, and providing comments, with the final proposed standard submitted to the </w:t>
      </w:r>
      <w:r w:rsidR="0082470A">
        <w:rPr>
          <w:rFonts w:ascii="Times New Roman" w:hAnsi="Times New Roman"/>
          <w:bCs/>
          <w:sz w:val="24"/>
          <w:szCs w:val="24"/>
        </w:rPr>
        <w:t xml:space="preserve">Commission </w:t>
      </w:r>
      <w:r>
        <w:rPr>
          <w:rFonts w:ascii="Times New Roman" w:hAnsi="Times New Roman"/>
          <w:bCs/>
          <w:sz w:val="24"/>
          <w:szCs w:val="24"/>
        </w:rPr>
        <w:t>for review and approval.</w:t>
      </w:r>
      <w:r>
        <w:rPr>
          <w:rFonts w:ascii="Times New Roman" w:hAnsi="Times New Roman"/>
          <w:b/>
          <w:bCs/>
          <w:sz w:val="24"/>
          <w:szCs w:val="24"/>
          <w:vertAlign w:val="superscript"/>
        </w:rPr>
        <w:footnoteReference w:id="12"/>
      </w:r>
      <w:r>
        <w:rPr>
          <w:rFonts w:ascii="Times New Roman" w:hAnsi="Times New Roman"/>
          <w:bCs/>
          <w:sz w:val="24"/>
          <w:szCs w:val="24"/>
        </w:rPr>
        <w:t xml:space="preserve">  In addition, each </w:t>
      </w:r>
      <w:r w:rsidR="0082470A">
        <w:rPr>
          <w:rFonts w:ascii="Times New Roman" w:hAnsi="Times New Roman"/>
          <w:bCs/>
          <w:sz w:val="24"/>
          <w:szCs w:val="24"/>
        </w:rPr>
        <w:t xml:space="preserve">Commission </w:t>
      </w:r>
      <w:r>
        <w:rPr>
          <w:rFonts w:ascii="Times New Roman" w:hAnsi="Times New Roman"/>
          <w:bCs/>
          <w:sz w:val="24"/>
          <w:szCs w:val="24"/>
        </w:rPr>
        <w:t xml:space="preserve">rulemaking (both proposed and final rules) is </w:t>
      </w:r>
      <w:r>
        <w:rPr>
          <w:rFonts w:ascii="Times New Roman" w:hAnsi="Times New Roman"/>
          <w:bCs/>
          <w:sz w:val="24"/>
          <w:szCs w:val="24"/>
        </w:rPr>
        <w:lastRenderedPageBreak/>
        <w:t xml:space="preserve">published in the </w:t>
      </w:r>
      <w:r w:rsidRPr="003A4676">
        <w:rPr>
          <w:rFonts w:ascii="Times New Roman" w:hAnsi="Times New Roman"/>
          <w:bCs/>
          <w:sz w:val="24"/>
          <w:szCs w:val="24"/>
        </w:rPr>
        <w:t>Federal Register</w:t>
      </w:r>
      <w:r>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Pr>
          <w:rFonts w:ascii="Times New Roman" w:hAnsi="Times New Roman"/>
          <w:sz w:val="24"/>
          <w:szCs w:val="24"/>
        </w:rPr>
        <w:t xml:space="preserve"> </w:t>
      </w:r>
    </w:p>
    <w:p w14:paraId="79D2AC09" w14:textId="77777777" w:rsidR="00941D3C" w:rsidRDefault="00941D3C" w:rsidP="006B51F9">
      <w:pPr>
        <w:spacing w:after="0" w:line="240" w:lineRule="auto"/>
        <w:rPr>
          <w:rFonts w:ascii="Times New Roman" w:hAnsi="Times New Roman"/>
          <w:sz w:val="24"/>
          <w:szCs w:val="24"/>
        </w:rPr>
      </w:pPr>
    </w:p>
    <w:p w14:paraId="7F7B5AE7" w14:textId="5CAAA7F9" w:rsidR="00AA7F6A" w:rsidRDefault="006162B0" w:rsidP="006B51F9">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w:t>
      </w:r>
      <w:r w:rsidRPr="00502862">
        <w:rPr>
          <w:rFonts w:ascii="Times New Roman" w:hAnsi="Times New Roman" w:cs="Times New Roman"/>
          <w:sz w:val="24"/>
          <w:szCs w:val="24"/>
        </w:rPr>
        <w:t xml:space="preserve"> </w:t>
      </w:r>
      <w:r w:rsidR="00AA7F6A" w:rsidRPr="00502862">
        <w:rPr>
          <w:rFonts w:ascii="Times New Roman" w:hAnsi="Times New Roman" w:cs="Times New Roman"/>
          <w:sz w:val="24"/>
          <w:szCs w:val="24"/>
        </w:rPr>
        <w:t xml:space="preserve">issued a Notice of Proposed Rulemaking (NOPR) in Docket No. RM14-15 on 7/17/2014.   </w:t>
      </w:r>
      <w:r w:rsidR="006B51F9">
        <w:rPr>
          <w:rFonts w:ascii="Times New Roman" w:hAnsi="Times New Roman"/>
          <w:sz w:val="24"/>
          <w:szCs w:val="24"/>
        </w:rPr>
        <w:t xml:space="preserve">The proposed rule was published in the Federal Register on </w:t>
      </w:r>
      <w:r w:rsidR="006B51F9" w:rsidRPr="0054450D">
        <w:rPr>
          <w:rFonts w:ascii="Times New Roman" w:hAnsi="Times New Roman"/>
          <w:sz w:val="24"/>
          <w:szCs w:val="24"/>
        </w:rPr>
        <w:t xml:space="preserve">July </w:t>
      </w:r>
      <w:r w:rsidR="0054450D" w:rsidRPr="0054450D">
        <w:rPr>
          <w:rFonts w:ascii="Times New Roman" w:hAnsi="Times New Roman"/>
          <w:sz w:val="24"/>
          <w:szCs w:val="24"/>
        </w:rPr>
        <w:t>23</w:t>
      </w:r>
      <w:r w:rsidR="006B51F9" w:rsidRPr="0054450D">
        <w:rPr>
          <w:rFonts w:ascii="Times New Roman" w:hAnsi="Times New Roman"/>
          <w:sz w:val="24"/>
          <w:szCs w:val="24"/>
        </w:rPr>
        <w:t xml:space="preserve">, 2014 (79 FR </w:t>
      </w:r>
      <w:r w:rsidR="0054450D" w:rsidRPr="0054450D">
        <w:rPr>
          <w:rFonts w:ascii="Times New Roman" w:hAnsi="Times New Roman"/>
          <w:sz w:val="24"/>
          <w:szCs w:val="24"/>
        </w:rPr>
        <w:t>42734</w:t>
      </w:r>
      <w:r w:rsidR="006B51F9" w:rsidRPr="0054450D">
        <w:rPr>
          <w:rFonts w:ascii="Times New Roman" w:hAnsi="Times New Roman"/>
          <w:sz w:val="24"/>
          <w:szCs w:val="24"/>
        </w:rPr>
        <w:t>).</w:t>
      </w:r>
      <w:r w:rsidR="006B51F9">
        <w:rPr>
          <w:rFonts w:ascii="Times New Roman" w:hAnsi="Times New Roman" w:cs="Times New Roman"/>
          <w:sz w:val="24"/>
          <w:szCs w:val="24"/>
        </w:rPr>
        <w:t xml:space="preserve"> </w:t>
      </w:r>
      <w:r w:rsidR="00AA7F6A">
        <w:rPr>
          <w:rFonts w:ascii="Times New Roman" w:hAnsi="Times New Roman" w:cs="Times New Roman"/>
          <w:sz w:val="24"/>
          <w:szCs w:val="24"/>
        </w:rPr>
        <w:t xml:space="preserve">  </w:t>
      </w:r>
    </w:p>
    <w:p w14:paraId="5CB8C006" w14:textId="77777777" w:rsidR="00AA7F6A" w:rsidRDefault="00AA7F6A" w:rsidP="006B51F9">
      <w:pPr>
        <w:spacing w:after="0" w:line="240" w:lineRule="auto"/>
        <w:rPr>
          <w:rFonts w:ascii="Times New Roman" w:hAnsi="Times New Roman" w:cs="Times New Roman"/>
          <w:sz w:val="24"/>
          <w:szCs w:val="24"/>
        </w:rPr>
      </w:pPr>
    </w:p>
    <w:p w14:paraId="413384CB" w14:textId="37F598E8" w:rsidR="000D4531" w:rsidRDefault="006162B0" w:rsidP="006B51F9">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w:t>
      </w:r>
      <w:r w:rsidRPr="00502862">
        <w:rPr>
          <w:rFonts w:ascii="Times New Roman" w:hAnsi="Times New Roman" w:cs="Times New Roman"/>
          <w:sz w:val="24"/>
          <w:szCs w:val="24"/>
        </w:rPr>
        <w:t xml:space="preserve"> </w:t>
      </w:r>
      <w:r w:rsidR="00502862" w:rsidRPr="00502862">
        <w:rPr>
          <w:rFonts w:ascii="Times New Roman" w:hAnsi="Times New Roman" w:cs="Times New Roman"/>
          <w:sz w:val="24"/>
          <w:szCs w:val="24"/>
        </w:rPr>
        <w:t xml:space="preserve">received </w:t>
      </w:r>
      <w:r>
        <w:rPr>
          <w:rFonts w:ascii="Times New Roman" w:hAnsi="Times New Roman" w:cs="Times New Roman"/>
          <w:sz w:val="24"/>
          <w:szCs w:val="24"/>
        </w:rPr>
        <w:t>39</w:t>
      </w:r>
      <w:r w:rsidR="00502862" w:rsidRPr="00502862">
        <w:rPr>
          <w:rFonts w:ascii="Times New Roman" w:hAnsi="Times New Roman" w:cs="Times New Roman"/>
          <w:sz w:val="24"/>
          <w:szCs w:val="24"/>
        </w:rPr>
        <w:t xml:space="preserve"> </w:t>
      </w:r>
      <w:r w:rsidR="00AA7F6A">
        <w:rPr>
          <w:rFonts w:ascii="Times New Roman" w:hAnsi="Times New Roman" w:cs="Times New Roman"/>
          <w:sz w:val="24"/>
          <w:szCs w:val="24"/>
        </w:rPr>
        <w:t xml:space="preserve">public </w:t>
      </w:r>
      <w:r w:rsidR="00502862" w:rsidRPr="00502862">
        <w:rPr>
          <w:rFonts w:ascii="Times New Roman" w:hAnsi="Times New Roman" w:cs="Times New Roman"/>
          <w:sz w:val="24"/>
          <w:szCs w:val="24"/>
        </w:rPr>
        <w:t>comments.</w:t>
      </w:r>
      <w:r w:rsidR="0021015B" w:rsidRPr="00F82B32">
        <w:rPr>
          <w:rStyle w:val="FootnoteReference"/>
          <w:rFonts w:ascii="Times New Roman" w:hAnsi="Times New Roman" w:cs="Times New Roman"/>
          <w:sz w:val="24"/>
          <w:szCs w:val="24"/>
          <w:vertAlign w:val="superscript"/>
        </w:rPr>
        <w:footnoteReference w:id="13"/>
      </w:r>
      <w:r w:rsidR="00502862" w:rsidRPr="00502862">
        <w:rPr>
          <w:rFonts w:ascii="Times New Roman" w:hAnsi="Times New Roman" w:cs="Times New Roman"/>
          <w:sz w:val="24"/>
          <w:szCs w:val="24"/>
        </w:rPr>
        <w:t xml:space="preserve">  The Commission issu</w:t>
      </w:r>
      <w:r w:rsidR="00B62963">
        <w:rPr>
          <w:rFonts w:ascii="Times New Roman" w:hAnsi="Times New Roman" w:cs="Times New Roman"/>
          <w:sz w:val="24"/>
          <w:szCs w:val="24"/>
        </w:rPr>
        <w:t xml:space="preserve">ed </w:t>
      </w:r>
      <w:r w:rsidR="00502862" w:rsidRPr="00502862">
        <w:rPr>
          <w:rFonts w:ascii="Times New Roman" w:hAnsi="Times New Roman" w:cs="Times New Roman"/>
          <w:sz w:val="24"/>
          <w:szCs w:val="24"/>
        </w:rPr>
        <w:t>a Final Rule</w:t>
      </w:r>
      <w:r w:rsidR="00B62963" w:rsidRPr="00F82B32">
        <w:rPr>
          <w:rStyle w:val="FootnoteReference"/>
          <w:rFonts w:ascii="Times New Roman" w:hAnsi="Times New Roman" w:cs="Times New Roman"/>
          <w:sz w:val="24"/>
          <w:szCs w:val="24"/>
          <w:vertAlign w:val="superscript"/>
        </w:rPr>
        <w:footnoteReference w:id="14"/>
      </w:r>
      <w:r w:rsidR="00502862" w:rsidRPr="00502862">
        <w:rPr>
          <w:rFonts w:ascii="Times New Roman" w:hAnsi="Times New Roman" w:cs="Times New Roman"/>
          <w:sz w:val="24"/>
          <w:szCs w:val="24"/>
        </w:rPr>
        <w:t xml:space="preserve"> which also addresses the comments.</w:t>
      </w:r>
      <w:r w:rsidR="00C40E19">
        <w:rPr>
          <w:rFonts w:ascii="Times New Roman" w:hAnsi="Times New Roman" w:cs="Times New Roman"/>
          <w:sz w:val="24"/>
          <w:szCs w:val="24"/>
        </w:rPr>
        <w:t xml:space="preserve">  </w:t>
      </w:r>
      <w:r w:rsidR="00C97814" w:rsidRPr="00FC0499">
        <w:rPr>
          <w:rFonts w:ascii="Times New Roman" w:hAnsi="Times New Roman" w:cs="Times New Roman"/>
          <w:i/>
          <w:sz w:val="24"/>
          <w:szCs w:val="24"/>
        </w:rPr>
        <w:t xml:space="preserve">No comments were directly related to the </w:t>
      </w:r>
      <w:r w:rsidR="00995C7A" w:rsidRPr="00FC0499">
        <w:rPr>
          <w:rFonts w:ascii="Times New Roman" w:hAnsi="Times New Roman" w:cs="Times New Roman"/>
          <w:i/>
          <w:sz w:val="24"/>
          <w:szCs w:val="24"/>
        </w:rPr>
        <w:t>Paperwork Reduction Act (</w:t>
      </w:r>
      <w:r w:rsidR="00AA7F6A" w:rsidRPr="00FC0499">
        <w:rPr>
          <w:rFonts w:ascii="Times New Roman" w:hAnsi="Times New Roman" w:cs="Times New Roman"/>
          <w:i/>
          <w:sz w:val="24"/>
          <w:szCs w:val="24"/>
        </w:rPr>
        <w:t>PRA</w:t>
      </w:r>
      <w:r w:rsidR="00995C7A" w:rsidRPr="00FC0499">
        <w:rPr>
          <w:rFonts w:ascii="Times New Roman" w:hAnsi="Times New Roman" w:cs="Times New Roman"/>
          <w:i/>
          <w:sz w:val="24"/>
          <w:szCs w:val="24"/>
        </w:rPr>
        <w:t>)</w:t>
      </w:r>
      <w:r w:rsidR="00FA3007">
        <w:rPr>
          <w:rFonts w:ascii="Times New Roman" w:hAnsi="Times New Roman" w:cs="Times New Roman"/>
          <w:sz w:val="24"/>
          <w:szCs w:val="24"/>
        </w:rPr>
        <w:t xml:space="preserve">; comments received had to do with the propose directives on the definition of “widespread”, elimination of the power for </w:t>
      </w:r>
      <w:r w:rsidR="0082470A">
        <w:rPr>
          <w:rFonts w:ascii="Times New Roman" w:hAnsi="Times New Roman" w:cs="Times New Roman"/>
          <w:sz w:val="24"/>
          <w:szCs w:val="24"/>
        </w:rPr>
        <w:t>the Commission</w:t>
      </w:r>
      <w:r w:rsidR="00FA3007">
        <w:rPr>
          <w:rFonts w:ascii="Times New Roman" w:hAnsi="Times New Roman" w:cs="Times New Roman"/>
          <w:sz w:val="24"/>
          <w:szCs w:val="24"/>
        </w:rPr>
        <w:t xml:space="preserve"> to add and subtract critical facilities, and future informational filings from NERC on the implementation of the </w:t>
      </w:r>
      <w:r w:rsidR="0082470A">
        <w:rPr>
          <w:rFonts w:ascii="Times New Roman" w:hAnsi="Times New Roman" w:cs="Times New Roman"/>
          <w:sz w:val="24"/>
          <w:szCs w:val="24"/>
        </w:rPr>
        <w:t>Reliability S</w:t>
      </w:r>
      <w:r w:rsidR="00FA3007">
        <w:rPr>
          <w:rFonts w:ascii="Times New Roman" w:hAnsi="Times New Roman" w:cs="Times New Roman"/>
          <w:sz w:val="24"/>
          <w:szCs w:val="24"/>
        </w:rPr>
        <w:t>tandard</w:t>
      </w:r>
      <w:r w:rsidR="00AA7F6A">
        <w:rPr>
          <w:rFonts w:ascii="Times New Roman" w:hAnsi="Times New Roman" w:cs="Times New Roman"/>
          <w:sz w:val="24"/>
          <w:szCs w:val="24"/>
        </w:rPr>
        <w:t>.</w:t>
      </w:r>
    </w:p>
    <w:p w14:paraId="3DED4B8A" w14:textId="77777777" w:rsidR="00EB3E6F" w:rsidRPr="00EB3E6F" w:rsidRDefault="00EB3E6F" w:rsidP="00EB3E6F">
      <w:pPr>
        <w:spacing w:after="0"/>
        <w:rPr>
          <w:rFonts w:ascii="Times New Roman" w:hAnsi="Times New Roman" w:cs="Times New Roman"/>
          <w:sz w:val="24"/>
          <w:szCs w:val="24"/>
        </w:rPr>
      </w:pPr>
    </w:p>
    <w:p w14:paraId="3DED4B8B"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DED4B8C" w14:textId="77777777" w:rsidR="00D80FBD" w:rsidRDefault="00D80FBD" w:rsidP="00D80FBD">
      <w:pPr>
        <w:spacing w:after="0"/>
        <w:rPr>
          <w:rFonts w:ascii="Times New Roman" w:hAnsi="Times New Roman" w:cs="Times New Roman"/>
          <w:sz w:val="24"/>
          <w:szCs w:val="24"/>
        </w:rPr>
      </w:pPr>
    </w:p>
    <w:p w14:paraId="6919FC8B" w14:textId="77777777" w:rsidR="0059752A" w:rsidRDefault="0059752A" w:rsidP="0059752A">
      <w:pPr>
        <w:spacing w:after="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3DED4B8D" w14:textId="77777777" w:rsidR="00D80FBD" w:rsidRPr="00D80FBD" w:rsidRDefault="00D80FBD" w:rsidP="00D80FBD">
      <w:pPr>
        <w:spacing w:after="0"/>
        <w:rPr>
          <w:rFonts w:ascii="Times New Roman" w:hAnsi="Times New Roman" w:cs="Times New Roman"/>
          <w:sz w:val="24"/>
          <w:szCs w:val="24"/>
        </w:rPr>
      </w:pPr>
    </w:p>
    <w:p w14:paraId="3DED4B8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3DED4B8F" w14:textId="77777777" w:rsidR="00D80FBD" w:rsidRDefault="00D80FBD" w:rsidP="00D80FBD">
      <w:pPr>
        <w:spacing w:after="0"/>
        <w:rPr>
          <w:rFonts w:ascii="Times New Roman" w:hAnsi="Times New Roman" w:cs="Times New Roman"/>
          <w:sz w:val="24"/>
          <w:szCs w:val="24"/>
        </w:rPr>
      </w:pPr>
    </w:p>
    <w:p w14:paraId="17B028D2" w14:textId="3212A0A6" w:rsidR="006843AD" w:rsidRDefault="006843AD" w:rsidP="006843AD">
      <w:pPr>
        <w:spacing w:after="0"/>
        <w:rPr>
          <w:rFonts w:ascii="Times New Roman" w:hAnsi="Times New Roman" w:cs="Times New Roman"/>
          <w:sz w:val="24"/>
          <w:szCs w:val="24"/>
        </w:rPr>
      </w:pPr>
      <w:r>
        <w:rPr>
          <w:rFonts w:ascii="Times New Roman" w:hAnsi="Times New Roman" w:cs="Times New Roman"/>
          <w:sz w:val="24"/>
          <w:szCs w:val="24"/>
        </w:rPr>
        <w:t>In general, a</w:t>
      </w:r>
      <w:r w:rsidR="005E0707">
        <w:rPr>
          <w:rFonts w:ascii="Times New Roman" w:hAnsi="Times New Roman" w:cs="Times New Roman"/>
          <w:sz w:val="24"/>
          <w:szCs w:val="24"/>
        </w:rPr>
        <w:t xml:space="preserve">ccording to the </w:t>
      </w:r>
      <w:r w:rsidR="005E0707" w:rsidRPr="00147F3A">
        <w:rPr>
          <w:rFonts w:ascii="Times New Roman" w:hAnsi="Times New Roman" w:cs="Times New Roman"/>
          <w:sz w:val="24"/>
          <w:szCs w:val="24"/>
        </w:rPr>
        <w:t>NERC Rule of Procedure</w:t>
      </w:r>
      <w:r w:rsidR="005E0707" w:rsidRPr="001507E4">
        <w:rPr>
          <w:rStyle w:val="FootnoteReference"/>
          <w:rFonts w:ascii="Times New Roman" w:hAnsi="Times New Roman" w:cs="Times New Roman"/>
          <w:sz w:val="24"/>
          <w:szCs w:val="24"/>
          <w:vertAlign w:val="superscript"/>
        </w:rPr>
        <w:footnoteReference w:id="15"/>
      </w:r>
      <w:r w:rsidR="005E0707" w:rsidRPr="00147F3A">
        <w:rPr>
          <w:rFonts w:ascii="Times New Roman" w:hAnsi="Times New Roman" w:cs="Times New Roman"/>
          <w:sz w:val="24"/>
          <w:szCs w:val="24"/>
        </w:rPr>
        <w:t>, “…a Receiving Entity shall keep in confidence and not copy, disclose, or distribute any Confidential</w:t>
      </w:r>
      <w:r w:rsidR="005E0707">
        <w:rPr>
          <w:rFonts w:ascii="Times New Roman" w:hAnsi="Times New Roman" w:cs="Times New Roman"/>
          <w:sz w:val="24"/>
          <w:szCs w:val="24"/>
        </w:rPr>
        <w:t xml:space="preserve"> Information or any part thereof without the permission of the Submitting Entity, except as otherwise legally required.”  </w:t>
      </w:r>
      <w:r>
        <w:rPr>
          <w:rFonts w:ascii="Times New Roman" w:hAnsi="Times New Roman" w:cs="Times New Roman"/>
          <w:sz w:val="24"/>
          <w:szCs w:val="24"/>
        </w:rPr>
        <w:t xml:space="preserve">  For this Physical Security Reliability Standard, some of the material may be sensitive, so</w:t>
      </w:r>
      <w:r w:rsidR="006162B0">
        <w:rPr>
          <w:rFonts w:ascii="Times New Roman" w:hAnsi="Times New Roman" w:cs="Times New Roman"/>
          <w:sz w:val="24"/>
          <w:szCs w:val="24"/>
        </w:rPr>
        <w:t>, for example,</w:t>
      </w:r>
      <w:r>
        <w:rPr>
          <w:rFonts w:ascii="Times New Roman" w:hAnsi="Times New Roman" w:cs="Times New Roman"/>
          <w:sz w:val="24"/>
          <w:szCs w:val="24"/>
        </w:rPr>
        <w:t xml:space="preserve"> Reliability Standard </w:t>
      </w:r>
      <w:r w:rsidR="006162B0">
        <w:rPr>
          <w:rFonts w:ascii="Times New Roman" w:hAnsi="Times New Roman" w:cs="Times New Roman"/>
          <w:sz w:val="24"/>
          <w:szCs w:val="24"/>
        </w:rPr>
        <w:t xml:space="preserve">CIP-014-1, </w:t>
      </w:r>
      <w:r>
        <w:rPr>
          <w:rFonts w:ascii="Times New Roman" w:hAnsi="Times New Roman" w:cs="Times New Roman"/>
          <w:sz w:val="24"/>
          <w:szCs w:val="24"/>
        </w:rPr>
        <w:t>Requirement R6.4 states:</w:t>
      </w:r>
    </w:p>
    <w:p w14:paraId="5C1ABEDA" w14:textId="77777777" w:rsidR="006843AD" w:rsidRDefault="006843AD" w:rsidP="006843AD">
      <w:pPr>
        <w:spacing w:after="0"/>
        <w:rPr>
          <w:rFonts w:ascii="Times New Roman" w:hAnsi="Times New Roman" w:cs="Times New Roman"/>
          <w:sz w:val="24"/>
          <w:szCs w:val="24"/>
        </w:rPr>
      </w:pPr>
    </w:p>
    <w:p w14:paraId="0918A4BD" w14:textId="7E17BDAB" w:rsidR="006843AD" w:rsidRPr="00534425" w:rsidRDefault="006843AD" w:rsidP="006843AD">
      <w:pPr>
        <w:spacing w:after="0"/>
        <w:ind w:left="360"/>
        <w:rPr>
          <w:rFonts w:ascii="Times New Roman" w:hAnsi="Times New Roman" w:cs="Times New Roman"/>
          <w:sz w:val="24"/>
          <w:szCs w:val="24"/>
        </w:rPr>
      </w:pPr>
      <w:r w:rsidRPr="00534425">
        <w:rPr>
          <w:rFonts w:ascii="Times New Roman" w:hAnsi="Times New Roman" w:cs="Times New Roman"/>
          <w:b/>
          <w:bCs/>
          <w:sz w:val="24"/>
          <w:szCs w:val="24"/>
        </w:rPr>
        <w:t xml:space="preserve">6.4.  </w:t>
      </w:r>
      <w:r w:rsidRPr="00534425">
        <w:rPr>
          <w:rFonts w:ascii="Times New Roman" w:hAnsi="Times New Roman" w:cs="Times New Roman"/>
          <w:sz w:val="24"/>
          <w:szCs w:val="24"/>
        </w:rPr>
        <w:t>Each Transmission Owner and Transmission Operator shall implement</w:t>
      </w:r>
      <w:r>
        <w:rPr>
          <w:rFonts w:ascii="Times New Roman" w:hAnsi="Times New Roman" w:cs="Times New Roman"/>
          <w:sz w:val="24"/>
          <w:szCs w:val="24"/>
        </w:rPr>
        <w:t xml:space="preserve"> </w:t>
      </w:r>
      <w:r w:rsidRPr="00534425">
        <w:rPr>
          <w:rFonts w:ascii="Times New Roman" w:hAnsi="Times New Roman" w:cs="Times New Roman"/>
          <w:sz w:val="24"/>
          <w:szCs w:val="24"/>
        </w:rPr>
        <w:t>procedures, such as the use of non-disclosure agreements, for protecting sensitive or confidential information made available to the unaffiliated third party reviewer and to protect or exempt sensitive or confidential information</w:t>
      </w:r>
      <w:r>
        <w:rPr>
          <w:rFonts w:ascii="Times New Roman" w:hAnsi="Times New Roman" w:cs="Times New Roman"/>
          <w:sz w:val="24"/>
          <w:szCs w:val="24"/>
        </w:rPr>
        <w:t xml:space="preserve"> </w:t>
      </w:r>
      <w:r w:rsidRPr="00534425">
        <w:rPr>
          <w:rFonts w:ascii="Times New Roman" w:hAnsi="Times New Roman" w:cs="Times New Roman"/>
          <w:sz w:val="24"/>
          <w:szCs w:val="24"/>
        </w:rPr>
        <w:t>developed pursuant to this Reliability Standard from public disclosure.</w:t>
      </w:r>
    </w:p>
    <w:p w14:paraId="1FF17054" w14:textId="77777777" w:rsidR="006843AD" w:rsidRDefault="006843AD" w:rsidP="005E0707">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7B2AF61" w14:textId="77777777" w:rsidR="006162B0" w:rsidRDefault="002F60C6" w:rsidP="003A4676">
      <w:pPr>
        <w:spacing w:after="0"/>
        <w:rPr>
          <w:rFonts w:ascii="Times New Roman" w:hAnsi="Times New Roman" w:cs="Times New Roman"/>
          <w:sz w:val="24"/>
          <w:szCs w:val="24"/>
        </w:rPr>
      </w:pPr>
      <w:r>
        <w:rPr>
          <w:rFonts w:ascii="Times New Roman" w:hAnsi="Times New Roman" w:cs="Times New Roman"/>
          <w:sz w:val="24"/>
          <w:szCs w:val="24"/>
        </w:rPr>
        <w:t>In addition, the Compliance section of the Reliability Standard states:</w:t>
      </w:r>
      <w:r w:rsidR="006162B0">
        <w:rPr>
          <w:rFonts w:ascii="Times New Roman" w:hAnsi="Times New Roman" w:cs="Times New Roman"/>
          <w:sz w:val="24"/>
          <w:szCs w:val="24"/>
        </w:rPr>
        <w:t xml:space="preserve"> </w:t>
      </w:r>
    </w:p>
    <w:p w14:paraId="29369157" w14:textId="77777777" w:rsidR="006162B0" w:rsidRDefault="006162B0" w:rsidP="003A4676">
      <w:pPr>
        <w:spacing w:after="0"/>
        <w:rPr>
          <w:rFonts w:ascii="Times New Roman" w:hAnsi="Times New Roman" w:cs="Times New Roman"/>
          <w:sz w:val="24"/>
          <w:szCs w:val="24"/>
        </w:rPr>
      </w:pPr>
    </w:p>
    <w:p w14:paraId="4CDA6C9C" w14:textId="6FD43C49" w:rsidR="002F60C6" w:rsidRPr="002F60C6" w:rsidRDefault="002F60C6" w:rsidP="003A4676">
      <w:pPr>
        <w:spacing w:after="0"/>
        <w:ind w:firstLine="360"/>
        <w:rPr>
          <w:rFonts w:ascii="Times New Roman" w:hAnsi="Times New Roman" w:cs="Times New Roman"/>
          <w:sz w:val="24"/>
          <w:szCs w:val="24"/>
        </w:rPr>
      </w:pPr>
      <w:r w:rsidRPr="002F60C6">
        <w:rPr>
          <w:rFonts w:ascii="Times New Roman" w:hAnsi="Times New Roman" w:cs="Times New Roman"/>
          <w:b/>
          <w:bCs/>
          <w:sz w:val="24"/>
          <w:szCs w:val="24"/>
        </w:rPr>
        <w:t>1.4.  Additional Compliance Information</w:t>
      </w:r>
    </w:p>
    <w:p w14:paraId="728573F6" w14:textId="3C199D67" w:rsidR="002F60C6" w:rsidRPr="002F60C6" w:rsidRDefault="002F60C6" w:rsidP="0021015B">
      <w:pPr>
        <w:spacing w:after="0"/>
        <w:ind w:left="720"/>
        <w:rPr>
          <w:rFonts w:ascii="Times New Roman" w:hAnsi="Times New Roman" w:cs="Times New Roman"/>
          <w:sz w:val="24"/>
          <w:szCs w:val="24"/>
        </w:rPr>
      </w:pPr>
      <w:r w:rsidRPr="002F60C6">
        <w:rPr>
          <w:rFonts w:ascii="Times New Roman" w:hAnsi="Times New Roman" w:cs="Times New Roman"/>
          <w:sz w:val="24"/>
          <w:szCs w:val="24"/>
        </w:rPr>
        <w:t>Confidentiality: To protect the confidentiality and sensitive nature of the evidence for demonstrating compliance with this standard, all evidence will be retained at the Transmission Owner’s and Transmission Operator’s facilities.</w:t>
      </w:r>
    </w:p>
    <w:p w14:paraId="3CD680A4" w14:textId="77777777" w:rsidR="002F60C6" w:rsidRDefault="002F60C6" w:rsidP="005E0707">
      <w:pPr>
        <w:spacing w:after="0"/>
        <w:rPr>
          <w:rFonts w:ascii="Times New Roman" w:hAnsi="Times New Roman" w:cs="Times New Roman"/>
          <w:sz w:val="24"/>
          <w:szCs w:val="24"/>
        </w:rPr>
      </w:pPr>
    </w:p>
    <w:p w14:paraId="0D1F4D53" w14:textId="224625E2" w:rsidR="00534425" w:rsidRDefault="005E0707" w:rsidP="006843AD">
      <w:pPr>
        <w:spacing w:after="0"/>
        <w:rPr>
          <w:rFonts w:ascii="Times New Roman" w:hAnsi="Times New Roman" w:cs="Times New Roman"/>
          <w:sz w:val="24"/>
          <w:szCs w:val="24"/>
        </w:rPr>
      </w:pPr>
      <w:r>
        <w:rPr>
          <w:rFonts w:ascii="Times New Roman" w:hAnsi="Times New Roman" w:cs="Times New Roman"/>
          <w:sz w:val="24"/>
          <w:szCs w:val="24"/>
        </w:rPr>
        <w:t xml:space="preserve">Responding entities do not submit the information collected </w:t>
      </w:r>
      <w:r w:rsidR="00145CB0">
        <w:rPr>
          <w:rFonts w:ascii="Times New Roman" w:hAnsi="Times New Roman" w:cs="Times New Roman"/>
          <w:sz w:val="24"/>
          <w:szCs w:val="24"/>
        </w:rPr>
        <w:t>under</w:t>
      </w:r>
      <w:r>
        <w:rPr>
          <w:rFonts w:ascii="Times New Roman" w:hAnsi="Times New Roman" w:cs="Times New Roman"/>
          <w:sz w:val="24"/>
          <w:szCs w:val="24"/>
        </w:rPr>
        <w:t xml:space="preserve"> the </w:t>
      </w:r>
      <w:r w:rsidR="00145CB0">
        <w:rPr>
          <w:rFonts w:ascii="Times New Roman" w:hAnsi="Times New Roman" w:cs="Times New Roman"/>
          <w:sz w:val="24"/>
          <w:szCs w:val="24"/>
        </w:rPr>
        <w:t xml:space="preserve">proposed </w:t>
      </w:r>
      <w:r>
        <w:rPr>
          <w:rFonts w:ascii="Times New Roman" w:hAnsi="Times New Roman" w:cs="Times New Roman"/>
          <w:sz w:val="24"/>
          <w:szCs w:val="24"/>
        </w:rPr>
        <w:t xml:space="preserve">Reliability Standard to </w:t>
      </w:r>
      <w:r w:rsidR="006162B0">
        <w:rPr>
          <w:rFonts w:ascii="Times New Roman" w:hAnsi="Times New Roman" w:cs="Times New Roman"/>
          <w:sz w:val="24"/>
          <w:szCs w:val="24"/>
        </w:rPr>
        <w:t>the Commission</w:t>
      </w:r>
      <w:r>
        <w:rPr>
          <w:rFonts w:ascii="Times New Roman" w:hAnsi="Times New Roman" w:cs="Times New Roman"/>
          <w:sz w:val="24"/>
          <w:szCs w:val="24"/>
        </w:rPr>
        <w:t xml:space="preserve">.  Since there are no submissions made to </w:t>
      </w:r>
      <w:r w:rsidR="006162B0">
        <w:rPr>
          <w:rFonts w:ascii="Times New Roman" w:hAnsi="Times New Roman" w:cs="Times New Roman"/>
          <w:sz w:val="24"/>
          <w:szCs w:val="24"/>
        </w:rPr>
        <w:t>the Commission</w:t>
      </w:r>
      <w:r>
        <w:rPr>
          <w:rFonts w:ascii="Times New Roman" w:hAnsi="Times New Roman" w:cs="Times New Roman"/>
          <w:sz w:val="24"/>
          <w:szCs w:val="24"/>
        </w:rPr>
        <w:t xml:space="preserve">, </w:t>
      </w:r>
      <w:r w:rsidR="006162B0">
        <w:rPr>
          <w:rFonts w:ascii="Times New Roman" w:hAnsi="Times New Roman" w:cs="Times New Roman"/>
          <w:sz w:val="24"/>
          <w:szCs w:val="24"/>
        </w:rPr>
        <w:t xml:space="preserve">the Commission has made </w:t>
      </w:r>
      <w:r>
        <w:rPr>
          <w:rFonts w:ascii="Times New Roman" w:hAnsi="Times New Roman" w:cs="Times New Roman"/>
          <w:sz w:val="24"/>
          <w:szCs w:val="24"/>
        </w:rPr>
        <w:t>no specific provisions in order to protect confidentiality</w:t>
      </w:r>
      <w:r w:rsidR="00941D3C">
        <w:rPr>
          <w:rFonts w:ascii="Times New Roman" w:hAnsi="Times New Roman" w:cs="Times New Roman"/>
          <w:sz w:val="24"/>
          <w:szCs w:val="24"/>
        </w:rPr>
        <w:t>,</w:t>
      </w:r>
      <w:r w:rsidR="006843AD">
        <w:rPr>
          <w:rFonts w:ascii="Times New Roman" w:hAnsi="Times New Roman" w:cs="Times New Roman"/>
          <w:sz w:val="24"/>
          <w:szCs w:val="24"/>
        </w:rPr>
        <w:t xml:space="preserve"> in addition to those provide by the </w:t>
      </w:r>
      <w:r w:rsidR="006162B0">
        <w:rPr>
          <w:rFonts w:ascii="Times New Roman" w:hAnsi="Times New Roman" w:cs="Times New Roman"/>
          <w:sz w:val="24"/>
          <w:szCs w:val="24"/>
        </w:rPr>
        <w:t xml:space="preserve">Commission’s regulations, the </w:t>
      </w:r>
      <w:r w:rsidR="006843AD">
        <w:rPr>
          <w:rFonts w:ascii="Times New Roman" w:hAnsi="Times New Roman" w:cs="Times New Roman"/>
          <w:sz w:val="24"/>
          <w:szCs w:val="24"/>
        </w:rPr>
        <w:t xml:space="preserve">NERC Rules of </w:t>
      </w:r>
      <w:r w:rsidR="006162B0">
        <w:rPr>
          <w:rFonts w:ascii="Times New Roman" w:hAnsi="Times New Roman" w:cs="Times New Roman"/>
          <w:sz w:val="24"/>
          <w:szCs w:val="24"/>
        </w:rPr>
        <w:t>P</w:t>
      </w:r>
      <w:r w:rsidR="006843AD">
        <w:rPr>
          <w:rFonts w:ascii="Times New Roman" w:hAnsi="Times New Roman" w:cs="Times New Roman"/>
          <w:sz w:val="24"/>
          <w:szCs w:val="24"/>
        </w:rPr>
        <w:t xml:space="preserve">rocedure and </w:t>
      </w:r>
      <w:r w:rsidR="006162B0">
        <w:rPr>
          <w:rFonts w:ascii="Times New Roman" w:hAnsi="Times New Roman" w:cs="Times New Roman"/>
          <w:sz w:val="24"/>
          <w:szCs w:val="24"/>
        </w:rPr>
        <w:t>the Reliability S</w:t>
      </w:r>
      <w:r w:rsidR="006843AD">
        <w:rPr>
          <w:rFonts w:ascii="Times New Roman" w:hAnsi="Times New Roman" w:cs="Times New Roman"/>
          <w:sz w:val="24"/>
          <w:szCs w:val="24"/>
        </w:rPr>
        <w:t>tandard itself.</w:t>
      </w:r>
      <w:r w:rsidR="00534425">
        <w:rPr>
          <w:rFonts w:ascii="Times New Roman" w:hAnsi="Times New Roman" w:cs="Times New Roman"/>
          <w:sz w:val="24"/>
          <w:szCs w:val="24"/>
        </w:rPr>
        <w:t xml:space="preserve"> </w:t>
      </w:r>
    </w:p>
    <w:p w14:paraId="3DED4B90" w14:textId="77777777" w:rsidR="00D80FBD" w:rsidRPr="00D80FBD" w:rsidRDefault="00D80FBD" w:rsidP="00D80FBD">
      <w:pPr>
        <w:spacing w:after="0"/>
        <w:rPr>
          <w:rFonts w:ascii="Times New Roman" w:hAnsi="Times New Roman" w:cs="Times New Roman"/>
          <w:sz w:val="24"/>
          <w:szCs w:val="24"/>
        </w:rPr>
      </w:pPr>
    </w:p>
    <w:p w14:paraId="3DED4B91" w14:textId="503546E6"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5E0707" w:rsidRPr="005E0707">
        <w:rPr>
          <w:rFonts w:ascii="Times New Roman" w:hAnsi="Times New Roman" w:cs="Times New Roman"/>
          <w:b/>
          <w:sz w:val="24"/>
          <w:szCs w:val="24"/>
        </w:rPr>
        <w:t>, SUCH AS SEXUAL BEHAVIOR AND ATTITUDES, RELIGIOUS BELIEFS, AND OTHER MATTERS THAT ARE COMMONLY CONSIDERED PRIVATE.</w:t>
      </w:r>
    </w:p>
    <w:p w14:paraId="3DED4B92" w14:textId="77777777" w:rsidR="00D80FBD" w:rsidRDefault="00D80FBD" w:rsidP="00D80FBD">
      <w:pPr>
        <w:spacing w:after="0"/>
        <w:rPr>
          <w:rFonts w:ascii="Times New Roman" w:hAnsi="Times New Roman" w:cs="Times New Roman"/>
          <w:sz w:val="24"/>
          <w:szCs w:val="24"/>
        </w:rPr>
      </w:pPr>
    </w:p>
    <w:p w14:paraId="195B33D3" w14:textId="77777777" w:rsidR="005E0707" w:rsidRPr="005E0707" w:rsidRDefault="005E0707" w:rsidP="005E0707">
      <w:pPr>
        <w:spacing w:after="0"/>
        <w:rPr>
          <w:rFonts w:ascii="Times New Roman" w:hAnsi="Times New Roman" w:cs="Times New Roman"/>
          <w:bCs/>
          <w:sz w:val="24"/>
          <w:szCs w:val="24"/>
        </w:rPr>
      </w:pPr>
      <w:r w:rsidRPr="005E0707">
        <w:rPr>
          <w:rFonts w:ascii="Times New Roman" w:hAnsi="Times New Roman" w:cs="Times New Roman"/>
          <w:sz w:val="24"/>
          <w:szCs w:val="24"/>
        </w:rPr>
        <w:t xml:space="preserve">This collection does not contain any questions of a sensitive nature.  </w:t>
      </w:r>
    </w:p>
    <w:p w14:paraId="3DED4B93" w14:textId="77777777" w:rsidR="00D80FBD" w:rsidRPr="00D80FBD" w:rsidRDefault="00D80FBD" w:rsidP="00D80FBD">
      <w:pPr>
        <w:spacing w:after="0"/>
        <w:rPr>
          <w:rFonts w:ascii="Times New Roman" w:hAnsi="Times New Roman" w:cs="Times New Roman"/>
          <w:sz w:val="24"/>
          <w:szCs w:val="24"/>
        </w:rPr>
      </w:pPr>
    </w:p>
    <w:p w14:paraId="3DED4B9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3DED4B95" w14:textId="77777777" w:rsidR="00D80FBD" w:rsidRDefault="00D80FBD" w:rsidP="00D80FBD">
      <w:pPr>
        <w:spacing w:after="0"/>
        <w:rPr>
          <w:rFonts w:ascii="Times New Roman" w:hAnsi="Times New Roman" w:cs="Times New Roman"/>
          <w:sz w:val="24"/>
          <w:szCs w:val="24"/>
        </w:rPr>
      </w:pPr>
    </w:p>
    <w:p w14:paraId="15D266BC" w14:textId="5FE6889A" w:rsidR="00415D11" w:rsidRPr="00415D11" w:rsidRDefault="00735995" w:rsidP="00415D11">
      <w:pPr>
        <w:spacing w:after="0"/>
        <w:rPr>
          <w:rFonts w:ascii="Times New Roman" w:hAnsi="Times New Roman" w:cs="Times New Roman"/>
          <w:sz w:val="24"/>
          <w:szCs w:val="24"/>
        </w:rPr>
      </w:pPr>
      <w:r>
        <w:rPr>
          <w:rFonts w:ascii="Times New Roman" w:hAnsi="Times New Roman" w:cs="Times New Roman"/>
          <w:sz w:val="24"/>
          <w:szCs w:val="24"/>
        </w:rPr>
        <w:t xml:space="preserve">The table below shows the estimated information collection burden.  The Commission estimated the burden by requirement in the </w:t>
      </w:r>
      <w:r w:rsidR="0056058A">
        <w:rPr>
          <w:rFonts w:ascii="Times New Roman" w:hAnsi="Times New Roman" w:cs="Times New Roman"/>
          <w:sz w:val="24"/>
          <w:szCs w:val="24"/>
        </w:rPr>
        <w:t xml:space="preserve">proposed </w:t>
      </w:r>
      <w:r>
        <w:rPr>
          <w:rFonts w:ascii="Times New Roman" w:hAnsi="Times New Roman" w:cs="Times New Roman"/>
          <w:sz w:val="24"/>
          <w:szCs w:val="24"/>
        </w:rPr>
        <w:t>Reliability Standard (e.g.</w:t>
      </w:r>
      <w:r w:rsidR="00422E0E">
        <w:rPr>
          <w:rFonts w:ascii="Times New Roman" w:hAnsi="Times New Roman" w:cs="Times New Roman"/>
          <w:sz w:val="24"/>
          <w:szCs w:val="24"/>
        </w:rPr>
        <w:t>, Requirements</w:t>
      </w:r>
      <w:r>
        <w:rPr>
          <w:rFonts w:ascii="Times New Roman" w:hAnsi="Times New Roman" w:cs="Times New Roman"/>
          <w:sz w:val="24"/>
          <w:szCs w:val="24"/>
        </w:rPr>
        <w:t xml:space="preserve"> R1</w:t>
      </w:r>
      <w:r w:rsidR="00422E0E">
        <w:rPr>
          <w:rFonts w:ascii="Times New Roman" w:hAnsi="Times New Roman" w:cs="Times New Roman"/>
          <w:sz w:val="24"/>
          <w:szCs w:val="24"/>
        </w:rPr>
        <w:t xml:space="preserve"> and</w:t>
      </w:r>
      <w:r>
        <w:rPr>
          <w:rFonts w:ascii="Times New Roman" w:hAnsi="Times New Roman" w:cs="Times New Roman"/>
          <w:sz w:val="24"/>
          <w:szCs w:val="24"/>
        </w:rPr>
        <w:t xml:space="preserve"> R2) and by the year (year 1 through year 3).  The table also includes the related </w:t>
      </w:r>
      <w:r w:rsidR="00941D3C">
        <w:rPr>
          <w:rFonts w:ascii="Times New Roman" w:hAnsi="Times New Roman" w:cs="Times New Roman"/>
          <w:sz w:val="24"/>
          <w:szCs w:val="24"/>
        </w:rPr>
        <w:t>burden cost</w:t>
      </w:r>
      <w:r>
        <w:rPr>
          <w:rFonts w:ascii="Times New Roman" w:hAnsi="Times New Roman" w:cs="Times New Roman"/>
          <w:sz w:val="24"/>
          <w:szCs w:val="24"/>
        </w:rPr>
        <w:t>.</w:t>
      </w:r>
      <w:r w:rsidR="00415D11" w:rsidRPr="00415D11">
        <w:t xml:space="preserve"> </w:t>
      </w:r>
      <w:r w:rsidR="00415D11" w:rsidRPr="00415D11">
        <w:rPr>
          <w:rFonts w:ascii="Times New Roman" w:hAnsi="Times New Roman" w:cs="Times New Roman"/>
          <w:sz w:val="24"/>
          <w:szCs w:val="24"/>
        </w:rPr>
        <w:t xml:space="preserve">The estimates for the number of respondents, burden hours, the skill sets, and costs are based on </w:t>
      </w:r>
    </w:p>
    <w:p w14:paraId="6BEEEC7A" w14:textId="0A8CD561" w:rsidR="00415D11" w:rsidRPr="00415D11" w:rsidRDefault="00415D11" w:rsidP="00415D11">
      <w:pPr>
        <w:spacing w:after="0"/>
        <w:rPr>
          <w:rFonts w:ascii="Times New Roman" w:hAnsi="Times New Roman" w:cs="Times New Roman"/>
          <w:sz w:val="24"/>
          <w:szCs w:val="24"/>
        </w:rPr>
      </w:pPr>
      <w:r w:rsidRPr="00415D11">
        <w:rPr>
          <w:rFonts w:ascii="Times New Roman" w:hAnsi="Times New Roman" w:cs="Times New Roman"/>
          <w:sz w:val="24"/>
          <w:szCs w:val="24"/>
        </w:rPr>
        <w:t xml:space="preserve">information from NERC (petition), as well as </w:t>
      </w:r>
      <w:r>
        <w:rPr>
          <w:rFonts w:ascii="Times New Roman" w:hAnsi="Times New Roman" w:cs="Times New Roman"/>
          <w:sz w:val="24"/>
          <w:szCs w:val="24"/>
        </w:rPr>
        <w:t>e</w:t>
      </w:r>
      <w:r w:rsidRPr="00415D11">
        <w:rPr>
          <w:rFonts w:ascii="Times New Roman" w:hAnsi="Times New Roman" w:cs="Times New Roman"/>
          <w:sz w:val="24"/>
          <w:szCs w:val="24"/>
        </w:rPr>
        <w:t>stimates from th</w:t>
      </w:r>
      <w:r>
        <w:rPr>
          <w:rFonts w:ascii="Times New Roman" w:hAnsi="Times New Roman" w:cs="Times New Roman"/>
          <w:sz w:val="24"/>
          <w:szCs w:val="24"/>
        </w:rPr>
        <w:t>e FERC’s subject matter experts.</w:t>
      </w:r>
    </w:p>
    <w:p w14:paraId="2886F940" w14:textId="46AB49FE" w:rsidR="0042740D" w:rsidRPr="0042740D" w:rsidRDefault="0042740D" w:rsidP="0042740D">
      <w:pPr>
        <w:rPr>
          <w:rFonts w:ascii="Times New Roman" w:hAnsi="Times New Roman" w:cs="Times New Roman"/>
          <w:sz w:val="24"/>
          <w:szCs w:val="24"/>
        </w:rPr>
      </w:pPr>
      <w:r w:rsidRPr="0042740D">
        <w:rPr>
          <w:rFonts w:ascii="Times New Roman" w:hAnsi="Times New Roman" w:cs="Times New Roman"/>
          <w:sz w:val="24"/>
          <w:szCs w:val="24"/>
        </w:rPr>
        <w:t xml:space="preserve">Some of the burden hour estimates take into account work already being done by most entities, </w:t>
      </w:r>
      <w:r>
        <w:rPr>
          <w:rFonts w:ascii="Times New Roman" w:hAnsi="Times New Roman" w:cs="Times New Roman"/>
          <w:sz w:val="24"/>
          <w:szCs w:val="24"/>
        </w:rPr>
        <w:t>(</w:t>
      </w:r>
      <w:r w:rsidRPr="0042740D">
        <w:rPr>
          <w:rFonts w:ascii="Times New Roman" w:hAnsi="Times New Roman" w:cs="Times New Roman"/>
          <w:sz w:val="24"/>
          <w:szCs w:val="24"/>
        </w:rPr>
        <w:t>e.g., the industry standards drafting team used something called a TPL (Transmission Planning) analysis (a practice that is already in place and part of standard operati</w:t>
      </w:r>
      <w:r w:rsidR="00C436F9">
        <w:rPr>
          <w:rFonts w:ascii="Times New Roman" w:hAnsi="Times New Roman" w:cs="Times New Roman"/>
          <w:sz w:val="24"/>
          <w:szCs w:val="24"/>
        </w:rPr>
        <w:t>ng</w:t>
      </w:r>
      <w:r w:rsidRPr="0042740D">
        <w:rPr>
          <w:rFonts w:ascii="Times New Roman" w:hAnsi="Times New Roman" w:cs="Times New Roman"/>
          <w:sz w:val="24"/>
          <w:szCs w:val="24"/>
        </w:rPr>
        <w:t xml:space="preserve"> procedures)</w:t>
      </w:r>
      <w:r>
        <w:rPr>
          <w:rFonts w:ascii="Times New Roman" w:hAnsi="Times New Roman" w:cs="Times New Roman"/>
          <w:sz w:val="24"/>
          <w:szCs w:val="24"/>
        </w:rPr>
        <w:t>)</w:t>
      </w:r>
      <w:r w:rsidRPr="0042740D">
        <w:rPr>
          <w:rFonts w:ascii="Times New Roman" w:hAnsi="Times New Roman" w:cs="Times New Roman"/>
          <w:sz w:val="24"/>
          <w:szCs w:val="24"/>
        </w:rPr>
        <w:t xml:space="preserve">. Additionally, FERC staff </w:t>
      </w:r>
      <w:r>
        <w:rPr>
          <w:rFonts w:ascii="Times New Roman" w:hAnsi="Times New Roman" w:cs="Times New Roman"/>
          <w:sz w:val="24"/>
          <w:szCs w:val="24"/>
        </w:rPr>
        <w:t xml:space="preserve">understands that </w:t>
      </w:r>
      <w:r w:rsidRPr="0042740D">
        <w:rPr>
          <w:rFonts w:ascii="Times New Roman" w:hAnsi="Times New Roman" w:cs="Times New Roman"/>
          <w:sz w:val="24"/>
          <w:szCs w:val="24"/>
        </w:rPr>
        <w:t>some of the tasks associated with R1 and R2 are automated.</w:t>
      </w:r>
    </w:p>
    <w:p w14:paraId="2BDE9CC7" w14:textId="628ED753" w:rsidR="002405F7" w:rsidRDefault="002405F7" w:rsidP="00D80FB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3D36D3">
        <w:rPr>
          <w:rFonts w:ascii="Times New Roman" w:hAnsi="Times New Roman" w:cs="Times New Roman"/>
          <w:sz w:val="24"/>
          <w:szCs w:val="24"/>
        </w:rPr>
        <w:t xml:space="preserve">reporting </w:t>
      </w:r>
      <w:r>
        <w:rPr>
          <w:rFonts w:ascii="Times New Roman" w:hAnsi="Times New Roman" w:cs="Times New Roman"/>
          <w:sz w:val="24"/>
          <w:szCs w:val="24"/>
        </w:rPr>
        <w:t xml:space="preserve">requirements of this collection are </w:t>
      </w:r>
      <w:r w:rsidR="00742C34">
        <w:rPr>
          <w:rFonts w:ascii="Times New Roman" w:hAnsi="Times New Roman" w:cs="Times New Roman"/>
          <w:sz w:val="24"/>
          <w:szCs w:val="24"/>
        </w:rPr>
        <w:t>periodic a</w:t>
      </w:r>
      <w:r w:rsidR="005D3353">
        <w:rPr>
          <w:rFonts w:ascii="Times New Roman" w:hAnsi="Times New Roman" w:cs="Times New Roman"/>
          <w:sz w:val="24"/>
          <w:szCs w:val="24"/>
        </w:rPr>
        <w:t>nd</w:t>
      </w:r>
      <w:r w:rsidR="00742C34">
        <w:rPr>
          <w:rFonts w:ascii="Times New Roman" w:hAnsi="Times New Roman" w:cs="Times New Roman"/>
          <w:sz w:val="24"/>
          <w:szCs w:val="24"/>
        </w:rPr>
        <w:t xml:space="preserve"> detailed in the Reliability Standard</w:t>
      </w:r>
      <w:r w:rsidR="00D75E64">
        <w:rPr>
          <w:rFonts w:ascii="Times New Roman" w:hAnsi="Times New Roman" w:cs="Times New Roman"/>
          <w:sz w:val="24"/>
          <w:szCs w:val="24"/>
        </w:rPr>
        <w:t>.</w:t>
      </w:r>
      <w:r>
        <w:rPr>
          <w:rFonts w:ascii="Times New Roman" w:hAnsi="Times New Roman" w:cs="Times New Roman"/>
          <w:sz w:val="24"/>
          <w:szCs w:val="24"/>
        </w:rPr>
        <w:t xml:space="preserve">  For example, </w:t>
      </w:r>
      <w:r w:rsidR="005A0381">
        <w:rPr>
          <w:rFonts w:ascii="Times New Roman" w:hAnsi="Times New Roman" w:cs="Times New Roman"/>
          <w:sz w:val="24"/>
          <w:szCs w:val="24"/>
        </w:rPr>
        <w:t xml:space="preserve">of </w:t>
      </w:r>
      <w:r>
        <w:rPr>
          <w:rFonts w:ascii="Times New Roman" w:hAnsi="Times New Roman" w:cs="Times New Roman"/>
          <w:sz w:val="24"/>
          <w:szCs w:val="24"/>
        </w:rPr>
        <w:t>the 357 entities</w:t>
      </w:r>
      <w:r w:rsidR="00937B08" w:rsidRPr="00FC0499">
        <w:rPr>
          <w:rStyle w:val="FootnoteReference"/>
          <w:rFonts w:ascii="Times New Roman" w:hAnsi="Times New Roman" w:cs="Times New Roman"/>
          <w:sz w:val="24"/>
          <w:szCs w:val="24"/>
          <w:vertAlign w:val="superscript"/>
        </w:rPr>
        <w:footnoteReference w:id="16"/>
      </w:r>
      <w:r w:rsidRPr="00FC0499">
        <w:rPr>
          <w:rFonts w:ascii="Times New Roman" w:hAnsi="Times New Roman" w:cs="Times New Roman"/>
          <w:sz w:val="24"/>
          <w:szCs w:val="24"/>
          <w:vertAlign w:val="superscript"/>
        </w:rPr>
        <w:t xml:space="preserve"> </w:t>
      </w:r>
      <w:r w:rsidR="005A0381">
        <w:rPr>
          <w:rFonts w:ascii="Times New Roman" w:hAnsi="Times New Roman" w:cs="Times New Roman"/>
          <w:sz w:val="24"/>
          <w:szCs w:val="24"/>
        </w:rPr>
        <w:t xml:space="preserve">complying with </w:t>
      </w:r>
      <w:r w:rsidR="0056058A">
        <w:rPr>
          <w:rFonts w:ascii="Times New Roman" w:hAnsi="Times New Roman" w:cs="Times New Roman"/>
          <w:sz w:val="24"/>
          <w:szCs w:val="24"/>
        </w:rPr>
        <w:t xml:space="preserve">Requirement </w:t>
      </w:r>
      <w:r w:rsidR="005A0381">
        <w:rPr>
          <w:rFonts w:ascii="Times New Roman" w:hAnsi="Times New Roman" w:cs="Times New Roman"/>
          <w:sz w:val="24"/>
          <w:szCs w:val="24"/>
        </w:rPr>
        <w:t>R1 in year 1, 3</w:t>
      </w:r>
      <w:r w:rsidR="00217075">
        <w:rPr>
          <w:rFonts w:ascii="Times New Roman" w:hAnsi="Times New Roman" w:cs="Times New Roman"/>
          <w:sz w:val="24"/>
          <w:szCs w:val="24"/>
        </w:rPr>
        <w:t>0</w:t>
      </w:r>
      <w:r w:rsidR="00107272" w:rsidRPr="00FC0499">
        <w:rPr>
          <w:rStyle w:val="FootnoteReference"/>
          <w:rFonts w:ascii="Times New Roman" w:hAnsi="Times New Roman" w:cs="Times New Roman"/>
          <w:sz w:val="24"/>
          <w:szCs w:val="24"/>
          <w:vertAlign w:val="superscript"/>
        </w:rPr>
        <w:footnoteReference w:id="17"/>
      </w:r>
      <w:r w:rsidR="005A0381">
        <w:rPr>
          <w:rFonts w:ascii="Times New Roman" w:hAnsi="Times New Roman" w:cs="Times New Roman"/>
          <w:sz w:val="24"/>
          <w:szCs w:val="24"/>
        </w:rPr>
        <w:t xml:space="preserve"> will </w:t>
      </w:r>
      <w:r w:rsidR="005A0381">
        <w:rPr>
          <w:rFonts w:ascii="Times New Roman" w:hAnsi="Times New Roman" w:cs="Times New Roman"/>
          <w:sz w:val="24"/>
          <w:szCs w:val="24"/>
        </w:rPr>
        <w:lastRenderedPageBreak/>
        <w:t xml:space="preserve">have to do </w:t>
      </w:r>
      <w:r w:rsidR="0056058A">
        <w:rPr>
          <w:rFonts w:ascii="Times New Roman" w:hAnsi="Times New Roman" w:cs="Times New Roman"/>
          <w:sz w:val="24"/>
          <w:szCs w:val="24"/>
        </w:rPr>
        <w:t xml:space="preserve">Requirement </w:t>
      </w:r>
      <w:r w:rsidR="005A0381">
        <w:rPr>
          <w:rFonts w:ascii="Times New Roman" w:hAnsi="Times New Roman" w:cs="Times New Roman"/>
          <w:sz w:val="24"/>
          <w:szCs w:val="24"/>
        </w:rPr>
        <w:t>R1 again in year 3</w:t>
      </w:r>
      <w:r w:rsidR="005D3353">
        <w:rPr>
          <w:rFonts w:ascii="Times New Roman" w:hAnsi="Times New Roman" w:cs="Times New Roman"/>
          <w:sz w:val="24"/>
          <w:szCs w:val="24"/>
        </w:rPr>
        <w:t xml:space="preserve"> (at least once every 30 calendar months)</w:t>
      </w:r>
      <w:r w:rsidR="005A0381">
        <w:rPr>
          <w:rFonts w:ascii="Times New Roman" w:hAnsi="Times New Roman" w:cs="Times New Roman"/>
          <w:sz w:val="24"/>
          <w:szCs w:val="24"/>
        </w:rPr>
        <w:t xml:space="preserve">, and all 357 will have to do </w:t>
      </w:r>
      <w:r w:rsidR="0056058A">
        <w:rPr>
          <w:rFonts w:ascii="Times New Roman" w:hAnsi="Times New Roman" w:cs="Times New Roman"/>
          <w:sz w:val="24"/>
          <w:szCs w:val="24"/>
        </w:rPr>
        <w:t xml:space="preserve">Requirement </w:t>
      </w:r>
      <w:r w:rsidR="005A0381">
        <w:rPr>
          <w:rFonts w:ascii="Times New Roman" w:hAnsi="Times New Roman" w:cs="Times New Roman"/>
          <w:sz w:val="24"/>
          <w:szCs w:val="24"/>
        </w:rPr>
        <w:t>R1 again in year 5</w:t>
      </w:r>
      <w:r w:rsidR="005D3353">
        <w:rPr>
          <w:rFonts w:ascii="Times New Roman" w:hAnsi="Times New Roman" w:cs="Times New Roman"/>
          <w:sz w:val="24"/>
          <w:szCs w:val="24"/>
        </w:rPr>
        <w:t xml:space="preserve"> (at least once every 60 calendar months)</w:t>
      </w:r>
      <w:r w:rsidR="005A0381">
        <w:rPr>
          <w:rFonts w:ascii="Times New Roman" w:hAnsi="Times New Roman" w:cs="Times New Roman"/>
          <w:sz w:val="24"/>
          <w:szCs w:val="24"/>
        </w:rPr>
        <w:t xml:space="preserve">. </w:t>
      </w:r>
      <w:r w:rsidR="003D36D3" w:rsidRPr="003D36D3">
        <w:rPr>
          <w:rFonts w:ascii="Times New Roman" w:hAnsi="Times New Roman" w:cs="Times New Roman"/>
          <w:sz w:val="24"/>
          <w:szCs w:val="24"/>
        </w:rPr>
        <w:t xml:space="preserve"> </w:t>
      </w:r>
      <w:r w:rsidR="003D36D3">
        <w:rPr>
          <w:rFonts w:ascii="Times New Roman" w:hAnsi="Times New Roman" w:cs="Times New Roman"/>
          <w:sz w:val="24"/>
          <w:szCs w:val="24"/>
        </w:rPr>
        <w:t>The record retention requirements are imposed annually</w:t>
      </w:r>
      <w:r w:rsidR="002B23C4">
        <w:rPr>
          <w:rFonts w:ascii="Times New Roman" w:hAnsi="Times New Roman" w:cs="Times New Roman"/>
          <w:sz w:val="24"/>
          <w:szCs w:val="24"/>
        </w:rPr>
        <w:t xml:space="preserve"> on</w:t>
      </w:r>
      <w:r w:rsidR="002B23C4" w:rsidRPr="002B23C4">
        <w:t xml:space="preserve"> </w:t>
      </w:r>
      <w:r w:rsidR="002B23C4" w:rsidRPr="002B23C4">
        <w:rPr>
          <w:rFonts w:ascii="Times New Roman" w:hAnsi="Times New Roman" w:cs="Times New Roman"/>
          <w:sz w:val="24"/>
          <w:szCs w:val="24"/>
        </w:rPr>
        <w:t>transmission owners (357) plus the transmission operators identified in requirement R3</w:t>
      </w:r>
      <w:r w:rsidR="002B23C4">
        <w:rPr>
          <w:rFonts w:ascii="Times New Roman" w:hAnsi="Times New Roman" w:cs="Times New Roman"/>
          <w:sz w:val="24"/>
          <w:szCs w:val="24"/>
        </w:rPr>
        <w:t xml:space="preserve"> (2)</w:t>
      </w:r>
      <w:r w:rsidR="003D36D3">
        <w:rPr>
          <w:rFonts w:ascii="Times New Roman" w:hAnsi="Times New Roman" w:cs="Times New Roman"/>
          <w:sz w:val="24"/>
          <w:szCs w:val="24"/>
        </w:rPr>
        <w:t>.</w:t>
      </w:r>
    </w:p>
    <w:p w14:paraId="10E4A879" w14:textId="77777777" w:rsidR="00C559EB" w:rsidRDefault="00C559EB" w:rsidP="00D80FBD">
      <w:pPr>
        <w:spacing w:after="0"/>
        <w:rPr>
          <w:rFonts w:ascii="Times New Roman" w:hAnsi="Times New Roman" w:cs="Times New Roman"/>
          <w:sz w:val="24"/>
          <w:szCs w:val="24"/>
        </w:rPr>
      </w:pPr>
    </w:p>
    <w:p w14:paraId="749FDC7C" w14:textId="1BACD5AA" w:rsidR="00103EE3" w:rsidRDefault="00C559EB" w:rsidP="00D80FBD">
      <w:pPr>
        <w:spacing w:after="0"/>
        <w:rPr>
          <w:rFonts w:ascii="Times New Roman" w:hAnsi="Times New Roman" w:cs="Times New Roman"/>
          <w:sz w:val="24"/>
          <w:szCs w:val="24"/>
        </w:rPr>
      </w:pPr>
      <w:r>
        <w:rPr>
          <w:rFonts w:ascii="Times New Roman" w:hAnsi="Times New Roman" w:cs="Times New Roman"/>
          <w:sz w:val="24"/>
          <w:szCs w:val="24"/>
        </w:rPr>
        <w:t xml:space="preserve">For </w:t>
      </w:r>
      <w:r w:rsidR="006162B0">
        <w:rPr>
          <w:rFonts w:ascii="Times New Roman" w:hAnsi="Times New Roman" w:cs="Times New Roman"/>
          <w:sz w:val="24"/>
          <w:szCs w:val="24"/>
        </w:rPr>
        <w:t>R</w:t>
      </w:r>
      <w:r>
        <w:rPr>
          <w:rFonts w:ascii="Times New Roman" w:hAnsi="Times New Roman" w:cs="Times New Roman"/>
          <w:sz w:val="24"/>
          <w:szCs w:val="24"/>
        </w:rPr>
        <w:t>equirements R4</w:t>
      </w:r>
      <w:r w:rsidR="006162B0">
        <w:rPr>
          <w:rFonts w:ascii="Times New Roman" w:hAnsi="Times New Roman" w:cs="Times New Roman"/>
          <w:sz w:val="24"/>
          <w:szCs w:val="24"/>
        </w:rPr>
        <w:t>, R5, and R</w:t>
      </w:r>
      <w:r>
        <w:rPr>
          <w:rFonts w:ascii="Times New Roman" w:hAnsi="Times New Roman" w:cs="Times New Roman"/>
          <w:sz w:val="24"/>
          <w:szCs w:val="24"/>
        </w:rPr>
        <w:t>6</w:t>
      </w:r>
      <w:r w:rsidR="00024350" w:rsidRPr="00FC0499">
        <w:rPr>
          <w:rStyle w:val="FootnoteReference"/>
          <w:rFonts w:ascii="Times New Roman" w:hAnsi="Times New Roman" w:cs="Times New Roman"/>
          <w:sz w:val="24"/>
          <w:szCs w:val="24"/>
          <w:vertAlign w:val="superscript"/>
        </w:rPr>
        <w:footnoteReference w:id="18"/>
      </w:r>
      <w:r w:rsidRPr="00FC0499">
        <w:rPr>
          <w:rFonts w:ascii="Times New Roman" w:hAnsi="Times New Roman" w:cs="Times New Roman"/>
          <w:sz w:val="24"/>
          <w:szCs w:val="24"/>
          <w:vertAlign w:val="superscript"/>
        </w:rPr>
        <w:t xml:space="preserve"> </w:t>
      </w:r>
      <w:r w:rsidR="00103EE3">
        <w:rPr>
          <w:rFonts w:ascii="Times New Roman" w:hAnsi="Times New Roman" w:cs="Times New Roman"/>
          <w:sz w:val="24"/>
          <w:szCs w:val="24"/>
        </w:rPr>
        <w:t xml:space="preserve">in year one </w:t>
      </w:r>
      <w:r>
        <w:rPr>
          <w:rFonts w:ascii="Times New Roman" w:hAnsi="Times New Roman" w:cs="Times New Roman"/>
          <w:sz w:val="24"/>
          <w:szCs w:val="24"/>
        </w:rPr>
        <w:t>the respondents are a subset (30) of the total group of transmission owners (357) and the two transmission operators identified</w:t>
      </w:r>
      <w:r w:rsidR="00103EE3">
        <w:rPr>
          <w:rFonts w:ascii="Times New Roman" w:hAnsi="Times New Roman" w:cs="Times New Roman"/>
          <w:sz w:val="24"/>
          <w:szCs w:val="24"/>
        </w:rPr>
        <w:t xml:space="preserve"> in requirement R3.  This same group of entities (30 transmission owners and two transmission operators) are the entities that have to comply again in year three.</w:t>
      </w:r>
    </w:p>
    <w:p w14:paraId="717F5E41" w14:textId="77777777" w:rsidR="00995C7A" w:rsidRDefault="00995C7A" w:rsidP="00D80FBD">
      <w:pPr>
        <w:spacing w:after="0"/>
        <w:rPr>
          <w:rFonts w:ascii="Times New Roman" w:hAnsi="Times New Roman" w:cs="Times New Roman"/>
          <w:sz w:val="24"/>
          <w:szCs w:val="24"/>
        </w:rPr>
      </w:pPr>
    </w:p>
    <w:tbl>
      <w:tblPr>
        <w:tblW w:w="488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1709"/>
        <w:gridCol w:w="1619"/>
        <w:gridCol w:w="1440"/>
        <w:gridCol w:w="1441"/>
        <w:gridCol w:w="1440"/>
      </w:tblGrid>
      <w:tr w:rsidR="00427680" w:rsidRPr="00427680" w14:paraId="0763B671" w14:textId="77777777" w:rsidTr="003A4676">
        <w:trPr>
          <w:cantSplit/>
        </w:trPr>
        <w:tc>
          <w:tcPr>
            <w:tcW w:w="5000" w:type="pct"/>
            <w:gridSpan w:val="6"/>
            <w:shd w:val="clear" w:color="auto" w:fill="D9D9D9"/>
            <w:vAlign w:val="bottom"/>
          </w:tcPr>
          <w:p w14:paraId="38509B54"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FERC-725U</w:t>
            </w:r>
          </w:p>
        </w:tc>
      </w:tr>
      <w:tr w:rsidR="00427680" w:rsidRPr="00427680" w14:paraId="606DDF9E" w14:textId="77777777" w:rsidTr="003A4676">
        <w:trPr>
          <w:cantSplit/>
        </w:trPr>
        <w:tc>
          <w:tcPr>
            <w:tcW w:w="914" w:type="pct"/>
            <w:shd w:val="clear" w:color="auto" w:fill="D9D9D9"/>
            <w:vAlign w:val="bottom"/>
          </w:tcPr>
          <w:p w14:paraId="175AC71F"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lastRenderedPageBreak/>
              <w:t xml:space="preserve">Requirements in Reliability Standard CIP-014-1 over </w:t>
            </w:r>
          </w:p>
          <w:p w14:paraId="1095C156"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Years 1-3</w:t>
            </w:r>
          </w:p>
        </w:tc>
        <w:tc>
          <w:tcPr>
            <w:tcW w:w="913" w:type="pct"/>
            <w:shd w:val="clear" w:color="auto" w:fill="D9D9D9"/>
            <w:vAlign w:val="bottom"/>
          </w:tcPr>
          <w:p w14:paraId="5C26C83F"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Number and Type of Respondents</w:t>
            </w:r>
            <w:r w:rsidRPr="00427680">
              <w:rPr>
                <w:rFonts w:ascii="Times New Roman" w:eastAsia="Times New Roman" w:hAnsi="Times New Roman" w:cs="Times New Roman"/>
                <w:b/>
                <w:sz w:val="26"/>
                <w:szCs w:val="26"/>
              </w:rPr>
              <w:br/>
              <w:t>(1)</w:t>
            </w:r>
          </w:p>
        </w:tc>
        <w:tc>
          <w:tcPr>
            <w:tcW w:w="865" w:type="pct"/>
            <w:shd w:val="clear" w:color="auto" w:fill="D9D9D9"/>
            <w:vAlign w:val="bottom"/>
          </w:tcPr>
          <w:p w14:paraId="56DD0814"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Number of Responses per Respondent</w:t>
            </w:r>
          </w:p>
          <w:p w14:paraId="788BD662"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(2)</w:t>
            </w:r>
          </w:p>
        </w:tc>
        <w:tc>
          <w:tcPr>
            <w:tcW w:w="769" w:type="pct"/>
            <w:shd w:val="clear" w:color="auto" w:fill="D9D9D9"/>
            <w:vAlign w:val="bottom"/>
          </w:tcPr>
          <w:p w14:paraId="27AC55C1"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Total Number of Responses (1)*(2)=(3)</w:t>
            </w:r>
          </w:p>
        </w:tc>
        <w:tc>
          <w:tcPr>
            <w:tcW w:w="769" w:type="pct"/>
            <w:shd w:val="clear" w:color="auto" w:fill="D9D9D9"/>
            <w:vAlign w:val="bottom"/>
          </w:tcPr>
          <w:p w14:paraId="19629306"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Average Burden Hours &amp; Cost Per Response</w:t>
            </w:r>
            <w:r w:rsidRPr="00427680">
              <w:rPr>
                <w:rFonts w:ascii="Times New Roman" w:eastAsia="Times New Roman" w:hAnsi="Times New Roman" w:cs="Times New Roman"/>
                <w:b/>
                <w:sz w:val="26"/>
                <w:szCs w:val="26"/>
                <w:vertAlign w:val="superscript"/>
              </w:rPr>
              <w:footnoteReference w:id="19"/>
            </w:r>
          </w:p>
          <w:p w14:paraId="75AF12B6"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(4)</w:t>
            </w:r>
          </w:p>
        </w:tc>
        <w:tc>
          <w:tcPr>
            <w:tcW w:w="769" w:type="pct"/>
            <w:shd w:val="clear" w:color="auto" w:fill="D9D9D9"/>
            <w:vAlign w:val="bottom"/>
          </w:tcPr>
          <w:p w14:paraId="586DBF89"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Total Burden Hours &amp; Total Cost</w:t>
            </w:r>
          </w:p>
          <w:p w14:paraId="0559C882" w14:textId="77777777" w:rsidR="00427680" w:rsidRPr="00427680" w:rsidRDefault="00427680" w:rsidP="00427680">
            <w:pPr>
              <w:spacing w:after="0" w:line="240" w:lineRule="auto"/>
              <w:jc w:val="center"/>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(3)*(4)</w:t>
            </w:r>
          </w:p>
        </w:tc>
      </w:tr>
      <w:tr w:rsidR="00427680" w:rsidRPr="00427680" w14:paraId="3A7DB805" w14:textId="77777777" w:rsidTr="003A4676">
        <w:trPr>
          <w:cantSplit/>
        </w:trPr>
        <w:tc>
          <w:tcPr>
            <w:tcW w:w="914" w:type="pct"/>
            <w:shd w:val="clear" w:color="auto" w:fill="F2F2F2" w:themeFill="background1" w:themeFillShade="F2"/>
          </w:tcPr>
          <w:p w14:paraId="722899AC" w14:textId="77777777" w:rsidR="00427680" w:rsidRPr="00427680" w:rsidRDefault="00427680" w:rsidP="00427680">
            <w:pPr>
              <w:spacing w:after="0" w:line="240" w:lineRule="auto"/>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Year 1</w:t>
            </w:r>
          </w:p>
        </w:tc>
        <w:tc>
          <w:tcPr>
            <w:tcW w:w="913" w:type="pct"/>
            <w:shd w:val="clear" w:color="auto" w:fill="F2F2F2" w:themeFill="background1" w:themeFillShade="F2"/>
          </w:tcPr>
          <w:p w14:paraId="1A9C3D3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865" w:type="pct"/>
            <w:shd w:val="clear" w:color="auto" w:fill="F2F2F2" w:themeFill="background1" w:themeFillShade="F2"/>
          </w:tcPr>
          <w:p w14:paraId="76E4553E"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shd w:val="clear" w:color="auto" w:fill="F2F2F2" w:themeFill="background1" w:themeFillShade="F2"/>
          </w:tcPr>
          <w:p w14:paraId="30A72090"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shd w:val="clear" w:color="auto" w:fill="F2F2F2" w:themeFill="background1" w:themeFillShade="F2"/>
          </w:tcPr>
          <w:p w14:paraId="1699038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shd w:val="clear" w:color="auto" w:fill="F2F2F2" w:themeFill="background1" w:themeFillShade="F2"/>
          </w:tcPr>
          <w:p w14:paraId="07289235"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r>
      <w:tr w:rsidR="00427680" w:rsidRPr="00427680" w14:paraId="6CFBB8EF" w14:textId="77777777" w:rsidTr="003A4676">
        <w:trPr>
          <w:cantSplit/>
        </w:trPr>
        <w:tc>
          <w:tcPr>
            <w:tcW w:w="914" w:type="pct"/>
          </w:tcPr>
          <w:p w14:paraId="04097D93"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R1</w:t>
            </w:r>
          </w:p>
        </w:tc>
        <w:tc>
          <w:tcPr>
            <w:tcW w:w="913" w:type="pct"/>
          </w:tcPr>
          <w:p w14:paraId="7B23172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357 TO</w:t>
            </w:r>
          </w:p>
        </w:tc>
        <w:tc>
          <w:tcPr>
            <w:tcW w:w="865" w:type="pct"/>
          </w:tcPr>
          <w:p w14:paraId="0C3B9666"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6505841F"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357</w:t>
            </w:r>
          </w:p>
        </w:tc>
        <w:tc>
          <w:tcPr>
            <w:tcW w:w="769" w:type="pct"/>
          </w:tcPr>
          <w:p w14:paraId="1FAA748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20</w:t>
            </w:r>
          </w:p>
          <w:p w14:paraId="69451BA8"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$1,220</w:t>
            </w:r>
          </w:p>
        </w:tc>
        <w:tc>
          <w:tcPr>
            <w:tcW w:w="769" w:type="pct"/>
          </w:tcPr>
          <w:p w14:paraId="1B42FA3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7,140</w:t>
            </w:r>
          </w:p>
          <w:p w14:paraId="7385BEF5"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$435,540</w:t>
            </w:r>
          </w:p>
        </w:tc>
      </w:tr>
      <w:tr w:rsidR="00427680" w:rsidRPr="00427680" w14:paraId="02876C63" w14:textId="77777777" w:rsidTr="003A4676">
        <w:trPr>
          <w:cantSplit/>
        </w:trPr>
        <w:tc>
          <w:tcPr>
            <w:tcW w:w="914" w:type="pct"/>
          </w:tcPr>
          <w:p w14:paraId="0FF2934D"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R2</w:t>
            </w:r>
          </w:p>
        </w:tc>
        <w:tc>
          <w:tcPr>
            <w:tcW w:w="913" w:type="pct"/>
          </w:tcPr>
          <w:p w14:paraId="6809A8CB"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357 TO</w:t>
            </w:r>
          </w:p>
        </w:tc>
        <w:tc>
          <w:tcPr>
            <w:tcW w:w="865" w:type="pct"/>
          </w:tcPr>
          <w:p w14:paraId="559D59F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10908FD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357</w:t>
            </w:r>
          </w:p>
        </w:tc>
        <w:tc>
          <w:tcPr>
            <w:tcW w:w="769" w:type="pct"/>
          </w:tcPr>
          <w:p w14:paraId="14EA759C"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34</w:t>
            </w:r>
          </w:p>
          <w:p w14:paraId="01AEA0FE"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$2,342</w:t>
            </w:r>
          </w:p>
        </w:tc>
        <w:tc>
          <w:tcPr>
            <w:tcW w:w="769" w:type="pct"/>
          </w:tcPr>
          <w:p w14:paraId="2362D00C"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12,138</w:t>
            </w:r>
          </w:p>
          <w:p w14:paraId="20D41070"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$836,094</w:t>
            </w:r>
          </w:p>
        </w:tc>
      </w:tr>
      <w:tr w:rsidR="00427680" w:rsidRPr="00427680" w14:paraId="53C95907" w14:textId="77777777" w:rsidTr="003A4676">
        <w:trPr>
          <w:cantSplit/>
        </w:trPr>
        <w:tc>
          <w:tcPr>
            <w:tcW w:w="914" w:type="pct"/>
          </w:tcPr>
          <w:p w14:paraId="2055C152"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R3</w:t>
            </w:r>
          </w:p>
        </w:tc>
        <w:tc>
          <w:tcPr>
            <w:tcW w:w="913" w:type="pct"/>
          </w:tcPr>
          <w:p w14:paraId="14E638D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5F1F569D"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504A9BF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w:t>
            </w:r>
          </w:p>
        </w:tc>
        <w:tc>
          <w:tcPr>
            <w:tcW w:w="769" w:type="pct"/>
          </w:tcPr>
          <w:p w14:paraId="594DAE1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p w14:paraId="141C890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$128</w:t>
            </w:r>
          </w:p>
        </w:tc>
        <w:tc>
          <w:tcPr>
            <w:tcW w:w="769" w:type="pct"/>
          </w:tcPr>
          <w:p w14:paraId="25C11E1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w:t>
            </w:r>
          </w:p>
          <w:p w14:paraId="7CAB542E"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$256</w:t>
            </w:r>
          </w:p>
        </w:tc>
      </w:tr>
      <w:tr w:rsidR="00427680" w:rsidRPr="00427680" w14:paraId="271B8810" w14:textId="77777777" w:rsidTr="003A4676">
        <w:trPr>
          <w:cantSplit/>
        </w:trPr>
        <w:tc>
          <w:tcPr>
            <w:tcW w:w="914" w:type="pct"/>
          </w:tcPr>
          <w:p w14:paraId="6E69462B"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R4</w:t>
            </w:r>
          </w:p>
        </w:tc>
        <w:tc>
          <w:tcPr>
            <w:tcW w:w="913" w:type="pct"/>
          </w:tcPr>
          <w:p w14:paraId="57B5DDA6"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 xml:space="preserve">30 TO and </w:t>
            </w:r>
          </w:p>
          <w:p w14:paraId="7705171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195311B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22DB5CD8"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32</w:t>
            </w:r>
          </w:p>
        </w:tc>
        <w:tc>
          <w:tcPr>
            <w:tcW w:w="769" w:type="pct"/>
          </w:tcPr>
          <w:p w14:paraId="5485894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80</w:t>
            </w:r>
          </w:p>
          <w:p w14:paraId="21EF8B0F"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$4,880</w:t>
            </w:r>
          </w:p>
        </w:tc>
        <w:tc>
          <w:tcPr>
            <w:tcW w:w="769" w:type="pct"/>
          </w:tcPr>
          <w:p w14:paraId="7DB68F5E"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2,560</w:t>
            </w:r>
          </w:p>
          <w:p w14:paraId="5FA70FF1"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$156,160</w:t>
            </w:r>
          </w:p>
        </w:tc>
      </w:tr>
      <w:tr w:rsidR="00427680" w:rsidRPr="00427680" w14:paraId="0012CB45" w14:textId="77777777" w:rsidTr="003A4676">
        <w:trPr>
          <w:cantSplit/>
        </w:trPr>
        <w:tc>
          <w:tcPr>
            <w:tcW w:w="914" w:type="pct"/>
          </w:tcPr>
          <w:p w14:paraId="663F9CC9"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R5</w:t>
            </w:r>
          </w:p>
        </w:tc>
        <w:tc>
          <w:tcPr>
            <w:tcW w:w="913" w:type="pct"/>
          </w:tcPr>
          <w:p w14:paraId="316EB618"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 xml:space="preserve">30 TO and </w:t>
            </w:r>
          </w:p>
          <w:p w14:paraId="7F4C7FD8"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34D18C76"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6606629B"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32</w:t>
            </w:r>
          </w:p>
        </w:tc>
        <w:tc>
          <w:tcPr>
            <w:tcW w:w="769" w:type="pct"/>
          </w:tcPr>
          <w:p w14:paraId="1E01C90D"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320</w:t>
            </w:r>
          </w:p>
          <w:p w14:paraId="458AAB0C"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$19,520</w:t>
            </w:r>
          </w:p>
        </w:tc>
        <w:tc>
          <w:tcPr>
            <w:tcW w:w="769" w:type="pct"/>
          </w:tcPr>
          <w:p w14:paraId="73D0D57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10,240</w:t>
            </w:r>
          </w:p>
          <w:p w14:paraId="2D99CB2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$624,640</w:t>
            </w:r>
          </w:p>
        </w:tc>
      </w:tr>
      <w:tr w:rsidR="00427680" w:rsidRPr="00427680" w14:paraId="50991600" w14:textId="77777777" w:rsidTr="003A4676">
        <w:trPr>
          <w:cantSplit/>
        </w:trPr>
        <w:tc>
          <w:tcPr>
            <w:tcW w:w="914" w:type="pct"/>
          </w:tcPr>
          <w:p w14:paraId="6C0CC977"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R6</w:t>
            </w:r>
          </w:p>
        </w:tc>
        <w:tc>
          <w:tcPr>
            <w:tcW w:w="913" w:type="pct"/>
          </w:tcPr>
          <w:p w14:paraId="4199CB4D"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 xml:space="preserve">30 TO and </w:t>
            </w:r>
          </w:p>
          <w:p w14:paraId="44190DD5"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10347B7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4870A0CD"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32</w:t>
            </w:r>
          </w:p>
        </w:tc>
        <w:tc>
          <w:tcPr>
            <w:tcW w:w="769" w:type="pct"/>
          </w:tcPr>
          <w:p w14:paraId="23D5B0E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304</w:t>
            </w:r>
          </w:p>
          <w:p w14:paraId="57EFDB31"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$18,812</w:t>
            </w:r>
          </w:p>
        </w:tc>
        <w:tc>
          <w:tcPr>
            <w:tcW w:w="769" w:type="pct"/>
          </w:tcPr>
          <w:p w14:paraId="27B8C1C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9,728</w:t>
            </w:r>
          </w:p>
          <w:p w14:paraId="75EE434F"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$601,984</w:t>
            </w:r>
          </w:p>
        </w:tc>
      </w:tr>
      <w:tr w:rsidR="00427680" w:rsidRPr="00427680" w14:paraId="5B357AB2" w14:textId="77777777" w:rsidTr="003A4676">
        <w:trPr>
          <w:cantSplit/>
        </w:trPr>
        <w:tc>
          <w:tcPr>
            <w:tcW w:w="914" w:type="pct"/>
          </w:tcPr>
          <w:p w14:paraId="1BEDD1D9"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Record Retention</w:t>
            </w:r>
          </w:p>
        </w:tc>
        <w:tc>
          <w:tcPr>
            <w:tcW w:w="913" w:type="pct"/>
          </w:tcPr>
          <w:p w14:paraId="0D982F20"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 xml:space="preserve">357 TO and </w:t>
            </w:r>
          </w:p>
          <w:p w14:paraId="2254A86E"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24CE5A9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1B75B8B5"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359</w:t>
            </w:r>
          </w:p>
        </w:tc>
        <w:tc>
          <w:tcPr>
            <w:tcW w:w="769" w:type="pct"/>
          </w:tcPr>
          <w:p w14:paraId="0E3BC28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w:t>
            </w:r>
          </w:p>
          <w:p w14:paraId="25A2BFE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$64</w:t>
            </w:r>
          </w:p>
        </w:tc>
        <w:tc>
          <w:tcPr>
            <w:tcW w:w="769" w:type="pct"/>
          </w:tcPr>
          <w:p w14:paraId="6FA83131"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718</w:t>
            </w:r>
          </w:p>
          <w:p w14:paraId="22741AD1"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$22,976</w:t>
            </w:r>
          </w:p>
        </w:tc>
      </w:tr>
      <w:tr w:rsidR="00427680" w:rsidRPr="00427680" w14:paraId="6E5D7A78" w14:textId="77777777" w:rsidTr="003A4676">
        <w:trPr>
          <w:cantSplit/>
        </w:trPr>
        <w:tc>
          <w:tcPr>
            <w:tcW w:w="914" w:type="pct"/>
            <w:shd w:val="clear" w:color="auto" w:fill="F2F2F2" w:themeFill="background1" w:themeFillShade="F2"/>
          </w:tcPr>
          <w:p w14:paraId="2DB0F667" w14:textId="77777777" w:rsidR="00427680" w:rsidRPr="00427680" w:rsidRDefault="00427680" w:rsidP="00427680">
            <w:pPr>
              <w:spacing w:after="0" w:line="240" w:lineRule="auto"/>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Year 2</w:t>
            </w:r>
          </w:p>
        </w:tc>
        <w:tc>
          <w:tcPr>
            <w:tcW w:w="913" w:type="pct"/>
            <w:shd w:val="clear" w:color="auto" w:fill="F2F2F2" w:themeFill="background1" w:themeFillShade="F2"/>
          </w:tcPr>
          <w:p w14:paraId="78E98AEE"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865" w:type="pct"/>
            <w:shd w:val="clear" w:color="auto" w:fill="F2F2F2" w:themeFill="background1" w:themeFillShade="F2"/>
          </w:tcPr>
          <w:p w14:paraId="3283D18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shd w:val="clear" w:color="auto" w:fill="F2F2F2" w:themeFill="background1" w:themeFillShade="F2"/>
          </w:tcPr>
          <w:p w14:paraId="060A3F0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shd w:val="clear" w:color="auto" w:fill="F2F2F2" w:themeFill="background1" w:themeFillShade="F2"/>
          </w:tcPr>
          <w:p w14:paraId="5220A33E"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shd w:val="clear" w:color="auto" w:fill="F2F2F2" w:themeFill="background1" w:themeFillShade="F2"/>
          </w:tcPr>
          <w:p w14:paraId="4923681A"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r>
      <w:tr w:rsidR="00427680" w:rsidRPr="00427680" w14:paraId="53D28486" w14:textId="77777777" w:rsidTr="003A4676">
        <w:trPr>
          <w:cantSplit/>
        </w:trPr>
        <w:tc>
          <w:tcPr>
            <w:tcW w:w="914" w:type="pct"/>
          </w:tcPr>
          <w:p w14:paraId="1330434F"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Record Retention</w:t>
            </w:r>
          </w:p>
        </w:tc>
        <w:tc>
          <w:tcPr>
            <w:tcW w:w="913" w:type="pct"/>
          </w:tcPr>
          <w:p w14:paraId="3D92EEF6"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 xml:space="preserve">357 TO and </w:t>
            </w:r>
          </w:p>
          <w:p w14:paraId="48E6353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4294AE1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5CE76EC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359</w:t>
            </w:r>
          </w:p>
        </w:tc>
        <w:tc>
          <w:tcPr>
            <w:tcW w:w="769" w:type="pct"/>
          </w:tcPr>
          <w:p w14:paraId="35920B55"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w:t>
            </w:r>
          </w:p>
          <w:p w14:paraId="3EC98E7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$64</w:t>
            </w:r>
          </w:p>
        </w:tc>
        <w:tc>
          <w:tcPr>
            <w:tcW w:w="769" w:type="pct"/>
          </w:tcPr>
          <w:p w14:paraId="556AB20F"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718</w:t>
            </w:r>
          </w:p>
          <w:p w14:paraId="793DD2F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$22,976</w:t>
            </w:r>
          </w:p>
        </w:tc>
      </w:tr>
      <w:tr w:rsidR="00427680" w:rsidRPr="00427680" w14:paraId="044F61DE" w14:textId="77777777" w:rsidTr="003A4676">
        <w:trPr>
          <w:cantSplit/>
        </w:trPr>
        <w:tc>
          <w:tcPr>
            <w:tcW w:w="914" w:type="pct"/>
            <w:shd w:val="clear" w:color="auto" w:fill="F2F2F2" w:themeFill="background1" w:themeFillShade="F2"/>
          </w:tcPr>
          <w:p w14:paraId="4E32F733" w14:textId="77777777" w:rsidR="00427680" w:rsidRPr="00427680" w:rsidRDefault="00427680" w:rsidP="00427680">
            <w:pPr>
              <w:spacing w:after="0" w:line="240" w:lineRule="auto"/>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 xml:space="preserve">Year 3 </w:t>
            </w:r>
          </w:p>
        </w:tc>
        <w:tc>
          <w:tcPr>
            <w:tcW w:w="913" w:type="pct"/>
            <w:shd w:val="clear" w:color="auto" w:fill="F2F2F2" w:themeFill="background1" w:themeFillShade="F2"/>
          </w:tcPr>
          <w:p w14:paraId="1442364C"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865" w:type="pct"/>
            <w:shd w:val="clear" w:color="auto" w:fill="F2F2F2" w:themeFill="background1" w:themeFillShade="F2"/>
          </w:tcPr>
          <w:p w14:paraId="4B29C21F"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shd w:val="clear" w:color="auto" w:fill="F2F2F2" w:themeFill="background1" w:themeFillShade="F2"/>
          </w:tcPr>
          <w:p w14:paraId="1C09082A"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shd w:val="clear" w:color="auto" w:fill="F2F2F2" w:themeFill="background1" w:themeFillShade="F2"/>
          </w:tcPr>
          <w:p w14:paraId="218AF220"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shd w:val="clear" w:color="auto" w:fill="F2F2F2" w:themeFill="background1" w:themeFillShade="F2"/>
          </w:tcPr>
          <w:p w14:paraId="6A77784F"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r>
      <w:tr w:rsidR="00427680" w:rsidRPr="00427680" w14:paraId="6E9D68E6" w14:textId="77777777" w:rsidTr="003A4676">
        <w:trPr>
          <w:cantSplit/>
        </w:trPr>
        <w:tc>
          <w:tcPr>
            <w:tcW w:w="914" w:type="pct"/>
          </w:tcPr>
          <w:p w14:paraId="746A3C17"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lastRenderedPageBreak/>
              <w:t>R1</w:t>
            </w:r>
          </w:p>
        </w:tc>
        <w:tc>
          <w:tcPr>
            <w:tcW w:w="913" w:type="pct"/>
          </w:tcPr>
          <w:p w14:paraId="2A903245"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30 TO</w:t>
            </w:r>
          </w:p>
        </w:tc>
        <w:tc>
          <w:tcPr>
            <w:tcW w:w="865" w:type="pct"/>
          </w:tcPr>
          <w:p w14:paraId="78E55AE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11DD47F5"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30</w:t>
            </w:r>
          </w:p>
        </w:tc>
        <w:tc>
          <w:tcPr>
            <w:tcW w:w="769" w:type="pct"/>
          </w:tcPr>
          <w:p w14:paraId="711E350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20</w:t>
            </w:r>
          </w:p>
          <w:p w14:paraId="2EE5422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$1,220</w:t>
            </w:r>
          </w:p>
        </w:tc>
        <w:tc>
          <w:tcPr>
            <w:tcW w:w="769" w:type="pct"/>
          </w:tcPr>
          <w:p w14:paraId="2C26DE1B"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600</w:t>
            </w:r>
          </w:p>
          <w:p w14:paraId="6A237DC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$36,600</w:t>
            </w:r>
          </w:p>
        </w:tc>
      </w:tr>
      <w:tr w:rsidR="00427680" w:rsidRPr="00427680" w14:paraId="633AD1C9" w14:textId="77777777" w:rsidTr="003A4676">
        <w:trPr>
          <w:cantSplit/>
        </w:trPr>
        <w:tc>
          <w:tcPr>
            <w:tcW w:w="914" w:type="pct"/>
          </w:tcPr>
          <w:p w14:paraId="27CE3A70"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R2</w:t>
            </w:r>
          </w:p>
        </w:tc>
        <w:tc>
          <w:tcPr>
            <w:tcW w:w="913" w:type="pct"/>
          </w:tcPr>
          <w:p w14:paraId="2DA4B055"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30 TO</w:t>
            </w:r>
          </w:p>
        </w:tc>
        <w:tc>
          <w:tcPr>
            <w:tcW w:w="865" w:type="pct"/>
          </w:tcPr>
          <w:p w14:paraId="220D77F6"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79BFCBFD"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30</w:t>
            </w:r>
          </w:p>
        </w:tc>
        <w:tc>
          <w:tcPr>
            <w:tcW w:w="769" w:type="pct"/>
          </w:tcPr>
          <w:p w14:paraId="4E01AEE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34</w:t>
            </w:r>
          </w:p>
          <w:p w14:paraId="319EE540"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$2,342</w:t>
            </w:r>
          </w:p>
        </w:tc>
        <w:tc>
          <w:tcPr>
            <w:tcW w:w="769" w:type="pct"/>
          </w:tcPr>
          <w:p w14:paraId="37CD973A"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1,029</w:t>
            </w:r>
          </w:p>
          <w:p w14:paraId="652F50C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$70,260</w:t>
            </w:r>
          </w:p>
        </w:tc>
      </w:tr>
      <w:tr w:rsidR="00427680" w:rsidRPr="00427680" w14:paraId="3D9836AC" w14:textId="77777777" w:rsidTr="003A4676">
        <w:trPr>
          <w:cantSplit/>
        </w:trPr>
        <w:tc>
          <w:tcPr>
            <w:tcW w:w="914" w:type="pct"/>
          </w:tcPr>
          <w:p w14:paraId="628EF0A5"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R3</w:t>
            </w:r>
          </w:p>
        </w:tc>
        <w:tc>
          <w:tcPr>
            <w:tcW w:w="913" w:type="pct"/>
          </w:tcPr>
          <w:p w14:paraId="20B2E7F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0A7A02DE"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05CCB61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w:t>
            </w:r>
          </w:p>
        </w:tc>
        <w:tc>
          <w:tcPr>
            <w:tcW w:w="769" w:type="pct"/>
          </w:tcPr>
          <w:p w14:paraId="1972A07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p w14:paraId="5D81F43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$128</w:t>
            </w:r>
          </w:p>
        </w:tc>
        <w:tc>
          <w:tcPr>
            <w:tcW w:w="769" w:type="pct"/>
          </w:tcPr>
          <w:p w14:paraId="5D8250F8"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w:t>
            </w:r>
          </w:p>
          <w:p w14:paraId="6B693161"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$256</w:t>
            </w:r>
          </w:p>
        </w:tc>
      </w:tr>
      <w:tr w:rsidR="00427680" w:rsidRPr="00427680" w14:paraId="0B14640F" w14:textId="77777777" w:rsidTr="003A4676">
        <w:trPr>
          <w:cantSplit/>
        </w:trPr>
        <w:tc>
          <w:tcPr>
            <w:tcW w:w="914" w:type="pct"/>
          </w:tcPr>
          <w:p w14:paraId="137635A2"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R4</w:t>
            </w:r>
          </w:p>
        </w:tc>
        <w:tc>
          <w:tcPr>
            <w:tcW w:w="913" w:type="pct"/>
          </w:tcPr>
          <w:p w14:paraId="38F456D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 xml:space="preserve">30 TO and </w:t>
            </w:r>
          </w:p>
          <w:p w14:paraId="10B3C7BA"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5C01F3B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51EEFEA8"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32</w:t>
            </w:r>
          </w:p>
        </w:tc>
        <w:tc>
          <w:tcPr>
            <w:tcW w:w="769" w:type="pct"/>
          </w:tcPr>
          <w:p w14:paraId="58AC4AB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80</w:t>
            </w:r>
          </w:p>
          <w:p w14:paraId="64BA7C6F"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$4,880</w:t>
            </w:r>
          </w:p>
        </w:tc>
        <w:tc>
          <w:tcPr>
            <w:tcW w:w="769" w:type="pct"/>
          </w:tcPr>
          <w:p w14:paraId="61448C2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2,560</w:t>
            </w:r>
          </w:p>
          <w:p w14:paraId="1DC0DE1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$156,160</w:t>
            </w:r>
          </w:p>
        </w:tc>
      </w:tr>
      <w:tr w:rsidR="00427680" w:rsidRPr="00427680" w14:paraId="5A518AB1" w14:textId="77777777" w:rsidTr="003A4676">
        <w:trPr>
          <w:cantSplit/>
        </w:trPr>
        <w:tc>
          <w:tcPr>
            <w:tcW w:w="914" w:type="pct"/>
          </w:tcPr>
          <w:p w14:paraId="284F4F2B"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R5</w:t>
            </w:r>
          </w:p>
        </w:tc>
        <w:tc>
          <w:tcPr>
            <w:tcW w:w="913" w:type="pct"/>
          </w:tcPr>
          <w:p w14:paraId="059CF58C"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 xml:space="preserve">30 TO and </w:t>
            </w:r>
          </w:p>
          <w:p w14:paraId="7184B5ED"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0B443C8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53D31BC6"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32</w:t>
            </w:r>
          </w:p>
        </w:tc>
        <w:tc>
          <w:tcPr>
            <w:tcW w:w="769" w:type="pct"/>
          </w:tcPr>
          <w:p w14:paraId="64DD6A1F"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80</w:t>
            </w:r>
          </w:p>
          <w:p w14:paraId="1D3D1662"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$4,880</w:t>
            </w:r>
          </w:p>
        </w:tc>
        <w:tc>
          <w:tcPr>
            <w:tcW w:w="769" w:type="pct"/>
          </w:tcPr>
          <w:p w14:paraId="4B906F6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2,560</w:t>
            </w:r>
          </w:p>
          <w:p w14:paraId="7F0E153C"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$156,160</w:t>
            </w:r>
          </w:p>
        </w:tc>
      </w:tr>
      <w:tr w:rsidR="00427680" w:rsidRPr="00427680" w14:paraId="4AAF492C" w14:textId="77777777" w:rsidTr="003A4676">
        <w:trPr>
          <w:cantSplit/>
        </w:trPr>
        <w:tc>
          <w:tcPr>
            <w:tcW w:w="914" w:type="pct"/>
          </w:tcPr>
          <w:p w14:paraId="054297B9"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R6</w:t>
            </w:r>
          </w:p>
        </w:tc>
        <w:tc>
          <w:tcPr>
            <w:tcW w:w="913" w:type="pct"/>
          </w:tcPr>
          <w:p w14:paraId="66C34B81"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 xml:space="preserve">30 TO and </w:t>
            </w:r>
          </w:p>
          <w:p w14:paraId="6D346FA6"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0FAC20B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596F545C"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32</w:t>
            </w:r>
          </w:p>
        </w:tc>
        <w:tc>
          <w:tcPr>
            <w:tcW w:w="769" w:type="pct"/>
          </w:tcPr>
          <w:p w14:paraId="1F042564"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134</w:t>
            </w:r>
          </w:p>
          <w:p w14:paraId="7D1B2A3E"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$8,442</w:t>
            </w:r>
          </w:p>
        </w:tc>
        <w:tc>
          <w:tcPr>
            <w:tcW w:w="769" w:type="pct"/>
          </w:tcPr>
          <w:p w14:paraId="1630803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4,288</w:t>
            </w:r>
          </w:p>
          <w:p w14:paraId="5DB382D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$270,144</w:t>
            </w:r>
          </w:p>
        </w:tc>
      </w:tr>
      <w:tr w:rsidR="00427680" w:rsidRPr="00427680" w14:paraId="4EE449F1" w14:textId="77777777" w:rsidTr="003A4676">
        <w:trPr>
          <w:cantSplit/>
        </w:trPr>
        <w:tc>
          <w:tcPr>
            <w:tcW w:w="914" w:type="pct"/>
          </w:tcPr>
          <w:p w14:paraId="4196F95F" w14:textId="77777777" w:rsidR="00427680" w:rsidRPr="00427680" w:rsidRDefault="00427680" w:rsidP="00427680">
            <w:pPr>
              <w:spacing w:after="0" w:line="240" w:lineRule="auto"/>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Record Retention</w:t>
            </w:r>
          </w:p>
        </w:tc>
        <w:tc>
          <w:tcPr>
            <w:tcW w:w="913" w:type="pct"/>
          </w:tcPr>
          <w:p w14:paraId="57E989ED"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 xml:space="preserve">357 TO and </w:t>
            </w:r>
          </w:p>
          <w:p w14:paraId="355D2FD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 TOP</w:t>
            </w:r>
          </w:p>
        </w:tc>
        <w:tc>
          <w:tcPr>
            <w:tcW w:w="865" w:type="pct"/>
          </w:tcPr>
          <w:p w14:paraId="53008C9D"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w:t>
            </w:r>
          </w:p>
        </w:tc>
        <w:tc>
          <w:tcPr>
            <w:tcW w:w="769" w:type="pct"/>
          </w:tcPr>
          <w:p w14:paraId="571F5081"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359</w:t>
            </w:r>
          </w:p>
        </w:tc>
        <w:tc>
          <w:tcPr>
            <w:tcW w:w="769" w:type="pct"/>
          </w:tcPr>
          <w:p w14:paraId="67604D2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w:t>
            </w:r>
          </w:p>
          <w:p w14:paraId="747D181A"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$64</w:t>
            </w:r>
          </w:p>
        </w:tc>
        <w:tc>
          <w:tcPr>
            <w:tcW w:w="769" w:type="pct"/>
          </w:tcPr>
          <w:p w14:paraId="7E12811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718</w:t>
            </w:r>
          </w:p>
          <w:p w14:paraId="26EF8C40"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$22,976</w:t>
            </w:r>
          </w:p>
        </w:tc>
      </w:tr>
      <w:tr w:rsidR="00427680" w:rsidRPr="00427680" w14:paraId="6B2F3D3A" w14:textId="77777777" w:rsidTr="003A4676">
        <w:trPr>
          <w:cantSplit/>
        </w:trPr>
        <w:tc>
          <w:tcPr>
            <w:tcW w:w="914" w:type="pct"/>
          </w:tcPr>
          <w:p w14:paraId="26F58276" w14:textId="77777777" w:rsidR="00427680" w:rsidRPr="00427680" w:rsidRDefault="00427680" w:rsidP="00427680">
            <w:pPr>
              <w:spacing w:after="0" w:line="240" w:lineRule="auto"/>
              <w:jc w:val="right"/>
              <w:rPr>
                <w:rFonts w:ascii="Times New Roman" w:eastAsia="Times New Roman" w:hAnsi="Times New Roman" w:cs="Times New Roman"/>
                <w:i/>
                <w:sz w:val="26"/>
                <w:szCs w:val="26"/>
              </w:rPr>
            </w:pPr>
            <w:r w:rsidRPr="00427680">
              <w:rPr>
                <w:rFonts w:ascii="Times New Roman" w:eastAsia="Times New Roman" w:hAnsi="Times New Roman" w:cs="Times New Roman"/>
                <w:i/>
                <w:sz w:val="26"/>
                <w:szCs w:val="26"/>
              </w:rPr>
              <w:t>Year 1 Total</w:t>
            </w:r>
          </w:p>
        </w:tc>
        <w:tc>
          <w:tcPr>
            <w:tcW w:w="3317" w:type="pct"/>
            <w:gridSpan w:val="4"/>
          </w:tcPr>
          <w:p w14:paraId="339AAF87"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tcPr>
          <w:p w14:paraId="504C8C88"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42,526</w:t>
            </w:r>
          </w:p>
          <w:p w14:paraId="23B829FB"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$2,677,650</w:t>
            </w:r>
          </w:p>
        </w:tc>
      </w:tr>
      <w:tr w:rsidR="00427680" w:rsidRPr="00427680" w14:paraId="38FB7437" w14:textId="77777777" w:rsidTr="003A4676">
        <w:trPr>
          <w:cantSplit/>
        </w:trPr>
        <w:tc>
          <w:tcPr>
            <w:tcW w:w="914" w:type="pct"/>
          </w:tcPr>
          <w:p w14:paraId="0E4CB902" w14:textId="77777777" w:rsidR="00427680" w:rsidRPr="00427680" w:rsidRDefault="00427680" w:rsidP="00427680">
            <w:pPr>
              <w:spacing w:after="0" w:line="240" w:lineRule="auto"/>
              <w:jc w:val="right"/>
              <w:rPr>
                <w:rFonts w:ascii="Times New Roman" w:eastAsia="Times New Roman" w:hAnsi="Times New Roman" w:cs="Times New Roman"/>
                <w:i/>
                <w:sz w:val="26"/>
                <w:szCs w:val="26"/>
              </w:rPr>
            </w:pPr>
            <w:r w:rsidRPr="00427680">
              <w:rPr>
                <w:rFonts w:ascii="Times New Roman" w:eastAsia="Times New Roman" w:hAnsi="Times New Roman" w:cs="Times New Roman"/>
                <w:i/>
                <w:sz w:val="26"/>
                <w:szCs w:val="26"/>
              </w:rPr>
              <w:t>Year 2 Total</w:t>
            </w:r>
          </w:p>
        </w:tc>
        <w:tc>
          <w:tcPr>
            <w:tcW w:w="3317" w:type="pct"/>
            <w:gridSpan w:val="4"/>
          </w:tcPr>
          <w:p w14:paraId="30623A99"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tcPr>
          <w:p w14:paraId="436ED440"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718</w:t>
            </w:r>
          </w:p>
          <w:p w14:paraId="0DD17ED5"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$22,976</w:t>
            </w:r>
          </w:p>
        </w:tc>
      </w:tr>
      <w:tr w:rsidR="00427680" w:rsidRPr="00427680" w14:paraId="5DE6C709" w14:textId="77777777" w:rsidTr="003A4676">
        <w:trPr>
          <w:cantSplit/>
        </w:trPr>
        <w:tc>
          <w:tcPr>
            <w:tcW w:w="914" w:type="pct"/>
          </w:tcPr>
          <w:p w14:paraId="21A63CB9" w14:textId="77777777" w:rsidR="00427680" w:rsidRPr="00427680" w:rsidRDefault="00427680" w:rsidP="00427680">
            <w:pPr>
              <w:spacing w:after="0" w:line="240" w:lineRule="auto"/>
              <w:jc w:val="right"/>
              <w:rPr>
                <w:rFonts w:ascii="Times New Roman" w:eastAsia="Times New Roman" w:hAnsi="Times New Roman" w:cs="Times New Roman"/>
                <w:i/>
                <w:sz w:val="26"/>
                <w:szCs w:val="26"/>
              </w:rPr>
            </w:pPr>
            <w:r w:rsidRPr="00427680">
              <w:rPr>
                <w:rFonts w:ascii="Times New Roman" w:eastAsia="Times New Roman" w:hAnsi="Times New Roman" w:cs="Times New Roman"/>
                <w:i/>
                <w:sz w:val="26"/>
                <w:szCs w:val="26"/>
              </w:rPr>
              <w:t>Year 3 Total</w:t>
            </w:r>
          </w:p>
        </w:tc>
        <w:tc>
          <w:tcPr>
            <w:tcW w:w="3317" w:type="pct"/>
            <w:gridSpan w:val="4"/>
          </w:tcPr>
          <w:p w14:paraId="0174376A"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tcPr>
          <w:p w14:paraId="627E8571"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11,748</w:t>
            </w:r>
          </w:p>
          <w:p w14:paraId="2AD23923"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r w:rsidRPr="00427680">
              <w:rPr>
                <w:rFonts w:ascii="Times New Roman" w:eastAsia="Times New Roman" w:hAnsi="Times New Roman" w:cs="Times New Roman"/>
                <w:sz w:val="26"/>
                <w:szCs w:val="26"/>
              </w:rPr>
              <w:t>$712,556</w:t>
            </w:r>
          </w:p>
        </w:tc>
      </w:tr>
      <w:tr w:rsidR="00427680" w:rsidRPr="00427680" w14:paraId="74BFCC9A" w14:textId="77777777" w:rsidTr="003A4676">
        <w:trPr>
          <w:cantSplit/>
          <w:trHeight w:val="485"/>
        </w:trPr>
        <w:tc>
          <w:tcPr>
            <w:tcW w:w="914" w:type="pct"/>
          </w:tcPr>
          <w:p w14:paraId="796E7D82" w14:textId="77777777" w:rsidR="00427680" w:rsidRPr="00427680" w:rsidRDefault="00427680" w:rsidP="00427680">
            <w:pPr>
              <w:spacing w:after="0" w:line="240" w:lineRule="auto"/>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TOTAL (for Years 1-3)</w:t>
            </w:r>
          </w:p>
        </w:tc>
        <w:tc>
          <w:tcPr>
            <w:tcW w:w="3317" w:type="pct"/>
            <w:gridSpan w:val="4"/>
            <w:shd w:val="clear" w:color="auto" w:fill="D9D9D9"/>
          </w:tcPr>
          <w:p w14:paraId="1ED1CAE1" w14:textId="77777777" w:rsidR="00427680" w:rsidRPr="00427680" w:rsidRDefault="00427680" w:rsidP="00427680">
            <w:pPr>
              <w:spacing w:after="0" w:line="240" w:lineRule="auto"/>
              <w:jc w:val="right"/>
              <w:rPr>
                <w:rFonts w:ascii="Times New Roman" w:eastAsia="Times New Roman" w:hAnsi="Times New Roman" w:cs="Times New Roman"/>
                <w:sz w:val="26"/>
                <w:szCs w:val="26"/>
              </w:rPr>
            </w:pPr>
          </w:p>
        </w:tc>
        <w:tc>
          <w:tcPr>
            <w:tcW w:w="769" w:type="pct"/>
          </w:tcPr>
          <w:p w14:paraId="7160EDBB" w14:textId="77777777" w:rsidR="00427680" w:rsidRPr="00427680" w:rsidRDefault="00427680" w:rsidP="00427680">
            <w:pPr>
              <w:spacing w:after="0" w:line="240" w:lineRule="auto"/>
              <w:jc w:val="right"/>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54,992</w:t>
            </w:r>
          </w:p>
          <w:p w14:paraId="2E8D1087" w14:textId="77777777" w:rsidR="00427680" w:rsidRPr="00427680" w:rsidRDefault="00427680" w:rsidP="00427680">
            <w:pPr>
              <w:spacing w:after="0" w:line="240" w:lineRule="auto"/>
              <w:jc w:val="right"/>
              <w:rPr>
                <w:rFonts w:ascii="Times New Roman" w:eastAsia="Times New Roman" w:hAnsi="Times New Roman" w:cs="Times New Roman"/>
                <w:b/>
                <w:sz w:val="26"/>
                <w:szCs w:val="26"/>
              </w:rPr>
            </w:pPr>
            <w:r w:rsidRPr="00427680">
              <w:rPr>
                <w:rFonts w:ascii="Times New Roman" w:eastAsia="Times New Roman" w:hAnsi="Times New Roman" w:cs="Times New Roman"/>
                <w:b/>
                <w:sz w:val="26"/>
                <w:szCs w:val="26"/>
              </w:rPr>
              <w:t>$3,413,182</w:t>
            </w:r>
          </w:p>
        </w:tc>
      </w:tr>
    </w:tbl>
    <w:p w14:paraId="2DAF53AC" w14:textId="77777777" w:rsidR="00427680" w:rsidRDefault="00427680" w:rsidP="00D80FBD">
      <w:pPr>
        <w:spacing w:after="0"/>
        <w:rPr>
          <w:rFonts w:ascii="Times New Roman" w:hAnsi="Times New Roman" w:cs="Times New Roman"/>
          <w:sz w:val="24"/>
          <w:szCs w:val="24"/>
        </w:rPr>
      </w:pPr>
    </w:p>
    <w:p w14:paraId="0F4BE197" w14:textId="77777777" w:rsidR="002405F7" w:rsidRDefault="002405F7" w:rsidP="00D80FBD">
      <w:pPr>
        <w:spacing w:after="0"/>
        <w:rPr>
          <w:rFonts w:ascii="Times New Roman" w:hAnsi="Times New Roman" w:cs="Times New Roman"/>
          <w:sz w:val="24"/>
          <w:szCs w:val="24"/>
        </w:rPr>
      </w:pPr>
    </w:p>
    <w:p w14:paraId="3DED4B97"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DED4B98" w14:textId="77777777" w:rsidR="00E636D7" w:rsidRDefault="00E636D7" w:rsidP="00E636D7">
      <w:pPr>
        <w:spacing w:after="0"/>
        <w:rPr>
          <w:rFonts w:ascii="Times New Roman" w:hAnsi="Times New Roman" w:cs="Times New Roman"/>
          <w:sz w:val="24"/>
          <w:szCs w:val="24"/>
        </w:rPr>
      </w:pPr>
    </w:p>
    <w:p w14:paraId="1CBD6454" w14:textId="42BE0748" w:rsidR="00671D3A" w:rsidRDefault="00671D3A" w:rsidP="00671D3A">
      <w:pPr>
        <w:spacing w:after="0"/>
        <w:rPr>
          <w:rFonts w:ascii="Times New Roman" w:hAnsi="Times New Roman" w:cs="Times New Roman"/>
          <w:sz w:val="24"/>
          <w:szCs w:val="24"/>
        </w:rPr>
      </w:pPr>
      <w:r>
        <w:rPr>
          <w:rFonts w:ascii="Times New Roman" w:hAnsi="Times New Roman" w:cs="Times New Roman"/>
          <w:sz w:val="24"/>
          <w:szCs w:val="24"/>
        </w:rPr>
        <w:t>There are no start-up or other non-labor costs associated with the information collection.</w:t>
      </w:r>
      <w:r w:rsidR="00427680">
        <w:rPr>
          <w:rFonts w:ascii="Times New Roman" w:hAnsi="Times New Roman" w:cs="Times New Roman"/>
          <w:sz w:val="24"/>
          <w:szCs w:val="24"/>
        </w:rPr>
        <w:t xml:space="preserve">  All of the costs are related to burden hours and are detailed in #12 and #15.</w:t>
      </w:r>
      <w:r w:rsidR="00DC378D" w:rsidRPr="00DC378D">
        <w:t xml:space="preserve"> </w:t>
      </w:r>
      <w:r w:rsidR="00DC378D">
        <w:t>T</w:t>
      </w:r>
      <w:r w:rsidR="00DC378D" w:rsidRPr="00DC378D">
        <w:rPr>
          <w:rFonts w:ascii="Times New Roman" w:hAnsi="Times New Roman" w:cs="Times New Roman"/>
          <w:sz w:val="24"/>
          <w:szCs w:val="24"/>
        </w:rPr>
        <w:t>here was no purchase of software or computers as a result of the</w:t>
      </w:r>
      <w:r w:rsidR="00DC378D">
        <w:rPr>
          <w:rFonts w:ascii="Times New Roman" w:hAnsi="Times New Roman" w:cs="Times New Roman"/>
          <w:sz w:val="24"/>
          <w:szCs w:val="24"/>
        </w:rPr>
        <w:t xml:space="preserve"> PRA-related </w:t>
      </w:r>
      <w:r w:rsidR="00DC378D" w:rsidRPr="00DC378D">
        <w:rPr>
          <w:rFonts w:ascii="Times New Roman" w:hAnsi="Times New Roman" w:cs="Times New Roman"/>
          <w:sz w:val="24"/>
          <w:szCs w:val="24"/>
        </w:rPr>
        <w:t>requirements in this rule or the associated standard.  The rule more standardizes practices rather than creating new tasks or requirements.</w:t>
      </w:r>
    </w:p>
    <w:p w14:paraId="3DED4B99" w14:textId="77777777" w:rsidR="00E636D7" w:rsidRPr="00E636D7" w:rsidRDefault="00E636D7" w:rsidP="00E636D7">
      <w:pPr>
        <w:spacing w:after="0"/>
        <w:rPr>
          <w:rFonts w:ascii="Times New Roman" w:hAnsi="Times New Roman" w:cs="Times New Roman"/>
          <w:sz w:val="24"/>
          <w:szCs w:val="24"/>
        </w:rPr>
      </w:pPr>
    </w:p>
    <w:p w14:paraId="3DED4B9A"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3DED4B9B" w14:textId="77777777" w:rsidR="00A276F5" w:rsidRDefault="00A276F5" w:rsidP="00A276F5">
      <w:pPr>
        <w:spacing w:after="0"/>
        <w:rPr>
          <w:rFonts w:ascii="Times New Roman" w:hAnsi="Times New Roman" w:cs="Times New Roman"/>
          <w:sz w:val="24"/>
          <w:szCs w:val="24"/>
        </w:rPr>
      </w:pPr>
    </w:p>
    <w:p w14:paraId="44243565" w14:textId="4DA05FD2" w:rsidR="00571996" w:rsidRDefault="00077FB9" w:rsidP="00077FB9">
      <w:pPr>
        <w:spacing w:after="0" w:line="240" w:lineRule="auto"/>
        <w:rPr>
          <w:rFonts w:ascii="Times New Roman" w:hAnsi="Times New Roman"/>
          <w:sz w:val="24"/>
          <w:szCs w:val="24"/>
        </w:rPr>
      </w:pPr>
      <w:r w:rsidRPr="00077FB9">
        <w:rPr>
          <w:rFonts w:ascii="Times New Roman" w:hAnsi="Times New Roman"/>
          <w:sz w:val="24"/>
          <w:szCs w:val="24"/>
        </w:rPr>
        <w:t xml:space="preserve">The Regional Entities and NERC do most of the data processing, monitoring and compliance work for Reliability Standards.  </w:t>
      </w:r>
      <w:r w:rsidR="00571996">
        <w:rPr>
          <w:rFonts w:ascii="Times New Roman" w:hAnsi="Times New Roman"/>
          <w:sz w:val="24"/>
          <w:szCs w:val="24"/>
        </w:rPr>
        <w:t xml:space="preserve">The </w:t>
      </w:r>
      <w:r w:rsidR="00F35E1B">
        <w:rPr>
          <w:rFonts w:ascii="Times New Roman" w:hAnsi="Times New Roman"/>
          <w:sz w:val="24"/>
          <w:szCs w:val="24"/>
        </w:rPr>
        <w:t xml:space="preserve">burden and cost </w:t>
      </w:r>
      <w:r w:rsidR="004F79F2">
        <w:rPr>
          <w:rFonts w:ascii="Times New Roman" w:hAnsi="Times New Roman"/>
          <w:sz w:val="24"/>
          <w:szCs w:val="24"/>
        </w:rPr>
        <w:t xml:space="preserve">for NERC and the Regional Entities </w:t>
      </w:r>
      <w:r w:rsidR="00F35E1B">
        <w:rPr>
          <w:rFonts w:ascii="Times New Roman" w:hAnsi="Times New Roman"/>
          <w:sz w:val="24"/>
          <w:szCs w:val="24"/>
        </w:rPr>
        <w:t xml:space="preserve">of </w:t>
      </w:r>
      <w:r w:rsidR="00571996">
        <w:rPr>
          <w:rFonts w:ascii="Times New Roman" w:hAnsi="Times New Roman"/>
          <w:sz w:val="24"/>
          <w:szCs w:val="24"/>
        </w:rPr>
        <w:t xml:space="preserve">standards development, oversight, </w:t>
      </w:r>
      <w:r w:rsidR="0035351E">
        <w:rPr>
          <w:rFonts w:ascii="Times New Roman" w:hAnsi="Times New Roman"/>
          <w:sz w:val="24"/>
          <w:szCs w:val="24"/>
        </w:rPr>
        <w:t xml:space="preserve">assessment, </w:t>
      </w:r>
      <w:r w:rsidR="00571996">
        <w:rPr>
          <w:rFonts w:ascii="Times New Roman" w:hAnsi="Times New Roman"/>
          <w:sz w:val="24"/>
          <w:szCs w:val="24"/>
        </w:rPr>
        <w:t>monitoring and compliance work is covered under FERC-725 (OMB Control No. 1902-02</w:t>
      </w:r>
      <w:r w:rsidR="0035351E">
        <w:rPr>
          <w:rFonts w:ascii="Times New Roman" w:hAnsi="Times New Roman"/>
          <w:sz w:val="24"/>
          <w:szCs w:val="24"/>
        </w:rPr>
        <w:t>25</w:t>
      </w:r>
      <w:r w:rsidR="00571996">
        <w:rPr>
          <w:rFonts w:ascii="Times New Roman" w:hAnsi="Times New Roman"/>
          <w:sz w:val="24"/>
          <w:szCs w:val="24"/>
        </w:rPr>
        <w:t>).</w:t>
      </w:r>
    </w:p>
    <w:p w14:paraId="71778C78" w14:textId="77777777" w:rsidR="00571996" w:rsidRDefault="00571996" w:rsidP="00077FB9">
      <w:pPr>
        <w:spacing w:after="0" w:line="240" w:lineRule="auto"/>
        <w:rPr>
          <w:rFonts w:ascii="Times New Roman" w:hAnsi="Times New Roman"/>
          <w:sz w:val="24"/>
          <w:szCs w:val="24"/>
        </w:rPr>
      </w:pPr>
    </w:p>
    <w:p w14:paraId="35D76890" w14:textId="4A582C2C" w:rsidR="00077FB9" w:rsidRPr="00077FB9" w:rsidRDefault="00077FB9" w:rsidP="00077FB9">
      <w:pPr>
        <w:spacing w:after="0" w:line="240" w:lineRule="auto"/>
        <w:rPr>
          <w:rFonts w:ascii="Times New Roman" w:hAnsi="Times New Roman"/>
          <w:sz w:val="24"/>
          <w:szCs w:val="24"/>
        </w:rPr>
      </w:pPr>
      <w:r w:rsidRPr="00077FB9">
        <w:rPr>
          <w:rFonts w:ascii="Times New Roman" w:hAnsi="Times New Roman"/>
          <w:sz w:val="24"/>
          <w:szCs w:val="24"/>
        </w:rPr>
        <w:t xml:space="preserve">Any involvement by the Commission is </w:t>
      </w:r>
      <w:r w:rsidR="0035351E">
        <w:rPr>
          <w:rFonts w:ascii="Times New Roman" w:hAnsi="Times New Roman"/>
          <w:sz w:val="24"/>
          <w:szCs w:val="24"/>
        </w:rPr>
        <w:t xml:space="preserve">also </w:t>
      </w:r>
      <w:r w:rsidRPr="00077FB9">
        <w:rPr>
          <w:rFonts w:ascii="Times New Roman" w:hAnsi="Times New Roman"/>
          <w:sz w:val="24"/>
          <w:szCs w:val="24"/>
        </w:rPr>
        <w:t>covered under the FERC-725 collection (</w:t>
      </w:r>
      <w:r w:rsidR="007A03A8">
        <w:rPr>
          <w:rFonts w:ascii="Times New Roman" w:hAnsi="Times New Roman"/>
          <w:sz w:val="24"/>
          <w:szCs w:val="24"/>
        </w:rPr>
        <w:t xml:space="preserve">OMB Control No. </w:t>
      </w:r>
      <w:r w:rsidRPr="00077FB9">
        <w:rPr>
          <w:rFonts w:ascii="Times New Roman" w:hAnsi="Times New Roman"/>
          <w:sz w:val="24"/>
          <w:szCs w:val="24"/>
        </w:rPr>
        <w:t xml:space="preserve">1902-0225) and is not part of this request or package.  </w:t>
      </w:r>
    </w:p>
    <w:p w14:paraId="23D32BBD" w14:textId="77777777" w:rsidR="00077FB9" w:rsidRPr="00077FB9" w:rsidRDefault="00077FB9" w:rsidP="00077FB9">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77FB9" w:rsidRPr="00076203" w14:paraId="419E04FD" w14:textId="77777777" w:rsidTr="00427680">
        <w:tc>
          <w:tcPr>
            <w:tcW w:w="3182" w:type="dxa"/>
            <w:shd w:val="clear" w:color="auto" w:fill="CCCCCC"/>
          </w:tcPr>
          <w:p w14:paraId="7741B9D0" w14:textId="5C1FD7E1" w:rsidR="00077FB9" w:rsidRPr="00076203" w:rsidRDefault="00077FB9" w:rsidP="006C7D20">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FERC-</w:t>
            </w:r>
            <w:r>
              <w:rPr>
                <w:rFonts w:ascii="Times New Roman" w:eastAsia="Times New Roman" w:hAnsi="Times New Roman" w:cs="Times New Roman"/>
                <w:b/>
                <w:sz w:val="24"/>
                <w:szCs w:val="24"/>
              </w:rPr>
              <w:t>725</w:t>
            </w:r>
            <w:r w:rsidR="006C7D20">
              <w:rPr>
                <w:rFonts w:ascii="Times New Roman" w:eastAsia="Times New Roman" w:hAnsi="Times New Roman" w:cs="Times New Roman"/>
                <w:b/>
                <w:sz w:val="24"/>
                <w:szCs w:val="24"/>
              </w:rPr>
              <w:t>U</w:t>
            </w:r>
          </w:p>
        </w:tc>
        <w:tc>
          <w:tcPr>
            <w:tcW w:w="3201" w:type="dxa"/>
            <w:shd w:val="clear" w:color="auto" w:fill="CCCCCC"/>
          </w:tcPr>
          <w:p w14:paraId="2F825DB2" w14:textId="77777777" w:rsidR="00077FB9" w:rsidRPr="00076203" w:rsidRDefault="00077FB9" w:rsidP="00427680">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Number of Employees (FTEs)</w:t>
            </w:r>
          </w:p>
        </w:tc>
        <w:tc>
          <w:tcPr>
            <w:tcW w:w="2995" w:type="dxa"/>
            <w:shd w:val="clear" w:color="auto" w:fill="CCCCCC"/>
          </w:tcPr>
          <w:p w14:paraId="37513654" w14:textId="77777777" w:rsidR="00077FB9" w:rsidRPr="00076203" w:rsidRDefault="00077FB9" w:rsidP="00427680">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Estimated Annual Federal Cost</w:t>
            </w:r>
          </w:p>
        </w:tc>
      </w:tr>
      <w:tr w:rsidR="00077FB9" w:rsidRPr="00076203" w14:paraId="0E7B7ADF" w14:textId="77777777" w:rsidTr="00427680">
        <w:tc>
          <w:tcPr>
            <w:tcW w:w="3182" w:type="dxa"/>
          </w:tcPr>
          <w:p w14:paraId="66323AE5" w14:textId="77777777" w:rsidR="00077FB9" w:rsidRPr="00076203" w:rsidRDefault="00077FB9" w:rsidP="00427680">
            <w:pPr>
              <w:spacing w:after="0" w:line="240" w:lineRule="auto"/>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Analysis and Processing of filings</w:t>
            </w:r>
          </w:p>
        </w:tc>
        <w:tc>
          <w:tcPr>
            <w:tcW w:w="3201" w:type="dxa"/>
            <w:vAlign w:val="center"/>
          </w:tcPr>
          <w:p w14:paraId="300A4CFE" w14:textId="77777777" w:rsidR="00077FB9" w:rsidRPr="00076203" w:rsidRDefault="00077FB9" w:rsidP="0042768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95" w:type="dxa"/>
            <w:vAlign w:val="center"/>
          </w:tcPr>
          <w:p w14:paraId="16387209" w14:textId="77777777" w:rsidR="00077FB9" w:rsidRPr="00076203" w:rsidRDefault="00077FB9" w:rsidP="0042768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77FB9" w:rsidRPr="00076203" w14:paraId="2BD55EED" w14:textId="77777777" w:rsidTr="00427680">
        <w:tc>
          <w:tcPr>
            <w:tcW w:w="3182" w:type="dxa"/>
          </w:tcPr>
          <w:p w14:paraId="322567F2" w14:textId="77777777" w:rsidR="00077FB9" w:rsidRPr="00076203" w:rsidRDefault="00077FB9" w:rsidP="00427680">
            <w:pPr>
              <w:spacing w:after="0" w:line="240" w:lineRule="auto"/>
              <w:rPr>
                <w:rFonts w:ascii="Times New Roman" w:eastAsia="Times New Roman" w:hAnsi="Times New Roman" w:cs="Times New Roman"/>
                <w:sz w:val="24"/>
                <w:szCs w:val="24"/>
              </w:rPr>
            </w:pPr>
            <w:r w:rsidRPr="00D81467">
              <w:rPr>
                <w:rFonts w:ascii="Times New Roman" w:eastAsia="Times New Roman" w:hAnsi="Times New Roman" w:cs="Times New Roman"/>
                <w:sz w:val="24"/>
                <w:szCs w:val="24"/>
              </w:rPr>
              <w:t>Paperwork Reduction Act Administrative Cost</w:t>
            </w:r>
            <w:bookmarkStart w:id="1" w:name="_Ref389748397"/>
            <w:r w:rsidRPr="00D81467">
              <w:rPr>
                <w:rFonts w:ascii="Times New Roman" w:eastAsia="Times New Roman" w:hAnsi="Times New Roman" w:cs="Times New Roman"/>
                <w:sz w:val="24"/>
                <w:szCs w:val="24"/>
                <w:vertAlign w:val="superscript"/>
              </w:rPr>
              <w:footnoteReference w:id="20"/>
            </w:r>
            <w:bookmarkEnd w:id="1"/>
          </w:p>
        </w:tc>
        <w:tc>
          <w:tcPr>
            <w:tcW w:w="3201" w:type="dxa"/>
            <w:shd w:val="clear" w:color="auto" w:fill="D9D9D9" w:themeFill="background1" w:themeFillShade="D9"/>
            <w:vAlign w:val="center"/>
          </w:tcPr>
          <w:p w14:paraId="60118BD3" w14:textId="77777777" w:rsidR="00077FB9" w:rsidRPr="00076203" w:rsidRDefault="00077FB9" w:rsidP="00427680">
            <w:pPr>
              <w:spacing w:after="0" w:line="240" w:lineRule="auto"/>
              <w:jc w:val="right"/>
              <w:rPr>
                <w:rFonts w:ascii="Times New Roman" w:eastAsia="Times New Roman" w:hAnsi="Times New Roman" w:cs="Times New Roman"/>
                <w:sz w:val="24"/>
                <w:szCs w:val="24"/>
              </w:rPr>
            </w:pPr>
          </w:p>
        </w:tc>
        <w:tc>
          <w:tcPr>
            <w:tcW w:w="2995" w:type="dxa"/>
            <w:vAlign w:val="center"/>
          </w:tcPr>
          <w:p w14:paraId="1C2E007C" w14:textId="77777777" w:rsidR="00077FB9" w:rsidRPr="00076203" w:rsidRDefault="00077FB9" w:rsidP="00427680">
            <w:pPr>
              <w:spacing w:after="0" w:line="240" w:lineRule="auto"/>
              <w:jc w:val="right"/>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w:t>
            </w:r>
            <w:r>
              <w:rPr>
                <w:rFonts w:ascii="Times New Roman" w:eastAsia="Times New Roman" w:hAnsi="Times New Roman" w:cs="Times New Roman"/>
                <w:sz w:val="24"/>
                <w:szCs w:val="24"/>
              </w:rPr>
              <w:t>5,092</w:t>
            </w:r>
          </w:p>
        </w:tc>
      </w:tr>
    </w:tbl>
    <w:p w14:paraId="1650EF02" w14:textId="77777777" w:rsidR="00077FB9" w:rsidRPr="00077FB9" w:rsidRDefault="00077FB9" w:rsidP="00077FB9">
      <w:pPr>
        <w:spacing w:after="0"/>
        <w:rPr>
          <w:rFonts w:ascii="Times New Roman" w:hAnsi="Times New Roman" w:cs="Times New Roman"/>
          <w:b/>
          <w:sz w:val="24"/>
          <w:szCs w:val="24"/>
        </w:rPr>
      </w:pPr>
    </w:p>
    <w:p w14:paraId="3DED4B9E"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DED4B9F" w14:textId="77777777" w:rsidR="00A276F5" w:rsidRDefault="00A276F5" w:rsidP="00A276F5">
      <w:pPr>
        <w:spacing w:after="0"/>
        <w:rPr>
          <w:rFonts w:ascii="Times New Roman" w:hAnsi="Times New Roman" w:cs="Times New Roman"/>
          <w:sz w:val="24"/>
          <w:szCs w:val="24"/>
        </w:rPr>
      </w:pPr>
    </w:p>
    <w:p w14:paraId="489524A4" w14:textId="707A3758" w:rsidR="008F5E0A" w:rsidRDefault="00077FB9" w:rsidP="00A276F5">
      <w:pPr>
        <w:spacing w:after="0"/>
        <w:rPr>
          <w:rFonts w:ascii="Times New Roman" w:hAnsi="Times New Roman" w:cs="Times New Roman"/>
          <w:sz w:val="24"/>
          <w:szCs w:val="24"/>
        </w:rPr>
      </w:pPr>
      <w:r>
        <w:rPr>
          <w:rFonts w:ascii="Times New Roman" w:hAnsi="Times New Roman" w:cs="Times New Roman"/>
          <w:sz w:val="24"/>
          <w:szCs w:val="24"/>
        </w:rPr>
        <w:t xml:space="preserve">This is a new information collection contained in the requirements of </w:t>
      </w:r>
      <w:r w:rsidR="00422E0E">
        <w:rPr>
          <w:rFonts w:ascii="Times New Roman" w:hAnsi="Times New Roman" w:cs="Times New Roman"/>
          <w:sz w:val="24"/>
          <w:szCs w:val="24"/>
        </w:rPr>
        <w:t>the</w:t>
      </w:r>
      <w:r>
        <w:rPr>
          <w:rFonts w:ascii="Times New Roman" w:hAnsi="Times New Roman" w:cs="Times New Roman"/>
          <w:sz w:val="24"/>
          <w:szCs w:val="24"/>
        </w:rPr>
        <w:t xml:space="preserve"> new physical security Reliability Standard</w:t>
      </w:r>
      <w:r w:rsidR="00422E0E">
        <w:rPr>
          <w:rFonts w:ascii="Times New Roman" w:hAnsi="Times New Roman" w:cs="Times New Roman"/>
          <w:sz w:val="24"/>
          <w:szCs w:val="24"/>
        </w:rPr>
        <w:t xml:space="preserve"> CIP-014-1</w:t>
      </w:r>
      <w:r>
        <w:rPr>
          <w:rFonts w:ascii="Times New Roman" w:hAnsi="Times New Roman" w:cs="Times New Roman"/>
          <w:sz w:val="24"/>
          <w:szCs w:val="24"/>
        </w:rPr>
        <w:t xml:space="preserve">.  The burden increase is necessary to support the implementation of a </w:t>
      </w:r>
      <w:r w:rsidR="00D42B0D">
        <w:rPr>
          <w:rFonts w:ascii="Times New Roman" w:hAnsi="Times New Roman" w:cs="Times New Roman"/>
          <w:sz w:val="24"/>
          <w:szCs w:val="24"/>
        </w:rPr>
        <w:t xml:space="preserve">nation-wide </w:t>
      </w:r>
      <w:r>
        <w:rPr>
          <w:rFonts w:ascii="Times New Roman" w:hAnsi="Times New Roman" w:cs="Times New Roman"/>
          <w:sz w:val="24"/>
          <w:szCs w:val="24"/>
        </w:rPr>
        <w:t xml:space="preserve">physical security Reliability Standard.  </w:t>
      </w:r>
    </w:p>
    <w:p w14:paraId="41C0D804" w14:textId="77777777" w:rsidR="005A0381" w:rsidRDefault="005A0381" w:rsidP="00A276F5">
      <w:pPr>
        <w:spacing w:after="0"/>
        <w:rPr>
          <w:rFonts w:ascii="Times New Roman" w:hAnsi="Times New Roman" w:cs="Times New Roman"/>
          <w:sz w:val="24"/>
          <w:szCs w:val="24"/>
        </w:rPr>
      </w:pPr>
    </w:p>
    <w:p w14:paraId="1E2BF782" w14:textId="5B440F90" w:rsidR="005A0381" w:rsidRDefault="005A0381" w:rsidP="00A276F5">
      <w:pPr>
        <w:spacing w:after="0"/>
        <w:rPr>
          <w:rFonts w:ascii="Times New Roman" w:hAnsi="Times New Roman" w:cs="Times New Roman"/>
          <w:sz w:val="24"/>
          <w:szCs w:val="24"/>
        </w:rPr>
      </w:pPr>
      <w:r>
        <w:rPr>
          <w:rFonts w:ascii="Times New Roman" w:hAnsi="Times New Roman" w:cs="Times New Roman"/>
          <w:sz w:val="24"/>
          <w:szCs w:val="24"/>
        </w:rPr>
        <w:t>The annual time burden below represents the total burden for the first three years</w:t>
      </w:r>
      <w:r w:rsidR="007A03A8">
        <w:rPr>
          <w:rFonts w:ascii="Times New Roman" w:hAnsi="Times New Roman" w:cs="Times New Roman"/>
          <w:sz w:val="24"/>
          <w:szCs w:val="24"/>
        </w:rPr>
        <w:t xml:space="preserve"> (54,992 hours)</w:t>
      </w:r>
      <w:r>
        <w:rPr>
          <w:rFonts w:ascii="Times New Roman" w:hAnsi="Times New Roman" w:cs="Times New Roman"/>
          <w:sz w:val="24"/>
          <w:szCs w:val="24"/>
        </w:rPr>
        <w:t>, divided by three</w:t>
      </w:r>
      <w:r w:rsidR="007A03A8">
        <w:rPr>
          <w:rFonts w:ascii="Times New Roman" w:hAnsi="Times New Roman" w:cs="Times New Roman"/>
          <w:sz w:val="24"/>
          <w:szCs w:val="24"/>
        </w:rPr>
        <w:t xml:space="preserve"> (giving an annual average over Years 1-3 of 18,331 hours)</w:t>
      </w:r>
      <w:r>
        <w:rPr>
          <w:rFonts w:ascii="Times New Roman" w:hAnsi="Times New Roman" w:cs="Times New Roman"/>
          <w:sz w:val="24"/>
          <w:szCs w:val="24"/>
        </w:rPr>
        <w:t xml:space="preserve">.  </w:t>
      </w:r>
    </w:p>
    <w:p w14:paraId="3DED4BA0" w14:textId="1CAB79DA" w:rsidR="00C01698" w:rsidRDefault="00E37F20" w:rsidP="00A276F5">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71D3A" w:rsidRPr="00671D3A" w14:paraId="3DA8403F" w14:textId="77777777" w:rsidTr="00427680">
        <w:trPr>
          <w:trHeight w:val="870"/>
        </w:trPr>
        <w:tc>
          <w:tcPr>
            <w:tcW w:w="2679" w:type="dxa"/>
            <w:shd w:val="clear" w:color="auto" w:fill="D9D9D9"/>
            <w:vAlign w:val="bottom"/>
          </w:tcPr>
          <w:p w14:paraId="77A7D5D3" w14:textId="268D6193" w:rsidR="00671D3A" w:rsidRPr="00671D3A" w:rsidRDefault="00671D3A" w:rsidP="006C7D20">
            <w:pPr>
              <w:spacing w:after="0"/>
              <w:rPr>
                <w:rFonts w:ascii="Times New Roman" w:hAnsi="Times New Roman" w:cs="Times New Roman"/>
                <w:b/>
                <w:sz w:val="24"/>
                <w:szCs w:val="24"/>
              </w:rPr>
            </w:pPr>
            <w:r w:rsidRPr="00671D3A">
              <w:rPr>
                <w:rFonts w:ascii="Times New Roman" w:hAnsi="Times New Roman" w:cs="Times New Roman"/>
                <w:b/>
                <w:sz w:val="24"/>
                <w:szCs w:val="24"/>
              </w:rPr>
              <w:t>FERC-</w:t>
            </w:r>
            <w:r>
              <w:rPr>
                <w:rFonts w:ascii="Times New Roman" w:hAnsi="Times New Roman" w:cs="Times New Roman"/>
                <w:b/>
                <w:sz w:val="24"/>
                <w:szCs w:val="24"/>
              </w:rPr>
              <w:t>725</w:t>
            </w:r>
            <w:r w:rsidR="006C7D20">
              <w:rPr>
                <w:rFonts w:ascii="Times New Roman" w:hAnsi="Times New Roman" w:cs="Times New Roman"/>
                <w:b/>
                <w:sz w:val="24"/>
                <w:szCs w:val="24"/>
              </w:rPr>
              <w:t>U</w:t>
            </w:r>
          </w:p>
        </w:tc>
        <w:tc>
          <w:tcPr>
            <w:tcW w:w="1461" w:type="dxa"/>
            <w:shd w:val="clear" w:color="auto" w:fill="D9D9D9"/>
            <w:vAlign w:val="bottom"/>
          </w:tcPr>
          <w:p w14:paraId="7CC2E70D"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Total Request</w:t>
            </w:r>
          </w:p>
        </w:tc>
        <w:tc>
          <w:tcPr>
            <w:tcW w:w="1620" w:type="dxa"/>
            <w:shd w:val="clear" w:color="auto" w:fill="D9D9D9"/>
            <w:vAlign w:val="bottom"/>
          </w:tcPr>
          <w:p w14:paraId="5C26D109"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Previously Approved</w:t>
            </w:r>
          </w:p>
        </w:tc>
        <w:tc>
          <w:tcPr>
            <w:tcW w:w="1800" w:type="dxa"/>
            <w:shd w:val="clear" w:color="auto" w:fill="D9D9D9"/>
            <w:vAlign w:val="bottom"/>
          </w:tcPr>
          <w:p w14:paraId="582E3516"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Change due to Adjustment in Estimate</w:t>
            </w:r>
          </w:p>
        </w:tc>
        <w:tc>
          <w:tcPr>
            <w:tcW w:w="1800" w:type="dxa"/>
            <w:shd w:val="clear" w:color="auto" w:fill="D9D9D9"/>
            <w:vAlign w:val="bottom"/>
          </w:tcPr>
          <w:p w14:paraId="7FB77FA1"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Change Due to Agency Discretion</w:t>
            </w:r>
          </w:p>
        </w:tc>
      </w:tr>
      <w:tr w:rsidR="00671D3A" w:rsidRPr="00671D3A" w14:paraId="49E7F013" w14:textId="77777777" w:rsidTr="00B10150">
        <w:trPr>
          <w:trHeight w:val="591"/>
        </w:trPr>
        <w:tc>
          <w:tcPr>
            <w:tcW w:w="2679" w:type="dxa"/>
            <w:shd w:val="clear" w:color="auto" w:fill="auto"/>
          </w:tcPr>
          <w:p w14:paraId="7AB574FE"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Number of Responses</w:t>
            </w:r>
          </w:p>
        </w:tc>
        <w:tc>
          <w:tcPr>
            <w:tcW w:w="1461" w:type="dxa"/>
            <w:shd w:val="clear" w:color="auto" w:fill="auto"/>
            <w:vAlign w:val="center"/>
          </w:tcPr>
          <w:p w14:paraId="1E5638C0" w14:textId="251EC81C" w:rsidR="00671D3A" w:rsidRPr="00671D3A" w:rsidRDefault="00621CDD" w:rsidP="00B10150">
            <w:pPr>
              <w:spacing w:after="0"/>
              <w:jc w:val="right"/>
              <w:rPr>
                <w:rFonts w:ascii="Times New Roman" w:hAnsi="Times New Roman" w:cs="Times New Roman"/>
                <w:sz w:val="24"/>
                <w:szCs w:val="24"/>
              </w:rPr>
            </w:pPr>
            <w:r>
              <w:rPr>
                <w:rFonts w:ascii="Times New Roman" w:hAnsi="Times New Roman" w:cs="Times New Roman"/>
                <w:sz w:val="24"/>
                <w:szCs w:val="24"/>
              </w:rPr>
              <w:t>359</w:t>
            </w:r>
          </w:p>
        </w:tc>
        <w:tc>
          <w:tcPr>
            <w:tcW w:w="1620" w:type="dxa"/>
            <w:shd w:val="clear" w:color="auto" w:fill="auto"/>
            <w:vAlign w:val="center"/>
          </w:tcPr>
          <w:p w14:paraId="6CCBD69E" w14:textId="28DBDA4C"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62F5666E" w14:textId="5DEA88E6"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B676DB0"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r w:rsidR="00671D3A" w:rsidRPr="00671D3A" w14:paraId="61994FE2" w14:textId="77777777" w:rsidTr="00B10150">
        <w:trPr>
          <w:trHeight w:val="575"/>
        </w:trPr>
        <w:tc>
          <w:tcPr>
            <w:tcW w:w="2679" w:type="dxa"/>
            <w:shd w:val="clear" w:color="auto" w:fill="auto"/>
          </w:tcPr>
          <w:p w14:paraId="61F1DB8C" w14:textId="07C4BBD4"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Time Burden (Hr</w:t>
            </w:r>
            <w:r w:rsidR="00416F2B">
              <w:rPr>
                <w:rFonts w:ascii="Times New Roman" w:hAnsi="Times New Roman" w:cs="Times New Roman"/>
                <w:sz w:val="24"/>
                <w:szCs w:val="24"/>
              </w:rPr>
              <w:t>.</w:t>
            </w:r>
            <w:r w:rsidRPr="00671D3A">
              <w:rPr>
                <w:rFonts w:ascii="Times New Roman" w:hAnsi="Times New Roman" w:cs="Times New Roman"/>
                <w:sz w:val="24"/>
                <w:szCs w:val="24"/>
              </w:rPr>
              <w:t>)</w:t>
            </w:r>
          </w:p>
        </w:tc>
        <w:tc>
          <w:tcPr>
            <w:tcW w:w="1461" w:type="dxa"/>
            <w:shd w:val="clear" w:color="auto" w:fill="auto"/>
            <w:vAlign w:val="center"/>
          </w:tcPr>
          <w:p w14:paraId="1680711D" w14:textId="78FA6980"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18,331</w:t>
            </w:r>
          </w:p>
        </w:tc>
        <w:tc>
          <w:tcPr>
            <w:tcW w:w="1620" w:type="dxa"/>
            <w:shd w:val="clear" w:color="auto" w:fill="auto"/>
            <w:vAlign w:val="center"/>
          </w:tcPr>
          <w:p w14:paraId="5880248C" w14:textId="6ED40D30"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70705D8" w14:textId="6100F9C5"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3781A63"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r w:rsidR="00671D3A" w:rsidRPr="00671D3A" w14:paraId="16EADA2B" w14:textId="77777777" w:rsidTr="00B10150">
        <w:trPr>
          <w:trHeight w:val="295"/>
        </w:trPr>
        <w:tc>
          <w:tcPr>
            <w:tcW w:w="2679" w:type="dxa"/>
            <w:tcBorders>
              <w:bottom w:val="single" w:sz="4" w:space="0" w:color="auto"/>
            </w:tcBorders>
            <w:shd w:val="clear" w:color="auto" w:fill="auto"/>
          </w:tcPr>
          <w:p w14:paraId="519A7E1F"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2EE5501E"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2E3F551C" w14:textId="7FBDA98B" w:rsidR="00671D3A" w:rsidRPr="00671D3A" w:rsidRDefault="00B10150"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4EB0CE37"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FE3F2E9"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bl>
    <w:p w14:paraId="1CD88B82" w14:textId="77777777" w:rsidR="00671D3A" w:rsidRDefault="00671D3A" w:rsidP="00A276F5">
      <w:pPr>
        <w:spacing w:after="0"/>
        <w:rPr>
          <w:rFonts w:ascii="Times New Roman" w:hAnsi="Times New Roman" w:cs="Times New Roman"/>
          <w:sz w:val="24"/>
          <w:szCs w:val="24"/>
        </w:rPr>
      </w:pPr>
    </w:p>
    <w:p w14:paraId="3DED4BA2"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3DED4BA3" w14:textId="77777777" w:rsidR="00414F32" w:rsidRDefault="00414F32" w:rsidP="00414F32">
      <w:pPr>
        <w:spacing w:after="0"/>
        <w:rPr>
          <w:rFonts w:ascii="Times New Roman" w:hAnsi="Times New Roman" w:cs="Times New Roman"/>
          <w:sz w:val="24"/>
          <w:szCs w:val="24"/>
        </w:rPr>
      </w:pPr>
    </w:p>
    <w:p w14:paraId="3DED4BA4" w14:textId="1BAA2A93" w:rsidR="00414F32" w:rsidRDefault="00422E0E" w:rsidP="00414F32">
      <w:pPr>
        <w:spacing w:after="0"/>
        <w:rPr>
          <w:rFonts w:ascii="Times New Roman" w:hAnsi="Times New Roman" w:cs="Times New Roman"/>
          <w:sz w:val="24"/>
          <w:szCs w:val="24"/>
        </w:rPr>
      </w:pPr>
      <w:r>
        <w:rPr>
          <w:rFonts w:ascii="Times New Roman" w:hAnsi="Times New Roman" w:cs="Times New Roman"/>
          <w:sz w:val="24"/>
          <w:szCs w:val="24"/>
        </w:rPr>
        <w:t xml:space="preserve">The Commission </w:t>
      </w:r>
      <w:r w:rsidR="0042101B">
        <w:rPr>
          <w:rFonts w:ascii="Times New Roman" w:hAnsi="Times New Roman" w:cs="Times New Roman"/>
          <w:sz w:val="24"/>
          <w:szCs w:val="24"/>
        </w:rPr>
        <w:t>does not</w:t>
      </w:r>
      <w:r w:rsidR="00C55425" w:rsidRPr="00C55425">
        <w:rPr>
          <w:rFonts w:ascii="Times New Roman" w:hAnsi="Times New Roman" w:cs="Times New Roman"/>
          <w:sz w:val="24"/>
          <w:szCs w:val="24"/>
        </w:rPr>
        <w:t xml:space="preserve"> publi</w:t>
      </w:r>
      <w:r w:rsidR="0042101B">
        <w:rPr>
          <w:rFonts w:ascii="Times New Roman" w:hAnsi="Times New Roman" w:cs="Times New Roman"/>
          <w:sz w:val="24"/>
          <w:szCs w:val="24"/>
        </w:rPr>
        <w:t>sh</w:t>
      </w:r>
      <w:r w:rsidR="00C55425" w:rsidRPr="00C55425">
        <w:rPr>
          <w:rFonts w:ascii="Times New Roman" w:hAnsi="Times New Roman" w:cs="Times New Roman"/>
          <w:sz w:val="24"/>
          <w:szCs w:val="24"/>
        </w:rPr>
        <w:t xml:space="preserve"> data </w:t>
      </w:r>
      <w:r w:rsidR="0042101B">
        <w:rPr>
          <w:rFonts w:ascii="Times New Roman" w:hAnsi="Times New Roman" w:cs="Times New Roman"/>
          <w:sz w:val="24"/>
          <w:szCs w:val="24"/>
        </w:rPr>
        <w:t>from this</w:t>
      </w:r>
      <w:r w:rsidR="00C55425" w:rsidRPr="00C55425">
        <w:rPr>
          <w:rFonts w:ascii="Times New Roman" w:hAnsi="Times New Roman" w:cs="Times New Roman"/>
          <w:sz w:val="24"/>
          <w:szCs w:val="24"/>
        </w:rPr>
        <w:t xml:space="preserve"> collection of information.</w:t>
      </w:r>
    </w:p>
    <w:p w14:paraId="5EE7BED3" w14:textId="77777777" w:rsidR="00C55425" w:rsidRPr="00414F32" w:rsidRDefault="00C55425" w:rsidP="00414F32">
      <w:pPr>
        <w:spacing w:after="0"/>
        <w:rPr>
          <w:rFonts w:ascii="Times New Roman" w:hAnsi="Times New Roman" w:cs="Times New Roman"/>
          <w:sz w:val="24"/>
          <w:szCs w:val="24"/>
        </w:rPr>
      </w:pPr>
    </w:p>
    <w:p w14:paraId="3DED4BA5"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3DED4BA6" w14:textId="77777777" w:rsidR="00414F32" w:rsidRDefault="00414F32" w:rsidP="00414F32">
      <w:pPr>
        <w:spacing w:after="0"/>
        <w:rPr>
          <w:rFonts w:ascii="Times New Roman" w:hAnsi="Times New Roman" w:cs="Times New Roman"/>
          <w:sz w:val="24"/>
          <w:szCs w:val="24"/>
        </w:rPr>
      </w:pPr>
    </w:p>
    <w:p w14:paraId="13C847FD" w14:textId="77777777" w:rsidR="00B10B3C" w:rsidRPr="00B10B3C" w:rsidRDefault="00B10B3C" w:rsidP="00B10B3C">
      <w:pPr>
        <w:spacing w:after="0"/>
        <w:rPr>
          <w:rFonts w:ascii="Times New Roman" w:hAnsi="Times New Roman" w:cs="Times New Roman"/>
          <w:sz w:val="24"/>
          <w:szCs w:val="24"/>
        </w:rPr>
      </w:pPr>
      <w:r w:rsidRPr="00B10B3C">
        <w:rPr>
          <w:rFonts w:ascii="Times New Roman" w:hAnsi="Times New Roman" w:cs="Times New Roman"/>
          <w:sz w:val="24"/>
          <w:szCs w:val="24"/>
        </w:rPr>
        <w:lastRenderedPageBreak/>
        <w:t xml:space="preserve">The expiration date is displayed in a table posted on ferc.gov at </w:t>
      </w:r>
      <w:hyperlink r:id="rId13" w:history="1">
        <w:r w:rsidRPr="00B10B3C">
          <w:rPr>
            <w:rStyle w:val="Hyperlink"/>
            <w:rFonts w:ascii="Times New Roman" w:hAnsi="Times New Roman" w:cs="Times New Roman"/>
            <w:sz w:val="24"/>
            <w:szCs w:val="24"/>
          </w:rPr>
          <w:t>http://www.ferc.gov/docs-filing/info-collections.asp</w:t>
        </w:r>
      </w:hyperlink>
      <w:r w:rsidRPr="00B10B3C">
        <w:rPr>
          <w:rFonts w:ascii="Times New Roman" w:hAnsi="Times New Roman" w:cs="Times New Roman"/>
          <w:sz w:val="24"/>
          <w:szCs w:val="24"/>
        </w:rPr>
        <w:t>.</w:t>
      </w:r>
    </w:p>
    <w:p w14:paraId="3DED4BA7" w14:textId="77777777" w:rsidR="00414F32" w:rsidRPr="00414F32" w:rsidRDefault="00414F32" w:rsidP="00414F32">
      <w:pPr>
        <w:spacing w:after="0"/>
        <w:rPr>
          <w:rFonts w:ascii="Times New Roman" w:hAnsi="Times New Roman" w:cs="Times New Roman"/>
          <w:sz w:val="24"/>
          <w:szCs w:val="24"/>
        </w:rPr>
      </w:pPr>
    </w:p>
    <w:p w14:paraId="3DED4BA8"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DED4BA9" w14:textId="77777777" w:rsidR="0057700F" w:rsidRDefault="0057700F" w:rsidP="0057700F">
      <w:pPr>
        <w:spacing w:after="0"/>
        <w:rPr>
          <w:rFonts w:ascii="Times New Roman" w:hAnsi="Times New Roman" w:cs="Times New Roman"/>
          <w:b/>
          <w:sz w:val="24"/>
          <w:szCs w:val="24"/>
        </w:rPr>
      </w:pPr>
    </w:p>
    <w:p w14:paraId="3DED4BAB" w14:textId="14D15647" w:rsidR="00414F32" w:rsidRPr="007A2F92" w:rsidRDefault="00B10B3C" w:rsidP="007A2F92">
      <w:pPr>
        <w:spacing w:after="0"/>
        <w:rPr>
          <w:rFonts w:ascii="Times New Roman" w:hAnsi="Times New Roman" w:cs="Times New Roman"/>
          <w:sz w:val="24"/>
          <w:szCs w:val="24"/>
        </w:rPr>
      </w:pPr>
      <w:r w:rsidRPr="00B10B3C">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B10B3C">
        <w:rPr>
          <w:rFonts w:ascii="Times New Roman" w:hAnsi="Times New Roman" w:cs="Times New Roman"/>
          <w:sz w:val="24"/>
          <w:szCs w:val="24"/>
        </w:rPr>
        <w:t>i</w:t>
      </w:r>
      <w:proofErr w:type="spellEnd"/>
      <w:r w:rsidRPr="00B10B3C">
        <w:rPr>
          <w:rFonts w:ascii="Times New Roman" w:hAnsi="Times New Roman" w:cs="Times New Roman"/>
          <w:sz w:val="24"/>
          <w:szCs w:val="24"/>
        </w:rPr>
        <w:t xml:space="preserve">) of the certification to OMB </w:t>
      </w:r>
      <w:r w:rsidR="0056058A">
        <w:rPr>
          <w:rFonts w:ascii="Times New Roman" w:hAnsi="Times New Roman" w:cs="Times New Roman"/>
          <w:sz w:val="24"/>
          <w:szCs w:val="24"/>
        </w:rPr>
        <w:t>“</w:t>
      </w:r>
      <w:r w:rsidRPr="00B10B3C">
        <w:rPr>
          <w:rFonts w:ascii="Times New Roman" w:hAnsi="Times New Roman" w:cs="Times New Roman"/>
          <w:sz w:val="24"/>
          <w:szCs w:val="24"/>
        </w:rPr>
        <w:t>effective and efficient statistical survey methodology.</w:t>
      </w:r>
      <w:r w:rsidR="0056058A">
        <w:rPr>
          <w:rFonts w:ascii="Times New Roman" w:hAnsi="Times New Roman" w:cs="Times New Roman"/>
          <w:sz w:val="24"/>
          <w:szCs w:val="24"/>
        </w:rPr>
        <w:t>”</w:t>
      </w:r>
      <w:r w:rsidRPr="00B10B3C">
        <w:rPr>
          <w:rFonts w:ascii="Times New Roman" w:hAnsi="Times New Roman" w:cs="Times New Roman"/>
          <w:sz w:val="24"/>
          <w:szCs w:val="24"/>
        </w:rPr>
        <w:t xml:space="preserve">  </w:t>
      </w:r>
    </w:p>
    <w:sectPr w:rsidR="00414F32" w:rsidRPr="007A2F92">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96CA4" w15:done="0"/>
  <w15:commentEx w15:paraId="4C0C367A" w15:done="0"/>
  <w15:commentEx w15:paraId="7532F818" w15:done="0"/>
  <w15:commentEx w15:paraId="5E5D198D" w15:done="0"/>
  <w15:commentEx w15:paraId="2C704C3F" w15:done="0"/>
  <w15:commentEx w15:paraId="236EE8DD" w15:done="0"/>
  <w15:commentEx w15:paraId="4D10125A" w15:done="0"/>
  <w15:commentEx w15:paraId="4B9A448D" w15:done="0"/>
  <w15:commentEx w15:paraId="6DD95F50" w15:done="0"/>
  <w15:commentEx w15:paraId="536CA9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934F7" w14:textId="77777777" w:rsidR="00E84BE1" w:rsidRDefault="00E84BE1" w:rsidP="00FD66F1">
      <w:pPr>
        <w:spacing w:after="0" w:line="240" w:lineRule="auto"/>
      </w:pPr>
      <w:r>
        <w:separator/>
      </w:r>
    </w:p>
  </w:endnote>
  <w:endnote w:type="continuationSeparator" w:id="0">
    <w:p w14:paraId="64C52C04" w14:textId="77777777" w:rsidR="00E84BE1" w:rsidRDefault="00E84BE1"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3DED4BB4" w14:textId="77777777" w:rsidR="000C1D6E" w:rsidRPr="005A0381" w:rsidRDefault="000C1D6E">
        <w:pPr>
          <w:pStyle w:val="Footer"/>
          <w:jc w:val="right"/>
          <w:rPr>
            <w:rFonts w:ascii="Times New Roman" w:hAnsi="Times New Roman" w:cs="Times New Roman"/>
          </w:rPr>
        </w:pPr>
        <w:r w:rsidRPr="005A0381">
          <w:rPr>
            <w:rFonts w:ascii="Times New Roman" w:hAnsi="Times New Roman" w:cs="Times New Roman"/>
          </w:rPr>
          <w:fldChar w:fldCharType="begin"/>
        </w:r>
        <w:r w:rsidRPr="005A0381">
          <w:rPr>
            <w:rFonts w:ascii="Times New Roman" w:hAnsi="Times New Roman" w:cs="Times New Roman"/>
          </w:rPr>
          <w:instrText xml:space="preserve"> PAGE   \* MERGEFORMAT </w:instrText>
        </w:r>
        <w:r w:rsidRPr="005A0381">
          <w:rPr>
            <w:rFonts w:ascii="Times New Roman" w:hAnsi="Times New Roman" w:cs="Times New Roman"/>
          </w:rPr>
          <w:fldChar w:fldCharType="separate"/>
        </w:r>
        <w:r w:rsidR="00596611">
          <w:rPr>
            <w:rFonts w:ascii="Times New Roman" w:hAnsi="Times New Roman" w:cs="Times New Roman"/>
            <w:noProof/>
          </w:rPr>
          <w:t>1</w:t>
        </w:r>
        <w:r w:rsidRPr="005A0381">
          <w:rPr>
            <w:rFonts w:ascii="Times New Roman" w:hAnsi="Times New Roman" w:cs="Times New Roman"/>
            <w:noProof/>
          </w:rPr>
          <w:fldChar w:fldCharType="end"/>
        </w:r>
      </w:p>
    </w:sdtContent>
  </w:sdt>
  <w:p w14:paraId="3DED4BB5" w14:textId="77777777" w:rsidR="000C1D6E" w:rsidRDefault="000C1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1139E" w14:textId="77777777" w:rsidR="00E84BE1" w:rsidRDefault="00E84BE1" w:rsidP="00FD66F1">
      <w:pPr>
        <w:spacing w:after="0" w:line="240" w:lineRule="auto"/>
      </w:pPr>
      <w:r>
        <w:separator/>
      </w:r>
    </w:p>
  </w:footnote>
  <w:footnote w:type="continuationSeparator" w:id="0">
    <w:p w14:paraId="60C9D0EE" w14:textId="77777777" w:rsidR="00E84BE1" w:rsidRDefault="00E84BE1" w:rsidP="00FD66F1">
      <w:pPr>
        <w:spacing w:after="0" w:line="240" w:lineRule="auto"/>
      </w:pPr>
      <w:r>
        <w:continuationSeparator/>
      </w:r>
    </w:p>
  </w:footnote>
  <w:footnote w:id="1">
    <w:p w14:paraId="35054AF6" w14:textId="50D5554F" w:rsidR="000C1D6E" w:rsidRPr="003A4676" w:rsidRDefault="000C1D6E" w:rsidP="003A4676">
      <w:pPr>
        <w:pStyle w:val="FootnoteText"/>
        <w:ind w:firstLine="360"/>
        <w:rPr>
          <w:sz w:val="24"/>
          <w:szCs w:val="24"/>
        </w:rPr>
      </w:pPr>
      <w:r w:rsidRPr="003A4676">
        <w:rPr>
          <w:rStyle w:val="FootnoteReference"/>
          <w:sz w:val="24"/>
          <w:szCs w:val="24"/>
          <w:vertAlign w:val="superscript"/>
        </w:rPr>
        <w:footnoteRef/>
      </w:r>
      <w:r w:rsidRPr="003A4676">
        <w:rPr>
          <w:rStyle w:val="FootnoteReference"/>
          <w:sz w:val="24"/>
          <w:szCs w:val="24"/>
        </w:rPr>
        <w:t xml:space="preserve"> The Final Rule (Order No. 802) is posted on the Commission’s</w:t>
      </w:r>
      <w:r w:rsidRPr="00D92438">
        <w:rPr>
          <w:rStyle w:val="FootnoteReference"/>
          <w:sz w:val="24"/>
          <w:szCs w:val="24"/>
        </w:rPr>
        <w:t xml:space="preserve"> </w:t>
      </w:r>
      <w:r w:rsidRPr="003A4676">
        <w:rPr>
          <w:rStyle w:val="FootnoteReference"/>
          <w:sz w:val="24"/>
          <w:szCs w:val="24"/>
        </w:rPr>
        <w:t>eLibrary document system at http://elibrary.ferc.gov/idmws/common/opennat.asp?fileID=13690552.</w:t>
      </w:r>
    </w:p>
  </w:footnote>
  <w:footnote w:id="2">
    <w:p w14:paraId="08478FC8" w14:textId="735D9C33" w:rsidR="000C1D6E" w:rsidRPr="00FC0499" w:rsidRDefault="000C1D6E" w:rsidP="00FC0499">
      <w:pPr>
        <w:pStyle w:val="FootnoteText"/>
        <w:ind w:firstLine="360"/>
        <w:rPr>
          <w:sz w:val="24"/>
          <w:szCs w:val="24"/>
        </w:rPr>
      </w:pPr>
      <w:r w:rsidRPr="00FC0499">
        <w:rPr>
          <w:rStyle w:val="FootnoteReference"/>
          <w:sz w:val="24"/>
          <w:szCs w:val="24"/>
          <w:vertAlign w:val="superscript"/>
        </w:rPr>
        <w:footnoteRef/>
      </w:r>
      <w:r w:rsidRPr="00FC0499">
        <w:rPr>
          <w:sz w:val="24"/>
          <w:szCs w:val="24"/>
        </w:rPr>
        <w:t xml:space="preserve"> </w:t>
      </w:r>
      <w:proofErr w:type="gramStart"/>
      <w:r w:rsidRPr="00FC0499">
        <w:rPr>
          <w:sz w:val="24"/>
          <w:szCs w:val="24"/>
        </w:rPr>
        <w:t>16 U.S.C.”§824o.</w:t>
      </w:r>
      <w:proofErr w:type="gramEnd"/>
      <w:r w:rsidRPr="00FC0499">
        <w:rPr>
          <w:sz w:val="24"/>
          <w:szCs w:val="24"/>
        </w:rPr>
        <w:t xml:space="preserve"> Electric reliability</w:t>
      </w:r>
    </w:p>
    <w:p w14:paraId="3C639637" w14:textId="77777777" w:rsidR="000C1D6E" w:rsidRPr="00FC0499" w:rsidRDefault="000C1D6E" w:rsidP="00381904">
      <w:pPr>
        <w:pStyle w:val="FootnoteText"/>
        <w:rPr>
          <w:sz w:val="24"/>
          <w:szCs w:val="24"/>
        </w:rPr>
      </w:pPr>
      <w:r w:rsidRPr="00FC0499">
        <w:rPr>
          <w:sz w:val="24"/>
          <w:szCs w:val="24"/>
        </w:rPr>
        <w:t>(a) Definitions</w:t>
      </w:r>
    </w:p>
    <w:p w14:paraId="53869C6A" w14:textId="77777777" w:rsidR="000C1D6E" w:rsidRPr="00FC0499" w:rsidRDefault="000C1D6E" w:rsidP="00381904">
      <w:pPr>
        <w:pStyle w:val="FootnoteText"/>
        <w:rPr>
          <w:sz w:val="24"/>
          <w:szCs w:val="24"/>
        </w:rPr>
      </w:pPr>
      <w:r w:rsidRPr="00FC0499">
        <w:rPr>
          <w:sz w:val="24"/>
          <w:szCs w:val="24"/>
        </w:rPr>
        <w:t>For purposes of this section:</w:t>
      </w:r>
    </w:p>
    <w:p w14:paraId="6E2B5F94" w14:textId="77777777" w:rsidR="000C1D6E" w:rsidRPr="00FC0499" w:rsidRDefault="000C1D6E" w:rsidP="00381904">
      <w:pPr>
        <w:pStyle w:val="FootnoteText"/>
        <w:rPr>
          <w:sz w:val="24"/>
          <w:szCs w:val="24"/>
        </w:rPr>
      </w:pPr>
      <w:r w:rsidRPr="00FC0499">
        <w:rPr>
          <w:sz w:val="24"/>
          <w:szCs w:val="24"/>
        </w:rPr>
        <w:t>(1) The term "bulk-power system" means-</w:t>
      </w:r>
    </w:p>
    <w:p w14:paraId="10FE9F23" w14:textId="77777777" w:rsidR="000C1D6E" w:rsidRPr="00FC0499" w:rsidRDefault="000C1D6E" w:rsidP="00381904">
      <w:pPr>
        <w:pStyle w:val="FootnoteText"/>
        <w:rPr>
          <w:sz w:val="24"/>
          <w:szCs w:val="24"/>
        </w:rPr>
      </w:pPr>
      <w:r w:rsidRPr="00FC0499">
        <w:rPr>
          <w:sz w:val="24"/>
          <w:szCs w:val="24"/>
        </w:rPr>
        <w:t>(A) facilities and control systems necessary for operating an interconnected electric energy transmission network (or any portion thereof); and</w:t>
      </w:r>
    </w:p>
    <w:p w14:paraId="132BCAA0" w14:textId="77777777" w:rsidR="000C1D6E" w:rsidRPr="00FC0499" w:rsidRDefault="000C1D6E" w:rsidP="00381904">
      <w:pPr>
        <w:pStyle w:val="FootnoteText"/>
        <w:rPr>
          <w:sz w:val="24"/>
          <w:szCs w:val="24"/>
        </w:rPr>
      </w:pPr>
      <w:r w:rsidRPr="00FC0499">
        <w:rPr>
          <w:sz w:val="24"/>
          <w:szCs w:val="24"/>
        </w:rPr>
        <w:t xml:space="preserve">(B) </w:t>
      </w:r>
      <w:proofErr w:type="gramStart"/>
      <w:r w:rsidRPr="00FC0499">
        <w:rPr>
          <w:sz w:val="24"/>
          <w:szCs w:val="24"/>
        </w:rPr>
        <w:t>electric</w:t>
      </w:r>
      <w:proofErr w:type="gramEnd"/>
      <w:r w:rsidRPr="00FC0499">
        <w:rPr>
          <w:sz w:val="24"/>
          <w:szCs w:val="24"/>
        </w:rPr>
        <w:t xml:space="preserve"> energy from generation facilities needed to maintain transmission system reliability.</w:t>
      </w:r>
    </w:p>
    <w:p w14:paraId="1209057D" w14:textId="77777777" w:rsidR="000C1D6E" w:rsidRPr="00FC0499" w:rsidRDefault="000C1D6E" w:rsidP="00381904">
      <w:pPr>
        <w:pStyle w:val="FootnoteText"/>
        <w:rPr>
          <w:sz w:val="24"/>
          <w:szCs w:val="24"/>
        </w:rPr>
      </w:pPr>
    </w:p>
    <w:p w14:paraId="7F244A13" w14:textId="3F7EEFEA" w:rsidR="000C1D6E" w:rsidRPr="00FC0499" w:rsidRDefault="000C1D6E" w:rsidP="00381904">
      <w:pPr>
        <w:pStyle w:val="FootnoteText"/>
        <w:rPr>
          <w:sz w:val="24"/>
          <w:szCs w:val="24"/>
        </w:rPr>
      </w:pPr>
      <w:r w:rsidRPr="00FC0499">
        <w:rPr>
          <w:sz w:val="24"/>
          <w:szCs w:val="24"/>
        </w:rPr>
        <w:t>The term does not include facilities used in the local distribution of electric energy.</w:t>
      </w:r>
    </w:p>
    <w:p w14:paraId="2E3AA78D" w14:textId="77777777" w:rsidR="000C1D6E" w:rsidRPr="00FC0499" w:rsidRDefault="000C1D6E" w:rsidP="00381904">
      <w:pPr>
        <w:pStyle w:val="FootnoteText"/>
        <w:rPr>
          <w:sz w:val="24"/>
          <w:szCs w:val="24"/>
        </w:rPr>
      </w:pPr>
      <w:r w:rsidRPr="00FC0499">
        <w:rPr>
          <w:sz w:val="24"/>
          <w:szCs w:val="24"/>
        </w:rPr>
        <w:t>....</w:t>
      </w:r>
    </w:p>
    <w:p w14:paraId="5EE58DFA" w14:textId="7EBFA10E" w:rsidR="000C1D6E" w:rsidRDefault="000C1D6E" w:rsidP="00AA377F">
      <w:pPr>
        <w:pStyle w:val="FootnoteText"/>
      </w:pPr>
      <w:r w:rsidRPr="00FC0499">
        <w:rPr>
          <w:sz w:val="24"/>
          <w:szCs w:val="24"/>
        </w:rPr>
        <w:t>(3) The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r>
        <w:t xml:space="preserve"> </w:t>
      </w:r>
    </w:p>
  </w:footnote>
  <w:footnote w:id="3">
    <w:p w14:paraId="450068DF" w14:textId="5467511D" w:rsidR="000C1D6E" w:rsidRPr="00E0617B" w:rsidRDefault="000C1D6E" w:rsidP="00E0617B">
      <w:pPr>
        <w:pStyle w:val="FootnoteText"/>
        <w:ind w:firstLine="360"/>
        <w:rPr>
          <w:sz w:val="24"/>
          <w:szCs w:val="24"/>
        </w:rPr>
      </w:pPr>
      <w:r w:rsidRPr="00E0617B">
        <w:rPr>
          <w:rStyle w:val="FootnoteReference"/>
          <w:sz w:val="24"/>
          <w:szCs w:val="24"/>
          <w:vertAlign w:val="superscript"/>
        </w:rPr>
        <w:footnoteRef/>
      </w:r>
      <w:r w:rsidRPr="00E0617B">
        <w:rPr>
          <w:sz w:val="24"/>
          <w:szCs w:val="24"/>
        </w:rPr>
        <w:t xml:space="preserve"> </w:t>
      </w:r>
      <w:proofErr w:type="gramStart"/>
      <w:r w:rsidRPr="00E0617B">
        <w:rPr>
          <w:i/>
          <w:sz w:val="24"/>
          <w:szCs w:val="24"/>
        </w:rPr>
        <w:t>Reliability Standards for Physical Security Measures</w:t>
      </w:r>
      <w:r w:rsidRPr="00E0617B">
        <w:rPr>
          <w:sz w:val="24"/>
          <w:szCs w:val="24"/>
        </w:rPr>
        <w:t>, 146 FERC ¶ 61,166 (2014) (March 7 Order).</w:t>
      </w:r>
      <w:proofErr w:type="gramEnd"/>
      <w:r>
        <w:rPr>
          <w:sz w:val="24"/>
          <w:szCs w:val="24"/>
        </w:rPr>
        <w:t xml:space="preserve">  The Order in Docket RD14-6 is available in FERC’s eLibrary at </w:t>
      </w:r>
      <w:r w:rsidRPr="00AC7D3F">
        <w:rPr>
          <w:sz w:val="24"/>
          <w:szCs w:val="24"/>
        </w:rPr>
        <w:t>http://elibrary.ferc.gov/idmws/common/opennat.asp?fileID=</w:t>
      </w:r>
      <w:proofErr w:type="gramStart"/>
      <w:r w:rsidRPr="00AC7D3F">
        <w:rPr>
          <w:sz w:val="24"/>
          <w:szCs w:val="24"/>
        </w:rPr>
        <w:t>13479398</w:t>
      </w:r>
      <w:r>
        <w:rPr>
          <w:sz w:val="24"/>
          <w:szCs w:val="24"/>
        </w:rPr>
        <w:t xml:space="preserve"> ;</w:t>
      </w:r>
      <w:proofErr w:type="gramEnd"/>
      <w:r>
        <w:rPr>
          <w:sz w:val="24"/>
          <w:szCs w:val="24"/>
        </w:rPr>
        <w:t xml:space="preserve"> the related News Release is posted at </w:t>
      </w:r>
      <w:hyperlink r:id="rId1" w:history="1">
        <w:r w:rsidRPr="00FD7AC8">
          <w:rPr>
            <w:rStyle w:val="Hyperlink"/>
            <w:sz w:val="24"/>
            <w:szCs w:val="24"/>
          </w:rPr>
          <w:t>http://elibrary.ferc.gov/idmws/common/opennat.asp?fileID=13479403</w:t>
        </w:r>
      </w:hyperlink>
      <w:r>
        <w:rPr>
          <w:sz w:val="24"/>
          <w:szCs w:val="24"/>
        </w:rPr>
        <w:t xml:space="preserve"> .</w:t>
      </w:r>
    </w:p>
  </w:footnote>
  <w:footnote w:id="4">
    <w:p w14:paraId="2466D989" w14:textId="4FF37F2A" w:rsidR="000C1D6E" w:rsidRPr="00E0617B" w:rsidRDefault="000C1D6E" w:rsidP="0056058A">
      <w:pPr>
        <w:pStyle w:val="FootnoteText"/>
        <w:ind w:firstLine="360"/>
        <w:rPr>
          <w:sz w:val="24"/>
          <w:szCs w:val="24"/>
        </w:rPr>
      </w:pPr>
      <w:r w:rsidRPr="00E0617B">
        <w:rPr>
          <w:rStyle w:val="FootnoteReference"/>
          <w:sz w:val="24"/>
          <w:szCs w:val="24"/>
          <w:vertAlign w:val="superscript"/>
        </w:rPr>
        <w:footnoteRef/>
      </w:r>
      <w:r w:rsidRPr="00E0617B">
        <w:rPr>
          <w:sz w:val="24"/>
          <w:szCs w:val="24"/>
        </w:rPr>
        <w:t xml:space="preserve"> </w:t>
      </w:r>
      <w:r>
        <w:rPr>
          <w:sz w:val="24"/>
          <w:szCs w:val="24"/>
        </w:rPr>
        <w:t xml:space="preserve">16 U.S.C. </w:t>
      </w:r>
      <w:proofErr w:type="gramStart"/>
      <w:r w:rsidRPr="00E0617B">
        <w:rPr>
          <w:sz w:val="24"/>
          <w:szCs w:val="24"/>
        </w:rPr>
        <w:t>824o(</w:t>
      </w:r>
      <w:proofErr w:type="gramEnd"/>
      <w:r w:rsidRPr="00E0617B">
        <w:rPr>
          <w:sz w:val="24"/>
          <w:szCs w:val="24"/>
        </w:rPr>
        <w:t>d)(5).</w:t>
      </w:r>
    </w:p>
  </w:footnote>
  <w:footnote w:id="5">
    <w:p w14:paraId="18B41378" w14:textId="77777777" w:rsidR="000C1D6E" w:rsidRPr="00E0617B" w:rsidRDefault="000C1D6E" w:rsidP="0056058A">
      <w:pPr>
        <w:pStyle w:val="FootnoteText"/>
        <w:ind w:firstLine="360"/>
        <w:rPr>
          <w:sz w:val="24"/>
          <w:szCs w:val="24"/>
        </w:rPr>
      </w:pPr>
      <w:r w:rsidRPr="00E0617B">
        <w:rPr>
          <w:rStyle w:val="FootnoteReference"/>
          <w:sz w:val="24"/>
          <w:szCs w:val="24"/>
          <w:vertAlign w:val="superscript"/>
        </w:rPr>
        <w:footnoteRef/>
      </w:r>
      <w:r w:rsidRPr="00E0617B">
        <w:rPr>
          <w:sz w:val="24"/>
          <w:szCs w:val="24"/>
        </w:rPr>
        <w:t xml:space="preserve"> March 7 </w:t>
      </w:r>
      <w:proofErr w:type="gramStart"/>
      <w:r w:rsidRPr="00E0617B">
        <w:rPr>
          <w:sz w:val="24"/>
          <w:szCs w:val="24"/>
        </w:rPr>
        <w:t>Order</w:t>
      </w:r>
      <w:proofErr w:type="gramEnd"/>
      <w:r w:rsidRPr="00E0617B">
        <w:rPr>
          <w:sz w:val="24"/>
          <w:szCs w:val="24"/>
        </w:rPr>
        <w:t>, 146 FERC ¶ 61,166 at P 11.</w:t>
      </w:r>
    </w:p>
  </w:footnote>
  <w:footnote w:id="6">
    <w:p w14:paraId="4F5BACFF" w14:textId="77777777" w:rsidR="000C1D6E" w:rsidRPr="000A6B2A" w:rsidRDefault="000C1D6E" w:rsidP="0056058A">
      <w:pPr>
        <w:pStyle w:val="FootnoteText"/>
        <w:ind w:firstLine="360"/>
      </w:pPr>
      <w:r w:rsidRPr="00E0617B">
        <w:rPr>
          <w:rStyle w:val="FootnoteReference"/>
          <w:sz w:val="24"/>
          <w:szCs w:val="24"/>
          <w:vertAlign w:val="superscript"/>
        </w:rPr>
        <w:footnoteRef/>
      </w:r>
      <w:r w:rsidRPr="00E0617B">
        <w:rPr>
          <w:rStyle w:val="FootnoteReference"/>
          <w:sz w:val="24"/>
          <w:szCs w:val="24"/>
          <w:vertAlign w:val="superscript"/>
        </w:rPr>
        <w:t xml:space="preserve"> </w:t>
      </w:r>
      <w:r w:rsidRPr="00E0617B">
        <w:rPr>
          <w:i/>
          <w:sz w:val="24"/>
          <w:szCs w:val="24"/>
        </w:rPr>
        <w:t>Id.</w:t>
      </w:r>
    </w:p>
  </w:footnote>
  <w:footnote w:id="7">
    <w:p w14:paraId="5392701E" w14:textId="1765D6E0" w:rsidR="000C1D6E" w:rsidRPr="0021015B" w:rsidRDefault="000C1D6E" w:rsidP="0021015B">
      <w:pPr>
        <w:pStyle w:val="FootnoteText"/>
        <w:ind w:firstLine="360"/>
        <w:rPr>
          <w:sz w:val="24"/>
          <w:szCs w:val="24"/>
        </w:rPr>
      </w:pPr>
      <w:r w:rsidRPr="0021015B">
        <w:rPr>
          <w:rStyle w:val="FootnoteReference"/>
          <w:sz w:val="24"/>
          <w:szCs w:val="24"/>
          <w:vertAlign w:val="superscript"/>
        </w:rPr>
        <w:footnoteRef/>
      </w:r>
      <w:r w:rsidRPr="0021015B">
        <w:rPr>
          <w:sz w:val="24"/>
          <w:szCs w:val="24"/>
        </w:rPr>
        <w:t xml:space="preserve"> The NERC Petition is available on </w:t>
      </w:r>
      <w:r>
        <w:rPr>
          <w:sz w:val="24"/>
          <w:szCs w:val="24"/>
        </w:rPr>
        <w:t>the Commission’</w:t>
      </w:r>
      <w:r w:rsidRPr="0021015B">
        <w:rPr>
          <w:sz w:val="24"/>
          <w:szCs w:val="24"/>
        </w:rPr>
        <w:t xml:space="preserve">s eLibrary </w:t>
      </w:r>
      <w:r>
        <w:rPr>
          <w:sz w:val="24"/>
          <w:szCs w:val="24"/>
        </w:rPr>
        <w:t xml:space="preserve">document system </w:t>
      </w:r>
      <w:r w:rsidRPr="0021015B">
        <w:rPr>
          <w:sz w:val="24"/>
          <w:szCs w:val="24"/>
        </w:rPr>
        <w:t xml:space="preserve">at </w:t>
      </w:r>
      <w:hyperlink r:id="rId2" w:history="1">
        <w:r w:rsidRPr="0000249D">
          <w:rPr>
            <w:rStyle w:val="Hyperlink"/>
            <w:sz w:val="24"/>
            <w:szCs w:val="24"/>
          </w:rPr>
          <w:t>http://elibrary.ferc.gov/idmws/common/OpenNat.asp?fileID=13553524</w:t>
        </w:r>
      </w:hyperlink>
      <w:r w:rsidRPr="0021015B">
        <w:rPr>
          <w:sz w:val="24"/>
          <w:szCs w:val="24"/>
        </w:rPr>
        <w:t xml:space="preserve">.  The various </w:t>
      </w:r>
      <w:r>
        <w:rPr>
          <w:sz w:val="24"/>
          <w:szCs w:val="24"/>
        </w:rPr>
        <w:t>e</w:t>
      </w:r>
      <w:r w:rsidRPr="0021015B">
        <w:rPr>
          <w:sz w:val="24"/>
          <w:szCs w:val="24"/>
        </w:rPr>
        <w:t xml:space="preserve">xhibits are available in eLibrary by doing a search </w:t>
      </w:r>
      <w:r>
        <w:rPr>
          <w:sz w:val="24"/>
          <w:szCs w:val="24"/>
        </w:rPr>
        <w:t xml:space="preserve">in eLibrary </w:t>
      </w:r>
      <w:r w:rsidRPr="0021015B">
        <w:rPr>
          <w:sz w:val="24"/>
          <w:szCs w:val="24"/>
        </w:rPr>
        <w:t xml:space="preserve">on Accession </w:t>
      </w:r>
      <w:r>
        <w:rPr>
          <w:sz w:val="24"/>
          <w:szCs w:val="24"/>
        </w:rPr>
        <w:t>N</w:t>
      </w:r>
      <w:r w:rsidRPr="0021015B">
        <w:rPr>
          <w:sz w:val="24"/>
          <w:szCs w:val="24"/>
        </w:rPr>
        <w:t>o. 20140523-5074.</w:t>
      </w:r>
    </w:p>
  </w:footnote>
  <w:footnote w:id="8">
    <w:p w14:paraId="6B37FE00" w14:textId="38F0FCDB" w:rsidR="000C1D6E" w:rsidRPr="0021015B" w:rsidRDefault="000C1D6E" w:rsidP="0021015B">
      <w:pPr>
        <w:pStyle w:val="FootnoteText"/>
        <w:ind w:firstLine="360"/>
        <w:rPr>
          <w:sz w:val="24"/>
          <w:szCs w:val="24"/>
        </w:rPr>
      </w:pPr>
      <w:r w:rsidRPr="0021015B">
        <w:rPr>
          <w:rStyle w:val="FootnoteReference"/>
          <w:sz w:val="24"/>
          <w:szCs w:val="24"/>
          <w:vertAlign w:val="superscript"/>
        </w:rPr>
        <w:footnoteRef/>
      </w:r>
      <w:r w:rsidRPr="0021015B">
        <w:rPr>
          <w:sz w:val="24"/>
          <w:szCs w:val="24"/>
          <w:vertAlign w:val="superscript"/>
        </w:rPr>
        <w:t xml:space="preserve"> </w:t>
      </w:r>
      <w:r w:rsidRPr="0021015B">
        <w:rPr>
          <w:sz w:val="24"/>
          <w:szCs w:val="24"/>
        </w:rPr>
        <w:t>A copy of Reliabil</w:t>
      </w:r>
      <w:r>
        <w:rPr>
          <w:sz w:val="24"/>
          <w:szCs w:val="24"/>
        </w:rPr>
        <w:t>i</w:t>
      </w:r>
      <w:r w:rsidRPr="0021015B">
        <w:rPr>
          <w:sz w:val="24"/>
          <w:szCs w:val="24"/>
        </w:rPr>
        <w:t>ty Standard</w:t>
      </w:r>
      <w:r>
        <w:rPr>
          <w:sz w:val="24"/>
          <w:szCs w:val="24"/>
        </w:rPr>
        <w:t xml:space="preserve"> CIP-014-1</w:t>
      </w:r>
      <w:r w:rsidRPr="0021015B">
        <w:rPr>
          <w:sz w:val="24"/>
          <w:szCs w:val="24"/>
        </w:rPr>
        <w:t xml:space="preserve"> is included in Supplemental Documents in reginfo.gov and ROCIS.</w:t>
      </w:r>
    </w:p>
  </w:footnote>
  <w:footnote w:id="9">
    <w:p w14:paraId="27C42CA6" w14:textId="10214137" w:rsidR="000C1D6E" w:rsidRPr="00E0617B" w:rsidRDefault="000C1D6E" w:rsidP="00E0617B">
      <w:pPr>
        <w:pStyle w:val="FootnoteText"/>
        <w:ind w:firstLine="360"/>
        <w:rPr>
          <w:sz w:val="24"/>
          <w:szCs w:val="24"/>
        </w:rPr>
      </w:pPr>
      <w:r w:rsidRPr="00E0617B">
        <w:rPr>
          <w:rStyle w:val="FootnoteReference"/>
          <w:sz w:val="24"/>
          <w:szCs w:val="24"/>
          <w:vertAlign w:val="superscript"/>
        </w:rPr>
        <w:footnoteRef/>
      </w:r>
      <w:r w:rsidRPr="00E0617B">
        <w:rPr>
          <w:rStyle w:val="FootnoteReference"/>
          <w:sz w:val="24"/>
          <w:szCs w:val="24"/>
          <w:vertAlign w:val="superscript"/>
        </w:rPr>
        <w:t xml:space="preserve"> </w:t>
      </w:r>
      <w:proofErr w:type="gramStart"/>
      <w:r w:rsidRPr="00E0617B">
        <w:rPr>
          <w:sz w:val="24"/>
          <w:szCs w:val="24"/>
        </w:rPr>
        <w:t>Reliability Standard CIP-014-1 (Purpose).</w:t>
      </w:r>
      <w:proofErr w:type="gramEnd"/>
    </w:p>
  </w:footnote>
  <w:footnote w:id="10">
    <w:p w14:paraId="09BB7660" w14:textId="05568D3B" w:rsidR="00970133" w:rsidRPr="00FC0499" w:rsidRDefault="00970133" w:rsidP="00FC0499">
      <w:pPr>
        <w:pStyle w:val="FootnoteText"/>
        <w:ind w:firstLine="360"/>
        <w:rPr>
          <w:color w:val="000000"/>
          <w:sz w:val="24"/>
          <w:szCs w:val="24"/>
        </w:rPr>
      </w:pPr>
      <w:r w:rsidRPr="00FC0499">
        <w:rPr>
          <w:rStyle w:val="FootnoteReference"/>
          <w:sz w:val="24"/>
          <w:szCs w:val="24"/>
          <w:vertAlign w:val="superscript"/>
        </w:rPr>
        <w:footnoteRef/>
      </w:r>
      <w:r w:rsidRPr="00FC0499">
        <w:rPr>
          <w:sz w:val="24"/>
          <w:szCs w:val="24"/>
          <w:vertAlign w:val="superscript"/>
        </w:rPr>
        <w:t xml:space="preserve"> </w:t>
      </w:r>
      <w:r w:rsidRPr="00FC0499">
        <w:rPr>
          <w:sz w:val="24"/>
          <w:szCs w:val="24"/>
        </w:rPr>
        <w:t>The frequency is detailed in the Reliability Standard</w:t>
      </w:r>
      <w:r w:rsidRPr="00970133">
        <w:rPr>
          <w:sz w:val="24"/>
          <w:szCs w:val="24"/>
        </w:rPr>
        <w:t>.  For example, R1 states in part:</w:t>
      </w:r>
    </w:p>
    <w:p w14:paraId="77B8F7DF" w14:textId="4E130E82" w:rsidR="00970133" w:rsidRPr="00FC0499" w:rsidRDefault="00970133" w:rsidP="00FC0499">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w:t>
      </w:r>
      <w:r w:rsidR="00742C34">
        <w:rPr>
          <w:rFonts w:ascii="Times New Roman" w:hAnsi="Times New Roman" w:cs="Times New Roman"/>
          <w:color w:val="000000"/>
          <w:sz w:val="24"/>
          <w:szCs w:val="24"/>
        </w:rPr>
        <w:t xml:space="preserve">1.1  </w:t>
      </w:r>
      <w:r w:rsidRPr="00FC0499">
        <w:rPr>
          <w:rFonts w:ascii="Times New Roman" w:hAnsi="Times New Roman" w:cs="Times New Roman"/>
          <w:color w:val="000000"/>
          <w:sz w:val="24"/>
          <w:szCs w:val="24"/>
        </w:rPr>
        <w:t xml:space="preserve">Subsequent risk assessments shall be performed: </w:t>
      </w:r>
    </w:p>
    <w:p w14:paraId="0E0A0C4B" w14:textId="696F6ED1" w:rsidR="00970133" w:rsidRPr="00FC0499" w:rsidRDefault="00970133" w:rsidP="00FC0499">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FC0499">
        <w:rPr>
          <w:rFonts w:ascii="Times New Roman" w:hAnsi="Times New Roman" w:cs="Times New Roman"/>
          <w:color w:val="000000"/>
          <w:sz w:val="24"/>
          <w:szCs w:val="24"/>
        </w:rPr>
        <w:t xml:space="preserve">At least once every 30 calendar months for a Transmission Owner that has identified in its previous risk assessment (as verified according to Requirement R2) one or more Transmission stations or Transmission substations that if rendered inoperable or damaged could result in widespread instability, uncontrolled separation, or Cascading within an Interconnection; or </w:t>
      </w:r>
    </w:p>
    <w:p w14:paraId="6F751B62" w14:textId="2CBA2790" w:rsidR="00742C34" w:rsidRPr="00FC0499" w:rsidRDefault="00970133" w:rsidP="00FC0499">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FC0499">
        <w:rPr>
          <w:rFonts w:ascii="Times New Roman" w:hAnsi="Times New Roman" w:cs="Times New Roman"/>
          <w:color w:val="000000"/>
          <w:sz w:val="24"/>
          <w:szCs w:val="24"/>
        </w:rPr>
        <w:t xml:space="preserve">At least once every 60 calendar months for a Transmission Owner that has not identified in its previous risk assessment (as verified according to Requirement R2) any Transmission stations or Transmission substations that if rendered inoperable or damaged could result in widespread instability, uncontrolled separation, or Cascading within an Interconnection. </w:t>
      </w:r>
    </w:p>
    <w:p w14:paraId="3E27884C" w14:textId="6C6F3E04" w:rsidR="00970133" w:rsidRPr="00FC0499" w:rsidRDefault="00742C34" w:rsidP="00FC0499">
      <w:pPr>
        <w:autoSpaceDE w:val="0"/>
        <w:autoSpaceDN w:val="0"/>
        <w:adjustRightInd w:val="0"/>
        <w:spacing w:after="0" w:line="240" w:lineRule="auto"/>
        <w:ind w:left="720"/>
        <w:rPr>
          <w:sz w:val="24"/>
          <w:szCs w:val="24"/>
        </w:rPr>
      </w:pPr>
      <w:r w:rsidRPr="00742C34">
        <w:rPr>
          <w:rFonts w:ascii="Times New Roman" w:hAnsi="Times New Roman" w:cs="Times New Roman"/>
          <w:color w:val="000000"/>
          <w:sz w:val="24"/>
          <w:szCs w:val="24"/>
        </w:rPr>
        <w:t xml:space="preserve">1.2. The Transmission Owner shall identify the primary control center that operationally controls each Transmission station or Transmission substation identified in the Requirement R1 risk assessment. </w:t>
      </w:r>
      <w:r w:rsidR="00970133">
        <w:rPr>
          <w:rFonts w:ascii="Times New Roman" w:hAnsi="Times New Roman" w:cs="Times New Roman"/>
          <w:color w:val="000000"/>
          <w:sz w:val="24"/>
          <w:szCs w:val="24"/>
        </w:rPr>
        <w:t>“</w:t>
      </w:r>
    </w:p>
  </w:footnote>
  <w:footnote w:id="11">
    <w:p w14:paraId="3BD58D42" w14:textId="77777777" w:rsidR="000C1D6E" w:rsidRPr="00E0617B" w:rsidRDefault="000C1D6E" w:rsidP="0056058A">
      <w:pPr>
        <w:pStyle w:val="FootnoteText"/>
        <w:ind w:firstLine="360"/>
        <w:rPr>
          <w:sz w:val="24"/>
          <w:szCs w:val="24"/>
        </w:rPr>
      </w:pPr>
      <w:r w:rsidRPr="00E0617B">
        <w:rPr>
          <w:rStyle w:val="FootnoteReference"/>
          <w:sz w:val="24"/>
          <w:szCs w:val="24"/>
          <w:vertAlign w:val="superscript"/>
        </w:rPr>
        <w:footnoteRef/>
      </w:r>
      <w:r w:rsidRPr="00E0617B">
        <w:rPr>
          <w:rStyle w:val="FootnoteReference"/>
          <w:sz w:val="24"/>
          <w:szCs w:val="24"/>
          <w:vertAlign w:val="superscript"/>
        </w:rPr>
        <w:t xml:space="preserve"> </w:t>
      </w:r>
      <w:proofErr w:type="gramStart"/>
      <w:r w:rsidRPr="00E0617B">
        <w:rPr>
          <w:sz w:val="24"/>
          <w:szCs w:val="24"/>
        </w:rPr>
        <w:t xml:space="preserve">Available at </w:t>
      </w:r>
      <w:hyperlink r:id="rId3" w:history="1">
        <w:r w:rsidRPr="00E0617B">
          <w:rPr>
            <w:rStyle w:val="Hyperlink"/>
            <w:sz w:val="24"/>
            <w:szCs w:val="24"/>
          </w:rPr>
          <w:t>http://www.nerc.com/FilingsOrders/us/RuleOfProcedureDL/NERC_ROP_Effective_20140701_updated_20140602.pdf</w:t>
        </w:r>
      </w:hyperlink>
      <w:r w:rsidRPr="00E0617B">
        <w:rPr>
          <w:sz w:val="24"/>
          <w:szCs w:val="24"/>
        </w:rPr>
        <w:t>.</w:t>
      </w:r>
      <w:proofErr w:type="gramEnd"/>
      <w:r w:rsidRPr="00E0617B">
        <w:rPr>
          <w:sz w:val="24"/>
          <w:szCs w:val="24"/>
        </w:rPr>
        <w:t xml:space="preserve"> </w:t>
      </w:r>
    </w:p>
  </w:footnote>
  <w:footnote w:id="12">
    <w:p w14:paraId="7587ADF9" w14:textId="3BCD27A8" w:rsidR="000C1D6E" w:rsidRPr="00E0617B" w:rsidRDefault="000C1D6E" w:rsidP="00E0617B">
      <w:pPr>
        <w:pStyle w:val="FootnoteText"/>
        <w:ind w:firstLine="360"/>
        <w:rPr>
          <w:sz w:val="24"/>
          <w:szCs w:val="24"/>
        </w:rPr>
      </w:pPr>
      <w:r w:rsidRPr="00E0617B">
        <w:rPr>
          <w:rStyle w:val="FootnoteReference"/>
          <w:sz w:val="24"/>
          <w:szCs w:val="24"/>
          <w:vertAlign w:val="superscript"/>
        </w:rPr>
        <w:footnoteRef/>
      </w:r>
      <w:r w:rsidRPr="00E0617B">
        <w:rPr>
          <w:rStyle w:val="FootnoteReference"/>
          <w:sz w:val="24"/>
          <w:szCs w:val="24"/>
          <w:vertAlign w:val="superscript"/>
        </w:rPr>
        <w:t xml:space="preserve"> </w:t>
      </w:r>
      <w:r w:rsidRPr="00E0617B">
        <w:rPr>
          <w:sz w:val="24"/>
          <w:szCs w:val="24"/>
        </w:rPr>
        <w:t xml:space="preserve">Details of the current ERO Reliability Standard processes are available on the NERC website at </w:t>
      </w:r>
      <w:hyperlink r:id="rId4" w:history="1">
        <w:r w:rsidRPr="00E0617B">
          <w:rPr>
            <w:rStyle w:val="Hyperlink"/>
            <w:sz w:val="24"/>
            <w:szCs w:val="24"/>
          </w:rPr>
          <w:t>http://www.nerc.com/pa/Stand/Resources/Documents/Appendix3AStandardsProcessesManual.pdf</w:t>
        </w:r>
      </w:hyperlink>
      <w:r w:rsidRPr="00E0617B">
        <w:rPr>
          <w:rStyle w:val="Hyperlink"/>
          <w:sz w:val="24"/>
          <w:szCs w:val="24"/>
        </w:rPr>
        <w:t>.</w:t>
      </w:r>
      <w:r w:rsidRPr="00E0617B">
        <w:rPr>
          <w:sz w:val="24"/>
          <w:szCs w:val="24"/>
        </w:rPr>
        <w:t xml:space="preserve"> </w:t>
      </w:r>
    </w:p>
  </w:footnote>
  <w:footnote w:id="13">
    <w:p w14:paraId="64F021C9" w14:textId="47B0A571" w:rsidR="000C1D6E" w:rsidRPr="0012161C" w:rsidRDefault="000C1D6E" w:rsidP="00F82B32">
      <w:pPr>
        <w:pStyle w:val="FootnoteText"/>
        <w:ind w:firstLine="360"/>
        <w:rPr>
          <w:sz w:val="24"/>
          <w:szCs w:val="24"/>
        </w:rPr>
      </w:pPr>
      <w:r w:rsidRPr="00F82B32">
        <w:rPr>
          <w:rStyle w:val="FootnoteReference"/>
          <w:sz w:val="24"/>
          <w:szCs w:val="24"/>
          <w:vertAlign w:val="superscript"/>
        </w:rPr>
        <w:footnoteRef/>
      </w:r>
      <w:r w:rsidRPr="00F82B32">
        <w:rPr>
          <w:sz w:val="24"/>
          <w:szCs w:val="24"/>
        </w:rPr>
        <w:t xml:space="preserve"> The comments are available in </w:t>
      </w:r>
      <w:r>
        <w:rPr>
          <w:sz w:val="24"/>
          <w:szCs w:val="24"/>
        </w:rPr>
        <w:t>the Commission</w:t>
      </w:r>
      <w:r w:rsidRPr="00F82B32">
        <w:rPr>
          <w:sz w:val="24"/>
          <w:szCs w:val="24"/>
        </w:rPr>
        <w:t xml:space="preserve">’s eLibrary </w:t>
      </w:r>
      <w:r>
        <w:rPr>
          <w:sz w:val="24"/>
          <w:szCs w:val="24"/>
        </w:rPr>
        <w:t xml:space="preserve">document </w:t>
      </w:r>
      <w:r w:rsidRPr="00F82B32">
        <w:rPr>
          <w:sz w:val="24"/>
          <w:szCs w:val="24"/>
        </w:rPr>
        <w:t xml:space="preserve">system </w:t>
      </w:r>
      <w:r>
        <w:rPr>
          <w:sz w:val="24"/>
          <w:szCs w:val="24"/>
        </w:rPr>
        <w:t xml:space="preserve">at </w:t>
      </w:r>
      <w:hyperlink r:id="rId5" w:history="1">
        <w:r w:rsidRPr="0012161C">
          <w:rPr>
            <w:rStyle w:val="Hyperlink"/>
            <w:sz w:val="24"/>
            <w:szCs w:val="24"/>
          </w:rPr>
          <w:t>http://elibrary.ferc.gov/idmws/docket_search.asp</w:t>
        </w:r>
      </w:hyperlink>
      <w:r>
        <w:rPr>
          <w:rStyle w:val="Hyperlink"/>
          <w:sz w:val="24"/>
          <w:szCs w:val="24"/>
        </w:rPr>
        <w:t xml:space="preserve"> </w:t>
      </w:r>
      <w:r w:rsidRPr="00F82B32">
        <w:rPr>
          <w:sz w:val="24"/>
          <w:szCs w:val="24"/>
        </w:rPr>
        <w:t xml:space="preserve">by doing a </w:t>
      </w:r>
      <w:r>
        <w:rPr>
          <w:sz w:val="24"/>
          <w:szCs w:val="24"/>
        </w:rPr>
        <w:t xml:space="preserve">search for </w:t>
      </w:r>
      <w:r w:rsidRPr="00F82B32">
        <w:rPr>
          <w:sz w:val="24"/>
          <w:szCs w:val="24"/>
        </w:rPr>
        <w:t xml:space="preserve">Docket No. </w:t>
      </w:r>
      <w:proofErr w:type="gramStart"/>
      <w:r w:rsidRPr="0012161C">
        <w:rPr>
          <w:sz w:val="24"/>
          <w:szCs w:val="24"/>
        </w:rPr>
        <w:t>RM14-15.</w:t>
      </w:r>
      <w:proofErr w:type="gramEnd"/>
    </w:p>
  </w:footnote>
  <w:footnote w:id="14">
    <w:p w14:paraId="6E89F945" w14:textId="5FAF617A" w:rsidR="000C1D6E" w:rsidRPr="0021015B" w:rsidRDefault="000C1D6E" w:rsidP="0021015B">
      <w:pPr>
        <w:pStyle w:val="FootnoteText"/>
        <w:ind w:firstLine="360"/>
        <w:rPr>
          <w:sz w:val="24"/>
          <w:szCs w:val="24"/>
        </w:rPr>
      </w:pPr>
      <w:r w:rsidRPr="003A4676">
        <w:rPr>
          <w:rStyle w:val="FootnoteReference"/>
          <w:sz w:val="24"/>
          <w:szCs w:val="24"/>
          <w:vertAlign w:val="superscript"/>
        </w:rPr>
        <w:footnoteRef/>
      </w:r>
      <w:r w:rsidRPr="003A4676">
        <w:rPr>
          <w:sz w:val="24"/>
          <w:szCs w:val="24"/>
        </w:rPr>
        <w:t xml:space="preserve"> The Final Rule is being published in the Fed</w:t>
      </w:r>
      <w:r>
        <w:rPr>
          <w:sz w:val="24"/>
          <w:szCs w:val="24"/>
        </w:rPr>
        <w:t>eral</w:t>
      </w:r>
      <w:r w:rsidRPr="003A4676">
        <w:rPr>
          <w:sz w:val="24"/>
          <w:szCs w:val="24"/>
        </w:rPr>
        <w:t xml:space="preserve"> Reg</w:t>
      </w:r>
      <w:r>
        <w:rPr>
          <w:sz w:val="24"/>
          <w:szCs w:val="24"/>
        </w:rPr>
        <w:t>ister</w:t>
      </w:r>
      <w:r w:rsidRPr="003A4676">
        <w:rPr>
          <w:sz w:val="24"/>
          <w:szCs w:val="24"/>
        </w:rPr>
        <w:t xml:space="preserve"> on 11/25/2014.</w:t>
      </w:r>
    </w:p>
  </w:footnote>
  <w:footnote w:id="15">
    <w:p w14:paraId="2EF1285F" w14:textId="0F6AF1CF" w:rsidR="000C1D6E" w:rsidRPr="00BD4A05" w:rsidRDefault="000C1D6E" w:rsidP="0056058A">
      <w:pPr>
        <w:pStyle w:val="FootnoteText"/>
        <w:ind w:firstLine="360"/>
      </w:pPr>
      <w:r w:rsidRPr="00E0617B">
        <w:rPr>
          <w:rStyle w:val="FootnoteReference"/>
          <w:sz w:val="24"/>
          <w:szCs w:val="24"/>
          <w:vertAlign w:val="superscript"/>
        </w:rPr>
        <w:footnoteRef/>
      </w:r>
      <w:r w:rsidRPr="00E0617B">
        <w:rPr>
          <w:sz w:val="24"/>
          <w:szCs w:val="24"/>
        </w:rPr>
        <w:t xml:space="preserve"> </w:t>
      </w:r>
      <w:r>
        <w:rPr>
          <w:sz w:val="24"/>
          <w:szCs w:val="24"/>
        </w:rPr>
        <w:t xml:space="preserve">NERC Rules of Procedure, </w:t>
      </w:r>
      <w:r w:rsidRPr="00E0617B">
        <w:rPr>
          <w:sz w:val="24"/>
          <w:szCs w:val="24"/>
        </w:rPr>
        <w:t xml:space="preserve">Section 1502, </w:t>
      </w:r>
      <w:proofErr w:type="gramStart"/>
      <w:r w:rsidRPr="00E0617B">
        <w:rPr>
          <w:sz w:val="24"/>
          <w:szCs w:val="24"/>
        </w:rPr>
        <w:t>Paragraph</w:t>
      </w:r>
      <w:proofErr w:type="gramEnd"/>
      <w:r w:rsidRPr="00E0617B">
        <w:rPr>
          <w:sz w:val="24"/>
          <w:szCs w:val="24"/>
        </w:rPr>
        <w:t xml:space="preserve"> 2, </w:t>
      </w:r>
      <w:r w:rsidRPr="003A4676">
        <w:rPr>
          <w:i/>
          <w:sz w:val="24"/>
          <w:szCs w:val="24"/>
        </w:rPr>
        <w:t>available at</w:t>
      </w:r>
      <w:r>
        <w:rPr>
          <w:sz w:val="24"/>
          <w:szCs w:val="24"/>
        </w:rPr>
        <w:t xml:space="preserve"> www.nerc.com</w:t>
      </w:r>
      <w:r w:rsidRPr="00E0617B">
        <w:rPr>
          <w:sz w:val="24"/>
          <w:szCs w:val="24"/>
        </w:rPr>
        <w:t>.</w:t>
      </w:r>
    </w:p>
  </w:footnote>
  <w:footnote w:id="16">
    <w:p w14:paraId="47AB31F2" w14:textId="6B108885" w:rsidR="00937B08" w:rsidRDefault="00937B08" w:rsidP="00FC0499">
      <w:pPr>
        <w:spacing w:after="0" w:line="240" w:lineRule="auto"/>
      </w:pPr>
      <w:r w:rsidRPr="00FC0499">
        <w:rPr>
          <w:rStyle w:val="FootnoteReference"/>
          <w:rFonts w:ascii="Times New Roman" w:hAnsi="Times New Roman" w:cs="Times New Roman"/>
          <w:sz w:val="24"/>
          <w:szCs w:val="24"/>
          <w:vertAlign w:val="superscript"/>
        </w:rPr>
        <w:footnoteRef/>
      </w:r>
      <w:r w:rsidRPr="00FC0499">
        <w:rPr>
          <w:rFonts w:ascii="Times New Roman" w:eastAsia="Times New Roman" w:hAnsi="Times New Roman" w:cs="Times New Roman"/>
          <w:sz w:val="24"/>
          <w:szCs w:val="24"/>
        </w:rPr>
        <w:t xml:space="preserve">The Commission based its estimates on the number of respondents on the NERC compliance registry as of May 28, 2014.  According to the registry, there are 357 transmission owners (TOs) and 197 transmission operators (TOPs).  The NERC compliance registry also shows that there are only 19 transmission operators that are not also registered as a transmission owner.  </w:t>
      </w:r>
    </w:p>
  </w:footnote>
  <w:footnote w:id="17">
    <w:p w14:paraId="1B0476B0" w14:textId="7B21447E" w:rsidR="00107272" w:rsidRPr="00FC0499" w:rsidRDefault="00107272">
      <w:pPr>
        <w:pStyle w:val="FootnoteText"/>
        <w:rPr>
          <w:sz w:val="24"/>
          <w:szCs w:val="24"/>
        </w:rPr>
      </w:pPr>
      <w:r w:rsidRPr="00FC0499">
        <w:rPr>
          <w:rStyle w:val="FootnoteReference"/>
          <w:sz w:val="24"/>
          <w:szCs w:val="24"/>
          <w:vertAlign w:val="superscript"/>
        </w:rPr>
        <w:footnoteRef/>
      </w:r>
      <w:r w:rsidRPr="00FC0499">
        <w:rPr>
          <w:sz w:val="24"/>
          <w:szCs w:val="24"/>
        </w:rPr>
        <w:t xml:space="preserve"> </w:t>
      </w:r>
      <w:r>
        <w:rPr>
          <w:sz w:val="24"/>
          <w:szCs w:val="24"/>
        </w:rPr>
        <w:t xml:space="preserve">The estimate of 30 is based on </w:t>
      </w:r>
      <w:r w:rsidRPr="00FC0499">
        <w:rPr>
          <w:sz w:val="24"/>
          <w:szCs w:val="24"/>
        </w:rPr>
        <w:t xml:space="preserve">NERC’s Petition Exhibit F </w:t>
      </w:r>
      <w:r>
        <w:rPr>
          <w:sz w:val="24"/>
          <w:szCs w:val="24"/>
        </w:rPr>
        <w:t xml:space="preserve">which </w:t>
      </w:r>
      <w:r w:rsidRPr="00FC0499">
        <w:rPr>
          <w:sz w:val="24"/>
          <w:szCs w:val="24"/>
        </w:rPr>
        <w:t>states in part:</w:t>
      </w:r>
    </w:p>
    <w:p w14:paraId="4267CD23" w14:textId="77777777" w:rsidR="00107272" w:rsidRPr="00FC0499" w:rsidRDefault="00107272" w:rsidP="00FC0499">
      <w:pPr>
        <w:pStyle w:val="FootnoteText"/>
        <w:ind w:left="720"/>
        <w:rPr>
          <w:sz w:val="24"/>
          <w:szCs w:val="24"/>
        </w:rPr>
      </w:pPr>
      <w:r w:rsidRPr="00FC0499">
        <w:rPr>
          <w:sz w:val="24"/>
          <w:szCs w:val="24"/>
        </w:rPr>
        <w:t>“The Standard Drafting Team (SDT) estimates that relatively few Transmission Owners</w:t>
      </w:r>
    </w:p>
    <w:p w14:paraId="2335874A" w14:textId="77777777" w:rsidR="00107272" w:rsidRPr="00FC0499" w:rsidRDefault="00107272" w:rsidP="00FC0499">
      <w:pPr>
        <w:pStyle w:val="FootnoteText"/>
        <w:ind w:left="720"/>
        <w:rPr>
          <w:sz w:val="24"/>
          <w:szCs w:val="24"/>
        </w:rPr>
      </w:pPr>
      <w:r w:rsidRPr="00FC0499">
        <w:rPr>
          <w:sz w:val="24"/>
          <w:szCs w:val="24"/>
        </w:rPr>
        <w:t>(perhaps 30 or less) will have Transmission stations or Transmission substations that if</w:t>
      </w:r>
    </w:p>
    <w:p w14:paraId="5793F7F9" w14:textId="77777777" w:rsidR="00107272" w:rsidRPr="00FC0499" w:rsidRDefault="00107272" w:rsidP="00FC0499">
      <w:pPr>
        <w:pStyle w:val="FootnoteText"/>
        <w:ind w:left="720"/>
        <w:rPr>
          <w:sz w:val="24"/>
          <w:szCs w:val="24"/>
        </w:rPr>
      </w:pPr>
      <w:r w:rsidRPr="00FC0499">
        <w:rPr>
          <w:sz w:val="24"/>
          <w:szCs w:val="24"/>
        </w:rPr>
        <w:t>rendered inoperable or damaged could result in widespread instability or uncontrolled</w:t>
      </w:r>
    </w:p>
    <w:p w14:paraId="2F2FD84E" w14:textId="629D0058" w:rsidR="00107272" w:rsidRDefault="00107272" w:rsidP="00FC0499">
      <w:pPr>
        <w:pStyle w:val="FootnoteText"/>
        <w:ind w:left="720"/>
      </w:pPr>
      <w:proofErr w:type="gramStart"/>
      <w:r w:rsidRPr="00FC0499">
        <w:rPr>
          <w:sz w:val="24"/>
          <w:szCs w:val="24"/>
        </w:rPr>
        <w:t>separation</w:t>
      </w:r>
      <w:proofErr w:type="gramEnd"/>
      <w:r w:rsidRPr="00FC0499">
        <w:rPr>
          <w:sz w:val="24"/>
          <w:szCs w:val="24"/>
        </w:rPr>
        <w:t>.”</w:t>
      </w:r>
    </w:p>
  </w:footnote>
  <w:footnote w:id="18">
    <w:p w14:paraId="508D9E6B" w14:textId="47907112" w:rsidR="00024350" w:rsidRPr="00FC0499" w:rsidRDefault="00024350">
      <w:pPr>
        <w:pStyle w:val="FootnoteText"/>
        <w:rPr>
          <w:sz w:val="24"/>
          <w:szCs w:val="24"/>
        </w:rPr>
      </w:pPr>
      <w:r w:rsidRPr="00FC0499">
        <w:rPr>
          <w:rStyle w:val="FootnoteReference"/>
          <w:sz w:val="24"/>
          <w:szCs w:val="24"/>
          <w:vertAlign w:val="superscript"/>
        </w:rPr>
        <w:footnoteRef/>
      </w:r>
      <w:r w:rsidRPr="00FC0499">
        <w:rPr>
          <w:sz w:val="24"/>
          <w:szCs w:val="24"/>
          <w:vertAlign w:val="superscript"/>
        </w:rPr>
        <w:t xml:space="preserve"> </w:t>
      </w:r>
      <w:r w:rsidR="001E04E3" w:rsidRPr="00FC0499">
        <w:rPr>
          <w:sz w:val="24"/>
          <w:szCs w:val="24"/>
        </w:rPr>
        <w:t>R4, 5, and 6 affect “[e]</w:t>
      </w:r>
      <w:r w:rsidRPr="00FC0499">
        <w:rPr>
          <w:sz w:val="24"/>
          <w:szCs w:val="24"/>
        </w:rPr>
        <w:t>ach Transmission Owner that identified a Transmission station, Transmission substation, or primary control center in Requirement R1 and verified according to Requirement R2, and each Transmission Operator notified by a Transmission Owner according to Requirement R3</w:t>
      </w:r>
      <w:r w:rsidR="001E04E3">
        <w:rPr>
          <w:sz w:val="24"/>
          <w:szCs w:val="24"/>
        </w:rPr>
        <w:t>.</w:t>
      </w:r>
      <w:r w:rsidR="001E04E3" w:rsidRPr="00FC0499">
        <w:rPr>
          <w:sz w:val="24"/>
          <w:szCs w:val="24"/>
        </w:rPr>
        <w:t>”</w:t>
      </w:r>
    </w:p>
  </w:footnote>
  <w:footnote w:id="19">
    <w:p w14:paraId="7D192DAC" w14:textId="77777777" w:rsidR="000C1D6E" w:rsidRPr="0021015B" w:rsidRDefault="000C1D6E" w:rsidP="00427680">
      <w:pPr>
        <w:pStyle w:val="FootnoteText"/>
        <w:ind w:firstLine="360"/>
        <w:rPr>
          <w:sz w:val="24"/>
          <w:szCs w:val="24"/>
        </w:rPr>
      </w:pPr>
      <w:r w:rsidRPr="0021015B">
        <w:rPr>
          <w:rStyle w:val="FootnoteReference"/>
          <w:sz w:val="24"/>
          <w:szCs w:val="24"/>
          <w:vertAlign w:val="superscript"/>
        </w:rPr>
        <w:footnoteRef/>
      </w:r>
      <w:r w:rsidRPr="0021015B">
        <w:rPr>
          <w:sz w:val="24"/>
          <w:szCs w:val="24"/>
        </w:rPr>
        <w:t xml:space="preserve"> The estimates for cost per response are derived using the following formula: Average Burden Hours per Response * XX per Hour = Average Cost per Response.  </w:t>
      </w:r>
    </w:p>
    <w:p w14:paraId="49FA17BE" w14:textId="77777777" w:rsidR="000C1D6E" w:rsidRPr="0021015B" w:rsidRDefault="000C1D6E" w:rsidP="00427680">
      <w:pPr>
        <w:pStyle w:val="FootnoteText"/>
        <w:ind w:firstLine="360"/>
        <w:rPr>
          <w:sz w:val="24"/>
          <w:szCs w:val="24"/>
        </w:rPr>
      </w:pPr>
      <w:r w:rsidRPr="0021015B">
        <w:rPr>
          <w:sz w:val="24"/>
          <w:szCs w:val="24"/>
        </w:rPr>
        <w:t xml:space="preserve">The hourly cost figures are based on data for wages plus benefits from the Bureau of Labor Statistics (as of 9/4/2014) at http://www.bls.gov/oes/current/naics3_221 000.htm and </w:t>
      </w:r>
      <w:hyperlink r:id="rId6" w:history="1">
        <w:r w:rsidRPr="0021015B">
          <w:rPr>
            <w:rStyle w:val="Hyperlink"/>
            <w:sz w:val="24"/>
            <w:szCs w:val="24"/>
          </w:rPr>
          <w:t>http://www.bls.gov/news.release/ecec.nr0.htm</w:t>
        </w:r>
      </w:hyperlink>
      <w:r w:rsidRPr="0021015B">
        <w:rPr>
          <w:sz w:val="24"/>
          <w:szCs w:val="24"/>
        </w:rPr>
        <w:t>.  The figures are rounded for the purposes of calculations in this table and are:</w:t>
      </w:r>
    </w:p>
    <w:p w14:paraId="1A6DC265" w14:textId="77777777" w:rsidR="000C1D6E" w:rsidRPr="0021015B" w:rsidRDefault="000C1D6E" w:rsidP="0021015B">
      <w:pPr>
        <w:pStyle w:val="FootnoteText"/>
        <w:numPr>
          <w:ilvl w:val="0"/>
          <w:numId w:val="14"/>
        </w:numPr>
        <w:ind w:left="720"/>
        <w:rPr>
          <w:sz w:val="24"/>
          <w:szCs w:val="24"/>
          <w:u w:val="single"/>
        </w:rPr>
      </w:pPr>
      <w:proofErr w:type="gramStart"/>
      <w:r w:rsidRPr="0021015B">
        <w:rPr>
          <w:sz w:val="24"/>
          <w:szCs w:val="24"/>
        </w:rPr>
        <w:t>for</w:t>
      </w:r>
      <w:proofErr w:type="gramEnd"/>
      <w:r w:rsidRPr="0021015B">
        <w:rPr>
          <w:sz w:val="24"/>
          <w:szCs w:val="24"/>
        </w:rPr>
        <w:t xml:space="preserve"> electrical engineers, $60.87/hr., rounded to $61/hr.</w:t>
      </w:r>
    </w:p>
    <w:p w14:paraId="7FC76585" w14:textId="77777777" w:rsidR="000C1D6E" w:rsidRPr="0021015B" w:rsidRDefault="000C1D6E" w:rsidP="0021015B">
      <w:pPr>
        <w:pStyle w:val="FootnoteText"/>
        <w:numPr>
          <w:ilvl w:val="0"/>
          <w:numId w:val="14"/>
        </w:numPr>
        <w:ind w:left="720"/>
        <w:rPr>
          <w:sz w:val="24"/>
          <w:szCs w:val="24"/>
          <w:u w:val="single"/>
        </w:rPr>
      </w:pPr>
      <w:proofErr w:type="gramStart"/>
      <w:r w:rsidRPr="0021015B">
        <w:rPr>
          <w:sz w:val="24"/>
          <w:szCs w:val="24"/>
        </w:rPr>
        <w:t>for</w:t>
      </w:r>
      <w:proofErr w:type="gramEnd"/>
      <w:r w:rsidRPr="0021015B">
        <w:rPr>
          <w:sz w:val="24"/>
          <w:szCs w:val="24"/>
        </w:rPr>
        <w:t xml:space="preserve"> attorneys, $128/hr.</w:t>
      </w:r>
    </w:p>
    <w:p w14:paraId="31301C62" w14:textId="77777777" w:rsidR="000C1D6E" w:rsidRDefault="000C1D6E" w:rsidP="0021015B">
      <w:pPr>
        <w:pStyle w:val="FootnoteText"/>
        <w:numPr>
          <w:ilvl w:val="0"/>
          <w:numId w:val="14"/>
        </w:numPr>
        <w:ind w:left="720"/>
        <w:rPr>
          <w:sz w:val="24"/>
          <w:szCs w:val="24"/>
          <w:u w:val="single"/>
        </w:rPr>
      </w:pPr>
      <w:proofErr w:type="gramStart"/>
      <w:r w:rsidRPr="0021015B">
        <w:rPr>
          <w:sz w:val="24"/>
          <w:szCs w:val="24"/>
        </w:rPr>
        <w:t>for</w:t>
      </w:r>
      <w:proofErr w:type="gramEnd"/>
      <w:r w:rsidRPr="0021015B">
        <w:rPr>
          <w:sz w:val="24"/>
          <w:szCs w:val="24"/>
        </w:rPr>
        <w:t xml:space="preserve"> administrative staff, $31.86/hr., rounded to $32/hr.  </w:t>
      </w:r>
    </w:p>
    <w:p w14:paraId="69306876" w14:textId="4870A425" w:rsidR="000C1D6E" w:rsidRPr="003A4676" w:rsidRDefault="000C1D6E" w:rsidP="0021015B">
      <w:pPr>
        <w:pStyle w:val="FootnoteText"/>
        <w:ind w:firstLine="360"/>
        <w:rPr>
          <w:sz w:val="24"/>
          <w:szCs w:val="24"/>
        </w:rPr>
      </w:pPr>
      <w:r w:rsidRPr="003A4676">
        <w:rPr>
          <w:sz w:val="24"/>
          <w:szCs w:val="24"/>
        </w:rPr>
        <w:t>The record retention cost is based on the administrative staff category; R3 is based on the attorney category; Requirements R1, R4, R5 and R6 are based on the electric</w:t>
      </w:r>
      <w:r>
        <w:rPr>
          <w:sz w:val="24"/>
          <w:szCs w:val="24"/>
        </w:rPr>
        <w:t>al</w:t>
      </w:r>
      <w:r w:rsidRPr="003A4676">
        <w:rPr>
          <w:sz w:val="24"/>
          <w:szCs w:val="24"/>
        </w:rPr>
        <w:t xml:space="preserve"> engineer category; and R2 is a mix of the electric</w:t>
      </w:r>
      <w:r>
        <w:rPr>
          <w:sz w:val="24"/>
          <w:szCs w:val="24"/>
        </w:rPr>
        <w:t>al</w:t>
      </w:r>
      <w:r w:rsidRPr="003A4676">
        <w:rPr>
          <w:sz w:val="24"/>
          <w:szCs w:val="24"/>
        </w:rPr>
        <w:t xml:space="preserve"> engineer</w:t>
      </w:r>
      <w:r w:rsidR="000C4723">
        <w:rPr>
          <w:sz w:val="24"/>
          <w:szCs w:val="24"/>
        </w:rPr>
        <w:t xml:space="preserve"> and related engineering review process</w:t>
      </w:r>
      <w:r w:rsidRPr="003A4676">
        <w:rPr>
          <w:sz w:val="24"/>
          <w:szCs w:val="24"/>
        </w:rPr>
        <w:t xml:space="preserve"> (</w:t>
      </w:r>
      <w:r w:rsidR="000C4723">
        <w:rPr>
          <w:sz w:val="24"/>
          <w:szCs w:val="24"/>
        </w:rPr>
        <w:t>3</w:t>
      </w:r>
      <w:r w:rsidRPr="003A4676">
        <w:rPr>
          <w:sz w:val="24"/>
          <w:szCs w:val="24"/>
        </w:rPr>
        <w:t>0 hrs.</w:t>
      </w:r>
      <w:r w:rsidR="000C4723">
        <w:rPr>
          <w:sz w:val="24"/>
          <w:szCs w:val="24"/>
        </w:rPr>
        <w:t xml:space="preserve"> at $61/hr.</w:t>
      </w:r>
      <w:r w:rsidRPr="003A4676">
        <w:rPr>
          <w:sz w:val="24"/>
          <w:szCs w:val="24"/>
        </w:rPr>
        <w:t>) and attorney (4 hrs.</w:t>
      </w:r>
      <w:r w:rsidR="000C4723">
        <w:rPr>
          <w:sz w:val="24"/>
          <w:szCs w:val="24"/>
        </w:rPr>
        <w:t xml:space="preserve"> at $128/hr.</w:t>
      </w:r>
      <w:r w:rsidRPr="003A4676">
        <w:rPr>
          <w:sz w:val="24"/>
          <w:szCs w:val="24"/>
        </w:rPr>
        <w:t xml:space="preserve">) categories.  </w:t>
      </w:r>
    </w:p>
    <w:p w14:paraId="3AFB208D" w14:textId="77777777" w:rsidR="000C1D6E" w:rsidRPr="00CD4FBA" w:rsidRDefault="000C1D6E" w:rsidP="00427680">
      <w:pPr>
        <w:pStyle w:val="FootnoteText"/>
        <w:rPr>
          <w:u w:val="single"/>
        </w:rPr>
      </w:pPr>
    </w:p>
    <w:p w14:paraId="4F1C8E19" w14:textId="77777777" w:rsidR="000C1D6E" w:rsidRDefault="000C1D6E" w:rsidP="00427680">
      <w:pPr>
        <w:pStyle w:val="FootnoteText"/>
      </w:pPr>
      <w:r>
        <w:t xml:space="preserve">  </w:t>
      </w:r>
    </w:p>
  </w:footnote>
  <w:footnote w:id="20">
    <w:p w14:paraId="33A787AF" w14:textId="585BEB91" w:rsidR="000C1D6E" w:rsidRPr="00E0617B" w:rsidRDefault="000C1D6E" w:rsidP="003A4676">
      <w:pPr>
        <w:pStyle w:val="FootnoteText"/>
        <w:ind w:firstLine="360"/>
        <w:rPr>
          <w:sz w:val="24"/>
          <w:szCs w:val="24"/>
        </w:rPr>
      </w:pPr>
      <w:r w:rsidRPr="00E0617B">
        <w:rPr>
          <w:rStyle w:val="FootnoteReference"/>
          <w:sz w:val="24"/>
          <w:szCs w:val="24"/>
          <w:vertAlign w:val="superscript"/>
        </w:rPr>
        <w:footnoteRef/>
      </w:r>
      <w:r w:rsidRPr="00E0617B">
        <w:rPr>
          <w:sz w:val="24"/>
          <w:szCs w:val="24"/>
        </w:rPr>
        <w:t xml:space="preserve">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this </w:t>
      </w:r>
      <w:r>
        <w:rPr>
          <w:sz w:val="24"/>
          <w:szCs w:val="24"/>
        </w:rPr>
        <w:t>final rule</w:t>
      </w:r>
      <w:r w:rsidRPr="00E0617B">
        <w:rPr>
          <w:sz w:val="24"/>
          <w:szCs w:val="24"/>
        </w:rPr>
        <w:t>),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4FE1A" w14:textId="0737A35F" w:rsidR="000C1D6E" w:rsidRDefault="000C1D6E" w:rsidP="00AD3DE5">
    <w:pPr>
      <w:pStyle w:val="Header"/>
      <w:rPr>
        <w:rFonts w:ascii="Times New Roman" w:hAnsi="Times New Roman" w:cs="Times New Roman"/>
        <w:sz w:val="24"/>
        <w:szCs w:val="24"/>
      </w:rPr>
    </w:pPr>
    <w:r>
      <w:rPr>
        <w:rFonts w:ascii="Times New Roman" w:hAnsi="Times New Roman" w:cs="Times New Roman"/>
        <w:sz w:val="24"/>
        <w:szCs w:val="24"/>
      </w:rPr>
      <w:t>FERC-725U (OMB Control Number: 1902-0274)</w:t>
    </w:r>
  </w:p>
  <w:p w14:paraId="0BB00C37" w14:textId="6A3009C3" w:rsidR="000C1D6E" w:rsidRDefault="000C1D6E" w:rsidP="00AD3DE5">
    <w:pPr>
      <w:pStyle w:val="Header"/>
      <w:rPr>
        <w:rFonts w:ascii="Times New Roman" w:hAnsi="Times New Roman" w:cs="Times New Roman"/>
        <w:sz w:val="24"/>
        <w:szCs w:val="24"/>
      </w:rPr>
    </w:pPr>
    <w:r>
      <w:rPr>
        <w:rFonts w:ascii="Times New Roman" w:hAnsi="Times New Roman" w:cs="Times New Roman"/>
        <w:sz w:val="24"/>
        <w:szCs w:val="24"/>
      </w:rPr>
      <w:t xml:space="preserve">Docket No. </w:t>
    </w:r>
    <w:r w:rsidRPr="0012161C">
      <w:rPr>
        <w:rFonts w:ascii="Times New Roman" w:hAnsi="Times New Roman" w:cs="Times New Roman"/>
        <w:sz w:val="24"/>
        <w:szCs w:val="24"/>
      </w:rPr>
      <w:t>RM14-15 (</w:t>
    </w:r>
    <w:r w:rsidRPr="003A4676">
      <w:rPr>
        <w:rFonts w:ascii="Times New Roman" w:hAnsi="Times New Roman" w:cs="Times New Roman"/>
        <w:sz w:val="24"/>
        <w:szCs w:val="24"/>
      </w:rPr>
      <w:t>Final Rule, issued 11/20/2014</w:t>
    </w:r>
    <w:r w:rsidRPr="0012161C">
      <w:rPr>
        <w:rFonts w:ascii="Times New Roman" w:hAnsi="Times New Roman" w:cs="Times New Roman"/>
        <w:sz w:val="24"/>
        <w:szCs w:val="24"/>
      </w:rPr>
      <w:t>)</w:t>
    </w:r>
  </w:p>
  <w:p w14:paraId="2AC2CE94" w14:textId="0F931D89" w:rsidR="000C1D6E" w:rsidRDefault="000C1D6E" w:rsidP="00AD3DE5">
    <w:pPr>
      <w:pStyle w:val="Header"/>
      <w:rPr>
        <w:rFonts w:ascii="Times New Roman" w:hAnsi="Times New Roman" w:cs="Times New Roman"/>
        <w:sz w:val="24"/>
        <w:szCs w:val="24"/>
      </w:rPr>
    </w:pPr>
    <w:r>
      <w:rPr>
        <w:rFonts w:ascii="Times New Roman" w:hAnsi="Times New Roman" w:cs="Times New Roman"/>
        <w:sz w:val="24"/>
        <w:szCs w:val="24"/>
      </w:rPr>
      <w:t>RIN: 1902-AE87</w:t>
    </w:r>
  </w:p>
  <w:p w14:paraId="02F0FD98" w14:textId="1C88D56E" w:rsidR="000C1D6E" w:rsidRPr="00FD66F1" w:rsidRDefault="000C1D6E" w:rsidP="00AD3DE5">
    <w:pPr>
      <w:pStyle w:val="Head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1/2</w:t>
    </w:r>
    <w:r w:rsidR="00366EAC">
      <w:rPr>
        <w:rFonts w:ascii="Times New Roman" w:hAnsi="Times New Roman" w:cs="Times New Roman"/>
        <w:sz w:val="24"/>
        <w:szCs w:val="24"/>
      </w:rPr>
      <w:t>8</w:t>
    </w:r>
    <w:r>
      <w:rPr>
        <w:rFonts w:ascii="Times New Roman" w:hAnsi="Times New Roman" w:cs="Times New Roman"/>
        <w:sz w:val="24"/>
        <w:szCs w:val="24"/>
      </w:rPr>
      <w:t>/2015]</w:t>
    </w:r>
  </w:p>
  <w:p w14:paraId="3DED4BB2" w14:textId="77777777" w:rsidR="000C1D6E" w:rsidRDefault="000C1D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F86"/>
    <w:multiLevelType w:val="hybridMultilevel"/>
    <w:tmpl w:val="5972B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A33A6"/>
    <w:multiLevelType w:val="hybridMultilevel"/>
    <w:tmpl w:val="2A9CF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025DC"/>
    <w:multiLevelType w:val="hybridMultilevel"/>
    <w:tmpl w:val="BB02ED36"/>
    <w:lvl w:ilvl="0" w:tplc="60B809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F03FB"/>
    <w:multiLevelType w:val="hybridMultilevel"/>
    <w:tmpl w:val="5508A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413D5F"/>
    <w:multiLevelType w:val="hybridMultilevel"/>
    <w:tmpl w:val="3CB2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A35A0"/>
    <w:multiLevelType w:val="hybridMultilevel"/>
    <w:tmpl w:val="CE10D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33414D"/>
    <w:multiLevelType w:val="hybridMultilevel"/>
    <w:tmpl w:val="E918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EE1173"/>
    <w:multiLevelType w:val="hybridMultilevel"/>
    <w:tmpl w:val="38C2D4EC"/>
    <w:lvl w:ilvl="0" w:tplc="04090001">
      <w:start w:val="1"/>
      <w:numFmt w:val="bullet"/>
      <w:lvlText w:val=""/>
      <w:lvlJc w:val="left"/>
      <w:pPr>
        <w:tabs>
          <w:tab w:val="num" w:pos="720"/>
        </w:tabs>
        <w:ind w:left="0" w:firstLine="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8627CB"/>
    <w:multiLevelType w:val="hybridMultilevel"/>
    <w:tmpl w:val="8A14A3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7E4E4DD3"/>
    <w:multiLevelType w:val="hybridMultilevel"/>
    <w:tmpl w:val="8C90F850"/>
    <w:lvl w:ilvl="0" w:tplc="ABC05A9C">
      <w:start w:val="1"/>
      <w:numFmt w:val="decimal"/>
      <w:pStyle w:val="FERCparanumber"/>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10"/>
  </w:num>
  <w:num w:numId="4">
    <w:abstractNumId w:val="12"/>
  </w:num>
  <w:num w:numId="5">
    <w:abstractNumId w:val="4"/>
  </w:num>
  <w:num w:numId="6">
    <w:abstractNumId w:val="6"/>
  </w:num>
  <w:num w:numId="7">
    <w:abstractNumId w:val="0"/>
  </w:num>
  <w:num w:numId="8">
    <w:abstractNumId w:val="8"/>
  </w:num>
  <w:num w:numId="9">
    <w:abstractNumId w:val="2"/>
  </w:num>
  <w:num w:numId="10">
    <w:abstractNumId w:val="14"/>
  </w:num>
  <w:num w:numId="11">
    <w:abstractNumId w:val="15"/>
  </w:num>
  <w:num w:numId="12">
    <w:abstractNumId w:val="13"/>
  </w:num>
  <w:num w:numId="13">
    <w:abstractNumId w:val="11"/>
  </w:num>
  <w:num w:numId="14">
    <w:abstractNumId w:val="1"/>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77"/>
    <w:rsid w:val="000200EE"/>
    <w:rsid w:val="00020405"/>
    <w:rsid w:val="0002242D"/>
    <w:rsid w:val="00024350"/>
    <w:rsid w:val="000245BE"/>
    <w:rsid w:val="000354F3"/>
    <w:rsid w:val="00035845"/>
    <w:rsid w:val="00043B68"/>
    <w:rsid w:val="00073582"/>
    <w:rsid w:val="00074DC8"/>
    <w:rsid w:val="00077FB9"/>
    <w:rsid w:val="0008037A"/>
    <w:rsid w:val="000807AE"/>
    <w:rsid w:val="000A47AC"/>
    <w:rsid w:val="000B04BC"/>
    <w:rsid w:val="000B0AD2"/>
    <w:rsid w:val="000B0C37"/>
    <w:rsid w:val="000B2CEB"/>
    <w:rsid w:val="000C1159"/>
    <w:rsid w:val="000C1677"/>
    <w:rsid w:val="000C1D6E"/>
    <w:rsid w:val="000C4723"/>
    <w:rsid w:val="000C659D"/>
    <w:rsid w:val="000D4531"/>
    <w:rsid w:val="00101C4A"/>
    <w:rsid w:val="00103EE3"/>
    <w:rsid w:val="00107272"/>
    <w:rsid w:val="00114C90"/>
    <w:rsid w:val="0012161C"/>
    <w:rsid w:val="00143103"/>
    <w:rsid w:val="00145CB0"/>
    <w:rsid w:val="0015700F"/>
    <w:rsid w:val="00163BB2"/>
    <w:rsid w:val="001768AD"/>
    <w:rsid w:val="00181727"/>
    <w:rsid w:val="00185730"/>
    <w:rsid w:val="001871C3"/>
    <w:rsid w:val="001917F2"/>
    <w:rsid w:val="001C0465"/>
    <w:rsid w:val="001D132E"/>
    <w:rsid w:val="001E04E3"/>
    <w:rsid w:val="001E515D"/>
    <w:rsid w:val="001F50A0"/>
    <w:rsid w:val="001F799E"/>
    <w:rsid w:val="0021015B"/>
    <w:rsid w:val="00217075"/>
    <w:rsid w:val="002179EA"/>
    <w:rsid w:val="00223BC6"/>
    <w:rsid w:val="002405F7"/>
    <w:rsid w:val="002417A5"/>
    <w:rsid w:val="00247E6C"/>
    <w:rsid w:val="0025154D"/>
    <w:rsid w:val="0026674D"/>
    <w:rsid w:val="00270892"/>
    <w:rsid w:val="00283149"/>
    <w:rsid w:val="002B13E2"/>
    <w:rsid w:val="002B23C4"/>
    <w:rsid w:val="002F60C6"/>
    <w:rsid w:val="003042D7"/>
    <w:rsid w:val="003209B0"/>
    <w:rsid w:val="00331DF9"/>
    <w:rsid w:val="003362B4"/>
    <w:rsid w:val="0035351E"/>
    <w:rsid w:val="00365D5C"/>
    <w:rsid w:val="00366EAC"/>
    <w:rsid w:val="00377CE4"/>
    <w:rsid w:val="00381904"/>
    <w:rsid w:val="003A4676"/>
    <w:rsid w:val="003A6FA6"/>
    <w:rsid w:val="003C3CF9"/>
    <w:rsid w:val="003D36D3"/>
    <w:rsid w:val="003E5445"/>
    <w:rsid w:val="003E6017"/>
    <w:rsid w:val="00414F32"/>
    <w:rsid w:val="00415D11"/>
    <w:rsid w:val="00416F2B"/>
    <w:rsid w:val="0042101B"/>
    <w:rsid w:val="00422E0E"/>
    <w:rsid w:val="0042740D"/>
    <w:rsid w:val="00427680"/>
    <w:rsid w:val="00441FA9"/>
    <w:rsid w:val="00494FBE"/>
    <w:rsid w:val="004A317D"/>
    <w:rsid w:val="004B3B8A"/>
    <w:rsid w:val="004C4C89"/>
    <w:rsid w:val="004D1D65"/>
    <w:rsid w:val="004F6977"/>
    <w:rsid w:val="004F79F2"/>
    <w:rsid w:val="004F7DBA"/>
    <w:rsid w:val="00502862"/>
    <w:rsid w:val="00522F69"/>
    <w:rsid w:val="005260FA"/>
    <w:rsid w:val="0053287C"/>
    <w:rsid w:val="00534425"/>
    <w:rsid w:val="0054450D"/>
    <w:rsid w:val="00546804"/>
    <w:rsid w:val="00555987"/>
    <w:rsid w:val="0056058A"/>
    <w:rsid w:val="00563D3C"/>
    <w:rsid w:val="00571996"/>
    <w:rsid w:val="00571C5E"/>
    <w:rsid w:val="00575BDE"/>
    <w:rsid w:val="0057700F"/>
    <w:rsid w:val="00596611"/>
    <w:rsid w:val="0059752A"/>
    <w:rsid w:val="00597BDC"/>
    <w:rsid w:val="005A0381"/>
    <w:rsid w:val="005A2792"/>
    <w:rsid w:val="005B2027"/>
    <w:rsid w:val="005B77CE"/>
    <w:rsid w:val="005B7E67"/>
    <w:rsid w:val="005C0E5B"/>
    <w:rsid w:val="005D1610"/>
    <w:rsid w:val="005D3353"/>
    <w:rsid w:val="005D6683"/>
    <w:rsid w:val="005E0707"/>
    <w:rsid w:val="005E389D"/>
    <w:rsid w:val="005F0CED"/>
    <w:rsid w:val="005F1C3C"/>
    <w:rsid w:val="00602D45"/>
    <w:rsid w:val="00603370"/>
    <w:rsid w:val="006162B0"/>
    <w:rsid w:val="006166FA"/>
    <w:rsid w:val="00621CDD"/>
    <w:rsid w:val="00646E13"/>
    <w:rsid w:val="00663D75"/>
    <w:rsid w:val="006642C6"/>
    <w:rsid w:val="00664BC0"/>
    <w:rsid w:val="00665D6B"/>
    <w:rsid w:val="00671D3A"/>
    <w:rsid w:val="006843AD"/>
    <w:rsid w:val="00690136"/>
    <w:rsid w:val="00693DD2"/>
    <w:rsid w:val="006A07D8"/>
    <w:rsid w:val="006B51F9"/>
    <w:rsid w:val="006C28FD"/>
    <w:rsid w:val="006C7D20"/>
    <w:rsid w:val="006D2422"/>
    <w:rsid w:val="006F07CE"/>
    <w:rsid w:val="007020D3"/>
    <w:rsid w:val="00707979"/>
    <w:rsid w:val="007118DC"/>
    <w:rsid w:val="00716E09"/>
    <w:rsid w:val="00735995"/>
    <w:rsid w:val="00742C34"/>
    <w:rsid w:val="0075494B"/>
    <w:rsid w:val="00773AEB"/>
    <w:rsid w:val="00781050"/>
    <w:rsid w:val="00787670"/>
    <w:rsid w:val="00794141"/>
    <w:rsid w:val="00794B5E"/>
    <w:rsid w:val="00797A4E"/>
    <w:rsid w:val="007A03A8"/>
    <w:rsid w:val="007A2F92"/>
    <w:rsid w:val="007C7CE3"/>
    <w:rsid w:val="007E7C0F"/>
    <w:rsid w:val="007F38EE"/>
    <w:rsid w:val="00805832"/>
    <w:rsid w:val="0082470A"/>
    <w:rsid w:val="0084036A"/>
    <w:rsid w:val="00844E53"/>
    <w:rsid w:val="008619E1"/>
    <w:rsid w:val="0086279B"/>
    <w:rsid w:val="008706A8"/>
    <w:rsid w:val="00876F75"/>
    <w:rsid w:val="0088140D"/>
    <w:rsid w:val="00892DF6"/>
    <w:rsid w:val="008A21A4"/>
    <w:rsid w:val="008A6C78"/>
    <w:rsid w:val="008B09FA"/>
    <w:rsid w:val="008B4C52"/>
    <w:rsid w:val="008B703B"/>
    <w:rsid w:val="008C1909"/>
    <w:rsid w:val="008C288D"/>
    <w:rsid w:val="008C6B03"/>
    <w:rsid w:val="008E4320"/>
    <w:rsid w:val="008E70CD"/>
    <w:rsid w:val="008F5E0A"/>
    <w:rsid w:val="00913A8B"/>
    <w:rsid w:val="00937B08"/>
    <w:rsid w:val="00941D3C"/>
    <w:rsid w:val="0094353F"/>
    <w:rsid w:val="009647F6"/>
    <w:rsid w:val="009654BC"/>
    <w:rsid w:val="00970133"/>
    <w:rsid w:val="00970FE4"/>
    <w:rsid w:val="00984FD6"/>
    <w:rsid w:val="0098635C"/>
    <w:rsid w:val="00991550"/>
    <w:rsid w:val="00995C7A"/>
    <w:rsid w:val="00996923"/>
    <w:rsid w:val="009A067A"/>
    <w:rsid w:val="009E1190"/>
    <w:rsid w:val="009F1B92"/>
    <w:rsid w:val="00A11E50"/>
    <w:rsid w:val="00A276F5"/>
    <w:rsid w:val="00A56B45"/>
    <w:rsid w:val="00A706ED"/>
    <w:rsid w:val="00A72E7B"/>
    <w:rsid w:val="00A75A00"/>
    <w:rsid w:val="00A7767D"/>
    <w:rsid w:val="00A86F4F"/>
    <w:rsid w:val="00A96B65"/>
    <w:rsid w:val="00AA377F"/>
    <w:rsid w:val="00AA7F6A"/>
    <w:rsid w:val="00AB724D"/>
    <w:rsid w:val="00AC7D3F"/>
    <w:rsid w:val="00AD3DE5"/>
    <w:rsid w:val="00AD457A"/>
    <w:rsid w:val="00AF5533"/>
    <w:rsid w:val="00B10150"/>
    <w:rsid w:val="00B10B3C"/>
    <w:rsid w:val="00B15E8E"/>
    <w:rsid w:val="00B22FFD"/>
    <w:rsid w:val="00B257A2"/>
    <w:rsid w:val="00B43F66"/>
    <w:rsid w:val="00B46988"/>
    <w:rsid w:val="00B5795C"/>
    <w:rsid w:val="00B62963"/>
    <w:rsid w:val="00B756D5"/>
    <w:rsid w:val="00B80E2E"/>
    <w:rsid w:val="00BA1C7D"/>
    <w:rsid w:val="00BA7C56"/>
    <w:rsid w:val="00BB0EE4"/>
    <w:rsid w:val="00BC14F1"/>
    <w:rsid w:val="00BC23BF"/>
    <w:rsid w:val="00BD0B45"/>
    <w:rsid w:val="00BE56DC"/>
    <w:rsid w:val="00BF1876"/>
    <w:rsid w:val="00BF7946"/>
    <w:rsid w:val="00BF7B71"/>
    <w:rsid w:val="00C01698"/>
    <w:rsid w:val="00C20CB4"/>
    <w:rsid w:val="00C3741E"/>
    <w:rsid w:val="00C40E19"/>
    <w:rsid w:val="00C436F9"/>
    <w:rsid w:val="00C510DD"/>
    <w:rsid w:val="00C55425"/>
    <w:rsid w:val="00C559EB"/>
    <w:rsid w:val="00C9210E"/>
    <w:rsid w:val="00C935FD"/>
    <w:rsid w:val="00C97814"/>
    <w:rsid w:val="00CA1452"/>
    <w:rsid w:val="00CA495F"/>
    <w:rsid w:val="00CA59C3"/>
    <w:rsid w:val="00CB10CA"/>
    <w:rsid w:val="00D2212D"/>
    <w:rsid w:val="00D27961"/>
    <w:rsid w:val="00D42B0D"/>
    <w:rsid w:val="00D75E64"/>
    <w:rsid w:val="00D80FBD"/>
    <w:rsid w:val="00D900BD"/>
    <w:rsid w:val="00D92438"/>
    <w:rsid w:val="00DB4F5B"/>
    <w:rsid w:val="00DC107E"/>
    <w:rsid w:val="00DC378D"/>
    <w:rsid w:val="00DC4E36"/>
    <w:rsid w:val="00DC515F"/>
    <w:rsid w:val="00DE46C3"/>
    <w:rsid w:val="00E035AD"/>
    <w:rsid w:val="00E0617B"/>
    <w:rsid w:val="00E11CA6"/>
    <w:rsid w:val="00E14565"/>
    <w:rsid w:val="00E16947"/>
    <w:rsid w:val="00E20612"/>
    <w:rsid w:val="00E23A9E"/>
    <w:rsid w:val="00E37F20"/>
    <w:rsid w:val="00E636D7"/>
    <w:rsid w:val="00E67F4B"/>
    <w:rsid w:val="00E81D6D"/>
    <w:rsid w:val="00E84BE1"/>
    <w:rsid w:val="00E87A4F"/>
    <w:rsid w:val="00EB3E6F"/>
    <w:rsid w:val="00EC5824"/>
    <w:rsid w:val="00ED5560"/>
    <w:rsid w:val="00EE282F"/>
    <w:rsid w:val="00EE52BD"/>
    <w:rsid w:val="00EF1EC2"/>
    <w:rsid w:val="00EF5299"/>
    <w:rsid w:val="00F12DC2"/>
    <w:rsid w:val="00F134B4"/>
    <w:rsid w:val="00F152DF"/>
    <w:rsid w:val="00F35E1B"/>
    <w:rsid w:val="00F37770"/>
    <w:rsid w:val="00F41D08"/>
    <w:rsid w:val="00F65D53"/>
    <w:rsid w:val="00F729C6"/>
    <w:rsid w:val="00F82B32"/>
    <w:rsid w:val="00F877E0"/>
    <w:rsid w:val="00F94F29"/>
    <w:rsid w:val="00FA0181"/>
    <w:rsid w:val="00FA3007"/>
    <w:rsid w:val="00FC0499"/>
    <w:rsid w:val="00FD1136"/>
    <w:rsid w:val="00FD2210"/>
    <w:rsid w:val="00FD24CB"/>
    <w:rsid w:val="00FD66F1"/>
    <w:rsid w:val="00FE1E25"/>
    <w:rsid w:val="00FE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D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0354F3"/>
    <w:rPr>
      <w:color w:val="0000FF"/>
      <w:u w:val="single"/>
    </w:rPr>
  </w:style>
  <w:style w:type="paragraph" w:customStyle="1" w:styleId="Default">
    <w:name w:val="Default"/>
    <w:rsid w:val="009A067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362B4"/>
    <w:pPr>
      <w:spacing w:after="0" w:line="240" w:lineRule="auto"/>
    </w:pPr>
  </w:style>
  <w:style w:type="paragraph" w:customStyle="1" w:styleId="FERCparanumber">
    <w:name w:val="FERC paranumber"/>
    <w:basedOn w:val="Normal"/>
    <w:link w:val="FERCparanumberChar1"/>
    <w:qFormat/>
    <w:rsid w:val="00CB10CA"/>
    <w:pPr>
      <w:numPr>
        <w:numId w:val="11"/>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CB10CA"/>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0354F3"/>
    <w:rPr>
      <w:color w:val="0000FF"/>
      <w:u w:val="single"/>
    </w:rPr>
  </w:style>
  <w:style w:type="paragraph" w:customStyle="1" w:styleId="Default">
    <w:name w:val="Default"/>
    <w:rsid w:val="009A067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362B4"/>
    <w:pPr>
      <w:spacing w:after="0" w:line="240" w:lineRule="auto"/>
    </w:pPr>
  </w:style>
  <w:style w:type="paragraph" w:customStyle="1" w:styleId="FERCparanumber">
    <w:name w:val="FERC paranumber"/>
    <w:basedOn w:val="Normal"/>
    <w:link w:val="FERCparanumberChar1"/>
    <w:qFormat/>
    <w:rsid w:val="00CB10CA"/>
    <w:pPr>
      <w:numPr>
        <w:numId w:val="11"/>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CB10CA"/>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27065">
      <w:bodyDiv w:val="1"/>
      <w:marLeft w:val="0"/>
      <w:marRight w:val="0"/>
      <w:marTop w:val="0"/>
      <w:marBottom w:val="0"/>
      <w:divBdr>
        <w:top w:val="none" w:sz="0" w:space="0" w:color="auto"/>
        <w:left w:val="none" w:sz="0" w:space="0" w:color="auto"/>
        <w:bottom w:val="none" w:sz="0" w:space="0" w:color="auto"/>
        <w:right w:val="none" w:sz="0" w:space="0" w:color="auto"/>
      </w:divBdr>
    </w:div>
    <w:div w:id="616058915">
      <w:bodyDiv w:val="1"/>
      <w:marLeft w:val="0"/>
      <w:marRight w:val="0"/>
      <w:marTop w:val="0"/>
      <w:marBottom w:val="0"/>
      <w:divBdr>
        <w:top w:val="none" w:sz="0" w:space="0" w:color="auto"/>
        <w:left w:val="none" w:sz="0" w:space="0" w:color="auto"/>
        <w:bottom w:val="none" w:sz="0" w:space="0" w:color="auto"/>
        <w:right w:val="none" w:sz="0" w:space="0" w:color="auto"/>
      </w:divBdr>
    </w:div>
    <w:div w:id="659700574">
      <w:bodyDiv w:val="1"/>
      <w:marLeft w:val="0"/>
      <w:marRight w:val="0"/>
      <w:marTop w:val="0"/>
      <w:marBottom w:val="0"/>
      <w:divBdr>
        <w:top w:val="none" w:sz="0" w:space="0" w:color="auto"/>
        <w:left w:val="none" w:sz="0" w:space="0" w:color="auto"/>
        <w:bottom w:val="none" w:sz="0" w:space="0" w:color="auto"/>
        <w:right w:val="none" w:sz="0" w:space="0" w:color="auto"/>
      </w:divBdr>
    </w:div>
    <w:div w:id="15564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NERC_ROP_Effective_20140701_updated_20140602.pdf" TargetMode="External"/><Relationship Id="rId2" Type="http://schemas.openxmlformats.org/officeDocument/2006/relationships/hyperlink" Target="http://elibrary.ferc.gov/idmws/common/OpenNat.asp?fileID=13553524" TargetMode="External"/><Relationship Id="rId1" Type="http://schemas.openxmlformats.org/officeDocument/2006/relationships/hyperlink" Target="http://elibrary.ferc.gov/idmws/common/opennat.asp?fileID=13479403" TargetMode="External"/><Relationship Id="rId6" Type="http://schemas.openxmlformats.org/officeDocument/2006/relationships/hyperlink" Target="http://www.bls.gov/news.release/ecec.nr0.htm" TargetMode="External"/><Relationship Id="rId5" Type="http://schemas.openxmlformats.org/officeDocument/2006/relationships/hyperlink" Target="http://elibrary.ferc.gov/idmws/docket_search.asp" TargetMode="External"/><Relationship Id="rId4" Type="http://schemas.openxmlformats.org/officeDocument/2006/relationships/hyperlink" Target="http://www.nerc.com/pa/Stand/Resources/Documents/Appendix3A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725U</_x0031__x002e__x0020_Collection_x0020_Number>
    <Date xmlns="d6eefc7d-9817-4fa6-84d5-3bc009be21b8">2015-01-28T00:00:00-05:00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RM14-15</_x0031__x002e__x0020_Docket_x0020_Number>
    <_x0033__x002e__x0020_Collection_x0020_Number xmlns="d6eefc7d-9817-4fa6-84d5-3bc009be21b8" xsi:nil="true"/>
  </documentManagement>
</p:properties>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1F76-6534-44CB-A326-63CF59B54204}">
  <ds:schemaRefs>
    <ds:schemaRef ds:uri="http://schemas.microsoft.com/sharepoint/v3/contenttype/forms"/>
  </ds:schemaRefs>
</ds:datastoreItem>
</file>

<file path=customXml/itemProps2.xml><?xml version="1.0" encoding="utf-8"?>
<ds:datastoreItem xmlns:ds="http://schemas.openxmlformats.org/officeDocument/2006/customXml" ds:itemID="{042598ED-3B83-425A-B058-044D4A688D45}">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5A85B33D-DE36-4D45-BA27-9C2753EED2BD}">
  <ds:schemaRefs>
    <ds:schemaRef ds:uri="http://schemas.microsoft.com/office/2006/metadata/customXsn"/>
  </ds:schemaRefs>
</ds:datastoreItem>
</file>

<file path=customXml/itemProps4.xml><?xml version="1.0" encoding="utf-8"?>
<ds:datastoreItem xmlns:ds="http://schemas.openxmlformats.org/officeDocument/2006/customXml" ds:itemID="{42984E21-C180-4EA4-B135-116889D12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11B7D6-15FE-46B8-BA7B-69433EFF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2015-01-28T16:36:00Z</dcterms:created>
  <dcterms:modified xsi:type="dcterms:W3CDTF">2015-01-28T16:36:00Z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