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CBE79" w14:textId="77777777" w:rsidR="00454102" w:rsidRDefault="00454102" w:rsidP="006C1E26">
      <w:pPr>
        <w:spacing w:after="360"/>
        <w:jc w:val="center"/>
        <w:rPr>
          <w:b/>
          <w:sz w:val="32"/>
        </w:rPr>
      </w:pPr>
      <w:bookmarkStart w:id="0" w:name="_GoBack"/>
      <w:bookmarkEnd w:id="0"/>
    </w:p>
    <w:p w14:paraId="4C496901" w14:textId="12B6B7A6" w:rsidR="00E30345" w:rsidRPr="00EA24B0" w:rsidRDefault="000C1691" w:rsidP="006C1E26">
      <w:pPr>
        <w:spacing w:after="360"/>
        <w:jc w:val="center"/>
        <w:rPr>
          <w:b/>
          <w:sz w:val="32"/>
        </w:rPr>
      </w:pPr>
      <w:r w:rsidRPr="00EA24B0">
        <w:rPr>
          <w:b/>
          <w:sz w:val="32"/>
        </w:rPr>
        <w:t xml:space="preserve">SUPPORTING STATEMENT FOR </w:t>
      </w:r>
      <w:r w:rsidRPr="00EA24B0">
        <w:rPr>
          <w:b/>
          <w:sz w:val="32"/>
        </w:rPr>
        <w:br/>
        <w:t>PAPERWORK REDUCTION ACT SUBMISSION</w:t>
      </w:r>
      <w:r w:rsidR="00D11A71" w:rsidRPr="00EA24B0">
        <w:rPr>
          <w:b/>
          <w:sz w:val="32"/>
        </w:rPr>
        <w:br/>
      </w:r>
      <w:r w:rsidR="00D11A71" w:rsidRPr="00EA24B0">
        <w:rPr>
          <w:b/>
          <w:sz w:val="32"/>
        </w:rPr>
        <w:br/>
      </w:r>
      <w:r w:rsidR="006C1E26" w:rsidRPr="00EA24B0">
        <w:rPr>
          <w:b/>
          <w:sz w:val="32"/>
        </w:rPr>
        <w:t>Passport Demand Forecasting Study</w:t>
      </w:r>
      <w:r w:rsidR="00D11A71" w:rsidRPr="00EA24B0">
        <w:rPr>
          <w:b/>
          <w:sz w:val="32"/>
        </w:rPr>
        <w:br/>
        <w:t>OMB Number 1405-</w:t>
      </w:r>
      <w:r w:rsidRPr="00EA24B0">
        <w:rPr>
          <w:b/>
          <w:sz w:val="32"/>
        </w:rPr>
        <w:t xml:space="preserve"> </w:t>
      </w:r>
      <w:r w:rsidR="006C1E26" w:rsidRPr="00EA24B0">
        <w:rPr>
          <w:b/>
          <w:sz w:val="32"/>
        </w:rPr>
        <w:t>0177;</w:t>
      </w:r>
      <w:r w:rsidR="00D11A71" w:rsidRPr="00EA24B0">
        <w:rPr>
          <w:b/>
          <w:sz w:val="32"/>
        </w:rPr>
        <w:t xml:space="preserve"> SV-#</w:t>
      </w:r>
      <w:r w:rsidR="006C1E26" w:rsidRPr="00EA24B0">
        <w:rPr>
          <w:b/>
          <w:sz w:val="32"/>
        </w:rPr>
        <w:t>2012-0006</w:t>
      </w:r>
    </w:p>
    <w:p w14:paraId="36BC89BF" w14:textId="517355EB" w:rsidR="006C1E26" w:rsidRPr="00EA24B0" w:rsidRDefault="000C1691" w:rsidP="006C1E26">
      <w:pPr>
        <w:pStyle w:val="Heading1"/>
      </w:pPr>
      <w:r w:rsidRPr="00EA24B0">
        <w:t>A.</w:t>
      </w:r>
      <w:r w:rsidRPr="00EA24B0">
        <w:tab/>
        <w:t>JUSTIFICATION</w:t>
      </w:r>
      <w:r w:rsidR="006C1E26" w:rsidRPr="00EA24B0">
        <w:t xml:space="preserve"> </w:t>
      </w:r>
    </w:p>
    <w:p w14:paraId="79FD2BCA" w14:textId="3D85AF23" w:rsidR="006C1E26" w:rsidRPr="00EA24B0" w:rsidRDefault="006C1E26" w:rsidP="004B46CD">
      <w:pPr>
        <w:pStyle w:val="NoSpacing"/>
        <w:numPr>
          <w:ilvl w:val="0"/>
          <w:numId w:val="3"/>
        </w:numPr>
        <w:rPr>
          <w:rFonts w:eastAsia="Times New Roman"/>
          <w:bCs/>
        </w:rPr>
      </w:pPr>
      <w:r w:rsidRPr="00EA24B0">
        <w:t xml:space="preserve">The United States border management community is tasked with the protection of the United States and its territories from foreign threats, the enforcement of immigration and customs laws, and the promotion of economic prosperity for the United States and our allies.  The Department of State plays a vital role in this community through several offices, including its Bureau of Consular Affairs’ Passport Services Directorate.  Passport Services is primarily responsible for issuing U.S. Passports to U.S. </w:t>
      </w:r>
      <w:r w:rsidR="004F046E" w:rsidRPr="00EA24B0">
        <w:t>c</w:t>
      </w:r>
      <w:r w:rsidRPr="00EA24B0">
        <w:t xml:space="preserve">itizens and </w:t>
      </w:r>
      <w:r w:rsidR="004F046E" w:rsidRPr="00EA24B0">
        <w:t>n</w:t>
      </w:r>
      <w:r w:rsidRPr="00EA24B0">
        <w:t>ationals who apply and meet all requirements.  Passport Services assists</w:t>
      </w:r>
      <w:r w:rsidRPr="00EA24B0">
        <w:rPr>
          <w:rFonts w:eastAsia="Times New Roman"/>
          <w:bCs/>
        </w:rPr>
        <w:t xml:space="preserve"> U.S. Citizens and</w:t>
      </w:r>
      <w:r w:rsidRPr="00EA24B0">
        <w:t xml:space="preserve"> Nationals</w:t>
      </w:r>
      <w:r w:rsidRPr="00EA24B0">
        <w:rPr>
          <w:rFonts w:eastAsia="Times New Roman"/>
          <w:bCs/>
        </w:rPr>
        <w:t xml:space="preserve"> intending to travel internationally by issuing passports and protecting the integrity of the U.S. Passport as proof of U.S. </w:t>
      </w:r>
      <w:r w:rsidR="00D811E3" w:rsidRPr="00EA24B0">
        <w:rPr>
          <w:rFonts w:eastAsia="Times New Roman"/>
          <w:bCs/>
        </w:rPr>
        <w:t>citizenship</w:t>
      </w:r>
      <w:r w:rsidRPr="00EA24B0">
        <w:rPr>
          <w:rFonts w:eastAsia="Times New Roman"/>
          <w:bCs/>
        </w:rPr>
        <w:t xml:space="preserve"> at home and around the world.  </w:t>
      </w:r>
      <w:r w:rsidRPr="00EA24B0">
        <w:t xml:space="preserve">Section 7209 of the Intelligence Reform and Terrorism Prevention Act (IRTPA), enacted </w:t>
      </w:r>
      <w:proofErr w:type="gramStart"/>
      <w:r w:rsidRPr="00EA24B0">
        <w:t>on</w:t>
      </w:r>
      <w:proofErr w:type="gramEnd"/>
      <w:r w:rsidRPr="00EA24B0">
        <w:t xml:space="preserve"> December 17, 2004, called for the Secretary of Homeland Security (DHS), in consultation with the Secretary of State, to develop and implement a plan to require U.S. citizens and nationals to present a passport and/or other sufficient documentation of citizenship and identity when entering the U.S.  </w:t>
      </w:r>
      <w:r w:rsidR="004B46CD" w:rsidRPr="007C5EEF">
        <w:t>The Western Hemisphere Travel Initiative (WHTI) was released in two phases: Air travel 2007 and land/sea travel 2009.</w:t>
      </w:r>
      <w:r w:rsidRPr="004B46CD">
        <w:t>This</w:t>
      </w:r>
      <w:r w:rsidRPr="00EA24B0">
        <w:t xml:space="preserve"> resulted in an increase in the demand for U.S. passports. </w:t>
      </w:r>
      <w:r w:rsidR="004B46CD" w:rsidRPr="004B46CD">
        <w:t>Passport Services historical data model failed to project the magnitude and timing of the “WHTI effect”, external data could have identify the surge. In 2006 passport demand was 12.1 million, in 2007 the demand spike to 18.4 million; this spike caused workload overload and as result the American public was unable to obtain  passports in a timely manner. The introduction of WHTI distorted the historical normal demand; the survey enhances the ability of PPT to assess the new normal. Also, new initiatives such as the Real-ID Act, immigration reform, voters ID, and many other initiatives are looming in our future. The survey is a tool to provide senior management with information to make sound decisions. Passport Services has effectively used preemptive overtime and TDY staff to mitigate any hiccups caused by a temporary increase in demand. The preemptive use of overtime uses forecast data that projects workload (applications) before they reach the agencies; management of overtime and TDY staff is essential to PPT success.</w:t>
      </w:r>
    </w:p>
    <w:p w14:paraId="0085E88F" w14:textId="77777777" w:rsidR="006C1E26" w:rsidRPr="00EA24B0" w:rsidRDefault="006C1E26" w:rsidP="006C1E26">
      <w:pPr>
        <w:pStyle w:val="NoSpacing"/>
        <w:ind w:left="360"/>
        <w:rPr>
          <w:bCs/>
        </w:rPr>
      </w:pPr>
    </w:p>
    <w:p w14:paraId="2C377950" w14:textId="2B0ADF17" w:rsidR="006C1E26" w:rsidRPr="00EA24B0" w:rsidRDefault="006C1E26" w:rsidP="006C1E26">
      <w:pPr>
        <w:pStyle w:val="NoSpacing"/>
        <w:numPr>
          <w:ilvl w:val="0"/>
          <w:numId w:val="4"/>
        </w:numPr>
      </w:pPr>
      <w:r w:rsidRPr="00EA24B0">
        <w:t>The objective of the statistical data and research sought is to estimate the overall demand for passport books and passport cards.  Statistical data and information will aide Passport Services in developing demand projections monthly, semi-annually, annually</w:t>
      </w:r>
      <w:r w:rsidR="0060316C" w:rsidRPr="00EA24B0">
        <w:t>,</w:t>
      </w:r>
      <w:r w:rsidRPr="00EA24B0">
        <w:t xml:space="preserve"> and across multiple years as desired.  </w:t>
      </w:r>
      <w:r w:rsidRPr="00EA24B0">
        <w:rPr>
          <w:bCs/>
        </w:rPr>
        <w:t xml:space="preserve">The data is predicated and populated from </w:t>
      </w:r>
      <w:r w:rsidRPr="00EA24B0">
        <w:t xml:space="preserve">ongoing monthly surveys.  The surveys will include a nationally representative sample of U.S. citizens and </w:t>
      </w:r>
      <w:r w:rsidRPr="00EA24B0">
        <w:lastRenderedPageBreak/>
        <w:t xml:space="preserve">U.S. </w:t>
      </w:r>
      <w:r w:rsidR="0060316C" w:rsidRPr="00EA24B0">
        <w:t>n</w:t>
      </w:r>
      <w:r w:rsidRPr="00EA24B0">
        <w:t xml:space="preserve">ationals age 18 and older.  Passport Services will continue to use this data to monitor, assess, and forecast passport demand on a continuous basis for the U.S. population.  The information gathered from the Passport Demand Forecasting Study will provide Passport Services the opportunity to refine volume and timing estimates on demand.  </w:t>
      </w:r>
      <w:r w:rsidRPr="00EA24B0">
        <w:rPr>
          <w:bCs/>
        </w:rPr>
        <w:t>The data gathered from the Passport Demand Forecasting Study provides Passport Services with a body of continuously updated and reliable statistics that is used for the purposes of staffing and resource allocation and budget planning for the coming years</w:t>
      </w:r>
      <w:r w:rsidRPr="00EA24B0">
        <w:t>.</w:t>
      </w:r>
    </w:p>
    <w:p w14:paraId="6735B0DA" w14:textId="77777777" w:rsidR="006C1E26" w:rsidRPr="00EA24B0" w:rsidRDefault="006C1E26" w:rsidP="006C1E26">
      <w:pPr>
        <w:pStyle w:val="FRNoticeHeading2"/>
        <w:spacing w:line="240" w:lineRule="auto"/>
        <w:ind w:left="720"/>
        <w:rPr>
          <w:bCs w:val="0"/>
          <w:i w:val="0"/>
        </w:rPr>
      </w:pPr>
    </w:p>
    <w:p w14:paraId="11CE88C8" w14:textId="77777777" w:rsidR="006C1E26" w:rsidRPr="00EA24B0" w:rsidRDefault="006C1E26" w:rsidP="006C1E26">
      <w:pPr>
        <w:pStyle w:val="FRNoticeHeading2"/>
        <w:numPr>
          <w:ilvl w:val="0"/>
          <w:numId w:val="4"/>
        </w:numPr>
        <w:spacing w:line="240" w:lineRule="auto"/>
        <w:rPr>
          <w:bCs w:val="0"/>
          <w:i w:val="0"/>
        </w:rPr>
      </w:pPr>
      <w:r w:rsidRPr="00EA24B0">
        <w:rPr>
          <w:i w:val="0"/>
        </w:rPr>
        <w:t>In furtherance</w:t>
      </w:r>
      <w:r w:rsidRPr="00EA24B0">
        <w:t xml:space="preserve"> </w:t>
      </w:r>
      <w:r w:rsidRPr="00EA24B0">
        <w:rPr>
          <w:i w:val="0"/>
        </w:rPr>
        <w:t>with the Department of State’s efforts to provide an electronic option for data collections, a letter inviting persons to participate in the study is mailed via USPS to persons residing at sampled addresses each month.  The letter provides the options of voluntarily participating in the study by the web/internet or telephone.</w:t>
      </w:r>
    </w:p>
    <w:p w14:paraId="3B6219E7" w14:textId="77777777" w:rsidR="006C1E26" w:rsidRPr="00EA24B0" w:rsidRDefault="006C1E26" w:rsidP="006C1E26">
      <w:pPr>
        <w:pStyle w:val="FRNoticeHeading2"/>
        <w:spacing w:line="240" w:lineRule="auto"/>
        <w:ind w:left="720"/>
        <w:rPr>
          <w:i w:val="0"/>
        </w:rPr>
      </w:pPr>
    </w:p>
    <w:p w14:paraId="3D888411" w14:textId="77777777" w:rsidR="006C1E26" w:rsidRPr="00EA24B0" w:rsidRDefault="006C1E26" w:rsidP="006C1E26">
      <w:pPr>
        <w:pStyle w:val="FRNoticeHeading2"/>
        <w:numPr>
          <w:ilvl w:val="0"/>
          <w:numId w:val="4"/>
        </w:numPr>
        <w:spacing w:line="240" w:lineRule="auto"/>
      </w:pPr>
      <w:r w:rsidRPr="00EA24B0">
        <w:rPr>
          <w:bCs w:val="0"/>
          <w:i w:val="0"/>
        </w:rPr>
        <w:t>This collection does not duplicate any other information collection.  The Department of State has attempted to establish an accurate demand figure by an extensive review of all known passport statistical databases.  Passport Services has undertaken several prior surveys, with the initial Passport Demand Forecasting Study being implemented in 2007.  While the previous studies were useful at that time for Passport Services early planning needs, the results are now dated and have proven to be unreliable estimates for current and future demand.</w:t>
      </w:r>
    </w:p>
    <w:p w14:paraId="393F4F27" w14:textId="77777777" w:rsidR="006C1E26" w:rsidRPr="00EA24B0" w:rsidRDefault="006C1E26" w:rsidP="006C1E26">
      <w:pPr>
        <w:pStyle w:val="FRNoticeHeading2"/>
        <w:spacing w:line="240" w:lineRule="auto"/>
        <w:ind w:left="720"/>
        <w:rPr>
          <w:i w:val="0"/>
        </w:rPr>
      </w:pPr>
    </w:p>
    <w:p w14:paraId="4CCC4FE0" w14:textId="77777777" w:rsidR="006C1E26" w:rsidRPr="00EA24B0" w:rsidRDefault="006C1E26" w:rsidP="006C1E26">
      <w:pPr>
        <w:pStyle w:val="FRNoticeHeading2"/>
        <w:numPr>
          <w:ilvl w:val="0"/>
          <w:numId w:val="4"/>
        </w:numPr>
        <w:spacing w:line="240" w:lineRule="auto"/>
        <w:rPr>
          <w:bCs w:val="0"/>
          <w:i w:val="0"/>
        </w:rPr>
      </w:pPr>
      <w:r w:rsidRPr="00EA24B0">
        <w:rPr>
          <w:i w:val="0"/>
        </w:rPr>
        <w:t>The collection of information does not affect small businesses or other small entities</w:t>
      </w:r>
      <w:r w:rsidRPr="00EA24B0">
        <w:rPr>
          <w:b/>
        </w:rPr>
        <w:t>.</w:t>
      </w:r>
    </w:p>
    <w:p w14:paraId="552133DE" w14:textId="77777777" w:rsidR="006C1E26" w:rsidRPr="00EA24B0" w:rsidRDefault="006C1E26" w:rsidP="006C1E26">
      <w:pPr>
        <w:pStyle w:val="ListParagraph"/>
        <w:rPr>
          <w:bCs/>
        </w:rPr>
      </w:pPr>
    </w:p>
    <w:p w14:paraId="75CFB046" w14:textId="77777777" w:rsidR="006C1E26" w:rsidRPr="00EA24B0" w:rsidRDefault="006C1E26" w:rsidP="006C1E26">
      <w:pPr>
        <w:numPr>
          <w:ilvl w:val="0"/>
          <w:numId w:val="4"/>
        </w:numPr>
      </w:pPr>
      <w:r w:rsidRPr="00EA24B0">
        <w:t>The requested survey data is necessary in order to establish an accurate estimate of the volume and timing of passport applications for the purpose of monitoring, assessing, and forecasting passport demand on a continuous basis for the U.S. population.  Without such information, Passport Services will not be able to make duly informed decisions on hiring and training staff, or increasing other resources and infrastructure to handle passport demand.  If the survey is not conducted, Passport Services will not have reliable information to make resource-related decisions.  This situation could result in the under or over estimation of demand, delayed passport issuance, adverse customer service, and/or excessive resource allocation, which would waste taxpayer money and Department resources.</w:t>
      </w:r>
    </w:p>
    <w:p w14:paraId="3BAA6B76" w14:textId="77777777" w:rsidR="006C1E26" w:rsidRPr="00EA24B0" w:rsidRDefault="006C1E26" w:rsidP="006C1E26"/>
    <w:p w14:paraId="13E9556D" w14:textId="77777777" w:rsidR="006C1E26" w:rsidRPr="00EA24B0" w:rsidRDefault="006C1E26" w:rsidP="006C1E26">
      <w:pPr>
        <w:numPr>
          <w:ilvl w:val="0"/>
          <w:numId w:val="4"/>
        </w:numPr>
      </w:pPr>
      <w:r w:rsidRPr="00EA24B0">
        <w:t xml:space="preserve"> There are no special circumstances.</w:t>
      </w:r>
    </w:p>
    <w:p w14:paraId="797EFBFA" w14:textId="77777777" w:rsidR="006C1E26" w:rsidRPr="00EA24B0" w:rsidRDefault="006C1E26" w:rsidP="006C1E26">
      <w:pPr>
        <w:ind w:left="720"/>
      </w:pPr>
    </w:p>
    <w:p w14:paraId="1795ADAB" w14:textId="07348C69" w:rsidR="006C1E26" w:rsidRPr="00EA24B0" w:rsidRDefault="00D50DC0" w:rsidP="00E55CF5">
      <w:pPr>
        <w:numPr>
          <w:ilvl w:val="0"/>
          <w:numId w:val="4"/>
        </w:numPr>
      </w:pPr>
      <w:r w:rsidRPr="00EA24B0">
        <w:rPr>
          <w:szCs w:val="24"/>
        </w:rPr>
        <w:t xml:space="preserve">60-day Federal Register Notice soliciting public comment was published on </w:t>
      </w:r>
      <w:r w:rsidR="00E55CF5" w:rsidRPr="00EA24B0">
        <w:rPr>
          <w:szCs w:val="24"/>
        </w:rPr>
        <w:t>Thursday, June 19, 2014</w:t>
      </w:r>
      <w:r w:rsidRPr="00EA24B0">
        <w:rPr>
          <w:szCs w:val="24"/>
        </w:rPr>
        <w:t xml:space="preserve"> (</w:t>
      </w:r>
      <w:r w:rsidR="00E55CF5" w:rsidRPr="00EA24B0">
        <w:rPr>
          <w:szCs w:val="24"/>
        </w:rPr>
        <w:t>79 FR 35209</w:t>
      </w:r>
      <w:r w:rsidRPr="00EA24B0">
        <w:rPr>
          <w:szCs w:val="24"/>
        </w:rPr>
        <w:t xml:space="preserve">), and closed </w:t>
      </w:r>
      <w:r w:rsidR="00E55CF5" w:rsidRPr="00EA24B0">
        <w:rPr>
          <w:szCs w:val="24"/>
        </w:rPr>
        <w:t>August 19, 2014</w:t>
      </w:r>
      <w:r w:rsidRPr="00EA24B0">
        <w:rPr>
          <w:szCs w:val="24"/>
        </w:rPr>
        <w:t>.  The Department of State received no public comment in response to the 60-day notice in the Federal Register.</w:t>
      </w:r>
    </w:p>
    <w:p w14:paraId="643438BC" w14:textId="77777777" w:rsidR="006C1E26" w:rsidRPr="00EA24B0" w:rsidRDefault="006C1E26" w:rsidP="006C1E26"/>
    <w:p w14:paraId="4271664E" w14:textId="7B5729D9" w:rsidR="006C1E26" w:rsidRPr="00EA24B0" w:rsidRDefault="00D50DC0" w:rsidP="006C1E26">
      <w:pPr>
        <w:numPr>
          <w:ilvl w:val="0"/>
          <w:numId w:val="4"/>
        </w:numPr>
      </w:pPr>
      <w:r w:rsidRPr="00EA24B0">
        <w:t>The Department of State</w:t>
      </w:r>
      <w:r w:rsidR="006C1E26" w:rsidRPr="00EA24B0">
        <w:t xml:space="preserve"> will not provide any payments or gifts to respondents for participation in the survey.</w:t>
      </w:r>
    </w:p>
    <w:p w14:paraId="136E884B" w14:textId="77777777" w:rsidR="006C1E26" w:rsidRPr="00EA24B0" w:rsidRDefault="006C1E26" w:rsidP="006C1E26">
      <w:pPr>
        <w:pStyle w:val="ListParagraph"/>
      </w:pPr>
    </w:p>
    <w:p w14:paraId="126F6371" w14:textId="639F548A" w:rsidR="006C1E26" w:rsidRPr="00EA24B0" w:rsidRDefault="006C1E26" w:rsidP="006C1E26">
      <w:pPr>
        <w:numPr>
          <w:ilvl w:val="0"/>
          <w:numId w:val="4"/>
        </w:numPr>
      </w:pPr>
      <w:r w:rsidRPr="00EA24B0">
        <w:t xml:space="preserve">Respondents are </w:t>
      </w:r>
      <w:r w:rsidR="008A212B" w:rsidRPr="00EA24B0">
        <w:t xml:space="preserve">not asked their names and are </w:t>
      </w:r>
      <w:r w:rsidRPr="00EA24B0">
        <w:t xml:space="preserve">told at the onset of the survey that the data </w:t>
      </w:r>
      <w:r w:rsidRPr="00EA24B0">
        <w:rPr>
          <w:iCs/>
          <w:szCs w:val="24"/>
        </w:rPr>
        <w:t>will be kept strictly private to the extent permitted by law</w:t>
      </w:r>
      <w:r w:rsidRPr="00EA24B0">
        <w:t xml:space="preserve"> and that identifying information will not be released outside of the Department.  This notice is also repeated to the respondents prior to </w:t>
      </w:r>
      <w:r w:rsidR="00D50DC0" w:rsidRPr="00EA24B0">
        <w:t xml:space="preserve">requesting </w:t>
      </w:r>
      <w:r w:rsidRPr="00EA24B0">
        <w:t xml:space="preserve">any demographic information.  </w:t>
      </w:r>
    </w:p>
    <w:p w14:paraId="56469062" w14:textId="77777777" w:rsidR="006C1E26" w:rsidRPr="00EA24B0" w:rsidRDefault="006C1E26" w:rsidP="006C1E26">
      <w:pPr>
        <w:rPr>
          <w:szCs w:val="24"/>
        </w:rPr>
      </w:pPr>
    </w:p>
    <w:p w14:paraId="6C1DF17D" w14:textId="77777777" w:rsidR="006C1E26" w:rsidRPr="00EA24B0" w:rsidRDefault="006C1E26" w:rsidP="006C1E26">
      <w:pPr>
        <w:numPr>
          <w:ilvl w:val="0"/>
          <w:numId w:val="6"/>
        </w:numPr>
        <w:rPr>
          <w:szCs w:val="24"/>
        </w:rPr>
      </w:pPr>
      <w:r w:rsidRPr="00EA24B0">
        <w:t>The collection of information does not ask questions of a sensitive nature.</w:t>
      </w:r>
    </w:p>
    <w:p w14:paraId="53C64C35" w14:textId="77777777" w:rsidR="006C1E26" w:rsidRPr="00EA24B0" w:rsidRDefault="006C1E26" w:rsidP="006C1E26">
      <w:pPr>
        <w:ind w:left="630"/>
        <w:rPr>
          <w:szCs w:val="24"/>
        </w:rPr>
      </w:pPr>
    </w:p>
    <w:p w14:paraId="79667A92" w14:textId="0731BB19" w:rsidR="006C1E26" w:rsidRPr="00EA24B0" w:rsidRDefault="006C1E26" w:rsidP="006C1E26">
      <w:pPr>
        <w:numPr>
          <w:ilvl w:val="0"/>
          <w:numId w:val="6"/>
        </w:numPr>
        <w:rPr>
          <w:i/>
          <w:szCs w:val="24"/>
        </w:rPr>
      </w:pPr>
      <w:r w:rsidRPr="00EA24B0">
        <w:t xml:space="preserve">The annual burden time for Passport Demand Forecasting Monthly Survey is estimated to be 8,000 hours.  Each survey is estimated to take 10 minutes and will be conducted on a monthly basis.  4,000 respondents will be surveyed per month, for an annual total of 8,000 hours for 48,000 responses. </w:t>
      </w:r>
      <w:r w:rsidR="0060316C" w:rsidRPr="00EA24B0">
        <w:t xml:space="preserve"> </w:t>
      </w:r>
      <w:r w:rsidRPr="00EA24B0">
        <w:t>Based on the chart below, the estimated annual hour cost burden is $253,200.</w:t>
      </w:r>
      <w:r w:rsidRPr="00EA24B0">
        <w:br/>
      </w:r>
      <w:r w:rsidRPr="00EA24B0">
        <w:br/>
      </w:r>
    </w:p>
    <w:p w14:paraId="6B7933C3" w14:textId="77777777" w:rsidR="006C1E26" w:rsidRPr="00EA24B0" w:rsidRDefault="006C1E26" w:rsidP="006C1E26">
      <w:pPr>
        <w:rPr>
          <w:i/>
        </w:rPr>
      </w:pPr>
      <w:r w:rsidRPr="00EA24B0">
        <w:rPr>
          <w:i/>
        </w:rPr>
        <w:t xml:space="preserve">     </w:t>
      </w:r>
    </w:p>
    <w:p w14:paraId="23C3C271" w14:textId="77777777" w:rsidR="006C1E26" w:rsidRPr="00EA24B0" w:rsidRDefault="006C1E26" w:rsidP="006C1E26">
      <w:pPr>
        <w:rPr>
          <w:i/>
        </w:rPr>
      </w:pPr>
      <w:r w:rsidRPr="00EA24B0">
        <w:rPr>
          <w:i/>
        </w:rPr>
        <w:t>     Table 4:  Estimated Total Annual Burden on and Estimated Cost to Respondents</w:t>
      </w:r>
    </w:p>
    <w:tbl>
      <w:tblPr>
        <w:tblW w:w="8675" w:type="dxa"/>
        <w:jc w:val="center"/>
        <w:tblCellMar>
          <w:left w:w="0" w:type="dxa"/>
          <w:right w:w="0" w:type="dxa"/>
        </w:tblCellMar>
        <w:tblLook w:val="04A0" w:firstRow="1" w:lastRow="0" w:firstColumn="1" w:lastColumn="0" w:noHBand="0" w:noVBand="1"/>
      </w:tblPr>
      <w:tblGrid>
        <w:gridCol w:w="3708"/>
        <w:gridCol w:w="1980"/>
        <w:gridCol w:w="1504"/>
        <w:gridCol w:w="1483"/>
      </w:tblGrid>
      <w:tr w:rsidR="006C1E26" w:rsidRPr="00EA24B0" w14:paraId="31956743" w14:textId="77777777" w:rsidTr="007E04FA">
        <w:trPr>
          <w:trHeight w:val="255"/>
          <w:tblHeader/>
          <w:jc w:val="center"/>
        </w:trPr>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07339B" w14:textId="77777777" w:rsidR="006C1E26" w:rsidRPr="00EA24B0" w:rsidRDefault="006C1E26" w:rsidP="007E04FA">
            <w:pPr>
              <w:rPr>
                <w:rFonts w:eastAsiaTheme="minorHAnsi"/>
                <w:i/>
              </w:rPr>
            </w:pPr>
            <w:r w:rsidRPr="00EA24B0">
              <w:rPr>
                <w:i/>
              </w:rPr>
              <w:t>(a)</w:t>
            </w:r>
          </w:p>
          <w:p w14:paraId="375390E2" w14:textId="77777777" w:rsidR="006C1E26" w:rsidRPr="00EA24B0" w:rsidRDefault="006C1E26" w:rsidP="007E04FA">
            <w:pPr>
              <w:rPr>
                <w:rFonts w:eastAsiaTheme="minorHAnsi"/>
                <w:i/>
              </w:rPr>
            </w:pPr>
            <w:r w:rsidRPr="00EA24B0">
              <w:rPr>
                <w:i/>
              </w:rPr>
              <w:t>Description of the Collection Activity</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BEA0432" w14:textId="77777777" w:rsidR="006C1E26" w:rsidRPr="00EA24B0" w:rsidRDefault="006C1E26" w:rsidP="007E04FA">
            <w:pPr>
              <w:rPr>
                <w:rFonts w:eastAsiaTheme="minorHAnsi"/>
                <w:i/>
              </w:rPr>
            </w:pPr>
            <w:r w:rsidRPr="00EA24B0">
              <w:rPr>
                <w:i/>
              </w:rPr>
              <w:t>(b)</w:t>
            </w:r>
          </w:p>
          <w:p w14:paraId="7BAFC0B0" w14:textId="77777777" w:rsidR="006C1E26" w:rsidRPr="00EA24B0" w:rsidRDefault="006C1E26" w:rsidP="007E04FA">
            <w:pPr>
              <w:rPr>
                <w:rFonts w:eastAsiaTheme="minorHAnsi"/>
                <w:i/>
              </w:rPr>
            </w:pPr>
            <w:r w:rsidRPr="00EA24B0">
              <w:rPr>
                <w:i/>
              </w:rPr>
              <w:t>Estimated Total Annual Burden on Respondents (Hours)</w:t>
            </w:r>
          </w:p>
        </w:tc>
        <w:tc>
          <w:tcPr>
            <w:tcW w:w="15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0800791" w14:textId="77777777" w:rsidR="006C1E26" w:rsidRPr="00EA24B0" w:rsidRDefault="006C1E26" w:rsidP="007E04FA">
            <w:pPr>
              <w:rPr>
                <w:rFonts w:eastAsiaTheme="minorHAnsi"/>
                <w:i/>
              </w:rPr>
            </w:pPr>
            <w:r w:rsidRPr="00EA24B0">
              <w:rPr>
                <w:i/>
              </w:rPr>
              <w:t>(c)*</w:t>
            </w:r>
          </w:p>
          <w:p w14:paraId="6AAF013E" w14:textId="77777777" w:rsidR="006C1E26" w:rsidRPr="00EA24B0" w:rsidRDefault="006C1E26" w:rsidP="007E04FA">
            <w:pPr>
              <w:rPr>
                <w:rFonts w:eastAsiaTheme="minorHAnsi"/>
                <w:i/>
              </w:rPr>
            </w:pPr>
            <w:r w:rsidRPr="00EA24B0">
              <w:rPr>
                <w:i/>
              </w:rPr>
              <w:t>Estimated Average Income per Hour</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6CF90DF" w14:textId="77777777" w:rsidR="006C1E26" w:rsidRPr="00EA24B0" w:rsidRDefault="006C1E26" w:rsidP="007E04FA">
            <w:pPr>
              <w:rPr>
                <w:rFonts w:eastAsiaTheme="minorHAnsi"/>
                <w:i/>
              </w:rPr>
            </w:pPr>
            <w:r w:rsidRPr="00EA24B0">
              <w:rPr>
                <w:i/>
              </w:rPr>
              <w:t>(d)</w:t>
            </w:r>
          </w:p>
          <w:p w14:paraId="73F5A3AF" w14:textId="77777777" w:rsidR="006C1E26" w:rsidRPr="00EA24B0" w:rsidRDefault="006C1E26" w:rsidP="007E04FA">
            <w:pPr>
              <w:rPr>
                <w:rFonts w:eastAsiaTheme="minorHAnsi"/>
                <w:i/>
              </w:rPr>
            </w:pPr>
            <w:r w:rsidRPr="00EA24B0">
              <w:rPr>
                <w:i/>
              </w:rPr>
              <w:t>Estimated Cost to Respondents</w:t>
            </w:r>
          </w:p>
        </w:tc>
      </w:tr>
      <w:tr w:rsidR="006C1E26" w:rsidRPr="00EA24B0" w14:paraId="47112FFD" w14:textId="77777777" w:rsidTr="007E04FA">
        <w:trPr>
          <w:trHeight w:val="255"/>
          <w:jc w:val="center"/>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A74464" w14:textId="77777777" w:rsidR="006C1E26" w:rsidRPr="00EA24B0" w:rsidRDefault="006C1E26" w:rsidP="007E04FA">
            <w:pPr>
              <w:rPr>
                <w:rFonts w:eastAsiaTheme="minorHAnsi"/>
                <w:i/>
              </w:rPr>
            </w:pPr>
            <w:r w:rsidRPr="00EA24B0">
              <w:rPr>
                <w:i/>
              </w:rPr>
              <w:t>Phone survey</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F77C01" w14:textId="77777777" w:rsidR="006C1E26" w:rsidRPr="00EA24B0" w:rsidRDefault="006C1E26" w:rsidP="007E04FA">
            <w:pPr>
              <w:rPr>
                <w:rFonts w:eastAsiaTheme="minorHAnsi"/>
                <w:i/>
              </w:rPr>
            </w:pPr>
            <w:r w:rsidRPr="00EA24B0">
              <w:rPr>
                <w:i/>
              </w:rPr>
              <w:t>3,600 hours</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5D1DBD" w14:textId="77777777" w:rsidR="006C1E26" w:rsidRPr="00EA24B0" w:rsidRDefault="006C1E26" w:rsidP="007E04FA">
            <w:pPr>
              <w:rPr>
                <w:rFonts w:eastAsiaTheme="minorHAnsi"/>
                <w:i/>
              </w:rPr>
            </w:pPr>
            <w:r w:rsidRPr="00EA24B0">
              <w:rPr>
                <w:i/>
              </w:rPr>
              <w:t>$31.65</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4A9A61" w14:textId="77777777" w:rsidR="006C1E26" w:rsidRPr="00EA24B0" w:rsidRDefault="006C1E26" w:rsidP="007E04FA">
            <w:pPr>
              <w:rPr>
                <w:rFonts w:eastAsiaTheme="minorHAnsi"/>
                <w:i/>
              </w:rPr>
            </w:pPr>
            <w:r w:rsidRPr="00EA24B0">
              <w:rPr>
                <w:i/>
              </w:rPr>
              <w:t>$113,940</w:t>
            </w:r>
          </w:p>
        </w:tc>
      </w:tr>
      <w:tr w:rsidR="006C1E26" w:rsidRPr="00EA24B0" w14:paraId="5E876AE3" w14:textId="77777777" w:rsidTr="007E04FA">
        <w:trPr>
          <w:trHeight w:val="255"/>
          <w:jc w:val="center"/>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6AD1F3" w14:textId="77777777" w:rsidR="006C1E26" w:rsidRPr="00EA24B0" w:rsidRDefault="006C1E26" w:rsidP="007E04FA">
            <w:pPr>
              <w:rPr>
                <w:i/>
              </w:rPr>
            </w:pPr>
            <w:r w:rsidRPr="00EA24B0">
              <w:rPr>
                <w:i/>
              </w:rPr>
              <w:t xml:space="preserve"> Internet/ web-based survey </w:t>
            </w:r>
          </w:p>
          <w:p w14:paraId="12055DB4" w14:textId="77777777" w:rsidR="006C1E26" w:rsidRPr="00EA24B0" w:rsidRDefault="006C1E26" w:rsidP="007E04FA">
            <w:pPr>
              <w:rPr>
                <w:rFonts w:eastAsiaTheme="minorHAnsi"/>
                <w:i/>
              </w:rPr>
            </w:pP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E870C5" w14:textId="77777777" w:rsidR="006C1E26" w:rsidRPr="00EA24B0" w:rsidRDefault="006C1E26" w:rsidP="007E04FA">
            <w:pPr>
              <w:rPr>
                <w:rFonts w:eastAsiaTheme="minorHAnsi"/>
                <w:i/>
              </w:rPr>
            </w:pPr>
            <w:r w:rsidRPr="00EA24B0">
              <w:rPr>
                <w:i/>
              </w:rPr>
              <w:t xml:space="preserve"> 4,400hours </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3B201D" w14:textId="77777777" w:rsidR="006C1E26" w:rsidRPr="00EA24B0" w:rsidRDefault="006C1E26" w:rsidP="007E04FA">
            <w:pPr>
              <w:rPr>
                <w:rFonts w:eastAsiaTheme="minorHAnsi"/>
                <w:i/>
              </w:rPr>
            </w:pPr>
            <w:r w:rsidRPr="00EA24B0">
              <w:rPr>
                <w:i/>
              </w:rPr>
              <w:t>$31.65</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4BDDC4" w14:textId="77777777" w:rsidR="006C1E26" w:rsidRPr="00EA24B0" w:rsidRDefault="006C1E26" w:rsidP="007E04FA">
            <w:pPr>
              <w:rPr>
                <w:rFonts w:eastAsiaTheme="minorHAnsi"/>
                <w:i/>
              </w:rPr>
            </w:pPr>
            <w:r w:rsidRPr="00EA24B0">
              <w:rPr>
                <w:i/>
              </w:rPr>
              <w:t>$139,260.00</w:t>
            </w:r>
          </w:p>
        </w:tc>
      </w:tr>
      <w:tr w:rsidR="006C1E26" w:rsidRPr="00EA24B0" w14:paraId="2F5AAB19" w14:textId="77777777" w:rsidTr="007E04FA">
        <w:trPr>
          <w:trHeight w:val="255"/>
          <w:jc w:val="center"/>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1C79A2" w14:textId="77777777" w:rsidR="006C1E26" w:rsidRPr="00EA24B0" w:rsidRDefault="006C1E26" w:rsidP="007E04FA">
            <w:pPr>
              <w:rPr>
                <w:rFonts w:eastAsiaTheme="minorHAnsi"/>
                <w:i/>
              </w:rPr>
            </w:pPr>
            <w:r w:rsidRPr="00EA24B0">
              <w:rPr>
                <w:i/>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72F64C" w14:textId="77777777" w:rsidR="006C1E26" w:rsidRPr="00EA24B0" w:rsidRDefault="006C1E26" w:rsidP="007E04FA">
            <w:pPr>
              <w:rPr>
                <w:rFonts w:eastAsiaTheme="minorHAnsi"/>
                <w:i/>
              </w:rPr>
            </w:pPr>
            <w:r w:rsidRPr="00EA24B0">
              <w:rPr>
                <w:i/>
              </w:rPr>
              <w:t> </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5F8F29" w14:textId="77777777" w:rsidR="006C1E26" w:rsidRPr="00EA24B0" w:rsidRDefault="006C1E26" w:rsidP="007E04FA">
            <w:pPr>
              <w:rPr>
                <w:rFonts w:eastAsiaTheme="minorHAnsi"/>
                <w:i/>
              </w:rPr>
            </w:pPr>
            <w:r w:rsidRPr="00EA24B0">
              <w:rPr>
                <w:i/>
              </w:rPr>
              <w:t> </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03F1A9" w14:textId="77777777" w:rsidR="006C1E26" w:rsidRPr="00EA24B0" w:rsidRDefault="006C1E26" w:rsidP="007E04FA">
            <w:pPr>
              <w:rPr>
                <w:rFonts w:eastAsiaTheme="minorHAnsi"/>
                <w:i/>
              </w:rPr>
            </w:pPr>
            <w:r w:rsidRPr="00EA24B0">
              <w:rPr>
                <w:i/>
              </w:rPr>
              <w:t> </w:t>
            </w:r>
          </w:p>
        </w:tc>
      </w:tr>
      <w:tr w:rsidR="006C1E26" w:rsidRPr="00EA24B0" w14:paraId="0535A374" w14:textId="77777777" w:rsidTr="007E04FA">
        <w:trPr>
          <w:trHeight w:val="255"/>
          <w:jc w:val="center"/>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62BB98" w14:textId="77777777" w:rsidR="006C1E26" w:rsidRPr="00EA24B0" w:rsidRDefault="006C1E26" w:rsidP="007E04FA">
            <w:pPr>
              <w:rPr>
                <w:rFonts w:eastAsiaTheme="minorHAnsi"/>
                <w:i/>
              </w:rPr>
            </w:pPr>
            <w:r w:rsidRPr="00EA24B0">
              <w:rPr>
                <w:i/>
              </w:rPr>
              <w:t>Totals</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C38412" w14:textId="77777777" w:rsidR="006C1E26" w:rsidRPr="00EA24B0" w:rsidRDefault="006C1E26" w:rsidP="007E04FA">
            <w:pPr>
              <w:rPr>
                <w:rFonts w:eastAsiaTheme="minorHAnsi"/>
                <w:i/>
              </w:rPr>
            </w:pPr>
            <w:r w:rsidRPr="00EA24B0">
              <w:rPr>
                <w:i/>
              </w:rPr>
              <w:t>8000 hours</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AE75D0" w14:textId="77777777" w:rsidR="006C1E26" w:rsidRPr="00EA24B0" w:rsidRDefault="006C1E26" w:rsidP="007E04FA">
            <w:pPr>
              <w:rPr>
                <w:rFonts w:eastAsiaTheme="minorHAnsi"/>
                <w:i/>
              </w:rPr>
            </w:pPr>
            <w:r w:rsidRPr="00EA24B0">
              <w:rPr>
                <w:i/>
              </w:rPr>
              <w:t>---</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EA8D26" w14:textId="77777777" w:rsidR="006C1E26" w:rsidRPr="00EA24B0" w:rsidRDefault="006C1E26" w:rsidP="007E04FA">
            <w:pPr>
              <w:rPr>
                <w:rFonts w:eastAsiaTheme="minorHAnsi"/>
                <w:i/>
              </w:rPr>
            </w:pPr>
            <w:r w:rsidRPr="00EA24B0">
              <w:rPr>
                <w:i/>
              </w:rPr>
              <w:t>$253,200.00</w:t>
            </w:r>
          </w:p>
        </w:tc>
      </w:tr>
      <w:tr w:rsidR="006C1E26" w:rsidRPr="00EA24B0" w14:paraId="4D4939FC" w14:textId="77777777" w:rsidTr="007E04FA">
        <w:trPr>
          <w:trHeight w:val="255"/>
          <w:jc w:val="center"/>
        </w:trPr>
        <w:tc>
          <w:tcPr>
            <w:tcW w:w="370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CC58E7" w14:textId="77777777" w:rsidR="006C1E26" w:rsidRPr="00EA24B0" w:rsidRDefault="006C1E26" w:rsidP="007E04FA">
            <w:pPr>
              <w:rPr>
                <w:rFonts w:eastAsiaTheme="minorHAnsi"/>
                <w:i/>
              </w:rPr>
            </w:pPr>
            <w:r w:rsidRPr="00EA24B0">
              <w:rPr>
                <w:i/>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7B85DD" w14:textId="77777777" w:rsidR="006C1E26" w:rsidRPr="00EA24B0" w:rsidRDefault="006C1E26" w:rsidP="007E04FA">
            <w:pPr>
              <w:rPr>
                <w:rFonts w:eastAsiaTheme="minorHAnsi"/>
                <w:i/>
              </w:rPr>
            </w:pPr>
            <w:r w:rsidRPr="00EA24B0">
              <w:rPr>
                <w:i/>
              </w:rPr>
              <w:t> </w:t>
            </w:r>
          </w:p>
        </w:tc>
        <w:tc>
          <w:tcPr>
            <w:tcW w:w="150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CB3127" w14:textId="77777777" w:rsidR="006C1E26" w:rsidRPr="00EA24B0" w:rsidRDefault="006C1E26" w:rsidP="007E04FA">
            <w:pPr>
              <w:rPr>
                <w:rFonts w:eastAsiaTheme="minorHAnsi"/>
                <w:i/>
              </w:rPr>
            </w:pPr>
            <w:r w:rsidRPr="00EA24B0">
              <w:rPr>
                <w:i/>
              </w:rPr>
              <w:t> </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294BAE" w14:textId="77777777" w:rsidR="006C1E26" w:rsidRPr="00EA24B0" w:rsidRDefault="006C1E26" w:rsidP="007E04FA">
            <w:pPr>
              <w:rPr>
                <w:rFonts w:eastAsiaTheme="minorHAnsi"/>
                <w:i/>
              </w:rPr>
            </w:pPr>
            <w:r w:rsidRPr="00EA24B0">
              <w:rPr>
                <w:i/>
              </w:rPr>
              <w:t> </w:t>
            </w:r>
          </w:p>
        </w:tc>
      </w:tr>
    </w:tbl>
    <w:p w14:paraId="0D426858" w14:textId="77777777" w:rsidR="006C1E26" w:rsidRPr="00EA24B0" w:rsidRDefault="006C1E26" w:rsidP="006C1E26">
      <w:pPr>
        <w:rPr>
          <w:rFonts w:eastAsiaTheme="minorHAnsi"/>
          <w:i/>
        </w:rPr>
      </w:pPr>
      <w:r w:rsidRPr="00EA24B0">
        <w:rPr>
          <w:i/>
        </w:rPr>
        <w:t> </w:t>
      </w:r>
    </w:p>
    <w:p w14:paraId="47A9ABBE" w14:textId="77777777" w:rsidR="006C1E26" w:rsidRPr="00EA24B0" w:rsidRDefault="006C1E26" w:rsidP="006C1E26">
      <w:pPr>
        <w:rPr>
          <w:i/>
        </w:rPr>
      </w:pPr>
      <w:r w:rsidRPr="00EA24B0">
        <w:rPr>
          <w:i/>
        </w:rPr>
        <w:t>To determine the estimated income per hour, the Bureau of Labor Statistics, “Table 1 Summary: mean hourly earnings and weekly hours for selected worker and establishment characteristics” were reviewed (</w:t>
      </w:r>
      <w:hyperlink r:id="rId12" w:anchor="Overview" w:history="1">
        <w:r w:rsidRPr="00EA24B0">
          <w:rPr>
            <w:rStyle w:val="Hyperlink"/>
            <w:i/>
          </w:rPr>
          <w:t>http://www.bls.gov/ncs/ncswage2010.htm#Overview</w:t>
        </w:r>
      </w:hyperlink>
      <w:r w:rsidRPr="00EA24B0">
        <w:rPr>
          <w:i/>
        </w:rPr>
        <w:t xml:space="preserve"> ).  The specific data table is located at </w:t>
      </w:r>
      <w:hyperlink r:id="rId13" w:history="1">
        <w:r w:rsidRPr="00EA24B0">
          <w:rPr>
            <w:rStyle w:val="Hyperlink"/>
            <w:i/>
          </w:rPr>
          <w:t>http://www.bls.gov/ncs/ocs/sp/nctb1475.pdf</w:t>
        </w:r>
      </w:hyperlink>
      <w:r w:rsidRPr="00EA24B0">
        <w:rPr>
          <w:rStyle w:val="Hyperlink"/>
          <w:i/>
        </w:rPr>
        <w:t xml:space="preserve"> </w:t>
      </w:r>
      <w:r w:rsidRPr="00EA24B0">
        <w:rPr>
          <w:i/>
        </w:rPr>
        <w:t>.  Average mean hourly civilian earnings are $21.29; private industry workers are $20.47, and state and local government workers are $26.08.  Averaging the three totals $22.61.This number was then multiplied by 1.4 to get a weighted wage. $22.61 x 1.4= $31.65.</w:t>
      </w:r>
    </w:p>
    <w:p w14:paraId="532E8591" w14:textId="77777777" w:rsidR="006C1E26" w:rsidRPr="00EA24B0" w:rsidRDefault="006C1E26" w:rsidP="006C1E26">
      <w:pPr>
        <w:ind w:left="630"/>
      </w:pPr>
    </w:p>
    <w:p w14:paraId="3AC6FAF2" w14:textId="77777777" w:rsidR="006C1E26" w:rsidRPr="00EA24B0" w:rsidRDefault="006C1E26" w:rsidP="006C1E26">
      <w:pPr>
        <w:numPr>
          <w:ilvl w:val="0"/>
          <w:numId w:val="6"/>
        </w:numPr>
      </w:pPr>
      <w:r w:rsidRPr="00EA24B0">
        <w:t>There is no cost burden to respondents associated with this collection.</w:t>
      </w:r>
    </w:p>
    <w:p w14:paraId="7E95E5A2" w14:textId="77777777" w:rsidR="006C1E26" w:rsidRPr="00EA24B0" w:rsidRDefault="006C1E26" w:rsidP="006C1E26"/>
    <w:p w14:paraId="5797823E" w14:textId="77777777" w:rsidR="006C1E26" w:rsidRPr="00EA24B0" w:rsidRDefault="006C1E26" w:rsidP="006C1E26">
      <w:pPr>
        <w:numPr>
          <w:ilvl w:val="0"/>
          <w:numId w:val="6"/>
        </w:numPr>
        <w:rPr>
          <w:szCs w:val="24"/>
        </w:rPr>
      </w:pPr>
      <w:r w:rsidRPr="00EA24B0">
        <w:t>The estimated cost to the Federal Government is $</w:t>
      </w:r>
      <w:r w:rsidRPr="00EA24B0">
        <w:rPr>
          <w:szCs w:val="24"/>
        </w:rPr>
        <w:t xml:space="preserve">1,993,250.66 </w:t>
      </w:r>
      <w:r w:rsidRPr="00EA24B0">
        <w:t>for FY 2014 for the Passport Demand survey.  A breakdown of the estimated cost can be found below.</w:t>
      </w:r>
    </w:p>
    <w:p w14:paraId="6A6C713E" w14:textId="77777777" w:rsidR="006C1E26" w:rsidRPr="00EA24B0" w:rsidRDefault="006C1E26" w:rsidP="006C1E26">
      <w:pPr>
        <w:pStyle w:val="ListParagraph"/>
        <w:rPr>
          <w:szCs w:val="24"/>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946"/>
        <w:gridCol w:w="696"/>
        <w:gridCol w:w="770"/>
        <w:gridCol w:w="1710"/>
        <w:gridCol w:w="1908"/>
      </w:tblGrid>
      <w:tr w:rsidR="006C1E26" w:rsidRPr="00EA24B0" w14:paraId="6B2740B2" w14:textId="77777777" w:rsidTr="007E04FA">
        <w:tc>
          <w:tcPr>
            <w:tcW w:w="916" w:type="dxa"/>
          </w:tcPr>
          <w:p w14:paraId="5D4146DE" w14:textId="77777777" w:rsidR="006C1E26" w:rsidRPr="00EA24B0" w:rsidRDefault="006C1E26" w:rsidP="007E04FA">
            <w:pPr>
              <w:jc w:val="center"/>
              <w:rPr>
                <w:sz w:val="22"/>
                <w:szCs w:val="22"/>
              </w:rPr>
            </w:pPr>
            <w:r w:rsidRPr="00EA24B0">
              <w:rPr>
                <w:sz w:val="22"/>
                <w:szCs w:val="22"/>
              </w:rPr>
              <w:t>CLIN#</w:t>
            </w:r>
          </w:p>
        </w:tc>
        <w:tc>
          <w:tcPr>
            <w:tcW w:w="2946" w:type="dxa"/>
          </w:tcPr>
          <w:p w14:paraId="2C488958" w14:textId="77777777" w:rsidR="006C1E26" w:rsidRPr="00EA24B0" w:rsidRDefault="006C1E26" w:rsidP="007E04FA">
            <w:pPr>
              <w:jc w:val="center"/>
              <w:rPr>
                <w:sz w:val="22"/>
                <w:szCs w:val="22"/>
              </w:rPr>
            </w:pPr>
            <w:r w:rsidRPr="00EA24B0">
              <w:rPr>
                <w:sz w:val="22"/>
                <w:szCs w:val="22"/>
              </w:rPr>
              <w:t>Description</w:t>
            </w:r>
          </w:p>
        </w:tc>
        <w:tc>
          <w:tcPr>
            <w:tcW w:w="696" w:type="dxa"/>
          </w:tcPr>
          <w:p w14:paraId="75C9AE83" w14:textId="77777777" w:rsidR="006C1E26" w:rsidRPr="00EA24B0" w:rsidRDefault="006C1E26" w:rsidP="007E04FA">
            <w:pPr>
              <w:rPr>
                <w:sz w:val="22"/>
                <w:szCs w:val="22"/>
              </w:rPr>
            </w:pPr>
            <w:proofErr w:type="spellStart"/>
            <w:r w:rsidRPr="00EA24B0">
              <w:rPr>
                <w:sz w:val="22"/>
                <w:szCs w:val="22"/>
              </w:rPr>
              <w:t>Qty</w:t>
            </w:r>
            <w:proofErr w:type="spellEnd"/>
          </w:p>
        </w:tc>
        <w:tc>
          <w:tcPr>
            <w:tcW w:w="770" w:type="dxa"/>
          </w:tcPr>
          <w:p w14:paraId="5538C49C" w14:textId="77777777" w:rsidR="006C1E26" w:rsidRPr="00EA24B0" w:rsidRDefault="006C1E26" w:rsidP="007E04FA">
            <w:pPr>
              <w:rPr>
                <w:sz w:val="22"/>
                <w:szCs w:val="22"/>
              </w:rPr>
            </w:pPr>
            <w:r w:rsidRPr="00EA24B0">
              <w:rPr>
                <w:sz w:val="22"/>
                <w:szCs w:val="22"/>
              </w:rPr>
              <w:t>Unit</w:t>
            </w:r>
          </w:p>
        </w:tc>
        <w:tc>
          <w:tcPr>
            <w:tcW w:w="1710" w:type="dxa"/>
          </w:tcPr>
          <w:p w14:paraId="7DDB7999" w14:textId="77777777" w:rsidR="006C1E26" w:rsidRPr="00EA24B0" w:rsidRDefault="006C1E26" w:rsidP="007E04FA">
            <w:pPr>
              <w:jc w:val="center"/>
              <w:rPr>
                <w:sz w:val="22"/>
                <w:szCs w:val="22"/>
              </w:rPr>
            </w:pPr>
            <w:r w:rsidRPr="00EA24B0">
              <w:rPr>
                <w:sz w:val="22"/>
                <w:szCs w:val="22"/>
              </w:rPr>
              <w:t>Unit Price</w:t>
            </w:r>
          </w:p>
        </w:tc>
        <w:tc>
          <w:tcPr>
            <w:tcW w:w="1908" w:type="dxa"/>
          </w:tcPr>
          <w:p w14:paraId="67D4D61F" w14:textId="77777777" w:rsidR="006C1E26" w:rsidRPr="00EA24B0" w:rsidRDefault="006C1E26" w:rsidP="007E04FA">
            <w:pPr>
              <w:jc w:val="center"/>
              <w:rPr>
                <w:sz w:val="22"/>
                <w:szCs w:val="22"/>
              </w:rPr>
            </w:pPr>
            <w:r w:rsidRPr="00EA24B0">
              <w:rPr>
                <w:sz w:val="22"/>
                <w:szCs w:val="22"/>
              </w:rPr>
              <w:t>Total Cost</w:t>
            </w:r>
          </w:p>
        </w:tc>
      </w:tr>
      <w:tr w:rsidR="006C1E26" w:rsidRPr="00EA24B0" w14:paraId="58E4B861" w14:textId="77777777" w:rsidTr="007E04FA">
        <w:trPr>
          <w:trHeight w:val="620"/>
        </w:trPr>
        <w:tc>
          <w:tcPr>
            <w:tcW w:w="916" w:type="dxa"/>
          </w:tcPr>
          <w:p w14:paraId="5BE9D9E8" w14:textId="77777777" w:rsidR="006C1E26" w:rsidRPr="00EA24B0" w:rsidRDefault="006C1E26" w:rsidP="007E04FA">
            <w:pPr>
              <w:jc w:val="center"/>
              <w:rPr>
                <w:sz w:val="22"/>
                <w:szCs w:val="22"/>
              </w:rPr>
            </w:pPr>
            <w:r w:rsidRPr="00EA24B0">
              <w:rPr>
                <w:sz w:val="22"/>
                <w:szCs w:val="22"/>
              </w:rPr>
              <w:t>0001</w:t>
            </w:r>
          </w:p>
          <w:p w14:paraId="35599331" w14:textId="77777777" w:rsidR="006C1E26" w:rsidRPr="00EA24B0" w:rsidRDefault="006C1E26" w:rsidP="007E04FA">
            <w:pPr>
              <w:jc w:val="center"/>
              <w:rPr>
                <w:sz w:val="22"/>
                <w:szCs w:val="22"/>
              </w:rPr>
            </w:pPr>
            <w:r w:rsidRPr="00EA24B0">
              <w:rPr>
                <w:sz w:val="22"/>
                <w:szCs w:val="22"/>
              </w:rPr>
              <w:t>FPP</w:t>
            </w:r>
          </w:p>
        </w:tc>
        <w:tc>
          <w:tcPr>
            <w:tcW w:w="2946" w:type="dxa"/>
          </w:tcPr>
          <w:p w14:paraId="48708695" w14:textId="77777777" w:rsidR="006C1E26" w:rsidRPr="00EA24B0" w:rsidRDefault="006C1E26" w:rsidP="007E04FA">
            <w:pPr>
              <w:jc w:val="center"/>
              <w:rPr>
                <w:sz w:val="22"/>
                <w:szCs w:val="22"/>
              </w:rPr>
            </w:pPr>
            <w:r w:rsidRPr="00EA24B0">
              <w:rPr>
                <w:sz w:val="22"/>
                <w:szCs w:val="22"/>
              </w:rPr>
              <w:t>Project Leader 2 ON</w:t>
            </w:r>
          </w:p>
        </w:tc>
        <w:tc>
          <w:tcPr>
            <w:tcW w:w="696" w:type="dxa"/>
          </w:tcPr>
          <w:p w14:paraId="1FE7DC6B" w14:textId="77777777" w:rsidR="006C1E26" w:rsidRPr="00EA24B0" w:rsidRDefault="006C1E26" w:rsidP="007E04FA">
            <w:pPr>
              <w:jc w:val="center"/>
              <w:rPr>
                <w:sz w:val="22"/>
                <w:szCs w:val="22"/>
              </w:rPr>
            </w:pPr>
            <w:r w:rsidRPr="00EA24B0">
              <w:rPr>
                <w:sz w:val="22"/>
                <w:szCs w:val="22"/>
              </w:rPr>
              <w:t>502</w:t>
            </w:r>
          </w:p>
        </w:tc>
        <w:tc>
          <w:tcPr>
            <w:tcW w:w="770" w:type="dxa"/>
          </w:tcPr>
          <w:p w14:paraId="1CFFC9FE" w14:textId="77777777" w:rsidR="006C1E26" w:rsidRPr="00EA24B0" w:rsidRDefault="006C1E26" w:rsidP="007E04FA">
            <w:pPr>
              <w:jc w:val="center"/>
              <w:rPr>
                <w:sz w:val="22"/>
                <w:szCs w:val="22"/>
              </w:rPr>
            </w:pPr>
            <w:r w:rsidRPr="00EA24B0">
              <w:rPr>
                <w:sz w:val="22"/>
                <w:szCs w:val="22"/>
              </w:rPr>
              <w:t>HR</w:t>
            </w:r>
          </w:p>
        </w:tc>
        <w:tc>
          <w:tcPr>
            <w:tcW w:w="1710" w:type="dxa"/>
          </w:tcPr>
          <w:p w14:paraId="1BF4D5F0" w14:textId="77777777" w:rsidR="006C1E26" w:rsidRPr="00EA24B0" w:rsidRDefault="006C1E26" w:rsidP="007E04FA">
            <w:pPr>
              <w:jc w:val="center"/>
              <w:rPr>
                <w:sz w:val="22"/>
                <w:szCs w:val="22"/>
              </w:rPr>
            </w:pPr>
            <w:r w:rsidRPr="00EA24B0">
              <w:rPr>
                <w:sz w:val="22"/>
                <w:szCs w:val="22"/>
              </w:rPr>
              <w:t>$212.37</w:t>
            </w:r>
          </w:p>
        </w:tc>
        <w:tc>
          <w:tcPr>
            <w:tcW w:w="1908" w:type="dxa"/>
          </w:tcPr>
          <w:p w14:paraId="1AC028AA" w14:textId="77777777" w:rsidR="006C1E26" w:rsidRPr="00EA24B0" w:rsidRDefault="006C1E26" w:rsidP="007E04FA">
            <w:pPr>
              <w:jc w:val="center"/>
              <w:rPr>
                <w:sz w:val="22"/>
                <w:szCs w:val="22"/>
              </w:rPr>
            </w:pPr>
            <w:r w:rsidRPr="00EA24B0">
              <w:rPr>
                <w:sz w:val="22"/>
                <w:szCs w:val="22"/>
              </w:rPr>
              <w:t>$106,609.74</w:t>
            </w:r>
          </w:p>
        </w:tc>
      </w:tr>
      <w:tr w:rsidR="006C1E26" w:rsidRPr="00EA24B0" w14:paraId="2473119C" w14:textId="77777777" w:rsidTr="007E04FA">
        <w:tc>
          <w:tcPr>
            <w:tcW w:w="916" w:type="dxa"/>
          </w:tcPr>
          <w:p w14:paraId="59824B09" w14:textId="77777777" w:rsidR="006C1E26" w:rsidRPr="00EA24B0" w:rsidRDefault="006C1E26" w:rsidP="007E04FA">
            <w:pPr>
              <w:jc w:val="center"/>
              <w:rPr>
                <w:sz w:val="22"/>
                <w:szCs w:val="22"/>
              </w:rPr>
            </w:pPr>
            <w:r w:rsidRPr="00EA24B0">
              <w:rPr>
                <w:sz w:val="22"/>
                <w:szCs w:val="22"/>
              </w:rPr>
              <w:t>0002</w:t>
            </w:r>
          </w:p>
          <w:p w14:paraId="76858463" w14:textId="77777777" w:rsidR="006C1E26" w:rsidRPr="00EA24B0" w:rsidRDefault="006C1E26" w:rsidP="007E04FA">
            <w:pPr>
              <w:jc w:val="center"/>
              <w:rPr>
                <w:sz w:val="22"/>
                <w:szCs w:val="22"/>
              </w:rPr>
            </w:pPr>
            <w:r w:rsidRPr="00EA24B0">
              <w:rPr>
                <w:sz w:val="22"/>
                <w:szCs w:val="22"/>
              </w:rPr>
              <w:t>FPP</w:t>
            </w:r>
          </w:p>
        </w:tc>
        <w:tc>
          <w:tcPr>
            <w:tcW w:w="2946" w:type="dxa"/>
          </w:tcPr>
          <w:p w14:paraId="7B34CE49" w14:textId="77777777" w:rsidR="006C1E26" w:rsidRPr="00EA24B0" w:rsidRDefault="006C1E26" w:rsidP="007E04FA">
            <w:pPr>
              <w:jc w:val="center"/>
              <w:rPr>
                <w:sz w:val="22"/>
                <w:szCs w:val="22"/>
              </w:rPr>
            </w:pPr>
            <w:r w:rsidRPr="00EA24B0">
              <w:rPr>
                <w:sz w:val="22"/>
                <w:szCs w:val="22"/>
              </w:rPr>
              <w:t>Senior Specialist 3 ON</w:t>
            </w:r>
          </w:p>
        </w:tc>
        <w:tc>
          <w:tcPr>
            <w:tcW w:w="696" w:type="dxa"/>
          </w:tcPr>
          <w:p w14:paraId="33DABE55" w14:textId="77777777" w:rsidR="006C1E26" w:rsidRPr="00EA24B0" w:rsidRDefault="006C1E26" w:rsidP="007E04FA">
            <w:pPr>
              <w:jc w:val="center"/>
              <w:rPr>
                <w:sz w:val="22"/>
                <w:szCs w:val="22"/>
              </w:rPr>
            </w:pPr>
            <w:r w:rsidRPr="00EA24B0">
              <w:rPr>
                <w:sz w:val="22"/>
                <w:szCs w:val="22"/>
              </w:rPr>
              <w:t>1444</w:t>
            </w:r>
          </w:p>
        </w:tc>
        <w:tc>
          <w:tcPr>
            <w:tcW w:w="770" w:type="dxa"/>
          </w:tcPr>
          <w:p w14:paraId="69C48770" w14:textId="77777777" w:rsidR="006C1E26" w:rsidRPr="00EA24B0" w:rsidRDefault="006C1E26" w:rsidP="007E04FA">
            <w:pPr>
              <w:jc w:val="center"/>
              <w:rPr>
                <w:sz w:val="22"/>
                <w:szCs w:val="22"/>
              </w:rPr>
            </w:pPr>
            <w:r w:rsidRPr="00EA24B0">
              <w:rPr>
                <w:sz w:val="22"/>
                <w:szCs w:val="22"/>
              </w:rPr>
              <w:t>HR</w:t>
            </w:r>
          </w:p>
        </w:tc>
        <w:tc>
          <w:tcPr>
            <w:tcW w:w="1710" w:type="dxa"/>
          </w:tcPr>
          <w:p w14:paraId="338CB53F" w14:textId="77777777" w:rsidR="006C1E26" w:rsidRPr="00EA24B0" w:rsidRDefault="006C1E26" w:rsidP="007E04FA">
            <w:pPr>
              <w:jc w:val="center"/>
              <w:rPr>
                <w:sz w:val="22"/>
                <w:szCs w:val="22"/>
              </w:rPr>
            </w:pPr>
            <w:r w:rsidRPr="00EA24B0">
              <w:rPr>
                <w:sz w:val="22"/>
                <w:szCs w:val="22"/>
              </w:rPr>
              <w:t>$179.78</w:t>
            </w:r>
          </w:p>
        </w:tc>
        <w:tc>
          <w:tcPr>
            <w:tcW w:w="1908" w:type="dxa"/>
          </w:tcPr>
          <w:p w14:paraId="3811F865" w14:textId="5B1D51D1" w:rsidR="006C1E26" w:rsidRPr="00EA24B0" w:rsidRDefault="006C1E26" w:rsidP="0083243D">
            <w:pPr>
              <w:jc w:val="center"/>
              <w:rPr>
                <w:sz w:val="22"/>
                <w:szCs w:val="22"/>
              </w:rPr>
            </w:pPr>
            <w:r w:rsidRPr="00EA24B0">
              <w:rPr>
                <w:sz w:val="22"/>
                <w:szCs w:val="22"/>
              </w:rPr>
              <w:t>$259</w:t>
            </w:r>
            <w:r w:rsidR="0083243D" w:rsidRPr="00EA24B0">
              <w:rPr>
                <w:sz w:val="22"/>
                <w:szCs w:val="22"/>
              </w:rPr>
              <w:t>,</w:t>
            </w:r>
            <w:r w:rsidRPr="00EA24B0">
              <w:rPr>
                <w:sz w:val="22"/>
                <w:szCs w:val="22"/>
              </w:rPr>
              <w:t>602.32</w:t>
            </w:r>
          </w:p>
        </w:tc>
      </w:tr>
      <w:tr w:rsidR="006C1E26" w:rsidRPr="00EA24B0" w14:paraId="69AAF1A7" w14:textId="77777777" w:rsidTr="007E04FA">
        <w:tc>
          <w:tcPr>
            <w:tcW w:w="916" w:type="dxa"/>
          </w:tcPr>
          <w:p w14:paraId="6D775C1F" w14:textId="77777777" w:rsidR="006C1E26" w:rsidRPr="00EA24B0" w:rsidRDefault="006C1E26" w:rsidP="007E04FA">
            <w:pPr>
              <w:jc w:val="center"/>
              <w:rPr>
                <w:sz w:val="22"/>
                <w:szCs w:val="22"/>
              </w:rPr>
            </w:pPr>
            <w:r w:rsidRPr="00EA24B0">
              <w:rPr>
                <w:sz w:val="22"/>
                <w:szCs w:val="22"/>
              </w:rPr>
              <w:t>0003</w:t>
            </w:r>
          </w:p>
          <w:p w14:paraId="1715F1EC" w14:textId="77777777" w:rsidR="006C1E26" w:rsidRPr="00EA24B0" w:rsidRDefault="006C1E26" w:rsidP="007E04FA">
            <w:pPr>
              <w:jc w:val="center"/>
              <w:rPr>
                <w:sz w:val="22"/>
                <w:szCs w:val="22"/>
              </w:rPr>
            </w:pPr>
            <w:r w:rsidRPr="00EA24B0">
              <w:rPr>
                <w:sz w:val="22"/>
                <w:szCs w:val="22"/>
              </w:rPr>
              <w:t>FPP</w:t>
            </w:r>
          </w:p>
        </w:tc>
        <w:tc>
          <w:tcPr>
            <w:tcW w:w="2946" w:type="dxa"/>
          </w:tcPr>
          <w:p w14:paraId="3FEEAA80" w14:textId="77777777" w:rsidR="006C1E26" w:rsidRPr="00EA24B0" w:rsidRDefault="006C1E26" w:rsidP="007E04FA">
            <w:pPr>
              <w:jc w:val="center"/>
              <w:rPr>
                <w:sz w:val="22"/>
                <w:szCs w:val="22"/>
              </w:rPr>
            </w:pPr>
            <w:r w:rsidRPr="00EA24B0">
              <w:rPr>
                <w:sz w:val="22"/>
                <w:szCs w:val="22"/>
              </w:rPr>
              <w:t>Analyst 1 ON</w:t>
            </w:r>
          </w:p>
        </w:tc>
        <w:tc>
          <w:tcPr>
            <w:tcW w:w="696" w:type="dxa"/>
          </w:tcPr>
          <w:p w14:paraId="420FBA14" w14:textId="77777777" w:rsidR="006C1E26" w:rsidRPr="00EA24B0" w:rsidRDefault="006C1E26" w:rsidP="007E04FA">
            <w:pPr>
              <w:jc w:val="center"/>
              <w:rPr>
                <w:sz w:val="22"/>
                <w:szCs w:val="22"/>
              </w:rPr>
            </w:pPr>
            <w:r w:rsidRPr="00EA24B0">
              <w:rPr>
                <w:sz w:val="22"/>
                <w:szCs w:val="22"/>
              </w:rPr>
              <w:t>258</w:t>
            </w:r>
          </w:p>
        </w:tc>
        <w:tc>
          <w:tcPr>
            <w:tcW w:w="770" w:type="dxa"/>
          </w:tcPr>
          <w:p w14:paraId="70627957" w14:textId="77777777" w:rsidR="006C1E26" w:rsidRPr="00EA24B0" w:rsidRDefault="006C1E26" w:rsidP="007E04FA">
            <w:pPr>
              <w:jc w:val="center"/>
              <w:rPr>
                <w:sz w:val="22"/>
                <w:szCs w:val="22"/>
              </w:rPr>
            </w:pPr>
            <w:r w:rsidRPr="00EA24B0">
              <w:rPr>
                <w:sz w:val="22"/>
                <w:szCs w:val="22"/>
              </w:rPr>
              <w:t>HR</w:t>
            </w:r>
          </w:p>
        </w:tc>
        <w:tc>
          <w:tcPr>
            <w:tcW w:w="1710" w:type="dxa"/>
          </w:tcPr>
          <w:p w14:paraId="0CD5E3E9" w14:textId="77777777" w:rsidR="006C1E26" w:rsidRPr="00EA24B0" w:rsidRDefault="006C1E26" w:rsidP="007E04FA">
            <w:pPr>
              <w:jc w:val="center"/>
              <w:rPr>
                <w:sz w:val="22"/>
                <w:szCs w:val="22"/>
              </w:rPr>
            </w:pPr>
            <w:r w:rsidRPr="00EA24B0">
              <w:rPr>
                <w:sz w:val="22"/>
                <w:szCs w:val="22"/>
              </w:rPr>
              <w:t>$122.75</w:t>
            </w:r>
          </w:p>
        </w:tc>
        <w:tc>
          <w:tcPr>
            <w:tcW w:w="1908" w:type="dxa"/>
          </w:tcPr>
          <w:p w14:paraId="04952B4E" w14:textId="77777777" w:rsidR="006C1E26" w:rsidRPr="00EA24B0" w:rsidRDefault="006C1E26" w:rsidP="007E04FA">
            <w:pPr>
              <w:jc w:val="center"/>
              <w:rPr>
                <w:sz w:val="22"/>
                <w:szCs w:val="22"/>
              </w:rPr>
            </w:pPr>
            <w:r w:rsidRPr="00EA24B0">
              <w:rPr>
                <w:sz w:val="22"/>
                <w:szCs w:val="22"/>
              </w:rPr>
              <w:t>$31,669.50</w:t>
            </w:r>
          </w:p>
        </w:tc>
      </w:tr>
      <w:tr w:rsidR="006C1E26" w:rsidRPr="00EA24B0" w14:paraId="0C2D798A" w14:textId="77777777" w:rsidTr="007E04FA">
        <w:tc>
          <w:tcPr>
            <w:tcW w:w="916" w:type="dxa"/>
          </w:tcPr>
          <w:p w14:paraId="5E0574D9" w14:textId="77777777" w:rsidR="006C1E26" w:rsidRPr="00EA24B0" w:rsidRDefault="006C1E26" w:rsidP="007E04FA">
            <w:pPr>
              <w:jc w:val="center"/>
              <w:rPr>
                <w:sz w:val="22"/>
                <w:szCs w:val="22"/>
              </w:rPr>
            </w:pPr>
            <w:r w:rsidRPr="00EA24B0">
              <w:rPr>
                <w:sz w:val="22"/>
                <w:szCs w:val="22"/>
              </w:rPr>
              <w:t>0004</w:t>
            </w:r>
          </w:p>
          <w:p w14:paraId="1260993A" w14:textId="77777777" w:rsidR="006C1E26" w:rsidRPr="00EA24B0" w:rsidRDefault="006C1E26" w:rsidP="007E04FA">
            <w:pPr>
              <w:jc w:val="center"/>
              <w:rPr>
                <w:sz w:val="22"/>
                <w:szCs w:val="22"/>
              </w:rPr>
            </w:pPr>
            <w:r w:rsidRPr="00EA24B0">
              <w:rPr>
                <w:sz w:val="22"/>
                <w:szCs w:val="22"/>
              </w:rPr>
              <w:t>FPP</w:t>
            </w:r>
          </w:p>
        </w:tc>
        <w:tc>
          <w:tcPr>
            <w:tcW w:w="2946" w:type="dxa"/>
          </w:tcPr>
          <w:p w14:paraId="1EE30B3B" w14:textId="77777777" w:rsidR="006C1E26" w:rsidRPr="00EA24B0" w:rsidRDefault="006C1E26" w:rsidP="007E04FA">
            <w:pPr>
              <w:jc w:val="center"/>
              <w:rPr>
                <w:sz w:val="22"/>
                <w:szCs w:val="22"/>
              </w:rPr>
            </w:pPr>
            <w:r w:rsidRPr="00EA24B0">
              <w:rPr>
                <w:sz w:val="22"/>
                <w:szCs w:val="22"/>
              </w:rPr>
              <w:t>Analyst 2 ON</w:t>
            </w:r>
          </w:p>
        </w:tc>
        <w:tc>
          <w:tcPr>
            <w:tcW w:w="696" w:type="dxa"/>
          </w:tcPr>
          <w:p w14:paraId="0732A304" w14:textId="77777777" w:rsidR="006C1E26" w:rsidRPr="00EA24B0" w:rsidRDefault="006C1E26" w:rsidP="007E04FA">
            <w:pPr>
              <w:jc w:val="center"/>
              <w:rPr>
                <w:sz w:val="22"/>
                <w:szCs w:val="22"/>
              </w:rPr>
            </w:pPr>
            <w:r w:rsidRPr="00EA24B0">
              <w:rPr>
                <w:sz w:val="22"/>
                <w:szCs w:val="22"/>
              </w:rPr>
              <w:t>904</w:t>
            </w:r>
          </w:p>
        </w:tc>
        <w:tc>
          <w:tcPr>
            <w:tcW w:w="770" w:type="dxa"/>
          </w:tcPr>
          <w:p w14:paraId="3CA475FE" w14:textId="77777777" w:rsidR="006C1E26" w:rsidRPr="00EA24B0" w:rsidRDefault="006C1E26" w:rsidP="007E04FA">
            <w:pPr>
              <w:jc w:val="center"/>
              <w:rPr>
                <w:sz w:val="22"/>
                <w:szCs w:val="22"/>
              </w:rPr>
            </w:pPr>
            <w:r w:rsidRPr="00EA24B0">
              <w:rPr>
                <w:sz w:val="22"/>
                <w:szCs w:val="22"/>
              </w:rPr>
              <w:t>HR</w:t>
            </w:r>
          </w:p>
        </w:tc>
        <w:tc>
          <w:tcPr>
            <w:tcW w:w="1710" w:type="dxa"/>
          </w:tcPr>
          <w:p w14:paraId="0C4F6B31" w14:textId="77777777" w:rsidR="006C1E26" w:rsidRPr="00EA24B0" w:rsidRDefault="006C1E26" w:rsidP="007E04FA">
            <w:pPr>
              <w:jc w:val="center"/>
              <w:rPr>
                <w:sz w:val="22"/>
                <w:szCs w:val="22"/>
              </w:rPr>
            </w:pPr>
            <w:r w:rsidRPr="00EA24B0">
              <w:rPr>
                <w:sz w:val="22"/>
                <w:szCs w:val="22"/>
              </w:rPr>
              <w:t>$107.61</w:t>
            </w:r>
          </w:p>
        </w:tc>
        <w:tc>
          <w:tcPr>
            <w:tcW w:w="1908" w:type="dxa"/>
          </w:tcPr>
          <w:p w14:paraId="5DCFE914" w14:textId="77777777" w:rsidR="006C1E26" w:rsidRPr="00EA24B0" w:rsidRDefault="006C1E26" w:rsidP="007E04FA">
            <w:pPr>
              <w:jc w:val="center"/>
              <w:rPr>
                <w:sz w:val="22"/>
                <w:szCs w:val="22"/>
              </w:rPr>
            </w:pPr>
            <w:r w:rsidRPr="00EA24B0">
              <w:rPr>
                <w:sz w:val="22"/>
                <w:szCs w:val="22"/>
              </w:rPr>
              <w:t>$97,279.44</w:t>
            </w:r>
          </w:p>
        </w:tc>
      </w:tr>
      <w:tr w:rsidR="006C1E26" w:rsidRPr="00EA24B0" w14:paraId="474E19BD" w14:textId="77777777" w:rsidTr="007E04FA">
        <w:tc>
          <w:tcPr>
            <w:tcW w:w="916" w:type="dxa"/>
          </w:tcPr>
          <w:p w14:paraId="479C4B5F" w14:textId="77777777" w:rsidR="006C1E26" w:rsidRPr="00EA24B0" w:rsidRDefault="006C1E26" w:rsidP="007E04FA">
            <w:pPr>
              <w:jc w:val="center"/>
              <w:rPr>
                <w:sz w:val="22"/>
                <w:szCs w:val="22"/>
              </w:rPr>
            </w:pPr>
            <w:r w:rsidRPr="00EA24B0">
              <w:rPr>
                <w:sz w:val="22"/>
                <w:szCs w:val="22"/>
              </w:rPr>
              <w:t>0005</w:t>
            </w:r>
          </w:p>
          <w:p w14:paraId="520443BE" w14:textId="77777777" w:rsidR="006C1E26" w:rsidRPr="00EA24B0" w:rsidRDefault="006C1E26" w:rsidP="007E04FA">
            <w:pPr>
              <w:jc w:val="center"/>
              <w:rPr>
                <w:sz w:val="22"/>
                <w:szCs w:val="22"/>
              </w:rPr>
            </w:pPr>
            <w:r w:rsidRPr="00EA24B0">
              <w:rPr>
                <w:sz w:val="22"/>
                <w:szCs w:val="22"/>
              </w:rPr>
              <w:t>FPP</w:t>
            </w:r>
          </w:p>
        </w:tc>
        <w:tc>
          <w:tcPr>
            <w:tcW w:w="2946" w:type="dxa"/>
          </w:tcPr>
          <w:p w14:paraId="08A7ADC3" w14:textId="77777777" w:rsidR="006C1E26" w:rsidRPr="00EA24B0" w:rsidRDefault="006C1E26" w:rsidP="007E04FA">
            <w:pPr>
              <w:jc w:val="center"/>
              <w:rPr>
                <w:sz w:val="22"/>
                <w:szCs w:val="22"/>
              </w:rPr>
            </w:pPr>
            <w:r w:rsidRPr="00EA24B0">
              <w:rPr>
                <w:sz w:val="22"/>
                <w:szCs w:val="22"/>
              </w:rPr>
              <w:t>Specialist 3 OFF</w:t>
            </w:r>
          </w:p>
        </w:tc>
        <w:tc>
          <w:tcPr>
            <w:tcW w:w="696" w:type="dxa"/>
          </w:tcPr>
          <w:p w14:paraId="23C1CE3C" w14:textId="77777777" w:rsidR="006C1E26" w:rsidRPr="00EA24B0" w:rsidRDefault="006C1E26" w:rsidP="007E04FA">
            <w:pPr>
              <w:jc w:val="center"/>
              <w:rPr>
                <w:sz w:val="22"/>
                <w:szCs w:val="22"/>
              </w:rPr>
            </w:pPr>
            <w:r w:rsidRPr="00EA24B0">
              <w:rPr>
                <w:sz w:val="22"/>
                <w:szCs w:val="22"/>
              </w:rPr>
              <w:t>26</w:t>
            </w:r>
          </w:p>
        </w:tc>
        <w:tc>
          <w:tcPr>
            <w:tcW w:w="770" w:type="dxa"/>
          </w:tcPr>
          <w:p w14:paraId="5D1196B5" w14:textId="77777777" w:rsidR="006C1E26" w:rsidRPr="00EA24B0" w:rsidRDefault="006C1E26" w:rsidP="007E04FA">
            <w:pPr>
              <w:jc w:val="center"/>
              <w:rPr>
                <w:sz w:val="22"/>
                <w:szCs w:val="22"/>
              </w:rPr>
            </w:pPr>
            <w:r w:rsidRPr="00EA24B0">
              <w:rPr>
                <w:sz w:val="22"/>
                <w:szCs w:val="22"/>
              </w:rPr>
              <w:t>HR</w:t>
            </w:r>
          </w:p>
        </w:tc>
        <w:tc>
          <w:tcPr>
            <w:tcW w:w="1710" w:type="dxa"/>
          </w:tcPr>
          <w:p w14:paraId="06CF7F77" w14:textId="77777777" w:rsidR="006C1E26" w:rsidRPr="00EA24B0" w:rsidRDefault="006C1E26" w:rsidP="007E04FA">
            <w:pPr>
              <w:jc w:val="center"/>
              <w:rPr>
                <w:sz w:val="22"/>
                <w:szCs w:val="22"/>
              </w:rPr>
            </w:pPr>
            <w:r w:rsidRPr="00EA24B0">
              <w:rPr>
                <w:sz w:val="22"/>
                <w:szCs w:val="22"/>
              </w:rPr>
              <w:t>103.28</w:t>
            </w:r>
          </w:p>
        </w:tc>
        <w:tc>
          <w:tcPr>
            <w:tcW w:w="1908" w:type="dxa"/>
          </w:tcPr>
          <w:p w14:paraId="6159A64F" w14:textId="4AFC2C2D" w:rsidR="006C1E26" w:rsidRPr="00EA24B0" w:rsidRDefault="006C1E26" w:rsidP="007E04FA">
            <w:pPr>
              <w:jc w:val="center"/>
              <w:rPr>
                <w:sz w:val="22"/>
                <w:szCs w:val="22"/>
              </w:rPr>
            </w:pPr>
            <w:r w:rsidRPr="00EA24B0">
              <w:rPr>
                <w:sz w:val="22"/>
                <w:szCs w:val="22"/>
              </w:rPr>
              <w:t>$2</w:t>
            </w:r>
            <w:r w:rsidR="0083243D" w:rsidRPr="00EA24B0">
              <w:rPr>
                <w:sz w:val="22"/>
                <w:szCs w:val="22"/>
              </w:rPr>
              <w:t>,</w:t>
            </w:r>
            <w:r w:rsidRPr="00EA24B0">
              <w:rPr>
                <w:sz w:val="22"/>
                <w:szCs w:val="22"/>
              </w:rPr>
              <w:t>685.28</w:t>
            </w:r>
          </w:p>
        </w:tc>
      </w:tr>
      <w:tr w:rsidR="006C1E26" w:rsidRPr="00EA24B0" w14:paraId="549021D3" w14:textId="77777777" w:rsidTr="007E04FA">
        <w:tc>
          <w:tcPr>
            <w:tcW w:w="916" w:type="dxa"/>
          </w:tcPr>
          <w:p w14:paraId="1A3E36DD" w14:textId="77777777" w:rsidR="006C1E26" w:rsidRPr="00EA24B0" w:rsidRDefault="006C1E26" w:rsidP="007E04FA">
            <w:pPr>
              <w:jc w:val="center"/>
              <w:rPr>
                <w:sz w:val="22"/>
                <w:szCs w:val="22"/>
              </w:rPr>
            </w:pPr>
            <w:r w:rsidRPr="00EA24B0">
              <w:rPr>
                <w:sz w:val="22"/>
                <w:szCs w:val="22"/>
              </w:rPr>
              <w:t>0006</w:t>
            </w:r>
          </w:p>
          <w:p w14:paraId="5FCB6F89" w14:textId="77777777" w:rsidR="006C1E26" w:rsidRPr="00EA24B0" w:rsidRDefault="006C1E26" w:rsidP="007E04FA">
            <w:pPr>
              <w:jc w:val="center"/>
              <w:rPr>
                <w:sz w:val="22"/>
                <w:szCs w:val="22"/>
              </w:rPr>
            </w:pPr>
            <w:r w:rsidRPr="00EA24B0">
              <w:rPr>
                <w:sz w:val="22"/>
                <w:szCs w:val="22"/>
              </w:rPr>
              <w:t>FPP</w:t>
            </w:r>
          </w:p>
        </w:tc>
        <w:tc>
          <w:tcPr>
            <w:tcW w:w="2946" w:type="dxa"/>
          </w:tcPr>
          <w:p w14:paraId="1A82BDE7" w14:textId="77777777" w:rsidR="006C1E26" w:rsidRPr="00EA24B0" w:rsidRDefault="006C1E26" w:rsidP="007E04FA">
            <w:pPr>
              <w:jc w:val="center"/>
              <w:rPr>
                <w:sz w:val="22"/>
                <w:szCs w:val="22"/>
              </w:rPr>
            </w:pPr>
            <w:r w:rsidRPr="00EA24B0">
              <w:rPr>
                <w:sz w:val="22"/>
                <w:szCs w:val="22"/>
              </w:rPr>
              <w:t>Research Specialist ON</w:t>
            </w:r>
          </w:p>
        </w:tc>
        <w:tc>
          <w:tcPr>
            <w:tcW w:w="696" w:type="dxa"/>
          </w:tcPr>
          <w:p w14:paraId="24BC064F" w14:textId="77777777" w:rsidR="006C1E26" w:rsidRPr="00EA24B0" w:rsidRDefault="006C1E26" w:rsidP="007E04FA">
            <w:pPr>
              <w:jc w:val="center"/>
              <w:rPr>
                <w:sz w:val="22"/>
                <w:szCs w:val="22"/>
              </w:rPr>
            </w:pPr>
            <w:r w:rsidRPr="00EA24B0">
              <w:rPr>
                <w:sz w:val="22"/>
                <w:szCs w:val="22"/>
              </w:rPr>
              <w:t>636</w:t>
            </w:r>
          </w:p>
        </w:tc>
        <w:tc>
          <w:tcPr>
            <w:tcW w:w="770" w:type="dxa"/>
          </w:tcPr>
          <w:p w14:paraId="5C4AD1CD" w14:textId="77777777" w:rsidR="006C1E26" w:rsidRPr="00EA24B0" w:rsidRDefault="006C1E26" w:rsidP="007E04FA">
            <w:pPr>
              <w:jc w:val="center"/>
              <w:rPr>
                <w:sz w:val="22"/>
                <w:szCs w:val="22"/>
              </w:rPr>
            </w:pPr>
            <w:r w:rsidRPr="00EA24B0">
              <w:rPr>
                <w:sz w:val="22"/>
                <w:szCs w:val="22"/>
              </w:rPr>
              <w:t>HR</w:t>
            </w:r>
          </w:p>
        </w:tc>
        <w:tc>
          <w:tcPr>
            <w:tcW w:w="1710" w:type="dxa"/>
          </w:tcPr>
          <w:p w14:paraId="3D5F7BCA" w14:textId="77777777" w:rsidR="006C1E26" w:rsidRPr="00EA24B0" w:rsidRDefault="006C1E26" w:rsidP="007E04FA">
            <w:pPr>
              <w:jc w:val="center"/>
              <w:rPr>
                <w:sz w:val="22"/>
                <w:szCs w:val="22"/>
              </w:rPr>
            </w:pPr>
            <w:r w:rsidRPr="00EA24B0">
              <w:rPr>
                <w:sz w:val="22"/>
                <w:szCs w:val="22"/>
              </w:rPr>
              <w:t>$82.57</w:t>
            </w:r>
          </w:p>
        </w:tc>
        <w:tc>
          <w:tcPr>
            <w:tcW w:w="1908" w:type="dxa"/>
          </w:tcPr>
          <w:p w14:paraId="131CD7D1" w14:textId="77777777" w:rsidR="006C1E26" w:rsidRPr="00EA24B0" w:rsidRDefault="006C1E26" w:rsidP="007E04FA">
            <w:pPr>
              <w:jc w:val="center"/>
              <w:rPr>
                <w:sz w:val="22"/>
                <w:szCs w:val="22"/>
              </w:rPr>
            </w:pPr>
            <w:r w:rsidRPr="00EA24B0">
              <w:rPr>
                <w:sz w:val="22"/>
                <w:szCs w:val="22"/>
              </w:rPr>
              <w:t>$52,514.52</w:t>
            </w:r>
          </w:p>
        </w:tc>
      </w:tr>
      <w:tr w:rsidR="006C1E26" w:rsidRPr="00EA24B0" w14:paraId="383E499C" w14:textId="77777777" w:rsidTr="007E04FA">
        <w:tc>
          <w:tcPr>
            <w:tcW w:w="916" w:type="dxa"/>
          </w:tcPr>
          <w:p w14:paraId="386E7EA2" w14:textId="77777777" w:rsidR="006C1E26" w:rsidRPr="00EA24B0" w:rsidRDefault="006C1E26" w:rsidP="007E04FA">
            <w:pPr>
              <w:jc w:val="center"/>
              <w:rPr>
                <w:sz w:val="22"/>
                <w:szCs w:val="22"/>
              </w:rPr>
            </w:pPr>
            <w:r w:rsidRPr="00EA24B0">
              <w:rPr>
                <w:sz w:val="22"/>
                <w:szCs w:val="22"/>
              </w:rPr>
              <w:t>0007</w:t>
            </w:r>
          </w:p>
          <w:p w14:paraId="01FCE4AC" w14:textId="77777777" w:rsidR="006C1E26" w:rsidRPr="00EA24B0" w:rsidRDefault="006C1E26" w:rsidP="007E04FA">
            <w:pPr>
              <w:jc w:val="center"/>
              <w:rPr>
                <w:sz w:val="22"/>
                <w:szCs w:val="22"/>
              </w:rPr>
            </w:pPr>
            <w:r w:rsidRPr="00EA24B0">
              <w:rPr>
                <w:sz w:val="22"/>
                <w:szCs w:val="22"/>
              </w:rPr>
              <w:t>FPP</w:t>
            </w:r>
          </w:p>
        </w:tc>
        <w:tc>
          <w:tcPr>
            <w:tcW w:w="2946" w:type="dxa"/>
          </w:tcPr>
          <w:p w14:paraId="5DDD4977" w14:textId="77777777" w:rsidR="006C1E26" w:rsidRPr="00EA24B0" w:rsidRDefault="006C1E26" w:rsidP="007E04FA">
            <w:pPr>
              <w:jc w:val="center"/>
              <w:rPr>
                <w:sz w:val="22"/>
                <w:szCs w:val="22"/>
              </w:rPr>
            </w:pPr>
            <w:r w:rsidRPr="00EA24B0">
              <w:rPr>
                <w:sz w:val="22"/>
                <w:szCs w:val="22"/>
              </w:rPr>
              <w:t>Project Leader 2 ON</w:t>
            </w:r>
          </w:p>
        </w:tc>
        <w:tc>
          <w:tcPr>
            <w:tcW w:w="696" w:type="dxa"/>
          </w:tcPr>
          <w:p w14:paraId="0D582FCE" w14:textId="77777777" w:rsidR="006C1E26" w:rsidRPr="00EA24B0" w:rsidRDefault="006C1E26" w:rsidP="007E04FA">
            <w:pPr>
              <w:jc w:val="center"/>
              <w:rPr>
                <w:sz w:val="22"/>
                <w:szCs w:val="22"/>
              </w:rPr>
            </w:pPr>
            <w:r w:rsidRPr="00EA24B0">
              <w:rPr>
                <w:sz w:val="22"/>
                <w:szCs w:val="22"/>
              </w:rPr>
              <w:t>124</w:t>
            </w:r>
          </w:p>
        </w:tc>
        <w:tc>
          <w:tcPr>
            <w:tcW w:w="770" w:type="dxa"/>
          </w:tcPr>
          <w:p w14:paraId="0B2EA697" w14:textId="77777777" w:rsidR="006C1E26" w:rsidRPr="00EA24B0" w:rsidRDefault="006C1E26" w:rsidP="007E04FA">
            <w:pPr>
              <w:jc w:val="center"/>
              <w:rPr>
                <w:sz w:val="22"/>
                <w:szCs w:val="22"/>
              </w:rPr>
            </w:pPr>
            <w:r w:rsidRPr="00EA24B0">
              <w:rPr>
                <w:sz w:val="22"/>
                <w:szCs w:val="22"/>
              </w:rPr>
              <w:t>HR</w:t>
            </w:r>
          </w:p>
        </w:tc>
        <w:tc>
          <w:tcPr>
            <w:tcW w:w="1710" w:type="dxa"/>
          </w:tcPr>
          <w:p w14:paraId="17B99D8A" w14:textId="77777777" w:rsidR="006C1E26" w:rsidRPr="00EA24B0" w:rsidRDefault="006C1E26" w:rsidP="007E04FA">
            <w:pPr>
              <w:jc w:val="center"/>
              <w:rPr>
                <w:sz w:val="22"/>
                <w:szCs w:val="22"/>
              </w:rPr>
            </w:pPr>
            <w:r w:rsidRPr="00EA24B0">
              <w:rPr>
                <w:sz w:val="22"/>
                <w:szCs w:val="22"/>
              </w:rPr>
              <w:t>$220.33</w:t>
            </w:r>
          </w:p>
        </w:tc>
        <w:tc>
          <w:tcPr>
            <w:tcW w:w="1908" w:type="dxa"/>
          </w:tcPr>
          <w:p w14:paraId="46DD70D4" w14:textId="77777777" w:rsidR="006C1E26" w:rsidRPr="00EA24B0" w:rsidRDefault="006C1E26" w:rsidP="007E04FA">
            <w:pPr>
              <w:jc w:val="center"/>
              <w:rPr>
                <w:sz w:val="22"/>
                <w:szCs w:val="22"/>
              </w:rPr>
            </w:pPr>
            <w:r w:rsidRPr="00EA24B0">
              <w:rPr>
                <w:sz w:val="22"/>
                <w:szCs w:val="22"/>
              </w:rPr>
              <w:t>$27,320.92</w:t>
            </w:r>
          </w:p>
        </w:tc>
      </w:tr>
      <w:tr w:rsidR="006C1E26" w:rsidRPr="00EA24B0" w14:paraId="360D4D53" w14:textId="77777777" w:rsidTr="007E04FA">
        <w:tc>
          <w:tcPr>
            <w:tcW w:w="916" w:type="dxa"/>
          </w:tcPr>
          <w:p w14:paraId="489AC248" w14:textId="77777777" w:rsidR="006C1E26" w:rsidRPr="00EA24B0" w:rsidRDefault="006C1E26" w:rsidP="007E04FA">
            <w:pPr>
              <w:jc w:val="center"/>
              <w:rPr>
                <w:sz w:val="22"/>
                <w:szCs w:val="22"/>
              </w:rPr>
            </w:pPr>
            <w:r w:rsidRPr="00EA24B0">
              <w:rPr>
                <w:sz w:val="22"/>
                <w:szCs w:val="22"/>
              </w:rPr>
              <w:t>0008</w:t>
            </w:r>
          </w:p>
          <w:p w14:paraId="741C3179" w14:textId="77777777" w:rsidR="006C1E26" w:rsidRPr="00EA24B0" w:rsidRDefault="006C1E26" w:rsidP="007E04FA">
            <w:pPr>
              <w:jc w:val="center"/>
              <w:rPr>
                <w:sz w:val="22"/>
                <w:szCs w:val="22"/>
              </w:rPr>
            </w:pPr>
            <w:r w:rsidRPr="00EA24B0">
              <w:rPr>
                <w:sz w:val="22"/>
                <w:szCs w:val="22"/>
              </w:rPr>
              <w:t>FPP</w:t>
            </w:r>
          </w:p>
        </w:tc>
        <w:tc>
          <w:tcPr>
            <w:tcW w:w="2946" w:type="dxa"/>
          </w:tcPr>
          <w:p w14:paraId="78A2EFAE" w14:textId="77777777" w:rsidR="006C1E26" w:rsidRPr="00EA24B0" w:rsidRDefault="006C1E26" w:rsidP="007E04FA">
            <w:pPr>
              <w:jc w:val="center"/>
              <w:rPr>
                <w:sz w:val="22"/>
                <w:szCs w:val="22"/>
              </w:rPr>
            </w:pPr>
            <w:r w:rsidRPr="00EA24B0">
              <w:rPr>
                <w:sz w:val="22"/>
                <w:szCs w:val="22"/>
              </w:rPr>
              <w:t>Senior Specialist 3 ON</w:t>
            </w:r>
          </w:p>
        </w:tc>
        <w:tc>
          <w:tcPr>
            <w:tcW w:w="696" w:type="dxa"/>
          </w:tcPr>
          <w:p w14:paraId="1DD1E8D0" w14:textId="77777777" w:rsidR="006C1E26" w:rsidRPr="00EA24B0" w:rsidRDefault="006C1E26" w:rsidP="007E04FA">
            <w:pPr>
              <w:jc w:val="center"/>
              <w:rPr>
                <w:sz w:val="22"/>
                <w:szCs w:val="22"/>
              </w:rPr>
            </w:pPr>
            <w:r w:rsidRPr="00EA24B0">
              <w:rPr>
                <w:sz w:val="22"/>
                <w:szCs w:val="22"/>
              </w:rPr>
              <w:t>320</w:t>
            </w:r>
          </w:p>
        </w:tc>
        <w:tc>
          <w:tcPr>
            <w:tcW w:w="770" w:type="dxa"/>
          </w:tcPr>
          <w:p w14:paraId="18DD3E1E" w14:textId="77777777" w:rsidR="006C1E26" w:rsidRPr="00EA24B0" w:rsidRDefault="006C1E26" w:rsidP="007E04FA">
            <w:pPr>
              <w:jc w:val="center"/>
              <w:rPr>
                <w:sz w:val="22"/>
                <w:szCs w:val="22"/>
              </w:rPr>
            </w:pPr>
            <w:r w:rsidRPr="00EA24B0">
              <w:rPr>
                <w:sz w:val="22"/>
                <w:szCs w:val="22"/>
              </w:rPr>
              <w:t>HR</w:t>
            </w:r>
          </w:p>
        </w:tc>
        <w:tc>
          <w:tcPr>
            <w:tcW w:w="1710" w:type="dxa"/>
          </w:tcPr>
          <w:p w14:paraId="7AA4D478" w14:textId="77777777" w:rsidR="006C1E26" w:rsidRPr="00EA24B0" w:rsidRDefault="006C1E26" w:rsidP="007E04FA">
            <w:pPr>
              <w:jc w:val="center"/>
              <w:rPr>
                <w:sz w:val="22"/>
                <w:szCs w:val="22"/>
              </w:rPr>
            </w:pPr>
            <w:r w:rsidRPr="00EA24B0">
              <w:rPr>
                <w:sz w:val="22"/>
                <w:szCs w:val="22"/>
              </w:rPr>
              <w:t>$186.52</w:t>
            </w:r>
          </w:p>
        </w:tc>
        <w:tc>
          <w:tcPr>
            <w:tcW w:w="1908" w:type="dxa"/>
          </w:tcPr>
          <w:p w14:paraId="2077FC0D" w14:textId="77777777" w:rsidR="006C1E26" w:rsidRPr="00EA24B0" w:rsidRDefault="006C1E26" w:rsidP="007E04FA">
            <w:pPr>
              <w:jc w:val="center"/>
              <w:rPr>
                <w:sz w:val="22"/>
                <w:szCs w:val="22"/>
              </w:rPr>
            </w:pPr>
            <w:r w:rsidRPr="00EA24B0">
              <w:rPr>
                <w:sz w:val="22"/>
                <w:szCs w:val="22"/>
              </w:rPr>
              <w:t>$59,686.40</w:t>
            </w:r>
          </w:p>
        </w:tc>
      </w:tr>
      <w:tr w:rsidR="006C1E26" w:rsidRPr="00EA24B0" w14:paraId="22CA5177" w14:textId="77777777" w:rsidTr="007E04FA">
        <w:tc>
          <w:tcPr>
            <w:tcW w:w="916" w:type="dxa"/>
          </w:tcPr>
          <w:p w14:paraId="375C3162" w14:textId="77777777" w:rsidR="006C1E26" w:rsidRPr="00EA24B0" w:rsidRDefault="006C1E26" w:rsidP="007E04FA">
            <w:pPr>
              <w:jc w:val="center"/>
              <w:rPr>
                <w:sz w:val="22"/>
                <w:szCs w:val="22"/>
              </w:rPr>
            </w:pPr>
            <w:r w:rsidRPr="00EA24B0">
              <w:rPr>
                <w:sz w:val="22"/>
                <w:szCs w:val="22"/>
              </w:rPr>
              <w:t>0009</w:t>
            </w:r>
          </w:p>
          <w:p w14:paraId="66DF5A56" w14:textId="77777777" w:rsidR="006C1E26" w:rsidRPr="00EA24B0" w:rsidRDefault="006C1E26" w:rsidP="007E04FA">
            <w:pPr>
              <w:jc w:val="center"/>
              <w:rPr>
                <w:sz w:val="22"/>
                <w:szCs w:val="22"/>
              </w:rPr>
            </w:pPr>
            <w:r w:rsidRPr="00EA24B0">
              <w:rPr>
                <w:sz w:val="22"/>
                <w:szCs w:val="22"/>
              </w:rPr>
              <w:t>FPP</w:t>
            </w:r>
          </w:p>
        </w:tc>
        <w:tc>
          <w:tcPr>
            <w:tcW w:w="2946" w:type="dxa"/>
          </w:tcPr>
          <w:p w14:paraId="21997800" w14:textId="77777777" w:rsidR="006C1E26" w:rsidRPr="00EA24B0" w:rsidRDefault="006C1E26" w:rsidP="007E04FA">
            <w:pPr>
              <w:jc w:val="center"/>
              <w:rPr>
                <w:sz w:val="22"/>
                <w:szCs w:val="22"/>
              </w:rPr>
            </w:pPr>
            <w:r w:rsidRPr="00EA24B0">
              <w:rPr>
                <w:sz w:val="22"/>
                <w:szCs w:val="22"/>
              </w:rPr>
              <w:t>Analyst 1 ON</w:t>
            </w:r>
          </w:p>
        </w:tc>
        <w:tc>
          <w:tcPr>
            <w:tcW w:w="696" w:type="dxa"/>
          </w:tcPr>
          <w:p w14:paraId="179D5AEA" w14:textId="77777777" w:rsidR="006C1E26" w:rsidRPr="00EA24B0" w:rsidRDefault="006C1E26" w:rsidP="007E04FA">
            <w:pPr>
              <w:jc w:val="center"/>
              <w:rPr>
                <w:sz w:val="22"/>
                <w:szCs w:val="22"/>
              </w:rPr>
            </w:pPr>
            <w:r w:rsidRPr="00EA24B0">
              <w:rPr>
                <w:sz w:val="22"/>
                <w:szCs w:val="22"/>
              </w:rPr>
              <w:t>100</w:t>
            </w:r>
          </w:p>
        </w:tc>
        <w:tc>
          <w:tcPr>
            <w:tcW w:w="770" w:type="dxa"/>
          </w:tcPr>
          <w:p w14:paraId="0AB57E5B" w14:textId="77777777" w:rsidR="006C1E26" w:rsidRPr="00EA24B0" w:rsidRDefault="006C1E26" w:rsidP="007E04FA">
            <w:pPr>
              <w:jc w:val="center"/>
              <w:rPr>
                <w:sz w:val="22"/>
                <w:szCs w:val="22"/>
              </w:rPr>
            </w:pPr>
            <w:r w:rsidRPr="00EA24B0">
              <w:rPr>
                <w:sz w:val="22"/>
                <w:szCs w:val="22"/>
              </w:rPr>
              <w:t>HR</w:t>
            </w:r>
          </w:p>
        </w:tc>
        <w:tc>
          <w:tcPr>
            <w:tcW w:w="1710" w:type="dxa"/>
          </w:tcPr>
          <w:p w14:paraId="6FBD1723" w14:textId="77777777" w:rsidR="006C1E26" w:rsidRPr="00EA24B0" w:rsidRDefault="006C1E26" w:rsidP="007E04FA">
            <w:pPr>
              <w:jc w:val="center"/>
              <w:rPr>
                <w:sz w:val="22"/>
                <w:szCs w:val="22"/>
              </w:rPr>
            </w:pPr>
            <w:r w:rsidRPr="00EA24B0">
              <w:rPr>
                <w:sz w:val="22"/>
                <w:szCs w:val="22"/>
              </w:rPr>
              <w:t>$127.35</w:t>
            </w:r>
          </w:p>
        </w:tc>
        <w:tc>
          <w:tcPr>
            <w:tcW w:w="1908" w:type="dxa"/>
          </w:tcPr>
          <w:p w14:paraId="442D8EC1" w14:textId="77777777" w:rsidR="006C1E26" w:rsidRPr="00EA24B0" w:rsidRDefault="006C1E26" w:rsidP="007E04FA">
            <w:pPr>
              <w:jc w:val="center"/>
              <w:rPr>
                <w:sz w:val="22"/>
                <w:szCs w:val="22"/>
              </w:rPr>
            </w:pPr>
            <w:r w:rsidRPr="00EA24B0">
              <w:rPr>
                <w:sz w:val="22"/>
                <w:szCs w:val="22"/>
              </w:rPr>
              <w:t>$12,735.00</w:t>
            </w:r>
          </w:p>
        </w:tc>
      </w:tr>
      <w:tr w:rsidR="006C1E26" w:rsidRPr="00EA24B0" w14:paraId="3DEACD2F" w14:textId="77777777" w:rsidTr="007E04FA">
        <w:tc>
          <w:tcPr>
            <w:tcW w:w="916" w:type="dxa"/>
          </w:tcPr>
          <w:p w14:paraId="46A4036B" w14:textId="77777777" w:rsidR="006C1E26" w:rsidRPr="00EA24B0" w:rsidRDefault="006C1E26" w:rsidP="007E04FA">
            <w:pPr>
              <w:jc w:val="center"/>
              <w:rPr>
                <w:sz w:val="22"/>
                <w:szCs w:val="22"/>
              </w:rPr>
            </w:pPr>
            <w:r w:rsidRPr="00EA24B0">
              <w:rPr>
                <w:sz w:val="22"/>
                <w:szCs w:val="22"/>
              </w:rPr>
              <w:t>0010</w:t>
            </w:r>
          </w:p>
          <w:p w14:paraId="1D23FAC3" w14:textId="77777777" w:rsidR="006C1E26" w:rsidRPr="00EA24B0" w:rsidRDefault="006C1E26" w:rsidP="007E04FA">
            <w:pPr>
              <w:jc w:val="center"/>
              <w:rPr>
                <w:sz w:val="22"/>
                <w:szCs w:val="22"/>
              </w:rPr>
            </w:pPr>
            <w:r w:rsidRPr="00EA24B0">
              <w:rPr>
                <w:sz w:val="22"/>
                <w:szCs w:val="22"/>
              </w:rPr>
              <w:t>FPP</w:t>
            </w:r>
          </w:p>
        </w:tc>
        <w:tc>
          <w:tcPr>
            <w:tcW w:w="2946" w:type="dxa"/>
          </w:tcPr>
          <w:p w14:paraId="0857CAFB" w14:textId="77777777" w:rsidR="006C1E26" w:rsidRPr="00EA24B0" w:rsidRDefault="006C1E26" w:rsidP="007E04FA">
            <w:pPr>
              <w:jc w:val="center"/>
              <w:rPr>
                <w:sz w:val="22"/>
                <w:szCs w:val="22"/>
              </w:rPr>
            </w:pPr>
            <w:r w:rsidRPr="00EA24B0">
              <w:rPr>
                <w:sz w:val="22"/>
                <w:szCs w:val="22"/>
              </w:rPr>
              <w:t>Analyst 2 ON</w:t>
            </w:r>
          </w:p>
        </w:tc>
        <w:tc>
          <w:tcPr>
            <w:tcW w:w="696" w:type="dxa"/>
          </w:tcPr>
          <w:p w14:paraId="2B12C53E" w14:textId="77777777" w:rsidR="006C1E26" w:rsidRPr="00EA24B0" w:rsidRDefault="006C1E26" w:rsidP="007E04FA">
            <w:pPr>
              <w:jc w:val="center"/>
              <w:rPr>
                <w:sz w:val="22"/>
                <w:szCs w:val="22"/>
              </w:rPr>
            </w:pPr>
            <w:r w:rsidRPr="00EA24B0">
              <w:rPr>
                <w:sz w:val="22"/>
                <w:szCs w:val="22"/>
              </w:rPr>
              <w:t>240</w:t>
            </w:r>
          </w:p>
        </w:tc>
        <w:tc>
          <w:tcPr>
            <w:tcW w:w="770" w:type="dxa"/>
          </w:tcPr>
          <w:p w14:paraId="0A25AEFF" w14:textId="77777777" w:rsidR="006C1E26" w:rsidRPr="00EA24B0" w:rsidRDefault="006C1E26" w:rsidP="007E04FA">
            <w:pPr>
              <w:jc w:val="center"/>
              <w:rPr>
                <w:sz w:val="22"/>
                <w:szCs w:val="22"/>
              </w:rPr>
            </w:pPr>
            <w:r w:rsidRPr="00EA24B0">
              <w:rPr>
                <w:sz w:val="22"/>
                <w:szCs w:val="22"/>
              </w:rPr>
              <w:t>HR</w:t>
            </w:r>
          </w:p>
        </w:tc>
        <w:tc>
          <w:tcPr>
            <w:tcW w:w="1710" w:type="dxa"/>
          </w:tcPr>
          <w:p w14:paraId="62B72D73" w14:textId="77777777" w:rsidR="006C1E26" w:rsidRPr="00EA24B0" w:rsidRDefault="006C1E26" w:rsidP="007E04FA">
            <w:pPr>
              <w:jc w:val="center"/>
              <w:rPr>
                <w:sz w:val="22"/>
                <w:szCs w:val="22"/>
              </w:rPr>
            </w:pPr>
            <w:r w:rsidRPr="00EA24B0">
              <w:rPr>
                <w:sz w:val="22"/>
                <w:szCs w:val="22"/>
              </w:rPr>
              <w:t>$111.65</w:t>
            </w:r>
          </w:p>
        </w:tc>
        <w:tc>
          <w:tcPr>
            <w:tcW w:w="1908" w:type="dxa"/>
          </w:tcPr>
          <w:p w14:paraId="28577330" w14:textId="77777777" w:rsidR="006C1E26" w:rsidRPr="00EA24B0" w:rsidRDefault="006C1E26" w:rsidP="007E04FA">
            <w:pPr>
              <w:jc w:val="center"/>
              <w:rPr>
                <w:sz w:val="22"/>
                <w:szCs w:val="22"/>
              </w:rPr>
            </w:pPr>
            <w:r w:rsidRPr="00EA24B0">
              <w:rPr>
                <w:sz w:val="22"/>
                <w:szCs w:val="22"/>
              </w:rPr>
              <w:t>$26,796.00</w:t>
            </w:r>
          </w:p>
        </w:tc>
      </w:tr>
      <w:tr w:rsidR="006C1E26" w:rsidRPr="00EA24B0" w14:paraId="71D38D9E" w14:textId="77777777" w:rsidTr="007E04FA">
        <w:tc>
          <w:tcPr>
            <w:tcW w:w="916" w:type="dxa"/>
          </w:tcPr>
          <w:p w14:paraId="73CE4842" w14:textId="77777777" w:rsidR="006C1E26" w:rsidRPr="00EA24B0" w:rsidRDefault="006C1E26" w:rsidP="007E04FA">
            <w:pPr>
              <w:jc w:val="center"/>
              <w:rPr>
                <w:sz w:val="22"/>
                <w:szCs w:val="22"/>
              </w:rPr>
            </w:pPr>
            <w:r w:rsidRPr="00EA24B0">
              <w:rPr>
                <w:sz w:val="22"/>
                <w:szCs w:val="22"/>
              </w:rPr>
              <w:t>0011</w:t>
            </w:r>
          </w:p>
          <w:p w14:paraId="4BB6F10E" w14:textId="77777777" w:rsidR="006C1E26" w:rsidRPr="00EA24B0" w:rsidRDefault="006C1E26" w:rsidP="007E04FA">
            <w:pPr>
              <w:jc w:val="center"/>
              <w:rPr>
                <w:sz w:val="22"/>
                <w:szCs w:val="22"/>
              </w:rPr>
            </w:pPr>
            <w:r w:rsidRPr="00EA24B0">
              <w:rPr>
                <w:sz w:val="22"/>
                <w:szCs w:val="22"/>
              </w:rPr>
              <w:t>FPP</w:t>
            </w:r>
          </w:p>
        </w:tc>
        <w:tc>
          <w:tcPr>
            <w:tcW w:w="2946" w:type="dxa"/>
          </w:tcPr>
          <w:p w14:paraId="444A8146" w14:textId="77777777" w:rsidR="006C1E26" w:rsidRPr="00EA24B0" w:rsidRDefault="006C1E26" w:rsidP="007E04FA">
            <w:pPr>
              <w:jc w:val="center"/>
              <w:rPr>
                <w:sz w:val="22"/>
                <w:szCs w:val="22"/>
              </w:rPr>
            </w:pPr>
            <w:r w:rsidRPr="00EA24B0">
              <w:rPr>
                <w:sz w:val="22"/>
                <w:szCs w:val="22"/>
              </w:rPr>
              <w:t>Research Specialist ON</w:t>
            </w:r>
          </w:p>
        </w:tc>
        <w:tc>
          <w:tcPr>
            <w:tcW w:w="696" w:type="dxa"/>
          </w:tcPr>
          <w:p w14:paraId="794E3670" w14:textId="77777777" w:rsidR="006C1E26" w:rsidRPr="00EA24B0" w:rsidRDefault="006C1E26" w:rsidP="007E04FA">
            <w:pPr>
              <w:jc w:val="center"/>
              <w:rPr>
                <w:sz w:val="22"/>
                <w:szCs w:val="22"/>
              </w:rPr>
            </w:pPr>
            <w:r w:rsidRPr="00EA24B0">
              <w:rPr>
                <w:sz w:val="22"/>
                <w:szCs w:val="22"/>
              </w:rPr>
              <w:t>240</w:t>
            </w:r>
          </w:p>
        </w:tc>
        <w:tc>
          <w:tcPr>
            <w:tcW w:w="770" w:type="dxa"/>
          </w:tcPr>
          <w:p w14:paraId="488B68FD" w14:textId="77777777" w:rsidR="006C1E26" w:rsidRPr="00EA24B0" w:rsidRDefault="006C1E26" w:rsidP="007E04FA">
            <w:pPr>
              <w:jc w:val="center"/>
              <w:rPr>
                <w:sz w:val="22"/>
                <w:szCs w:val="22"/>
              </w:rPr>
            </w:pPr>
            <w:r w:rsidRPr="00EA24B0">
              <w:rPr>
                <w:sz w:val="22"/>
                <w:szCs w:val="22"/>
              </w:rPr>
              <w:t>HR</w:t>
            </w:r>
          </w:p>
        </w:tc>
        <w:tc>
          <w:tcPr>
            <w:tcW w:w="1710" w:type="dxa"/>
          </w:tcPr>
          <w:p w14:paraId="274786F5" w14:textId="77777777" w:rsidR="006C1E26" w:rsidRPr="00EA24B0" w:rsidRDefault="006C1E26" w:rsidP="007E04FA">
            <w:pPr>
              <w:jc w:val="center"/>
              <w:rPr>
                <w:sz w:val="22"/>
                <w:szCs w:val="22"/>
              </w:rPr>
            </w:pPr>
            <w:r w:rsidRPr="00EA24B0">
              <w:rPr>
                <w:sz w:val="22"/>
                <w:szCs w:val="22"/>
              </w:rPr>
              <w:t>$85.67</w:t>
            </w:r>
          </w:p>
        </w:tc>
        <w:tc>
          <w:tcPr>
            <w:tcW w:w="1908" w:type="dxa"/>
          </w:tcPr>
          <w:p w14:paraId="7E111EB2" w14:textId="77777777" w:rsidR="006C1E26" w:rsidRPr="00EA24B0" w:rsidRDefault="006C1E26" w:rsidP="007E04FA">
            <w:pPr>
              <w:jc w:val="center"/>
              <w:rPr>
                <w:sz w:val="22"/>
                <w:szCs w:val="22"/>
              </w:rPr>
            </w:pPr>
            <w:r w:rsidRPr="00EA24B0">
              <w:rPr>
                <w:sz w:val="22"/>
                <w:szCs w:val="22"/>
              </w:rPr>
              <w:t>$20,560.80</w:t>
            </w:r>
          </w:p>
        </w:tc>
      </w:tr>
      <w:tr w:rsidR="006C1E26" w:rsidRPr="00EA24B0" w14:paraId="15F10946" w14:textId="77777777" w:rsidTr="007E04FA">
        <w:tc>
          <w:tcPr>
            <w:tcW w:w="916" w:type="dxa"/>
          </w:tcPr>
          <w:p w14:paraId="5BECE972" w14:textId="77777777" w:rsidR="006C1E26" w:rsidRPr="00EA24B0" w:rsidRDefault="006C1E26" w:rsidP="007E04FA">
            <w:pPr>
              <w:jc w:val="center"/>
              <w:rPr>
                <w:sz w:val="22"/>
                <w:szCs w:val="22"/>
              </w:rPr>
            </w:pPr>
            <w:r w:rsidRPr="00EA24B0">
              <w:rPr>
                <w:sz w:val="22"/>
                <w:szCs w:val="22"/>
              </w:rPr>
              <w:t>0012</w:t>
            </w:r>
          </w:p>
          <w:p w14:paraId="2AC4AEC8" w14:textId="77777777" w:rsidR="006C1E26" w:rsidRPr="00EA24B0" w:rsidRDefault="006C1E26" w:rsidP="007E04FA">
            <w:pPr>
              <w:jc w:val="center"/>
              <w:rPr>
                <w:sz w:val="22"/>
                <w:szCs w:val="22"/>
              </w:rPr>
            </w:pPr>
            <w:r w:rsidRPr="00EA24B0">
              <w:rPr>
                <w:sz w:val="22"/>
                <w:szCs w:val="22"/>
              </w:rPr>
              <w:t>FPP</w:t>
            </w:r>
          </w:p>
        </w:tc>
        <w:tc>
          <w:tcPr>
            <w:tcW w:w="2946" w:type="dxa"/>
          </w:tcPr>
          <w:p w14:paraId="5671E581" w14:textId="77777777" w:rsidR="006C1E26" w:rsidRPr="00EA24B0" w:rsidRDefault="006C1E26" w:rsidP="007E04FA">
            <w:pPr>
              <w:jc w:val="center"/>
              <w:rPr>
                <w:sz w:val="22"/>
                <w:szCs w:val="22"/>
              </w:rPr>
            </w:pPr>
            <w:r w:rsidRPr="00EA24B0">
              <w:rPr>
                <w:sz w:val="22"/>
                <w:szCs w:val="22"/>
              </w:rPr>
              <w:t>Other Services (Subcontractor, Sampling, Data Collection, Reporting)</w:t>
            </w:r>
          </w:p>
        </w:tc>
        <w:tc>
          <w:tcPr>
            <w:tcW w:w="696" w:type="dxa"/>
          </w:tcPr>
          <w:p w14:paraId="6A7E5E34" w14:textId="77777777" w:rsidR="006C1E26" w:rsidRPr="00EA24B0" w:rsidRDefault="006C1E26" w:rsidP="007E04FA">
            <w:pPr>
              <w:jc w:val="center"/>
              <w:rPr>
                <w:sz w:val="22"/>
                <w:szCs w:val="22"/>
              </w:rPr>
            </w:pPr>
            <w:r w:rsidRPr="00EA24B0">
              <w:rPr>
                <w:sz w:val="22"/>
                <w:szCs w:val="22"/>
              </w:rPr>
              <w:t>1</w:t>
            </w:r>
          </w:p>
        </w:tc>
        <w:tc>
          <w:tcPr>
            <w:tcW w:w="770" w:type="dxa"/>
          </w:tcPr>
          <w:p w14:paraId="0CF0D0A7" w14:textId="77777777" w:rsidR="006C1E26" w:rsidRPr="00EA24B0" w:rsidRDefault="006C1E26" w:rsidP="007E04FA">
            <w:pPr>
              <w:jc w:val="center"/>
              <w:rPr>
                <w:sz w:val="22"/>
                <w:szCs w:val="22"/>
              </w:rPr>
            </w:pPr>
            <w:r w:rsidRPr="00EA24B0">
              <w:rPr>
                <w:sz w:val="22"/>
                <w:szCs w:val="22"/>
              </w:rPr>
              <w:t>LT</w:t>
            </w:r>
          </w:p>
        </w:tc>
        <w:tc>
          <w:tcPr>
            <w:tcW w:w="1710" w:type="dxa"/>
          </w:tcPr>
          <w:p w14:paraId="0D814F64" w14:textId="77777777" w:rsidR="006C1E26" w:rsidRPr="00EA24B0" w:rsidRDefault="006C1E26" w:rsidP="007E04FA">
            <w:pPr>
              <w:rPr>
                <w:sz w:val="22"/>
                <w:szCs w:val="22"/>
              </w:rPr>
            </w:pPr>
          </w:p>
        </w:tc>
        <w:tc>
          <w:tcPr>
            <w:tcW w:w="1908" w:type="dxa"/>
          </w:tcPr>
          <w:p w14:paraId="34CF7610" w14:textId="77777777" w:rsidR="006C1E26" w:rsidRPr="00EA24B0" w:rsidRDefault="006C1E26" w:rsidP="007E04FA">
            <w:pPr>
              <w:jc w:val="center"/>
              <w:rPr>
                <w:sz w:val="22"/>
                <w:szCs w:val="22"/>
              </w:rPr>
            </w:pPr>
            <w:r w:rsidRPr="00EA24B0">
              <w:rPr>
                <w:sz w:val="22"/>
                <w:szCs w:val="22"/>
              </w:rPr>
              <w:t>$1,295,790.74</w:t>
            </w:r>
          </w:p>
        </w:tc>
      </w:tr>
      <w:tr w:rsidR="006C1E26" w:rsidRPr="00EA24B0" w14:paraId="60B66A05" w14:textId="77777777" w:rsidTr="007E04FA">
        <w:trPr>
          <w:trHeight w:val="197"/>
        </w:trPr>
        <w:tc>
          <w:tcPr>
            <w:tcW w:w="916" w:type="dxa"/>
          </w:tcPr>
          <w:p w14:paraId="5AFD8484" w14:textId="77777777" w:rsidR="006C1E26" w:rsidRPr="00EA24B0" w:rsidRDefault="006C1E26" w:rsidP="007E04FA">
            <w:pPr>
              <w:rPr>
                <w:sz w:val="22"/>
                <w:szCs w:val="22"/>
              </w:rPr>
            </w:pPr>
          </w:p>
        </w:tc>
        <w:tc>
          <w:tcPr>
            <w:tcW w:w="2946" w:type="dxa"/>
          </w:tcPr>
          <w:p w14:paraId="4AD19DBC" w14:textId="77777777" w:rsidR="006C1E26" w:rsidRPr="00EA24B0" w:rsidRDefault="006C1E26" w:rsidP="007E04FA">
            <w:pPr>
              <w:jc w:val="center"/>
              <w:rPr>
                <w:sz w:val="22"/>
                <w:szCs w:val="22"/>
              </w:rPr>
            </w:pPr>
            <w:r w:rsidRPr="00EA24B0">
              <w:rPr>
                <w:sz w:val="22"/>
                <w:szCs w:val="22"/>
              </w:rPr>
              <w:t>TOTAL</w:t>
            </w:r>
          </w:p>
        </w:tc>
        <w:tc>
          <w:tcPr>
            <w:tcW w:w="696" w:type="dxa"/>
          </w:tcPr>
          <w:p w14:paraId="669D10B5" w14:textId="77777777" w:rsidR="006C1E26" w:rsidRPr="00EA24B0" w:rsidRDefault="006C1E26" w:rsidP="007E04FA">
            <w:pPr>
              <w:rPr>
                <w:sz w:val="22"/>
                <w:szCs w:val="22"/>
              </w:rPr>
            </w:pPr>
          </w:p>
        </w:tc>
        <w:tc>
          <w:tcPr>
            <w:tcW w:w="770" w:type="dxa"/>
          </w:tcPr>
          <w:p w14:paraId="3296E0AC" w14:textId="77777777" w:rsidR="006C1E26" w:rsidRPr="00EA24B0" w:rsidRDefault="006C1E26" w:rsidP="007E04FA">
            <w:pPr>
              <w:rPr>
                <w:sz w:val="22"/>
                <w:szCs w:val="22"/>
              </w:rPr>
            </w:pPr>
          </w:p>
        </w:tc>
        <w:tc>
          <w:tcPr>
            <w:tcW w:w="1710" w:type="dxa"/>
          </w:tcPr>
          <w:p w14:paraId="6135F60E" w14:textId="77777777" w:rsidR="006C1E26" w:rsidRPr="00EA24B0" w:rsidRDefault="006C1E26" w:rsidP="007E04FA">
            <w:pPr>
              <w:rPr>
                <w:sz w:val="22"/>
                <w:szCs w:val="22"/>
              </w:rPr>
            </w:pPr>
          </w:p>
        </w:tc>
        <w:tc>
          <w:tcPr>
            <w:tcW w:w="1908" w:type="dxa"/>
          </w:tcPr>
          <w:p w14:paraId="6E2D738A" w14:textId="77777777" w:rsidR="006C1E26" w:rsidRPr="00EA24B0" w:rsidRDefault="006C1E26" w:rsidP="007E04FA">
            <w:pPr>
              <w:jc w:val="center"/>
              <w:rPr>
                <w:sz w:val="22"/>
                <w:szCs w:val="22"/>
              </w:rPr>
            </w:pPr>
            <w:r w:rsidRPr="00EA24B0">
              <w:rPr>
                <w:sz w:val="22"/>
                <w:szCs w:val="22"/>
              </w:rPr>
              <w:t>$1,993,250.66</w:t>
            </w:r>
          </w:p>
        </w:tc>
      </w:tr>
    </w:tbl>
    <w:p w14:paraId="510E2971" w14:textId="77777777" w:rsidR="006C1E26" w:rsidRPr="00EA24B0" w:rsidRDefault="006C1E26" w:rsidP="006C1E26">
      <w:pPr>
        <w:ind w:left="630"/>
        <w:rPr>
          <w:szCs w:val="24"/>
        </w:rPr>
      </w:pPr>
    </w:p>
    <w:p w14:paraId="2758B5E9" w14:textId="77777777" w:rsidR="006C1E26" w:rsidRPr="00EA24B0" w:rsidRDefault="006C1E26" w:rsidP="006C1E26"/>
    <w:p w14:paraId="114767AA" w14:textId="77777777" w:rsidR="006C1E26" w:rsidRPr="00EA24B0" w:rsidRDefault="006C1E26" w:rsidP="006C1E26">
      <w:pPr>
        <w:numPr>
          <w:ilvl w:val="0"/>
          <w:numId w:val="6"/>
        </w:numPr>
      </w:pPr>
      <w:r w:rsidRPr="00EA24B0">
        <w:t xml:space="preserve">The changes in burden are due to this collection being submitted as a revision. Some questions on the survey have been updated. </w:t>
      </w:r>
    </w:p>
    <w:p w14:paraId="7B60AB30" w14:textId="77777777" w:rsidR="006C1E26" w:rsidRPr="00EA24B0" w:rsidRDefault="006C1E26" w:rsidP="006C1E26">
      <w:pPr>
        <w:ind w:left="720"/>
      </w:pPr>
    </w:p>
    <w:p w14:paraId="469446C0" w14:textId="77777777" w:rsidR="006C1E26" w:rsidRPr="00EA24B0" w:rsidRDefault="006C1E26" w:rsidP="006C1E26">
      <w:pPr>
        <w:numPr>
          <w:ilvl w:val="0"/>
          <w:numId w:val="6"/>
        </w:numPr>
      </w:pPr>
      <w:r w:rsidRPr="00EA24B0">
        <w:t xml:space="preserve"> No information that can be used to identify an individual will be published.  In order to meet informational requests and promote transparency, aggregated reports and analyses may be published concerning the covariates of passport demand and forecasts of passport demand.</w:t>
      </w:r>
    </w:p>
    <w:p w14:paraId="416B0665" w14:textId="77777777" w:rsidR="006C1E26" w:rsidRPr="00EA24B0" w:rsidRDefault="006C1E26" w:rsidP="006C1E26"/>
    <w:p w14:paraId="41E137F1" w14:textId="77777777" w:rsidR="006C1E26" w:rsidRPr="00EA24B0" w:rsidRDefault="006C1E26" w:rsidP="006C1E26">
      <w:pPr>
        <w:pStyle w:val="ListParagraph"/>
        <w:numPr>
          <w:ilvl w:val="0"/>
          <w:numId w:val="6"/>
        </w:numPr>
      </w:pPr>
      <w:r w:rsidRPr="00EA24B0">
        <w:t>The Department of State will display the expiration date for OMB approval on the survey collection instruments or provide it over the phone to respondents.</w:t>
      </w:r>
    </w:p>
    <w:p w14:paraId="782BFDED" w14:textId="77777777" w:rsidR="006C1E26" w:rsidRPr="00EA24B0" w:rsidRDefault="006C1E26" w:rsidP="006C1E26">
      <w:pPr>
        <w:pStyle w:val="ListParagraph"/>
      </w:pPr>
    </w:p>
    <w:p w14:paraId="4AB96415" w14:textId="4A8240DB" w:rsidR="006C1E26" w:rsidRPr="00EA24B0" w:rsidRDefault="006C1E26" w:rsidP="006C1E26">
      <w:pPr>
        <w:numPr>
          <w:ilvl w:val="0"/>
          <w:numId w:val="6"/>
        </w:numPr>
      </w:pPr>
      <w:r w:rsidRPr="00EA24B0">
        <w:t xml:space="preserve"> </w:t>
      </w:r>
      <w:r w:rsidR="00E05EC1" w:rsidRPr="00EA24B0">
        <w:t>The Department of State</w:t>
      </w:r>
      <w:r w:rsidRPr="00EA24B0">
        <w:t xml:space="preserve"> is not requesting any exceptions to the certification statement.</w:t>
      </w:r>
    </w:p>
    <w:p w14:paraId="4541648D" w14:textId="77777777" w:rsidR="006C1E26" w:rsidRPr="00EA24B0" w:rsidRDefault="006C1E26" w:rsidP="006C1E26">
      <w:pPr>
        <w:pStyle w:val="Heading1"/>
      </w:pPr>
    </w:p>
    <w:p w14:paraId="78BB56C7" w14:textId="77777777" w:rsidR="006C1E26" w:rsidRPr="00EA24B0" w:rsidRDefault="006C1E26" w:rsidP="006C1E26">
      <w:pPr>
        <w:pStyle w:val="Heading1"/>
      </w:pPr>
      <w:r w:rsidRPr="00EA24B0">
        <w:t>B.</w:t>
      </w:r>
      <w:r w:rsidRPr="00EA24B0">
        <w:tab/>
        <w:t>COLLECTION OF INFORMATION EMPLOYING STATISTICAL METHODS</w:t>
      </w:r>
    </w:p>
    <w:p w14:paraId="45FCFD2A" w14:textId="77777777" w:rsidR="006C1E26" w:rsidRPr="00EA24B0" w:rsidRDefault="006C1E26" w:rsidP="006C1E26">
      <w:pPr>
        <w:pStyle w:val="Heading3"/>
        <w:spacing w:after="120"/>
        <w:rPr>
          <w:rFonts w:ascii="Times New Roman" w:hAnsi="Times New Roman"/>
          <w:caps/>
          <w:sz w:val="28"/>
          <w:szCs w:val="24"/>
        </w:rPr>
      </w:pPr>
      <w:bookmarkStart w:id="1" w:name="_Toc286904651"/>
      <w:bookmarkStart w:id="2" w:name="_Toc459797339"/>
      <w:r w:rsidRPr="00EA24B0">
        <w:rPr>
          <w:rFonts w:ascii="Times New Roman" w:hAnsi="Times New Roman"/>
          <w:caps/>
          <w:sz w:val="28"/>
          <w:szCs w:val="24"/>
        </w:rPr>
        <w:t>Overall Study strategy</w:t>
      </w:r>
      <w:bookmarkEnd w:id="1"/>
    </w:p>
    <w:p w14:paraId="15890B41" w14:textId="07DC747E" w:rsidR="006C1E26" w:rsidRPr="00EA24B0" w:rsidRDefault="006C1E26" w:rsidP="006C1E26">
      <w:pPr>
        <w:spacing w:before="120"/>
        <w:rPr>
          <w:szCs w:val="24"/>
        </w:rPr>
      </w:pPr>
      <w:r w:rsidRPr="00EA24B0">
        <w:rPr>
          <w:szCs w:val="24"/>
        </w:rPr>
        <w:t xml:space="preserve">More than ever before, key decision makers rely on empirical guidance for improving the operations of their organizations.  Passport Services’ study strategy relies on scientific sample design, diligent survey administration, effective analysis of survey data, and accurate interpretation of the results. </w:t>
      </w:r>
      <w:r w:rsidR="0083243D" w:rsidRPr="00EA24B0">
        <w:rPr>
          <w:szCs w:val="24"/>
        </w:rPr>
        <w:t xml:space="preserve"> </w:t>
      </w:r>
      <w:r w:rsidRPr="00EA24B0">
        <w:rPr>
          <w:szCs w:val="24"/>
        </w:rPr>
        <w:t xml:space="preserve">The Passport Demand Forecasting Survey is a critical component of Passport Services’ strategy to marshal empirical data for making efficient, accurate management decisions because it provides Passport Services with reliable projections of demand for U.S. passports.  </w:t>
      </w:r>
    </w:p>
    <w:p w14:paraId="45816BAB" w14:textId="0ED89E50" w:rsidR="006C1E26" w:rsidRPr="00EA24B0" w:rsidRDefault="006C1E26" w:rsidP="006C1E26">
      <w:pPr>
        <w:spacing w:before="120"/>
        <w:rPr>
          <w:szCs w:val="24"/>
        </w:rPr>
      </w:pPr>
      <w:r w:rsidRPr="00EA24B0">
        <w:rPr>
          <w:szCs w:val="24"/>
        </w:rPr>
        <w:t xml:space="preserve">Another fundamental tenet of our strategy is recognition of the fact that rigorous survey research programs are designed and implemented to minimize the so-called </w:t>
      </w:r>
      <w:r w:rsidRPr="00EA24B0">
        <w:rPr>
          <w:i/>
          <w:szCs w:val="24"/>
        </w:rPr>
        <w:t>Total Survey Error</w:t>
      </w:r>
      <w:r w:rsidRPr="00EA24B0">
        <w:rPr>
          <w:szCs w:val="24"/>
        </w:rPr>
        <w:t xml:space="preserve">, as depicted in the following diagram.  Under this comprehensive framework, each component of error receives proper attention, </w:t>
      </w:r>
      <w:r w:rsidR="0083243D" w:rsidRPr="00EA24B0">
        <w:rPr>
          <w:szCs w:val="24"/>
        </w:rPr>
        <w:t xml:space="preserve">because </w:t>
      </w:r>
      <w:r w:rsidRPr="00EA24B0">
        <w:rPr>
          <w:szCs w:val="24"/>
        </w:rPr>
        <w:t>with imbalanced focus on any particular source of error</w:t>
      </w:r>
      <w:r w:rsidR="0083243D" w:rsidRPr="00EA24B0">
        <w:rPr>
          <w:szCs w:val="24"/>
        </w:rPr>
        <w:t>,</w:t>
      </w:r>
      <w:r w:rsidRPr="00EA24B0">
        <w:rPr>
          <w:szCs w:val="24"/>
        </w:rPr>
        <w:t xml:space="preserve"> other error components will gain opportunities to grow and create weak links in the survey process.</w:t>
      </w:r>
    </w:p>
    <w:p w14:paraId="110C5BA9" w14:textId="77777777" w:rsidR="006C1E26" w:rsidRPr="00EA24B0" w:rsidRDefault="006C1E26" w:rsidP="006C1E26">
      <w:pPr>
        <w:spacing w:before="120"/>
        <w:rPr>
          <w:color w:val="000000"/>
          <w:szCs w:val="24"/>
        </w:rPr>
      </w:pPr>
      <w:proofErr w:type="gramStart"/>
      <w:r w:rsidRPr="00EA24B0">
        <w:rPr>
          <w:b/>
          <w:color w:val="000000"/>
          <w:szCs w:val="24"/>
        </w:rPr>
        <w:t>Figure 1.</w:t>
      </w:r>
      <w:proofErr w:type="gramEnd"/>
      <w:r w:rsidRPr="00EA24B0">
        <w:rPr>
          <w:b/>
          <w:color w:val="000000"/>
          <w:szCs w:val="24"/>
        </w:rPr>
        <w:t xml:space="preserve">  </w:t>
      </w:r>
      <w:r w:rsidRPr="00EA24B0">
        <w:rPr>
          <w:color w:val="000000"/>
          <w:szCs w:val="24"/>
        </w:rPr>
        <w:t>Components of total survey error</w:t>
      </w:r>
    </w:p>
    <w:tbl>
      <w:tblPr>
        <w:tblW w:w="5000" w:type="pct"/>
        <w:tblLayout w:type="fixed"/>
        <w:tblLook w:val="04A0" w:firstRow="1" w:lastRow="0" w:firstColumn="1" w:lastColumn="0" w:noHBand="0" w:noVBand="1"/>
      </w:tblPr>
      <w:tblGrid>
        <w:gridCol w:w="419"/>
        <w:gridCol w:w="425"/>
        <w:gridCol w:w="280"/>
        <w:gridCol w:w="592"/>
        <w:gridCol w:w="285"/>
        <w:gridCol w:w="278"/>
        <w:gridCol w:w="450"/>
        <w:gridCol w:w="540"/>
        <w:gridCol w:w="259"/>
        <w:gridCol w:w="628"/>
        <w:gridCol w:w="362"/>
        <w:gridCol w:w="270"/>
        <w:gridCol w:w="575"/>
        <w:gridCol w:w="416"/>
        <w:gridCol w:w="306"/>
        <w:gridCol w:w="485"/>
        <w:gridCol w:w="469"/>
        <w:gridCol w:w="278"/>
        <w:gridCol w:w="477"/>
        <w:gridCol w:w="440"/>
        <w:gridCol w:w="266"/>
        <w:gridCol w:w="44"/>
        <w:gridCol w:w="613"/>
        <w:gridCol w:w="419"/>
      </w:tblGrid>
      <w:tr w:rsidR="006C1E26" w:rsidRPr="00EA24B0" w14:paraId="05A4E817" w14:textId="77777777" w:rsidTr="007E04FA">
        <w:trPr>
          <w:trHeight w:val="432"/>
        </w:trPr>
        <w:tc>
          <w:tcPr>
            <w:tcW w:w="5000" w:type="pct"/>
            <w:gridSpan w:val="24"/>
            <w:tcBorders>
              <w:top w:val="single" w:sz="4" w:space="0" w:color="auto"/>
              <w:left w:val="single" w:sz="4" w:space="0" w:color="auto"/>
              <w:bottom w:val="single" w:sz="4" w:space="0" w:color="auto"/>
              <w:right w:val="single" w:sz="4" w:space="0" w:color="auto"/>
            </w:tcBorders>
            <w:shd w:val="clear" w:color="auto" w:fill="000000"/>
            <w:vAlign w:val="center"/>
            <w:hideMark/>
          </w:tcPr>
          <w:p w14:paraId="22252263" w14:textId="77777777" w:rsidR="006C1E26" w:rsidRPr="00EA24B0" w:rsidRDefault="006C1E26" w:rsidP="007E04FA">
            <w:pPr>
              <w:spacing w:after="0"/>
              <w:jc w:val="center"/>
              <w:rPr>
                <w:b/>
                <w:bCs/>
                <w:color w:val="FFFFFF"/>
                <w:szCs w:val="24"/>
              </w:rPr>
            </w:pPr>
            <w:r w:rsidRPr="00EA24B0">
              <w:rPr>
                <w:b/>
                <w:bCs/>
                <w:color w:val="FFFFFF"/>
                <w:szCs w:val="24"/>
              </w:rPr>
              <w:t>Total Survey Error</w:t>
            </w:r>
          </w:p>
        </w:tc>
      </w:tr>
      <w:tr w:rsidR="006C1E26" w:rsidRPr="00EA24B0" w14:paraId="47FFA5F9" w14:textId="77777777" w:rsidTr="007E04FA">
        <w:trPr>
          <w:trHeight w:val="432"/>
        </w:trPr>
        <w:tc>
          <w:tcPr>
            <w:tcW w:w="587" w:type="pct"/>
            <w:gridSpan w:val="3"/>
            <w:tcBorders>
              <w:top w:val="single" w:sz="4" w:space="0" w:color="auto"/>
              <w:left w:val="nil"/>
              <w:bottom w:val="single" w:sz="4" w:space="0" w:color="auto"/>
              <w:right w:val="single" w:sz="4" w:space="0" w:color="auto"/>
            </w:tcBorders>
            <w:shd w:val="clear" w:color="auto" w:fill="auto"/>
            <w:vAlign w:val="center"/>
            <w:hideMark/>
          </w:tcPr>
          <w:p w14:paraId="22686FB5" w14:textId="77777777" w:rsidR="006C1E26" w:rsidRPr="00EA24B0" w:rsidRDefault="006C1E26" w:rsidP="007E04FA">
            <w:pPr>
              <w:spacing w:after="0"/>
              <w:jc w:val="center"/>
              <w:rPr>
                <w:b/>
                <w:bCs/>
                <w:color w:val="FFFFFF"/>
                <w:szCs w:val="24"/>
              </w:rPr>
            </w:pPr>
          </w:p>
        </w:tc>
        <w:tc>
          <w:tcPr>
            <w:tcW w:w="458" w:type="pct"/>
            <w:gridSpan w:val="2"/>
            <w:tcBorders>
              <w:top w:val="single" w:sz="4" w:space="0" w:color="auto"/>
              <w:left w:val="single" w:sz="4" w:space="0" w:color="auto"/>
              <w:bottom w:val="single" w:sz="4" w:space="0" w:color="auto"/>
              <w:right w:val="nil"/>
            </w:tcBorders>
            <w:shd w:val="clear" w:color="auto" w:fill="auto"/>
            <w:vAlign w:val="center"/>
            <w:hideMark/>
          </w:tcPr>
          <w:p w14:paraId="1B9232D2"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45" w:type="pct"/>
            <w:tcBorders>
              <w:top w:val="single" w:sz="4" w:space="0" w:color="auto"/>
              <w:left w:val="nil"/>
              <w:right w:val="nil"/>
            </w:tcBorders>
            <w:shd w:val="clear" w:color="auto" w:fill="auto"/>
            <w:vAlign w:val="center"/>
            <w:hideMark/>
          </w:tcPr>
          <w:p w14:paraId="52B46161" w14:textId="77777777" w:rsidR="006C1E26" w:rsidRPr="00EA24B0" w:rsidRDefault="006C1E26" w:rsidP="007E04FA">
            <w:pPr>
              <w:spacing w:after="0"/>
              <w:jc w:val="center"/>
              <w:rPr>
                <w:b/>
                <w:bCs/>
                <w:color w:val="FFFFFF"/>
                <w:szCs w:val="24"/>
              </w:rPr>
            </w:pPr>
          </w:p>
        </w:tc>
        <w:tc>
          <w:tcPr>
            <w:tcW w:w="652" w:type="pct"/>
            <w:gridSpan w:val="3"/>
            <w:tcBorders>
              <w:top w:val="single" w:sz="4" w:space="0" w:color="auto"/>
              <w:left w:val="nil"/>
              <w:bottom w:val="single" w:sz="4" w:space="0" w:color="auto"/>
              <w:right w:val="single" w:sz="4" w:space="0" w:color="auto"/>
            </w:tcBorders>
            <w:shd w:val="clear" w:color="auto" w:fill="auto"/>
            <w:vAlign w:val="center"/>
            <w:hideMark/>
          </w:tcPr>
          <w:p w14:paraId="6D089DD4" w14:textId="77777777" w:rsidR="006C1E26" w:rsidRPr="00EA24B0" w:rsidRDefault="006C1E26" w:rsidP="007E04FA">
            <w:pPr>
              <w:spacing w:after="0"/>
              <w:jc w:val="center"/>
              <w:rPr>
                <w:b/>
                <w:bCs/>
                <w:color w:val="FFFFFF"/>
                <w:szCs w:val="24"/>
              </w:rPr>
            </w:pPr>
          </w:p>
        </w:tc>
        <w:tc>
          <w:tcPr>
            <w:tcW w:w="517" w:type="pct"/>
            <w:gridSpan w:val="2"/>
            <w:tcBorders>
              <w:top w:val="single" w:sz="4" w:space="0" w:color="auto"/>
              <w:left w:val="single" w:sz="4" w:space="0" w:color="auto"/>
              <w:bottom w:val="single" w:sz="4" w:space="0" w:color="auto"/>
              <w:right w:val="nil"/>
            </w:tcBorders>
            <w:shd w:val="clear" w:color="auto" w:fill="auto"/>
            <w:vAlign w:val="center"/>
            <w:hideMark/>
          </w:tcPr>
          <w:p w14:paraId="7E9BB4D0"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41" w:type="pct"/>
            <w:tcBorders>
              <w:top w:val="single" w:sz="4" w:space="0" w:color="auto"/>
              <w:left w:val="nil"/>
              <w:right w:val="nil"/>
            </w:tcBorders>
            <w:shd w:val="clear" w:color="auto" w:fill="auto"/>
            <w:vAlign w:val="center"/>
            <w:hideMark/>
          </w:tcPr>
          <w:p w14:paraId="367497DC" w14:textId="77777777" w:rsidR="006C1E26" w:rsidRPr="00EA24B0" w:rsidRDefault="006C1E26" w:rsidP="007E04FA">
            <w:pPr>
              <w:spacing w:after="0"/>
              <w:jc w:val="center"/>
              <w:rPr>
                <w:b/>
                <w:bCs/>
                <w:color w:val="FFFFFF"/>
                <w:szCs w:val="24"/>
              </w:rPr>
            </w:pPr>
          </w:p>
        </w:tc>
        <w:tc>
          <w:tcPr>
            <w:tcW w:w="677" w:type="pct"/>
            <w:gridSpan w:val="3"/>
            <w:tcBorders>
              <w:top w:val="single" w:sz="4" w:space="0" w:color="auto"/>
              <w:left w:val="nil"/>
              <w:bottom w:val="single" w:sz="4" w:space="0" w:color="auto"/>
              <w:right w:val="single" w:sz="4" w:space="0" w:color="auto"/>
            </w:tcBorders>
            <w:shd w:val="clear" w:color="auto" w:fill="auto"/>
            <w:vAlign w:val="center"/>
            <w:hideMark/>
          </w:tcPr>
          <w:p w14:paraId="31F295FC"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498" w:type="pct"/>
            <w:gridSpan w:val="2"/>
            <w:tcBorders>
              <w:top w:val="single" w:sz="4" w:space="0" w:color="auto"/>
              <w:left w:val="single" w:sz="4" w:space="0" w:color="auto"/>
              <w:bottom w:val="single" w:sz="4" w:space="0" w:color="auto"/>
              <w:right w:val="nil"/>
            </w:tcBorders>
            <w:shd w:val="clear" w:color="auto" w:fill="auto"/>
            <w:vAlign w:val="center"/>
            <w:hideMark/>
          </w:tcPr>
          <w:p w14:paraId="4270ADD4" w14:textId="77777777" w:rsidR="006C1E26" w:rsidRPr="00EA24B0" w:rsidRDefault="006C1E26" w:rsidP="007E04FA">
            <w:pPr>
              <w:spacing w:after="0"/>
              <w:jc w:val="center"/>
              <w:rPr>
                <w:b/>
                <w:bCs/>
                <w:color w:val="FFFFFF"/>
                <w:szCs w:val="24"/>
              </w:rPr>
            </w:pPr>
          </w:p>
        </w:tc>
        <w:tc>
          <w:tcPr>
            <w:tcW w:w="145" w:type="pct"/>
            <w:tcBorders>
              <w:top w:val="single" w:sz="4" w:space="0" w:color="auto"/>
              <w:left w:val="nil"/>
              <w:right w:val="nil"/>
            </w:tcBorders>
            <w:shd w:val="clear" w:color="auto" w:fill="auto"/>
            <w:vAlign w:val="center"/>
            <w:hideMark/>
          </w:tcPr>
          <w:p w14:paraId="77C96A37" w14:textId="77777777" w:rsidR="006C1E26" w:rsidRPr="00EA24B0" w:rsidRDefault="006C1E26" w:rsidP="007E04FA">
            <w:pPr>
              <w:spacing w:after="0"/>
              <w:jc w:val="center"/>
              <w:rPr>
                <w:b/>
                <w:bCs/>
                <w:color w:val="FFFFFF"/>
                <w:szCs w:val="24"/>
              </w:rPr>
            </w:pPr>
          </w:p>
        </w:tc>
        <w:tc>
          <w:tcPr>
            <w:tcW w:w="641" w:type="pct"/>
            <w:gridSpan w:val="4"/>
            <w:tcBorders>
              <w:top w:val="single" w:sz="4" w:space="0" w:color="auto"/>
              <w:left w:val="nil"/>
              <w:bottom w:val="single" w:sz="4" w:space="0" w:color="auto"/>
              <w:right w:val="single" w:sz="4" w:space="0" w:color="auto"/>
            </w:tcBorders>
            <w:shd w:val="clear" w:color="auto" w:fill="auto"/>
            <w:vAlign w:val="center"/>
            <w:hideMark/>
          </w:tcPr>
          <w:p w14:paraId="04FCB5C6"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539" w:type="pct"/>
            <w:gridSpan w:val="2"/>
            <w:tcBorders>
              <w:top w:val="single" w:sz="4" w:space="0" w:color="auto"/>
              <w:left w:val="single" w:sz="4" w:space="0" w:color="auto"/>
              <w:bottom w:val="single" w:sz="4" w:space="0" w:color="auto"/>
              <w:right w:val="nil"/>
            </w:tcBorders>
            <w:shd w:val="clear" w:color="auto" w:fill="auto"/>
            <w:vAlign w:val="center"/>
            <w:hideMark/>
          </w:tcPr>
          <w:p w14:paraId="6DD60EB8" w14:textId="77777777" w:rsidR="006C1E26" w:rsidRPr="00EA24B0" w:rsidRDefault="006C1E26" w:rsidP="007E04FA">
            <w:pPr>
              <w:spacing w:after="0"/>
              <w:jc w:val="center"/>
              <w:rPr>
                <w:b/>
                <w:bCs/>
                <w:color w:val="FFFFFF"/>
                <w:szCs w:val="24"/>
              </w:rPr>
            </w:pPr>
          </w:p>
        </w:tc>
      </w:tr>
      <w:tr w:rsidR="006C1E26" w:rsidRPr="00EA24B0" w14:paraId="54E0C11B" w14:textId="77777777" w:rsidTr="007E04FA">
        <w:trPr>
          <w:trHeight w:val="432"/>
        </w:trPr>
        <w:tc>
          <w:tcPr>
            <w:tcW w:w="104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14:paraId="358F287C" w14:textId="77777777" w:rsidR="006C1E26" w:rsidRPr="00EA24B0" w:rsidRDefault="006C1E26" w:rsidP="007E04FA">
            <w:pPr>
              <w:spacing w:after="0"/>
              <w:jc w:val="center"/>
              <w:rPr>
                <w:b/>
                <w:bCs/>
                <w:color w:val="FFFFFF"/>
                <w:szCs w:val="24"/>
              </w:rPr>
            </w:pPr>
            <w:r w:rsidRPr="00EA24B0">
              <w:rPr>
                <w:b/>
                <w:bCs/>
                <w:color w:val="FFFFFF"/>
                <w:szCs w:val="24"/>
              </w:rPr>
              <w:t>Errors of</w:t>
            </w:r>
            <w:r w:rsidRPr="00EA24B0">
              <w:rPr>
                <w:b/>
                <w:bCs/>
                <w:color w:val="FFFFFF"/>
                <w:szCs w:val="24"/>
              </w:rPr>
              <w:br/>
              <w:t>Non-observation</w:t>
            </w:r>
          </w:p>
        </w:tc>
        <w:tc>
          <w:tcPr>
            <w:tcW w:w="145" w:type="pct"/>
            <w:tcBorders>
              <w:top w:val="nil"/>
              <w:left w:val="single" w:sz="4" w:space="0" w:color="auto"/>
              <w:bottom w:val="nil"/>
              <w:right w:val="single" w:sz="4" w:space="0" w:color="auto"/>
            </w:tcBorders>
            <w:shd w:val="clear" w:color="auto" w:fill="auto"/>
            <w:vAlign w:val="center"/>
            <w:hideMark/>
          </w:tcPr>
          <w:p w14:paraId="5010ED85" w14:textId="77777777" w:rsidR="006C1E26" w:rsidRPr="00EA24B0" w:rsidRDefault="006C1E26" w:rsidP="007E04FA">
            <w:pPr>
              <w:spacing w:after="0"/>
              <w:jc w:val="center"/>
              <w:rPr>
                <w:b/>
                <w:bCs/>
                <w:color w:val="FFFFFF"/>
                <w:szCs w:val="24"/>
              </w:rPr>
            </w:pPr>
          </w:p>
        </w:tc>
        <w:tc>
          <w:tcPr>
            <w:tcW w:w="1169"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14:paraId="3474E44E" w14:textId="77777777" w:rsidR="006C1E26" w:rsidRPr="00EA24B0" w:rsidRDefault="006C1E26" w:rsidP="007E04FA">
            <w:pPr>
              <w:spacing w:after="0"/>
              <w:jc w:val="center"/>
              <w:rPr>
                <w:b/>
                <w:bCs/>
                <w:color w:val="FFFFFF"/>
                <w:szCs w:val="24"/>
              </w:rPr>
            </w:pPr>
            <w:r w:rsidRPr="00EA24B0">
              <w:rPr>
                <w:b/>
                <w:bCs/>
                <w:color w:val="FFFFFF"/>
                <w:szCs w:val="24"/>
              </w:rPr>
              <w:t>Errors of</w:t>
            </w:r>
            <w:r w:rsidRPr="00EA24B0">
              <w:rPr>
                <w:b/>
                <w:bCs/>
                <w:color w:val="FFFFFF"/>
                <w:szCs w:val="24"/>
              </w:rPr>
              <w:br/>
              <w:t>Observation</w:t>
            </w:r>
          </w:p>
        </w:tc>
        <w:tc>
          <w:tcPr>
            <w:tcW w:w="141" w:type="pct"/>
            <w:tcBorders>
              <w:top w:val="nil"/>
              <w:left w:val="single" w:sz="4" w:space="0" w:color="auto"/>
              <w:bottom w:val="nil"/>
              <w:right w:val="single" w:sz="4" w:space="0" w:color="auto"/>
            </w:tcBorders>
            <w:shd w:val="clear" w:color="auto" w:fill="auto"/>
            <w:vAlign w:val="center"/>
            <w:hideMark/>
          </w:tcPr>
          <w:p w14:paraId="036747C7" w14:textId="77777777" w:rsidR="006C1E26" w:rsidRPr="00EA24B0" w:rsidRDefault="006C1E26" w:rsidP="007E04FA">
            <w:pPr>
              <w:spacing w:after="0"/>
              <w:jc w:val="center"/>
              <w:rPr>
                <w:b/>
                <w:bCs/>
                <w:color w:val="FFFFFF"/>
                <w:szCs w:val="24"/>
              </w:rPr>
            </w:pPr>
          </w:p>
        </w:tc>
        <w:tc>
          <w:tcPr>
            <w:tcW w:w="117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14:paraId="2C393CB1" w14:textId="77777777" w:rsidR="006C1E26" w:rsidRPr="00EA24B0" w:rsidRDefault="006C1E26" w:rsidP="007E04FA">
            <w:pPr>
              <w:spacing w:after="0"/>
              <w:jc w:val="center"/>
              <w:rPr>
                <w:b/>
                <w:bCs/>
                <w:color w:val="FFFFFF"/>
                <w:szCs w:val="24"/>
              </w:rPr>
            </w:pPr>
            <w:r w:rsidRPr="00EA24B0">
              <w:rPr>
                <w:b/>
                <w:bCs/>
                <w:color w:val="FFFFFF"/>
                <w:szCs w:val="24"/>
              </w:rPr>
              <w:t>Errors of</w:t>
            </w:r>
            <w:r w:rsidRPr="00EA24B0">
              <w:rPr>
                <w:b/>
                <w:bCs/>
                <w:color w:val="FFFFFF"/>
                <w:szCs w:val="24"/>
              </w:rPr>
              <w:br/>
              <w:t>Processing</w:t>
            </w:r>
          </w:p>
        </w:tc>
        <w:tc>
          <w:tcPr>
            <w:tcW w:w="145" w:type="pct"/>
            <w:tcBorders>
              <w:top w:val="nil"/>
              <w:left w:val="single" w:sz="4" w:space="0" w:color="auto"/>
              <w:bottom w:val="nil"/>
              <w:right w:val="single" w:sz="4" w:space="0" w:color="auto"/>
            </w:tcBorders>
            <w:shd w:val="clear" w:color="auto" w:fill="auto"/>
            <w:vAlign w:val="center"/>
            <w:hideMark/>
          </w:tcPr>
          <w:p w14:paraId="2ADA09E6" w14:textId="77777777" w:rsidR="006C1E26" w:rsidRPr="00EA24B0" w:rsidRDefault="006C1E26" w:rsidP="007E04FA">
            <w:pPr>
              <w:spacing w:after="0"/>
              <w:jc w:val="center"/>
              <w:rPr>
                <w:b/>
                <w:bCs/>
                <w:color w:val="FFFFFF"/>
                <w:szCs w:val="24"/>
              </w:rPr>
            </w:pPr>
          </w:p>
        </w:tc>
        <w:tc>
          <w:tcPr>
            <w:tcW w:w="1180" w:type="pct"/>
            <w:gridSpan w:val="6"/>
            <w:tcBorders>
              <w:top w:val="single" w:sz="4" w:space="0" w:color="auto"/>
              <w:left w:val="single" w:sz="4" w:space="0" w:color="auto"/>
              <w:bottom w:val="single" w:sz="4" w:space="0" w:color="auto"/>
              <w:right w:val="single" w:sz="4" w:space="0" w:color="auto"/>
            </w:tcBorders>
            <w:shd w:val="clear" w:color="auto" w:fill="595959"/>
            <w:vAlign w:val="center"/>
            <w:hideMark/>
          </w:tcPr>
          <w:p w14:paraId="09BA8DDB" w14:textId="77777777" w:rsidR="006C1E26" w:rsidRPr="00EA24B0" w:rsidRDefault="006C1E26" w:rsidP="007E04FA">
            <w:pPr>
              <w:spacing w:after="0"/>
              <w:jc w:val="center"/>
              <w:rPr>
                <w:b/>
                <w:bCs/>
                <w:color w:val="FFFFFF"/>
                <w:szCs w:val="24"/>
              </w:rPr>
            </w:pPr>
            <w:r w:rsidRPr="00EA24B0">
              <w:rPr>
                <w:b/>
                <w:bCs/>
                <w:color w:val="FFFFFF"/>
                <w:szCs w:val="24"/>
              </w:rPr>
              <w:t>Errors of Dissemination</w:t>
            </w:r>
          </w:p>
        </w:tc>
      </w:tr>
      <w:tr w:rsidR="006C1E26" w:rsidRPr="00EA24B0" w14:paraId="0C00832E" w14:textId="77777777" w:rsidTr="007E04FA">
        <w:trPr>
          <w:trHeight w:val="432"/>
        </w:trPr>
        <w:tc>
          <w:tcPr>
            <w:tcW w:w="219" w:type="pct"/>
            <w:tcBorders>
              <w:top w:val="single" w:sz="4" w:space="0" w:color="auto"/>
              <w:left w:val="nil"/>
              <w:bottom w:val="nil"/>
              <w:right w:val="single" w:sz="4" w:space="0" w:color="auto"/>
            </w:tcBorders>
            <w:shd w:val="clear" w:color="auto" w:fill="auto"/>
            <w:vAlign w:val="center"/>
            <w:hideMark/>
          </w:tcPr>
          <w:p w14:paraId="4D5D0BA3" w14:textId="77777777" w:rsidR="006C1E26" w:rsidRPr="00EA24B0" w:rsidRDefault="006C1E26" w:rsidP="007E04FA">
            <w:pPr>
              <w:spacing w:after="0"/>
              <w:jc w:val="center"/>
              <w:rPr>
                <w:b/>
                <w:bCs/>
                <w:color w:val="FFFFFF"/>
                <w:szCs w:val="24"/>
              </w:rPr>
            </w:pPr>
          </w:p>
        </w:tc>
        <w:tc>
          <w:tcPr>
            <w:tcW w:w="222" w:type="pct"/>
            <w:tcBorders>
              <w:top w:val="single" w:sz="4" w:space="0" w:color="auto"/>
              <w:left w:val="single" w:sz="4" w:space="0" w:color="auto"/>
              <w:bottom w:val="single" w:sz="4" w:space="0" w:color="auto"/>
              <w:right w:val="nil"/>
            </w:tcBorders>
            <w:shd w:val="clear" w:color="auto" w:fill="auto"/>
            <w:vAlign w:val="center"/>
            <w:hideMark/>
          </w:tcPr>
          <w:p w14:paraId="05945C76"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46" w:type="pct"/>
            <w:tcBorders>
              <w:top w:val="single" w:sz="4" w:space="0" w:color="auto"/>
              <w:left w:val="nil"/>
              <w:right w:val="nil"/>
            </w:tcBorders>
            <w:shd w:val="clear" w:color="auto" w:fill="auto"/>
            <w:vAlign w:val="center"/>
            <w:hideMark/>
          </w:tcPr>
          <w:p w14:paraId="27ABD217" w14:textId="77777777" w:rsidR="006C1E26" w:rsidRPr="00EA24B0" w:rsidRDefault="006C1E26" w:rsidP="007E04FA">
            <w:pPr>
              <w:spacing w:after="0"/>
              <w:jc w:val="center"/>
              <w:rPr>
                <w:b/>
                <w:bCs/>
                <w:color w:val="FFFFFF"/>
                <w:szCs w:val="24"/>
              </w:rPr>
            </w:pPr>
          </w:p>
        </w:tc>
        <w:tc>
          <w:tcPr>
            <w:tcW w:w="309" w:type="pct"/>
            <w:tcBorders>
              <w:top w:val="single" w:sz="4" w:space="0" w:color="auto"/>
              <w:left w:val="nil"/>
              <w:bottom w:val="single" w:sz="8" w:space="0" w:color="auto"/>
              <w:right w:val="single" w:sz="4" w:space="0" w:color="auto"/>
            </w:tcBorders>
            <w:shd w:val="clear" w:color="auto" w:fill="auto"/>
            <w:vAlign w:val="center"/>
            <w:hideMark/>
          </w:tcPr>
          <w:p w14:paraId="05A7912E"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49" w:type="pct"/>
            <w:tcBorders>
              <w:top w:val="single" w:sz="4" w:space="0" w:color="auto"/>
              <w:left w:val="single" w:sz="4" w:space="0" w:color="auto"/>
              <w:bottom w:val="single" w:sz="4" w:space="0" w:color="auto"/>
              <w:right w:val="nil"/>
            </w:tcBorders>
            <w:shd w:val="clear" w:color="auto" w:fill="auto"/>
            <w:vAlign w:val="center"/>
            <w:hideMark/>
          </w:tcPr>
          <w:p w14:paraId="08793681" w14:textId="77777777" w:rsidR="006C1E26" w:rsidRPr="00EA24B0" w:rsidRDefault="006C1E26" w:rsidP="007E04FA">
            <w:pPr>
              <w:spacing w:after="0"/>
              <w:jc w:val="center"/>
              <w:rPr>
                <w:b/>
                <w:bCs/>
                <w:color w:val="FFFFFF"/>
                <w:szCs w:val="24"/>
              </w:rPr>
            </w:pPr>
          </w:p>
        </w:tc>
        <w:tc>
          <w:tcPr>
            <w:tcW w:w="145" w:type="pct"/>
            <w:tcBorders>
              <w:top w:val="nil"/>
              <w:left w:val="nil"/>
              <w:right w:val="nil"/>
            </w:tcBorders>
            <w:shd w:val="clear" w:color="auto" w:fill="auto"/>
            <w:vAlign w:val="center"/>
            <w:hideMark/>
          </w:tcPr>
          <w:p w14:paraId="2D2CAD75" w14:textId="77777777" w:rsidR="006C1E26" w:rsidRPr="00EA24B0" w:rsidRDefault="006C1E26" w:rsidP="007E04FA">
            <w:pPr>
              <w:spacing w:after="0"/>
              <w:jc w:val="center"/>
              <w:rPr>
                <w:b/>
                <w:bCs/>
                <w:color w:val="FFFFFF"/>
                <w:szCs w:val="24"/>
              </w:rPr>
            </w:pPr>
          </w:p>
        </w:tc>
        <w:tc>
          <w:tcPr>
            <w:tcW w:w="235" w:type="pct"/>
            <w:tcBorders>
              <w:top w:val="nil"/>
              <w:left w:val="nil"/>
              <w:bottom w:val="nil"/>
              <w:right w:val="single" w:sz="4" w:space="0" w:color="auto"/>
            </w:tcBorders>
            <w:shd w:val="clear" w:color="auto" w:fill="auto"/>
            <w:vAlign w:val="center"/>
            <w:hideMark/>
          </w:tcPr>
          <w:p w14:paraId="26073CFE" w14:textId="77777777" w:rsidR="006C1E26" w:rsidRPr="00EA24B0" w:rsidRDefault="006C1E26" w:rsidP="007E04FA">
            <w:pPr>
              <w:spacing w:after="0"/>
              <w:jc w:val="center"/>
              <w:rPr>
                <w:b/>
                <w:bCs/>
                <w:color w:val="FFFFFF"/>
                <w:szCs w:val="24"/>
              </w:rPr>
            </w:pPr>
          </w:p>
        </w:tc>
        <w:tc>
          <w:tcPr>
            <w:tcW w:w="282" w:type="pct"/>
            <w:tcBorders>
              <w:top w:val="single" w:sz="4" w:space="0" w:color="auto"/>
              <w:left w:val="single" w:sz="4" w:space="0" w:color="auto"/>
              <w:bottom w:val="single" w:sz="4" w:space="0" w:color="auto"/>
              <w:right w:val="nil"/>
            </w:tcBorders>
            <w:shd w:val="clear" w:color="auto" w:fill="auto"/>
            <w:vAlign w:val="center"/>
            <w:hideMark/>
          </w:tcPr>
          <w:p w14:paraId="7EBBADCB"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35" w:type="pct"/>
            <w:tcBorders>
              <w:top w:val="nil"/>
              <w:left w:val="nil"/>
              <w:right w:val="nil"/>
            </w:tcBorders>
            <w:shd w:val="clear" w:color="auto" w:fill="auto"/>
            <w:vAlign w:val="center"/>
            <w:hideMark/>
          </w:tcPr>
          <w:p w14:paraId="01073691" w14:textId="77777777" w:rsidR="006C1E26" w:rsidRPr="00EA24B0" w:rsidRDefault="006C1E26" w:rsidP="007E04FA">
            <w:pPr>
              <w:spacing w:after="0"/>
              <w:jc w:val="center"/>
              <w:rPr>
                <w:b/>
                <w:bCs/>
                <w:color w:val="FFFFFF"/>
                <w:szCs w:val="24"/>
              </w:rPr>
            </w:pPr>
          </w:p>
        </w:tc>
        <w:tc>
          <w:tcPr>
            <w:tcW w:w="328" w:type="pct"/>
            <w:tcBorders>
              <w:top w:val="nil"/>
              <w:left w:val="nil"/>
              <w:bottom w:val="single" w:sz="8" w:space="0" w:color="auto"/>
              <w:right w:val="single" w:sz="4" w:space="0" w:color="auto"/>
            </w:tcBorders>
            <w:shd w:val="clear" w:color="auto" w:fill="auto"/>
            <w:vAlign w:val="center"/>
            <w:hideMark/>
          </w:tcPr>
          <w:p w14:paraId="0CC508DC"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89" w:type="pct"/>
            <w:tcBorders>
              <w:top w:val="single" w:sz="4" w:space="0" w:color="auto"/>
              <w:left w:val="single" w:sz="4" w:space="0" w:color="auto"/>
              <w:bottom w:val="single" w:sz="4" w:space="0" w:color="auto"/>
              <w:right w:val="nil"/>
            </w:tcBorders>
            <w:shd w:val="clear" w:color="auto" w:fill="auto"/>
            <w:vAlign w:val="center"/>
            <w:hideMark/>
          </w:tcPr>
          <w:p w14:paraId="7DF18B87" w14:textId="77777777" w:rsidR="006C1E26" w:rsidRPr="00EA24B0" w:rsidRDefault="006C1E26" w:rsidP="007E04FA">
            <w:pPr>
              <w:spacing w:after="0"/>
              <w:jc w:val="center"/>
              <w:rPr>
                <w:b/>
                <w:bCs/>
                <w:color w:val="FFFFFF"/>
                <w:szCs w:val="24"/>
              </w:rPr>
            </w:pPr>
          </w:p>
        </w:tc>
        <w:tc>
          <w:tcPr>
            <w:tcW w:w="141" w:type="pct"/>
            <w:tcBorders>
              <w:top w:val="nil"/>
              <w:left w:val="nil"/>
              <w:right w:val="nil"/>
            </w:tcBorders>
            <w:shd w:val="clear" w:color="auto" w:fill="auto"/>
            <w:vAlign w:val="center"/>
            <w:hideMark/>
          </w:tcPr>
          <w:p w14:paraId="3682BACF" w14:textId="77777777" w:rsidR="006C1E26" w:rsidRPr="00EA24B0" w:rsidRDefault="006C1E26" w:rsidP="007E04FA">
            <w:pPr>
              <w:spacing w:after="0"/>
              <w:jc w:val="center"/>
              <w:rPr>
                <w:b/>
                <w:bCs/>
                <w:color w:val="FFFFFF"/>
                <w:szCs w:val="24"/>
              </w:rPr>
            </w:pPr>
          </w:p>
        </w:tc>
        <w:tc>
          <w:tcPr>
            <w:tcW w:w="300" w:type="pct"/>
            <w:tcBorders>
              <w:top w:val="nil"/>
              <w:left w:val="nil"/>
              <w:bottom w:val="nil"/>
              <w:right w:val="single" w:sz="4" w:space="0" w:color="auto"/>
            </w:tcBorders>
            <w:shd w:val="clear" w:color="auto" w:fill="auto"/>
            <w:vAlign w:val="center"/>
            <w:hideMark/>
          </w:tcPr>
          <w:p w14:paraId="504563B3" w14:textId="77777777" w:rsidR="006C1E26" w:rsidRPr="00EA24B0" w:rsidRDefault="006C1E26" w:rsidP="007E04FA">
            <w:pPr>
              <w:spacing w:after="0"/>
              <w:jc w:val="center"/>
              <w:rPr>
                <w:b/>
                <w:bCs/>
                <w:color w:val="FFFFFF"/>
                <w:szCs w:val="24"/>
              </w:rPr>
            </w:pPr>
          </w:p>
        </w:tc>
        <w:tc>
          <w:tcPr>
            <w:tcW w:w="217" w:type="pct"/>
            <w:tcBorders>
              <w:top w:val="single" w:sz="4" w:space="0" w:color="auto"/>
              <w:left w:val="single" w:sz="4" w:space="0" w:color="auto"/>
              <w:bottom w:val="single" w:sz="4" w:space="0" w:color="auto"/>
              <w:right w:val="nil"/>
            </w:tcBorders>
            <w:shd w:val="clear" w:color="auto" w:fill="auto"/>
            <w:vAlign w:val="center"/>
            <w:hideMark/>
          </w:tcPr>
          <w:p w14:paraId="110EB554"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60" w:type="pct"/>
            <w:tcBorders>
              <w:top w:val="nil"/>
              <w:left w:val="nil"/>
              <w:right w:val="nil"/>
            </w:tcBorders>
            <w:shd w:val="clear" w:color="auto" w:fill="auto"/>
            <w:vAlign w:val="center"/>
            <w:hideMark/>
          </w:tcPr>
          <w:p w14:paraId="7C4F0F2F" w14:textId="77777777" w:rsidR="006C1E26" w:rsidRPr="00EA24B0" w:rsidRDefault="006C1E26" w:rsidP="007E04FA">
            <w:pPr>
              <w:spacing w:after="0"/>
              <w:jc w:val="center"/>
              <w:rPr>
                <w:b/>
                <w:bCs/>
                <w:color w:val="FFFFFF"/>
                <w:szCs w:val="24"/>
              </w:rPr>
            </w:pPr>
          </w:p>
        </w:tc>
        <w:tc>
          <w:tcPr>
            <w:tcW w:w="253" w:type="pct"/>
            <w:tcBorders>
              <w:top w:val="nil"/>
              <w:left w:val="nil"/>
              <w:bottom w:val="single" w:sz="8" w:space="0" w:color="auto"/>
              <w:right w:val="single" w:sz="4" w:space="0" w:color="auto"/>
            </w:tcBorders>
            <w:shd w:val="clear" w:color="auto" w:fill="auto"/>
            <w:vAlign w:val="center"/>
            <w:hideMark/>
          </w:tcPr>
          <w:p w14:paraId="00067CB5"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245" w:type="pct"/>
            <w:tcBorders>
              <w:top w:val="single" w:sz="4" w:space="0" w:color="auto"/>
              <w:left w:val="single" w:sz="4" w:space="0" w:color="auto"/>
              <w:bottom w:val="single" w:sz="4" w:space="0" w:color="auto"/>
              <w:right w:val="nil"/>
            </w:tcBorders>
            <w:shd w:val="clear" w:color="auto" w:fill="auto"/>
            <w:vAlign w:val="center"/>
            <w:hideMark/>
          </w:tcPr>
          <w:p w14:paraId="13EADE55" w14:textId="77777777" w:rsidR="006C1E26" w:rsidRPr="00EA24B0" w:rsidRDefault="006C1E26" w:rsidP="007E04FA">
            <w:pPr>
              <w:spacing w:after="0"/>
              <w:jc w:val="center"/>
              <w:rPr>
                <w:b/>
                <w:bCs/>
                <w:color w:val="FFFFFF"/>
                <w:szCs w:val="24"/>
              </w:rPr>
            </w:pPr>
          </w:p>
        </w:tc>
        <w:tc>
          <w:tcPr>
            <w:tcW w:w="145" w:type="pct"/>
            <w:tcBorders>
              <w:top w:val="nil"/>
              <w:left w:val="nil"/>
              <w:right w:val="nil"/>
            </w:tcBorders>
            <w:shd w:val="clear" w:color="auto" w:fill="auto"/>
            <w:vAlign w:val="center"/>
            <w:hideMark/>
          </w:tcPr>
          <w:p w14:paraId="34602DA9" w14:textId="77777777" w:rsidR="006C1E26" w:rsidRPr="00EA24B0" w:rsidRDefault="006C1E26" w:rsidP="007E04FA">
            <w:pPr>
              <w:spacing w:after="0"/>
              <w:jc w:val="center"/>
              <w:rPr>
                <w:b/>
                <w:bCs/>
                <w:color w:val="FFFFFF"/>
                <w:szCs w:val="24"/>
              </w:rPr>
            </w:pPr>
          </w:p>
        </w:tc>
        <w:tc>
          <w:tcPr>
            <w:tcW w:w="249" w:type="pct"/>
            <w:tcBorders>
              <w:top w:val="nil"/>
              <w:left w:val="nil"/>
              <w:bottom w:val="nil"/>
              <w:right w:val="single" w:sz="4" w:space="0" w:color="auto"/>
            </w:tcBorders>
            <w:shd w:val="clear" w:color="auto" w:fill="auto"/>
            <w:vAlign w:val="center"/>
            <w:hideMark/>
          </w:tcPr>
          <w:p w14:paraId="68C4782A" w14:textId="77777777" w:rsidR="006C1E26" w:rsidRPr="00EA24B0" w:rsidRDefault="006C1E26" w:rsidP="007E04FA">
            <w:pPr>
              <w:spacing w:after="0"/>
              <w:jc w:val="center"/>
              <w:rPr>
                <w:b/>
                <w:bCs/>
                <w:color w:val="FFFFFF"/>
                <w:szCs w:val="24"/>
              </w:rPr>
            </w:pPr>
          </w:p>
        </w:tc>
        <w:tc>
          <w:tcPr>
            <w:tcW w:w="230" w:type="pct"/>
            <w:tcBorders>
              <w:top w:val="single" w:sz="4" w:space="0" w:color="auto"/>
              <w:left w:val="single" w:sz="4" w:space="0" w:color="auto"/>
              <w:bottom w:val="single" w:sz="4" w:space="0" w:color="auto"/>
              <w:right w:val="nil"/>
            </w:tcBorders>
            <w:shd w:val="clear" w:color="auto" w:fill="auto"/>
            <w:vAlign w:val="center"/>
            <w:hideMark/>
          </w:tcPr>
          <w:p w14:paraId="5442CDBB"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139" w:type="pct"/>
            <w:tcBorders>
              <w:top w:val="nil"/>
              <w:left w:val="nil"/>
              <w:right w:val="nil"/>
            </w:tcBorders>
            <w:shd w:val="clear" w:color="auto" w:fill="auto"/>
            <w:vAlign w:val="center"/>
            <w:hideMark/>
          </w:tcPr>
          <w:p w14:paraId="21DB5D0C" w14:textId="77777777" w:rsidR="006C1E26" w:rsidRPr="00EA24B0" w:rsidRDefault="006C1E26" w:rsidP="007E04FA">
            <w:pPr>
              <w:spacing w:after="0"/>
              <w:jc w:val="center"/>
              <w:rPr>
                <w:b/>
                <w:bCs/>
                <w:color w:val="FFFFFF"/>
                <w:szCs w:val="24"/>
              </w:rPr>
            </w:pPr>
          </w:p>
        </w:tc>
        <w:tc>
          <w:tcPr>
            <w:tcW w:w="343" w:type="pct"/>
            <w:gridSpan w:val="2"/>
            <w:tcBorders>
              <w:top w:val="nil"/>
              <w:left w:val="nil"/>
              <w:bottom w:val="single" w:sz="8" w:space="0" w:color="auto"/>
              <w:right w:val="single" w:sz="4" w:space="0" w:color="auto"/>
            </w:tcBorders>
            <w:shd w:val="clear" w:color="auto" w:fill="auto"/>
            <w:vAlign w:val="center"/>
            <w:hideMark/>
          </w:tcPr>
          <w:p w14:paraId="778D4E3A" w14:textId="77777777" w:rsidR="006C1E26" w:rsidRPr="00EA24B0" w:rsidRDefault="006C1E26" w:rsidP="007E04FA">
            <w:pPr>
              <w:spacing w:after="0"/>
              <w:jc w:val="center"/>
              <w:rPr>
                <w:b/>
                <w:bCs/>
                <w:color w:val="FFFFFF"/>
                <w:szCs w:val="24"/>
              </w:rPr>
            </w:pPr>
            <w:r w:rsidRPr="00EA24B0">
              <w:rPr>
                <w:b/>
                <w:bCs/>
                <w:color w:val="FFFFFF"/>
                <w:szCs w:val="24"/>
              </w:rPr>
              <w:t> </w:t>
            </w:r>
          </w:p>
        </w:tc>
        <w:tc>
          <w:tcPr>
            <w:tcW w:w="219" w:type="pct"/>
            <w:tcBorders>
              <w:top w:val="single" w:sz="4" w:space="0" w:color="auto"/>
              <w:left w:val="single" w:sz="4" w:space="0" w:color="auto"/>
              <w:bottom w:val="single" w:sz="4" w:space="0" w:color="auto"/>
              <w:right w:val="nil"/>
            </w:tcBorders>
            <w:shd w:val="clear" w:color="auto" w:fill="auto"/>
            <w:vAlign w:val="center"/>
            <w:hideMark/>
          </w:tcPr>
          <w:p w14:paraId="02FF021B" w14:textId="77777777" w:rsidR="006C1E26" w:rsidRPr="00EA24B0" w:rsidRDefault="006C1E26" w:rsidP="007E04FA">
            <w:pPr>
              <w:spacing w:after="0"/>
              <w:jc w:val="center"/>
              <w:rPr>
                <w:b/>
                <w:bCs/>
                <w:color w:val="FFFFFF"/>
                <w:szCs w:val="24"/>
              </w:rPr>
            </w:pPr>
          </w:p>
        </w:tc>
      </w:tr>
      <w:tr w:rsidR="006C1E26" w:rsidRPr="00EA24B0" w14:paraId="178BFE44" w14:textId="77777777" w:rsidTr="007E04FA">
        <w:trPr>
          <w:trHeight w:val="432"/>
        </w:trPr>
        <w:tc>
          <w:tcPr>
            <w:tcW w:w="441"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0AB52620"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Sample Coverage</w:t>
            </w:r>
          </w:p>
        </w:tc>
        <w:tc>
          <w:tcPr>
            <w:tcW w:w="146" w:type="pct"/>
            <w:tcBorders>
              <w:top w:val="nil"/>
              <w:left w:val="nil"/>
              <w:bottom w:val="nil"/>
              <w:right w:val="nil"/>
            </w:tcBorders>
            <w:shd w:val="clear" w:color="auto" w:fill="auto"/>
            <w:vAlign w:val="center"/>
            <w:hideMark/>
          </w:tcPr>
          <w:p w14:paraId="62845CC0" w14:textId="77777777" w:rsidR="006C1E26" w:rsidRPr="00EA24B0" w:rsidRDefault="006C1E26" w:rsidP="007E04FA">
            <w:pPr>
              <w:spacing w:after="0"/>
              <w:jc w:val="center"/>
              <w:rPr>
                <w:rFonts w:ascii="Arial Narrow" w:hAnsi="Arial Narrow"/>
                <w:b/>
                <w:bCs/>
                <w:sz w:val="16"/>
                <w:szCs w:val="24"/>
              </w:rPr>
            </w:pPr>
          </w:p>
        </w:tc>
        <w:tc>
          <w:tcPr>
            <w:tcW w:w="45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0AE7191C"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Response Rates</w:t>
            </w:r>
          </w:p>
        </w:tc>
        <w:tc>
          <w:tcPr>
            <w:tcW w:w="145" w:type="pct"/>
            <w:tcBorders>
              <w:top w:val="nil"/>
              <w:left w:val="nil"/>
              <w:bottom w:val="nil"/>
              <w:right w:val="nil"/>
            </w:tcBorders>
            <w:shd w:val="clear" w:color="auto" w:fill="auto"/>
            <w:vAlign w:val="center"/>
            <w:hideMark/>
          </w:tcPr>
          <w:p w14:paraId="5EBAEE35" w14:textId="77777777" w:rsidR="006C1E26" w:rsidRPr="00EA24B0" w:rsidRDefault="006C1E26" w:rsidP="007E04FA">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44515972"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Instrument</w:t>
            </w:r>
          </w:p>
        </w:tc>
        <w:tc>
          <w:tcPr>
            <w:tcW w:w="135" w:type="pct"/>
            <w:tcBorders>
              <w:top w:val="nil"/>
              <w:left w:val="nil"/>
              <w:bottom w:val="nil"/>
              <w:right w:val="nil"/>
            </w:tcBorders>
            <w:shd w:val="clear" w:color="auto" w:fill="auto"/>
            <w:vAlign w:val="center"/>
            <w:hideMark/>
          </w:tcPr>
          <w:p w14:paraId="7FE13D5B" w14:textId="77777777" w:rsidR="006C1E26" w:rsidRPr="00EA24B0" w:rsidRDefault="006C1E26" w:rsidP="007E04FA">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7EFBCF2E"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Data Collection</w:t>
            </w:r>
          </w:p>
        </w:tc>
        <w:tc>
          <w:tcPr>
            <w:tcW w:w="141" w:type="pct"/>
            <w:tcBorders>
              <w:top w:val="nil"/>
              <w:left w:val="nil"/>
              <w:bottom w:val="nil"/>
              <w:right w:val="nil"/>
            </w:tcBorders>
            <w:shd w:val="clear" w:color="auto" w:fill="auto"/>
            <w:vAlign w:val="center"/>
            <w:hideMark/>
          </w:tcPr>
          <w:p w14:paraId="1D48131F" w14:textId="77777777" w:rsidR="006C1E26" w:rsidRPr="00EA24B0" w:rsidRDefault="006C1E26" w:rsidP="007E04FA">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71124607"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Data Editing &amp; Compilation</w:t>
            </w:r>
          </w:p>
        </w:tc>
        <w:tc>
          <w:tcPr>
            <w:tcW w:w="160" w:type="pct"/>
            <w:tcBorders>
              <w:top w:val="nil"/>
              <w:left w:val="nil"/>
              <w:bottom w:val="nil"/>
              <w:right w:val="nil"/>
            </w:tcBorders>
            <w:shd w:val="clear" w:color="auto" w:fill="auto"/>
            <w:vAlign w:val="center"/>
            <w:hideMark/>
          </w:tcPr>
          <w:p w14:paraId="65157C77" w14:textId="77777777" w:rsidR="006C1E26" w:rsidRPr="00EA24B0" w:rsidRDefault="006C1E26" w:rsidP="007E04FA">
            <w:pPr>
              <w:spacing w:after="0"/>
              <w:jc w:val="center"/>
              <w:rPr>
                <w:rFonts w:ascii="Arial Narrow" w:hAnsi="Arial Narrow"/>
                <w:b/>
                <w:bCs/>
                <w:sz w:val="16"/>
                <w:szCs w:val="24"/>
              </w:rPr>
            </w:pPr>
          </w:p>
        </w:tc>
        <w:tc>
          <w:tcPr>
            <w:tcW w:w="49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0454E03D"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Imputation &amp; Weighting</w:t>
            </w:r>
          </w:p>
        </w:tc>
        <w:tc>
          <w:tcPr>
            <w:tcW w:w="145" w:type="pct"/>
            <w:tcBorders>
              <w:top w:val="nil"/>
              <w:left w:val="nil"/>
              <w:bottom w:val="nil"/>
              <w:right w:val="nil"/>
            </w:tcBorders>
            <w:shd w:val="clear" w:color="auto" w:fill="auto"/>
            <w:vAlign w:val="center"/>
            <w:hideMark/>
          </w:tcPr>
          <w:p w14:paraId="472B3311" w14:textId="77777777" w:rsidR="006C1E26" w:rsidRPr="00EA24B0" w:rsidRDefault="006C1E26" w:rsidP="007E04FA">
            <w:pPr>
              <w:spacing w:after="0"/>
              <w:jc w:val="center"/>
              <w:rPr>
                <w:rFonts w:ascii="Arial Narrow" w:hAnsi="Arial Narrow"/>
                <w:b/>
                <w:bCs/>
                <w:sz w:val="16"/>
                <w:szCs w:val="24"/>
              </w:rPr>
            </w:pPr>
          </w:p>
        </w:tc>
        <w:tc>
          <w:tcPr>
            <w:tcW w:w="479"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14:paraId="5F52E1C6"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Analysis of Survey Data</w:t>
            </w:r>
          </w:p>
        </w:tc>
        <w:tc>
          <w:tcPr>
            <w:tcW w:w="139" w:type="pct"/>
            <w:tcBorders>
              <w:top w:val="nil"/>
              <w:left w:val="nil"/>
              <w:bottom w:val="nil"/>
              <w:right w:val="nil"/>
            </w:tcBorders>
            <w:shd w:val="clear" w:color="auto" w:fill="auto"/>
            <w:vAlign w:val="center"/>
            <w:hideMark/>
          </w:tcPr>
          <w:p w14:paraId="09AC5787" w14:textId="77777777" w:rsidR="006C1E26" w:rsidRPr="00EA24B0" w:rsidRDefault="006C1E26" w:rsidP="007E04FA">
            <w:pPr>
              <w:spacing w:after="0"/>
              <w:jc w:val="center"/>
              <w:rPr>
                <w:rFonts w:ascii="Arial Narrow" w:hAnsi="Arial Narrow"/>
                <w:b/>
                <w:bCs/>
                <w:sz w:val="16"/>
                <w:szCs w:val="24"/>
              </w:rPr>
            </w:pPr>
          </w:p>
        </w:tc>
        <w:tc>
          <w:tcPr>
            <w:tcW w:w="562" w:type="pct"/>
            <w:gridSpan w:val="3"/>
            <w:tcBorders>
              <w:top w:val="single" w:sz="8" w:space="0" w:color="auto"/>
              <w:left w:val="single" w:sz="8" w:space="0" w:color="auto"/>
              <w:bottom w:val="single" w:sz="8" w:space="0" w:color="auto"/>
              <w:right w:val="single" w:sz="8" w:space="0" w:color="000000"/>
            </w:tcBorders>
            <w:shd w:val="clear" w:color="auto" w:fill="EEECE1"/>
            <w:vAlign w:val="center"/>
            <w:hideMark/>
          </w:tcPr>
          <w:p w14:paraId="33A68D6B" w14:textId="77777777" w:rsidR="006C1E26" w:rsidRPr="00EA24B0" w:rsidRDefault="006C1E26" w:rsidP="007E04FA">
            <w:pPr>
              <w:spacing w:after="0"/>
              <w:jc w:val="center"/>
              <w:rPr>
                <w:rFonts w:ascii="Arial Narrow" w:hAnsi="Arial Narrow"/>
                <w:b/>
                <w:bCs/>
                <w:sz w:val="16"/>
                <w:szCs w:val="24"/>
              </w:rPr>
            </w:pPr>
            <w:r w:rsidRPr="00EA24B0">
              <w:rPr>
                <w:rFonts w:ascii="Arial Narrow" w:hAnsi="Arial Narrow"/>
                <w:b/>
                <w:bCs/>
                <w:sz w:val="16"/>
                <w:szCs w:val="24"/>
              </w:rPr>
              <w:t>Interpretation &amp; Action Plans</w:t>
            </w:r>
          </w:p>
        </w:tc>
      </w:tr>
    </w:tbl>
    <w:bookmarkEnd w:id="2"/>
    <w:p w14:paraId="70A6399D" w14:textId="273E1F4F" w:rsidR="006C1E26" w:rsidRPr="00EA24B0" w:rsidRDefault="006C1E26" w:rsidP="006C1E26">
      <w:pPr>
        <w:spacing w:before="120"/>
        <w:rPr>
          <w:szCs w:val="24"/>
        </w:rPr>
      </w:pPr>
      <w:r w:rsidRPr="00EA24B0">
        <w:rPr>
          <w:szCs w:val="24"/>
        </w:rPr>
        <w:t>Striking an optimal balance here requires academic knowledge, hand</w:t>
      </w:r>
      <w:r w:rsidR="0083243D" w:rsidRPr="00EA24B0">
        <w:rPr>
          <w:szCs w:val="24"/>
        </w:rPr>
        <w:t>s</w:t>
      </w:r>
      <w:r w:rsidRPr="00EA24B0">
        <w:rPr>
          <w:szCs w:val="24"/>
        </w:rPr>
        <w:t>-on experience, and transparent execution.  Conducive to this objective is the solid – yet intuitive – design th</w:t>
      </w:r>
      <w:r w:rsidR="0083243D" w:rsidRPr="00EA24B0">
        <w:rPr>
          <w:szCs w:val="24"/>
        </w:rPr>
        <w:t>at</w:t>
      </w:r>
      <w:r w:rsidRPr="00EA24B0">
        <w:rPr>
          <w:szCs w:val="24"/>
        </w:rPr>
        <w:t xml:space="preserve"> Passport Services has envisioned for this study, the main components of which are outlined in this section.  Specifically, in what follows we will discuss:</w:t>
      </w:r>
    </w:p>
    <w:p w14:paraId="33FD1DBE" w14:textId="77777777" w:rsidR="006C1E26" w:rsidRPr="00EA24B0" w:rsidRDefault="006C1E26" w:rsidP="006C1E26">
      <w:pPr>
        <w:numPr>
          <w:ilvl w:val="0"/>
          <w:numId w:val="7"/>
        </w:numPr>
        <w:spacing w:before="80" w:after="80"/>
        <w:rPr>
          <w:szCs w:val="24"/>
        </w:rPr>
      </w:pPr>
      <w:r w:rsidRPr="00EA24B0">
        <w:rPr>
          <w:szCs w:val="24"/>
        </w:rPr>
        <w:lastRenderedPageBreak/>
        <w:t>Design and selection of representative samples that are probability-based;</w:t>
      </w:r>
    </w:p>
    <w:p w14:paraId="106AD679" w14:textId="77777777" w:rsidR="006C1E26" w:rsidRPr="00EA24B0" w:rsidRDefault="006C1E26" w:rsidP="006C1E26">
      <w:pPr>
        <w:numPr>
          <w:ilvl w:val="0"/>
          <w:numId w:val="7"/>
        </w:numPr>
        <w:spacing w:before="80" w:after="80"/>
        <w:rPr>
          <w:szCs w:val="24"/>
        </w:rPr>
      </w:pPr>
      <w:r w:rsidRPr="00EA24B0">
        <w:rPr>
          <w:szCs w:val="24"/>
        </w:rPr>
        <w:t>Collection of reliable data using a respondent-friendly protocol;</w:t>
      </w:r>
    </w:p>
    <w:p w14:paraId="6DB28844" w14:textId="77777777" w:rsidR="006C1E26" w:rsidRPr="00EA24B0" w:rsidRDefault="006C1E26" w:rsidP="006C1E26">
      <w:pPr>
        <w:numPr>
          <w:ilvl w:val="0"/>
          <w:numId w:val="7"/>
        </w:numPr>
        <w:spacing w:before="80" w:after="80"/>
        <w:rPr>
          <w:szCs w:val="24"/>
        </w:rPr>
      </w:pPr>
      <w:r w:rsidRPr="00EA24B0">
        <w:rPr>
          <w:szCs w:val="24"/>
        </w:rPr>
        <w:t>Effective data enhancements procedures; and</w:t>
      </w:r>
    </w:p>
    <w:p w14:paraId="75228E43" w14:textId="77777777" w:rsidR="006C1E26" w:rsidRPr="00EA24B0" w:rsidRDefault="006C1E26" w:rsidP="006C1E26">
      <w:pPr>
        <w:numPr>
          <w:ilvl w:val="0"/>
          <w:numId w:val="7"/>
        </w:numPr>
        <w:spacing w:before="80" w:after="80"/>
        <w:rPr>
          <w:szCs w:val="24"/>
        </w:rPr>
      </w:pPr>
      <w:r w:rsidRPr="00EA24B0">
        <w:rPr>
          <w:szCs w:val="24"/>
        </w:rPr>
        <w:t xml:space="preserve">Reliable demand projections and timely reporting of the results. </w:t>
      </w:r>
    </w:p>
    <w:p w14:paraId="49B8A064" w14:textId="77777777" w:rsidR="006C1E26" w:rsidRPr="00EA24B0" w:rsidRDefault="006C1E26" w:rsidP="006C1E26">
      <w:pPr>
        <w:pStyle w:val="Heading3"/>
        <w:keepLines w:val="0"/>
        <w:numPr>
          <w:ilvl w:val="0"/>
          <w:numId w:val="19"/>
        </w:numPr>
        <w:spacing w:before="240" w:after="120"/>
        <w:rPr>
          <w:rFonts w:ascii="Times New Roman" w:hAnsi="Times New Roman"/>
          <w:caps/>
          <w:sz w:val="28"/>
          <w:szCs w:val="24"/>
        </w:rPr>
      </w:pPr>
      <w:r w:rsidRPr="00EA24B0">
        <w:rPr>
          <w:rFonts w:ascii="Times New Roman" w:hAnsi="Times New Roman"/>
          <w:caps/>
          <w:sz w:val="28"/>
          <w:szCs w:val="24"/>
        </w:rPr>
        <w:t>Design and Selection of Representative Samples</w:t>
      </w:r>
    </w:p>
    <w:p w14:paraId="4AEE0680" w14:textId="38162D0A" w:rsidR="006C1E26" w:rsidRPr="00EA24B0" w:rsidRDefault="006C1E26" w:rsidP="006C1E26">
      <w:pPr>
        <w:spacing w:before="120"/>
        <w:rPr>
          <w:szCs w:val="24"/>
        </w:rPr>
      </w:pPr>
      <w:r w:rsidRPr="00EA24B0">
        <w:rPr>
          <w:szCs w:val="24"/>
        </w:rPr>
        <w:t>This forecast study employs an address-based sampling (ABS) methodology to reach a probability-based sample of the U</w:t>
      </w:r>
      <w:r w:rsidR="0083243D" w:rsidRPr="00EA24B0">
        <w:rPr>
          <w:szCs w:val="24"/>
        </w:rPr>
        <w:t>.</w:t>
      </w:r>
      <w:r w:rsidRPr="00EA24B0">
        <w:rPr>
          <w:szCs w:val="24"/>
        </w:rPr>
        <w:t>S</w:t>
      </w:r>
      <w:r w:rsidR="0083243D" w:rsidRPr="00EA24B0">
        <w:rPr>
          <w:szCs w:val="24"/>
        </w:rPr>
        <w:t>.</w:t>
      </w:r>
      <w:r w:rsidRPr="00EA24B0">
        <w:rPr>
          <w:szCs w:val="24"/>
        </w:rPr>
        <w:t xml:space="preserve"> households every month.  Increasingly, survey researchers are considering address-based sampling (ABS) methodologies to reach the general public for data collection applications.  Essentially, there are three main factors for this change:</w:t>
      </w:r>
    </w:p>
    <w:p w14:paraId="287C451A" w14:textId="77777777" w:rsidR="006C1E26" w:rsidRPr="00EA24B0" w:rsidRDefault="006C1E26" w:rsidP="006C1E26">
      <w:pPr>
        <w:numPr>
          <w:ilvl w:val="0"/>
          <w:numId w:val="15"/>
        </w:numPr>
        <w:tabs>
          <w:tab w:val="clear" w:pos="1800"/>
          <w:tab w:val="num" w:pos="720"/>
        </w:tabs>
        <w:spacing w:before="120"/>
        <w:ind w:left="720" w:hanging="360"/>
        <w:rPr>
          <w:szCs w:val="24"/>
        </w:rPr>
      </w:pPr>
      <w:r w:rsidRPr="00EA24B0">
        <w:rPr>
          <w:szCs w:val="24"/>
        </w:rPr>
        <w:t>Evolving coverage problems associated with the traditional methods of sampling;</w:t>
      </w:r>
    </w:p>
    <w:p w14:paraId="4273BFCD" w14:textId="77777777" w:rsidR="006C1E26" w:rsidRPr="00EA24B0" w:rsidRDefault="006C1E26" w:rsidP="006C1E26">
      <w:pPr>
        <w:numPr>
          <w:ilvl w:val="0"/>
          <w:numId w:val="15"/>
        </w:numPr>
        <w:tabs>
          <w:tab w:val="clear" w:pos="1800"/>
          <w:tab w:val="num" w:pos="720"/>
        </w:tabs>
        <w:spacing w:before="120"/>
        <w:ind w:left="720" w:hanging="360"/>
        <w:rPr>
          <w:szCs w:val="24"/>
        </w:rPr>
      </w:pPr>
      <w:r w:rsidRPr="00EA24B0">
        <w:rPr>
          <w:szCs w:val="24"/>
        </w:rPr>
        <w:t xml:space="preserve">Eroding rates of response to single modes of contact; and </w:t>
      </w:r>
    </w:p>
    <w:p w14:paraId="6D91EEA4" w14:textId="77777777" w:rsidR="006C1E26" w:rsidRPr="00EA24B0" w:rsidRDefault="006C1E26" w:rsidP="006C1E26">
      <w:pPr>
        <w:numPr>
          <w:ilvl w:val="0"/>
          <w:numId w:val="15"/>
        </w:numPr>
        <w:tabs>
          <w:tab w:val="clear" w:pos="1800"/>
          <w:tab w:val="num" w:pos="720"/>
        </w:tabs>
        <w:spacing w:before="120"/>
        <w:ind w:left="720" w:hanging="360"/>
        <w:rPr>
          <w:szCs w:val="24"/>
        </w:rPr>
      </w:pPr>
      <w:r w:rsidRPr="00EA24B0">
        <w:rPr>
          <w:szCs w:val="24"/>
        </w:rPr>
        <w:t>Recent improvements in the databases of household addresses available to researchers.</w:t>
      </w:r>
    </w:p>
    <w:p w14:paraId="127CFB3F" w14:textId="77777777" w:rsidR="006C1E26" w:rsidRPr="00EA24B0" w:rsidRDefault="006C1E26" w:rsidP="006C1E26">
      <w:pPr>
        <w:spacing w:before="120"/>
        <w:rPr>
          <w:szCs w:val="24"/>
        </w:rPr>
      </w:pPr>
      <w:r w:rsidRPr="00EA24B0">
        <w:rPr>
          <w:szCs w:val="24"/>
        </w:rPr>
        <w:t xml:space="preserve">Indeed, recent advances in databases of household addresses have provided a promising alternative for surveys that require contacts with representative samples of households.  The </w:t>
      </w:r>
      <w:r w:rsidRPr="00EA24B0">
        <w:rPr>
          <w:i/>
          <w:szCs w:val="24"/>
        </w:rPr>
        <w:t>Computerized Delivery Sequence File</w:t>
      </w:r>
      <w:r w:rsidRPr="00EA24B0">
        <w:rPr>
          <w:szCs w:val="24"/>
        </w:rPr>
        <w:t xml:space="preserve"> (CDSF) of the USPS is a database that contains all delivery points in the US, a summary of which is provided in the following table.  For this survey the monthly sample of addresses are obtained from the enhanced ABS frame developed by Marketing Systems Group (MSG).</w:t>
      </w:r>
    </w:p>
    <w:p w14:paraId="5FBF687E" w14:textId="77777777" w:rsidR="006C1E26" w:rsidRPr="00EA24B0" w:rsidRDefault="006C1E26" w:rsidP="006C1E26">
      <w:pPr>
        <w:spacing w:before="120"/>
      </w:pPr>
      <w:proofErr w:type="gramStart"/>
      <w:r w:rsidRPr="00EA24B0">
        <w:rPr>
          <w:b/>
        </w:rPr>
        <w:t>Table 1.</w:t>
      </w:r>
      <w:proofErr w:type="gramEnd"/>
      <w:r w:rsidRPr="00EA24B0">
        <w:rPr>
          <w:b/>
        </w:rPr>
        <w:t xml:space="preserve">  </w:t>
      </w:r>
      <w:r w:rsidRPr="00EA24B0">
        <w:t>Distribution of the CDSF delivery type points</w:t>
      </w:r>
    </w:p>
    <w:tbl>
      <w:tblPr>
        <w:tblW w:w="5000" w:type="pct"/>
        <w:tblLook w:val="04A0" w:firstRow="1" w:lastRow="0" w:firstColumn="1" w:lastColumn="0" w:noHBand="0" w:noVBand="1"/>
      </w:tblPr>
      <w:tblGrid>
        <w:gridCol w:w="6314"/>
        <w:gridCol w:w="3262"/>
      </w:tblGrid>
      <w:tr w:rsidR="006C1E26" w:rsidRPr="00EA24B0" w14:paraId="61C1DD98" w14:textId="77777777" w:rsidTr="007E04FA">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14:paraId="4D1883FD" w14:textId="77777777" w:rsidR="006C1E26" w:rsidRPr="00EA24B0" w:rsidRDefault="006C1E26" w:rsidP="007E04FA">
            <w:pPr>
              <w:spacing w:after="0"/>
              <w:jc w:val="center"/>
              <w:rPr>
                <w:b/>
                <w:bCs/>
                <w:color w:val="000000"/>
                <w:szCs w:val="24"/>
              </w:rPr>
            </w:pPr>
            <w:r w:rsidRPr="00EA24B0">
              <w:rPr>
                <w:b/>
                <w:bCs/>
                <w:color w:val="000000"/>
                <w:szCs w:val="24"/>
              </w:rPr>
              <w:t>Delivery Point Type</w:t>
            </w:r>
          </w:p>
        </w:tc>
        <w:tc>
          <w:tcPr>
            <w:tcW w:w="1703" w:type="pct"/>
            <w:tcBorders>
              <w:top w:val="single" w:sz="4" w:space="0" w:color="000000"/>
              <w:left w:val="single" w:sz="4" w:space="0" w:color="000000"/>
              <w:bottom w:val="single" w:sz="4" w:space="0" w:color="000000"/>
            </w:tcBorders>
            <w:shd w:val="clear" w:color="auto" w:fill="auto"/>
            <w:noWrap/>
            <w:vAlign w:val="center"/>
            <w:hideMark/>
          </w:tcPr>
          <w:p w14:paraId="408C4F10" w14:textId="77777777" w:rsidR="006C1E26" w:rsidRPr="00EA24B0" w:rsidRDefault="006C1E26" w:rsidP="007E04FA">
            <w:pPr>
              <w:spacing w:after="0"/>
              <w:jc w:val="center"/>
              <w:rPr>
                <w:b/>
                <w:bCs/>
                <w:color w:val="000000"/>
                <w:szCs w:val="24"/>
              </w:rPr>
            </w:pPr>
            <w:r w:rsidRPr="00EA24B0">
              <w:rPr>
                <w:b/>
                <w:bCs/>
                <w:color w:val="000000"/>
                <w:szCs w:val="24"/>
              </w:rPr>
              <w:t>Count</w:t>
            </w:r>
          </w:p>
        </w:tc>
      </w:tr>
      <w:tr w:rsidR="006C1E26" w:rsidRPr="00EA24B0" w14:paraId="796A67E2" w14:textId="77777777" w:rsidTr="007E04FA">
        <w:trPr>
          <w:trHeight w:val="288"/>
        </w:trPr>
        <w:tc>
          <w:tcPr>
            <w:tcW w:w="3297" w:type="pct"/>
            <w:tcBorders>
              <w:top w:val="single" w:sz="4" w:space="0" w:color="000000"/>
              <w:left w:val="nil"/>
              <w:bottom w:val="nil"/>
              <w:right w:val="single" w:sz="4" w:space="0" w:color="000000"/>
            </w:tcBorders>
            <w:shd w:val="clear" w:color="auto" w:fill="auto"/>
            <w:noWrap/>
            <w:vAlign w:val="center"/>
            <w:hideMark/>
          </w:tcPr>
          <w:p w14:paraId="655F06AE" w14:textId="77777777" w:rsidR="006C1E26" w:rsidRPr="00EA24B0" w:rsidRDefault="006C1E26" w:rsidP="007E04FA">
            <w:pPr>
              <w:spacing w:after="0"/>
              <w:rPr>
                <w:color w:val="000000"/>
                <w:szCs w:val="24"/>
              </w:rPr>
            </w:pPr>
            <w:r w:rsidRPr="00EA24B0">
              <w:rPr>
                <w:bCs/>
                <w:color w:val="000000"/>
                <w:szCs w:val="24"/>
              </w:rPr>
              <w:t>City Style/Rural Routes</w:t>
            </w:r>
          </w:p>
        </w:tc>
        <w:tc>
          <w:tcPr>
            <w:tcW w:w="1703" w:type="pct"/>
            <w:tcBorders>
              <w:top w:val="single" w:sz="4" w:space="0" w:color="000000"/>
              <w:left w:val="single" w:sz="4" w:space="0" w:color="000000"/>
              <w:bottom w:val="nil"/>
            </w:tcBorders>
            <w:shd w:val="clear" w:color="auto" w:fill="auto"/>
            <w:noWrap/>
            <w:vAlign w:val="center"/>
            <w:hideMark/>
          </w:tcPr>
          <w:p w14:paraId="099021B9" w14:textId="77777777" w:rsidR="006C1E26" w:rsidRPr="00EA24B0" w:rsidRDefault="006C1E26" w:rsidP="007E04FA">
            <w:pPr>
              <w:spacing w:after="0"/>
              <w:ind w:right="900"/>
              <w:jc w:val="right"/>
              <w:rPr>
                <w:color w:val="000000"/>
                <w:szCs w:val="22"/>
              </w:rPr>
            </w:pPr>
            <w:r w:rsidRPr="00EA24B0">
              <w:rPr>
                <w:color w:val="000000"/>
                <w:szCs w:val="22"/>
              </w:rPr>
              <w:t>115,944,396</w:t>
            </w:r>
          </w:p>
        </w:tc>
      </w:tr>
      <w:tr w:rsidR="006C1E26" w:rsidRPr="00EA24B0" w14:paraId="57ED3EE5"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0220335B" w14:textId="77777777" w:rsidR="006C1E26" w:rsidRPr="00EA24B0" w:rsidRDefault="006C1E26" w:rsidP="007E04FA">
            <w:pPr>
              <w:spacing w:after="0"/>
              <w:rPr>
                <w:color w:val="000000"/>
                <w:szCs w:val="24"/>
              </w:rPr>
            </w:pPr>
            <w:r w:rsidRPr="00EA24B0">
              <w:rPr>
                <w:bCs/>
                <w:color w:val="000000"/>
                <w:szCs w:val="24"/>
              </w:rPr>
              <w:t>Traditional P.O. Box</w:t>
            </w:r>
          </w:p>
        </w:tc>
        <w:tc>
          <w:tcPr>
            <w:tcW w:w="1703" w:type="pct"/>
            <w:tcBorders>
              <w:top w:val="nil"/>
              <w:left w:val="single" w:sz="4" w:space="0" w:color="000000"/>
              <w:bottom w:val="nil"/>
            </w:tcBorders>
            <w:shd w:val="clear" w:color="auto" w:fill="auto"/>
            <w:noWrap/>
            <w:vAlign w:val="center"/>
            <w:hideMark/>
          </w:tcPr>
          <w:p w14:paraId="285ECD0D" w14:textId="77777777" w:rsidR="006C1E26" w:rsidRPr="00EA24B0" w:rsidRDefault="006C1E26" w:rsidP="007E04FA">
            <w:pPr>
              <w:spacing w:after="0"/>
              <w:ind w:right="900"/>
              <w:jc w:val="right"/>
              <w:rPr>
                <w:color w:val="000000"/>
                <w:szCs w:val="22"/>
              </w:rPr>
            </w:pPr>
            <w:r w:rsidRPr="00EA24B0">
              <w:rPr>
                <w:color w:val="000000"/>
                <w:szCs w:val="22"/>
              </w:rPr>
              <w:t>14,239,146</w:t>
            </w:r>
          </w:p>
        </w:tc>
      </w:tr>
      <w:tr w:rsidR="006C1E26" w:rsidRPr="00EA24B0" w14:paraId="1AC131CD"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4392B97F" w14:textId="77777777" w:rsidR="006C1E26" w:rsidRPr="00EA24B0" w:rsidRDefault="006C1E26" w:rsidP="007E04FA">
            <w:pPr>
              <w:spacing w:after="0"/>
              <w:rPr>
                <w:color w:val="000000"/>
                <w:szCs w:val="24"/>
              </w:rPr>
            </w:pPr>
            <w:r w:rsidRPr="00EA24B0">
              <w:rPr>
                <w:bCs/>
                <w:color w:val="000000"/>
                <w:szCs w:val="24"/>
              </w:rPr>
              <w:t>Only Way of Getting Mail (OWGM) P.O. Box</w:t>
            </w:r>
          </w:p>
        </w:tc>
        <w:tc>
          <w:tcPr>
            <w:tcW w:w="1703" w:type="pct"/>
            <w:tcBorders>
              <w:top w:val="nil"/>
              <w:left w:val="single" w:sz="4" w:space="0" w:color="000000"/>
              <w:bottom w:val="nil"/>
            </w:tcBorders>
            <w:shd w:val="clear" w:color="auto" w:fill="auto"/>
            <w:noWrap/>
            <w:vAlign w:val="center"/>
            <w:hideMark/>
          </w:tcPr>
          <w:p w14:paraId="6EE322F6" w14:textId="77777777" w:rsidR="006C1E26" w:rsidRPr="00EA24B0" w:rsidRDefault="006C1E26" w:rsidP="007E04FA">
            <w:pPr>
              <w:spacing w:after="0"/>
              <w:ind w:right="900"/>
              <w:jc w:val="right"/>
              <w:rPr>
                <w:color w:val="000000"/>
                <w:szCs w:val="22"/>
              </w:rPr>
            </w:pPr>
            <w:r w:rsidRPr="00EA24B0">
              <w:rPr>
                <w:color w:val="000000"/>
                <w:szCs w:val="22"/>
              </w:rPr>
              <w:t>1,404,611</w:t>
            </w:r>
          </w:p>
        </w:tc>
      </w:tr>
      <w:tr w:rsidR="006C1E26" w:rsidRPr="00EA24B0" w14:paraId="534C159F"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00A057D3" w14:textId="77777777" w:rsidR="006C1E26" w:rsidRPr="00EA24B0" w:rsidRDefault="006C1E26" w:rsidP="007E04FA">
            <w:pPr>
              <w:spacing w:after="0"/>
              <w:rPr>
                <w:color w:val="000000"/>
                <w:szCs w:val="24"/>
              </w:rPr>
            </w:pPr>
            <w:r w:rsidRPr="00EA24B0">
              <w:rPr>
                <w:bCs/>
                <w:color w:val="000000"/>
                <w:szCs w:val="24"/>
              </w:rPr>
              <w:t>Seasonal</w:t>
            </w:r>
          </w:p>
        </w:tc>
        <w:tc>
          <w:tcPr>
            <w:tcW w:w="1703" w:type="pct"/>
            <w:tcBorders>
              <w:top w:val="nil"/>
              <w:left w:val="single" w:sz="4" w:space="0" w:color="000000"/>
              <w:bottom w:val="nil"/>
            </w:tcBorders>
            <w:shd w:val="clear" w:color="auto" w:fill="auto"/>
            <w:noWrap/>
            <w:vAlign w:val="center"/>
            <w:hideMark/>
          </w:tcPr>
          <w:p w14:paraId="2255DEAB" w14:textId="77777777" w:rsidR="006C1E26" w:rsidRPr="00EA24B0" w:rsidRDefault="006C1E26" w:rsidP="007E04FA">
            <w:pPr>
              <w:spacing w:after="0"/>
              <w:ind w:right="900"/>
              <w:jc w:val="right"/>
              <w:rPr>
                <w:color w:val="000000"/>
                <w:szCs w:val="22"/>
              </w:rPr>
            </w:pPr>
            <w:r w:rsidRPr="00EA24B0">
              <w:rPr>
                <w:color w:val="000000"/>
                <w:szCs w:val="22"/>
              </w:rPr>
              <w:t>858,184</w:t>
            </w:r>
          </w:p>
        </w:tc>
      </w:tr>
      <w:tr w:rsidR="006C1E26" w:rsidRPr="00EA24B0" w14:paraId="2777DDB5"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28E64F64" w14:textId="77777777" w:rsidR="006C1E26" w:rsidRPr="00EA24B0" w:rsidRDefault="006C1E26" w:rsidP="007E04FA">
            <w:pPr>
              <w:spacing w:after="0"/>
              <w:rPr>
                <w:color w:val="000000"/>
                <w:szCs w:val="24"/>
              </w:rPr>
            </w:pPr>
            <w:r w:rsidRPr="00EA24B0">
              <w:rPr>
                <w:bCs/>
                <w:color w:val="000000"/>
                <w:szCs w:val="24"/>
              </w:rPr>
              <w:t>Educational</w:t>
            </w:r>
          </w:p>
        </w:tc>
        <w:tc>
          <w:tcPr>
            <w:tcW w:w="1703" w:type="pct"/>
            <w:tcBorders>
              <w:top w:val="nil"/>
              <w:left w:val="single" w:sz="4" w:space="0" w:color="000000"/>
              <w:bottom w:val="nil"/>
            </w:tcBorders>
            <w:shd w:val="clear" w:color="auto" w:fill="auto"/>
            <w:noWrap/>
            <w:vAlign w:val="center"/>
            <w:hideMark/>
          </w:tcPr>
          <w:p w14:paraId="26806A39" w14:textId="77777777" w:rsidR="006C1E26" w:rsidRPr="00EA24B0" w:rsidRDefault="006C1E26" w:rsidP="007E04FA">
            <w:pPr>
              <w:spacing w:after="0"/>
              <w:ind w:right="900"/>
              <w:jc w:val="right"/>
              <w:rPr>
                <w:color w:val="000000"/>
                <w:szCs w:val="22"/>
              </w:rPr>
            </w:pPr>
            <w:r w:rsidRPr="00EA24B0">
              <w:rPr>
                <w:color w:val="000000"/>
                <w:szCs w:val="22"/>
              </w:rPr>
              <w:t>94,678</w:t>
            </w:r>
          </w:p>
        </w:tc>
      </w:tr>
      <w:tr w:rsidR="006C1E26" w:rsidRPr="00EA24B0" w14:paraId="57D92468"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3C8129CB" w14:textId="77777777" w:rsidR="006C1E26" w:rsidRPr="00EA24B0" w:rsidRDefault="006C1E26" w:rsidP="007E04FA">
            <w:pPr>
              <w:spacing w:after="0"/>
              <w:rPr>
                <w:color w:val="000000"/>
                <w:szCs w:val="24"/>
              </w:rPr>
            </w:pPr>
            <w:r w:rsidRPr="00EA24B0">
              <w:rPr>
                <w:bCs/>
                <w:color w:val="000000"/>
                <w:szCs w:val="24"/>
              </w:rPr>
              <w:t>Vacant</w:t>
            </w:r>
          </w:p>
        </w:tc>
        <w:tc>
          <w:tcPr>
            <w:tcW w:w="1703" w:type="pct"/>
            <w:tcBorders>
              <w:top w:val="nil"/>
              <w:left w:val="single" w:sz="4" w:space="0" w:color="000000"/>
              <w:bottom w:val="nil"/>
            </w:tcBorders>
            <w:shd w:val="clear" w:color="auto" w:fill="auto"/>
            <w:noWrap/>
            <w:vAlign w:val="center"/>
            <w:hideMark/>
          </w:tcPr>
          <w:p w14:paraId="422D1DB3" w14:textId="77777777" w:rsidR="006C1E26" w:rsidRPr="00EA24B0" w:rsidRDefault="006C1E26" w:rsidP="007E04FA">
            <w:pPr>
              <w:spacing w:after="0"/>
              <w:ind w:right="900"/>
              <w:jc w:val="right"/>
              <w:rPr>
                <w:color w:val="000000"/>
                <w:szCs w:val="22"/>
              </w:rPr>
            </w:pPr>
            <w:r w:rsidRPr="00EA24B0">
              <w:rPr>
                <w:color w:val="000000"/>
                <w:szCs w:val="22"/>
              </w:rPr>
              <w:t>3,630,143</w:t>
            </w:r>
          </w:p>
        </w:tc>
      </w:tr>
      <w:tr w:rsidR="006C1E26" w:rsidRPr="00EA24B0" w14:paraId="0D05B9B2"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40569574" w14:textId="77777777" w:rsidR="006C1E26" w:rsidRPr="00EA24B0" w:rsidRDefault="006C1E26" w:rsidP="007E04FA">
            <w:pPr>
              <w:spacing w:after="0"/>
              <w:rPr>
                <w:color w:val="000000"/>
                <w:szCs w:val="24"/>
              </w:rPr>
            </w:pPr>
            <w:r w:rsidRPr="00EA24B0">
              <w:rPr>
                <w:bCs/>
                <w:color w:val="000000"/>
                <w:szCs w:val="24"/>
              </w:rPr>
              <w:t>Throwback</w:t>
            </w:r>
          </w:p>
        </w:tc>
        <w:tc>
          <w:tcPr>
            <w:tcW w:w="1703" w:type="pct"/>
            <w:tcBorders>
              <w:top w:val="nil"/>
              <w:left w:val="single" w:sz="4" w:space="0" w:color="000000"/>
              <w:bottom w:val="nil"/>
            </w:tcBorders>
            <w:shd w:val="clear" w:color="auto" w:fill="auto"/>
            <w:noWrap/>
            <w:vAlign w:val="center"/>
            <w:hideMark/>
          </w:tcPr>
          <w:p w14:paraId="54B05DA7" w14:textId="77777777" w:rsidR="006C1E26" w:rsidRPr="00EA24B0" w:rsidRDefault="006C1E26" w:rsidP="007E04FA">
            <w:pPr>
              <w:spacing w:after="0"/>
              <w:ind w:right="900"/>
              <w:jc w:val="right"/>
              <w:rPr>
                <w:color w:val="000000"/>
                <w:szCs w:val="22"/>
              </w:rPr>
            </w:pPr>
            <w:r w:rsidRPr="00EA24B0">
              <w:rPr>
                <w:color w:val="000000"/>
                <w:szCs w:val="22"/>
              </w:rPr>
              <w:t>275,670</w:t>
            </w:r>
          </w:p>
        </w:tc>
      </w:tr>
      <w:tr w:rsidR="006C1E26" w:rsidRPr="00EA24B0" w14:paraId="1A40C6F0" w14:textId="77777777" w:rsidTr="007E04FA">
        <w:trPr>
          <w:trHeight w:val="288"/>
        </w:trPr>
        <w:tc>
          <w:tcPr>
            <w:tcW w:w="3297" w:type="pct"/>
            <w:tcBorders>
              <w:top w:val="nil"/>
              <w:left w:val="nil"/>
              <w:bottom w:val="nil"/>
              <w:right w:val="single" w:sz="4" w:space="0" w:color="000000"/>
            </w:tcBorders>
            <w:shd w:val="clear" w:color="auto" w:fill="auto"/>
            <w:noWrap/>
            <w:vAlign w:val="center"/>
            <w:hideMark/>
          </w:tcPr>
          <w:p w14:paraId="2FB195F7" w14:textId="77777777" w:rsidR="006C1E26" w:rsidRPr="00EA24B0" w:rsidRDefault="006C1E26" w:rsidP="007E04FA">
            <w:pPr>
              <w:spacing w:after="0"/>
              <w:rPr>
                <w:color w:val="000000"/>
                <w:szCs w:val="24"/>
              </w:rPr>
            </w:pPr>
            <w:r w:rsidRPr="00EA24B0">
              <w:rPr>
                <w:bCs/>
                <w:color w:val="000000"/>
                <w:szCs w:val="24"/>
              </w:rPr>
              <w:t>Drop Points</w:t>
            </w:r>
          </w:p>
        </w:tc>
        <w:tc>
          <w:tcPr>
            <w:tcW w:w="1703" w:type="pct"/>
            <w:tcBorders>
              <w:top w:val="nil"/>
              <w:left w:val="single" w:sz="4" w:space="0" w:color="000000"/>
              <w:bottom w:val="nil"/>
            </w:tcBorders>
            <w:shd w:val="clear" w:color="auto" w:fill="auto"/>
            <w:noWrap/>
            <w:vAlign w:val="center"/>
            <w:hideMark/>
          </w:tcPr>
          <w:p w14:paraId="4AD2F654" w14:textId="77777777" w:rsidR="006C1E26" w:rsidRPr="00EA24B0" w:rsidRDefault="006C1E26" w:rsidP="007E04FA">
            <w:pPr>
              <w:spacing w:after="0"/>
              <w:ind w:right="900"/>
              <w:jc w:val="right"/>
              <w:rPr>
                <w:color w:val="000000"/>
                <w:szCs w:val="22"/>
              </w:rPr>
            </w:pPr>
            <w:r w:rsidRPr="00EA24B0">
              <w:rPr>
                <w:color w:val="000000"/>
                <w:szCs w:val="22"/>
              </w:rPr>
              <w:t>731,616</w:t>
            </w:r>
          </w:p>
        </w:tc>
      </w:tr>
      <w:tr w:rsidR="006C1E26" w:rsidRPr="00EA24B0" w14:paraId="0D26574F" w14:textId="77777777" w:rsidTr="007E04FA">
        <w:trPr>
          <w:trHeight w:val="288"/>
        </w:trPr>
        <w:tc>
          <w:tcPr>
            <w:tcW w:w="3297" w:type="pct"/>
            <w:tcBorders>
              <w:top w:val="nil"/>
              <w:left w:val="nil"/>
              <w:bottom w:val="single" w:sz="4" w:space="0" w:color="000000"/>
              <w:right w:val="single" w:sz="4" w:space="0" w:color="000000"/>
            </w:tcBorders>
            <w:shd w:val="clear" w:color="auto" w:fill="auto"/>
            <w:noWrap/>
            <w:vAlign w:val="center"/>
            <w:hideMark/>
          </w:tcPr>
          <w:p w14:paraId="421CB789" w14:textId="77777777" w:rsidR="006C1E26" w:rsidRPr="00EA24B0" w:rsidRDefault="006C1E26" w:rsidP="007E04FA">
            <w:pPr>
              <w:spacing w:after="0"/>
              <w:rPr>
                <w:color w:val="000000"/>
                <w:szCs w:val="24"/>
              </w:rPr>
            </w:pPr>
            <w:r w:rsidRPr="00EA24B0">
              <w:rPr>
                <w:bCs/>
                <w:color w:val="000000"/>
                <w:szCs w:val="24"/>
              </w:rPr>
              <w:t>Augmented addresses (by MSG)</w:t>
            </w:r>
          </w:p>
        </w:tc>
        <w:tc>
          <w:tcPr>
            <w:tcW w:w="1703" w:type="pct"/>
            <w:tcBorders>
              <w:top w:val="nil"/>
              <w:left w:val="single" w:sz="4" w:space="0" w:color="000000"/>
              <w:bottom w:val="single" w:sz="4" w:space="0" w:color="000000"/>
            </w:tcBorders>
            <w:shd w:val="clear" w:color="auto" w:fill="auto"/>
            <w:noWrap/>
            <w:vAlign w:val="center"/>
            <w:hideMark/>
          </w:tcPr>
          <w:p w14:paraId="62B9CE25" w14:textId="77777777" w:rsidR="006C1E26" w:rsidRPr="00EA24B0" w:rsidRDefault="006C1E26" w:rsidP="007E04FA">
            <w:pPr>
              <w:spacing w:after="0"/>
              <w:ind w:right="900"/>
              <w:jc w:val="right"/>
              <w:rPr>
                <w:color w:val="000000"/>
                <w:szCs w:val="22"/>
              </w:rPr>
            </w:pPr>
            <w:r w:rsidRPr="00EA24B0">
              <w:rPr>
                <w:color w:val="000000"/>
                <w:szCs w:val="22"/>
              </w:rPr>
              <w:t>150,587</w:t>
            </w:r>
          </w:p>
        </w:tc>
      </w:tr>
      <w:tr w:rsidR="006C1E26" w:rsidRPr="00EA24B0" w14:paraId="0411CFD8" w14:textId="77777777" w:rsidTr="007E04FA">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14:paraId="12F01A77" w14:textId="77777777" w:rsidR="006C1E26" w:rsidRPr="00EA24B0" w:rsidRDefault="006C1E26" w:rsidP="007E04FA">
            <w:pPr>
              <w:spacing w:after="0"/>
              <w:jc w:val="center"/>
              <w:rPr>
                <w:b/>
                <w:bCs/>
                <w:color w:val="000000"/>
                <w:szCs w:val="24"/>
              </w:rPr>
            </w:pPr>
            <w:r w:rsidRPr="00EA24B0">
              <w:rPr>
                <w:b/>
                <w:bCs/>
                <w:color w:val="000000"/>
                <w:szCs w:val="24"/>
              </w:rPr>
              <w:t>Total</w:t>
            </w:r>
          </w:p>
        </w:tc>
        <w:tc>
          <w:tcPr>
            <w:tcW w:w="1703" w:type="pct"/>
            <w:tcBorders>
              <w:top w:val="single" w:sz="4" w:space="0" w:color="000000"/>
              <w:left w:val="single" w:sz="4" w:space="0" w:color="000000"/>
              <w:bottom w:val="single" w:sz="4" w:space="0" w:color="000000"/>
            </w:tcBorders>
            <w:shd w:val="clear" w:color="auto" w:fill="auto"/>
            <w:noWrap/>
            <w:vAlign w:val="center"/>
            <w:hideMark/>
          </w:tcPr>
          <w:p w14:paraId="2033F384" w14:textId="77777777" w:rsidR="006C1E26" w:rsidRPr="00EA24B0" w:rsidRDefault="006C1E26" w:rsidP="007E04FA">
            <w:pPr>
              <w:spacing w:after="0"/>
              <w:ind w:right="900"/>
              <w:jc w:val="right"/>
              <w:rPr>
                <w:b/>
                <w:color w:val="000000"/>
                <w:szCs w:val="22"/>
              </w:rPr>
            </w:pPr>
            <w:r w:rsidRPr="00EA24B0">
              <w:rPr>
                <w:b/>
                <w:color w:val="000000"/>
                <w:szCs w:val="22"/>
              </w:rPr>
              <w:t>137,329,031</w:t>
            </w:r>
          </w:p>
        </w:tc>
      </w:tr>
    </w:tbl>
    <w:p w14:paraId="3A5F507C" w14:textId="77777777" w:rsidR="006C1E26" w:rsidRPr="00EA24B0" w:rsidRDefault="006C1E26" w:rsidP="006C1E26">
      <w:pPr>
        <w:spacing w:before="120"/>
        <w:rPr>
          <w:szCs w:val="24"/>
        </w:rPr>
      </w:pPr>
      <w:r w:rsidRPr="00EA24B0">
        <w:rPr>
          <w:szCs w:val="24"/>
        </w:rPr>
        <w:t>By identifying the latitude and longitude of each address, MSG is able to create a one-to-one correspondence between the Postal geographic indicators, which are suitable for mail delivery, and those suitable for sampling designs based on the Census geographic definitions.  Subsequently, the resulting database is augmented with a list of geo-demographic indicators to evolve the raw CDSF into an effective sampling frame suitable for selection of probability-based samples.</w:t>
      </w:r>
    </w:p>
    <w:p w14:paraId="759F75AB" w14:textId="77777777" w:rsidR="006C1E26" w:rsidRPr="00EA24B0" w:rsidRDefault="006C1E26" w:rsidP="006C1E26">
      <w:pPr>
        <w:spacing w:before="120"/>
        <w:rPr>
          <w:szCs w:val="24"/>
        </w:rPr>
      </w:pPr>
      <w:r w:rsidRPr="00EA24B0">
        <w:rPr>
          <w:szCs w:val="24"/>
        </w:rPr>
        <w:t xml:space="preserve">For this study, a monthly sample of approximately 32,000 addresses is selected to represent the nation.  This sample is selected from the MSG-enhanced ABS frame, which is updated on a quarterly basis.  Each sample address is name and telephone matched, with the expectation that </w:t>
      </w:r>
      <w:r w:rsidRPr="00EA24B0">
        <w:rPr>
          <w:szCs w:val="24"/>
        </w:rPr>
        <w:lastRenderedPageBreak/>
        <w:t>up to 55 percent of addresses link to a landline telephone number.  Moreover, each address has a set of geo-demographic data appended to it by relying on public and commercial sources.</w:t>
      </w:r>
    </w:p>
    <w:p w14:paraId="01720C0C" w14:textId="1543CEAD" w:rsidR="006C1E26" w:rsidRPr="00EA24B0" w:rsidRDefault="006C1E26" w:rsidP="006C1E26">
      <w:pPr>
        <w:spacing w:before="120"/>
        <w:rPr>
          <w:szCs w:val="24"/>
        </w:rPr>
      </w:pPr>
      <w:r w:rsidRPr="00EA24B0">
        <w:rPr>
          <w:szCs w:val="24"/>
        </w:rPr>
        <w:t>As detailed later, matched telephone numbers are used as part of our non-response follow-up to maximize response rates, whereas the appended ancillary data supports our non-response bias analysis to help develop effective weighting procedures.  While a subset of such data is available for individual addresses, others are retrieved at higher levels of aggregation, such as Census Block Group (CBG) or ZIP Code.</w:t>
      </w:r>
    </w:p>
    <w:p w14:paraId="0F44E3A2" w14:textId="32D8A989" w:rsidR="006C1E26" w:rsidRPr="00EA24B0" w:rsidRDefault="006C1E26" w:rsidP="006C1E26">
      <w:pPr>
        <w:spacing w:before="120"/>
        <w:rPr>
          <w:szCs w:val="24"/>
        </w:rPr>
      </w:pPr>
      <w:r w:rsidRPr="00EA24B0">
        <w:rPr>
          <w:szCs w:val="24"/>
        </w:rPr>
        <w:t xml:space="preserve">On quarterly basis, 25 regional estimates are required for this study, corresponding to the </w:t>
      </w:r>
      <w:r w:rsidR="008F4FBC" w:rsidRPr="00EA24B0">
        <w:rPr>
          <w:szCs w:val="24"/>
        </w:rPr>
        <w:t>Passport Services</w:t>
      </w:r>
      <w:r w:rsidRPr="00EA24B0">
        <w:rPr>
          <w:szCs w:val="24"/>
        </w:rPr>
        <w:t>’ 25 geographically</w:t>
      </w:r>
      <w:r w:rsidR="008F4FBC" w:rsidRPr="00EA24B0">
        <w:rPr>
          <w:szCs w:val="24"/>
        </w:rPr>
        <w:t>-</w:t>
      </w:r>
      <w:r w:rsidRPr="00EA24B0">
        <w:rPr>
          <w:szCs w:val="24"/>
        </w:rPr>
        <w:t>based agencies where U.S. citizens may apply in person for a passport.   To ensure that survey estimates for each of the agencies are of equal precision, each monthly sample is stratified accordingly to include an equal number of sample addresses per agency.  Specifically, the total monthly sample of approximately 32,000 addresses is stratified into 25 strata of 1,280 addresses each.  From the monthly sample of 1,280 addresses per agency, it is expected that about 160 completed surveys are secured each month, which when aggregated results in about 480 = 160 × 3 completed surveys every quarter.</w:t>
      </w:r>
    </w:p>
    <w:p w14:paraId="60DD64F7" w14:textId="77777777" w:rsidR="006C1E26" w:rsidRPr="00EA24B0" w:rsidRDefault="006C1E26" w:rsidP="006C1E26">
      <w:pPr>
        <w:spacing w:before="120"/>
        <w:rPr>
          <w:szCs w:val="24"/>
        </w:rPr>
      </w:pPr>
      <w:r w:rsidRPr="00EA24B0">
        <w:rPr>
          <w:szCs w:val="24"/>
        </w:rPr>
        <w:t>The table above provides the distribution of addresses and expected sample size.  Note that less than 3 percent of all addresses are currently marked as “vacant” according to the CDSF.  Given that a small percentage of such addresses can be occupied by the time the survey administration begins for a given month, it is possible to include a nominal fraction of such households as part of the sampling frame to minimize under coverage.</w:t>
      </w:r>
    </w:p>
    <w:p w14:paraId="28773608" w14:textId="77777777" w:rsidR="006C1E26" w:rsidRPr="00EA24B0" w:rsidRDefault="006C1E26" w:rsidP="006C1E26">
      <w:pPr>
        <w:pStyle w:val="Heading3"/>
        <w:keepLines w:val="0"/>
        <w:numPr>
          <w:ilvl w:val="0"/>
          <w:numId w:val="19"/>
        </w:numPr>
        <w:spacing w:before="240" w:after="120"/>
        <w:rPr>
          <w:rFonts w:ascii="Times New Roman" w:hAnsi="Times New Roman"/>
          <w:caps/>
          <w:sz w:val="28"/>
          <w:szCs w:val="24"/>
        </w:rPr>
      </w:pPr>
      <w:r w:rsidRPr="00EA24B0">
        <w:rPr>
          <w:rFonts w:ascii="Times New Roman" w:hAnsi="Times New Roman"/>
          <w:caps/>
          <w:sz w:val="28"/>
          <w:szCs w:val="24"/>
        </w:rPr>
        <w:t>Data Collection</w:t>
      </w:r>
    </w:p>
    <w:p w14:paraId="0060880F" w14:textId="77777777" w:rsidR="006C1E26" w:rsidRPr="00EA24B0" w:rsidRDefault="006C1E26" w:rsidP="006C1E26">
      <w:pPr>
        <w:spacing w:before="120"/>
        <w:rPr>
          <w:szCs w:val="24"/>
        </w:rPr>
      </w:pPr>
      <w:r w:rsidRPr="00EA24B0">
        <w:rPr>
          <w:szCs w:val="24"/>
        </w:rPr>
        <w:t>Each month about 4,000 completed surveys are secured using multiple methods of survey administration.  For the study both web and telephone modes of data collection are used to produce the highest rates of response by making the survey experience as convenient for respondents as possible.  Briefly, our survey administration protocol consists of the following main steps:</w:t>
      </w:r>
    </w:p>
    <w:p w14:paraId="12504EF1" w14:textId="77777777" w:rsidR="006C1E26" w:rsidRPr="00EA24B0" w:rsidRDefault="006C1E26" w:rsidP="006C1E26">
      <w:pPr>
        <w:numPr>
          <w:ilvl w:val="0"/>
          <w:numId w:val="13"/>
        </w:numPr>
        <w:tabs>
          <w:tab w:val="num" w:pos="720"/>
        </w:tabs>
        <w:spacing w:before="120"/>
        <w:ind w:left="720" w:hanging="360"/>
        <w:rPr>
          <w:szCs w:val="24"/>
        </w:rPr>
      </w:pPr>
      <w:r w:rsidRPr="00EA24B0">
        <w:rPr>
          <w:szCs w:val="24"/>
        </w:rPr>
        <w:t>One week before the beginning of the month, a cross-sectional random sample of approximately 32,000 addresses is selected from the latest MSG-enhanced version of the CDSF.</w:t>
      </w:r>
    </w:p>
    <w:p w14:paraId="2DF11C77" w14:textId="77777777" w:rsidR="006C1E26" w:rsidRPr="00EA24B0" w:rsidRDefault="006C1E26" w:rsidP="006C1E26">
      <w:pPr>
        <w:numPr>
          <w:ilvl w:val="0"/>
          <w:numId w:val="13"/>
        </w:numPr>
        <w:tabs>
          <w:tab w:val="num" w:pos="720"/>
        </w:tabs>
        <w:spacing w:before="120"/>
        <w:ind w:left="720" w:hanging="360"/>
        <w:rPr>
          <w:szCs w:val="24"/>
        </w:rPr>
      </w:pPr>
      <w:r w:rsidRPr="00EA24B0">
        <w:rPr>
          <w:szCs w:val="24"/>
        </w:rPr>
        <w:t>Five days before the beginning of the month, invitation letters are mailed to sample households in Alaska and Hawaii.</w:t>
      </w:r>
    </w:p>
    <w:p w14:paraId="15DDC9D2" w14:textId="77777777" w:rsidR="006C1E26" w:rsidRPr="00EA24B0" w:rsidRDefault="006C1E26" w:rsidP="006C1E26">
      <w:pPr>
        <w:numPr>
          <w:ilvl w:val="0"/>
          <w:numId w:val="13"/>
        </w:numPr>
        <w:tabs>
          <w:tab w:val="num" w:pos="720"/>
        </w:tabs>
        <w:spacing w:before="120"/>
        <w:ind w:left="720" w:hanging="360"/>
        <w:rPr>
          <w:szCs w:val="24"/>
        </w:rPr>
      </w:pPr>
      <w:r w:rsidRPr="00EA24B0">
        <w:rPr>
          <w:szCs w:val="24"/>
        </w:rPr>
        <w:t>Four days before the beginning of the month, invitation letters are mailed to sample households in the Pacific and Mountain Time zones.</w:t>
      </w:r>
    </w:p>
    <w:p w14:paraId="78943901" w14:textId="77777777" w:rsidR="006C1E26" w:rsidRPr="00EA24B0" w:rsidRDefault="006C1E26" w:rsidP="006C1E26">
      <w:pPr>
        <w:numPr>
          <w:ilvl w:val="0"/>
          <w:numId w:val="13"/>
        </w:numPr>
        <w:tabs>
          <w:tab w:val="num" w:pos="720"/>
        </w:tabs>
        <w:spacing w:before="120"/>
        <w:ind w:left="720" w:hanging="360"/>
        <w:rPr>
          <w:szCs w:val="24"/>
        </w:rPr>
      </w:pPr>
      <w:r w:rsidRPr="00EA24B0">
        <w:rPr>
          <w:szCs w:val="24"/>
        </w:rPr>
        <w:t>Three days before the beginning of the month, invitation letters are mailed to sample households in the Central and Eastern Time zones; this staggered mailing is designed to allow for actual receipt of the invitations to occur simultaneously throughout all selected households nationwide.</w:t>
      </w:r>
    </w:p>
    <w:p w14:paraId="695BD2A6" w14:textId="77777777" w:rsidR="006C1E26" w:rsidRPr="00EA24B0" w:rsidRDefault="006C1E26" w:rsidP="006C1E26">
      <w:pPr>
        <w:numPr>
          <w:ilvl w:val="0"/>
          <w:numId w:val="13"/>
        </w:numPr>
        <w:tabs>
          <w:tab w:val="num" w:pos="720"/>
        </w:tabs>
        <w:spacing w:before="120"/>
        <w:ind w:left="720" w:hanging="360"/>
        <w:rPr>
          <w:szCs w:val="24"/>
        </w:rPr>
      </w:pPr>
      <w:r w:rsidRPr="00EA24B0">
        <w:rPr>
          <w:szCs w:val="24"/>
        </w:rPr>
        <w:t>Sample households may begin responding to the invitation by web or inbound telephone call on the first day of the month, estimated to be concurrent with receipt of the letter.</w:t>
      </w:r>
    </w:p>
    <w:p w14:paraId="02AD0ABE" w14:textId="77777777" w:rsidR="006C1E26" w:rsidRPr="00EA24B0" w:rsidRDefault="006C1E26" w:rsidP="006C1E26">
      <w:pPr>
        <w:numPr>
          <w:ilvl w:val="0"/>
          <w:numId w:val="14"/>
        </w:numPr>
        <w:tabs>
          <w:tab w:val="clear" w:pos="1800"/>
          <w:tab w:val="num" w:pos="720"/>
        </w:tabs>
        <w:spacing w:before="120"/>
        <w:ind w:left="720" w:hanging="360"/>
        <w:rPr>
          <w:szCs w:val="24"/>
        </w:rPr>
      </w:pPr>
      <w:r w:rsidRPr="00EA24B0">
        <w:rPr>
          <w:szCs w:val="24"/>
        </w:rPr>
        <w:t>On the first day of the month, outbound telephone calls begin to all non-responding households with telephone numbers appended to their records;</w:t>
      </w:r>
    </w:p>
    <w:p w14:paraId="4381C5BC" w14:textId="77777777" w:rsidR="006C1E26" w:rsidRPr="00EA24B0" w:rsidRDefault="006C1E26" w:rsidP="006C1E26">
      <w:pPr>
        <w:numPr>
          <w:ilvl w:val="0"/>
          <w:numId w:val="14"/>
        </w:numPr>
        <w:tabs>
          <w:tab w:val="clear" w:pos="1800"/>
          <w:tab w:val="num" w:pos="720"/>
        </w:tabs>
        <w:spacing w:before="120"/>
        <w:ind w:left="720" w:hanging="360"/>
        <w:rPr>
          <w:szCs w:val="24"/>
        </w:rPr>
      </w:pPr>
      <w:r w:rsidRPr="00EA24B0">
        <w:rPr>
          <w:szCs w:val="24"/>
        </w:rPr>
        <w:lastRenderedPageBreak/>
        <w:t>On the ninth day of the month, reminder letters are mailed to the remaining non-responding households in Alaska and Hawaii;</w:t>
      </w:r>
    </w:p>
    <w:p w14:paraId="648B854E" w14:textId="77777777" w:rsidR="006C1E26" w:rsidRPr="00EA24B0" w:rsidRDefault="006C1E26" w:rsidP="006C1E26">
      <w:pPr>
        <w:numPr>
          <w:ilvl w:val="0"/>
          <w:numId w:val="14"/>
        </w:numPr>
        <w:tabs>
          <w:tab w:val="clear" w:pos="1800"/>
          <w:tab w:val="num" w:pos="720"/>
        </w:tabs>
        <w:spacing w:before="120"/>
        <w:ind w:left="720" w:hanging="360"/>
        <w:rPr>
          <w:szCs w:val="24"/>
        </w:rPr>
      </w:pPr>
      <w:r w:rsidRPr="00EA24B0">
        <w:rPr>
          <w:szCs w:val="24"/>
        </w:rPr>
        <w:t>On the tenth day of the month, reminder letters are mailed to the remaining non-responding households in the Pacific and Mountain time zones;</w:t>
      </w:r>
    </w:p>
    <w:p w14:paraId="5785E12B" w14:textId="77777777" w:rsidR="006C1E26" w:rsidRPr="00EA24B0" w:rsidRDefault="006C1E26" w:rsidP="006C1E26">
      <w:pPr>
        <w:numPr>
          <w:ilvl w:val="0"/>
          <w:numId w:val="14"/>
        </w:numPr>
        <w:tabs>
          <w:tab w:val="clear" w:pos="1800"/>
          <w:tab w:val="num" w:pos="720"/>
        </w:tabs>
        <w:spacing w:before="120"/>
        <w:ind w:left="720" w:hanging="360"/>
        <w:rPr>
          <w:szCs w:val="24"/>
        </w:rPr>
      </w:pPr>
      <w:r w:rsidRPr="00EA24B0">
        <w:rPr>
          <w:szCs w:val="24"/>
        </w:rPr>
        <w:t>On the eleventh day of the month, reminder letters are mailed to the remaining non-responding households in the Central and Eastern time zones;</w:t>
      </w:r>
    </w:p>
    <w:p w14:paraId="461C14AC" w14:textId="77777777" w:rsidR="006C1E26" w:rsidRPr="00EA24B0" w:rsidRDefault="006C1E26" w:rsidP="006C1E26">
      <w:pPr>
        <w:numPr>
          <w:ilvl w:val="0"/>
          <w:numId w:val="14"/>
        </w:numPr>
        <w:tabs>
          <w:tab w:val="clear" w:pos="1800"/>
          <w:tab w:val="num" w:pos="720"/>
        </w:tabs>
        <w:spacing w:before="120"/>
        <w:ind w:left="720" w:hanging="360"/>
        <w:rPr>
          <w:szCs w:val="24"/>
        </w:rPr>
      </w:pPr>
      <w:r w:rsidRPr="00EA24B0">
        <w:rPr>
          <w:szCs w:val="24"/>
        </w:rPr>
        <w:t>Data collection closes on or around the 25</w:t>
      </w:r>
      <w:r w:rsidRPr="00EA24B0">
        <w:rPr>
          <w:szCs w:val="24"/>
          <w:vertAlign w:val="superscript"/>
        </w:rPr>
        <w:t>th</w:t>
      </w:r>
      <w:r w:rsidRPr="00EA24B0">
        <w:rPr>
          <w:szCs w:val="24"/>
        </w:rPr>
        <w:t xml:space="preserve"> of each month upon completion of 4,000 total interviews within that month (to occur no later than the final day of the month); this total includes web responders, inbound telephone interviews, and outbound telephone interviews conducted to achieve the highest possible response rate.</w:t>
      </w:r>
    </w:p>
    <w:p w14:paraId="3E51F376" w14:textId="2D8A6790" w:rsidR="006C1E26" w:rsidRPr="00EA24B0" w:rsidRDefault="006C1E26" w:rsidP="006C1E26">
      <w:pPr>
        <w:spacing w:before="120"/>
        <w:rPr>
          <w:szCs w:val="24"/>
        </w:rPr>
      </w:pPr>
      <w:bookmarkStart w:id="3" w:name="_Toc10952804"/>
      <w:bookmarkStart w:id="4" w:name="_Toc11644623"/>
      <w:r w:rsidRPr="00EA24B0">
        <w:rPr>
          <w:szCs w:val="24"/>
        </w:rPr>
        <w:t xml:space="preserve">Prior to the start of the month, the survey instrument </w:t>
      </w:r>
      <w:r w:rsidR="008F4FBC" w:rsidRPr="00EA24B0">
        <w:rPr>
          <w:szCs w:val="24"/>
        </w:rPr>
        <w:t>is</w:t>
      </w:r>
      <w:r w:rsidRPr="00EA24B0">
        <w:rPr>
          <w:szCs w:val="24"/>
        </w:rPr>
        <w:t xml:space="preserve"> programmed and tested in two versions: one for online telephone interviewing (whether inbound or outbound); and the other for self-administration via the web.  Data is collected throughout the month using all the available modes</w:t>
      </w:r>
      <w:r w:rsidR="008F4FBC" w:rsidRPr="00EA24B0">
        <w:rPr>
          <w:szCs w:val="24"/>
        </w:rPr>
        <w:t xml:space="preserve"> that</w:t>
      </w:r>
      <w:r w:rsidRPr="00EA24B0">
        <w:rPr>
          <w:szCs w:val="24"/>
        </w:rPr>
        <w:t xml:space="preserve"> us</w:t>
      </w:r>
      <w:r w:rsidR="008F4FBC" w:rsidRPr="00EA24B0">
        <w:rPr>
          <w:szCs w:val="24"/>
        </w:rPr>
        <w:t>es</w:t>
      </w:r>
      <w:r w:rsidRPr="00EA24B0">
        <w:rPr>
          <w:szCs w:val="24"/>
        </w:rPr>
        <w:t xml:space="preserve"> one single sample file containing both the records with phone number matched and the unmatched records.  The sample file is simultaneously managed regardless of the mode of survey completion.  Survey responses, overall progress, progress by geographical areas, and sub-groups of interest are monitored in real time as every mode is captured in the same program and data file.</w:t>
      </w:r>
    </w:p>
    <w:p w14:paraId="68F5BBB3" w14:textId="31B3B9AF" w:rsidR="006C1E26" w:rsidRPr="00EA24B0" w:rsidRDefault="006C1E26" w:rsidP="006C1E26">
      <w:pPr>
        <w:spacing w:before="120"/>
        <w:rPr>
          <w:szCs w:val="24"/>
        </w:rPr>
      </w:pPr>
      <w:r w:rsidRPr="00EA24B0">
        <w:rPr>
          <w:szCs w:val="24"/>
        </w:rPr>
        <w:t xml:space="preserve">Between 10 days and </w:t>
      </w:r>
      <w:r w:rsidR="008F4FBC" w:rsidRPr="00EA24B0">
        <w:rPr>
          <w:szCs w:val="24"/>
        </w:rPr>
        <w:t>four</w:t>
      </w:r>
      <w:r w:rsidRPr="00EA24B0">
        <w:rPr>
          <w:szCs w:val="24"/>
        </w:rPr>
        <w:t xml:space="preserve"> days prior to the start of the month, the sample is matched to external records systems to generate as many mailings as possible addressed to the surname of the household members.  </w:t>
      </w:r>
      <w:r w:rsidRPr="00EA24B0">
        <w:rPr>
          <w:iCs/>
          <w:szCs w:val="24"/>
        </w:rPr>
        <w:t xml:space="preserve">The salutation strategy inserts name when available, in addition to including “or Current Resident” on all outgoing mail pieces.  </w:t>
      </w:r>
    </w:p>
    <w:p w14:paraId="362EA6F5" w14:textId="77777777" w:rsidR="006C1E26" w:rsidRPr="00EA24B0" w:rsidRDefault="006C1E26" w:rsidP="006C1E26">
      <w:pPr>
        <w:spacing w:before="120"/>
        <w:rPr>
          <w:szCs w:val="24"/>
        </w:rPr>
      </w:pPr>
      <w:r w:rsidRPr="00EA24B0">
        <w:rPr>
          <w:szCs w:val="24"/>
        </w:rPr>
        <w:t>Within each responding household eligible for this study an adult householder familiar with the general travel habits of the given household is asked to participate on behalf of all members of his/her household.  While web is encouraged as the preferred mode when appropriate, inbound and outbound telephone are used as alternative means of completing the survey to increase response rates.  Both the invitation, as well as outbound and in-bound phone efforts, stresses the importance of selecting a respondent within the household who is at least 18 years of age and is familiar with the general travel habits and travel document needs of all household members.  Subsequently, the respondent is asked to provide a complete enumeration of the entire household as well as to respond to questions about the travel needs for both the selected respondent and all eligible household members.</w:t>
      </w:r>
    </w:p>
    <w:p w14:paraId="36C7D22E" w14:textId="77777777" w:rsidR="006C1E26" w:rsidRPr="00EA24B0" w:rsidRDefault="006C1E26" w:rsidP="006C1E26">
      <w:pPr>
        <w:spacing w:before="120"/>
        <w:rPr>
          <w:szCs w:val="24"/>
        </w:rPr>
      </w:pPr>
      <w:r w:rsidRPr="00EA24B0">
        <w:rPr>
          <w:szCs w:val="24"/>
        </w:rPr>
        <w:t>Records in high-incidence Hispanic block groups (defined as blocks that are 75% Hispanic) and those matched with Hispanic surnames are flagged for a bilingual (English/Spanish) invitation letter to be mailed to those addresses, while the remaining invitation letters are English only.  The web version of in the instrument is available to all responders in their choice of English or Spanish.  Bilingual interviewers are always available to conduct inbound and outbound interviews in either English or Spanish, as preferred by the respondent.</w:t>
      </w:r>
    </w:p>
    <w:p w14:paraId="2AD70C00" w14:textId="77777777" w:rsidR="006C1E26" w:rsidRPr="00EA24B0" w:rsidRDefault="006C1E26" w:rsidP="006C1E26">
      <w:pPr>
        <w:spacing w:before="120"/>
        <w:rPr>
          <w:szCs w:val="24"/>
        </w:rPr>
      </w:pPr>
      <w:r w:rsidRPr="00EA24B0">
        <w:rPr>
          <w:szCs w:val="24"/>
        </w:rPr>
        <w:t>All completed surveys are managed through a unified system and sample file.  This ensures that if a respondent completes the survey online or by calling the toll-free number, he or she is not contacted by an outbound dialing interviewer.  Returns of invitations determined by the USPS to be</w:t>
      </w:r>
      <w:r w:rsidRPr="00EA24B0">
        <w:rPr>
          <w:i/>
          <w:szCs w:val="24"/>
        </w:rPr>
        <w:t xml:space="preserve"> Undeliverable as Addressed</w:t>
      </w:r>
      <w:r w:rsidRPr="00EA24B0">
        <w:rPr>
          <w:szCs w:val="24"/>
        </w:rPr>
        <w:t xml:space="preserve"> are expected to be received starting around the seventh day of the month.  These records are processed and the sample file updated accordingly.  Original </w:t>
      </w:r>
      <w:r w:rsidRPr="00EA24B0">
        <w:rPr>
          <w:szCs w:val="24"/>
        </w:rPr>
        <w:lastRenderedPageBreak/>
        <w:t>invitations that had been name-matched during the sample preparation phase and mailed addressed to that surname’s household but are returned as undeliverable by the USPS are revised and addressed to “Current Resident” in the reminder invitation mailing.</w:t>
      </w:r>
    </w:p>
    <w:p w14:paraId="16F414F3" w14:textId="77777777" w:rsidR="006C1E26" w:rsidRPr="00EA24B0" w:rsidRDefault="006C1E26" w:rsidP="006C1E26">
      <w:pPr>
        <w:spacing w:before="120"/>
        <w:rPr>
          <w:szCs w:val="24"/>
        </w:rPr>
      </w:pPr>
      <w:r w:rsidRPr="00EA24B0">
        <w:rPr>
          <w:szCs w:val="24"/>
        </w:rPr>
        <w:t>General public survey interviewing is usually dialed in the evening between 6:00 p.m. and 9:00 p.m. local time and during weekends.  Daytime outbound calls are also conducted as dictated by sample needs and respondent preferences.  Experienced daytime interviewers are briefed to handle inbound calls and callbacks.  The data collection team keeps its facilities open and available for inbound and outbound calls from 9:00 a.m. to 11:00 p.m. Monday through Friday; 11:00 a.m. to 6:00 p.m. on Saturday, and noon to 10:00 p.m. on Sunday, Eastern Standard time.  In addition, a west coast facility remains open to accommodate outbound dialing through 9:00 p.m. local respondent time in Alaska and Hawaii.</w:t>
      </w:r>
    </w:p>
    <w:p w14:paraId="2CD4638E" w14:textId="77777777" w:rsidR="006C1E26" w:rsidRPr="00EA24B0" w:rsidRDefault="006C1E26" w:rsidP="006C1E26">
      <w:pPr>
        <w:spacing w:before="120"/>
        <w:rPr>
          <w:szCs w:val="24"/>
        </w:rPr>
      </w:pPr>
      <w:r w:rsidRPr="00EA24B0">
        <w:rPr>
          <w:szCs w:val="24"/>
        </w:rPr>
        <w:t>All interviewers used for data collection are experienced survey research interviewers with prior training in use of CATI.  The training of STR interviewers surpasses industry standards, averaging about 24 hours before starting on any study.  Their training includes an overview of survey research, equipment, and quality standards, as well as role-playing and internal survey work.  In addition, STR has an interviewer-mentoring program whereby new interviewers are partnered with experienced supervisors and executive interviewers to allow for one-on-one training.  Interviews are digitally recorded and reviewed with interviewers as part of the process of becoming high quality, dedicated interviewers.</w:t>
      </w:r>
    </w:p>
    <w:p w14:paraId="6AFBF7AE" w14:textId="77777777" w:rsidR="006C1E26" w:rsidRPr="00EA24B0" w:rsidRDefault="006C1E26" w:rsidP="006C1E26">
      <w:pPr>
        <w:numPr>
          <w:ilvl w:val="0"/>
          <w:numId w:val="16"/>
        </w:numPr>
        <w:spacing w:before="120"/>
        <w:rPr>
          <w:szCs w:val="24"/>
        </w:rPr>
      </w:pPr>
      <w:r w:rsidRPr="00EA24B0">
        <w:rPr>
          <w:szCs w:val="24"/>
        </w:rPr>
        <w:t>Degree of accuracy needed for the purpose described in the justification</w:t>
      </w:r>
    </w:p>
    <w:p w14:paraId="5F59B7C9" w14:textId="104AA3F9" w:rsidR="006C1E26" w:rsidRPr="00EA24B0" w:rsidRDefault="006C1E26" w:rsidP="006C1E26">
      <w:pPr>
        <w:autoSpaceDE w:val="0"/>
        <w:autoSpaceDN w:val="0"/>
        <w:adjustRightInd w:val="0"/>
        <w:spacing w:before="120"/>
        <w:rPr>
          <w:rFonts w:eastAsia="Calibri"/>
          <w:szCs w:val="24"/>
        </w:rPr>
      </w:pPr>
      <w:r w:rsidRPr="00EA24B0">
        <w:rPr>
          <w:szCs w:val="24"/>
        </w:rPr>
        <w:t xml:space="preserve">As mentioned earlier, Passport Services requires quarterly estimates for each of its 25 geographically-based agencies with a margin of error no larger than </w:t>
      </w:r>
      <w:r w:rsidRPr="00EA24B0">
        <w:rPr>
          <w:szCs w:val="24"/>
          <w:u w:val="single"/>
        </w:rPr>
        <w:t>±</w:t>
      </w:r>
      <w:r w:rsidR="004B46CD" w:rsidRPr="004B46CD">
        <w:rPr>
          <w:szCs w:val="24"/>
        </w:rPr>
        <w:t xml:space="preserve">3% at each stratum </w:t>
      </w:r>
      <w:r w:rsidRPr="00EA24B0">
        <w:rPr>
          <w:szCs w:val="24"/>
        </w:rPr>
        <w:t xml:space="preserve">at the 95% confidence level in addition to monthly national level estimates with a margin of error no larger than </w:t>
      </w:r>
      <w:r w:rsidRPr="00EA24B0">
        <w:rPr>
          <w:szCs w:val="24"/>
          <w:u w:val="single"/>
        </w:rPr>
        <w:t>+</w:t>
      </w:r>
      <w:r w:rsidRPr="00EA24B0">
        <w:rPr>
          <w:szCs w:val="24"/>
        </w:rPr>
        <w:t>2% at the 95% confidence level.</w:t>
      </w:r>
      <w:r w:rsidRPr="00EA24B0">
        <w:rPr>
          <w:szCs w:val="24"/>
          <w:u w:val="words"/>
        </w:rPr>
        <w:t xml:space="preserve"> </w:t>
      </w:r>
      <w:r w:rsidR="004B46CD" w:rsidRPr="004B46CD">
        <w:rPr>
          <w:szCs w:val="24"/>
          <w:u w:val="words"/>
        </w:rPr>
        <w:t>This margin of error applies to sampling errors and not measurement error.</w:t>
      </w:r>
      <w:r w:rsidR="004B46CD">
        <w:rPr>
          <w:szCs w:val="24"/>
          <w:u w:val="words"/>
        </w:rPr>
        <w:t xml:space="preserve"> </w:t>
      </w:r>
      <w:r w:rsidRPr="00EA24B0">
        <w:rPr>
          <w:szCs w:val="24"/>
        </w:rPr>
        <w:t>In order to</w:t>
      </w:r>
      <w:r w:rsidRPr="00EA24B0">
        <w:rPr>
          <w:szCs w:val="24"/>
          <w:u w:val="words"/>
        </w:rPr>
        <w:t xml:space="preserve"> </w:t>
      </w:r>
      <w:r w:rsidRPr="00EA24B0">
        <w:rPr>
          <w:szCs w:val="24"/>
        </w:rPr>
        <w:t>meet these requirements, the LMI Team completes about 4,000 surveys per month.  T</w:t>
      </w:r>
      <w:r w:rsidRPr="00EA24B0">
        <w:rPr>
          <w:rFonts w:eastAsia="Calibri"/>
          <w:szCs w:val="24"/>
        </w:rPr>
        <w:t xml:space="preserve">he sampling error associated on average for the 25 quarterly agency estimates based on a sample size of approximately 480, including anticipated design effect, is about </w:t>
      </w:r>
      <w:r w:rsidRPr="00EA24B0">
        <w:rPr>
          <w:rFonts w:eastAsia="Calibri"/>
          <w:szCs w:val="24"/>
          <w:u w:val="words"/>
        </w:rPr>
        <w:t>±</w:t>
      </w:r>
      <w:r w:rsidRPr="00EA24B0">
        <w:rPr>
          <w:rFonts w:eastAsia="Calibri"/>
          <w:szCs w:val="24"/>
        </w:rPr>
        <w:t xml:space="preserve">5% at the 95% </w:t>
      </w:r>
      <w:r w:rsidRPr="00EA24B0">
        <w:rPr>
          <w:szCs w:val="24"/>
        </w:rPr>
        <w:t xml:space="preserve">confidence </w:t>
      </w:r>
      <w:r w:rsidRPr="00EA24B0">
        <w:rPr>
          <w:rFonts w:eastAsia="Calibri"/>
          <w:szCs w:val="24"/>
        </w:rPr>
        <w:t xml:space="preserve">level.  </w:t>
      </w:r>
      <w:r w:rsidRPr="00EA24B0">
        <w:rPr>
          <w:szCs w:val="24"/>
        </w:rPr>
        <w:t>T</w:t>
      </w:r>
      <w:r w:rsidRPr="00EA24B0">
        <w:rPr>
          <w:rFonts w:eastAsia="Calibri"/>
          <w:szCs w:val="24"/>
        </w:rPr>
        <w:t xml:space="preserve">he sampling error associated with the national estimates based on a sample size of 4,000, including anticipated larger design effect, is about </w:t>
      </w:r>
      <w:r w:rsidRPr="00EA24B0">
        <w:rPr>
          <w:rFonts w:eastAsia="Calibri"/>
          <w:szCs w:val="24"/>
          <w:u w:val="words"/>
        </w:rPr>
        <w:t>+</w:t>
      </w:r>
      <w:r w:rsidRPr="00EA24B0">
        <w:rPr>
          <w:rFonts w:eastAsia="Calibri"/>
          <w:szCs w:val="24"/>
        </w:rPr>
        <w:t xml:space="preserve">2% at the 95% </w:t>
      </w:r>
      <w:r w:rsidRPr="00EA24B0">
        <w:rPr>
          <w:szCs w:val="24"/>
        </w:rPr>
        <w:t xml:space="preserve">confidence </w:t>
      </w:r>
      <w:r w:rsidRPr="00EA24B0">
        <w:rPr>
          <w:rFonts w:eastAsia="Calibri"/>
          <w:szCs w:val="24"/>
        </w:rPr>
        <w:t>level.</w:t>
      </w:r>
    </w:p>
    <w:p w14:paraId="0FEC7150" w14:textId="77777777" w:rsidR="006C1E26" w:rsidRPr="00EA24B0" w:rsidRDefault="006C1E26" w:rsidP="006C1E26">
      <w:pPr>
        <w:pStyle w:val="ListParagraph"/>
        <w:numPr>
          <w:ilvl w:val="0"/>
          <w:numId w:val="17"/>
        </w:numPr>
        <w:autoSpaceDE w:val="0"/>
        <w:autoSpaceDN w:val="0"/>
        <w:adjustRightInd w:val="0"/>
        <w:spacing w:before="120"/>
        <w:rPr>
          <w:szCs w:val="24"/>
        </w:rPr>
      </w:pPr>
      <w:r w:rsidRPr="00EA24B0">
        <w:rPr>
          <w:szCs w:val="24"/>
        </w:rPr>
        <w:t>Unusual problems requiring specialized sampling procedures</w:t>
      </w:r>
    </w:p>
    <w:p w14:paraId="7CC3D4FD" w14:textId="56E73528" w:rsidR="006C1E26" w:rsidRPr="00EA24B0" w:rsidRDefault="006C1E26" w:rsidP="006C1E26">
      <w:pPr>
        <w:autoSpaceDE w:val="0"/>
        <w:autoSpaceDN w:val="0"/>
        <w:adjustRightInd w:val="0"/>
        <w:spacing w:before="120"/>
        <w:rPr>
          <w:szCs w:val="24"/>
        </w:rPr>
      </w:pPr>
      <w:r w:rsidRPr="00EA24B0">
        <w:rPr>
          <w:szCs w:val="24"/>
        </w:rPr>
        <w:t xml:space="preserve">Passport Services desires that the survey be representative of all U.S. citizens and U.S. </w:t>
      </w:r>
      <w:r w:rsidR="0010272F" w:rsidRPr="00EA24B0">
        <w:rPr>
          <w:szCs w:val="24"/>
        </w:rPr>
        <w:t>n</w:t>
      </w:r>
      <w:r w:rsidRPr="00EA24B0">
        <w:rPr>
          <w:szCs w:val="24"/>
        </w:rPr>
        <w:t>ationals age 16 and older.  At this time, there are no anticipated problems requiring specialized sampling procedures.  The LMI Team can and will make adjustments as necessary.</w:t>
      </w:r>
    </w:p>
    <w:p w14:paraId="7FCEE052" w14:textId="77777777" w:rsidR="006C1E26" w:rsidRPr="00EA24B0" w:rsidRDefault="006C1E26" w:rsidP="006C1E26">
      <w:pPr>
        <w:numPr>
          <w:ilvl w:val="0"/>
          <w:numId w:val="18"/>
        </w:numPr>
        <w:spacing w:before="120"/>
        <w:rPr>
          <w:szCs w:val="24"/>
        </w:rPr>
      </w:pPr>
      <w:r w:rsidRPr="00EA24B0">
        <w:rPr>
          <w:szCs w:val="24"/>
        </w:rPr>
        <w:t>Any use of periodic (less frequent than annual) data collection cycles to reduce burden</w:t>
      </w:r>
    </w:p>
    <w:p w14:paraId="3E80B814" w14:textId="77777777" w:rsidR="006C1E26" w:rsidRPr="00EA24B0" w:rsidRDefault="006C1E26" w:rsidP="006C1E26">
      <w:pPr>
        <w:spacing w:before="120"/>
        <w:rPr>
          <w:szCs w:val="24"/>
        </w:rPr>
      </w:pPr>
      <w:r w:rsidRPr="00EA24B0">
        <w:rPr>
          <w:szCs w:val="24"/>
        </w:rPr>
        <w:t>Passport Services does not anticipate the use of additional periodic data collection cycles.</w:t>
      </w:r>
    </w:p>
    <w:p w14:paraId="6B22AEB4" w14:textId="77777777" w:rsidR="006C1E26" w:rsidRPr="00EA24B0" w:rsidRDefault="006C1E26" w:rsidP="006C1E26">
      <w:pPr>
        <w:pStyle w:val="Heading3"/>
        <w:keepLines w:val="0"/>
        <w:numPr>
          <w:ilvl w:val="0"/>
          <w:numId w:val="19"/>
        </w:numPr>
        <w:spacing w:before="120" w:after="240"/>
        <w:rPr>
          <w:rFonts w:ascii="Times New Roman" w:hAnsi="Times New Roman"/>
          <w:sz w:val="28"/>
          <w:szCs w:val="28"/>
        </w:rPr>
      </w:pPr>
      <w:r w:rsidRPr="00EA24B0">
        <w:rPr>
          <w:rFonts w:ascii="Times New Roman" w:hAnsi="Times New Roman"/>
          <w:sz w:val="28"/>
          <w:szCs w:val="28"/>
        </w:rPr>
        <w:t>M</w:t>
      </w:r>
      <w:r w:rsidRPr="00EA24B0">
        <w:rPr>
          <w:rFonts w:ascii="Times New Roman" w:hAnsi="Times New Roman"/>
          <w:caps/>
          <w:sz w:val="28"/>
          <w:szCs w:val="28"/>
        </w:rPr>
        <w:t>ethods</w:t>
      </w:r>
      <w:r w:rsidRPr="00EA24B0">
        <w:rPr>
          <w:rFonts w:ascii="Times New Roman" w:hAnsi="Times New Roman"/>
          <w:sz w:val="28"/>
          <w:szCs w:val="28"/>
        </w:rPr>
        <w:t xml:space="preserve"> </w:t>
      </w:r>
      <w:r w:rsidRPr="00EA24B0">
        <w:rPr>
          <w:rFonts w:ascii="Times New Roman" w:hAnsi="Times New Roman"/>
          <w:caps/>
          <w:sz w:val="28"/>
          <w:szCs w:val="28"/>
        </w:rPr>
        <w:t>to Maximize Response Rates and Adjust for Non-Response</w:t>
      </w:r>
    </w:p>
    <w:p w14:paraId="2C952E9F" w14:textId="77777777" w:rsidR="006C1E26" w:rsidRPr="00EA24B0" w:rsidRDefault="006C1E26" w:rsidP="006C1E26">
      <w:pPr>
        <w:spacing w:before="120"/>
        <w:rPr>
          <w:szCs w:val="24"/>
        </w:rPr>
      </w:pPr>
      <w:r w:rsidRPr="00EA24B0">
        <w:rPr>
          <w:szCs w:val="24"/>
        </w:rPr>
        <w:t>All practical steps will be taken to maximize response rates to this survey.  A sample of such steps includes:</w:t>
      </w:r>
    </w:p>
    <w:p w14:paraId="722A4DB8" w14:textId="77777777" w:rsidR="006C1E26" w:rsidRPr="00EA24B0" w:rsidRDefault="006C1E26" w:rsidP="006C1E26">
      <w:pPr>
        <w:numPr>
          <w:ilvl w:val="0"/>
          <w:numId w:val="10"/>
        </w:numPr>
        <w:tabs>
          <w:tab w:val="clear" w:pos="1800"/>
        </w:tabs>
        <w:spacing w:before="120"/>
        <w:ind w:left="720" w:hanging="360"/>
        <w:rPr>
          <w:szCs w:val="24"/>
        </w:rPr>
      </w:pPr>
      <w:r w:rsidRPr="00EA24B0">
        <w:rPr>
          <w:szCs w:val="24"/>
        </w:rPr>
        <w:t>Building Credibility Through Use of an Advance Mailing:</w:t>
      </w:r>
    </w:p>
    <w:p w14:paraId="5BF48261" w14:textId="77777777" w:rsidR="006C1E26" w:rsidRPr="00EA24B0" w:rsidRDefault="006C1E26" w:rsidP="006C1E26">
      <w:pPr>
        <w:pStyle w:val="ListParagraph"/>
        <w:numPr>
          <w:ilvl w:val="0"/>
          <w:numId w:val="11"/>
        </w:numPr>
        <w:ind w:left="1080"/>
        <w:rPr>
          <w:szCs w:val="24"/>
        </w:rPr>
      </w:pPr>
      <w:r w:rsidRPr="00EA24B0">
        <w:rPr>
          <w:szCs w:val="24"/>
        </w:rPr>
        <w:lastRenderedPageBreak/>
        <w:t>Constructing the survey instrument to be as respondent-friendly as possible</w:t>
      </w:r>
    </w:p>
    <w:p w14:paraId="4E3AAADD" w14:textId="77777777" w:rsidR="006C1E26" w:rsidRPr="00EA24B0" w:rsidRDefault="006C1E26" w:rsidP="006C1E26">
      <w:pPr>
        <w:pStyle w:val="ListParagraph"/>
        <w:numPr>
          <w:ilvl w:val="0"/>
          <w:numId w:val="11"/>
        </w:numPr>
        <w:ind w:left="1080"/>
        <w:rPr>
          <w:szCs w:val="24"/>
        </w:rPr>
      </w:pPr>
      <w:r w:rsidRPr="00EA24B0">
        <w:rPr>
          <w:szCs w:val="24"/>
        </w:rPr>
        <w:t>Sponsor identification via signed letters by a Department of State official</w:t>
      </w:r>
    </w:p>
    <w:p w14:paraId="3BB9C224" w14:textId="77777777" w:rsidR="006C1E26" w:rsidRPr="00EA24B0" w:rsidRDefault="006C1E26" w:rsidP="006C1E26">
      <w:pPr>
        <w:pStyle w:val="ListParagraph"/>
        <w:numPr>
          <w:ilvl w:val="0"/>
          <w:numId w:val="11"/>
        </w:numPr>
        <w:ind w:left="1080"/>
        <w:rPr>
          <w:szCs w:val="24"/>
        </w:rPr>
      </w:pPr>
      <w:r w:rsidRPr="00EA24B0">
        <w:rPr>
          <w:szCs w:val="24"/>
        </w:rPr>
        <w:t>Use of Department of State Graphics and color scheme</w:t>
      </w:r>
    </w:p>
    <w:p w14:paraId="6059C175" w14:textId="36485C33" w:rsidR="006C1E26" w:rsidRPr="00EA24B0" w:rsidRDefault="006C1E26" w:rsidP="006C1E26">
      <w:pPr>
        <w:pStyle w:val="ListParagraph"/>
        <w:numPr>
          <w:ilvl w:val="0"/>
          <w:numId w:val="11"/>
        </w:numPr>
        <w:ind w:left="1080"/>
        <w:rPr>
          <w:szCs w:val="24"/>
        </w:rPr>
      </w:pPr>
      <w:r w:rsidRPr="00EA24B0">
        <w:rPr>
          <w:szCs w:val="24"/>
        </w:rPr>
        <w:t xml:space="preserve">Reference to </w:t>
      </w:r>
      <w:r w:rsidR="0010272F" w:rsidRPr="00EA24B0">
        <w:rPr>
          <w:szCs w:val="24"/>
        </w:rPr>
        <w:t>w</w:t>
      </w:r>
      <w:r w:rsidRPr="00EA24B0">
        <w:rPr>
          <w:szCs w:val="24"/>
        </w:rPr>
        <w:t>ebsite URL’s for study legitimacy validation</w:t>
      </w:r>
    </w:p>
    <w:p w14:paraId="6E5F924C" w14:textId="77777777" w:rsidR="006C1E26" w:rsidRPr="00EA24B0" w:rsidRDefault="006C1E26" w:rsidP="006C1E26">
      <w:pPr>
        <w:pStyle w:val="ListParagraph"/>
        <w:numPr>
          <w:ilvl w:val="0"/>
          <w:numId w:val="11"/>
        </w:numPr>
        <w:ind w:left="1080"/>
        <w:rPr>
          <w:szCs w:val="24"/>
        </w:rPr>
      </w:pPr>
      <w:r w:rsidRPr="00EA24B0">
        <w:rPr>
          <w:szCs w:val="24"/>
        </w:rPr>
        <w:t>Provision of toll-free information line and email address to field respondents’ questions</w:t>
      </w:r>
    </w:p>
    <w:p w14:paraId="637C63EB" w14:textId="77777777" w:rsidR="006C1E26" w:rsidRPr="00EA24B0" w:rsidRDefault="006C1E26" w:rsidP="006C1E26">
      <w:pPr>
        <w:pStyle w:val="ListParagraph"/>
        <w:numPr>
          <w:ilvl w:val="0"/>
          <w:numId w:val="11"/>
        </w:numPr>
        <w:ind w:left="1080"/>
        <w:rPr>
          <w:szCs w:val="24"/>
        </w:rPr>
      </w:pPr>
      <w:r w:rsidRPr="00EA24B0">
        <w:rPr>
          <w:szCs w:val="24"/>
        </w:rPr>
        <w:t>Call to action to respond by a specific deadline</w:t>
      </w:r>
    </w:p>
    <w:p w14:paraId="36122762" w14:textId="77777777" w:rsidR="006C1E26" w:rsidRPr="00EA24B0" w:rsidRDefault="006C1E26" w:rsidP="006C1E26">
      <w:pPr>
        <w:pStyle w:val="ListParagraph"/>
        <w:numPr>
          <w:ilvl w:val="0"/>
          <w:numId w:val="11"/>
        </w:numPr>
        <w:ind w:left="1080"/>
        <w:rPr>
          <w:szCs w:val="24"/>
        </w:rPr>
      </w:pPr>
      <w:r w:rsidRPr="00EA24B0">
        <w:rPr>
          <w:szCs w:val="24"/>
        </w:rPr>
        <w:t>Notification of on-going efforts to be conducted through the month to reach the selected household</w:t>
      </w:r>
    </w:p>
    <w:p w14:paraId="717D9B7D" w14:textId="77777777" w:rsidR="006C1E26" w:rsidRPr="00EA24B0" w:rsidRDefault="006C1E26" w:rsidP="006C1E26">
      <w:pPr>
        <w:numPr>
          <w:ilvl w:val="0"/>
          <w:numId w:val="10"/>
        </w:numPr>
        <w:tabs>
          <w:tab w:val="clear" w:pos="1800"/>
        </w:tabs>
        <w:spacing w:before="120"/>
        <w:ind w:left="720" w:hanging="360"/>
        <w:rPr>
          <w:szCs w:val="24"/>
        </w:rPr>
      </w:pPr>
      <w:r w:rsidRPr="00EA24B0">
        <w:rPr>
          <w:szCs w:val="24"/>
        </w:rPr>
        <w:t>Outbound Calling Effort:</w:t>
      </w:r>
    </w:p>
    <w:p w14:paraId="7AC2EFC9" w14:textId="77777777" w:rsidR="006C1E26" w:rsidRPr="00EA24B0" w:rsidRDefault="006C1E26" w:rsidP="006C1E26">
      <w:pPr>
        <w:pStyle w:val="ListParagraph"/>
        <w:numPr>
          <w:ilvl w:val="0"/>
          <w:numId w:val="11"/>
        </w:numPr>
        <w:ind w:left="1080"/>
        <w:rPr>
          <w:szCs w:val="24"/>
        </w:rPr>
      </w:pPr>
      <w:r w:rsidRPr="00EA24B0">
        <w:rPr>
          <w:szCs w:val="24"/>
        </w:rPr>
        <w:t>Up to ten attempts rotated through various day times:  (early evening, later evening, and weekends)</w:t>
      </w:r>
    </w:p>
    <w:p w14:paraId="2375E915" w14:textId="77777777" w:rsidR="006C1E26" w:rsidRPr="00EA24B0" w:rsidRDefault="006C1E26" w:rsidP="006C1E26">
      <w:pPr>
        <w:pStyle w:val="ListParagraph"/>
        <w:numPr>
          <w:ilvl w:val="0"/>
          <w:numId w:val="11"/>
        </w:numPr>
        <w:ind w:left="1080"/>
        <w:rPr>
          <w:szCs w:val="24"/>
        </w:rPr>
      </w:pPr>
      <w:r w:rsidRPr="00EA24B0">
        <w:rPr>
          <w:szCs w:val="24"/>
        </w:rPr>
        <w:t>Day time calls as requested by respondents</w:t>
      </w:r>
    </w:p>
    <w:p w14:paraId="7D7B963A" w14:textId="77777777" w:rsidR="006C1E26" w:rsidRPr="00EA24B0" w:rsidRDefault="006C1E26" w:rsidP="006C1E26">
      <w:pPr>
        <w:pStyle w:val="ListParagraph"/>
        <w:numPr>
          <w:ilvl w:val="0"/>
          <w:numId w:val="11"/>
        </w:numPr>
        <w:ind w:left="1080"/>
        <w:rPr>
          <w:szCs w:val="24"/>
        </w:rPr>
      </w:pPr>
      <w:r w:rsidRPr="00EA24B0">
        <w:rPr>
          <w:szCs w:val="24"/>
        </w:rPr>
        <w:t>Specific call back scheduling</w:t>
      </w:r>
    </w:p>
    <w:p w14:paraId="093F39D7" w14:textId="77777777" w:rsidR="006C1E26" w:rsidRPr="00EA24B0" w:rsidRDefault="006C1E26" w:rsidP="006C1E26">
      <w:pPr>
        <w:pStyle w:val="ListParagraph"/>
        <w:numPr>
          <w:ilvl w:val="0"/>
          <w:numId w:val="11"/>
        </w:numPr>
        <w:ind w:left="1080"/>
        <w:rPr>
          <w:szCs w:val="24"/>
        </w:rPr>
      </w:pPr>
      <w:r w:rsidRPr="00EA24B0">
        <w:rPr>
          <w:szCs w:val="24"/>
        </w:rPr>
        <w:t>Offering respondents the most convenient mode of data collection</w:t>
      </w:r>
    </w:p>
    <w:p w14:paraId="599AAFDE" w14:textId="77777777" w:rsidR="006C1E26" w:rsidRPr="00EA24B0" w:rsidRDefault="006C1E26" w:rsidP="006C1E26">
      <w:pPr>
        <w:numPr>
          <w:ilvl w:val="0"/>
          <w:numId w:val="10"/>
        </w:numPr>
        <w:tabs>
          <w:tab w:val="clear" w:pos="1800"/>
        </w:tabs>
        <w:spacing w:before="120"/>
        <w:ind w:left="720" w:hanging="360"/>
        <w:rPr>
          <w:szCs w:val="24"/>
        </w:rPr>
      </w:pPr>
      <w:r w:rsidRPr="00EA24B0">
        <w:rPr>
          <w:szCs w:val="24"/>
        </w:rPr>
        <w:t>Reminder Attempts:</w:t>
      </w:r>
    </w:p>
    <w:p w14:paraId="1E59AB6C" w14:textId="77777777" w:rsidR="006C1E26" w:rsidRPr="00EA24B0" w:rsidRDefault="006C1E26" w:rsidP="006C1E26">
      <w:pPr>
        <w:pStyle w:val="ListParagraph"/>
        <w:numPr>
          <w:ilvl w:val="0"/>
          <w:numId w:val="11"/>
        </w:numPr>
        <w:ind w:left="1080"/>
        <w:rPr>
          <w:szCs w:val="24"/>
        </w:rPr>
      </w:pPr>
      <w:r w:rsidRPr="00EA24B0">
        <w:rPr>
          <w:szCs w:val="24"/>
        </w:rPr>
        <w:t>USPS returned mail are addressed to “Current Resident” for the reminder mailing</w:t>
      </w:r>
    </w:p>
    <w:p w14:paraId="7112048E" w14:textId="77777777" w:rsidR="006C1E26" w:rsidRPr="00EA24B0" w:rsidRDefault="006C1E26" w:rsidP="006C1E26">
      <w:pPr>
        <w:pStyle w:val="ListParagraph"/>
        <w:numPr>
          <w:ilvl w:val="0"/>
          <w:numId w:val="11"/>
        </w:numPr>
        <w:ind w:left="1080"/>
        <w:rPr>
          <w:szCs w:val="24"/>
        </w:rPr>
      </w:pPr>
      <w:r w:rsidRPr="00EA24B0">
        <w:rPr>
          <w:szCs w:val="24"/>
        </w:rPr>
        <w:t>Reminder effort reiterates the importance of the study and contain all information in the original mailing in terms of rapport building</w:t>
      </w:r>
    </w:p>
    <w:p w14:paraId="5B45AFE0" w14:textId="77777777" w:rsidR="006C1E26" w:rsidRPr="00EA24B0" w:rsidRDefault="006C1E26" w:rsidP="006C1E26">
      <w:pPr>
        <w:pStyle w:val="ListParagraph"/>
        <w:numPr>
          <w:ilvl w:val="0"/>
          <w:numId w:val="11"/>
        </w:numPr>
        <w:ind w:left="1080"/>
        <w:rPr>
          <w:szCs w:val="24"/>
        </w:rPr>
      </w:pPr>
      <w:r w:rsidRPr="00EA24B0">
        <w:rPr>
          <w:szCs w:val="24"/>
        </w:rPr>
        <w:t>Establishment of legitimacy and availability of web and phone information for respondents who may have questions</w:t>
      </w:r>
    </w:p>
    <w:bookmarkEnd w:id="3"/>
    <w:bookmarkEnd w:id="4"/>
    <w:p w14:paraId="1B78FA9F" w14:textId="77777777" w:rsidR="006C1E26" w:rsidRPr="00EA24B0" w:rsidRDefault="006C1E26" w:rsidP="006C1E26">
      <w:pPr>
        <w:rPr>
          <w:szCs w:val="24"/>
        </w:rPr>
      </w:pPr>
      <w:r w:rsidRPr="00EA24B0">
        <w:rPr>
          <w:szCs w:val="24"/>
        </w:rPr>
        <w:t>The data are adjusted to deal with issues of non-response.  We describe our approach to survey non-response adjustments and enhancements below.</w:t>
      </w:r>
    </w:p>
    <w:p w14:paraId="0B335BDD" w14:textId="77777777" w:rsidR="006C1E26" w:rsidRPr="00EA24B0" w:rsidRDefault="006C1E26" w:rsidP="006C1E26">
      <w:pPr>
        <w:spacing w:before="120"/>
        <w:rPr>
          <w:szCs w:val="24"/>
        </w:rPr>
      </w:pPr>
      <w:r w:rsidRPr="00EA24B0">
        <w:rPr>
          <w:szCs w:val="24"/>
        </w:rPr>
        <w:t>Data from all scientific surveys are weighted before the resulting data can be used to produce reliable estimates of population parameters.  While reflecting the selection probabilities of sample units, weighting also attempts to compensate for practical limitations of a sample survey, such as differential non-response and under coverage.  Furthermore, by taking advantage of auxiliary information about the survey population, weighting can reduce the bias of survey estimates by enabling the responding subset of the sample to better represent its target universe.  This is of particular importance for a tracking survey of this nature, since some of the month-to-month random variations can be minimized by weighting the data before survey estimates are produced.</w:t>
      </w:r>
    </w:p>
    <w:p w14:paraId="4C57E64E" w14:textId="77777777" w:rsidR="006C1E26" w:rsidRPr="00EA24B0" w:rsidRDefault="006C1E26" w:rsidP="006C1E26">
      <w:pPr>
        <w:spacing w:before="120"/>
        <w:rPr>
          <w:szCs w:val="24"/>
        </w:rPr>
      </w:pPr>
      <w:r w:rsidRPr="00EA24B0">
        <w:rPr>
          <w:szCs w:val="24"/>
        </w:rPr>
        <w:t xml:space="preserve">Typically, the weighting process entails three major steps.  The first step consists of computation of </w:t>
      </w:r>
      <w:r w:rsidRPr="00EA24B0">
        <w:rPr>
          <w:i/>
          <w:szCs w:val="24"/>
        </w:rPr>
        <w:t>design weights</w:t>
      </w:r>
      <w:r w:rsidRPr="00EA24B0">
        <w:rPr>
          <w:szCs w:val="24"/>
        </w:rPr>
        <w:t xml:space="preserve"> as the reciprocal of selection probabilities.  In the second step, design weights are adjusted for non-response – a process that is guided by a comprehensive non-response bias analysis.  In the third step, non-response-adjusted weights are further adjusted to known population estimates to compensate for sampling frame inadequacies.  All along, weighting adjustment steps go through a series of quality control checks to detect extreme outliers and to prevent computational inefficiencies.</w:t>
      </w:r>
    </w:p>
    <w:p w14:paraId="632B20F1" w14:textId="77777777" w:rsidR="006C1E26" w:rsidRPr="00EA24B0" w:rsidRDefault="006C1E26" w:rsidP="006C1E26">
      <w:pPr>
        <w:autoSpaceDE w:val="0"/>
        <w:autoSpaceDN w:val="0"/>
        <w:adjustRightInd w:val="0"/>
        <w:spacing w:before="120"/>
        <w:rPr>
          <w:szCs w:val="24"/>
        </w:rPr>
      </w:pPr>
      <w:r w:rsidRPr="00EA24B0">
        <w:rPr>
          <w:szCs w:val="24"/>
        </w:rPr>
        <w:lastRenderedPageBreak/>
        <w:t xml:space="preserve">For this survey, we use the </w:t>
      </w:r>
      <w:r w:rsidRPr="00EA24B0">
        <w:rPr>
          <w:i/>
          <w:szCs w:val="24"/>
        </w:rPr>
        <w:t>WTADJUST</w:t>
      </w:r>
      <w:r w:rsidRPr="00EA24B0">
        <w:rPr>
          <w:szCs w:val="24"/>
        </w:rPr>
        <w:t xml:space="preserve"> procedure of SUDAAN to weight the monthly survey data</w:t>
      </w:r>
      <w:r w:rsidRPr="00EA24B0">
        <w:rPr>
          <w:rStyle w:val="FootnoteReference"/>
          <w:szCs w:val="24"/>
        </w:rPr>
        <w:footnoteReference w:id="1"/>
      </w:r>
      <w:r w:rsidRPr="00EA24B0">
        <w:rPr>
          <w:szCs w:val="24"/>
        </w:rPr>
        <w:t>.  Unlike traditional raking procedures that are based on iterative proportional fitting, this model-based approach incorporates more main effects and lower-order interactions of variables when computing weights.  Moreover, because this procedure allows limiting the resulting weight adjustment factors, one can eliminate extreme weights early in the process and control the variability of the final weights.  Consequently, with this alternative it is generally possible to achieve balance with respect to an expanded set of control totals while at the same time reducing the variance of weighted statistics.</w:t>
      </w:r>
    </w:p>
    <w:p w14:paraId="089B98E4" w14:textId="77777777" w:rsidR="006C1E26" w:rsidRPr="00EA24B0" w:rsidRDefault="006C1E26" w:rsidP="006C1E26">
      <w:pPr>
        <w:autoSpaceDE w:val="0"/>
        <w:autoSpaceDN w:val="0"/>
        <w:adjustRightInd w:val="0"/>
        <w:spacing w:before="120"/>
        <w:rPr>
          <w:szCs w:val="24"/>
        </w:rPr>
      </w:pPr>
      <w:r w:rsidRPr="00EA24B0">
        <w:rPr>
          <w:szCs w:val="24"/>
        </w:rPr>
        <w:t>Our non-response bias analysis includes comprehensive comparisons of the geo-demographic composition of respondents with their corresponding estimates as reported by Current Population Survey (CPS), or the American Community Survey (ACS) for smaller geographic levels.  Each month a fresh round of non-response bias analysis is carried out to provide current guidelines for weight adjustments.  In addition to compensating for differential non-response patterns based on the data collection mode, this approach also takes into account seasonal variations when creating the final weights.</w:t>
      </w:r>
    </w:p>
    <w:p w14:paraId="5445266A" w14:textId="77777777" w:rsidR="006C1E26" w:rsidRPr="00EA24B0" w:rsidRDefault="006C1E26" w:rsidP="006C1E26">
      <w:pPr>
        <w:pStyle w:val="Arial12Text"/>
        <w:ind w:firstLine="0"/>
        <w:rPr>
          <w:rFonts w:cs="Times New Roman"/>
        </w:rPr>
      </w:pPr>
      <w:bookmarkStart w:id="5" w:name="_Toc286904701"/>
      <w:r w:rsidRPr="00EA24B0">
        <w:rPr>
          <w:rFonts w:cs="Times New Roman"/>
        </w:rPr>
        <w:t xml:space="preserve">It should be noted that prior to non-response bias analysis and computation of survey weights, it is necessary to impute missing data that will result from item non-response and data items that fail edit checks.  Since missing data can create inefficiencies for demand projections, when appropriate we use the method of </w:t>
      </w:r>
      <w:r w:rsidRPr="00EA24B0">
        <w:rPr>
          <w:rFonts w:cs="Times New Roman"/>
          <w:i/>
        </w:rPr>
        <w:t>weighted sequential hot-deck</w:t>
      </w:r>
      <w:r w:rsidRPr="00EA24B0">
        <w:rPr>
          <w:rStyle w:val="FootnoteReference"/>
          <w:rFonts w:cs="Times New Roman"/>
          <w:i/>
        </w:rPr>
        <w:footnoteReference w:id="2"/>
      </w:r>
      <w:r w:rsidRPr="00EA24B0">
        <w:rPr>
          <w:rFonts w:cs="Times New Roman"/>
          <w:i/>
        </w:rPr>
        <w:t xml:space="preserve"> </w:t>
      </w:r>
      <w:r w:rsidRPr="00EA24B0">
        <w:rPr>
          <w:rFonts w:cs="Times New Roman"/>
        </w:rPr>
        <w:t>to impute missing survey data.  By incorporating the sampling weights, this method of imputation reflects the unequal probabilities of selection in the monthly sample while controlling the expected number of times a particular respondent’s answer is used as a donor to replace missing values.</w:t>
      </w:r>
    </w:p>
    <w:p w14:paraId="7BDF8433" w14:textId="77777777" w:rsidR="006C1E26" w:rsidRPr="00EA24B0" w:rsidRDefault="006C1E26" w:rsidP="006C1E26">
      <w:pPr>
        <w:pStyle w:val="Arial12Text"/>
        <w:ind w:firstLine="0"/>
        <w:rPr>
          <w:rFonts w:cs="Times New Roman"/>
          <w:spacing w:val="-3"/>
        </w:rPr>
      </w:pPr>
      <w:r w:rsidRPr="00EA24B0">
        <w:rPr>
          <w:rFonts w:cs="Times New Roman"/>
        </w:rPr>
        <w:t xml:space="preserve">Finally, survey estimates can only be interpreted properly in light of their associated sampling errors.  Since weighting often increases variances of estimates, use of standard variance calculation formulae with weighted data can result in misleading statistical inferences.  </w:t>
      </w:r>
      <w:r w:rsidRPr="00EA24B0">
        <w:rPr>
          <w:rFonts w:cs="Times New Roman"/>
          <w:spacing w:val="-3"/>
        </w:rPr>
        <w:t xml:space="preserve">For this survey, we will use SUDAAN and SAS to compute weighted demand, variances of which are approximated using the </w:t>
      </w:r>
      <w:r w:rsidRPr="00EA24B0">
        <w:rPr>
          <w:rFonts w:cs="Times New Roman"/>
          <w:i/>
          <w:spacing w:val="-3"/>
        </w:rPr>
        <w:t>Taylor Series Linearization</w:t>
      </w:r>
      <w:r w:rsidRPr="00EA24B0">
        <w:rPr>
          <w:rFonts w:cs="Times New Roman"/>
          <w:spacing w:val="-3"/>
        </w:rPr>
        <w:t xml:space="preserve"> technique.  Without this, any projections of demand are subject to confidence intervals with artificially narrow widths.  That is, survey estimates show a larger level of confidence than what they actually should.</w:t>
      </w:r>
    </w:p>
    <w:p w14:paraId="48DF949C" w14:textId="77777777" w:rsidR="006C1E26" w:rsidRPr="00EA24B0" w:rsidRDefault="006C1E26" w:rsidP="006C1E26">
      <w:pPr>
        <w:pStyle w:val="Heading3"/>
        <w:keepLines w:val="0"/>
        <w:numPr>
          <w:ilvl w:val="0"/>
          <w:numId w:val="19"/>
        </w:numPr>
        <w:spacing w:before="240" w:after="120"/>
        <w:rPr>
          <w:rFonts w:ascii="Times New Roman" w:hAnsi="Times New Roman"/>
          <w:caps/>
          <w:sz w:val="28"/>
          <w:szCs w:val="24"/>
        </w:rPr>
      </w:pPr>
      <w:r w:rsidRPr="00EA24B0">
        <w:rPr>
          <w:rFonts w:ascii="Times New Roman" w:hAnsi="Times New Roman"/>
          <w:caps/>
          <w:sz w:val="28"/>
          <w:szCs w:val="24"/>
        </w:rPr>
        <w:t>Testing</w:t>
      </w:r>
    </w:p>
    <w:p w14:paraId="4454F6B8" w14:textId="77777777" w:rsidR="006C1E26" w:rsidRPr="00EA24B0" w:rsidRDefault="006C1E26" w:rsidP="006C1E26">
      <w:pPr>
        <w:spacing w:before="120"/>
        <w:rPr>
          <w:szCs w:val="24"/>
        </w:rPr>
      </w:pPr>
      <w:r w:rsidRPr="00EA24B0">
        <w:rPr>
          <w:szCs w:val="24"/>
        </w:rPr>
        <w:t>The survey questionnaire has been internally pre-tested for timing, content, and clarity.  Moreover, STR engaged in a formal initial pre-test of the survey instrument, conducted with a sample of 30 households to confirm that the screening questions and procedures, as well as all survey logic worked as intended.  Although the pre-test was designed as a confirmatory procedure, any issues uncovered with survey instructions (such as item wording or incomplete response categories) were addressed with revisions that were incorporated into the final survey materials upon receipt of agency approval.</w:t>
      </w:r>
    </w:p>
    <w:p w14:paraId="6A967C3F" w14:textId="3CA0598E" w:rsidR="00846EE0" w:rsidRPr="00EA24B0" w:rsidRDefault="006C1E26" w:rsidP="006C1E26">
      <w:pPr>
        <w:spacing w:before="120"/>
        <w:rPr>
          <w:szCs w:val="24"/>
        </w:rPr>
      </w:pPr>
      <w:r w:rsidRPr="00EA24B0">
        <w:rPr>
          <w:szCs w:val="24"/>
        </w:rPr>
        <w:lastRenderedPageBreak/>
        <w:t>Survey procedures are tested in several ways and will be on</w:t>
      </w:r>
      <w:r w:rsidR="00210225" w:rsidRPr="00EA24B0">
        <w:rPr>
          <w:szCs w:val="24"/>
        </w:rPr>
        <w:t>-</w:t>
      </w:r>
      <w:r w:rsidRPr="00EA24B0">
        <w:rPr>
          <w:szCs w:val="24"/>
        </w:rPr>
        <w:t>going when any changes are made to the base survey instrument.  These tests will involve no more than nine participants to examine the comprehensibility, structure</w:t>
      </w:r>
      <w:r w:rsidR="00210225" w:rsidRPr="00EA24B0">
        <w:rPr>
          <w:szCs w:val="24"/>
        </w:rPr>
        <w:t>,</w:t>
      </w:r>
      <w:r w:rsidRPr="00EA24B0">
        <w:rPr>
          <w:szCs w:val="24"/>
        </w:rPr>
        <w:t xml:space="preserve"> and order of survey questions.</w:t>
      </w:r>
    </w:p>
    <w:p w14:paraId="791AD58D" w14:textId="77777777" w:rsidR="00846EE0" w:rsidRPr="00EA24B0" w:rsidRDefault="006C1E26" w:rsidP="00846EE0">
      <w:pPr>
        <w:spacing w:before="120"/>
      </w:pPr>
      <w:proofErr w:type="gramStart"/>
      <w:r w:rsidRPr="00EA24B0">
        <w:rPr>
          <w:szCs w:val="24"/>
        </w:rPr>
        <w:t>Moreover, as part of our testing procedures different survey administration options can be examined to improve response rates.</w:t>
      </w:r>
      <w:proofErr w:type="gramEnd"/>
      <w:r w:rsidRPr="00EA24B0">
        <w:rPr>
          <w:szCs w:val="24"/>
        </w:rPr>
        <w:t xml:space="preserve">  </w:t>
      </w:r>
      <w:r w:rsidR="00846EE0" w:rsidRPr="00EA24B0">
        <w:t xml:space="preserve">While minor in nature, these options may include: </w:t>
      </w:r>
    </w:p>
    <w:p w14:paraId="157F7D1C" w14:textId="77777777" w:rsidR="00846EE0" w:rsidRPr="00EA24B0" w:rsidRDefault="00846EE0" w:rsidP="00846EE0">
      <w:pPr>
        <w:numPr>
          <w:ilvl w:val="0"/>
          <w:numId w:val="20"/>
        </w:numPr>
        <w:spacing w:before="120"/>
        <w:ind w:left="720" w:hanging="360"/>
        <w:rPr>
          <w:szCs w:val="24"/>
        </w:rPr>
      </w:pPr>
      <w:r w:rsidRPr="00EA24B0">
        <w:rPr>
          <w:szCs w:val="24"/>
        </w:rPr>
        <w:t>Addressee Mailing Information</w:t>
      </w:r>
    </w:p>
    <w:p w14:paraId="56EF4A73" w14:textId="77777777" w:rsidR="00846EE0" w:rsidRPr="00EA24B0" w:rsidRDefault="00846EE0" w:rsidP="00846EE0">
      <w:pPr>
        <w:pStyle w:val="ListParagraph"/>
        <w:numPr>
          <w:ilvl w:val="1"/>
          <w:numId w:val="21"/>
        </w:numPr>
        <w:autoSpaceDE w:val="0"/>
        <w:autoSpaceDN w:val="0"/>
        <w:ind w:left="1080"/>
        <w:contextualSpacing w:val="0"/>
        <w:jc w:val="both"/>
        <w:rPr>
          <w:szCs w:val="24"/>
        </w:rPr>
      </w:pPr>
      <w:r w:rsidRPr="00EA24B0">
        <w:rPr>
          <w:szCs w:val="24"/>
        </w:rPr>
        <w:t>Named salutations when addresses are name-matched vs. unmade salutation using:</w:t>
      </w:r>
    </w:p>
    <w:p w14:paraId="35080F38"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Current Resident</w:t>
      </w:r>
    </w:p>
    <w:p w14:paraId="113CB156"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State Resident</w:t>
      </w:r>
    </w:p>
    <w:p w14:paraId="606BE97C"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Other salutations</w:t>
      </w:r>
    </w:p>
    <w:p w14:paraId="26E9318F" w14:textId="77777777" w:rsidR="00846EE0" w:rsidRPr="00EA24B0" w:rsidRDefault="00846EE0" w:rsidP="00846EE0">
      <w:pPr>
        <w:numPr>
          <w:ilvl w:val="0"/>
          <w:numId w:val="20"/>
        </w:numPr>
        <w:spacing w:before="120"/>
        <w:ind w:left="720" w:hanging="360"/>
        <w:rPr>
          <w:szCs w:val="24"/>
        </w:rPr>
      </w:pPr>
      <w:r w:rsidRPr="00EA24B0">
        <w:rPr>
          <w:szCs w:val="24"/>
        </w:rPr>
        <w:t>Initial and Reminder Mailing Treatments</w:t>
      </w:r>
    </w:p>
    <w:p w14:paraId="5B1F09EC" w14:textId="77777777" w:rsidR="00846EE0" w:rsidRPr="00EA24B0" w:rsidRDefault="00846EE0" w:rsidP="00846EE0">
      <w:pPr>
        <w:pStyle w:val="ListParagraph"/>
        <w:numPr>
          <w:ilvl w:val="1"/>
          <w:numId w:val="21"/>
        </w:numPr>
        <w:autoSpaceDE w:val="0"/>
        <w:autoSpaceDN w:val="0"/>
        <w:ind w:left="1080"/>
        <w:contextualSpacing w:val="0"/>
        <w:jc w:val="both"/>
        <w:rPr>
          <w:szCs w:val="24"/>
        </w:rPr>
      </w:pPr>
      <w:r w:rsidRPr="00EA24B0">
        <w:rPr>
          <w:szCs w:val="24"/>
        </w:rPr>
        <w:t>Envelope Tests for Open Rate</w:t>
      </w:r>
    </w:p>
    <w:p w14:paraId="50CC8DCE" w14:textId="77777777" w:rsidR="00846EE0" w:rsidRPr="00EA24B0" w:rsidRDefault="00846EE0" w:rsidP="00846EE0">
      <w:pPr>
        <w:pStyle w:val="ListParagraph"/>
        <w:numPr>
          <w:ilvl w:val="1"/>
          <w:numId w:val="21"/>
        </w:numPr>
        <w:autoSpaceDE w:val="0"/>
        <w:autoSpaceDN w:val="0"/>
        <w:ind w:left="1080"/>
        <w:contextualSpacing w:val="0"/>
        <w:jc w:val="both"/>
        <w:rPr>
          <w:szCs w:val="24"/>
        </w:rPr>
      </w:pPr>
      <w:r w:rsidRPr="00EA24B0">
        <w:rPr>
          <w:szCs w:val="24"/>
        </w:rPr>
        <w:t>Letter Tests for Click Through and Response Rates</w:t>
      </w:r>
    </w:p>
    <w:p w14:paraId="52690754"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Call to action and delivery deadline</w:t>
      </w:r>
    </w:p>
    <w:p w14:paraId="224B0625"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Web vs. in-bound phone information placement</w:t>
      </w:r>
    </w:p>
    <w:p w14:paraId="3337911C"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Ordering of other invitation information</w:t>
      </w:r>
    </w:p>
    <w:p w14:paraId="75C6A693" w14:textId="77777777" w:rsidR="00846EE0" w:rsidRPr="00EA24B0" w:rsidRDefault="00846EE0" w:rsidP="00846EE0">
      <w:pPr>
        <w:pStyle w:val="ListParagraph"/>
        <w:numPr>
          <w:ilvl w:val="2"/>
          <w:numId w:val="22"/>
        </w:numPr>
        <w:autoSpaceDE w:val="0"/>
        <w:autoSpaceDN w:val="0"/>
        <w:ind w:left="1440"/>
        <w:contextualSpacing w:val="0"/>
        <w:jc w:val="both"/>
        <w:rPr>
          <w:szCs w:val="24"/>
        </w:rPr>
      </w:pPr>
      <w:r w:rsidRPr="00EA24B0">
        <w:rPr>
          <w:szCs w:val="24"/>
        </w:rPr>
        <w:t>Logos and stationery options</w:t>
      </w:r>
    </w:p>
    <w:p w14:paraId="60F15993" w14:textId="77777777" w:rsidR="00846EE0" w:rsidRPr="00EA24B0" w:rsidRDefault="00846EE0" w:rsidP="00846EE0">
      <w:pPr>
        <w:pStyle w:val="ListParagraph"/>
        <w:numPr>
          <w:ilvl w:val="1"/>
          <w:numId w:val="21"/>
        </w:numPr>
        <w:autoSpaceDE w:val="0"/>
        <w:autoSpaceDN w:val="0"/>
        <w:ind w:left="1080"/>
        <w:contextualSpacing w:val="0"/>
        <w:jc w:val="both"/>
        <w:rPr>
          <w:szCs w:val="24"/>
        </w:rPr>
      </w:pPr>
      <w:r w:rsidRPr="00EA24B0">
        <w:rPr>
          <w:szCs w:val="24"/>
        </w:rPr>
        <w:t>Timing of Mailing</w:t>
      </w:r>
    </w:p>
    <w:p w14:paraId="26064621" w14:textId="77777777" w:rsidR="00846EE0" w:rsidRPr="00EA24B0" w:rsidRDefault="00846EE0" w:rsidP="00846EE0">
      <w:pPr>
        <w:numPr>
          <w:ilvl w:val="0"/>
          <w:numId w:val="20"/>
        </w:numPr>
        <w:spacing w:before="120"/>
        <w:ind w:left="720" w:hanging="360"/>
        <w:rPr>
          <w:szCs w:val="24"/>
        </w:rPr>
      </w:pPr>
      <w:r w:rsidRPr="00EA24B0">
        <w:rPr>
          <w:szCs w:val="24"/>
        </w:rPr>
        <w:t>Testing Efficacy of Reminder Calls</w:t>
      </w:r>
    </w:p>
    <w:p w14:paraId="0419A2DD" w14:textId="77777777" w:rsidR="006C1E26" w:rsidRPr="00EA24B0" w:rsidRDefault="006C1E26" w:rsidP="00312ADB">
      <w:pPr>
        <w:spacing w:before="120"/>
        <w:rPr>
          <w:szCs w:val="24"/>
        </w:rPr>
      </w:pPr>
      <w:r w:rsidRPr="00EA24B0">
        <w:rPr>
          <w:szCs w:val="24"/>
        </w:rPr>
        <w:t>All testing is done in the conduct of the monthly survey utilizing replicated sub-samples of the main sample file.</w:t>
      </w:r>
    </w:p>
    <w:p w14:paraId="1C740D89" w14:textId="6CE4BA66" w:rsidR="006C1E26" w:rsidRPr="00EA24B0" w:rsidRDefault="00846EE0" w:rsidP="00312ADB">
      <w:pPr>
        <w:spacing w:before="120"/>
        <w:rPr>
          <w:szCs w:val="24"/>
        </w:rPr>
      </w:pPr>
      <w:r w:rsidRPr="00EA24B0">
        <w:t>Based on its experience, STR has developed mailing materials and protocols, which should produce the rates of response required to reach the desired number of monthly interviews.  STR plans no testing/experiments of different mailing procedures as a matter of course during the conduct of the fieldwork.  Any contemplated mailing procedure changes will be based on observed response rates, mail return rates, and respondent feedback where available.  Any proposed mailing procedure changes or experiments will be submitted for approval prior to implementation.  </w:t>
      </w:r>
    </w:p>
    <w:p w14:paraId="20F774A4" w14:textId="77777777" w:rsidR="006C1E26" w:rsidRPr="00EA24B0" w:rsidRDefault="006C1E26" w:rsidP="006C1E26">
      <w:pPr>
        <w:spacing w:before="120"/>
        <w:rPr>
          <w:szCs w:val="24"/>
        </w:rPr>
      </w:pPr>
    </w:p>
    <w:bookmarkEnd w:id="5"/>
    <w:p w14:paraId="50427F22" w14:textId="77777777" w:rsidR="006C1E26" w:rsidRPr="00EA24B0" w:rsidRDefault="006C1E26" w:rsidP="006C1E26">
      <w:pPr>
        <w:pStyle w:val="Heading3"/>
        <w:keepLines w:val="0"/>
        <w:numPr>
          <w:ilvl w:val="0"/>
          <w:numId w:val="19"/>
        </w:numPr>
        <w:spacing w:before="240" w:after="120"/>
        <w:rPr>
          <w:rFonts w:ascii="Times New Roman" w:hAnsi="Times New Roman"/>
          <w:caps/>
          <w:sz w:val="28"/>
          <w:szCs w:val="24"/>
        </w:rPr>
      </w:pPr>
      <w:r w:rsidRPr="00EA24B0">
        <w:rPr>
          <w:rFonts w:ascii="Times New Roman" w:hAnsi="Times New Roman"/>
          <w:caps/>
          <w:sz w:val="28"/>
          <w:szCs w:val="24"/>
        </w:rPr>
        <w:t>Contact Information for Statistical ConsuLTants and Analysts</w:t>
      </w:r>
    </w:p>
    <w:p w14:paraId="2214271A" w14:textId="77777777" w:rsidR="006C1E26" w:rsidRPr="00EA24B0" w:rsidRDefault="006C1E26" w:rsidP="006C1E26">
      <w:pPr>
        <w:rPr>
          <w:szCs w:val="24"/>
        </w:rPr>
      </w:pPr>
      <w:r w:rsidRPr="00EA24B0">
        <w:rPr>
          <w:szCs w:val="24"/>
        </w:rPr>
        <w:t xml:space="preserve">Trent </w:t>
      </w:r>
      <w:proofErr w:type="spellStart"/>
      <w:r w:rsidRPr="00EA24B0">
        <w:rPr>
          <w:szCs w:val="24"/>
        </w:rPr>
        <w:t>Buskirk</w:t>
      </w:r>
      <w:proofErr w:type="spellEnd"/>
      <w:r w:rsidRPr="00EA24B0">
        <w:rPr>
          <w:szCs w:val="24"/>
        </w:rPr>
        <w:t>, Ph.D., (314) 695-1378. Marketing Systems Group – Sampling Design and Analysis</w:t>
      </w:r>
    </w:p>
    <w:p w14:paraId="7A2CCB8F" w14:textId="77777777" w:rsidR="006C1E26" w:rsidRPr="00EA24B0" w:rsidRDefault="006C1E26" w:rsidP="006C1E26">
      <w:pPr>
        <w:rPr>
          <w:szCs w:val="24"/>
        </w:rPr>
      </w:pPr>
      <w:r w:rsidRPr="00EA24B0">
        <w:rPr>
          <w:szCs w:val="24"/>
        </w:rPr>
        <w:t>Gregg Kennedy, (215) 870-8656, Survey Technology and Research Center – Design and Collection</w:t>
      </w:r>
    </w:p>
    <w:p w14:paraId="238A3938" w14:textId="1B1954A1" w:rsidR="006C1E26" w:rsidRPr="00A96583" w:rsidRDefault="00846EE0" w:rsidP="006C1E26">
      <w:pPr>
        <w:rPr>
          <w:szCs w:val="24"/>
        </w:rPr>
      </w:pPr>
      <w:r w:rsidRPr="00EA24B0">
        <w:rPr>
          <w:szCs w:val="24"/>
        </w:rPr>
        <w:t>Jyothsna Prabhakaran</w:t>
      </w:r>
      <w:proofErr w:type="gramStart"/>
      <w:r w:rsidR="006C1E26" w:rsidRPr="00EA24B0">
        <w:rPr>
          <w:szCs w:val="24"/>
        </w:rPr>
        <w:t>,.,</w:t>
      </w:r>
      <w:proofErr w:type="gramEnd"/>
      <w:r w:rsidR="006C1E26" w:rsidRPr="00EA24B0">
        <w:rPr>
          <w:szCs w:val="24"/>
        </w:rPr>
        <w:t xml:space="preserve"> (571) 633-</w:t>
      </w:r>
      <w:r w:rsidRPr="00EA24B0">
        <w:rPr>
          <w:szCs w:val="24"/>
        </w:rPr>
        <w:t>7796</w:t>
      </w:r>
      <w:r w:rsidR="006C1E26" w:rsidRPr="00EA24B0">
        <w:rPr>
          <w:szCs w:val="24"/>
        </w:rPr>
        <w:t xml:space="preserve">, LMI – </w:t>
      </w:r>
      <w:r w:rsidRPr="00EA24B0">
        <w:rPr>
          <w:szCs w:val="24"/>
        </w:rPr>
        <w:t>Survey Design and Analysis</w:t>
      </w:r>
    </w:p>
    <w:sectPr w:rsidR="006C1E26" w:rsidRPr="00A96583">
      <w:headerReference w:type="default" r:id="rId14"/>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4C3D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7C21C" w14:textId="77777777" w:rsidR="008340EA" w:rsidRDefault="008340EA">
      <w:r>
        <w:separator/>
      </w:r>
    </w:p>
  </w:endnote>
  <w:endnote w:type="continuationSeparator" w:id="0">
    <w:p w14:paraId="47CA09A3" w14:textId="77777777" w:rsidR="008340EA" w:rsidRDefault="0083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Neue Condensed">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7125D" w14:textId="77777777" w:rsidR="008340EA" w:rsidRDefault="008340EA">
      <w:r>
        <w:separator/>
      </w:r>
    </w:p>
  </w:footnote>
  <w:footnote w:type="continuationSeparator" w:id="0">
    <w:p w14:paraId="0B2FD8D2" w14:textId="77777777" w:rsidR="008340EA" w:rsidRDefault="008340EA">
      <w:r>
        <w:continuationSeparator/>
      </w:r>
    </w:p>
  </w:footnote>
  <w:footnote w:id="1">
    <w:p w14:paraId="0E0963E5" w14:textId="77777777" w:rsidR="00607A14" w:rsidRPr="007D72D6" w:rsidRDefault="00607A14" w:rsidP="006C1E26">
      <w:pPr>
        <w:pStyle w:val="FootnoteText"/>
        <w:spacing w:after="0"/>
        <w:ind w:left="187" w:hanging="184"/>
        <w:rPr>
          <w:rFonts w:ascii="Times New Roman" w:hAnsi="Times New Roman"/>
          <w:spacing w:val="0"/>
          <w:sz w:val="20"/>
          <w:szCs w:val="18"/>
        </w:rPr>
      </w:pPr>
      <w:r w:rsidRPr="007D72D6">
        <w:rPr>
          <w:rStyle w:val="FootnoteReference"/>
          <w:rFonts w:ascii="Times New Roman" w:hAnsi="Times New Roman"/>
          <w:spacing w:val="0"/>
          <w:sz w:val="20"/>
          <w:szCs w:val="18"/>
        </w:rPr>
        <w:footnoteRef/>
      </w:r>
      <w:r w:rsidRPr="007D72D6">
        <w:rPr>
          <w:rFonts w:ascii="Times New Roman" w:hAnsi="Times New Roman"/>
          <w:spacing w:val="0"/>
          <w:sz w:val="20"/>
          <w:szCs w:val="18"/>
        </w:rPr>
        <w:t>.</w:t>
      </w:r>
      <w:r w:rsidRPr="007D72D6">
        <w:rPr>
          <w:rFonts w:ascii="Times New Roman" w:hAnsi="Times New Roman"/>
          <w:spacing w:val="0"/>
          <w:sz w:val="20"/>
          <w:szCs w:val="18"/>
        </w:rPr>
        <w:tab/>
        <w:t xml:space="preserve">R.E. Folsom and A.C. Singh (2000).  “The Generalized Exponential Model for Sampling Weight Calibration.”  </w:t>
      </w:r>
      <w:r w:rsidRPr="007D72D6">
        <w:rPr>
          <w:rFonts w:ascii="Times New Roman" w:hAnsi="Times New Roman"/>
          <w:i/>
          <w:spacing w:val="0"/>
          <w:sz w:val="20"/>
          <w:szCs w:val="18"/>
        </w:rPr>
        <w:t xml:space="preserve">Proceedings of the Section on Survey Research </w:t>
      </w:r>
      <w:smartTag w:uri="urn:schemas-microsoft-com:office:smarttags" w:element="PersonName">
        <w:r w:rsidRPr="007D72D6">
          <w:rPr>
            <w:rFonts w:ascii="Times New Roman" w:hAnsi="Times New Roman"/>
            <w:i/>
            <w:spacing w:val="0"/>
            <w:sz w:val="20"/>
            <w:szCs w:val="18"/>
          </w:rPr>
          <w:t>Me</w:t>
        </w:r>
      </w:smartTag>
      <w:r w:rsidRPr="007D72D6">
        <w:rPr>
          <w:rFonts w:ascii="Times New Roman" w:hAnsi="Times New Roman"/>
          <w:i/>
          <w:spacing w:val="0"/>
          <w:sz w:val="20"/>
          <w:szCs w:val="18"/>
        </w:rPr>
        <w:t>thods of the American Statistical Association</w:t>
      </w:r>
      <w:r w:rsidRPr="007D72D6">
        <w:rPr>
          <w:rFonts w:ascii="Times New Roman" w:hAnsi="Times New Roman"/>
          <w:spacing w:val="0"/>
          <w:sz w:val="20"/>
          <w:szCs w:val="18"/>
        </w:rPr>
        <w:t>, pp. 598-603.</w:t>
      </w:r>
    </w:p>
  </w:footnote>
  <w:footnote w:id="2">
    <w:p w14:paraId="194A0603" w14:textId="77777777" w:rsidR="00607A14" w:rsidRPr="007D72D6" w:rsidRDefault="00607A14" w:rsidP="006C1E26">
      <w:pPr>
        <w:spacing w:after="0"/>
        <w:ind w:left="187" w:hanging="187"/>
        <w:rPr>
          <w:noProof/>
          <w:sz w:val="20"/>
          <w:szCs w:val="18"/>
        </w:rPr>
      </w:pPr>
      <w:r w:rsidRPr="007D72D6">
        <w:rPr>
          <w:noProof/>
          <w:sz w:val="20"/>
          <w:szCs w:val="18"/>
        </w:rPr>
        <w:footnoteRef/>
      </w:r>
      <w:r w:rsidRPr="007D72D6">
        <w:rPr>
          <w:noProof/>
          <w:sz w:val="20"/>
          <w:szCs w:val="18"/>
        </w:rPr>
        <w:t>.</w:t>
      </w:r>
      <w:r w:rsidRPr="007D72D6">
        <w:rPr>
          <w:noProof/>
          <w:sz w:val="20"/>
          <w:szCs w:val="18"/>
        </w:rPr>
        <w:tab/>
        <w:t xml:space="preserve">Iannacchione, V.G.  (1982).  Weighted Sequential Hot Deck Imputation Macros.  In Proceedings of the Seventh Annual SAS User’s Group International Conference (pp.759–763).  </w:t>
      </w:r>
      <w:smartTag w:uri="urn:schemas-microsoft-com:office:smarttags" w:element="place">
        <w:smartTag w:uri="urn:schemas-microsoft-com:office:smarttags" w:element="City">
          <w:r w:rsidRPr="007D72D6">
            <w:rPr>
              <w:noProof/>
              <w:sz w:val="20"/>
              <w:szCs w:val="18"/>
            </w:rPr>
            <w:t>Cary</w:t>
          </w:r>
        </w:smartTag>
        <w:r w:rsidRPr="007D72D6">
          <w:rPr>
            <w:noProof/>
            <w:sz w:val="20"/>
            <w:szCs w:val="18"/>
          </w:rPr>
          <w:t xml:space="preserve">, </w:t>
        </w:r>
        <w:smartTag w:uri="urn:schemas-microsoft-com:office:smarttags" w:element="State">
          <w:r w:rsidRPr="007D72D6">
            <w:rPr>
              <w:noProof/>
              <w:sz w:val="20"/>
              <w:szCs w:val="18"/>
            </w:rPr>
            <w:t>NC</w:t>
          </w:r>
        </w:smartTag>
      </w:smartTag>
      <w:r w:rsidRPr="007D72D6">
        <w:rPr>
          <w:noProof/>
          <w:sz w:val="20"/>
          <w:szCs w:val="18"/>
        </w:rPr>
        <w:t>: SAS Institute, Inc.</w:t>
      </w:r>
    </w:p>
    <w:p w14:paraId="47D54EF2" w14:textId="77777777" w:rsidR="00607A14" w:rsidRDefault="00607A14" w:rsidP="006C1E2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96928" w14:textId="77777777" w:rsidR="00607A14" w:rsidRDefault="00607A14">
    <w:pPr>
      <w:pStyle w:val="Header"/>
      <w:jc w:val="center"/>
    </w:pPr>
    <w:r>
      <w:rPr>
        <w:rStyle w:val="PageNumber"/>
      </w:rPr>
      <w:fldChar w:fldCharType="begin"/>
    </w:r>
    <w:r>
      <w:rPr>
        <w:rStyle w:val="PageNumber"/>
      </w:rPr>
      <w:instrText xml:space="preserve"> PAGE </w:instrText>
    </w:r>
    <w:r>
      <w:rPr>
        <w:rStyle w:val="PageNumber"/>
      </w:rPr>
      <w:fldChar w:fldCharType="separate"/>
    </w:r>
    <w:r w:rsidR="007C5EEF">
      <w:rPr>
        <w:rStyle w:val="PageNumber"/>
        <w:noProof/>
      </w:rPr>
      <w:t>12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3E4"/>
    <w:multiLevelType w:val="multilevel"/>
    <w:tmpl w:val="9D38F3EA"/>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456889"/>
    <w:multiLevelType w:val="hybridMultilevel"/>
    <w:tmpl w:val="2DE287C8"/>
    <w:lvl w:ilvl="0" w:tplc="DB388544">
      <w:start w:val="1"/>
      <w:numFmt w:val="decimal"/>
      <w:lvlText w:val="%1."/>
      <w:lvlJc w:val="left"/>
      <w:pPr>
        <w:ind w:left="720" w:hanging="360"/>
      </w:pPr>
      <w:rPr>
        <w:rFonts w:hint="default"/>
        <w:b/>
        <w:i w:val="0"/>
        <w:caps w:val="0"/>
        <w:strike w:val="0"/>
        <w:dstrike w:val="0"/>
        <w:vanish w:val="0"/>
        <w:color w:val="00000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92912"/>
    <w:multiLevelType w:val="hybridMultilevel"/>
    <w:tmpl w:val="C9D8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91C68"/>
    <w:multiLevelType w:val="multilevel"/>
    <w:tmpl w:val="0E08C996"/>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6">
    <w:nsid w:val="1F926945"/>
    <w:multiLevelType w:val="hybridMultilevel"/>
    <w:tmpl w:val="85A8EBA8"/>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242EE"/>
    <w:multiLevelType w:val="multilevel"/>
    <w:tmpl w:val="63BCBBF4"/>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AD32A2"/>
    <w:multiLevelType w:val="hybridMultilevel"/>
    <w:tmpl w:val="7A98C066"/>
    <w:lvl w:ilvl="0" w:tplc="930EF31E">
      <w:start w:val="11"/>
      <w:numFmt w:val="decimal"/>
      <w:lvlText w:val="%1."/>
      <w:lvlJc w:val="left"/>
      <w:pPr>
        <w:ind w:left="63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E1A61"/>
    <w:multiLevelType w:val="hybridMultilevel"/>
    <w:tmpl w:val="862CD574"/>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436969"/>
    <w:multiLevelType w:val="hybridMultilevel"/>
    <w:tmpl w:val="4CD4C3AA"/>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FC1D4E"/>
    <w:multiLevelType w:val="hybridMultilevel"/>
    <w:tmpl w:val="FDC61AC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0609D3"/>
    <w:multiLevelType w:val="hybridMultilevel"/>
    <w:tmpl w:val="0382ED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062BBC"/>
    <w:multiLevelType w:val="hybridMultilevel"/>
    <w:tmpl w:val="0C14B99A"/>
    <w:lvl w:ilvl="0" w:tplc="50146516">
      <w:numFmt w:val="decimal"/>
      <w:lvlText w:val="%1."/>
      <w:lvlJc w:val="left"/>
      <w:pPr>
        <w:ind w:left="360" w:hanging="360"/>
      </w:pPr>
      <w:rPr>
        <w:rFonts w:hint="default"/>
        <w:b/>
        <w:i w:val="0"/>
        <w:caps w:val="0"/>
        <w:strike w:val="0"/>
        <w:dstrike w:val="0"/>
        <w:vanish w:val="0"/>
        <w:color w:val="000000"/>
        <w:sz w:val="2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8075EB"/>
    <w:multiLevelType w:val="multilevel"/>
    <w:tmpl w:val="220C9CB4"/>
    <w:lvl w:ilvl="0">
      <w:start w:val="1"/>
      <w:numFmt w:val="bullet"/>
      <w:lvlText w:val=""/>
      <w:lvlJc w:val="left"/>
      <w:pPr>
        <w:tabs>
          <w:tab w:val="num" w:pos="1710"/>
        </w:tabs>
        <w:ind w:left="171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990"/>
        </w:tabs>
        <w:ind w:left="990" w:hanging="720"/>
      </w:pPr>
      <w:rPr>
        <w:rFonts w:ascii="HelveticaNeue Condensed" w:hAnsi="HelveticaNeue Condensed" w:hint="default"/>
        <w:b/>
        <w:i w:val="0"/>
        <w:sz w:val="24"/>
      </w:rPr>
    </w:lvl>
    <w:lvl w:ilvl="2">
      <w:start w:val="1"/>
      <w:numFmt w:val="decimal"/>
      <w:lvlText w:val="%1.%2.%3"/>
      <w:lvlJc w:val="left"/>
      <w:pPr>
        <w:tabs>
          <w:tab w:val="num" w:pos="1206"/>
        </w:tabs>
        <w:ind w:left="1206" w:hanging="936"/>
      </w:pPr>
      <w:rPr>
        <w:rFonts w:ascii="HelveticaNeue Condensed" w:hAnsi="HelveticaNeue Condensed" w:hint="default"/>
        <w:b/>
        <w:i w:val="0"/>
        <w:caps w:val="0"/>
        <w:sz w:val="22"/>
      </w:rPr>
    </w:lvl>
    <w:lvl w:ilvl="3">
      <w:start w:val="1"/>
      <w:numFmt w:val="decimal"/>
      <w:lvlText w:val="%1.%2.%3.%4"/>
      <w:lvlJc w:val="left"/>
      <w:pPr>
        <w:tabs>
          <w:tab w:val="num" w:pos="1710"/>
        </w:tabs>
        <w:ind w:left="1350" w:hanging="1080"/>
      </w:pPr>
    </w:lvl>
    <w:lvl w:ilvl="4">
      <w:start w:val="1"/>
      <w:numFmt w:val="decimal"/>
      <w:lvlText w:val="%1.%2.%3.%4.%5"/>
      <w:lvlJc w:val="left"/>
      <w:pPr>
        <w:tabs>
          <w:tab w:val="num" w:pos="1278"/>
        </w:tabs>
        <w:ind w:left="1278" w:hanging="1008"/>
      </w:pPr>
    </w:lvl>
    <w:lvl w:ilvl="5">
      <w:start w:val="1"/>
      <w:numFmt w:val="decimal"/>
      <w:lvlText w:val="%1.%2.%3.%4.%5.%6"/>
      <w:lvlJc w:val="left"/>
      <w:pPr>
        <w:tabs>
          <w:tab w:val="num" w:pos="1422"/>
        </w:tabs>
        <w:ind w:left="1422" w:hanging="1152"/>
      </w:pPr>
    </w:lvl>
    <w:lvl w:ilvl="6">
      <w:start w:val="1"/>
      <w:numFmt w:val="decimal"/>
      <w:lvlText w:val="%1.%2.%3.%4.%5.%6.%7"/>
      <w:lvlJc w:val="left"/>
      <w:pPr>
        <w:tabs>
          <w:tab w:val="num" w:pos="1566"/>
        </w:tabs>
        <w:ind w:left="1566" w:hanging="1296"/>
      </w:pPr>
    </w:lvl>
    <w:lvl w:ilvl="7">
      <w:start w:val="1"/>
      <w:numFmt w:val="decimal"/>
      <w:lvlText w:val="%1.%2.%3.%4.%5.%6.%7.%8"/>
      <w:lvlJc w:val="left"/>
      <w:pPr>
        <w:tabs>
          <w:tab w:val="num" w:pos="1710"/>
        </w:tabs>
        <w:ind w:left="1710" w:hanging="1440"/>
      </w:pPr>
    </w:lvl>
    <w:lvl w:ilvl="8">
      <w:start w:val="1"/>
      <w:numFmt w:val="decimal"/>
      <w:lvlText w:val="%1.%2.%3.%4.%5.%6.%7.%8.%9"/>
      <w:lvlJc w:val="left"/>
      <w:pPr>
        <w:tabs>
          <w:tab w:val="num" w:pos="1854"/>
        </w:tabs>
        <w:ind w:left="1854" w:hanging="1584"/>
      </w:pPr>
    </w:lvl>
  </w:abstractNum>
  <w:abstractNum w:abstractNumId="15">
    <w:nsid w:val="39EE219E"/>
    <w:multiLevelType w:val="hybridMultilevel"/>
    <w:tmpl w:val="C8920EA6"/>
    <w:lvl w:ilvl="0" w:tplc="7DCEE89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53CB53D9"/>
    <w:multiLevelType w:val="hybridMultilevel"/>
    <w:tmpl w:val="25B2A2A8"/>
    <w:lvl w:ilvl="0" w:tplc="8EBAF7AC">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E1939"/>
    <w:multiLevelType w:val="multilevel"/>
    <w:tmpl w:val="90220CD4"/>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8">
    <w:nsid w:val="66A05486"/>
    <w:multiLevelType w:val="hybridMultilevel"/>
    <w:tmpl w:val="C6868D34"/>
    <w:lvl w:ilvl="0" w:tplc="B176971A">
      <w:start w:val="1"/>
      <w:numFmt w:val="decimal"/>
      <w:lvlText w:val="%1."/>
      <w:lvlJc w:val="left"/>
      <w:pPr>
        <w:ind w:left="720" w:hanging="360"/>
      </w:pPr>
      <w:rPr>
        <w:rFonts w:hint="default"/>
        <w:b/>
        <w:i w:val="0"/>
        <w:caps w:val="0"/>
        <w:strike w:val="0"/>
        <w:dstrike w:val="0"/>
        <w:vanish w:val="0"/>
        <w:color w:val="00000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6"/>
  </w:num>
  <w:num w:numId="5">
    <w:abstractNumId w:val="12"/>
  </w:num>
  <w:num w:numId="6">
    <w:abstractNumId w:val="8"/>
  </w:num>
  <w:num w:numId="7">
    <w:abstractNumId w:val="18"/>
  </w:num>
  <w:num w:numId="8">
    <w:abstractNumId w:val="13"/>
  </w:num>
  <w:num w:numId="9">
    <w:abstractNumId w:val="4"/>
  </w:num>
  <w:num w:numId="10">
    <w:abstractNumId w:val="0"/>
  </w:num>
  <w:num w:numId="11">
    <w:abstractNumId w:val="6"/>
  </w:num>
  <w:num w:numId="12">
    <w:abstractNumId w:val="11"/>
  </w:num>
  <w:num w:numId="13">
    <w:abstractNumId w:val="14"/>
  </w:num>
  <w:num w:numId="14">
    <w:abstractNumId w:val="5"/>
  </w:num>
  <w:num w:numId="15">
    <w:abstractNumId w:val="17"/>
  </w:num>
  <w:num w:numId="16">
    <w:abstractNumId w:val="9"/>
  </w:num>
  <w:num w:numId="17">
    <w:abstractNumId w:val="15"/>
  </w:num>
  <w:num w:numId="18">
    <w:abstractNumId w:val="10"/>
  </w:num>
  <w:num w:numId="19">
    <w:abstractNumId w:val="3"/>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bhakaran, Jyothsna">
    <w15:presenceInfo w15:providerId="AD" w15:userId="S-1-5-21-2076772084-2121690230-1399616324-45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26EEF"/>
    <w:rsid w:val="000643C1"/>
    <w:rsid w:val="000C1691"/>
    <w:rsid w:val="0010272F"/>
    <w:rsid w:val="00156175"/>
    <w:rsid w:val="00210225"/>
    <w:rsid w:val="00222CA2"/>
    <w:rsid w:val="00290C7C"/>
    <w:rsid w:val="00312ADB"/>
    <w:rsid w:val="003A69B8"/>
    <w:rsid w:val="00423628"/>
    <w:rsid w:val="00454102"/>
    <w:rsid w:val="004B46CD"/>
    <w:rsid w:val="004D4414"/>
    <w:rsid w:val="004F046E"/>
    <w:rsid w:val="00582BFF"/>
    <w:rsid w:val="0060316C"/>
    <w:rsid w:val="006056E7"/>
    <w:rsid w:val="00607A14"/>
    <w:rsid w:val="00610651"/>
    <w:rsid w:val="006558A9"/>
    <w:rsid w:val="006C1E26"/>
    <w:rsid w:val="006C6F64"/>
    <w:rsid w:val="00716860"/>
    <w:rsid w:val="007C5EEF"/>
    <w:rsid w:val="007E04FA"/>
    <w:rsid w:val="008302D2"/>
    <w:rsid w:val="0083243D"/>
    <w:rsid w:val="008340EA"/>
    <w:rsid w:val="00846EE0"/>
    <w:rsid w:val="008A102A"/>
    <w:rsid w:val="008A212B"/>
    <w:rsid w:val="008C0025"/>
    <w:rsid w:val="008E7A57"/>
    <w:rsid w:val="008F4FBC"/>
    <w:rsid w:val="009404C7"/>
    <w:rsid w:val="00A0448B"/>
    <w:rsid w:val="00B25B58"/>
    <w:rsid w:val="00B52AC8"/>
    <w:rsid w:val="00C44E1A"/>
    <w:rsid w:val="00CA613C"/>
    <w:rsid w:val="00CF13A4"/>
    <w:rsid w:val="00D11A71"/>
    <w:rsid w:val="00D17A96"/>
    <w:rsid w:val="00D50DC0"/>
    <w:rsid w:val="00D811E3"/>
    <w:rsid w:val="00E05EC1"/>
    <w:rsid w:val="00E30345"/>
    <w:rsid w:val="00E55CF5"/>
    <w:rsid w:val="00E946ED"/>
    <w:rsid w:val="00EA24B0"/>
    <w:rsid w:val="00EE47A8"/>
    <w:rsid w:val="00F1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4C49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paragraph" w:styleId="Heading3">
    <w:name w:val="heading 3"/>
    <w:basedOn w:val="Normal"/>
    <w:next w:val="Normal"/>
    <w:link w:val="Heading3Char"/>
    <w:semiHidden/>
    <w:unhideWhenUsed/>
    <w:qFormat/>
    <w:rsid w:val="006C1E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3Char">
    <w:name w:val="Heading 3 Char"/>
    <w:basedOn w:val="DefaultParagraphFont"/>
    <w:link w:val="Heading3"/>
    <w:semiHidden/>
    <w:rsid w:val="006C1E26"/>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rsid w:val="006C1E26"/>
    <w:rPr>
      <w:b/>
      <w:sz w:val="24"/>
    </w:rPr>
  </w:style>
  <w:style w:type="character" w:customStyle="1" w:styleId="HeaderChar">
    <w:name w:val="Header Char"/>
    <w:basedOn w:val="DefaultParagraphFont"/>
    <w:link w:val="Header"/>
    <w:rsid w:val="006C1E26"/>
    <w:rPr>
      <w:sz w:val="24"/>
    </w:rPr>
  </w:style>
  <w:style w:type="character" w:customStyle="1" w:styleId="FooterChar">
    <w:name w:val="Footer Char"/>
    <w:basedOn w:val="DefaultParagraphFont"/>
    <w:link w:val="Footer"/>
    <w:rsid w:val="006C1E26"/>
    <w:rPr>
      <w:sz w:val="24"/>
    </w:rPr>
  </w:style>
  <w:style w:type="paragraph" w:styleId="ListParagraph">
    <w:name w:val="List Paragraph"/>
    <w:basedOn w:val="Normal"/>
    <w:uiPriority w:val="34"/>
    <w:qFormat/>
    <w:rsid w:val="006C1E26"/>
    <w:pPr>
      <w:ind w:left="720"/>
      <w:contextualSpacing/>
    </w:pPr>
  </w:style>
  <w:style w:type="paragraph" w:styleId="NoSpacing">
    <w:name w:val="No Spacing"/>
    <w:link w:val="NoSpacingChar"/>
    <w:uiPriority w:val="1"/>
    <w:qFormat/>
    <w:rsid w:val="006C1E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eastAsia="Calibri"/>
      <w:sz w:val="24"/>
      <w:szCs w:val="24"/>
    </w:rPr>
  </w:style>
  <w:style w:type="character" w:customStyle="1" w:styleId="NoSpacingChar">
    <w:name w:val="No Spacing Char"/>
    <w:basedOn w:val="DefaultParagraphFont"/>
    <w:link w:val="NoSpacing"/>
    <w:uiPriority w:val="1"/>
    <w:rsid w:val="006C1E26"/>
    <w:rPr>
      <w:rFonts w:eastAsia="Calibri"/>
      <w:sz w:val="24"/>
      <w:szCs w:val="24"/>
    </w:rPr>
  </w:style>
  <w:style w:type="paragraph" w:customStyle="1" w:styleId="FRNoticeHeading2">
    <w:name w:val="FR Notice Heading 2"/>
    <w:basedOn w:val="Normal"/>
    <w:rsid w:val="006C1E26"/>
    <w:pPr>
      <w:spacing w:after="0" w:line="360" w:lineRule="auto"/>
    </w:pPr>
    <w:rPr>
      <w:bCs/>
      <w:i/>
      <w:iCs/>
    </w:rPr>
  </w:style>
  <w:style w:type="table" w:styleId="TableGrid">
    <w:name w:val="Table Grid"/>
    <w:basedOn w:val="TableNormal"/>
    <w:rsid w:val="006C1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link w:val="FootnoteTextChar"/>
    <w:rsid w:val="006C1E26"/>
    <w:pPr>
      <w:spacing w:after="120"/>
    </w:pPr>
    <w:rPr>
      <w:rFonts w:ascii="Helvetica" w:hAnsi="Helvetica"/>
      <w:noProof/>
      <w:spacing w:val="-5"/>
      <w:sz w:val="18"/>
    </w:rPr>
  </w:style>
  <w:style w:type="character" w:customStyle="1" w:styleId="FootnoteTextChar">
    <w:name w:val="Footnote Text Char"/>
    <w:basedOn w:val="DefaultParagraphFont"/>
    <w:link w:val="FootnoteText"/>
    <w:rsid w:val="006C1E26"/>
    <w:rPr>
      <w:rFonts w:ascii="Helvetica" w:hAnsi="Helvetica"/>
      <w:noProof/>
      <w:spacing w:val="-5"/>
      <w:sz w:val="18"/>
    </w:rPr>
  </w:style>
  <w:style w:type="character" w:styleId="FootnoteReference">
    <w:name w:val="footnote reference"/>
    <w:rsid w:val="006C1E26"/>
    <w:rPr>
      <w:vertAlign w:val="superscript"/>
    </w:rPr>
  </w:style>
  <w:style w:type="paragraph" w:styleId="NormalWeb">
    <w:name w:val="Normal (Web)"/>
    <w:basedOn w:val="Normal"/>
    <w:uiPriority w:val="99"/>
    <w:unhideWhenUsed/>
    <w:rsid w:val="006C1E26"/>
    <w:pPr>
      <w:spacing w:before="100" w:beforeAutospacing="1" w:after="100" w:afterAutospacing="1"/>
    </w:pPr>
    <w:rPr>
      <w:szCs w:val="24"/>
    </w:rPr>
  </w:style>
  <w:style w:type="paragraph" w:customStyle="1" w:styleId="Arial12Text">
    <w:name w:val="Arial 12 Text"/>
    <w:basedOn w:val="PlainText"/>
    <w:rsid w:val="006C1E26"/>
    <w:pPr>
      <w:spacing w:before="120"/>
      <w:ind w:firstLine="720"/>
    </w:pPr>
    <w:rPr>
      <w:rFonts w:ascii="Times New Roman" w:hAnsi="Times New Roman" w:cs="Arial"/>
      <w:sz w:val="24"/>
      <w:szCs w:val="24"/>
    </w:rPr>
  </w:style>
  <w:style w:type="paragraph" w:styleId="PlainText">
    <w:name w:val="Plain Text"/>
    <w:basedOn w:val="Normal"/>
    <w:link w:val="PlainTextChar"/>
    <w:rsid w:val="006C1E26"/>
    <w:rPr>
      <w:rFonts w:ascii="Courier New" w:hAnsi="Courier New" w:cs="Courier New"/>
      <w:sz w:val="20"/>
    </w:rPr>
  </w:style>
  <w:style w:type="character" w:customStyle="1" w:styleId="PlainTextChar">
    <w:name w:val="Plain Text Char"/>
    <w:basedOn w:val="DefaultParagraphFont"/>
    <w:link w:val="PlainText"/>
    <w:rsid w:val="006C1E26"/>
    <w:rPr>
      <w:rFonts w:ascii="Courier New" w:hAnsi="Courier New" w:cs="Courier New"/>
    </w:rPr>
  </w:style>
  <w:style w:type="character" w:styleId="CommentReference">
    <w:name w:val="annotation reference"/>
    <w:basedOn w:val="DefaultParagraphFont"/>
    <w:rsid w:val="006C1E26"/>
    <w:rPr>
      <w:sz w:val="16"/>
      <w:szCs w:val="16"/>
    </w:rPr>
  </w:style>
  <w:style w:type="paragraph" w:styleId="CommentText">
    <w:name w:val="annotation text"/>
    <w:basedOn w:val="Normal"/>
    <w:link w:val="CommentTextChar"/>
    <w:rsid w:val="006C1E26"/>
    <w:rPr>
      <w:sz w:val="20"/>
    </w:rPr>
  </w:style>
  <w:style w:type="character" w:customStyle="1" w:styleId="CommentTextChar">
    <w:name w:val="Comment Text Char"/>
    <w:basedOn w:val="DefaultParagraphFont"/>
    <w:link w:val="CommentText"/>
    <w:rsid w:val="006C1E26"/>
  </w:style>
  <w:style w:type="paragraph" w:styleId="CommentSubject">
    <w:name w:val="annotation subject"/>
    <w:basedOn w:val="CommentText"/>
    <w:next w:val="CommentText"/>
    <w:link w:val="CommentSubjectChar"/>
    <w:rsid w:val="006C1E26"/>
    <w:rPr>
      <w:b/>
      <w:bCs/>
    </w:rPr>
  </w:style>
  <w:style w:type="character" w:customStyle="1" w:styleId="CommentSubjectChar">
    <w:name w:val="Comment Subject Char"/>
    <w:basedOn w:val="CommentTextChar"/>
    <w:link w:val="CommentSubject"/>
    <w:rsid w:val="006C1E26"/>
    <w:rPr>
      <w:b/>
      <w:bCs/>
    </w:rPr>
  </w:style>
  <w:style w:type="paragraph" w:styleId="Revision">
    <w:name w:val="Revision"/>
    <w:hidden/>
    <w:uiPriority w:val="99"/>
    <w:semiHidden/>
    <w:rsid w:val="006C1E2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link w:val="Heading1Char"/>
    <w:qFormat/>
    <w:pPr>
      <w:keepNext/>
      <w:outlineLvl w:val="0"/>
    </w:pPr>
    <w:rPr>
      <w:b/>
    </w:rPr>
  </w:style>
  <w:style w:type="paragraph" w:styleId="Heading3">
    <w:name w:val="heading 3"/>
    <w:basedOn w:val="Normal"/>
    <w:next w:val="Normal"/>
    <w:link w:val="Heading3Char"/>
    <w:semiHidden/>
    <w:unhideWhenUsed/>
    <w:qFormat/>
    <w:rsid w:val="006C1E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customStyle="1" w:styleId="Heading3Char">
    <w:name w:val="Heading 3 Char"/>
    <w:basedOn w:val="DefaultParagraphFont"/>
    <w:link w:val="Heading3"/>
    <w:semiHidden/>
    <w:rsid w:val="006C1E26"/>
    <w:rPr>
      <w:rFonts w:asciiTheme="majorHAnsi" w:eastAsiaTheme="majorEastAsia" w:hAnsiTheme="majorHAnsi" w:cstheme="majorBidi"/>
      <w:b/>
      <w:bCs/>
      <w:color w:val="4F81BD" w:themeColor="accent1"/>
      <w:sz w:val="24"/>
    </w:rPr>
  </w:style>
  <w:style w:type="character" w:customStyle="1" w:styleId="Heading1Char">
    <w:name w:val="Heading 1 Char"/>
    <w:basedOn w:val="DefaultParagraphFont"/>
    <w:link w:val="Heading1"/>
    <w:rsid w:val="006C1E26"/>
    <w:rPr>
      <w:b/>
      <w:sz w:val="24"/>
    </w:rPr>
  </w:style>
  <w:style w:type="character" w:customStyle="1" w:styleId="HeaderChar">
    <w:name w:val="Header Char"/>
    <w:basedOn w:val="DefaultParagraphFont"/>
    <w:link w:val="Header"/>
    <w:rsid w:val="006C1E26"/>
    <w:rPr>
      <w:sz w:val="24"/>
    </w:rPr>
  </w:style>
  <w:style w:type="character" w:customStyle="1" w:styleId="FooterChar">
    <w:name w:val="Footer Char"/>
    <w:basedOn w:val="DefaultParagraphFont"/>
    <w:link w:val="Footer"/>
    <w:rsid w:val="006C1E26"/>
    <w:rPr>
      <w:sz w:val="24"/>
    </w:rPr>
  </w:style>
  <w:style w:type="paragraph" w:styleId="ListParagraph">
    <w:name w:val="List Paragraph"/>
    <w:basedOn w:val="Normal"/>
    <w:uiPriority w:val="34"/>
    <w:qFormat/>
    <w:rsid w:val="006C1E26"/>
    <w:pPr>
      <w:ind w:left="720"/>
      <w:contextualSpacing/>
    </w:pPr>
  </w:style>
  <w:style w:type="paragraph" w:styleId="NoSpacing">
    <w:name w:val="No Spacing"/>
    <w:link w:val="NoSpacingChar"/>
    <w:uiPriority w:val="1"/>
    <w:qFormat/>
    <w:rsid w:val="006C1E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eastAsia="Calibri"/>
      <w:sz w:val="24"/>
      <w:szCs w:val="24"/>
    </w:rPr>
  </w:style>
  <w:style w:type="character" w:customStyle="1" w:styleId="NoSpacingChar">
    <w:name w:val="No Spacing Char"/>
    <w:basedOn w:val="DefaultParagraphFont"/>
    <w:link w:val="NoSpacing"/>
    <w:uiPriority w:val="1"/>
    <w:rsid w:val="006C1E26"/>
    <w:rPr>
      <w:rFonts w:eastAsia="Calibri"/>
      <w:sz w:val="24"/>
      <w:szCs w:val="24"/>
    </w:rPr>
  </w:style>
  <w:style w:type="paragraph" w:customStyle="1" w:styleId="FRNoticeHeading2">
    <w:name w:val="FR Notice Heading 2"/>
    <w:basedOn w:val="Normal"/>
    <w:rsid w:val="006C1E26"/>
    <w:pPr>
      <w:spacing w:after="0" w:line="360" w:lineRule="auto"/>
    </w:pPr>
    <w:rPr>
      <w:bCs/>
      <w:i/>
      <w:iCs/>
    </w:rPr>
  </w:style>
  <w:style w:type="table" w:styleId="TableGrid">
    <w:name w:val="Table Grid"/>
    <w:basedOn w:val="TableNormal"/>
    <w:rsid w:val="006C1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link w:val="FootnoteTextChar"/>
    <w:rsid w:val="006C1E26"/>
    <w:pPr>
      <w:spacing w:after="120"/>
    </w:pPr>
    <w:rPr>
      <w:rFonts w:ascii="Helvetica" w:hAnsi="Helvetica"/>
      <w:noProof/>
      <w:spacing w:val="-5"/>
      <w:sz w:val="18"/>
    </w:rPr>
  </w:style>
  <w:style w:type="character" w:customStyle="1" w:styleId="FootnoteTextChar">
    <w:name w:val="Footnote Text Char"/>
    <w:basedOn w:val="DefaultParagraphFont"/>
    <w:link w:val="FootnoteText"/>
    <w:rsid w:val="006C1E26"/>
    <w:rPr>
      <w:rFonts w:ascii="Helvetica" w:hAnsi="Helvetica"/>
      <w:noProof/>
      <w:spacing w:val="-5"/>
      <w:sz w:val="18"/>
    </w:rPr>
  </w:style>
  <w:style w:type="character" w:styleId="FootnoteReference">
    <w:name w:val="footnote reference"/>
    <w:rsid w:val="006C1E26"/>
    <w:rPr>
      <w:vertAlign w:val="superscript"/>
    </w:rPr>
  </w:style>
  <w:style w:type="paragraph" w:styleId="NormalWeb">
    <w:name w:val="Normal (Web)"/>
    <w:basedOn w:val="Normal"/>
    <w:uiPriority w:val="99"/>
    <w:unhideWhenUsed/>
    <w:rsid w:val="006C1E26"/>
    <w:pPr>
      <w:spacing w:before="100" w:beforeAutospacing="1" w:after="100" w:afterAutospacing="1"/>
    </w:pPr>
    <w:rPr>
      <w:szCs w:val="24"/>
    </w:rPr>
  </w:style>
  <w:style w:type="paragraph" w:customStyle="1" w:styleId="Arial12Text">
    <w:name w:val="Arial 12 Text"/>
    <w:basedOn w:val="PlainText"/>
    <w:rsid w:val="006C1E26"/>
    <w:pPr>
      <w:spacing w:before="120"/>
      <w:ind w:firstLine="720"/>
    </w:pPr>
    <w:rPr>
      <w:rFonts w:ascii="Times New Roman" w:hAnsi="Times New Roman" w:cs="Arial"/>
      <w:sz w:val="24"/>
      <w:szCs w:val="24"/>
    </w:rPr>
  </w:style>
  <w:style w:type="paragraph" w:styleId="PlainText">
    <w:name w:val="Plain Text"/>
    <w:basedOn w:val="Normal"/>
    <w:link w:val="PlainTextChar"/>
    <w:rsid w:val="006C1E26"/>
    <w:rPr>
      <w:rFonts w:ascii="Courier New" w:hAnsi="Courier New" w:cs="Courier New"/>
      <w:sz w:val="20"/>
    </w:rPr>
  </w:style>
  <w:style w:type="character" w:customStyle="1" w:styleId="PlainTextChar">
    <w:name w:val="Plain Text Char"/>
    <w:basedOn w:val="DefaultParagraphFont"/>
    <w:link w:val="PlainText"/>
    <w:rsid w:val="006C1E26"/>
    <w:rPr>
      <w:rFonts w:ascii="Courier New" w:hAnsi="Courier New" w:cs="Courier New"/>
    </w:rPr>
  </w:style>
  <w:style w:type="character" w:styleId="CommentReference">
    <w:name w:val="annotation reference"/>
    <w:basedOn w:val="DefaultParagraphFont"/>
    <w:rsid w:val="006C1E26"/>
    <w:rPr>
      <w:sz w:val="16"/>
      <w:szCs w:val="16"/>
    </w:rPr>
  </w:style>
  <w:style w:type="paragraph" w:styleId="CommentText">
    <w:name w:val="annotation text"/>
    <w:basedOn w:val="Normal"/>
    <w:link w:val="CommentTextChar"/>
    <w:rsid w:val="006C1E26"/>
    <w:rPr>
      <w:sz w:val="20"/>
    </w:rPr>
  </w:style>
  <w:style w:type="character" w:customStyle="1" w:styleId="CommentTextChar">
    <w:name w:val="Comment Text Char"/>
    <w:basedOn w:val="DefaultParagraphFont"/>
    <w:link w:val="CommentText"/>
    <w:rsid w:val="006C1E26"/>
  </w:style>
  <w:style w:type="paragraph" w:styleId="CommentSubject">
    <w:name w:val="annotation subject"/>
    <w:basedOn w:val="CommentText"/>
    <w:next w:val="CommentText"/>
    <w:link w:val="CommentSubjectChar"/>
    <w:rsid w:val="006C1E26"/>
    <w:rPr>
      <w:b/>
      <w:bCs/>
    </w:rPr>
  </w:style>
  <w:style w:type="character" w:customStyle="1" w:styleId="CommentSubjectChar">
    <w:name w:val="Comment Subject Char"/>
    <w:basedOn w:val="CommentTextChar"/>
    <w:link w:val="CommentSubject"/>
    <w:rsid w:val="006C1E26"/>
    <w:rPr>
      <w:b/>
      <w:bCs/>
    </w:rPr>
  </w:style>
  <w:style w:type="paragraph" w:styleId="Revision">
    <w:name w:val="Revision"/>
    <w:hidden/>
    <w:uiPriority w:val="99"/>
    <w:semiHidden/>
    <w:rsid w:val="006C1E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ncs/ocs/sp/nctb1475.pdf"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ncs/ncswage201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8E2EBA-9427-41BE-8E9E-CA244DFE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1</TotalTime>
  <Pages>12</Pages>
  <Words>4731</Words>
  <Characters>26868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31536</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RAC</cp:lastModifiedBy>
  <cp:revision>2</cp:revision>
  <cp:lastPrinted>2015-05-21T13:06:00Z</cp:lastPrinted>
  <dcterms:created xsi:type="dcterms:W3CDTF">2015-07-22T17:09:00Z</dcterms:created>
  <dcterms:modified xsi:type="dcterms:W3CDTF">2015-07-22T17:09:00Z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ies>
</file>