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EB63F" w14:textId="77777777" w:rsidR="00855ABA" w:rsidRPr="00A01DEC" w:rsidRDefault="00855ABA" w:rsidP="002A2A88">
      <w:pPr>
        <w:tabs>
          <w:tab w:val="left" w:pos="5220"/>
        </w:tabs>
        <w:jc w:val="center"/>
        <w:rPr>
          <w:b/>
          <w:sz w:val="22"/>
          <w:szCs w:val="22"/>
        </w:rPr>
      </w:pPr>
    </w:p>
    <w:p w14:paraId="537275B0" w14:textId="10ED17AF" w:rsidR="00855ABA" w:rsidRPr="00A01DEC" w:rsidRDefault="00855ABA" w:rsidP="00855ABA">
      <w:pPr>
        <w:jc w:val="center"/>
        <w:rPr>
          <w:b/>
          <w:sz w:val="22"/>
          <w:szCs w:val="22"/>
        </w:rPr>
      </w:pPr>
      <w:r w:rsidRPr="00A01DEC">
        <w:rPr>
          <w:b/>
          <w:bCs/>
          <w:sz w:val="22"/>
          <w:szCs w:val="22"/>
        </w:rPr>
        <w:t xml:space="preserve">Supporting Statement for </w:t>
      </w:r>
      <w:r w:rsidR="00150C4B" w:rsidRPr="00A01DEC">
        <w:rPr>
          <w:b/>
          <w:sz w:val="22"/>
          <w:szCs w:val="22"/>
        </w:rPr>
        <w:t>ALP Survey</w:t>
      </w:r>
      <w:r w:rsidRPr="00A01DEC">
        <w:rPr>
          <w:b/>
          <w:sz w:val="22"/>
          <w:szCs w:val="22"/>
        </w:rPr>
        <w:t xml:space="preserve">: </w:t>
      </w:r>
    </w:p>
    <w:p w14:paraId="6919C2DE" w14:textId="72B257A2" w:rsidR="00855ABA" w:rsidRPr="00A01DEC" w:rsidRDefault="0095530F" w:rsidP="00855ABA">
      <w:pPr>
        <w:jc w:val="center"/>
        <w:rPr>
          <w:b/>
          <w:sz w:val="22"/>
          <w:szCs w:val="22"/>
        </w:rPr>
      </w:pPr>
      <w:r>
        <w:rPr>
          <w:b/>
          <w:sz w:val="22"/>
          <w:szCs w:val="22"/>
        </w:rPr>
        <w:t>Model Benefits Statement</w:t>
      </w:r>
      <w:r w:rsidR="00150C4B" w:rsidRPr="00A01DEC">
        <w:rPr>
          <w:b/>
          <w:sz w:val="22"/>
          <w:szCs w:val="22"/>
        </w:rPr>
        <w:t xml:space="preserve"> for Partic</w:t>
      </w:r>
      <w:r w:rsidR="00E041C7" w:rsidRPr="00A01DEC">
        <w:rPr>
          <w:b/>
          <w:sz w:val="22"/>
          <w:szCs w:val="22"/>
        </w:rPr>
        <w:t>i</w:t>
      </w:r>
      <w:r w:rsidR="00150C4B" w:rsidRPr="00A01DEC">
        <w:rPr>
          <w:b/>
          <w:sz w:val="22"/>
          <w:szCs w:val="22"/>
        </w:rPr>
        <w:t>pants in Employee Benefit Plans</w:t>
      </w:r>
      <w:r w:rsidR="00855ABA" w:rsidRPr="00A01DEC">
        <w:rPr>
          <w:b/>
          <w:sz w:val="22"/>
          <w:szCs w:val="22"/>
        </w:rPr>
        <w:t xml:space="preserve"> </w:t>
      </w:r>
    </w:p>
    <w:p w14:paraId="1C55A800" w14:textId="77777777" w:rsidR="00855ABA" w:rsidRPr="00A01DEC" w:rsidRDefault="00855ABA" w:rsidP="00855ABA">
      <w:pPr>
        <w:jc w:val="center"/>
        <w:rPr>
          <w:sz w:val="22"/>
          <w:szCs w:val="22"/>
        </w:rPr>
      </w:pPr>
    </w:p>
    <w:p w14:paraId="1D1ACA50" w14:textId="77777777" w:rsidR="00855ABA" w:rsidRPr="00A01DEC" w:rsidRDefault="00855ABA" w:rsidP="00855ABA">
      <w:pPr>
        <w:jc w:val="center"/>
        <w:rPr>
          <w:sz w:val="22"/>
          <w:szCs w:val="22"/>
        </w:rPr>
      </w:pPr>
      <w:r w:rsidRPr="00A01DEC">
        <w:rPr>
          <w:sz w:val="22"/>
          <w:szCs w:val="22"/>
        </w:rPr>
        <w:t xml:space="preserve"> </w:t>
      </w:r>
    </w:p>
    <w:p w14:paraId="27D02F63" w14:textId="77777777" w:rsidR="00855ABA" w:rsidRPr="00A01DEC" w:rsidRDefault="00855ABA" w:rsidP="00855ABA">
      <w:pPr>
        <w:jc w:val="center"/>
        <w:rPr>
          <w:sz w:val="22"/>
          <w:szCs w:val="22"/>
        </w:rPr>
      </w:pPr>
    </w:p>
    <w:p w14:paraId="78B6B803" w14:textId="77777777" w:rsidR="00855ABA" w:rsidRPr="00A01DEC" w:rsidRDefault="00855ABA" w:rsidP="00855ABA">
      <w:pPr>
        <w:jc w:val="center"/>
        <w:rPr>
          <w:sz w:val="22"/>
          <w:szCs w:val="22"/>
        </w:rPr>
      </w:pPr>
    </w:p>
    <w:p w14:paraId="14BE3D22" w14:textId="77777777" w:rsidR="00855ABA" w:rsidRPr="00A01DEC" w:rsidRDefault="00855ABA" w:rsidP="00855ABA">
      <w:pPr>
        <w:jc w:val="center"/>
        <w:rPr>
          <w:sz w:val="22"/>
          <w:szCs w:val="22"/>
        </w:rPr>
      </w:pPr>
    </w:p>
    <w:p w14:paraId="613C0682" w14:textId="77777777" w:rsidR="00855ABA" w:rsidRPr="00A01DEC" w:rsidRDefault="00855ABA" w:rsidP="00855ABA">
      <w:pPr>
        <w:jc w:val="center"/>
        <w:rPr>
          <w:sz w:val="22"/>
          <w:szCs w:val="22"/>
        </w:rPr>
      </w:pPr>
    </w:p>
    <w:p w14:paraId="56D29C2A" w14:textId="77777777" w:rsidR="00855ABA" w:rsidRPr="00A01DEC" w:rsidRDefault="00855ABA" w:rsidP="00855ABA">
      <w:pPr>
        <w:jc w:val="center"/>
        <w:rPr>
          <w:i/>
          <w:sz w:val="22"/>
          <w:szCs w:val="22"/>
        </w:rPr>
      </w:pPr>
    </w:p>
    <w:p w14:paraId="68BDE985" w14:textId="77777777" w:rsidR="00855ABA" w:rsidRPr="00A01DEC" w:rsidRDefault="00855ABA" w:rsidP="00855ABA">
      <w:pPr>
        <w:jc w:val="center"/>
        <w:rPr>
          <w:sz w:val="22"/>
          <w:szCs w:val="22"/>
        </w:rPr>
      </w:pPr>
    </w:p>
    <w:p w14:paraId="58B49398" w14:textId="77777777" w:rsidR="00280E69" w:rsidRPr="00A01DEC" w:rsidRDefault="00150C4B" w:rsidP="00855ABA">
      <w:pPr>
        <w:jc w:val="center"/>
        <w:rPr>
          <w:b/>
          <w:sz w:val="22"/>
          <w:szCs w:val="22"/>
        </w:rPr>
      </w:pPr>
      <w:r w:rsidRPr="00A01DEC">
        <w:rPr>
          <w:b/>
          <w:sz w:val="22"/>
          <w:szCs w:val="22"/>
        </w:rPr>
        <w:t xml:space="preserve">Part </w:t>
      </w:r>
      <w:r w:rsidR="00280E69" w:rsidRPr="00A01DEC">
        <w:rPr>
          <w:b/>
          <w:sz w:val="22"/>
          <w:szCs w:val="22"/>
        </w:rPr>
        <w:t>B</w:t>
      </w:r>
      <w:r w:rsidRPr="00A01DEC">
        <w:rPr>
          <w:b/>
          <w:sz w:val="22"/>
          <w:szCs w:val="22"/>
        </w:rPr>
        <w:t xml:space="preserve"> </w:t>
      </w:r>
    </w:p>
    <w:p w14:paraId="228F06DC" w14:textId="77777777" w:rsidR="00855ABA" w:rsidRPr="00A01DEC" w:rsidRDefault="00280E69" w:rsidP="00855ABA">
      <w:pPr>
        <w:jc w:val="center"/>
        <w:rPr>
          <w:b/>
          <w:sz w:val="22"/>
          <w:szCs w:val="22"/>
        </w:rPr>
      </w:pPr>
      <w:r w:rsidRPr="00A01DEC">
        <w:rPr>
          <w:b/>
          <w:sz w:val="22"/>
          <w:szCs w:val="22"/>
        </w:rPr>
        <w:t>Collections of Information Employing Statistical Methods</w:t>
      </w:r>
    </w:p>
    <w:p w14:paraId="6406FB30" w14:textId="77777777" w:rsidR="00855ABA" w:rsidRPr="00A01DEC" w:rsidRDefault="00855ABA" w:rsidP="00855ABA">
      <w:pPr>
        <w:jc w:val="center"/>
        <w:rPr>
          <w:sz w:val="22"/>
          <w:szCs w:val="22"/>
        </w:rPr>
      </w:pPr>
    </w:p>
    <w:p w14:paraId="7ADF5566" w14:textId="77777777" w:rsidR="00280E69" w:rsidRPr="00A01DEC" w:rsidRDefault="00280E69" w:rsidP="00855ABA">
      <w:pPr>
        <w:jc w:val="center"/>
        <w:rPr>
          <w:sz w:val="22"/>
          <w:szCs w:val="22"/>
        </w:rPr>
      </w:pPr>
    </w:p>
    <w:p w14:paraId="64DC18A6" w14:textId="3ED8D17F" w:rsidR="00855ABA" w:rsidRPr="00A01DEC" w:rsidRDefault="00855ABA" w:rsidP="00855ABA">
      <w:pPr>
        <w:jc w:val="center"/>
        <w:rPr>
          <w:i/>
          <w:sz w:val="22"/>
          <w:szCs w:val="22"/>
        </w:rPr>
      </w:pPr>
      <w:r w:rsidRPr="00A01DEC">
        <w:rPr>
          <w:b/>
          <w:sz w:val="22"/>
          <w:szCs w:val="22"/>
        </w:rPr>
        <w:t xml:space="preserve">Version: </w:t>
      </w:r>
      <w:r w:rsidR="00F647F5" w:rsidRPr="00A01DEC">
        <w:rPr>
          <w:b/>
          <w:sz w:val="22"/>
          <w:szCs w:val="22"/>
        </w:rPr>
        <w:t>J</w:t>
      </w:r>
      <w:r w:rsidR="00F647F5">
        <w:rPr>
          <w:b/>
          <w:sz w:val="22"/>
          <w:szCs w:val="22"/>
        </w:rPr>
        <w:t>une</w:t>
      </w:r>
      <w:r w:rsidR="00F647F5" w:rsidRPr="00A01DEC">
        <w:rPr>
          <w:b/>
          <w:sz w:val="22"/>
          <w:szCs w:val="22"/>
        </w:rPr>
        <w:t xml:space="preserve"> </w:t>
      </w:r>
      <w:r w:rsidR="0025753F" w:rsidRPr="00A01DEC">
        <w:rPr>
          <w:b/>
          <w:sz w:val="22"/>
          <w:szCs w:val="22"/>
        </w:rPr>
        <w:t>2012</w:t>
      </w:r>
    </w:p>
    <w:p w14:paraId="6AAA760A" w14:textId="77777777" w:rsidR="00855ABA" w:rsidRPr="00A01DEC" w:rsidRDefault="00855ABA" w:rsidP="00855ABA">
      <w:pPr>
        <w:jc w:val="center"/>
        <w:rPr>
          <w:i/>
          <w:sz w:val="22"/>
          <w:szCs w:val="22"/>
        </w:rPr>
      </w:pPr>
    </w:p>
    <w:p w14:paraId="287F4064" w14:textId="77777777" w:rsidR="00855ABA" w:rsidRPr="00A01DEC" w:rsidRDefault="00855ABA" w:rsidP="00855ABA">
      <w:pPr>
        <w:jc w:val="center"/>
        <w:rPr>
          <w:sz w:val="22"/>
          <w:szCs w:val="22"/>
        </w:rPr>
      </w:pPr>
    </w:p>
    <w:p w14:paraId="34D5FF3D" w14:textId="77777777" w:rsidR="00855ABA" w:rsidRPr="00A01DEC" w:rsidRDefault="00855ABA" w:rsidP="00855ABA">
      <w:pPr>
        <w:jc w:val="center"/>
        <w:rPr>
          <w:sz w:val="22"/>
          <w:szCs w:val="22"/>
        </w:rPr>
      </w:pPr>
    </w:p>
    <w:p w14:paraId="10ADA8DF" w14:textId="77777777" w:rsidR="00855ABA" w:rsidRPr="00A01DEC" w:rsidRDefault="00855ABA" w:rsidP="00855ABA">
      <w:pPr>
        <w:jc w:val="center"/>
        <w:rPr>
          <w:sz w:val="22"/>
          <w:szCs w:val="22"/>
        </w:rPr>
      </w:pPr>
    </w:p>
    <w:p w14:paraId="71342117" w14:textId="77777777" w:rsidR="00855ABA" w:rsidRPr="00A01DEC" w:rsidRDefault="00855ABA" w:rsidP="00855ABA">
      <w:pPr>
        <w:jc w:val="center"/>
        <w:rPr>
          <w:b/>
          <w:sz w:val="22"/>
          <w:szCs w:val="22"/>
        </w:rPr>
        <w:sectPr w:rsidR="00855ABA" w:rsidRPr="00A01DEC" w:rsidSect="00855ABA">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pPr>
    </w:p>
    <w:p w14:paraId="77E66464" w14:textId="77777777" w:rsidR="00855ABA" w:rsidRPr="00A01DEC" w:rsidRDefault="00855ABA" w:rsidP="00855ABA">
      <w:pPr>
        <w:rPr>
          <w:b/>
          <w:sz w:val="22"/>
          <w:szCs w:val="22"/>
        </w:rPr>
      </w:pPr>
      <w:r w:rsidRPr="00A01DEC">
        <w:rPr>
          <w:b/>
          <w:sz w:val="22"/>
          <w:szCs w:val="22"/>
        </w:rPr>
        <w:lastRenderedPageBreak/>
        <w:t>Table of contents</w:t>
      </w:r>
    </w:p>
    <w:p w14:paraId="5CA6460A" w14:textId="77777777" w:rsidR="00855ABA" w:rsidRPr="00A01DEC" w:rsidRDefault="00855ABA" w:rsidP="00855ABA">
      <w:pPr>
        <w:rPr>
          <w:sz w:val="22"/>
          <w:szCs w:val="22"/>
        </w:rPr>
      </w:pPr>
    </w:p>
    <w:p w14:paraId="6152FC7C" w14:textId="77777777" w:rsidR="00905EA4" w:rsidRDefault="00BE74F8">
      <w:pPr>
        <w:pStyle w:val="TOC1"/>
        <w:tabs>
          <w:tab w:val="clear" w:pos="440"/>
          <w:tab w:val="left" w:pos="460"/>
        </w:tabs>
        <w:rPr>
          <w:rFonts w:asciiTheme="minorHAnsi" w:eastAsiaTheme="minorEastAsia" w:hAnsiTheme="minorHAnsi" w:cstheme="minorBidi"/>
          <w:b w:val="0"/>
          <w:bCs w:val="0"/>
          <w:szCs w:val="24"/>
          <w:lang w:eastAsia="ja-JP"/>
        </w:rPr>
      </w:pPr>
      <w:r w:rsidRPr="00A01DEC">
        <w:rPr>
          <w:sz w:val="22"/>
          <w:szCs w:val="22"/>
        </w:rPr>
        <w:fldChar w:fldCharType="begin"/>
      </w:r>
      <w:r w:rsidR="00855ABA" w:rsidRPr="00A01DEC">
        <w:rPr>
          <w:sz w:val="22"/>
          <w:szCs w:val="22"/>
        </w:rPr>
        <w:instrText xml:space="preserve"> TOC \o "1-3" \h \z \u </w:instrText>
      </w:r>
      <w:r w:rsidRPr="00A01DEC">
        <w:rPr>
          <w:sz w:val="22"/>
          <w:szCs w:val="22"/>
        </w:rPr>
        <w:fldChar w:fldCharType="separate"/>
      </w:r>
      <w:r w:rsidR="00905EA4">
        <w:t>B.</w:t>
      </w:r>
      <w:r w:rsidR="00905EA4">
        <w:rPr>
          <w:rFonts w:asciiTheme="minorHAnsi" w:eastAsiaTheme="minorEastAsia" w:hAnsiTheme="minorHAnsi" w:cstheme="minorBidi"/>
          <w:b w:val="0"/>
          <w:bCs w:val="0"/>
          <w:szCs w:val="24"/>
          <w:lang w:eastAsia="ja-JP"/>
        </w:rPr>
        <w:tab/>
      </w:r>
      <w:r w:rsidR="00905EA4">
        <w:t>Collection of Information Employing Statistical Methods</w:t>
      </w:r>
      <w:r w:rsidR="00905EA4">
        <w:tab/>
      </w:r>
      <w:r w:rsidR="00905EA4">
        <w:fldChar w:fldCharType="begin"/>
      </w:r>
      <w:r w:rsidR="00905EA4">
        <w:instrText xml:space="preserve"> PAGEREF _Toc201829376 \h </w:instrText>
      </w:r>
      <w:r w:rsidR="00905EA4">
        <w:fldChar w:fldCharType="separate"/>
      </w:r>
      <w:r w:rsidR="00905EA4">
        <w:t>2</w:t>
      </w:r>
      <w:r w:rsidR="00905EA4">
        <w:fldChar w:fldCharType="end"/>
      </w:r>
    </w:p>
    <w:p w14:paraId="47AD0FF1"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B.1.  Respondent universe and sampling methods</w:t>
      </w:r>
      <w:r>
        <w:rPr>
          <w:noProof/>
        </w:rPr>
        <w:tab/>
      </w:r>
      <w:r>
        <w:rPr>
          <w:noProof/>
        </w:rPr>
        <w:fldChar w:fldCharType="begin"/>
      </w:r>
      <w:r>
        <w:rPr>
          <w:noProof/>
        </w:rPr>
        <w:instrText xml:space="preserve"> PAGEREF _Toc201829377 \h </w:instrText>
      </w:r>
      <w:r>
        <w:rPr>
          <w:noProof/>
        </w:rPr>
      </w:r>
      <w:r>
        <w:rPr>
          <w:noProof/>
        </w:rPr>
        <w:fldChar w:fldCharType="separate"/>
      </w:r>
      <w:r>
        <w:rPr>
          <w:noProof/>
        </w:rPr>
        <w:t>2</w:t>
      </w:r>
      <w:r>
        <w:rPr>
          <w:noProof/>
        </w:rPr>
        <w:fldChar w:fldCharType="end"/>
      </w:r>
    </w:p>
    <w:p w14:paraId="554963CC"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B.1.a  Household survey sampling approach</w:t>
      </w:r>
      <w:r>
        <w:rPr>
          <w:noProof/>
        </w:rPr>
        <w:tab/>
      </w:r>
      <w:r>
        <w:rPr>
          <w:noProof/>
        </w:rPr>
        <w:fldChar w:fldCharType="begin"/>
      </w:r>
      <w:r>
        <w:rPr>
          <w:noProof/>
        </w:rPr>
        <w:instrText xml:space="preserve"> PAGEREF _Toc201829378 \h </w:instrText>
      </w:r>
      <w:r>
        <w:rPr>
          <w:noProof/>
        </w:rPr>
      </w:r>
      <w:r>
        <w:rPr>
          <w:noProof/>
        </w:rPr>
        <w:fldChar w:fldCharType="separate"/>
      </w:r>
      <w:r>
        <w:rPr>
          <w:noProof/>
        </w:rPr>
        <w:t>2</w:t>
      </w:r>
      <w:r>
        <w:rPr>
          <w:noProof/>
        </w:rPr>
        <w:fldChar w:fldCharType="end"/>
      </w:r>
    </w:p>
    <w:p w14:paraId="7B865B61"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University of Michigan Internet Panel Cohort</w:t>
      </w:r>
      <w:r>
        <w:rPr>
          <w:noProof/>
        </w:rPr>
        <w:tab/>
      </w:r>
      <w:r>
        <w:rPr>
          <w:noProof/>
        </w:rPr>
        <w:fldChar w:fldCharType="begin"/>
      </w:r>
      <w:r>
        <w:rPr>
          <w:noProof/>
        </w:rPr>
        <w:instrText xml:space="preserve"> PAGEREF _Toc201829379 \h </w:instrText>
      </w:r>
      <w:r>
        <w:rPr>
          <w:noProof/>
        </w:rPr>
      </w:r>
      <w:r>
        <w:rPr>
          <w:noProof/>
        </w:rPr>
        <w:fldChar w:fldCharType="separate"/>
      </w:r>
      <w:r>
        <w:rPr>
          <w:noProof/>
        </w:rPr>
        <w:t>3</w:t>
      </w:r>
      <w:r>
        <w:rPr>
          <w:noProof/>
        </w:rPr>
        <w:fldChar w:fldCharType="end"/>
      </w:r>
    </w:p>
    <w:p w14:paraId="6C6C8302"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University of Michigan Phone Panel Cohort</w:t>
      </w:r>
      <w:r>
        <w:rPr>
          <w:noProof/>
        </w:rPr>
        <w:tab/>
      </w:r>
      <w:r>
        <w:rPr>
          <w:noProof/>
        </w:rPr>
        <w:fldChar w:fldCharType="begin"/>
      </w:r>
      <w:r>
        <w:rPr>
          <w:noProof/>
        </w:rPr>
        <w:instrText xml:space="preserve"> PAGEREF _Toc201829380 \h </w:instrText>
      </w:r>
      <w:r>
        <w:rPr>
          <w:noProof/>
        </w:rPr>
      </w:r>
      <w:r>
        <w:rPr>
          <w:noProof/>
        </w:rPr>
        <w:fldChar w:fldCharType="separate"/>
      </w:r>
      <w:r>
        <w:rPr>
          <w:noProof/>
        </w:rPr>
        <w:t>4</w:t>
      </w:r>
      <w:r>
        <w:rPr>
          <w:noProof/>
        </w:rPr>
        <w:fldChar w:fldCharType="end"/>
      </w:r>
    </w:p>
    <w:p w14:paraId="19EADDCA"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Stanford Panel Cohort</w:t>
      </w:r>
      <w:r>
        <w:rPr>
          <w:noProof/>
        </w:rPr>
        <w:tab/>
      </w:r>
      <w:r>
        <w:rPr>
          <w:noProof/>
        </w:rPr>
        <w:fldChar w:fldCharType="begin"/>
      </w:r>
      <w:r>
        <w:rPr>
          <w:noProof/>
        </w:rPr>
        <w:instrText xml:space="preserve"> PAGEREF _Toc201829381 \h </w:instrText>
      </w:r>
      <w:r>
        <w:rPr>
          <w:noProof/>
        </w:rPr>
      </w:r>
      <w:r>
        <w:rPr>
          <w:noProof/>
        </w:rPr>
        <w:fldChar w:fldCharType="separate"/>
      </w:r>
      <w:r>
        <w:rPr>
          <w:noProof/>
        </w:rPr>
        <w:t>4</w:t>
      </w:r>
      <w:r>
        <w:rPr>
          <w:noProof/>
        </w:rPr>
        <w:fldChar w:fldCharType="end"/>
      </w:r>
    </w:p>
    <w:p w14:paraId="624B3DD0"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Snowball Cohort</w:t>
      </w:r>
      <w:r>
        <w:rPr>
          <w:noProof/>
        </w:rPr>
        <w:tab/>
      </w:r>
      <w:r>
        <w:rPr>
          <w:noProof/>
        </w:rPr>
        <w:fldChar w:fldCharType="begin"/>
      </w:r>
      <w:r>
        <w:rPr>
          <w:noProof/>
        </w:rPr>
        <w:instrText xml:space="preserve"> PAGEREF _Toc201829382 \h </w:instrText>
      </w:r>
      <w:r>
        <w:rPr>
          <w:noProof/>
        </w:rPr>
      </w:r>
      <w:r>
        <w:rPr>
          <w:noProof/>
        </w:rPr>
        <w:fldChar w:fldCharType="separate"/>
      </w:r>
      <w:r>
        <w:rPr>
          <w:noProof/>
        </w:rPr>
        <w:t>4</w:t>
      </w:r>
      <w:r>
        <w:rPr>
          <w:noProof/>
        </w:rPr>
        <w:fldChar w:fldCharType="end"/>
      </w:r>
    </w:p>
    <w:p w14:paraId="7B8F2D93"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Mailing and Phone Cohorts</w:t>
      </w:r>
      <w:r>
        <w:rPr>
          <w:noProof/>
        </w:rPr>
        <w:tab/>
      </w:r>
      <w:r>
        <w:rPr>
          <w:noProof/>
        </w:rPr>
        <w:fldChar w:fldCharType="begin"/>
      </w:r>
      <w:r>
        <w:rPr>
          <w:noProof/>
        </w:rPr>
        <w:instrText xml:space="preserve"> PAGEREF _Toc201829383 \h </w:instrText>
      </w:r>
      <w:r>
        <w:rPr>
          <w:noProof/>
        </w:rPr>
      </w:r>
      <w:r>
        <w:rPr>
          <w:noProof/>
        </w:rPr>
        <w:fldChar w:fldCharType="separate"/>
      </w:r>
      <w:r>
        <w:rPr>
          <w:noProof/>
        </w:rPr>
        <w:t>5</w:t>
      </w:r>
      <w:r>
        <w:rPr>
          <w:noProof/>
        </w:rPr>
        <w:fldChar w:fldCharType="end"/>
      </w:r>
    </w:p>
    <w:p w14:paraId="3ED45883"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Vulnerable Population Cohort</w:t>
      </w:r>
      <w:r>
        <w:rPr>
          <w:noProof/>
        </w:rPr>
        <w:tab/>
      </w:r>
      <w:r>
        <w:rPr>
          <w:noProof/>
        </w:rPr>
        <w:fldChar w:fldCharType="begin"/>
      </w:r>
      <w:r>
        <w:rPr>
          <w:noProof/>
        </w:rPr>
        <w:instrText xml:space="preserve"> PAGEREF _Toc201829384 \h </w:instrText>
      </w:r>
      <w:r>
        <w:rPr>
          <w:noProof/>
        </w:rPr>
      </w:r>
      <w:r>
        <w:rPr>
          <w:noProof/>
        </w:rPr>
        <w:fldChar w:fldCharType="separate"/>
      </w:r>
      <w:r>
        <w:rPr>
          <w:noProof/>
        </w:rPr>
        <w:t>5</w:t>
      </w:r>
      <w:r>
        <w:rPr>
          <w:noProof/>
        </w:rPr>
        <w:fldChar w:fldCharType="end"/>
      </w:r>
    </w:p>
    <w:p w14:paraId="73547A05"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Respondent Driven Sampling (RDS) Cohort</w:t>
      </w:r>
      <w:r>
        <w:rPr>
          <w:noProof/>
        </w:rPr>
        <w:tab/>
      </w:r>
      <w:r>
        <w:rPr>
          <w:noProof/>
        </w:rPr>
        <w:fldChar w:fldCharType="begin"/>
      </w:r>
      <w:r>
        <w:rPr>
          <w:noProof/>
        </w:rPr>
        <w:instrText xml:space="preserve"> PAGEREF _Toc201829385 \h </w:instrText>
      </w:r>
      <w:r>
        <w:rPr>
          <w:noProof/>
        </w:rPr>
      </w:r>
      <w:r>
        <w:rPr>
          <w:noProof/>
        </w:rPr>
        <w:fldChar w:fldCharType="separate"/>
      </w:r>
      <w:r>
        <w:rPr>
          <w:noProof/>
        </w:rPr>
        <w:t>5</w:t>
      </w:r>
      <w:r>
        <w:rPr>
          <w:noProof/>
        </w:rPr>
        <w:fldChar w:fldCharType="end"/>
      </w:r>
    </w:p>
    <w:p w14:paraId="0ADA0941"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B.1.b  Experiment sampling methods</w:t>
      </w:r>
      <w:r>
        <w:rPr>
          <w:noProof/>
        </w:rPr>
        <w:tab/>
      </w:r>
      <w:r>
        <w:rPr>
          <w:noProof/>
        </w:rPr>
        <w:fldChar w:fldCharType="begin"/>
      </w:r>
      <w:r>
        <w:rPr>
          <w:noProof/>
        </w:rPr>
        <w:instrText xml:space="preserve"> PAGEREF _Toc201829386 \h </w:instrText>
      </w:r>
      <w:r>
        <w:rPr>
          <w:noProof/>
        </w:rPr>
      </w:r>
      <w:r>
        <w:rPr>
          <w:noProof/>
        </w:rPr>
        <w:fldChar w:fldCharType="separate"/>
      </w:r>
      <w:r>
        <w:rPr>
          <w:noProof/>
        </w:rPr>
        <w:t>5</w:t>
      </w:r>
      <w:r>
        <w:rPr>
          <w:noProof/>
        </w:rPr>
        <w:fldChar w:fldCharType="end"/>
      </w:r>
    </w:p>
    <w:p w14:paraId="69A1CAC4"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B.2. Procedures for the Collection of Information</w:t>
      </w:r>
      <w:r>
        <w:rPr>
          <w:noProof/>
        </w:rPr>
        <w:tab/>
      </w:r>
      <w:r>
        <w:rPr>
          <w:noProof/>
        </w:rPr>
        <w:fldChar w:fldCharType="begin"/>
      </w:r>
      <w:r>
        <w:rPr>
          <w:noProof/>
        </w:rPr>
        <w:instrText xml:space="preserve"> PAGEREF _Toc201829387 \h </w:instrText>
      </w:r>
      <w:r>
        <w:rPr>
          <w:noProof/>
        </w:rPr>
      </w:r>
      <w:r>
        <w:rPr>
          <w:noProof/>
        </w:rPr>
        <w:fldChar w:fldCharType="separate"/>
      </w:r>
      <w:r>
        <w:rPr>
          <w:noProof/>
        </w:rPr>
        <w:t>5</w:t>
      </w:r>
      <w:r>
        <w:rPr>
          <w:noProof/>
        </w:rPr>
        <w:fldChar w:fldCharType="end"/>
      </w:r>
    </w:p>
    <w:p w14:paraId="7EECBE54"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B.2.a. Statistical methodology for stratification and sample selection</w:t>
      </w:r>
      <w:r>
        <w:rPr>
          <w:noProof/>
        </w:rPr>
        <w:tab/>
      </w:r>
      <w:r>
        <w:rPr>
          <w:noProof/>
        </w:rPr>
        <w:fldChar w:fldCharType="begin"/>
      </w:r>
      <w:r>
        <w:rPr>
          <w:noProof/>
        </w:rPr>
        <w:instrText xml:space="preserve"> PAGEREF _Toc201829388 \h </w:instrText>
      </w:r>
      <w:r>
        <w:rPr>
          <w:noProof/>
        </w:rPr>
      </w:r>
      <w:r>
        <w:rPr>
          <w:noProof/>
        </w:rPr>
        <w:fldChar w:fldCharType="separate"/>
      </w:r>
      <w:r>
        <w:rPr>
          <w:noProof/>
        </w:rPr>
        <w:t>5</w:t>
      </w:r>
      <w:r>
        <w:rPr>
          <w:noProof/>
        </w:rPr>
        <w:fldChar w:fldCharType="end"/>
      </w:r>
    </w:p>
    <w:p w14:paraId="5B4EA9C1"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B.2.b. Data collection procedures</w:t>
      </w:r>
      <w:r>
        <w:rPr>
          <w:noProof/>
        </w:rPr>
        <w:tab/>
      </w:r>
      <w:r>
        <w:rPr>
          <w:noProof/>
        </w:rPr>
        <w:fldChar w:fldCharType="begin"/>
      </w:r>
      <w:r>
        <w:rPr>
          <w:noProof/>
        </w:rPr>
        <w:instrText xml:space="preserve"> PAGEREF _Toc201829389 \h </w:instrText>
      </w:r>
      <w:r>
        <w:rPr>
          <w:noProof/>
        </w:rPr>
      </w:r>
      <w:r>
        <w:rPr>
          <w:noProof/>
        </w:rPr>
        <w:fldChar w:fldCharType="separate"/>
      </w:r>
      <w:r>
        <w:rPr>
          <w:noProof/>
        </w:rPr>
        <w:t>6</w:t>
      </w:r>
      <w:r>
        <w:rPr>
          <w:noProof/>
        </w:rPr>
        <w:fldChar w:fldCharType="end"/>
      </w:r>
    </w:p>
    <w:p w14:paraId="73D33A16"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B.3.  Methods to Maximize Response Rates and Deal with Nonresponse</w:t>
      </w:r>
      <w:r>
        <w:rPr>
          <w:noProof/>
        </w:rPr>
        <w:tab/>
      </w:r>
      <w:r>
        <w:rPr>
          <w:noProof/>
        </w:rPr>
        <w:fldChar w:fldCharType="begin"/>
      </w:r>
      <w:r>
        <w:rPr>
          <w:noProof/>
        </w:rPr>
        <w:instrText xml:space="preserve"> PAGEREF _Toc201829390 \h </w:instrText>
      </w:r>
      <w:r>
        <w:rPr>
          <w:noProof/>
        </w:rPr>
      </w:r>
      <w:r>
        <w:rPr>
          <w:noProof/>
        </w:rPr>
        <w:fldChar w:fldCharType="separate"/>
      </w:r>
      <w:r>
        <w:rPr>
          <w:noProof/>
        </w:rPr>
        <w:t>6</w:t>
      </w:r>
      <w:r>
        <w:rPr>
          <w:noProof/>
        </w:rPr>
        <w:fldChar w:fldCharType="end"/>
      </w:r>
    </w:p>
    <w:p w14:paraId="09684A31"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B.3.a. Panel Attrition and Response Rates</w:t>
      </w:r>
      <w:r>
        <w:rPr>
          <w:noProof/>
        </w:rPr>
        <w:tab/>
      </w:r>
      <w:r>
        <w:rPr>
          <w:noProof/>
        </w:rPr>
        <w:fldChar w:fldCharType="begin"/>
      </w:r>
      <w:r>
        <w:rPr>
          <w:noProof/>
        </w:rPr>
        <w:instrText xml:space="preserve"> PAGEREF _Toc201829391 \h </w:instrText>
      </w:r>
      <w:r>
        <w:rPr>
          <w:noProof/>
        </w:rPr>
      </w:r>
      <w:r>
        <w:rPr>
          <w:noProof/>
        </w:rPr>
        <w:fldChar w:fldCharType="separate"/>
      </w:r>
      <w:r>
        <w:rPr>
          <w:noProof/>
        </w:rPr>
        <w:t>7</w:t>
      </w:r>
      <w:r>
        <w:rPr>
          <w:noProof/>
        </w:rPr>
        <w:fldChar w:fldCharType="end"/>
      </w:r>
    </w:p>
    <w:p w14:paraId="00F2F85F"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B.4. Tests of Procedures or Methods to be undertaken</w:t>
      </w:r>
      <w:r>
        <w:rPr>
          <w:noProof/>
        </w:rPr>
        <w:tab/>
      </w:r>
      <w:r>
        <w:rPr>
          <w:noProof/>
        </w:rPr>
        <w:fldChar w:fldCharType="begin"/>
      </w:r>
      <w:r>
        <w:rPr>
          <w:noProof/>
        </w:rPr>
        <w:instrText xml:space="preserve"> PAGEREF _Toc201829392 \h </w:instrText>
      </w:r>
      <w:r>
        <w:rPr>
          <w:noProof/>
        </w:rPr>
      </w:r>
      <w:r>
        <w:rPr>
          <w:noProof/>
        </w:rPr>
        <w:fldChar w:fldCharType="separate"/>
      </w:r>
      <w:r>
        <w:rPr>
          <w:noProof/>
        </w:rPr>
        <w:t>15</w:t>
      </w:r>
      <w:r>
        <w:rPr>
          <w:noProof/>
        </w:rPr>
        <w:fldChar w:fldCharType="end"/>
      </w:r>
    </w:p>
    <w:p w14:paraId="042EFB54" w14:textId="77777777" w:rsidR="00905EA4" w:rsidRDefault="00905EA4">
      <w:pPr>
        <w:pStyle w:val="TOC3"/>
        <w:tabs>
          <w:tab w:val="right" w:leader="dot" w:pos="9350"/>
        </w:tabs>
        <w:rPr>
          <w:rFonts w:asciiTheme="minorHAnsi" w:eastAsiaTheme="minorEastAsia" w:hAnsiTheme="minorHAnsi" w:cstheme="minorBidi"/>
          <w:noProof/>
          <w:lang w:eastAsia="ja-JP"/>
        </w:rPr>
      </w:pPr>
      <w:r>
        <w:rPr>
          <w:noProof/>
        </w:rPr>
        <w:t>Sample Weights</w:t>
      </w:r>
      <w:r>
        <w:rPr>
          <w:noProof/>
        </w:rPr>
        <w:tab/>
      </w:r>
      <w:r>
        <w:rPr>
          <w:noProof/>
        </w:rPr>
        <w:fldChar w:fldCharType="begin"/>
      </w:r>
      <w:r>
        <w:rPr>
          <w:noProof/>
        </w:rPr>
        <w:instrText xml:space="preserve"> PAGEREF _Toc201829393 \h </w:instrText>
      </w:r>
      <w:r>
        <w:rPr>
          <w:noProof/>
        </w:rPr>
      </w:r>
      <w:r>
        <w:rPr>
          <w:noProof/>
        </w:rPr>
        <w:fldChar w:fldCharType="separate"/>
      </w:r>
      <w:r>
        <w:rPr>
          <w:noProof/>
        </w:rPr>
        <w:t>15</w:t>
      </w:r>
      <w:r>
        <w:rPr>
          <w:noProof/>
        </w:rPr>
        <w:fldChar w:fldCharType="end"/>
      </w:r>
    </w:p>
    <w:p w14:paraId="196C7C71" w14:textId="77777777" w:rsidR="00905EA4" w:rsidRDefault="00905EA4">
      <w:pPr>
        <w:pStyle w:val="TOC2"/>
        <w:tabs>
          <w:tab w:val="right" w:leader="dot" w:pos="9350"/>
        </w:tabs>
        <w:rPr>
          <w:rFonts w:asciiTheme="minorHAnsi" w:eastAsiaTheme="minorEastAsia" w:hAnsiTheme="minorHAnsi" w:cstheme="minorBidi"/>
          <w:noProof/>
          <w:lang w:eastAsia="ja-JP"/>
        </w:rPr>
      </w:pPr>
      <w:r w:rsidRPr="00D54067">
        <w:rPr>
          <w:noProof/>
        </w:rPr>
        <w:t>In columns 5-7 we report the fraction of individuals in each stratum.</w:t>
      </w:r>
      <w:r>
        <w:rPr>
          <w:noProof/>
        </w:rPr>
        <w:tab/>
      </w:r>
      <w:r>
        <w:rPr>
          <w:noProof/>
        </w:rPr>
        <w:fldChar w:fldCharType="begin"/>
      </w:r>
      <w:r>
        <w:rPr>
          <w:noProof/>
        </w:rPr>
        <w:instrText xml:space="preserve"> PAGEREF _Toc201829394 \h </w:instrText>
      </w:r>
      <w:r>
        <w:rPr>
          <w:noProof/>
        </w:rPr>
      </w:r>
      <w:r>
        <w:rPr>
          <w:noProof/>
        </w:rPr>
        <w:fldChar w:fldCharType="separate"/>
      </w:r>
      <w:r>
        <w:rPr>
          <w:noProof/>
        </w:rPr>
        <w:t>20</w:t>
      </w:r>
      <w:r>
        <w:rPr>
          <w:noProof/>
        </w:rPr>
        <w:fldChar w:fldCharType="end"/>
      </w:r>
    </w:p>
    <w:p w14:paraId="71EEBF7E"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B.6.  Individuals Consulted on Statistical Aspects and Individuals Collecting and/or Analyzing Data</w:t>
      </w:r>
      <w:r>
        <w:rPr>
          <w:noProof/>
        </w:rPr>
        <w:tab/>
      </w:r>
      <w:r>
        <w:rPr>
          <w:noProof/>
        </w:rPr>
        <w:fldChar w:fldCharType="begin"/>
      </w:r>
      <w:r>
        <w:rPr>
          <w:noProof/>
        </w:rPr>
        <w:instrText xml:space="preserve"> PAGEREF _Toc201829395 \h </w:instrText>
      </w:r>
      <w:r>
        <w:rPr>
          <w:noProof/>
        </w:rPr>
      </w:r>
      <w:r>
        <w:rPr>
          <w:noProof/>
        </w:rPr>
        <w:fldChar w:fldCharType="separate"/>
      </w:r>
      <w:r>
        <w:rPr>
          <w:noProof/>
        </w:rPr>
        <w:t>20</w:t>
      </w:r>
      <w:r>
        <w:rPr>
          <w:noProof/>
        </w:rPr>
        <w:fldChar w:fldCharType="end"/>
      </w:r>
    </w:p>
    <w:p w14:paraId="6F35276F" w14:textId="77777777" w:rsidR="00905EA4" w:rsidRDefault="00905EA4">
      <w:pPr>
        <w:pStyle w:val="TOC2"/>
        <w:tabs>
          <w:tab w:val="right" w:leader="dot" w:pos="9350"/>
        </w:tabs>
        <w:rPr>
          <w:rFonts w:asciiTheme="minorHAnsi" w:eastAsiaTheme="minorEastAsia" w:hAnsiTheme="minorHAnsi" w:cstheme="minorBidi"/>
          <w:noProof/>
          <w:lang w:eastAsia="ja-JP"/>
        </w:rPr>
      </w:pPr>
      <w:r>
        <w:rPr>
          <w:noProof/>
        </w:rPr>
        <w:t>Contact information:</w:t>
      </w:r>
      <w:r>
        <w:rPr>
          <w:noProof/>
        </w:rPr>
        <w:tab/>
      </w:r>
      <w:r>
        <w:rPr>
          <w:noProof/>
        </w:rPr>
        <w:fldChar w:fldCharType="begin"/>
      </w:r>
      <w:r>
        <w:rPr>
          <w:noProof/>
        </w:rPr>
        <w:instrText xml:space="preserve"> PAGEREF _Toc201829396 \h </w:instrText>
      </w:r>
      <w:r>
        <w:rPr>
          <w:noProof/>
        </w:rPr>
      </w:r>
      <w:r>
        <w:rPr>
          <w:noProof/>
        </w:rPr>
        <w:fldChar w:fldCharType="separate"/>
      </w:r>
      <w:r>
        <w:rPr>
          <w:noProof/>
        </w:rPr>
        <w:t>20</w:t>
      </w:r>
      <w:r>
        <w:rPr>
          <w:noProof/>
        </w:rPr>
        <w:fldChar w:fldCharType="end"/>
      </w:r>
    </w:p>
    <w:p w14:paraId="6536B77F" w14:textId="77777777" w:rsidR="00905EA4" w:rsidRDefault="00905EA4">
      <w:pPr>
        <w:pStyle w:val="TOC1"/>
        <w:rPr>
          <w:rFonts w:asciiTheme="minorHAnsi" w:eastAsiaTheme="minorEastAsia" w:hAnsiTheme="minorHAnsi" w:cstheme="minorBidi"/>
          <w:b w:val="0"/>
          <w:bCs w:val="0"/>
          <w:szCs w:val="24"/>
          <w:lang w:eastAsia="ja-JP"/>
        </w:rPr>
      </w:pPr>
      <w:r w:rsidRPr="00D54067">
        <w:rPr>
          <w:b w:val="0"/>
          <w:lang w:eastAsia="zh-CN"/>
        </w:rPr>
        <w:t>Bellemare, C., S. Kröger, and A. van Soest (2008), Measuring inequity aversion in a het</w:t>
      </w:r>
      <w:r w:rsidRPr="00D54067">
        <w:rPr>
          <w:b w:val="0"/>
          <w:bCs w:val="0"/>
        </w:rPr>
        <w:t>ero</w:t>
      </w:r>
      <w:r w:rsidRPr="00D54067">
        <w:rPr>
          <w:b w:val="0"/>
          <w:lang w:eastAsia="zh-CN"/>
        </w:rPr>
        <w:t xml:space="preserve">geneous population using experimental decisions and subjective probabilities, </w:t>
      </w:r>
      <w:r w:rsidRPr="00D54067">
        <w:rPr>
          <w:b w:val="0"/>
          <w:i/>
          <w:iCs/>
          <w:lang w:eastAsia="zh-CN"/>
        </w:rPr>
        <w:t>Econometrica,</w:t>
      </w:r>
      <w:r w:rsidRPr="00D54067">
        <w:rPr>
          <w:b w:val="0"/>
          <w:lang w:eastAsia="zh-CN"/>
        </w:rPr>
        <w:t xml:space="preserve"> 76(4), pp. 815-839.</w:t>
      </w:r>
      <w:r>
        <w:tab/>
      </w:r>
      <w:r>
        <w:fldChar w:fldCharType="begin"/>
      </w:r>
      <w:r>
        <w:instrText xml:space="preserve"> PAGEREF _Toc201829397 \h </w:instrText>
      </w:r>
      <w:r>
        <w:fldChar w:fldCharType="separate"/>
      </w:r>
      <w:r>
        <w:t>21</w:t>
      </w:r>
      <w:r>
        <w:fldChar w:fldCharType="end"/>
      </w:r>
    </w:p>
    <w:p w14:paraId="6C022A9F" w14:textId="77777777" w:rsidR="00855ABA" w:rsidRPr="00A01DEC" w:rsidRDefault="00BE74F8">
      <w:pPr>
        <w:rPr>
          <w:sz w:val="22"/>
          <w:szCs w:val="22"/>
        </w:rPr>
      </w:pPr>
      <w:r w:rsidRPr="00A01DEC">
        <w:rPr>
          <w:sz w:val="22"/>
          <w:szCs w:val="22"/>
        </w:rPr>
        <w:fldChar w:fldCharType="end"/>
      </w:r>
    </w:p>
    <w:p w14:paraId="2A2A0A94" w14:textId="77777777" w:rsidR="00855ABA" w:rsidRPr="00A01DEC" w:rsidRDefault="00855ABA">
      <w:pPr>
        <w:tabs>
          <w:tab w:val="center" w:pos="4680"/>
        </w:tabs>
        <w:jc w:val="center"/>
        <w:rPr>
          <w:b/>
          <w:bCs/>
          <w:sz w:val="22"/>
          <w:szCs w:val="22"/>
        </w:rPr>
      </w:pPr>
      <w:r w:rsidRPr="00A01DEC">
        <w:rPr>
          <w:b/>
          <w:bCs/>
          <w:sz w:val="22"/>
          <w:szCs w:val="22"/>
        </w:rPr>
        <w:br w:type="page"/>
      </w:r>
    </w:p>
    <w:p w14:paraId="29E48A23" w14:textId="77777777" w:rsidR="00855ABA" w:rsidRPr="00A01DEC" w:rsidRDefault="00855ABA" w:rsidP="00A87B48">
      <w:pPr>
        <w:pStyle w:val="Heading1"/>
        <w:rPr>
          <w:sz w:val="22"/>
          <w:szCs w:val="22"/>
        </w:rPr>
      </w:pPr>
      <w:bookmarkStart w:id="0" w:name="_Toc201829376"/>
      <w:r w:rsidRPr="00A01DEC">
        <w:rPr>
          <w:sz w:val="22"/>
          <w:szCs w:val="22"/>
        </w:rPr>
        <w:lastRenderedPageBreak/>
        <w:t>B.</w:t>
      </w:r>
      <w:r w:rsidRPr="00A01DEC">
        <w:rPr>
          <w:sz w:val="22"/>
          <w:szCs w:val="22"/>
        </w:rPr>
        <w:tab/>
        <w:t>Collection of Information Employing Statistical Methods</w:t>
      </w:r>
      <w:bookmarkEnd w:id="0"/>
      <w:r w:rsidRPr="00A01DEC">
        <w:rPr>
          <w:sz w:val="22"/>
          <w:szCs w:val="22"/>
        </w:rPr>
        <w:t xml:space="preserve"> </w:t>
      </w:r>
    </w:p>
    <w:p w14:paraId="3F94274C" w14:textId="77777777" w:rsidR="00855ABA" w:rsidRPr="00A01DEC" w:rsidRDefault="00BB3586" w:rsidP="00BB3586">
      <w:pPr>
        <w:pStyle w:val="Heading2"/>
        <w:rPr>
          <w:sz w:val="22"/>
          <w:szCs w:val="22"/>
        </w:rPr>
      </w:pPr>
      <w:bookmarkStart w:id="1" w:name="_Toc201829377"/>
      <w:r w:rsidRPr="00A01DEC">
        <w:rPr>
          <w:sz w:val="22"/>
          <w:szCs w:val="22"/>
        </w:rPr>
        <w:t xml:space="preserve">B.1.  </w:t>
      </w:r>
      <w:r w:rsidR="00855ABA" w:rsidRPr="00A01DEC">
        <w:rPr>
          <w:sz w:val="22"/>
          <w:szCs w:val="22"/>
        </w:rPr>
        <w:t>Respondent universe and sampling methods</w:t>
      </w:r>
      <w:bookmarkEnd w:id="1"/>
    </w:p>
    <w:p w14:paraId="31B46C7F" w14:textId="7E3A2CD7" w:rsidR="00855ABA" w:rsidRPr="00A01DEC" w:rsidRDefault="00855ABA" w:rsidP="00D606F3">
      <w:pPr>
        <w:jc w:val="both"/>
        <w:rPr>
          <w:sz w:val="22"/>
          <w:szCs w:val="22"/>
        </w:rPr>
      </w:pPr>
      <w:bookmarkStart w:id="2" w:name="_Toc282521289"/>
      <w:r w:rsidRPr="00A01DEC">
        <w:rPr>
          <w:sz w:val="22"/>
          <w:szCs w:val="22"/>
        </w:rPr>
        <w:t xml:space="preserve">This study will collect information through </w:t>
      </w:r>
      <w:r w:rsidR="004D5817" w:rsidRPr="00A01DEC">
        <w:rPr>
          <w:sz w:val="22"/>
          <w:szCs w:val="22"/>
        </w:rPr>
        <w:t>a household survey</w:t>
      </w:r>
      <w:r w:rsidR="00F51576">
        <w:rPr>
          <w:sz w:val="22"/>
          <w:szCs w:val="22"/>
        </w:rPr>
        <w:t xml:space="preserve"> and a choice experiment</w:t>
      </w:r>
      <w:r w:rsidR="00F647F5">
        <w:rPr>
          <w:sz w:val="22"/>
          <w:szCs w:val="22"/>
        </w:rPr>
        <w:t xml:space="preserve">.  We will pretest the survey </w:t>
      </w:r>
      <w:r w:rsidR="00FC1911">
        <w:rPr>
          <w:sz w:val="22"/>
          <w:szCs w:val="22"/>
        </w:rPr>
        <w:t xml:space="preserve">through </w:t>
      </w:r>
      <w:r w:rsidR="00F647F5">
        <w:rPr>
          <w:sz w:val="22"/>
          <w:szCs w:val="22"/>
        </w:rPr>
        <w:t xml:space="preserve">four </w:t>
      </w:r>
      <w:r w:rsidR="00FC1911">
        <w:rPr>
          <w:sz w:val="22"/>
          <w:szCs w:val="22"/>
        </w:rPr>
        <w:t>focus groups.  The household survey will use</w:t>
      </w:r>
      <w:r w:rsidR="004D5817" w:rsidRPr="00A01DEC">
        <w:rPr>
          <w:sz w:val="22"/>
          <w:szCs w:val="22"/>
        </w:rPr>
        <w:t xml:space="preserve"> </w:t>
      </w:r>
      <w:r w:rsidR="000E0FC3" w:rsidRPr="00A01DEC">
        <w:rPr>
          <w:sz w:val="22"/>
          <w:szCs w:val="22"/>
        </w:rPr>
        <w:t>the American Life Panel</w:t>
      </w:r>
      <w:r w:rsidR="00DD5B0D" w:rsidRPr="00A01DEC">
        <w:rPr>
          <w:sz w:val="22"/>
          <w:szCs w:val="22"/>
        </w:rPr>
        <w:t xml:space="preserve"> (ALP)</w:t>
      </w:r>
      <w:r w:rsidR="000E0FC3" w:rsidRPr="00A01DEC">
        <w:rPr>
          <w:sz w:val="22"/>
          <w:szCs w:val="22"/>
        </w:rPr>
        <w:t>, an internet panel of individuals aged 18 and over</w:t>
      </w:r>
      <w:r w:rsidRPr="00A01DEC">
        <w:rPr>
          <w:sz w:val="22"/>
          <w:szCs w:val="22"/>
        </w:rPr>
        <w:t xml:space="preserve">. The </w:t>
      </w:r>
      <w:r w:rsidR="00535BA4" w:rsidRPr="00A01DEC">
        <w:rPr>
          <w:sz w:val="22"/>
          <w:szCs w:val="22"/>
        </w:rPr>
        <w:t xml:space="preserve">ALP </w:t>
      </w:r>
      <w:r w:rsidRPr="00A01DEC">
        <w:rPr>
          <w:sz w:val="22"/>
          <w:szCs w:val="22"/>
        </w:rPr>
        <w:t>respondent universe and sampling methods are described as below.</w:t>
      </w:r>
    </w:p>
    <w:p w14:paraId="71B30E76" w14:textId="77777777" w:rsidR="00615D4E" w:rsidRPr="00A01DEC" w:rsidRDefault="00615D4E" w:rsidP="00615D4E">
      <w:pPr>
        <w:rPr>
          <w:sz w:val="22"/>
          <w:szCs w:val="22"/>
        </w:rPr>
      </w:pPr>
    </w:p>
    <w:p w14:paraId="7D3ECC42" w14:textId="77777777" w:rsidR="00615D4E" w:rsidRDefault="00DD5B0D" w:rsidP="00E041C7">
      <w:pPr>
        <w:jc w:val="both"/>
        <w:rPr>
          <w:rFonts w:eastAsia="Calibri"/>
          <w:sz w:val="22"/>
          <w:szCs w:val="22"/>
        </w:rPr>
      </w:pPr>
      <w:r w:rsidRPr="00A01DEC">
        <w:rPr>
          <w:rFonts w:eastAsia="Calibri"/>
          <w:sz w:val="22"/>
          <w:szCs w:val="22"/>
        </w:rPr>
        <w:t>Individuals who are currently members of the ALP have been recruited since 2002</w:t>
      </w:r>
      <w:r w:rsidR="002D2100" w:rsidRPr="00A01DEC">
        <w:rPr>
          <w:rFonts w:eastAsia="Calibri"/>
          <w:sz w:val="22"/>
          <w:szCs w:val="22"/>
        </w:rPr>
        <w:t xml:space="preserve">. Initially, they were recruited for a project that started in 2003, which compared internet interviewing with telephone interviewing (CATI). </w:t>
      </w:r>
      <w:r w:rsidR="00615D4E" w:rsidRPr="00A01DEC">
        <w:rPr>
          <w:rFonts w:eastAsia="Calibri"/>
          <w:sz w:val="22"/>
          <w:szCs w:val="22"/>
        </w:rPr>
        <w:t xml:space="preserve">The ALP as it operates in its current form started in the beginning of 2006. At that point in time the first </w:t>
      </w:r>
      <w:r w:rsidR="00EF5A9F" w:rsidRPr="00A01DEC">
        <w:rPr>
          <w:rFonts w:eastAsia="Calibri"/>
          <w:i/>
          <w:sz w:val="22"/>
          <w:szCs w:val="22"/>
        </w:rPr>
        <w:t>household information survey</w:t>
      </w:r>
      <w:r w:rsidR="00615D4E" w:rsidRPr="00A01DEC">
        <w:rPr>
          <w:rFonts w:eastAsia="Calibri"/>
          <w:sz w:val="22"/>
          <w:szCs w:val="22"/>
        </w:rPr>
        <w:t xml:space="preserve"> was conducted, asking the panel respondents a wide range of demographic questions on a quarterly basis (as is still the case today). This first household information survey was modeled after the demographic questions asked at that time within the Current Population Survey (which is conducted by the U.S. Census </w:t>
      </w:r>
      <w:r w:rsidR="002D2100" w:rsidRPr="00A01DEC">
        <w:rPr>
          <w:rFonts w:eastAsia="Calibri"/>
          <w:sz w:val="22"/>
          <w:szCs w:val="22"/>
        </w:rPr>
        <w:t xml:space="preserve">Bureau </w:t>
      </w:r>
      <w:r w:rsidR="00615D4E" w:rsidRPr="00A01DEC">
        <w:rPr>
          <w:rFonts w:eastAsia="Calibri"/>
          <w:sz w:val="22"/>
          <w:szCs w:val="22"/>
        </w:rPr>
        <w:t xml:space="preserve">for the U.S. Bureau of Labor Statistics). This close alignment allows for extrapolation of analysis results of data collected within the American Life Panel to the U.S. population at large. </w:t>
      </w:r>
    </w:p>
    <w:p w14:paraId="3862ABCD" w14:textId="77777777" w:rsidR="00F647F5" w:rsidRDefault="00F647F5" w:rsidP="00E041C7">
      <w:pPr>
        <w:jc w:val="both"/>
        <w:rPr>
          <w:rFonts w:eastAsia="Calibri"/>
          <w:sz w:val="22"/>
          <w:szCs w:val="22"/>
        </w:rPr>
      </w:pPr>
    </w:p>
    <w:p w14:paraId="14A82ED9" w14:textId="25A693A8" w:rsidR="00F647F5" w:rsidRPr="00A01DEC" w:rsidRDefault="00F647F5" w:rsidP="00E041C7">
      <w:pPr>
        <w:jc w:val="both"/>
        <w:rPr>
          <w:rFonts w:eastAsia="Calibri"/>
          <w:sz w:val="22"/>
          <w:szCs w:val="22"/>
        </w:rPr>
      </w:pPr>
      <w:r>
        <w:rPr>
          <w:rFonts w:eastAsia="Calibri"/>
          <w:sz w:val="22"/>
          <w:szCs w:val="22"/>
        </w:rPr>
        <w:t>The focus groups are not meant to be statistically significant</w:t>
      </w:r>
      <w:r w:rsidR="00F51576">
        <w:rPr>
          <w:rFonts w:eastAsia="Calibri"/>
          <w:sz w:val="22"/>
          <w:szCs w:val="22"/>
        </w:rPr>
        <w:t xml:space="preserve"> </w:t>
      </w:r>
      <w:r w:rsidR="00905EA4">
        <w:rPr>
          <w:rFonts w:eastAsia="Calibri"/>
          <w:sz w:val="22"/>
          <w:szCs w:val="22"/>
        </w:rPr>
        <w:t xml:space="preserve">but </w:t>
      </w:r>
      <w:r w:rsidR="00F51576">
        <w:rPr>
          <w:rFonts w:eastAsia="Calibri"/>
          <w:sz w:val="22"/>
          <w:szCs w:val="22"/>
        </w:rPr>
        <w:t xml:space="preserve">rather will provide researchers </w:t>
      </w:r>
      <w:r w:rsidR="0019690A">
        <w:rPr>
          <w:rFonts w:eastAsia="Calibri"/>
          <w:sz w:val="22"/>
          <w:szCs w:val="22"/>
        </w:rPr>
        <w:t>qualitative information about how well the concepts and sample benefits statements in relation to employee sponsored benefit plans are understood.  It allows us to probe why concepts may be misunderstood and whether or not the terminology used as well as the structure of the questions are appropriate for the audience.</w:t>
      </w:r>
      <w:bookmarkStart w:id="3" w:name="_GoBack"/>
      <w:bookmarkEnd w:id="3"/>
    </w:p>
    <w:p w14:paraId="6D2F08DE" w14:textId="77777777" w:rsidR="00855ABA" w:rsidRPr="008A3E4E" w:rsidRDefault="00855ABA" w:rsidP="00E041C7">
      <w:pPr>
        <w:pStyle w:val="Heading3"/>
        <w:ind w:left="0"/>
        <w:rPr>
          <w:sz w:val="22"/>
          <w:szCs w:val="22"/>
        </w:rPr>
      </w:pPr>
      <w:bookmarkStart w:id="4" w:name="_Toc201829378"/>
      <w:proofErr w:type="gramStart"/>
      <w:r w:rsidRPr="00A01DEC">
        <w:rPr>
          <w:sz w:val="22"/>
          <w:szCs w:val="22"/>
        </w:rPr>
        <w:t xml:space="preserve">B.1.a </w:t>
      </w:r>
      <w:r w:rsidR="00BB3586" w:rsidRPr="00A01DEC">
        <w:rPr>
          <w:sz w:val="22"/>
          <w:szCs w:val="22"/>
        </w:rPr>
        <w:t xml:space="preserve"> </w:t>
      </w:r>
      <w:r w:rsidR="004D5817" w:rsidRPr="00A01DEC">
        <w:rPr>
          <w:sz w:val="22"/>
          <w:szCs w:val="22"/>
        </w:rPr>
        <w:t>Household</w:t>
      </w:r>
      <w:proofErr w:type="gramEnd"/>
      <w:r w:rsidR="004D5817" w:rsidRPr="00A01DEC">
        <w:rPr>
          <w:sz w:val="22"/>
          <w:szCs w:val="22"/>
        </w:rPr>
        <w:t xml:space="preserve"> survey</w:t>
      </w:r>
      <w:r w:rsidRPr="00A01DEC">
        <w:rPr>
          <w:sz w:val="22"/>
          <w:szCs w:val="22"/>
        </w:rPr>
        <w:t xml:space="preserve"> </w:t>
      </w:r>
      <w:bookmarkEnd w:id="2"/>
      <w:r w:rsidRPr="00A01DEC">
        <w:rPr>
          <w:sz w:val="22"/>
          <w:szCs w:val="22"/>
        </w:rPr>
        <w:t>sampling approach</w:t>
      </w:r>
      <w:bookmarkEnd w:id="4"/>
    </w:p>
    <w:p w14:paraId="40742775" w14:textId="77777777" w:rsidR="006B180D" w:rsidRPr="008A3E4E" w:rsidRDefault="006B180D" w:rsidP="006B180D">
      <w:pPr>
        <w:rPr>
          <w:sz w:val="22"/>
          <w:szCs w:val="22"/>
        </w:rPr>
      </w:pPr>
      <w:bookmarkStart w:id="5" w:name="_Toc282511366"/>
      <w:bookmarkStart w:id="6" w:name="_Toc282521290"/>
    </w:p>
    <w:p w14:paraId="431A8241" w14:textId="77777777" w:rsidR="00615D4E" w:rsidRPr="00A01DEC" w:rsidRDefault="00BE74F8" w:rsidP="00A01DEC">
      <w:pPr>
        <w:jc w:val="both"/>
        <w:rPr>
          <w:sz w:val="22"/>
          <w:szCs w:val="22"/>
        </w:rPr>
      </w:pPr>
      <w:r w:rsidRPr="00BE74F8">
        <w:rPr>
          <w:sz w:val="22"/>
          <w:szCs w:val="22"/>
        </w:rPr>
        <w:t xml:space="preserve">Since its start in 2003, the American Life Panel has expanded significantly and currently comprises approximately 4500 active individuals from U.S. households who have filled out the household information survey at least once during the past year (see </w:t>
      </w:r>
      <w:hyperlink r:id="rId11" w:tooltip="Panel Attrition And Response Rates" w:history="1">
        <w:r w:rsidR="00D606F3" w:rsidRPr="00A01DEC">
          <w:rPr>
            <w:rStyle w:val="Hyperlink"/>
            <w:rFonts w:eastAsiaTheme="majorEastAsia"/>
            <w:sz w:val="22"/>
            <w:szCs w:val="22"/>
          </w:rPr>
          <w:t>section B.3.a.</w:t>
        </w:r>
      </w:hyperlink>
      <w:r w:rsidR="00615D4E" w:rsidRPr="00A01DEC">
        <w:rPr>
          <w:sz w:val="22"/>
          <w:szCs w:val="22"/>
        </w:rPr>
        <w:t xml:space="preserve"> below for details). Participants in the ALP are recruited from survey programs that collect representative samples of U.S. consumers. Several cohorts can be distinguished based on their source and/or type of recruitment: </w:t>
      </w:r>
    </w:p>
    <w:p w14:paraId="6B03CDC7" w14:textId="77777777" w:rsidR="00615D4E" w:rsidRPr="00A01DEC"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University of Michigan internet panel cohort</w:t>
      </w:r>
    </w:p>
    <w:p w14:paraId="55ABD5A4" w14:textId="77777777" w:rsidR="00FC1911"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University of Michigan phone panel cohort</w:t>
      </w:r>
    </w:p>
    <w:p w14:paraId="0BFA4727" w14:textId="3C2FE738" w:rsidR="00615D4E" w:rsidRPr="00A01DEC"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Snowball cohort</w:t>
      </w:r>
    </w:p>
    <w:p w14:paraId="1B886063" w14:textId="77777777" w:rsidR="0025753F" w:rsidRPr="00A01DEC" w:rsidRDefault="0025753F" w:rsidP="0025753F">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Stanford panel cohort</w:t>
      </w:r>
    </w:p>
    <w:p w14:paraId="59E678CD" w14:textId="77777777" w:rsidR="00615D4E" w:rsidRPr="00A01DEC"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Mailing cohort</w:t>
      </w:r>
    </w:p>
    <w:p w14:paraId="79B52B35" w14:textId="77777777" w:rsidR="00615D4E" w:rsidRPr="00A01DEC"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Phone cohort</w:t>
      </w:r>
    </w:p>
    <w:p w14:paraId="36478F2F" w14:textId="77777777" w:rsidR="00615D4E" w:rsidRPr="00A01DEC"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Vulnerable population cohort (active recruitment)</w:t>
      </w:r>
    </w:p>
    <w:p w14:paraId="724CCC85" w14:textId="77777777" w:rsidR="00615D4E" w:rsidRPr="00A01DEC" w:rsidRDefault="00615D4E" w:rsidP="00615D4E">
      <w:pPr>
        <w:widowControl/>
        <w:numPr>
          <w:ilvl w:val="0"/>
          <w:numId w:val="35"/>
        </w:numPr>
        <w:autoSpaceDE/>
        <w:autoSpaceDN/>
        <w:adjustRightInd/>
        <w:spacing w:before="100" w:beforeAutospacing="1" w:after="100" w:afterAutospacing="1" w:line="276" w:lineRule="auto"/>
        <w:jc w:val="both"/>
        <w:rPr>
          <w:sz w:val="22"/>
          <w:szCs w:val="22"/>
        </w:rPr>
      </w:pPr>
      <w:r w:rsidRPr="00A01DEC">
        <w:rPr>
          <w:sz w:val="22"/>
          <w:szCs w:val="22"/>
        </w:rPr>
        <w:t>Respondent driven sampling (RDS) cohort (active recruitment)</w:t>
      </w:r>
    </w:p>
    <w:p w14:paraId="074F1157" w14:textId="77777777" w:rsidR="00615D4E" w:rsidRPr="00A01DEC" w:rsidRDefault="00615D4E" w:rsidP="00615D4E">
      <w:pPr>
        <w:pStyle w:val="NormalWeb"/>
        <w:spacing w:line="276" w:lineRule="auto"/>
        <w:jc w:val="both"/>
        <w:rPr>
          <w:sz w:val="22"/>
          <w:szCs w:val="22"/>
        </w:rPr>
      </w:pPr>
      <w:r w:rsidRPr="00A01DEC">
        <w:rPr>
          <w:sz w:val="22"/>
          <w:szCs w:val="22"/>
        </w:rPr>
        <w:t xml:space="preserve">The cohort to which a respondent belongs is indicated by the </w:t>
      </w:r>
      <w:proofErr w:type="spellStart"/>
      <w:r w:rsidRPr="00A01DEC">
        <w:rPr>
          <w:b/>
          <w:bCs/>
          <w:sz w:val="22"/>
          <w:szCs w:val="22"/>
        </w:rPr>
        <w:t>recruitment_type</w:t>
      </w:r>
      <w:proofErr w:type="spellEnd"/>
      <w:r w:rsidRPr="00A01DEC">
        <w:rPr>
          <w:sz w:val="22"/>
          <w:szCs w:val="22"/>
        </w:rPr>
        <w:t xml:space="preserve"> variable, which is provided for each respondent. The specific category labels are (listed in order of appearance as above): </w:t>
      </w:r>
    </w:p>
    <w:p w14:paraId="7F58F65E"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0 MS Internet</w:t>
      </w:r>
    </w:p>
    <w:p w14:paraId="12F06418"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1 MS CATI</w:t>
      </w:r>
    </w:p>
    <w:p w14:paraId="2B3CAE95"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2 Snowballs</w:t>
      </w:r>
    </w:p>
    <w:p w14:paraId="52025701"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lastRenderedPageBreak/>
        <w:t>3 National Survey Project</w:t>
      </w:r>
    </w:p>
    <w:p w14:paraId="3ED0A924"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6 Mailing Experiment</w:t>
      </w:r>
    </w:p>
    <w:p w14:paraId="65F59382"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7 Phone Experiment</w:t>
      </w:r>
    </w:p>
    <w:p w14:paraId="1928BC5E"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8 Vulnerable Population</w:t>
      </w:r>
    </w:p>
    <w:p w14:paraId="4ACF2954" w14:textId="77777777" w:rsidR="00615D4E" w:rsidRPr="00A01DEC" w:rsidRDefault="00615D4E" w:rsidP="00615D4E">
      <w:pPr>
        <w:widowControl/>
        <w:numPr>
          <w:ilvl w:val="0"/>
          <w:numId w:val="36"/>
        </w:numPr>
        <w:autoSpaceDE/>
        <w:autoSpaceDN/>
        <w:adjustRightInd/>
        <w:spacing w:before="100" w:beforeAutospacing="1" w:after="100" w:afterAutospacing="1" w:line="276" w:lineRule="auto"/>
        <w:jc w:val="both"/>
        <w:rPr>
          <w:sz w:val="22"/>
          <w:szCs w:val="22"/>
        </w:rPr>
      </w:pPr>
      <w:r w:rsidRPr="00A01DEC">
        <w:rPr>
          <w:sz w:val="22"/>
          <w:szCs w:val="22"/>
        </w:rPr>
        <w:t>9 RDS</w:t>
      </w:r>
    </w:p>
    <w:p w14:paraId="08716ACA" w14:textId="77777777" w:rsidR="00615D4E" w:rsidRPr="00A01DEC" w:rsidRDefault="00615D4E" w:rsidP="00615D4E">
      <w:pPr>
        <w:pStyle w:val="NormalWeb"/>
        <w:spacing w:line="276" w:lineRule="auto"/>
        <w:jc w:val="both"/>
        <w:rPr>
          <w:sz w:val="22"/>
          <w:szCs w:val="22"/>
        </w:rPr>
      </w:pPr>
      <w:r w:rsidRPr="00A01DEC">
        <w:rPr>
          <w:sz w:val="22"/>
          <w:szCs w:val="22"/>
        </w:rPr>
        <w:t xml:space="preserve">In addition to the directly sampled panel members, the ALP also invites (adult) household members of the sampled panel members to join, thus allowing intra-household comparisons. These panel members are identifiable in the data as their identifier will end in a numeric value greater than 1 (e.g. identifier 10017494:2) in the data. However, this part of the ALP is currently relatively small, with less than 10% of the households having more than one panel member. For this reason the ALP cannot be used as a proper household survey panel and should be considered primarily a panel of individuals. </w:t>
      </w:r>
      <w:r w:rsidR="00EA031F" w:rsidRPr="00A01DEC">
        <w:rPr>
          <w:sz w:val="22"/>
          <w:szCs w:val="22"/>
        </w:rPr>
        <w:t>The current study will only use original members from the large probability sample cohorts (MS Internet and MS CATI, National Survey Project, and Vulnerable Population) and not use the additional household members.</w:t>
      </w:r>
    </w:p>
    <w:p w14:paraId="021A70BF" w14:textId="77777777" w:rsidR="00615D4E" w:rsidRPr="00A01DEC" w:rsidRDefault="00615D4E" w:rsidP="00E041C7">
      <w:pPr>
        <w:pStyle w:val="Heading3"/>
        <w:ind w:left="0"/>
        <w:jc w:val="both"/>
        <w:rPr>
          <w:sz w:val="22"/>
          <w:szCs w:val="22"/>
        </w:rPr>
      </w:pPr>
      <w:bookmarkStart w:id="7" w:name="_Toc308503613"/>
      <w:bookmarkStart w:id="8" w:name="_Toc201829379"/>
      <w:bookmarkStart w:id="9" w:name="University_of_Michigan_Internet_Panel_Co"/>
      <w:r w:rsidRPr="00A01DEC">
        <w:rPr>
          <w:sz w:val="22"/>
          <w:szCs w:val="22"/>
        </w:rPr>
        <w:t>University of Michigan Internet Panel Cohort</w:t>
      </w:r>
      <w:bookmarkEnd w:id="7"/>
      <w:bookmarkEnd w:id="8"/>
      <w:r w:rsidRPr="00A01DEC">
        <w:rPr>
          <w:sz w:val="22"/>
          <w:szCs w:val="22"/>
        </w:rPr>
        <w:t xml:space="preserve"> </w:t>
      </w:r>
    </w:p>
    <w:p w14:paraId="4B640D0D" w14:textId="77777777" w:rsidR="00810502" w:rsidRPr="00A01DEC" w:rsidRDefault="00615D4E" w:rsidP="00615D4E">
      <w:pPr>
        <w:pStyle w:val="NormalWeb"/>
        <w:spacing w:before="0" w:beforeAutospacing="0" w:line="276" w:lineRule="auto"/>
        <w:jc w:val="both"/>
        <w:rPr>
          <w:sz w:val="22"/>
          <w:szCs w:val="22"/>
        </w:rPr>
      </w:pPr>
      <w:r w:rsidRPr="00A01DEC">
        <w:rPr>
          <w:sz w:val="22"/>
          <w:szCs w:val="22"/>
        </w:rPr>
        <w:t xml:space="preserve">The first </w:t>
      </w:r>
      <w:proofErr w:type="gramStart"/>
      <w:r w:rsidRPr="00A01DEC">
        <w:rPr>
          <w:sz w:val="22"/>
          <w:szCs w:val="22"/>
        </w:rPr>
        <w:t>cohort of participants in the ALP, the Michigan cohort, are</w:t>
      </w:r>
      <w:proofErr w:type="gramEnd"/>
      <w:r w:rsidRPr="00A01DEC">
        <w:rPr>
          <w:sz w:val="22"/>
          <w:szCs w:val="22"/>
        </w:rPr>
        <w:t xml:space="preserve"> respondents who were recruited from among individuals ages 18 years and older who had responded to the Monthly Survey (MS) of the University of Michigan's Survey Research Center (SRC). The MS is the leading consumer sentiments survey that incorporates the long-standing Survey of Consumer Attitudes (SCA) and produces, among others, the widely used Index of Consumer Expectations. </w:t>
      </w:r>
    </w:p>
    <w:p w14:paraId="5855985F" w14:textId="77777777" w:rsidR="00615D4E" w:rsidRPr="00A01DEC" w:rsidRDefault="00810502" w:rsidP="00615D4E">
      <w:pPr>
        <w:pStyle w:val="NormalWeb"/>
        <w:spacing w:before="0" w:beforeAutospacing="0" w:line="276" w:lineRule="auto"/>
        <w:jc w:val="both"/>
        <w:rPr>
          <w:sz w:val="22"/>
          <w:szCs w:val="22"/>
        </w:rPr>
      </w:pPr>
      <w:r w:rsidRPr="00A01DEC">
        <w:rPr>
          <w:sz w:val="22"/>
          <w:szCs w:val="22"/>
        </w:rPr>
        <w:t xml:space="preserve">The sampling design of the </w:t>
      </w:r>
      <w:r w:rsidR="004122BB" w:rsidRPr="00A01DEC">
        <w:rPr>
          <w:sz w:val="22"/>
          <w:szCs w:val="22"/>
        </w:rPr>
        <w:t xml:space="preserve">MS is described in detail by Curtin (2002). The MS is conducted monthly. It uses a list of "hundred series" (i.e., the first eight digits of a phone number) that contains at least one </w:t>
      </w:r>
      <w:r w:rsidR="003C2710" w:rsidRPr="00A01DEC">
        <w:rPr>
          <w:sz w:val="22"/>
          <w:szCs w:val="22"/>
        </w:rPr>
        <w:t xml:space="preserve">listed </w:t>
      </w:r>
      <w:r w:rsidR="004122BB" w:rsidRPr="00A01DEC">
        <w:rPr>
          <w:sz w:val="22"/>
          <w:szCs w:val="22"/>
        </w:rPr>
        <w:t xml:space="preserve">residential landline phone number. This list is not older than six months. Phone numbers are </w:t>
      </w:r>
      <w:r w:rsidR="003C2710" w:rsidRPr="00A01DEC">
        <w:rPr>
          <w:sz w:val="22"/>
          <w:szCs w:val="22"/>
        </w:rPr>
        <w:t xml:space="preserve">then generated by </w:t>
      </w:r>
      <w:r w:rsidR="004122BB" w:rsidRPr="00A01DEC">
        <w:rPr>
          <w:sz w:val="22"/>
          <w:szCs w:val="22"/>
        </w:rPr>
        <w:t xml:space="preserve">randomly </w:t>
      </w:r>
      <w:r w:rsidR="003C2710" w:rsidRPr="00A01DEC">
        <w:rPr>
          <w:sz w:val="22"/>
          <w:szCs w:val="22"/>
        </w:rPr>
        <w:t>adding the last two digits</w:t>
      </w:r>
      <w:r w:rsidR="004122BB" w:rsidRPr="00A01DEC">
        <w:rPr>
          <w:sz w:val="22"/>
          <w:szCs w:val="22"/>
        </w:rPr>
        <w:t xml:space="preserve">, resulting in a random digit dialing (RDD) sample. </w:t>
      </w:r>
      <w:r w:rsidR="00615D4E" w:rsidRPr="00A01DEC">
        <w:rPr>
          <w:sz w:val="22"/>
          <w:szCs w:val="22"/>
        </w:rPr>
        <w:t xml:space="preserve">Each month, </w:t>
      </w:r>
      <w:r w:rsidR="003C2710" w:rsidRPr="00A01DEC">
        <w:rPr>
          <w:sz w:val="22"/>
          <w:szCs w:val="22"/>
        </w:rPr>
        <w:t xml:space="preserve">approximately </w:t>
      </w:r>
      <w:r w:rsidR="00615D4E" w:rsidRPr="00A01DEC">
        <w:rPr>
          <w:sz w:val="22"/>
          <w:szCs w:val="22"/>
        </w:rPr>
        <w:t xml:space="preserve">300 households </w:t>
      </w:r>
      <w:r w:rsidR="003C2710" w:rsidRPr="00A01DEC">
        <w:rPr>
          <w:sz w:val="22"/>
          <w:szCs w:val="22"/>
        </w:rPr>
        <w:t>thus obtained are interviewed. Additionally, each month</w:t>
      </w:r>
      <w:r w:rsidR="00615D4E" w:rsidRPr="00A01DEC">
        <w:rPr>
          <w:sz w:val="22"/>
          <w:szCs w:val="22"/>
        </w:rPr>
        <w:t xml:space="preserve"> 200 </w:t>
      </w:r>
      <w:r w:rsidR="003C2710" w:rsidRPr="00A01DEC">
        <w:rPr>
          <w:sz w:val="22"/>
          <w:szCs w:val="22"/>
        </w:rPr>
        <w:t xml:space="preserve">individuals </w:t>
      </w:r>
      <w:r w:rsidR="00615D4E" w:rsidRPr="00A01DEC">
        <w:rPr>
          <w:sz w:val="22"/>
          <w:szCs w:val="22"/>
        </w:rPr>
        <w:t xml:space="preserve">are re-interviewed from the RDD sample surveyed six months previously. </w:t>
      </w:r>
      <w:r w:rsidR="003C2710" w:rsidRPr="00A01DEC">
        <w:rPr>
          <w:sz w:val="22"/>
          <w:szCs w:val="22"/>
        </w:rPr>
        <w:t>The RDD procedure uses stratification by Census Division by MSA/non-MSA status and results in a stratified one-stage equal probability sample of telephone numbers in the 48 coterminous states and the District of Columbia. Within each household, one adult (18+) member is then selected using probability methods</w:t>
      </w:r>
      <w:r w:rsidR="004019D9" w:rsidRPr="00A01DEC">
        <w:rPr>
          <w:sz w:val="22"/>
          <w:szCs w:val="22"/>
        </w:rPr>
        <w:t>.</w:t>
      </w:r>
    </w:p>
    <w:p w14:paraId="66C34D86" w14:textId="77777777" w:rsidR="00615D4E" w:rsidRPr="00A01DEC" w:rsidRDefault="00615D4E" w:rsidP="00615D4E">
      <w:pPr>
        <w:pStyle w:val="NormalWeb"/>
        <w:spacing w:line="276" w:lineRule="auto"/>
        <w:jc w:val="both"/>
        <w:rPr>
          <w:sz w:val="22"/>
          <w:szCs w:val="22"/>
        </w:rPr>
      </w:pPr>
      <w:r w:rsidRPr="00A01DEC">
        <w:rPr>
          <w:sz w:val="22"/>
          <w:szCs w:val="22"/>
        </w:rPr>
        <w:t xml:space="preserve">SRC screened MS respondents. </w:t>
      </w:r>
      <w:r w:rsidR="004019D9" w:rsidRPr="00A01DEC">
        <w:rPr>
          <w:sz w:val="22"/>
          <w:szCs w:val="22"/>
        </w:rPr>
        <w:t xml:space="preserve">At the end of the second interview, </w:t>
      </w:r>
      <w:r w:rsidRPr="00A01DEC">
        <w:rPr>
          <w:sz w:val="22"/>
          <w:szCs w:val="22"/>
        </w:rPr>
        <w:t xml:space="preserve">respondents were told that the University of Michigan was undertaking a joint project with RAND. They were asked if they would object to SRC sharing their information about them with RAND so that they could be contacted later and asked if they would be willing to actually participate in an Internet survey. Respondents who did not have Internet were told that RAND would provide them with free Internet. This attempt included the mention of the fact that participation in follow-up research carries a reward of $20 for each half-hour interview. </w:t>
      </w:r>
    </w:p>
    <w:p w14:paraId="6D8205CA" w14:textId="77777777" w:rsidR="00615D4E" w:rsidRPr="00A01DEC" w:rsidRDefault="00C957B6" w:rsidP="00C957B6">
      <w:pPr>
        <w:pStyle w:val="NormalWeb"/>
        <w:spacing w:line="276" w:lineRule="auto"/>
        <w:jc w:val="both"/>
        <w:rPr>
          <w:sz w:val="22"/>
          <w:szCs w:val="22"/>
        </w:rPr>
      </w:pPr>
      <w:r w:rsidRPr="00A01DEC">
        <w:rPr>
          <w:sz w:val="22"/>
          <w:szCs w:val="22"/>
        </w:rPr>
        <w:t>RAND received referrals from the University of Michigan each month from January 2002 through August 2008, with the exception of January through July 2004. RAND then contacted these individuals, asked them whether they would be willing to be part of the ALP, and entered them into the panel when they agreed. A</w:t>
      </w:r>
      <w:r w:rsidR="00615D4E" w:rsidRPr="00A01DEC">
        <w:rPr>
          <w:sz w:val="22"/>
          <w:szCs w:val="22"/>
        </w:rPr>
        <w:t xml:space="preserve">bout 51 percent of the Michigan referrals agreed to be considered for the ALP, and about 58 percent of them actually participated in at least the household information survey. Thus, about 30 percent </w:t>
      </w:r>
      <w:r w:rsidR="00615D4E" w:rsidRPr="00A01DEC">
        <w:rPr>
          <w:sz w:val="22"/>
          <w:szCs w:val="22"/>
        </w:rPr>
        <w:lastRenderedPageBreak/>
        <w:t>(51 percent × 58 percent) of the Michigan recruits became ALP participants. Originally, the ALP included only respondents 40 years of age and older</w:t>
      </w:r>
      <w:r w:rsidRPr="00A01DEC">
        <w:rPr>
          <w:sz w:val="22"/>
          <w:szCs w:val="22"/>
        </w:rPr>
        <w:t>, but</w:t>
      </w:r>
      <w:r w:rsidR="00615D4E" w:rsidRPr="00A01DEC">
        <w:rPr>
          <w:sz w:val="22"/>
          <w:szCs w:val="22"/>
        </w:rPr>
        <w:t xml:space="preserve"> since November 2006, the ALP has included respondents 18 years of age and older. </w:t>
      </w:r>
    </w:p>
    <w:p w14:paraId="3024F6BE" w14:textId="77777777" w:rsidR="00615D4E" w:rsidRPr="00A01DEC" w:rsidRDefault="00615D4E" w:rsidP="00E041C7">
      <w:pPr>
        <w:pStyle w:val="Heading3"/>
        <w:ind w:left="0"/>
        <w:jc w:val="both"/>
        <w:rPr>
          <w:sz w:val="22"/>
          <w:szCs w:val="22"/>
        </w:rPr>
      </w:pPr>
      <w:bookmarkStart w:id="10" w:name="_Toc308503614"/>
      <w:bookmarkStart w:id="11" w:name="_Toc201829380"/>
      <w:bookmarkEnd w:id="9"/>
      <w:r w:rsidRPr="00A01DEC">
        <w:rPr>
          <w:sz w:val="22"/>
          <w:szCs w:val="22"/>
        </w:rPr>
        <w:t>University of Michigan Phone Panel Cohort</w:t>
      </w:r>
      <w:bookmarkEnd w:id="10"/>
      <w:bookmarkEnd w:id="11"/>
      <w:r w:rsidRPr="00A01DEC">
        <w:rPr>
          <w:sz w:val="22"/>
          <w:szCs w:val="22"/>
        </w:rPr>
        <w:t xml:space="preserve"> </w:t>
      </w:r>
    </w:p>
    <w:p w14:paraId="151AA148" w14:textId="77777777" w:rsidR="00615D4E" w:rsidRPr="00A01DEC" w:rsidRDefault="00615D4E" w:rsidP="00615D4E">
      <w:pPr>
        <w:pStyle w:val="NormalWeb"/>
        <w:spacing w:before="0" w:beforeAutospacing="0" w:line="276" w:lineRule="auto"/>
        <w:jc w:val="both"/>
        <w:rPr>
          <w:sz w:val="22"/>
          <w:szCs w:val="22"/>
        </w:rPr>
      </w:pPr>
      <w:r w:rsidRPr="00A01DEC">
        <w:rPr>
          <w:sz w:val="22"/>
          <w:szCs w:val="22"/>
        </w:rPr>
        <w:t xml:space="preserve">The second cohort, the University of Michigan Phone Sample, comprises respondents who </w:t>
      </w:r>
      <w:r w:rsidR="00215FD1" w:rsidRPr="00A01DEC">
        <w:rPr>
          <w:sz w:val="22"/>
          <w:szCs w:val="22"/>
        </w:rPr>
        <w:t>were recruited in the same MS surveys as the MS internet panel, but were first assigned to</w:t>
      </w:r>
      <w:r w:rsidRPr="00A01DEC">
        <w:rPr>
          <w:sz w:val="22"/>
          <w:szCs w:val="22"/>
        </w:rPr>
        <w:t xml:space="preserve"> a phone panel, which was part of a study comparing Internet with CATI. They were invited to join the panel after that study had been completed. </w:t>
      </w:r>
      <w:r w:rsidR="00A2521D" w:rsidRPr="00A01DEC">
        <w:rPr>
          <w:sz w:val="22"/>
          <w:szCs w:val="22"/>
        </w:rPr>
        <w:t>Thus, the sampling and recruitment of this cohort is the same as for the MS Internet cohort, but after recruitment they split for the duration of the initial project and then were recombined.</w:t>
      </w:r>
      <w:r w:rsidR="00FD6DB2" w:rsidRPr="00A01DEC">
        <w:rPr>
          <w:sz w:val="22"/>
          <w:szCs w:val="22"/>
        </w:rPr>
        <w:t xml:space="preserve"> </w:t>
      </w:r>
    </w:p>
    <w:p w14:paraId="39A9FADC" w14:textId="77777777" w:rsidR="00615D4E" w:rsidRPr="00A01DEC" w:rsidRDefault="00615D4E" w:rsidP="00E041C7">
      <w:pPr>
        <w:pStyle w:val="Heading3"/>
        <w:ind w:left="0"/>
        <w:jc w:val="both"/>
        <w:rPr>
          <w:sz w:val="22"/>
          <w:szCs w:val="22"/>
        </w:rPr>
      </w:pPr>
      <w:bookmarkStart w:id="12" w:name="_Toc308503615"/>
      <w:bookmarkStart w:id="13" w:name="_Toc201829381"/>
      <w:r w:rsidRPr="00A01DEC">
        <w:rPr>
          <w:sz w:val="22"/>
          <w:szCs w:val="22"/>
        </w:rPr>
        <w:t>Stanford Panel Cohort</w:t>
      </w:r>
      <w:bookmarkEnd w:id="12"/>
      <w:bookmarkEnd w:id="13"/>
      <w:r w:rsidRPr="00A01DEC">
        <w:rPr>
          <w:sz w:val="22"/>
          <w:szCs w:val="22"/>
        </w:rPr>
        <w:t xml:space="preserve"> </w:t>
      </w:r>
    </w:p>
    <w:p w14:paraId="49098A23" w14:textId="77777777" w:rsidR="00615D4E" w:rsidRPr="00A01DEC" w:rsidRDefault="00615D4E" w:rsidP="00615D4E">
      <w:pPr>
        <w:pStyle w:val="NormalWeb"/>
        <w:spacing w:before="0" w:beforeAutospacing="0" w:line="276" w:lineRule="auto"/>
        <w:jc w:val="both"/>
        <w:rPr>
          <w:sz w:val="22"/>
          <w:szCs w:val="22"/>
        </w:rPr>
      </w:pPr>
      <w:r w:rsidRPr="00A01DEC">
        <w:rPr>
          <w:sz w:val="22"/>
          <w:szCs w:val="22"/>
        </w:rPr>
        <w:t xml:space="preserve">After August 2008, the ALP no longer received new respondents from the University of Michigan. Instead, in the fall of 2009 participants in the Face-to-Face Recruited Internet Survey Platform (FFRISP) were invited to join the ALP at the conclusion of the FFRISP panel. The FFRISP was an NSF-funded panel of Stanford University and </w:t>
      </w:r>
      <w:proofErr w:type="spellStart"/>
      <w:r w:rsidRPr="00A01DEC">
        <w:rPr>
          <w:sz w:val="22"/>
          <w:szCs w:val="22"/>
        </w:rPr>
        <w:t>Abt</w:t>
      </w:r>
      <w:proofErr w:type="spellEnd"/>
      <w:r w:rsidRPr="00A01DEC">
        <w:rPr>
          <w:sz w:val="22"/>
          <w:szCs w:val="22"/>
        </w:rPr>
        <w:t xml:space="preserve"> SRBI. Respondents were sampled from June to October 2008 in a multi-stage procedure based on address lists.</w:t>
      </w:r>
      <w:r w:rsidR="00B46459">
        <w:rPr>
          <w:sz w:val="22"/>
          <w:szCs w:val="22"/>
        </w:rPr>
        <w:t xml:space="preserve"> More details of sampling are in </w:t>
      </w:r>
      <w:proofErr w:type="spellStart"/>
      <w:r w:rsidR="00B46459">
        <w:t>Sakshaugh</w:t>
      </w:r>
      <w:proofErr w:type="spellEnd"/>
      <w:r w:rsidR="00B46459">
        <w:t xml:space="preserve"> et al. (2009)</w:t>
      </w:r>
      <w:r w:rsidR="00B46459" w:rsidRPr="00EF7386">
        <w:t>.</w:t>
      </w:r>
      <w:r w:rsidRPr="00A01DEC">
        <w:rPr>
          <w:sz w:val="22"/>
          <w:szCs w:val="22"/>
        </w:rPr>
        <w:t xml:space="preserve"> The target population consisted of individuals 18 years or older who resided in a household in the 48 contiguous states or the District of Columbia and who were reportedly comfortable speaking and reading English. The sample was representative of this population. </w:t>
      </w:r>
    </w:p>
    <w:p w14:paraId="0E052DBF" w14:textId="77777777" w:rsidR="00615D4E" w:rsidRPr="00A01DEC" w:rsidRDefault="00615D4E" w:rsidP="00615D4E">
      <w:pPr>
        <w:pStyle w:val="NormalWeb"/>
        <w:spacing w:line="276" w:lineRule="auto"/>
        <w:jc w:val="both"/>
        <w:rPr>
          <w:sz w:val="22"/>
          <w:szCs w:val="22"/>
        </w:rPr>
      </w:pPr>
      <w:r w:rsidRPr="00A01DEC">
        <w:rPr>
          <w:sz w:val="22"/>
          <w:szCs w:val="22"/>
        </w:rPr>
        <w:t xml:space="preserve">Respondents were recruited in a face-to-face interview. They were offered a laptop (worth $500) and a broadband internet subscription, or $200 upfront and $25 per month (for 12 months) if they already had a computer and internet access. Additionally, they were paid $5 per monthly survey. The FFRISP recruited 1,000 respondents from a gross sample of 2,554 addresses that were not known to be ineligible. The panel was terminated after September 2009, but participants were offered to join the ALP under the same conditions (laptop, high speed internet, monetary compensation). </w:t>
      </w:r>
    </w:p>
    <w:p w14:paraId="77B8A15F" w14:textId="77777777" w:rsidR="001F661B" w:rsidRPr="00A01DEC" w:rsidRDefault="00E83315" w:rsidP="00615D4E">
      <w:pPr>
        <w:pStyle w:val="NormalWeb"/>
        <w:spacing w:line="276" w:lineRule="auto"/>
        <w:jc w:val="both"/>
        <w:rPr>
          <w:sz w:val="22"/>
          <w:szCs w:val="22"/>
        </w:rPr>
      </w:pPr>
      <w:r w:rsidRPr="00A01DEC">
        <w:rPr>
          <w:sz w:val="22"/>
          <w:szCs w:val="22"/>
        </w:rPr>
        <w:t>As noted, t</w:t>
      </w:r>
      <w:r w:rsidR="00615D4E" w:rsidRPr="00A01DEC">
        <w:rPr>
          <w:sz w:val="22"/>
          <w:szCs w:val="22"/>
        </w:rPr>
        <w:t xml:space="preserve">he recruitment strategy of FFRISP included a generous incentive, offering a free laptop to all households worth $500, high speed internet to households who did not have it (either by wireless card or DSL), and a cash incentive for participation in monthly surveys. Sometimes the generosity of the incentive was a source of refusal. Often, though, initial contact resulted in an unspecified refusal, without the interviewers having a chance to explain the study. Some examples of groups of people who refused include the elderly (7% of refusals), technophobes (14% of refusals), and skeptics (4% of refusals). </w:t>
      </w:r>
    </w:p>
    <w:p w14:paraId="0113A111" w14:textId="77777777" w:rsidR="00615D4E" w:rsidRPr="00A01DEC" w:rsidRDefault="00615D4E" w:rsidP="00615D4E">
      <w:pPr>
        <w:pStyle w:val="NormalWeb"/>
        <w:spacing w:line="276" w:lineRule="auto"/>
        <w:jc w:val="both"/>
        <w:rPr>
          <w:sz w:val="22"/>
          <w:szCs w:val="22"/>
        </w:rPr>
      </w:pPr>
      <w:r w:rsidRPr="00A01DEC">
        <w:rPr>
          <w:sz w:val="22"/>
          <w:szCs w:val="22"/>
        </w:rPr>
        <w:t>Respondents who did agree to join the American Life Panel form the Stanford cohort</w:t>
      </w:r>
      <w:r w:rsidR="001F661B" w:rsidRPr="00A01DEC">
        <w:rPr>
          <w:sz w:val="22"/>
          <w:szCs w:val="22"/>
        </w:rPr>
        <w:t>, or National Survey Project cohort</w:t>
      </w:r>
      <w:r w:rsidRPr="00A01DEC">
        <w:rPr>
          <w:sz w:val="22"/>
          <w:szCs w:val="22"/>
        </w:rPr>
        <w:t>.  RAND renewed their laptop warranties and continues to pay for internet subscriptions as long as cohort members remain active in the ALP.</w:t>
      </w:r>
    </w:p>
    <w:p w14:paraId="6916BDD9" w14:textId="77777777" w:rsidR="00615D4E" w:rsidRPr="00A01DEC" w:rsidRDefault="00615D4E" w:rsidP="00E041C7">
      <w:pPr>
        <w:pStyle w:val="Heading3"/>
        <w:ind w:left="0"/>
        <w:jc w:val="both"/>
        <w:rPr>
          <w:sz w:val="22"/>
          <w:szCs w:val="22"/>
        </w:rPr>
      </w:pPr>
      <w:bookmarkStart w:id="14" w:name="_Toc308503616"/>
      <w:bookmarkStart w:id="15" w:name="_Toc201829382"/>
      <w:r w:rsidRPr="00A01DEC">
        <w:rPr>
          <w:sz w:val="22"/>
          <w:szCs w:val="22"/>
        </w:rPr>
        <w:t>Snowball Cohort</w:t>
      </w:r>
      <w:bookmarkEnd w:id="14"/>
      <w:bookmarkEnd w:id="15"/>
      <w:r w:rsidRPr="00A01DEC">
        <w:rPr>
          <w:sz w:val="22"/>
          <w:szCs w:val="22"/>
        </w:rPr>
        <w:t xml:space="preserve"> </w:t>
      </w:r>
    </w:p>
    <w:p w14:paraId="287E2246" w14:textId="77777777" w:rsidR="009B1FEA" w:rsidRPr="00A01DEC" w:rsidRDefault="00615D4E" w:rsidP="00615D4E">
      <w:pPr>
        <w:pStyle w:val="NormalWeb"/>
        <w:spacing w:before="0" w:beforeAutospacing="0" w:line="276" w:lineRule="auto"/>
        <w:jc w:val="both"/>
        <w:rPr>
          <w:sz w:val="22"/>
          <w:szCs w:val="22"/>
        </w:rPr>
      </w:pPr>
      <w:r w:rsidRPr="00A01DEC">
        <w:rPr>
          <w:sz w:val="22"/>
          <w:szCs w:val="22"/>
        </w:rPr>
        <w:t xml:space="preserve">A subset of respondents has been recruited through a so-called snowball sample, making up the Snowball cohort. ALP respondents were given the opportunity to suggest family members, friends, or acquaintances who might also want to participate. RAND then contacted those referrals and invited them to participate. </w:t>
      </w:r>
      <w:r w:rsidRPr="00A01DEC">
        <w:rPr>
          <w:sz w:val="22"/>
          <w:szCs w:val="22"/>
        </w:rPr>
        <w:lastRenderedPageBreak/>
        <w:t>Because this "snowball" sample is not randomly selected or representative of U.S. residents, it is used mainly for testing surveys during piloting. Since May 2009 no new snowball respondents have been allowed to join the ALP.</w:t>
      </w:r>
      <w:r w:rsidR="009B1FEA" w:rsidRPr="00A01DEC">
        <w:rPr>
          <w:sz w:val="22"/>
          <w:szCs w:val="22"/>
        </w:rPr>
        <w:t xml:space="preserve"> It is not possible to calculate a response rate for the Snowball Cohort, since this group does not represent a proper sample. </w:t>
      </w:r>
      <w:r w:rsidR="00EF5A9F" w:rsidRPr="00A01DEC">
        <w:rPr>
          <w:b/>
          <w:sz w:val="22"/>
          <w:szCs w:val="22"/>
        </w:rPr>
        <w:t>The Snowball Cohort is mainly used for pretests and small experiments and will not be part of the sample for the current study</w:t>
      </w:r>
      <w:r w:rsidR="009B1FEA" w:rsidRPr="00A01DEC">
        <w:rPr>
          <w:sz w:val="22"/>
          <w:szCs w:val="22"/>
        </w:rPr>
        <w:t>.</w:t>
      </w:r>
    </w:p>
    <w:p w14:paraId="09F5A0B7" w14:textId="77777777" w:rsidR="00615D4E" w:rsidRPr="00A01DEC" w:rsidRDefault="00615D4E" w:rsidP="00E041C7">
      <w:pPr>
        <w:pStyle w:val="Heading3"/>
        <w:ind w:left="0"/>
        <w:jc w:val="both"/>
        <w:rPr>
          <w:sz w:val="22"/>
          <w:szCs w:val="22"/>
        </w:rPr>
      </w:pPr>
      <w:bookmarkStart w:id="16" w:name="_Toc308503617"/>
      <w:bookmarkStart w:id="17" w:name="_Toc201829383"/>
      <w:r w:rsidRPr="00A01DEC">
        <w:rPr>
          <w:sz w:val="22"/>
          <w:szCs w:val="22"/>
        </w:rPr>
        <w:t>Mailing and Phone Cohort</w:t>
      </w:r>
      <w:bookmarkEnd w:id="16"/>
      <w:r w:rsidR="00C44626" w:rsidRPr="00A01DEC">
        <w:rPr>
          <w:sz w:val="22"/>
          <w:szCs w:val="22"/>
        </w:rPr>
        <w:t>s</w:t>
      </w:r>
      <w:bookmarkEnd w:id="17"/>
      <w:r w:rsidRPr="00A01DEC">
        <w:rPr>
          <w:sz w:val="22"/>
          <w:szCs w:val="22"/>
        </w:rPr>
        <w:t xml:space="preserve"> </w:t>
      </w:r>
    </w:p>
    <w:p w14:paraId="2F233252" w14:textId="77777777" w:rsidR="00615D4E" w:rsidRPr="00A01DEC" w:rsidRDefault="00615D4E" w:rsidP="00615D4E">
      <w:pPr>
        <w:pStyle w:val="NormalWeb"/>
        <w:spacing w:before="0" w:beforeAutospacing="0" w:line="276" w:lineRule="auto"/>
        <w:jc w:val="both"/>
        <w:rPr>
          <w:b/>
          <w:sz w:val="22"/>
          <w:szCs w:val="22"/>
        </w:rPr>
      </w:pPr>
      <w:r w:rsidRPr="00A01DEC">
        <w:rPr>
          <w:sz w:val="22"/>
          <w:szCs w:val="22"/>
        </w:rPr>
        <w:t xml:space="preserve">As part of an experiment we recruited respondents from a random mail and telephone sample using the </w:t>
      </w:r>
      <w:proofErr w:type="spellStart"/>
      <w:r w:rsidRPr="00A01DEC">
        <w:rPr>
          <w:sz w:val="22"/>
          <w:szCs w:val="22"/>
        </w:rPr>
        <w:t>Dillman</w:t>
      </w:r>
      <w:proofErr w:type="spellEnd"/>
      <w:r w:rsidRPr="00A01DEC">
        <w:rPr>
          <w:sz w:val="22"/>
          <w:szCs w:val="22"/>
        </w:rPr>
        <w:t xml:space="preserve"> method. This experiment was initiated in 2010.  </w:t>
      </w:r>
      <w:r w:rsidR="00EF5A9F" w:rsidRPr="00A01DEC">
        <w:rPr>
          <w:b/>
          <w:sz w:val="22"/>
          <w:szCs w:val="22"/>
        </w:rPr>
        <w:t>Th</w:t>
      </w:r>
      <w:r w:rsidR="00CD227A" w:rsidRPr="00A01DEC">
        <w:rPr>
          <w:b/>
          <w:sz w:val="22"/>
          <w:szCs w:val="22"/>
        </w:rPr>
        <w:t>ese</w:t>
      </w:r>
      <w:r w:rsidR="00EF5A9F" w:rsidRPr="00A01DEC">
        <w:rPr>
          <w:b/>
          <w:sz w:val="22"/>
          <w:szCs w:val="22"/>
        </w:rPr>
        <w:t xml:space="preserve"> </w:t>
      </w:r>
      <w:r w:rsidR="00CD227A" w:rsidRPr="00A01DEC">
        <w:rPr>
          <w:b/>
          <w:sz w:val="22"/>
          <w:szCs w:val="22"/>
        </w:rPr>
        <w:t>are</w:t>
      </w:r>
      <w:r w:rsidR="00EF5A9F" w:rsidRPr="00A01DEC">
        <w:rPr>
          <w:b/>
          <w:sz w:val="22"/>
          <w:szCs w:val="22"/>
        </w:rPr>
        <w:t xml:space="preserve"> small </w:t>
      </w:r>
      <w:r w:rsidR="00CD227A" w:rsidRPr="00A01DEC">
        <w:rPr>
          <w:b/>
          <w:sz w:val="22"/>
          <w:szCs w:val="22"/>
        </w:rPr>
        <w:t>cohorts</w:t>
      </w:r>
      <w:r w:rsidR="00EF5A9F" w:rsidRPr="00A01DEC">
        <w:rPr>
          <w:b/>
          <w:sz w:val="22"/>
          <w:szCs w:val="22"/>
        </w:rPr>
        <w:t xml:space="preserve"> (</w:t>
      </w:r>
      <w:r w:rsidR="00A6160C" w:rsidRPr="00A6160C">
        <w:rPr>
          <w:b/>
          <w:sz w:val="22"/>
          <w:szCs w:val="22"/>
        </w:rPr>
        <w:t xml:space="preserve">30 and 13 </w:t>
      </w:r>
      <w:r w:rsidR="00EF5A9F" w:rsidRPr="00A01DEC">
        <w:rPr>
          <w:b/>
          <w:sz w:val="22"/>
          <w:szCs w:val="22"/>
        </w:rPr>
        <w:t>observations</w:t>
      </w:r>
      <w:r w:rsidR="00A6160C">
        <w:rPr>
          <w:b/>
          <w:sz w:val="22"/>
          <w:szCs w:val="22"/>
        </w:rPr>
        <w:t>, respectively</w:t>
      </w:r>
      <w:r w:rsidR="00EF5A9F" w:rsidRPr="00A01DEC">
        <w:rPr>
          <w:b/>
          <w:sz w:val="22"/>
          <w:szCs w:val="22"/>
        </w:rPr>
        <w:t xml:space="preserve">) and will not be part of the sample for the current </w:t>
      </w:r>
      <w:r w:rsidR="00FC6253" w:rsidRPr="00A01DEC">
        <w:rPr>
          <w:b/>
          <w:sz w:val="22"/>
          <w:szCs w:val="22"/>
        </w:rPr>
        <w:t>study.</w:t>
      </w:r>
    </w:p>
    <w:p w14:paraId="744E4336" w14:textId="77777777" w:rsidR="00615D4E" w:rsidRPr="00A01DEC" w:rsidRDefault="00615D4E" w:rsidP="00E041C7">
      <w:pPr>
        <w:pStyle w:val="Heading3"/>
        <w:ind w:left="0"/>
        <w:jc w:val="both"/>
        <w:rPr>
          <w:sz w:val="22"/>
          <w:szCs w:val="22"/>
        </w:rPr>
      </w:pPr>
      <w:bookmarkStart w:id="18" w:name="_Toc308503618"/>
      <w:bookmarkStart w:id="19" w:name="_Toc201829384"/>
      <w:r w:rsidRPr="00A01DEC">
        <w:rPr>
          <w:sz w:val="22"/>
          <w:szCs w:val="22"/>
        </w:rPr>
        <w:t>Vulnerable Population Cohort</w:t>
      </w:r>
      <w:bookmarkEnd w:id="18"/>
      <w:bookmarkEnd w:id="19"/>
      <w:r w:rsidRPr="00A01DEC">
        <w:rPr>
          <w:sz w:val="22"/>
          <w:szCs w:val="22"/>
        </w:rPr>
        <w:t xml:space="preserve"> </w:t>
      </w:r>
    </w:p>
    <w:p w14:paraId="79755D22" w14:textId="77777777" w:rsidR="00CA2745" w:rsidRPr="008A3E4E" w:rsidRDefault="00615D4E" w:rsidP="00C44626">
      <w:pPr>
        <w:spacing w:line="276" w:lineRule="auto"/>
        <w:jc w:val="both"/>
      </w:pPr>
      <w:r w:rsidRPr="00A01DEC">
        <w:rPr>
          <w:sz w:val="22"/>
          <w:szCs w:val="22"/>
        </w:rPr>
        <w:t xml:space="preserve">We are currently expanding the American Life Panel with panel members drawn from vulnerable groups and minorities. This addition will include a subsample for </w:t>
      </w:r>
      <w:proofErr w:type="gramStart"/>
      <w:r w:rsidRPr="00A01DEC">
        <w:rPr>
          <w:sz w:val="22"/>
          <w:szCs w:val="22"/>
        </w:rPr>
        <w:t>whom</w:t>
      </w:r>
      <w:proofErr w:type="gramEnd"/>
      <w:r w:rsidRPr="00A01DEC">
        <w:rPr>
          <w:sz w:val="22"/>
          <w:szCs w:val="22"/>
        </w:rPr>
        <w:t xml:space="preserve"> the interview language will be Spanish. We expect the expansion to be complete by the end of </w:t>
      </w:r>
      <w:r w:rsidR="00A6160C">
        <w:rPr>
          <w:sz w:val="22"/>
          <w:szCs w:val="22"/>
        </w:rPr>
        <w:t xml:space="preserve">March </w:t>
      </w:r>
      <w:r w:rsidRPr="00A01DEC">
        <w:rPr>
          <w:sz w:val="22"/>
          <w:szCs w:val="22"/>
        </w:rPr>
        <w:t>201</w:t>
      </w:r>
      <w:r w:rsidR="00A6160C">
        <w:rPr>
          <w:sz w:val="22"/>
          <w:szCs w:val="22"/>
        </w:rPr>
        <w:t>2</w:t>
      </w:r>
      <w:r w:rsidRPr="00A01DEC">
        <w:rPr>
          <w:sz w:val="22"/>
          <w:szCs w:val="22"/>
        </w:rPr>
        <w:t xml:space="preserve"> </w:t>
      </w:r>
      <w:r w:rsidR="00D5707C">
        <w:rPr>
          <w:sz w:val="22"/>
          <w:szCs w:val="22"/>
        </w:rPr>
        <w:t>,</w:t>
      </w:r>
      <w:r w:rsidRPr="00A01DEC">
        <w:rPr>
          <w:sz w:val="22"/>
          <w:szCs w:val="22"/>
        </w:rPr>
        <w:t xml:space="preserve">The sample from which the panel members are recruited is address based; zip codes </w:t>
      </w:r>
      <w:r w:rsidR="002607D3" w:rsidRPr="00A01DEC">
        <w:rPr>
          <w:sz w:val="22"/>
          <w:szCs w:val="22"/>
        </w:rPr>
        <w:t>we</w:t>
      </w:r>
      <w:r w:rsidRPr="00A01DEC">
        <w:rPr>
          <w:sz w:val="22"/>
          <w:szCs w:val="22"/>
        </w:rPr>
        <w:t xml:space="preserve">re chosen with a high percentage of Hispanics or with a high percentage of households with relatively low incomes. Potential panel members </w:t>
      </w:r>
      <w:r w:rsidR="00961B04" w:rsidRPr="00A01DEC">
        <w:rPr>
          <w:sz w:val="22"/>
          <w:szCs w:val="22"/>
        </w:rPr>
        <w:t xml:space="preserve">were first sent announcement </w:t>
      </w:r>
      <w:r w:rsidRPr="00A01DEC">
        <w:rPr>
          <w:sz w:val="22"/>
          <w:szCs w:val="22"/>
        </w:rPr>
        <w:t>letters</w:t>
      </w:r>
      <w:r w:rsidR="00961B04" w:rsidRPr="00A01DEC">
        <w:rPr>
          <w:sz w:val="22"/>
          <w:szCs w:val="22"/>
        </w:rPr>
        <w:t>. This was followed up with</w:t>
      </w:r>
      <w:r w:rsidRPr="00A01DEC">
        <w:rPr>
          <w:sz w:val="22"/>
          <w:szCs w:val="22"/>
        </w:rPr>
        <w:t xml:space="preserve"> a paper survey</w:t>
      </w:r>
      <w:r w:rsidR="00961B04" w:rsidRPr="00A01DEC">
        <w:rPr>
          <w:sz w:val="22"/>
          <w:szCs w:val="22"/>
        </w:rPr>
        <w:t xml:space="preserve"> in the mail</w:t>
      </w:r>
      <w:r w:rsidRPr="00A01DEC">
        <w:rPr>
          <w:sz w:val="22"/>
          <w:szCs w:val="22"/>
        </w:rPr>
        <w:t xml:space="preserve"> (including a prepaid incentive)</w:t>
      </w:r>
      <w:r w:rsidR="00961B04" w:rsidRPr="00A01DEC">
        <w:rPr>
          <w:sz w:val="22"/>
          <w:szCs w:val="22"/>
        </w:rPr>
        <w:t xml:space="preserve">. In this mail survey, households could express interest in becoming part of the ALP, or refuse to enter the ALP. We then attempted to contact households that did not respond to the paper survey within </w:t>
      </w:r>
      <w:r w:rsidR="00A6160C">
        <w:rPr>
          <w:sz w:val="22"/>
          <w:szCs w:val="22"/>
        </w:rPr>
        <w:t xml:space="preserve">three </w:t>
      </w:r>
      <w:r w:rsidR="00961B04" w:rsidRPr="00A01DEC">
        <w:rPr>
          <w:sz w:val="22"/>
          <w:szCs w:val="22"/>
        </w:rPr>
        <w:t>weeks by</w:t>
      </w:r>
      <w:r w:rsidRPr="00A01DEC">
        <w:rPr>
          <w:sz w:val="22"/>
          <w:szCs w:val="22"/>
        </w:rPr>
        <w:t xml:space="preserve"> phone. </w:t>
      </w:r>
      <w:r w:rsidR="00444B8E" w:rsidRPr="008A3E4E">
        <w:rPr>
          <w:sz w:val="22"/>
          <w:szCs w:val="22"/>
        </w:rPr>
        <w:t>Again, during the phone interview, respondents were able to express interest in joining the ALP or refusing to join.</w:t>
      </w:r>
    </w:p>
    <w:p w14:paraId="2682DE8F" w14:textId="77777777" w:rsidR="00615D4E" w:rsidRPr="00A01DEC" w:rsidRDefault="00615D4E" w:rsidP="00E041C7">
      <w:pPr>
        <w:pStyle w:val="Heading3"/>
        <w:ind w:left="0"/>
        <w:jc w:val="both"/>
        <w:rPr>
          <w:sz w:val="22"/>
          <w:szCs w:val="22"/>
        </w:rPr>
      </w:pPr>
      <w:bookmarkStart w:id="20" w:name="_Toc201829385"/>
      <w:bookmarkStart w:id="21" w:name="_Toc308503619"/>
      <w:r w:rsidRPr="00A01DEC">
        <w:rPr>
          <w:sz w:val="22"/>
          <w:szCs w:val="22"/>
        </w:rPr>
        <w:t>Respondent Driven Sampling (RDS) Cohort</w:t>
      </w:r>
      <w:bookmarkEnd w:id="20"/>
      <w:r w:rsidRPr="00A01DEC">
        <w:rPr>
          <w:sz w:val="22"/>
          <w:szCs w:val="22"/>
        </w:rPr>
        <w:t xml:space="preserve"> </w:t>
      </w:r>
      <w:bookmarkEnd w:id="21"/>
    </w:p>
    <w:p w14:paraId="05A0DB82" w14:textId="77777777" w:rsidR="006B3D5F" w:rsidRPr="00A01DEC" w:rsidRDefault="00615D4E" w:rsidP="00E041C7">
      <w:pPr>
        <w:pStyle w:val="NormalWeb"/>
        <w:spacing w:before="0" w:beforeAutospacing="0" w:line="276" w:lineRule="auto"/>
        <w:jc w:val="both"/>
        <w:rPr>
          <w:sz w:val="22"/>
          <w:szCs w:val="22"/>
        </w:rPr>
      </w:pPr>
      <w:r w:rsidRPr="00A01DEC">
        <w:rPr>
          <w:sz w:val="22"/>
          <w:szCs w:val="22"/>
        </w:rPr>
        <w:t xml:space="preserve">Respondent driven sampling (RDS) is a technique to sample populations through social networks </w:t>
      </w:r>
      <w:r w:rsidR="00BE74F8" w:rsidRPr="00A01DEC">
        <w:rPr>
          <w:sz w:val="22"/>
          <w:szCs w:val="22"/>
        </w:rPr>
        <w:fldChar w:fldCharType="begin">
          <w:fldData xml:space="preserve">PEVuZE5vdGU+PENpdGU+PEF1dGhvcj5IZWNrYXRob3JuPC9BdXRob3I+PFllYXI+MTk5NzwvWWVh
cj48UmVjTnVtPjE8L1JlY051bT48cmVjb3JkPjxyZWMtbnVtYmVyPjE8L3JlYy1udW1iZXI+PGZv
cmVpZ24ta2V5cz48a2V5IGFwcD0iRU4iIGRiLWlkPSJhc2F4cGF2MHR4c2F6cGUyd3ZuNWRzcnZl
enA5NXZhZnRzOXoiPjE8L2tleT48L2ZvcmVpZ24ta2V5cz48cmVmLXR5cGUgbmFtZT0iSm91cm5h
bCBBcnRpY2xlIj4xNzwvcmVmLXR5cGU+PGNvbnRyaWJ1dG9ycz48YXV0aG9ycz48YXV0aG9yPkhl
Y2thdGhvcm4sIEREPC9hdXRob3I+PC9hdXRob3JzPjwvY29udHJpYnV0b3JzPjx0aXRsZXM+PHRp
dGxlPlJlc3BvbmRlbnQtZHJpdmVuIHNhbXBsaW5nOiBhIG5ldyBhcHByb2FjaCB0byB0aGUgc3R1
ZHkgb2YgaGlkZGVuIHBvcHVsYXRpb25zPC90aXRsZT48c2Vjb25kYXJ5LXRpdGxlPlNvY2lhbCBQ
cm9ibGVtczwvc2Vjb25kYXJ5LXRpdGxlPjwvdGl0bGVzPjxwZXJpb2RpY2FsPjxmdWxsLXRpdGxl
PlNvY2lhbCBwcm9ibGVtczwvZnVsbC10aXRsZT48L3BlcmlvZGljYWw+PHBhZ2VzPjE3NC0xOTk8
L3BhZ2VzPjx2b2x1bWU+NDQ8L3ZvbHVtZT48bnVtYmVyPjI8L251bWJlcj48ZGF0ZXM+PHllYXI+
MTk5NzwveWVhcj48L2RhdGVzPjx1cmxzPjwvdXJscz48L3JlY29yZD48L0NpdGU+PENpdGU+PEF1
dGhvcj5IZWNrYXRob3JuPC9BdXRob3I+PFllYXI+MjAwMjwvWWVhcj48UmVjTnVtPjI8L1JlY051
bT48cmVjb3JkPjxyZWMtbnVtYmVyPjI8L3JlYy1udW1iZXI+PGZvcmVpZ24ta2V5cz48a2V5IGFw
cD0iRU4iIGRiLWlkPSJhc2F4cGF2MHR4c2F6cGUyd3ZuNWRzcnZlenA5NXZhZnRzOXoiPjI8L2tl
eT48L2ZvcmVpZ24ta2V5cz48cmVmLXR5cGUgbmFtZT0iSm91cm5hbCBBcnRpY2xlIj4xNzwvcmVm
LXR5cGU+PGNvbnRyaWJ1dG9ycz48YXV0aG9ycz48YXV0aG9yPkhlY2thdGhvcm4sIEREPC9hdXRo
b3I+PC9hdXRob3JzPjwvY29udHJpYnV0b3JzPjx0aXRsZXM+PHRpdGxlPlJlc3BvbmRlbnQtZHJp
dmVuIHNhbXBsaW5nIElJOiBkZXJpdmluZyB2YWxpZCBwb3B1bGF0aW9uIGVzdGltYXRlcyBmcm9t
IGNoYWluLXJlZmVycmFsIHNhbXBsZXMgb2YgaGlkZGVuIHBvcHVsYXRpb25zPC90aXRsZT48c2Vj
b25kYXJ5LXRpdGxlPlNvY2lhbCBQcm9ibGVtczwvc2Vjb25kYXJ5LXRpdGxlPjwvdGl0bGVzPjxw
ZXJpb2RpY2FsPjxmdWxsLXRpdGxlPlNvY2lhbCBwcm9ibGVtczwvZnVsbC10aXRsZT48L3Blcmlv
ZGljYWw+PHBhZ2VzPjExLTM0PC9wYWdlcz48dm9sdW1lPjQ5PC92b2x1bWU+PG51bWJlcj4xPC9u
dW1iZXI+PGRhdGVzPjx5ZWFyPjIwMDI8L3llYXI+PC9kYXRlcz48dXJscz48L3VybHM+PC9yZWNv
cmQ+PC9DaXRlPjxDaXRlPjxBdXRob3I+SGVja2F0aG9ybjwvQXV0aG9yPjxZZWFyPjIwMDc8L1ll
YXI+PFJlY051bT4xNTwvUmVjTnVtPjxyZWNvcmQ+PHJlYy1udW1iZXI+MTU8L3JlYy1udW1iZXI+
PGZvcmVpZ24ta2V5cz48a2V5IGFwcD0iRU4iIGRiLWlkPSJhc2F4cGF2MHR4c2F6cGUyd3ZuNWRz
cnZlenA5NXZhZnRzOXoiPjE1PC9rZXk+PC9mb3JlaWduLWtleXM+PHJlZi10eXBlIG5hbWU9Ikpv
dXJuYWwgQXJ0aWNsZSI+MTc8L3JlZi10eXBlPjxjb250cmlidXRvcnM+PGF1dGhvcnM+PGF1dGhv
cj5IZWNrYXRob3JuLCBERDwvYXV0aG9yPjwvYXV0aG9ycz48L2NvbnRyaWJ1dG9ycz48dGl0bGVz
Pjx0aXRsZT5FeHRlbnNpb25zIG9mIHJlc3BvbmRlbnQtZHJpdmVuIHNhbXBsaW5nOiBhbmFseXpp
bmcgY29udGludW91cyB2YXJpYWJsZXMgYW5kIGNvbnRyb2xsaW5nIGZvciBkaWZmZXJlbnRpYWwg
cmVjcnVpdG1lbnQ8L3RpdGxlPjxzZWNvbmRhcnktdGl0bGU+U29jaW9sb2dpY2FsIE1ldGhvZG9s
b2d5PC9zZWNvbmRhcnktdGl0bGU+PC90aXRsZXM+PHBlcmlvZGljYWw+PGZ1bGwtdGl0bGU+U29j
aW9sb2dpY2FsIE1ldGhvZG9sb2d5PC9mdWxsLXRpdGxlPjwvcGVyaW9kaWNhbD48cGFnZXM+MTUx
LTIwNzwvcGFnZXM+PHZvbHVtZT4zNzwvdm9sdW1lPjxudW1iZXI+MTwvbnVtYmVyPjxkYXRlcz48
eWVhcj4yMDA3PC95ZWFyPjwvZGF0ZXM+PHVybHM+PC91cmxzPjwvcmVjb3JkPjwvQ2l0ZT48L0Vu
ZE5vdGU+AAA=
</w:fldData>
        </w:fldChar>
      </w:r>
      <w:r w:rsidRPr="00A01DEC">
        <w:rPr>
          <w:sz w:val="22"/>
          <w:szCs w:val="22"/>
        </w:rPr>
        <w:instrText xml:space="preserve"> ADDIN EN.CITE </w:instrText>
      </w:r>
      <w:r w:rsidR="00BE74F8" w:rsidRPr="00A01DEC">
        <w:rPr>
          <w:sz w:val="22"/>
          <w:szCs w:val="22"/>
        </w:rPr>
        <w:fldChar w:fldCharType="begin">
          <w:fldData xml:space="preserve">PEVuZE5vdGU+PENpdGU+PEF1dGhvcj5IZWNrYXRob3JuPC9BdXRob3I+PFllYXI+MTk5NzwvWWVh
cj48UmVjTnVtPjE8L1JlY051bT48cmVjb3JkPjxyZWMtbnVtYmVyPjE8L3JlYy1udW1iZXI+PGZv
cmVpZ24ta2V5cz48a2V5IGFwcD0iRU4iIGRiLWlkPSJhc2F4cGF2MHR4c2F6cGUyd3ZuNWRzcnZl
enA5NXZhZnRzOXoiPjE8L2tleT48L2ZvcmVpZ24ta2V5cz48cmVmLXR5cGUgbmFtZT0iSm91cm5h
bCBBcnRpY2xlIj4xNzwvcmVmLXR5cGU+PGNvbnRyaWJ1dG9ycz48YXV0aG9ycz48YXV0aG9yPkhl
Y2thdGhvcm4sIEREPC9hdXRob3I+PC9hdXRob3JzPjwvY29udHJpYnV0b3JzPjx0aXRsZXM+PHRp
dGxlPlJlc3BvbmRlbnQtZHJpdmVuIHNhbXBsaW5nOiBhIG5ldyBhcHByb2FjaCB0byB0aGUgc3R1
ZHkgb2YgaGlkZGVuIHBvcHVsYXRpb25zPC90aXRsZT48c2Vjb25kYXJ5LXRpdGxlPlNvY2lhbCBQ
cm9ibGVtczwvc2Vjb25kYXJ5LXRpdGxlPjwvdGl0bGVzPjxwZXJpb2RpY2FsPjxmdWxsLXRpdGxl
PlNvY2lhbCBwcm9ibGVtczwvZnVsbC10aXRsZT48L3BlcmlvZGljYWw+PHBhZ2VzPjE3NC0xOTk8
L3BhZ2VzPjx2b2x1bWU+NDQ8L3ZvbHVtZT48bnVtYmVyPjI8L251bWJlcj48ZGF0ZXM+PHllYXI+
MTk5NzwveWVhcj48L2RhdGVzPjx1cmxzPjwvdXJscz48L3JlY29yZD48L0NpdGU+PENpdGU+PEF1
dGhvcj5IZWNrYXRob3JuPC9BdXRob3I+PFllYXI+MjAwMjwvWWVhcj48UmVjTnVtPjI8L1JlY051
bT48cmVjb3JkPjxyZWMtbnVtYmVyPjI8L3JlYy1udW1iZXI+PGZvcmVpZ24ta2V5cz48a2V5IGFw
cD0iRU4iIGRiLWlkPSJhc2F4cGF2MHR4c2F6cGUyd3ZuNWRzcnZlenA5NXZhZnRzOXoiPjI8L2tl
eT48L2ZvcmVpZ24ta2V5cz48cmVmLXR5cGUgbmFtZT0iSm91cm5hbCBBcnRpY2xlIj4xNzwvcmVm
LXR5cGU+PGNvbnRyaWJ1dG9ycz48YXV0aG9ycz48YXV0aG9yPkhlY2thdGhvcm4sIEREPC9hdXRo
b3I+PC9hdXRob3JzPjwvY29udHJpYnV0b3JzPjx0aXRsZXM+PHRpdGxlPlJlc3BvbmRlbnQtZHJp
dmVuIHNhbXBsaW5nIElJOiBkZXJpdmluZyB2YWxpZCBwb3B1bGF0aW9uIGVzdGltYXRlcyBmcm9t
IGNoYWluLXJlZmVycmFsIHNhbXBsZXMgb2YgaGlkZGVuIHBvcHVsYXRpb25zPC90aXRsZT48c2Vj
b25kYXJ5LXRpdGxlPlNvY2lhbCBQcm9ibGVtczwvc2Vjb25kYXJ5LXRpdGxlPjwvdGl0bGVzPjxw
ZXJpb2RpY2FsPjxmdWxsLXRpdGxlPlNvY2lhbCBwcm9ibGVtczwvZnVsbC10aXRsZT48L3Blcmlv
ZGljYWw+PHBhZ2VzPjExLTM0PC9wYWdlcz48dm9sdW1lPjQ5PC92b2x1bWU+PG51bWJlcj4xPC9u
dW1iZXI+PGRhdGVzPjx5ZWFyPjIwMDI8L3llYXI+PC9kYXRlcz48dXJscz48L3VybHM+PC9yZWNv
cmQ+PC9DaXRlPjxDaXRlPjxBdXRob3I+SGVja2F0aG9ybjwvQXV0aG9yPjxZZWFyPjIwMDc8L1ll
YXI+PFJlY051bT4xNTwvUmVjTnVtPjxyZWNvcmQ+PHJlYy1udW1iZXI+MTU8L3JlYy1udW1iZXI+
PGZvcmVpZ24ta2V5cz48a2V5IGFwcD0iRU4iIGRiLWlkPSJhc2F4cGF2MHR4c2F6cGUyd3ZuNWRz
cnZlenA5NXZhZnRzOXoiPjE1PC9rZXk+PC9mb3JlaWduLWtleXM+PHJlZi10eXBlIG5hbWU9Ikpv
dXJuYWwgQXJ0aWNsZSI+MTc8L3JlZi10eXBlPjxjb250cmlidXRvcnM+PGF1dGhvcnM+PGF1dGhv
cj5IZWNrYXRob3JuLCBERDwvYXV0aG9yPjwvYXV0aG9ycz48L2NvbnRyaWJ1dG9ycz48dGl0bGVz
Pjx0aXRsZT5FeHRlbnNpb25zIG9mIHJlc3BvbmRlbnQtZHJpdmVuIHNhbXBsaW5nOiBhbmFseXpp
bmcgY29udGludW91cyB2YXJpYWJsZXMgYW5kIGNvbnRyb2xsaW5nIGZvciBkaWZmZXJlbnRpYWwg
cmVjcnVpdG1lbnQ8L3RpdGxlPjxzZWNvbmRhcnktdGl0bGU+U29jaW9sb2dpY2FsIE1ldGhvZG9s
b2d5PC9zZWNvbmRhcnktdGl0bGU+PC90aXRsZXM+PHBlcmlvZGljYWw+PGZ1bGwtdGl0bGU+U29j
aW9sb2dpY2FsIE1ldGhvZG9sb2d5PC9mdWxsLXRpdGxlPjwvcGVyaW9kaWNhbD48cGFnZXM+MTUx
LTIwNzwvcGFnZXM+PHZvbHVtZT4zNzwvdm9sdW1lPjxudW1iZXI+MTwvbnVtYmVyPjxkYXRlcz48
eWVhcj4yMDA3PC95ZWFyPjwvZGF0ZXM+PHVybHM+PC91cmxzPjwvcmVjb3JkPjwvQ2l0ZT48L0Vu
ZE5vdGU+AAA=
</w:fldData>
        </w:fldChar>
      </w:r>
      <w:r w:rsidRPr="00A01DEC">
        <w:rPr>
          <w:sz w:val="22"/>
          <w:szCs w:val="22"/>
        </w:rPr>
        <w:instrText xml:space="preserve"> ADDIN EN.CITE.DATA </w:instrText>
      </w:r>
      <w:r w:rsidR="00BE74F8" w:rsidRPr="00A01DEC">
        <w:rPr>
          <w:sz w:val="22"/>
          <w:szCs w:val="22"/>
        </w:rPr>
      </w:r>
      <w:r w:rsidR="00BE74F8" w:rsidRPr="00A01DEC">
        <w:rPr>
          <w:sz w:val="22"/>
          <w:szCs w:val="22"/>
        </w:rPr>
        <w:fldChar w:fldCharType="end"/>
      </w:r>
      <w:r w:rsidR="00BE74F8" w:rsidRPr="00A01DEC">
        <w:rPr>
          <w:sz w:val="22"/>
          <w:szCs w:val="22"/>
        </w:rPr>
      </w:r>
      <w:r w:rsidR="00BE74F8" w:rsidRPr="00A01DEC">
        <w:rPr>
          <w:sz w:val="22"/>
          <w:szCs w:val="22"/>
        </w:rPr>
        <w:fldChar w:fldCharType="separate"/>
      </w:r>
      <w:r w:rsidRPr="00A01DEC">
        <w:rPr>
          <w:noProof/>
          <w:sz w:val="22"/>
          <w:szCs w:val="22"/>
        </w:rPr>
        <w:t>(</w:t>
      </w:r>
      <w:hyperlink w:anchor="_ENREF_33" w:tooltip="Heckathorn, 1997 #1" w:history="1">
        <w:r w:rsidRPr="00A01DEC">
          <w:rPr>
            <w:noProof/>
            <w:sz w:val="22"/>
            <w:szCs w:val="22"/>
          </w:rPr>
          <w:t>Heckathorn</w:t>
        </w:r>
        <w:r w:rsidR="00444B8E" w:rsidRPr="00A01DEC">
          <w:rPr>
            <w:noProof/>
            <w:sz w:val="22"/>
            <w:szCs w:val="22"/>
          </w:rPr>
          <w:t>,</w:t>
        </w:r>
        <w:r w:rsidRPr="00A01DEC">
          <w:rPr>
            <w:noProof/>
            <w:sz w:val="22"/>
            <w:szCs w:val="22"/>
          </w:rPr>
          <w:t xml:space="preserve"> 1997</w:t>
        </w:r>
      </w:hyperlink>
      <w:r w:rsidR="00444B8E" w:rsidRPr="00A01DEC">
        <w:rPr>
          <w:noProof/>
          <w:sz w:val="22"/>
          <w:szCs w:val="22"/>
        </w:rPr>
        <w:t>,</w:t>
      </w:r>
      <w:r w:rsidRPr="00A01DEC">
        <w:rPr>
          <w:noProof/>
          <w:sz w:val="22"/>
          <w:szCs w:val="22"/>
        </w:rPr>
        <w:t xml:space="preserve"> </w:t>
      </w:r>
      <w:hyperlink w:anchor="_ENREF_34" w:tooltip="Heckathorn, 2002 #2" w:history="1">
        <w:r w:rsidRPr="00A01DEC">
          <w:rPr>
            <w:noProof/>
            <w:sz w:val="22"/>
            <w:szCs w:val="22"/>
          </w:rPr>
          <w:t>2002</w:t>
        </w:r>
      </w:hyperlink>
      <w:r w:rsidR="00444B8E" w:rsidRPr="00A01DEC">
        <w:rPr>
          <w:noProof/>
          <w:sz w:val="22"/>
          <w:szCs w:val="22"/>
        </w:rPr>
        <w:t>,</w:t>
      </w:r>
      <w:r w:rsidRPr="00A01DEC">
        <w:rPr>
          <w:noProof/>
          <w:sz w:val="22"/>
          <w:szCs w:val="22"/>
        </w:rPr>
        <w:t xml:space="preserve"> </w:t>
      </w:r>
      <w:hyperlink w:anchor="_ENREF_35" w:tooltip="Heckathorn, 2007 #15" w:history="1">
        <w:r w:rsidRPr="00A01DEC">
          <w:rPr>
            <w:noProof/>
            <w:sz w:val="22"/>
            <w:szCs w:val="22"/>
          </w:rPr>
          <w:t>2007</w:t>
        </w:r>
      </w:hyperlink>
      <w:r w:rsidRPr="00A01DEC">
        <w:rPr>
          <w:noProof/>
          <w:sz w:val="22"/>
          <w:szCs w:val="22"/>
        </w:rPr>
        <w:t>)</w:t>
      </w:r>
      <w:r w:rsidR="00BE74F8" w:rsidRPr="00A01DEC">
        <w:rPr>
          <w:sz w:val="22"/>
          <w:szCs w:val="22"/>
        </w:rPr>
        <w:fldChar w:fldCharType="end"/>
      </w:r>
      <w:r w:rsidRPr="00A01DEC">
        <w:rPr>
          <w:sz w:val="22"/>
          <w:szCs w:val="22"/>
        </w:rPr>
        <w:t xml:space="preserve">. Each respondent recruits a fixed number of friends in the target population who in turn become the next generation of respondents. A crucial difference with snowball sampling is that the size of a respondent’s social network must be known and that the individuals in the social network who are asked to join are a random selection from the network. Once sample equilibrium has been reached, sample proportions for a given variable of interest no longer change. Sample proportions in equilibrium are biased, however, because respondents with a greater social network are overrepresented. One can correct for this bias to derive unbiased population estimates </w:t>
      </w:r>
      <w:r w:rsidR="00BE74F8" w:rsidRPr="00A01DEC">
        <w:rPr>
          <w:sz w:val="22"/>
          <w:szCs w:val="22"/>
        </w:rPr>
        <w:fldChar w:fldCharType="begin"/>
      </w:r>
      <w:r w:rsidRPr="00A01DEC">
        <w:rPr>
          <w:sz w:val="22"/>
          <w:szCs w:val="22"/>
        </w:rPr>
        <w:instrText xml:space="preserve"> ADDIN EN.CITE &lt;EndNote&gt;&lt;Cite&gt;&lt;Author&gt;Heckathorn&lt;/Author&gt;&lt;Year&gt;2002&lt;/Year&gt;&lt;RecNum&gt;2&lt;/RecNum&gt;&lt;record&gt;&lt;rec-number&gt;2&lt;/rec-number&gt;&lt;foreign-keys&gt;&lt;key app="EN" db-id="asaxpav0txsazpe2wvn5dsrvezp95vafts9z"&gt;2&lt;/key&gt;&lt;/foreign-keys&gt;&lt;ref-type name="Journal Article"&gt;17&lt;/ref-type&gt;&lt;contributors&gt;&lt;authors&gt;&lt;author&gt;Heckathorn, DD&lt;/author&gt;&lt;/authors&gt;&lt;/contributors&gt;&lt;titles&gt;&lt;title&gt;Respondent-driven sampling II: deriving valid population estimates from chain-referral samples of hidden populations&lt;/title&gt;&lt;secondary-title&gt;Social Problems&lt;/secondary-title&gt;&lt;/titles&gt;&lt;periodical&gt;&lt;full-title&gt;Social problems&lt;/full-title&gt;&lt;/periodical&gt;&lt;pages&gt;11-34&lt;/pages&gt;&lt;volume&gt;49&lt;/volume&gt;&lt;number&gt;1&lt;/number&gt;&lt;dates&gt;&lt;year&gt;2002&lt;/year&gt;&lt;/dates&gt;&lt;urls&gt;&lt;/urls&gt;&lt;/record&gt;&lt;/Cite&gt;&lt;/EndNote&gt;</w:instrText>
      </w:r>
      <w:r w:rsidR="00BE74F8" w:rsidRPr="00A01DEC">
        <w:rPr>
          <w:sz w:val="22"/>
          <w:szCs w:val="22"/>
        </w:rPr>
        <w:fldChar w:fldCharType="separate"/>
      </w:r>
      <w:r w:rsidRPr="00A01DEC">
        <w:rPr>
          <w:noProof/>
          <w:sz w:val="22"/>
          <w:szCs w:val="22"/>
        </w:rPr>
        <w:t>(</w:t>
      </w:r>
      <w:hyperlink w:anchor="_ENREF_34" w:tooltip="Heckathorn, 2002 #2" w:history="1">
        <w:r w:rsidRPr="00A01DEC">
          <w:rPr>
            <w:noProof/>
            <w:sz w:val="22"/>
            <w:szCs w:val="22"/>
          </w:rPr>
          <w:t>Heckathorn 2002</w:t>
        </w:r>
      </w:hyperlink>
      <w:r w:rsidRPr="00A01DEC">
        <w:rPr>
          <w:noProof/>
          <w:sz w:val="22"/>
          <w:szCs w:val="22"/>
        </w:rPr>
        <w:t>)</w:t>
      </w:r>
      <w:r w:rsidR="00BE74F8" w:rsidRPr="00A01DEC">
        <w:rPr>
          <w:sz w:val="22"/>
          <w:szCs w:val="22"/>
        </w:rPr>
        <w:fldChar w:fldCharType="end"/>
      </w:r>
      <w:r w:rsidRPr="00A01DEC">
        <w:rPr>
          <w:sz w:val="22"/>
          <w:szCs w:val="22"/>
        </w:rPr>
        <w:t xml:space="preserve">. </w:t>
      </w:r>
      <w:r w:rsidR="00EF5A9F" w:rsidRPr="00A01DEC">
        <w:rPr>
          <w:b/>
          <w:sz w:val="22"/>
          <w:szCs w:val="22"/>
        </w:rPr>
        <w:t>This is a small experimental cohort and will be excluded from the sample for the current project.</w:t>
      </w:r>
    </w:p>
    <w:p w14:paraId="0711CF9D" w14:textId="77777777" w:rsidR="00615D4E" w:rsidRPr="00A01DEC" w:rsidRDefault="00855ABA" w:rsidP="00444B8E">
      <w:pPr>
        <w:pStyle w:val="Heading3"/>
        <w:ind w:left="0"/>
        <w:rPr>
          <w:sz w:val="22"/>
          <w:szCs w:val="22"/>
        </w:rPr>
      </w:pPr>
      <w:bookmarkStart w:id="22" w:name="_Toc201829386"/>
      <w:proofErr w:type="gramStart"/>
      <w:r w:rsidRPr="00A01DEC">
        <w:rPr>
          <w:sz w:val="22"/>
          <w:szCs w:val="22"/>
        </w:rPr>
        <w:t xml:space="preserve">B.1.b </w:t>
      </w:r>
      <w:r w:rsidR="004D5817" w:rsidRPr="00A01DEC">
        <w:rPr>
          <w:sz w:val="22"/>
          <w:szCs w:val="22"/>
        </w:rPr>
        <w:t xml:space="preserve"> </w:t>
      </w:r>
      <w:bookmarkEnd w:id="5"/>
      <w:bookmarkEnd w:id="6"/>
      <w:r w:rsidR="004D5817" w:rsidRPr="00A01DEC">
        <w:rPr>
          <w:sz w:val="22"/>
          <w:szCs w:val="22"/>
        </w:rPr>
        <w:t>Experiment</w:t>
      </w:r>
      <w:proofErr w:type="gramEnd"/>
      <w:r w:rsidRPr="00A01DEC">
        <w:rPr>
          <w:sz w:val="22"/>
          <w:szCs w:val="22"/>
        </w:rPr>
        <w:t xml:space="preserve"> sampling methods</w:t>
      </w:r>
      <w:bookmarkEnd w:id="22"/>
    </w:p>
    <w:p w14:paraId="51567527" w14:textId="77777777" w:rsidR="00615D4E" w:rsidRPr="00A01DEC" w:rsidRDefault="00615D4E" w:rsidP="00444B8E">
      <w:pPr>
        <w:rPr>
          <w:sz w:val="22"/>
          <w:szCs w:val="22"/>
        </w:rPr>
      </w:pPr>
      <w:bookmarkStart w:id="23" w:name="Stanford_Panel_Cohort"/>
      <w:bookmarkStart w:id="24" w:name="Snowball_Cohort"/>
      <w:bookmarkStart w:id="25" w:name="Mailing_Cohort"/>
      <w:bookmarkStart w:id="26" w:name="Vulnerable_Population_Cohort"/>
      <w:bookmarkStart w:id="27" w:name="Respondent_Driven_Sampling_.28RDS.29_Coh"/>
      <w:bookmarkStart w:id="28" w:name="Panel_response_rates"/>
      <w:bookmarkEnd w:id="23"/>
      <w:bookmarkEnd w:id="24"/>
      <w:bookmarkEnd w:id="25"/>
      <w:bookmarkEnd w:id="26"/>
      <w:bookmarkEnd w:id="27"/>
      <w:bookmarkEnd w:id="28"/>
    </w:p>
    <w:p w14:paraId="7CD93F11" w14:textId="77777777" w:rsidR="000E0FC3" w:rsidRPr="00A01DEC" w:rsidRDefault="000E0FC3" w:rsidP="00444B8E">
      <w:pPr>
        <w:rPr>
          <w:sz w:val="22"/>
          <w:szCs w:val="22"/>
        </w:rPr>
      </w:pPr>
      <w:r w:rsidRPr="00F51576">
        <w:rPr>
          <w:sz w:val="22"/>
          <w:szCs w:val="22"/>
        </w:rPr>
        <w:t>The experimental population is the same as the survey population above.</w:t>
      </w:r>
      <w:r w:rsidRPr="00A01DEC">
        <w:rPr>
          <w:sz w:val="22"/>
          <w:szCs w:val="22"/>
        </w:rPr>
        <w:t xml:space="preserve"> </w:t>
      </w:r>
    </w:p>
    <w:p w14:paraId="35557094" w14:textId="77777777" w:rsidR="00855ABA" w:rsidRPr="008A3E4E" w:rsidRDefault="00BB3586" w:rsidP="00E041C7">
      <w:pPr>
        <w:pStyle w:val="Heading2"/>
      </w:pPr>
      <w:bookmarkStart w:id="29" w:name="_Toc201829387"/>
      <w:r w:rsidRPr="00A01DEC">
        <w:rPr>
          <w:sz w:val="22"/>
          <w:szCs w:val="22"/>
        </w:rPr>
        <w:t xml:space="preserve">B.2. </w:t>
      </w:r>
      <w:r w:rsidR="00855ABA" w:rsidRPr="00A01DEC">
        <w:rPr>
          <w:sz w:val="22"/>
          <w:szCs w:val="22"/>
        </w:rPr>
        <w:t>Procedures for the Collection of Information</w:t>
      </w:r>
      <w:bookmarkEnd w:id="29"/>
    </w:p>
    <w:p w14:paraId="29CCABEB" w14:textId="77777777" w:rsidR="00855ABA" w:rsidRPr="008A3E4E" w:rsidRDefault="00855ABA" w:rsidP="00444B8E">
      <w:pPr>
        <w:pStyle w:val="Heading3"/>
        <w:ind w:left="0"/>
        <w:rPr>
          <w:highlight w:val="yellow"/>
        </w:rPr>
      </w:pPr>
      <w:bookmarkStart w:id="30" w:name="_Toc201829388"/>
      <w:r w:rsidRPr="00A01DEC">
        <w:rPr>
          <w:sz w:val="22"/>
          <w:szCs w:val="22"/>
        </w:rPr>
        <w:t>B.2.a. Statistical methodology for stratification and sample selection</w:t>
      </w:r>
      <w:bookmarkEnd w:id="30"/>
    </w:p>
    <w:p w14:paraId="2BEC1B28" w14:textId="77777777" w:rsidR="00855ABA" w:rsidRPr="00A01DEC" w:rsidRDefault="00855ABA" w:rsidP="00444B8E">
      <w:pPr>
        <w:pStyle w:val="Heading4"/>
        <w:ind w:left="0" w:firstLine="0"/>
        <w:rPr>
          <w:sz w:val="22"/>
          <w:szCs w:val="22"/>
        </w:rPr>
      </w:pPr>
      <w:r w:rsidRPr="00A01DEC">
        <w:rPr>
          <w:sz w:val="22"/>
          <w:szCs w:val="22"/>
        </w:rPr>
        <w:t xml:space="preserve">B.2.a.1. </w:t>
      </w:r>
      <w:r w:rsidR="004D5817" w:rsidRPr="00A01DEC">
        <w:rPr>
          <w:sz w:val="22"/>
          <w:szCs w:val="22"/>
        </w:rPr>
        <w:t>Household survey sample s</w:t>
      </w:r>
      <w:r w:rsidRPr="00A01DEC">
        <w:rPr>
          <w:sz w:val="22"/>
          <w:szCs w:val="22"/>
        </w:rPr>
        <w:t xml:space="preserve">election </w:t>
      </w:r>
    </w:p>
    <w:p w14:paraId="1BDA9DA2" w14:textId="77777777" w:rsidR="00615D4E" w:rsidRPr="00A01DEC" w:rsidRDefault="00615D4E" w:rsidP="00444B8E">
      <w:pPr>
        <w:rPr>
          <w:sz w:val="22"/>
          <w:szCs w:val="22"/>
          <w:highlight w:val="yellow"/>
        </w:rPr>
      </w:pPr>
    </w:p>
    <w:p w14:paraId="2CDE09FF" w14:textId="77777777" w:rsidR="00CA2745" w:rsidRPr="00A01DEC" w:rsidRDefault="000E0FC3" w:rsidP="00444B8E">
      <w:pPr>
        <w:spacing w:line="276" w:lineRule="auto"/>
        <w:rPr>
          <w:sz w:val="22"/>
          <w:szCs w:val="22"/>
          <w:highlight w:val="yellow"/>
        </w:rPr>
      </w:pPr>
      <w:r w:rsidRPr="00A01DEC">
        <w:rPr>
          <w:sz w:val="22"/>
          <w:szCs w:val="22"/>
        </w:rPr>
        <w:t xml:space="preserve">For this study, we will administer the survey to </w:t>
      </w:r>
      <w:r w:rsidR="00681A3F" w:rsidRPr="00A01DEC">
        <w:rPr>
          <w:sz w:val="22"/>
          <w:szCs w:val="22"/>
        </w:rPr>
        <w:t xml:space="preserve">the </w:t>
      </w:r>
      <w:r w:rsidRPr="00A01DEC">
        <w:rPr>
          <w:sz w:val="22"/>
          <w:szCs w:val="22"/>
        </w:rPr>
        <w:t>respondents in the American Life Panel</w:t>
      </w:r>
      <w:r w:rsidR="00681A3F" w:rsidRPr="00A01DEC">
        <w:rPr>
          <w:sz w:val="22"/>
          <w:szCs w:val="22"/>
        </w:rPr>
        <w:t xml:space="preserve"> who belong to </w:t>
      </w:r>
      <w:r w:rsidR="00681A3F" w:rsidRPr="00A01DEC">
        <w:rPr>
          <w:sz w:val="22"/>
          <w:szCs w:val="22"/>
        </w:rPr>
        <w:lastRenderedPageBreak/>
        <w:t xml:space="preserve">the following cohorts: University of Michigan internet panel cohort; University of Michigan phone panel cohort; Stanford Panel cohort; Vulnerable </w:t>
      </w:r>
      <w:r w:rsidR="00444B8E" w:rsidRPr="00A01DEC">
        <w:rPr>
          <w:sz w:val="22"/>
          <w:szCs w:val="22"/>
        </w:rPr>
        <w:t>P</w:t>
      </w:r>
      <w:r w:rsidR="00681A3F" w:rsidRPr="00A01DEC">
        <w:rPr>
          <w:sz w:val="22"/>
          <w:szCs w:val="22"/>
        </w:rPr>
        <w:t xml:space="preserve">opulation cohort. </w:t>
      </w:r>
      <w:r w:rsidR="00444B8E" w:rsidRPr="00A01DEC">
        <w:rPr>
          <w:sz w:val="22"/>
          <w:szCs w:val="22"/>
        </w:rPr>
        <w:t>We will only invite the original panel members and not the additional household members.</w:t>
      </w:r>
    </w:p>
    <w:p w14:paraId="5D3253AD" w14:textId="77777777" w:rsidR="00855ABA" w:rsidRPr="00A01DEC" w:rsidRDefault="00855ABA" w:rsidP="00444B8E">
      <w:pPr>
        <w:pStyle w:val="Heading4"/>
        <w:ind w:left="0" w:firstLine="0"/>
        <w:rPr>
          <w:sz w:val="22"/>
          <w:szCs w:val="22"/>
        </w:rPr>
      </w:pPr>
      <w:r w:rsidRPr="00A01DEC">
        <w:rPr>
          <w:sz w:val="22"/>
          <w:szCs w:val="22"/>
        </w:rPr>
        <w:t xml:space="preserve">B.2.a.2. </w:t>
      </w:r>
      <w:r w:rsidR="004D5817" w:rsidRPr="00A01DEC">
        <w:rPr>
          <w:sz w:val="22"/>
          <w:szCs w:val="22"/>
        </w:rPr>
        <w:t>Experiment</w:t>
      </w:r>
      <w:r w:rsidRPr="00A01DEC">
        <w:rPr>
          <w:sz w:val="22"/>
          <w:szCs w:val="22"/>
        </w:rPr>
        <w:t xml:space="preserve"> stratification and sample selection</w:t>
      </w:r>
    </w:p>
    <w:p w14:paraId="6EC0FE18" w14:textId="77777777" w:rsidR="00855ABA" w:rsidRPr="00A01DEC" w:rsidRDefault="00855ABA" w:rsidP="00444B8E">
      <w:pPr>
        <w:rPr>
          <w:sz w:val="22"/>
          <w:szCs w:val="22"/>
          <w:highlight w:val="yellow"/>
        </w:rPr>
      </w:pPr>
    </w:p>
    <w:p w14:paraId="7CE0CE49" w14:textId="77777777" w:rsidR="000E0FC3" w:rsidRPr="00A01DEC" w:rsidRDefault="000E0FC3" w:rsidP="002E528D">
      <w:pPr>
        <w:jc w:val="both"/>
        <w:rPr>
          <w:sz w:val="22"/>
          <w:szCs w:val="22"/>
          <w:highlight w:val="yellow"/>
        </w:rPr>
      </w:pPr>
      <w:r w:rsidRPr="00A01DEC">
        <w:rPr>
          <w:sz w:val="22"/>
          <w:szCs w:val="22"/>
        </w:rPr>
        <w:t xml:space="preserve">For this study, we will treat all </w:t>
      </w:r>
      <w:r w:rsidR="003863BC" w:rsidRPr="00A01DEC">
        <w:rPr>
          <w:sz w:val="22"/>
          <w:szCs w:val="22"/>
        </w:rPr>
        <w:t xml:space="preserve">original </w:t>
      </w:r>
      <w:r w:rsidR="00444B8E" w:rsidRPr="00A01DEC">
        <w:rPr>
          <w:sz w:val="22"/>
          <w:szCs w:val="22"/>
        </w:rPr>
        <w:t xml:space="preserve">panel members from the University of Michigan internet and phone </w:t>
      </w:r>
      <w:r w:rsidR="003863BC" w:rsidRPr="00A01DEC">
        <w:rPr>
          <w:sz w:val="22"/>
          <w:szCs w:val="22"/>
        </w:rPr>
        <w:t xml:space="preserve">panel </w:t>
      </w:r>
      <w:r w:rsidR="00444B8E" w:rsidRPr="00A01DEC">
        <w:rPr>
          <w:sz w:val="22"/>
          <w:szCs w:val="22"/>
        </w:rPr>
        <w:t xml:space="preserve">cohorts, </w:t>
      </w:r>
      <w:r w:rsidR="003863BC" w:rsidRPr="00A01DEC">
        <w:rPr>
          <w:sz w:val="22"/>
          <w:szCs w:val="22"/>
        </w:rPr>
        <w:t>the Stanford Panel cohort, and the Vulnerable Population cohort</w:t>
      </w:r>
      <w:r w:rsidR="00444B8E" w:rsidRPr="00A01DEC">
        <w:rPr>
          <w:sz w:val="22"/>
          <w:szCs w:val="22"/>
        </w:rPr>
        <w:t xml:space="preserve"> </w:t>
      </w:r>
      <w:r w:rsidRPr="00A01DEC">
        <w:rPr>
          <w:sz w:val="22"/>
          <w:szCs w:val="22"/>
        </w:rPr>
        <w:t>in the American Life Panel as experimental subjects</w:t>
      </w:r>
      <w:r w:rsidR="00E83315" w:rsidRPr="00A01DEC">
        <w:rPr>
          <w:sz w:val="22"/>
          <w:szCs w:val="22"/>
        </w:rPr>
        <w:t xml:space="preserve">, </w:t>
      </w:r>
      <w:r w:rsidR="003863BC" w:rsidRPr="00A01DEC">
        <w:rPr>
          <w:sz w:val="22"/>
          <w:szCs w:val="22"/>
        </w:rPr>
        <w:t>which is the same selection as in the survey component in section B.2.a.1</w:t>
      </w:r>
      <w:r w:rsidR="00EF5A9F" w:rsidRPr="00A01DEC">
        <w:rPr>
          <w:sz w:val="22"/>
          <w:szCs w:val="22"/>
        </w:rPr>
        <w:t>.</w:t>
      </w:r>
    </w:p>
    <w:p w14:paraId="5756B231" w14:textId="77777777" w:rsidR="00855ABA" w:rsidRPr="00A01DEC" w:rsidRDefault="00855ABA" w:rsidP="00444B8E">
      <w:pPr>
        <w:pStyle w:val="Heading3"/>
        <w:ind w:left="0"/>
        <w:rPr>
          <w:sz w:val="22"/>
          <w:szCs w:val="22"/>
        </w:rPr>
      </w:pPr>
      <w:bookmarkStart w:id="31" w:name="_Toc201829389"/>
      <w:r w:rsidRPr="00A01DEC">
        <w:rPr>
          <w:sz w:val="22"/>
          <w:szCs w:val="22"/>
        </w:rPr>
        <w:t>B.2.b. Data collection procedures</w:t>
      </w:r>
      <w:bookmarkEnd w:id="31"/>
    </w:p>
    <w:p w14:paraId="33FEDC64" w14:textId="77777777" w:rsidR="000E0FC3" w:rsidRPr="00A01DEC" w:rsidRDefault="000E0FC3" w:rsidP="000E0FC3">
      <w:pPr>
        <w:pStyle w:val="NormalWeb"/>
        <w:spacing w:line="276" w:lineRule="auto"/>
        <w:jc w:val="both"/>
        <w:rPr>
          <w:sz w:val="22"/>
          <w:szCs w:val="22"/>
        </w:rPr>
      </w:pPr>
      <w:r w:rsidRPr="00A01DEC">
        <w:rPr>
          <w:sz w:val="22"/>
          <w:szCs w:val="22"/>
        </w:rPr>
        <w:t>Respondents in the panel either use their own computer to log on to the Internet or they were provided a laptop with built in wireless, or a Web TV (</w:t>
      </w:r>
      <w:hyperlink r:id="rId12" w:tooltip="http://www.webtv.com/pc/" w:history="1">
        <w:r w:rsidRPr="00A01DEC">
          <w:rPr>
            <w:sz w:val="22"/>
            <w:szCs w:val="22"/>
          </w:rPr>
          <w:t>http://www.webtv.com/pc/</w:t>
        </w:r>
      </w:hyperlink>
      <w:r w:rsidRPr="00A01DEC">
        <w:rPr>
          <w:sz w:val="22"/>
          <w:szCs w:val="22"/>
        </w:rPr>
        <w:t xml:space="preserve">) that allows them to access the Internet, using their television and a telephone line. </w:t>
      </w:r>
    </w:p>
    <w:p w14:paraId="5359B2F5" w14:textId="77777777" w:rsidR="00855ABA" w:rsidRPr="00A01DEC" w:rsidRDefault="000E0FC3" w:rsidP="00E041C7">
      <w:pPr>
        <w:spacing w:before="100" w:beforeAutospacing="1" w:after="100" w:afterAutospacing="1"/>
        <w:jc w:val="both"/>
        <w:rPr>
          <w:sz w:val="22"/>
          <w:szCs w:val="22"/>
        </w:rPr>
      </w:pPr>
      <w:r w:rsidRPr="00A01DEC">
        <w:rPr>
          <w:sz w:val="22"/>
          <w:szCs w:val="22"/>
        </w:rPr>
        <w:t>About twice a month respondents receive an email with a request to visit the ALP URL and fill out questionnaires on the Internet. Typically an interview will not take more than 30 minutes. Respondents are paid an incentive of about $20 per thirty minutes of interviewing (and proportionately less if an interview is shorter). Most respondents respond within one week and the vast majority within three weeks. To further increase response rates, reminders are sent each week. For any given project</w:t>
      </w:r>
      <w:r w:rsidR="004B7491" w:rsidRPr="00A01DEC">
        <w:rPr>
          <w:sz w:val="22"/>
          <w:szCs w:val="22"/>
        </w:rPr>
        <w:t>,</w:t>
      </w:r>
      <w:r w:rsidRPr="00A01DEC">
        <w:rPr>
          <w:sz w:val="22"/>
          <w:szCs w:val="22"/>
        </w:rPr>
        <w:t xml:space="preserve"> survey authors can receive data in real time during the field period so that one can start preliminary analysis before the field period has ended. </w:t>
      </w:r>
    </w:p>
    <w:p w14:paraId="3333378C" w14:textId="77777777" w:rsidR="00681A3F" w:rsidRDefault="00EF5A9F" w:rsidP="00A01DEC">
      <w:pPr>
        <w:spacing w:line="276" w:lineRule="auto"/>
        <w:jc w:val="both"/>
        <w:rPr>
          <w:sz w:val="22"/>
          <w:szCs w:val="22"/>
        </w:rPr>
      </w:pPr>
      <w:r w:rsidRPr="008A3E4E">
        <w:rPr>
          <w:sz w:val="22"/>
          <w:szCs w:val="22"/>
        </w:rPr>
        <w:t xml:space="preserve">The incentives are in line with other main social science surveys, like the Panel Study of Income Dynamics ($60 per </w:t>
      </w:r>
      <w:r w:rsidR="008A6584" w:rsidRPr="008A3E4E">
        <w:rPr>
          <w:sz w:val="22"/>
          <w:szCs w:val="22"/>
        </w:rPr>
        <w:t>77</w:t>
      </w:r>
      <w:r w:rsidRPr="008A3E4E">
        <w:rPr>
          <w:sz w:val="22"/>
          <w:szCs w:val="22"/>
        </w:rPr>
        <w:t xml:space="preserve"> minute interview) and the Health and Retirement Study ($50 per </w:t>
      </w:r>
      <w:r w:rsidR="00351304" w:rsidRPr="008A3E4E">
        <w:rPr>
          <w:sz w:val="22"/>
          <w:szCs w:val="22"/>
        </w:rPr>
        <w:t>12</w:t>
      </w:r>
      <w:r w:rsidR="008A6584" w:rsidRPr="008A3E4E">
        <w:rPr>
          <w:sz w:val="22"/>
          <w:szCs w:val="22"/>
        </w:rPr>
        <w:t>1</w:t>
      </w:r>
      <w:r w:rsidRPr="008A3E4E">
        <w:rPr>
          <w:sz w:val="22"/>
          <w:szCs w:val="22"/>
        </w:rPr>
        <w:t xml:space="preserve"> minute interview). Providing incentives in panels is best practice and there is ample evidence that this helps in limiting attrition (see e.g., </w:t>
      </w:r>
      <w:proofErr w:type="spellStart"/>
      <w:r w:rsidRPr="008A3E4E">
        <w:rPr>
          <w:sz w:val="22"/>
          <w:szCs w:val="22"/>
        </w:rPr>
        <w:t>Göritz</w:t>
      </w:r>
      <w:proofErr w:type="spellEnd"/>
      <w:r w:rsidRPr="008A3E4E">
        <w:rPr>
          <w:sz w:val="22"/>
          <w:szCs w:val="22"/>
        </w:rPr>
        <w:t xml:space="preserve">, 2006; Millar and </w:t>
      </w:r>
      <w:proofErr w:type="spellStart"/>
      <w:r w:rsidRPr="008A3E4E">
        <w:rPr>
          <w:sz w:val="22"/>
          <w:szCs w:val="22"/>
        </w:rPr>
        <w:t>Dillman</w:t>
      </w:r>
      <w:proofErr w:type="spellEnd"/>
      <w:r w:rsidRPr="008A3E4E">
        <w:rPr>
          <w:sz w:val="22"/>
          <w:szCs w:val="22"/>
        </w:rPr>
        <w:t xml:space="preserve">, 2011). Moreover, the evidence suggests incentives have a positive effect on representativeness and data quality (see, e.g., Mack et al., 1998). Singer and </w:t>
      </w:r>
      <w:proofErr w:type="spellStart"/>
      <w:r w:rsidRPr="008A3E4E">
        <w:rPr>
          <w:sz w:val="22"/>
          <w:szCs w:val="22"/>
        </w:rPr>
        <w:t>Kulka</w:t>
      </w:r>
      <w:proofErr w:type="spellEnd"/>
      <w:r w:rsidRPr="008A3E4E">
        <w:rPr>
          <w:sz w:val="22"/>
          <w:szCs w:val="22"/>
        </w:rPr>
        <w:t xml:space="preserve"> (2002) present evidence suggesting the use of incentives in panel studies can be quite effective in reducing subsequent attrition. Limiting attrition both improves representativeness (e.g. Michaud et al., 2011) and reduces the added cost of sample recruitment. There is evidence that Internet response rates are increased by using incentives</w:t>
      </w:r>
      <w:r w:rsidR="00A6160C">
        <w:rPr>
          <w:sz w:val="22"/>
          <w:szCs w:val="22"/>
        </w:rPr>
        <w:t>.</w:t>
      </w:r>
      <w:r w:rsidRPr="008A3E4E">
        <w:rPr>
          <w:sz w:val="22"/>
          <w:szCs w:val="22"/>
        </w:rPr>
        <w:t xml:space="preserve"> </w:t>
      </w:r>
    </w:p>
    <w:p w14:paraId="1D9A5290" w14:textId="77777777" w:rsidR="00F51576" w:rsidRDefault="00F51576" w:rsidP="00A01DEC">
      <w:pPr>
        <w:spacing w:line="276" w:lineRule="auto"/>
        <w:jc w:val="both"/>
        <w:rPr>
          <w:sz w:val="22"/>
          <w:szCs w:val="22"/>
        </w:rPr>
      </w:pPr>
    </w:p>
    <w:p w14:paraId="445E2438" w14:textId="5E0186EE" w:rsidR="00F51576" w:rsidRPr="00A01DEC" w:rsidRDefault="00F51576" w:rsidP="00A01DEC">
      <w:pPr>
        <w:spacing w:line="276" w:lineRule="auto"/>
        <w:jc w:val="both"/>
        <w:rPr>
          <w:sz w:val="22"/>
          <w:szCs w:val="22"/>
        </w:rPr>
      </w:pPr>
      <w:r>
        <w:rPr>
          <w:sz w:val="22"/>
          <w:szCs w:val="22"/>
        </w:rPr>
        <w:t xml:space="preserve">Focus group participants will be recruited through focus group vendors that maintain databases of names of individuals that have previously identified themselves as being willing to participate in future focus groups.  Focus group participants </w:t>
      </w:r>
      <w:r w:rsidRPr="00D54D13">
        <w:rPr>
          <w:color w:val="000000"/>
          <w:sz w:val="22"/>
          <w:szCs w:val="22"/>
        </w:rPr>
        <w:t>will receive a $100 incentive fee to participate in the hour and a</w:t>
      </w:r>
      <w:r>
        <w:rPr>
          <w:color w:val="000000"/>
          <w:sz w:val="22"/>
          <w:szCs w:val="22"/>
        </w:rPr>
        <w:t xml:space="preserve"> half discussion, which is a standard incentive fee for a focus group of this length in a metropolitan area.</w:t>
      </w:r>
    </w:p>
    <w:p w14:paraId="4EE6C7D5" w14:textId="77777777" w:rsidR="00855ABA" w:rsidRPr="00A01DEC" w:rsidRDefault="00BB3586" w:rsidP="00BB3586">
      <w:pPr>
        <w:pStyle w:val="Heading2"/>
        <w:rPr>
          <w:sz w:val="22"/>
          <w:szCs w:val="22"/>
        </w:rPr>
      </w:pPr>
      <w:bookmarkStart w:id="32" w:name="_Toc201829390"/>
      <w:r w:rsidRPr="00A01DEC">
        <w:rPr>
          <w:sz w:val="22"/>
          <w:szCs w:val="22"/>
        </w:rPr>
        <w:t xml:space="preserve">B.3.  </w:t>
      </w:r>
      <w:r w:rsidR="00855ABA" w:rsidRPr="00A01DEC">
        <w:rPr>
          <w:sz w:val="22"/>
          <w:szCs w:val="22"/>
        </w:rPr>
        <w:t>Methods to Maximize Response Rates and Deal with Nonresponse</w:t>
      </w:r>
      <w:bookmarkEnd w:id="32"/>
    </w:p>
    <w:p w14:paraId="068D0548" w14:textId="77777777" w:rsidR="00615D4E" w:rsidRPr="00CC15D9" w:rsidRDefault="000E0FC3" w:rsidP="00A6160C">
      <w:pPr>
        <w:pStyle w:val="NormalWeb"/>
        <w:spacing w:before="0" w:beforeAutospacing="0" w:after="0" w:afterAutospacing="0" w:line="276" w:lineRule="auto"/>
        <w:jc w:val="both"/>
        <w:rPr>
          <w:sz w:val="22"/>
          <w:szCs w:val="22"/>
        </w:rPr>
      </w:pPr>
      <w:r w:rsidRPr="00A01DEC">
        <w:rPr>
          <w:sz w:val="22"/>
          <w:szCs w:val="22"/>
        </w:rPr>
        <w:t>As noted above, p</w:t>
      </w:r>
      <w:r w:rsidR="00615D4E" w:rsidRPr="00A01DEC">
        <w:rPr>
          <w:sz w:val="22"/>
          <w:szCs w:val="22"/>
        </w:rPr>
        <w:t xml:space="preserve">articipants are paid for their time. Once in the ALP, participants tend to remain indefinitely, which is reflected in relatively low attrition rates.  </w:t>
      </w:r>
      <w:r w:rsidR="00615D4E" w:rsidRPr="00CC15D9">
        <w:rPr>
          <w:sz w:val="22"/>
          <w:szCs w:val="22"/>
        </w:rPr>
        <w:t xml:space="preserve">It should be noted that panel members do not always give formal notification about their intent to leave the panel. Rather, they simply stop participating in surveys over a prolonged period of time. To avoid that such members remain in the panel indefinitely, at the beginning of each year RAND attempts to contact these members to ask them whether </w:t>
      </w:r>
      <w:r w:rsidR="00615D4E" w:rsidRPr="00CC15D9">
        <w:rPr>
          <w:sz w:val="22"/>
          <w:szCs w:val="22"/>
        </w:rPr>
        <w:lastRenderedPageBreak/>
        <w:t xml:space="preserve">they are still interested in participating, and if contact attempts fail, removes them from the ALP. For example, respondents who were not active in </w:t>
      </w:r>
      <w:proofErr w:type="gramStart"/>
      <w:r w:rsidR="00615D4E" w:rsidRPr="00CC15D9">
        <w:rPr>
          <w:sz w:val="22"/>
          <w:szCs w:val="22"/>
        </w:rPr>
        <w:t>2007,</w:t>
      </w:r>
      <w:proofErr w:type="gramEnd"/>
      <w:r w:rsidR="00615D4E" w:rsidRPr="00CC15D9">
        <w:rPr>
          <w:sz w:val="22"/>
          <w:szCs w:val="22"/>
        </w:rPr>
        <w:t xml:space="preserve"> were removed from the panel in the beginning of 2008.  </w:t>
      </w:r>
    </w:p>
    <w:p w14:paraId="6B1058E5" w14:textId="77777777" w:rsidR="00615D4E" w:rsidRPr="003C31C2" w:rsidRDefault="00615D4E" w:rsidP="00DE0563">
      <w:pPr>
        <w:widowControl/>
        <w:numPr>
          <w:ilvl w:val="0"/>
          <w:numId w:val="37"/>
        </w:numPr>
        <w:autoSpaceDE/>
        <w:autoSpaceDN/>
        <w:adjustRightInd/>
        <w:spacing w:before="100" w:beforeAutospacing="1" w:after="100" w:afterAutospacing="1" w:line="276" w:lineRule="auto"/>
        <w:jc w:val="both"/>
        <w:rPr>
          <w:rFonts w:eastAsia="Calibri"/>
          <w:sz w:val="22"/>
          <w:szCs w:val="22"/>
        </w:rPr>
      </w:pPr>
      <w:r w:rsidRPr="00CC15D9">
        <w:rPr>
          <w:rFonts w:eastAsia="Calibri"/>
          <w:sz w:val="22"/>
          <w:szCs w:val="22"/>
        </w:rPr>
        <w:t xml:space="preserve">Size of selected sample: Samples are drawn based on the selection criteria applicable to the survey, i.e. in relationship to the goal of the research. Only ALP panel members considered </w:t>
      </w:r>
      <w:r w:rsidRPr="00CC15D9">
        <w:rPr>
          <w:rFonts w:eastAsia="Calibri"/>
          <w:b/>
          <w:bCs/>
          <w:sz w:val="22"/>
          <w:szCs w:val="22"/>
        </w:rPr>
        <w:t>active</w:t>
      </w:r>
      <w:r w:rsidRPr="00CC15D9">
        <w:rPr>
          <w:rFonts w:eastAsia="Calibri"/>
          <w:sz w:val="22"/>
          <w:szCs w:val="22"/>
        </w:rPr>
        <w:t xml:space="preserve"> at the time of the survey are selected. A member is considered to be active if s/he participated in the household information survey within one year prior to the fielding date of the survey. For example, if the survey was fielded on April 15, 2009, then a member is considered to be active if s/he responded to the household information survey in the period April 15, 2008 - April 14, 2009. If s/he did not respond to the household information survey in that period, s/he is considered to be </w:t>
      </w:r>
      <w:r w:rsidRPr="00CC15D9">
        <w:rPr>
          <w:rFonts w:eastAsia="Calibri"/>
          <w:b/>
          <w:bCs/>
          <w:sz w:val="22"/>
          <w:szCs w:val="22"/>
        </w:rPr>
        <w:t>inactive</w:t>
      </w:r>
      <w:r w:rsidRPr="00CC15D9">
        <w:rPr>
          <w:rFonts w:eastAsia="Calibri"/>
          <w:sz w:val="22"/>
          <w:szCs w:val="22"/>
        </w:rPr>
        <w:t xml:space="preserve"> at the time of the survey and is not part of the selected sample. </w:t>
      </w:r>
    </w:p>
    <w:p w14:paraId="6D2F3CCE" w14:textId="77777777" w:rsidR="00615D4E" w:rsidRPr="003C31C2" w:rsidRDefault="00615D4E" w:rsidP="00E041C7">
      <w:pPr>
        <w:pStyle w:val="NormalWeb"/>
        <w:spacing w:line="276" w:lineRule="auto"/>
        <w:jc w:val="both"/>
        <w:rPr>
          <w:sz w:val="22"/>
          <w:szCs w:val="22"/>
        </w:rPr>
      </w:pPr>
      <w:r w:rsidRPr="003C31C2">
        <w:rPr>
          <w:sz w:val="22"/>
          <w:szCs w:val="22"/>
        </w:rPr>
        <w:t xml:space="preserve"> Most respondents tend to respond within one week of the date the survey went into the field. Almost all respondents do so within three weeks. To further maximize response, the survey is kept in the field longer and/or additional reminders are sent. </w:t>
      </w:r>
    </w:p>
    <w:p w14:paraId="483C8F2A" w14:textId="77777777" w:rsidR="003F7821" w:rsidRPr="003C31C2" w:rsidRDefault="003F7821" w:rsidP="003F7821">
      <w:pPr>
        <w:pStyle w:val="Heading2"/>
        <w:rPr>
          <w:sz w:val="22"/>
          <w:szCs w:val="22"/>
        </w:rPr>
      </w:pPr>
      <w:bookmarkStart w:id="33" w:name="_Toc201829391"/>
      <w:r w:rsidRPr="003C31C2">
        <w:rPr>
          <w:sz w:val="22"/>
          <w:szCs w:val="22"/>
        </w:rPr>
        <w:t xml:space="preserve">B.3.a. </w:t>
      </w:r>
      <w:r w:rsidR="00325B1A" w:rsidRPr="003C31C2">
        <w:rPr>
          <w:sz w:val="22"/>
          <w:szCs w:val="22"/>
        </w:rPr>
        <w:t>Panel Attrition and Response Rates</w:t>
      </w:r>
      <w:bookmarkEnd w:id="33"/>
    </w:p>
    <w:p w14:paraId="564D207D" w14:textId="77777777" w:rsidR="00325B1A" w:rsidRPr="008A3E4E" w:rsidRDefault="00325B1A" w:rsidP="00325B1A"/>
    <w:p w14:paraId="67E43A44" w14:textId="77777777" w:rsidR="00325B1A" w:rsidRPr="0039023E" w:rsidRDefault="00325B1A" w:rsidP="0039023E">
      <w:pPr>
        <w:jc w:val="both"/>
        <w:rPr>
          <w:sz w:val="22"/>
          <w:szCs w:val="22"/>
        </w:rPr>
      </w:pPr>
      <w:r w:rsidRPr="0039023E">
        <w:rPr>
          <w:sz w:val="22"/>
          <w:szCs w:val="22"/>
        </w:rPr>
        <w:t xml:space="preserve">To give an indication of typical response rates in the ALP, we computed the average response rate for all surveys conducted in 2011. For these computations, we follow AAPOR (2011) and </w:t>
      </w:r>
      <w:proofErr w:type="spellStart"/>
      <w:r w:rsidRPr="0039023E">
        <w:rPr>
          <w:sz w:val="22"/>
          <w:szCs w:val="22"/>
        </w:rPr>
        <w:t>Callegaro</w:t>
      </w:r>
      <w:proofErr w:type="spellEnd"/>
      <w:r w:rsidRPr="0039023E">
        <w:rPr>
          <w:sz w:val="22"/>
          <w:szCs w:val="22"/>
        </w:rPr>
        <w:t xml:space="preserve"> and </w:t>
      </w:r>
      <w:proofErr w:type="spellStart"/>
      <w:r w:rsidRPr="0039023E">
        <w:rPr>
          <w:sz w:val="22"/>
          <w:szCs w:val="22"/>
        </w:rPr>
        <w:t>DiSogra</w:t>
      </w:r>
      <w:proofErr w:type="spellEnd"/>
      <w:r w:rsidRPr="0039023E">
        <w:rPr>
          <w:sz w:val="22"/>
          <w:szCs w:val="22"/>
        </w:rPr>
        <w:t xml:space="preserve"> (2008). We compute cumulative response rates as the product of the following three factors:</w:t>
      </w:r>
    </w:p>
    <w:p w14:paraId="399C4142" w14:textId="77777777" w:rsidR="00325B1A" w:rsidRPr="0039023E" w:rsidRDefault="00325B1A" w:rsidP="006250C2">
      <w:pPr>
        <w:pStyle w:val="ListParagraph"/>
        <w:numPr>
          <w:ilvl w:val="0"/>
          <w:numId w:val="47"/>
        </w:numPr>
        <w:jc w:val="both"/>
        <w:rPr>
          <w:sz w:val="22"/>
          <w:szCs w:val="22"/>
        </w:rPr>
      </w:pPr>
      <w:r w:rsidRPr="0039023E">
        <w:rPr>
          <w:sz w:val="22"/>
          <w:szCs w:val="22"/>
        </w:rPr>
        <w:t xml:space="preserve">Recruitment rate (RECR), which is the fraction of individuals selected for inclusion in the panel </w:t>
      </w:r>
      <w:proofErr w:type="gramStart"/>
      <w:r w:rsidRPr="0039023E">
        <w:rPr>
          <w:sz w:val="22"/>
          <w:szCs w:val="22"/>
        </w:rPr>
        <w:t>who</w:t>
      </w:r>
      <w:proofErr w:type="gramEnd"/>
      <w:r w:rsidRPr="0039023E">
        <w:rPr>
          <w:sz w:val="22"/>
          <w:szCs w:val="22"/>
        </w:rPr>
        <w:t xml:space="preserve"> were recruited into the panel.</w:t>
      </w:r>
    </w:p>
    <w:p w14:paraId="3A8052CD" w14:textId="77777777" w:rsidR="00325B1A" w:rsidRPr="0039023E" w:rsidRDefault="00325B1A" w:rsidP="006250C2">
      <w:pPr>
        <w:pStyle w:val="ListParagraph"/>
        <w:numPr>
          <w:ilvl w:val="0"/>
          <w:numId w:val="47"/>
        </w:numPr>
        <w:jc w:val="both"/>
        <w:rPr>
          <w:sz w:val="22"/>
          <w:szCs w:val="22"/>
        </w:rPr>
      </w:pPr>
      <w:r w:rsidRPr="0039023E">
        <w:rPr>
          <w:sz w:val="22"/>
          <w:szCs w:val="22"/>
        </w:rPr>
        <w:t>Retention rate (RETR), which is the fraction of recruited individuals who were still panel members at any time during 2011.</w:t>
      </w:r>
    </w:p>
    <w:p w14:paraId="67F5436F" w14:textId="77777777" w:rsidR="00325B1A" w:rsidRPr="0039023E" w:rsidRDefault="00325B1A" w:rsidP="006250C2">
      <w:pPr>
        <w:pStyle w:val="ListParagraph"/>
        <w:numPr>
          <w:ilvl w:val="0"/>
          <w:numId w:val="47"/>
        </w:numPr>
        <w:jc w:val="both"/>
        <w:rPr>
          <w:sz w:val="22"/>
          <w:szCs w:val="22"/>
        </w:rPr>
      </w:pPr>
      <w:r w:rsidRPr="0039023E">
        <w:rPr>
          <w:sz w:val="22"/>
          <w:szCs w:val="22"/>
        </w:rPr>
        <w:t>Completion rate (COMR), which is the fraction of invitations for participating in a survey in 2011 that resulted in a complete or partial interview.</w:t>
      </w:r>
    </w:p>
    <w:p w14:paraId="4728E5AC" w14:textId="77777777" w:rsidR="00D5707C" w:rsidRDefault="00D5707C" w:rsidP="006250C2">
      <w:pPr>
        <w:jc w:val="both"/>
        <w:rPr>
          <w:sz w:val="22"/>
          <w:szCs w:val="22"/>
        </w:rPr>
      </w:pPr>
    </w:p>
    <w:p w14:paraId="06FFC3FD" w14:textId="77777777" w:rsidR="00325B1A" w:rsidRPr="0039023E" w:rsidRDefault="00325B1A" w:rsidP="006250C2">
      <w:pPr>
        <w:jc w:val="both"/>
        <w:rPr>
          <w:sz w:val="22"/>
          <w:szCs w:val="22"/>
        </w:rPr>
      </w:pPr>
      <w:r w:rsidRPr="0039023E">
        <w:rPr>
          <w:sz w:val="22"/>
          <w:szCs w:val="22"/>
        </w:rPr>
        <w:t xml:space="preserve">Below, we provide more detailed definitions. AAPOR and </w:t>
      </w:r>
      <w:proofErr w:type="spellStart"/>
      <w:r w:rsidRPr="0039023E">
        <w:rPr>
          <w:sz w:val="22"/>
          <w:szCs w:val="22"/>
        </w:rPr>
        <w:t>Callegaro</w:t>
      </w:r>
      <w:proofErr w:type="spellEnd"/>
      <w:r w:rsidRPr="0039023E">
        <w:rPr>
          <w:sz w:val="22"/>
          <w:szCs w:val="22"/>
        </w:rPr>
        <w:t xml:space="preserve"> and </w:t>
      </w:r>
      <w:proofErr w:type="spellStart"/>
      <w:r w:rsidRPr="0039023E">
        <w:rPr>
          <w:sz w:val="22"/>
          <w:szCs w:val="22"/>
        </w:rPr>
        <w:t>DiSogra</w:t>
      </w:r>
      <w:proofErr w:type="spellEnd"/>
      <w:r w:rsidRPr="0039023E">
        <w:rPr>
          <w:sz w:val="22"/>
          <w:szCs w:val="22"/>
        </w:rPr>
        <w:t xml:space="preserve"> also define a </w:t>
      </w:r>
      <w:r w:rsidRPr="0039023E">
        <w:rPr>
          <w:i/>
          <w:sz w:val="22"/>
          <w:szCs w:val="22"/>
        </w:rPr>
        <w:t>profile rate</w:t>
      </w:r>
      <w:r w:rsidRPr="0039023E">
        <w:rPr>
          <w:sz w:val="22"/>
          <w:szCs w:val="22"/>
        </w:rPr>
        <w:t xml:space="preserve"> (PROR), which is the fraction of recruits who complete an initial profile survey, consisting typically of basic demographics (the household information survey mentioned above). We have not computed separate rates for this, so this is included in the retention rate in our computations.</w:t>
      </w:r>
    </w:p>
    <w:p w14:paraId="1D0E85D9" w14:textId="77777777" w:rsidR="00325B1A" w:rsidRPr="0039023E" w:rsidRDefault="00325B1A" w:rsidP="006250C2">
      <w:pPr>
        <w:jc w:val="both"/>
        <w:rPr>
          <w:sz w:val="22"/>
          <w:szCs w:val="22"/>
        </w:rPr>
      </w:pPr>
    </w:p>
    <w:p w14:paraId="51318D81" w14:textId="77777777" w:rsidR="00325B1A" w:rsidRPr="0039023E" w:rsidRDefault="00325B1A" w:rsidP="006250C2">
      <w:pPr>
        <w:jc w:val="both"/>
        <w:rPr>
          <w:sz w:val="22"/>
          <w:szCs w:val="22"/>
        </w:rPr>
      </w:pPr>
      <w:r w:rsidRPr="0039023E">
        <w:rPr>
          <w:sz w:val="22"/>
          <w:szCs w:val="22"/>
        </w:rPr>
        <w:t xml:space="preserve">For this study, we will only select respondents from the large cohorts that were obtained from well-defined probability samples: the University of Michigan's Survey of Consumer Attitudes (SCA), Stanford University's National Survey Project (FFRISP), and Vulnerable Populations. We will only use original panel members and not added household members. The latter are a fairly small group and omitting them avoids complications in the computations of response rates, standard errors, and design effects. Furthermore, because the MS Internet and MS CATI subsamples were drawn from the same source, we combine them for </w:t>
      </w:r>
      <w:r w:rsidR="00D61A74">
        <w:rPr>
          <w:sz w:val="22"/>
          <w:szCs w:val="22"/>
        </w:rPr>
        <w:t xml:space="preserve">the purpose of </w:t>
      </w:r>
      <w:r w:rsidRPr="0039023E">
        <w:rPr>
          <w:sz w:val="22"/>
          <w:szCs w:val="22"/>
        </w:rPr>
        <w:t>computing response rates.</w:t>
      </w:r>
    </w:p>
    <w:p w14:paraId="750E6620" w14:textId="77777777" w:rsidR="00325B1A" w:rsidRPr="0039023E" w:rsidRDefault="00325B1A" w:rsidP="006250C2">
      <w:pPr>
        <w:jc w:val="both"/>
        <w:rPr>
          <w:sz w:val="22"/>
          <w:szCs w:val="22"/>
        </w:rPr>
      </w:pPr>
    </w:p>
    <w:p w14:paraId="4470D8C7" w14:textId="77777777" w:rsidR="00325B1A" w:rsidRPr="006250C2" w:rsidRDefault="00325B1A" w:rsidP="006250C2">
      <w:pPr>
        <w:jc w:val="both"/>
        <w:rPr>
          <w:sz w:val="22"/>
          <w:szCs w:val="22"/>
        </w:rPr>
      </w:pPr>
      <w:r w:rsidRPr="0039023E">
        <w:rPr>
          <w:sz w:val="22"/>
          <w:szCs w:val="22"/>
        </w:rPr>
        <w:t>Table B.</w:t>
      </w:r>
      <w:r w:rsidR="006250C2">
        <w:rPr>
          <w:sz w:val="22"/>
          <w:szCs w:val="22"/>
        </w:rPr>
        <w:t>1</w:t>
      </w:r>
      <w:r w:rsidRPr="0039023E">
        <w:rPr>
          <w:sz w:val="22"/>
          <w:szCs w:val="22"/>
        </w:rPr>
        <w:t xml:space="preserve"> summarizes the results. It shows that overall we have a recruitment rate of 22%, a retention rate of 72%, and a completion rate of 79%, resulting in a cumulative response rate of 12.5%. This is twice as high as the example given in </w:t>
      </w:r>
      <w:proofErr w:type="spellStart"/>
      <w:r w:rsidRPr="0039023E">
        <w:rPr>
          <w:sz w:val="22"/>
          <w:szCs w:val="22"/>
        </w:rPr>
        <w:t>Callegaro</w:t>
      </w:r>
      <w:proofErr w:type="spellEnd"/>
      <w:r w:rsidRPr="0039023E">
        <w:rPr>
          <w:sz w:val="22"/>
          <w:szCs w:val="22"/>
        </w:rPr>
        <w:t xml:space="preserve"> &amp; </w:t>
      </w:r>
      <w:proofErr w:type="spellStart"/>
      <w:r w:rsidRPr="0039023E">
        <w:rPr>
          <w:sz w:val="22"/>
          <w:szCs w:val="22"/>
        </w:rPr>
        <w:t>DiSogra</w:t>
      </w:r>
      <w:proofErr w:type="spellEnd"/>
      <w:r w:rsidRPr="0039023E">
        <w:rPr>
          <w:sz w:val="22"/>
          <w:szCs w:val="22"/>
        </w:rPr>
        <w:t xml:space="preserve"> (2008). Note that the retention rate differs greatly between cohorts, which is due to the variation in </w:t>
      </w:r>
      <w:r w:rsidR="00D61A74">
        <w:rPr>
          <w:sz w:val="22"/>
          <w:szCs w:val="22"/>
        </w:rPr>
        <w:t xml:space="preserve">the time </w:t>
      </w:r>
      <w:r w:rsidRPr="0039023E">
        <w:rPr>
          <w:sz w:val="22"/>
          <w:szCs w:val="22"/>
        </w:rPr>
        <w:t xml:space="preserve">when the samples were initially recruited. For the Michigan samples, the earliest members were recruited in 2002, whereas the Vulnerable Populations </w:t>
      </w:r>
      <w:r w:rsidRPr="0039023E">
        <w:rPr>
          <w:sz w:val="22"/>
          <w:szCs w:val="22"/>
        </w:rPr>
        <w:lastRenderedPageBreak/>
        <w:t>have been recruited very recently, and in fact recruitment for these is still ongoing</w:t>
      </w:r>
      <w:r w:rsidRPr="006250C2">
        <w:rPr>
          <w:sz w:val="22"/>
          <w:szCs w:val="22"/>
        </w:rPr>
        <w:t>.</w:t>
      </w:r>
    </w:p>
    <w:p w14:paraId="38392D93" w14:textId="77777777" w:rsidR="00325B1A" w:rsidRPr="006250C2" w:rsidRDefault="00325B1A" w:rsidP="006250C2">
      <w:pPr>
        <w:jc w:val="both"/>
        <w:rPr>
          <w:sz w:val="22"/>
          <w:szCs w:val="22"/>
        </w:rPr>
      </w:pPr>
    </w:p>
    <w:p w14:paraId="04962DBB" w14:textId="77777777" w:rsidR="00325B1A" w:rsidRPr="006250C2" w:rsidRDefault="00325B1A" w:rsidP="006250C2">
      <w:pPr>
        <w:jc w:val="both"/>
        <w:rPr>
          <w:sz w:val="22"/>
          <w:szCs w:val="22"/>
        </w:rPr>
      </w:pPr>
      <w:r w:rsidRPr="006250C2">
        <w:rPr>
          <w:b/>
          <w:sz w:val="22"/>
          <w:szCs w:val="22"/>
        </w:rPr>
        <w:t>Table B.</w:t>
      </w:r>
      <w:r w:rsidR="006250C2">
        <w:rPr>
          <w:b/>
          <w:sz w:val="22"/>
          <w:szCs w:val="22"/>
        </w:rPr>
        <w:t>1</w:t>
      </w:r>
      <w:r w:rsidRPr="006250C2">
        <w:rPr>
          <w:b/>
          <w:sz w:val="22"/>
          <w:szCs w:val="22"/>
        </w:rPr>
        <w:t>:</w:t>
      </w:r>
      <w:r w:rsidRPr="006250C2">
        <w:rPr>
          <w:sz w:val="22"/>
          <w:szCs w:val="22"/>
        </w:rPr>
        <w:t xml:space="preserve"> Summary of response rates in 2011 (%).</w:t>
      </w:r>
    </w:p>
    <w:tbl>
      <w:tblPr>
        <w:tblW w:w="8496" w:type="dxa"/>
        <w:shd w:val="clear" w:color="000000" w:fill="auto"/>
        <w:tblCellMar>
          <w:left w:w="0" w:type="dxa"/>
          <w:right w:w="0" w:type="dxa"/>
        </w:tblCellMar>
        <w:tblLook w:val="04A0" w:firstRow="1" w:lastRow="0" w:firstColumn="1" w:lastColumn="0" w:noHBand="0" w:noVBand="1"/>
      </w:tblPr>
      <w:tblGrid>
        <w:gridCol w:w="2600"/>
        <w:gridCol w:w="1300"/>
        <w:gridCol w:w="1300"/>
        <w:gridCol w:w="1300"/>
        <w:gridCol w:w="1996"/>
      </w:tblGrid>
      <w:tr w:rsidR="00325B1A" w:rsidRPr="008A3E4E" w14:paraId="0D7DBE82" w14:textId="77777777" w:rsidTr="00325B1A">
        <w:trPr>
          <w:trHeight w:val="300"/>
        </w:trPr>
        <w:tc>
          <w:tcPr>
            <w:tcW w:w="2600" w:type="dxa"/>
            <w:tcBorders>
              <w:top w:val="single" w:sz="4" w:space="0" w:color="auto"/>
            </w:tcBorders>
            <w:shd w:val="clear" w:color="000000" w:fill="auto"/>
            <w:noWrap/>
            <w:tcMar>
              <w:top w:w="15" w:type="dxa"/>
              <w:left w:w="15" w:type="dxa"/>
              <w:bottom w:w="0" w:type="dxa"/>
              <w:right w:w="15" w:type="dxa"/>
            </w:tcMar>
            <w:vAlign w:val="bottom"/>
            <w:hideMark/>
          </w:tcPr>
          <w:p w14:paraId="106523CC" w14:textId="77777777" w:rsidR="00325B1A" w:rsidRPr="008A3E4E" w:rsidRDefault="00325B1A" w:rsidP="006250C2">
            <w:pPr>
              <w:jc w:val="both"/>
              <w:rPr>
                <w:color w:val="000000"/>
                <w:sz w:val="22"/>
                <w:szCs w:val="22"/>
              </w:rPr>
            </w:pPr>
          </w:p>
        </w:tc>
        <w:tc>
          <w:tcPr>
            <w:tcW w:w="1300" w:type="dxa"/>
            <w:tcBorders>
              <w:top w:val="single" w:sz="4" w:space="0" w:color="auto"/>
            </w:tcBorders>
            <w:shd w:val="clear" w:color="000000" w:fill="auto"/>
            <w:noWrap/>
            <w:tcMar>
              <w:top w:w="15" w:type="dxa"/>
              <w:left w:w="15" w:type="dxa"/>
              <w:bottom w:w="0" w:type="dxa"/>
              <w:right w:w="15" w:type="dxa"/>
            </w:tcMar>
            <w:vAlign w:val="bottom"/>
            <w:hideMark/>
          </w:tcPr>
          <w:p w14:paraId="131AF9D1" w14:textId="77777777" w:rsidR="00325B1A" w:rsidRPr="008A3E4E" w:rsidRDefault="00325B1A" w:rsidP="00D57CFB">
            <w:pPr>
              <w:jc w:val="right"/>
              <w:rPr>
                <w:color w:val="000000"/>
                <w:sz w:val="22"/>
                <w:szCs w:val="22"/>
              </w:rPr>
            </w:pPr>
            <w:r w:rsidRPr="008A3E4E">
              <w:rPr>
                <w:color w:val="000000"/>
                <w:sz w:val="22"/>
                <w:szCs w:val="22"/>
              </w:rPr>
              <w:t>recruitment</w:t>
            </w:r>
          </w:p>
        </w:tc>
        <w:tc>
          <w:tcPr>
            <w:tcW w:w="1300" w:type="dxa"/>
            <w:tcBorders>
              <w:top w:val="single" w:sz="4" w:space="0" w:color="auto"/>
            </w:tcBorders>
            <w:shd w:val="clear" w:color="000000" w:fill="auto"/>
            <w:noWrap/>
            <w:tcMar>
              <w:top w:w="15" w:type="dxa"/>
              <w:left w:w="15" w:type="dxa"/>
              <w:bottom w:w="0" w:type="dxa"/>
              <w:right w:w="15" w:type="dxa"/>
            </w:tcMar>
            <w:vAlign w:val="bottom"/>
            <w:hideMark/>
          </w:tcPr>
          <w:p w14:paraId="0CEE7CF4" w14:textId="77777777" w:rsidR="00325B1A" w:rsidRPr="008A3E4E" w:rsidRDefault="00325B1A" w:rsidP="00D57CFB">
            <w:pPr>
              <w:jc w:val="right"/>
              <w:rPr>
                <w:color w:val="000000"/>
                <w:sz w:val="22"/>
                <w:szCs w:val="22"/>
              </w:rPr>
            </w:pPr>
            <w:r w:rsidRPr="008A3E4E">
              <w:rPr>
                <w:color w:val="000000"/>
                <w:sz w:val="22"/>
                <w:szCs w:val="22"/>
              </w:rPr>
              <w:t>retention</w:t>
            </w:r>
          </w:p>
        </w:tc>
        <w:tc>
          <w:tcPr>
            <w:tcW w:w="1300" w:type="dxa"/>
            <w:tcBorders>
              <w:top w:val="single" w:sz="4" w:space="0" w:color="auto"/>
            </w:tcBorders>
            <w:shd w:val="clear" w:color="000000" w:fill="auto"/>
            <w:noWrap/>
            <w:tcMar>
              <w:top w:w="15" w:type="dxa"/>
              <w:left w:w="15" w:type="dxa"/>
              <w:bottom w:w="0" w:type="dxa"/>
              <w:right w:w="15" w:type="dxa"/>
            </w:tcMar>
            <w:vAlign w:val="bottom"/>
            <w:hideMark/>
          </w:tcPr>
          <w:p w14:paraId="343C4EB2" w14:textId="77777777" w:rsidR="00325B1A" w:rsidRPr="008A3E4E" w:rsidRDefault="00325B1A" w:rsidP="00D57CFB">
            <w:pPr>
              <w:jc w:val="right"/>
              <w:rPr>
                <w:color w:val="000000"/>
                <w:sz w:val="22"/>
                <w:szCs w:val="22"/>
              </w:rPr>
            </w:pPr>
            <w:r w:rsidRPr="008A3E4E">
              <w:rPr>
                <w:color w:val="000000"/>
                <w:sz w:val="22"/>
                <w:szCs w:val="22"/>
              </w:rPr>
              <w:t>completion</w:t>
            </w:r>
          </w:p>
        </w:tc>
        <w:tc>
          <w:tcPr>
            <w:tcW w:w="1996" w:type="dxa"/>
            <w:tcBorders>
              <w:top w:val="single" w:sz="4" w:space="0" w:color="auto"/>
            </w:tcBorders>
            <w:shd w:val="clear" w:color="000000" w:fill="auto"/>
            <w:noWrap/>
            <w:tcMar>
              <w:top w:w="15" w:type="dxa"/>
              <w:left w:w="15" w:type="dxa"/>
              <w:bottom w:w="0" w:type="dxa"/>
              <w:right w:w="15" w:type="dxa"/>
            </w:tcMar>
            <w:vAlign w:val="bottom"/>
            <w:hideMark/>
          </w:tcPr>
          <w:p w14:paraId="08A3C308" w14:textId="77777777" w:rsidR="00325B1A" w:rsidRPr="008A3E4E" w:rsidRDefault="00325B1A" w:rsidP="00D57CFB">
            <w:pPr>
              <w:jc w:val="right"/>
              <w:rPr>
                <w:color w:val="000000"/>
                <w:sz w:val="22"/>
                <w:szCs w:val="22"/>
              </w:rPr>
            </w:pPr>
            <w:r w:rsidRPr="008A3E4E">
              <w:rPr>
                <w:color w:val="000000"/>
                <w:sz w:val="22"/>
                <w:szCs w:val="22"/>
              </w:rPr>
              <w:t>cumulative response</w:t>
            </w:r>
          </w:p>
        </w:tc>
      </w:tr>
      <w:tr w:rsidR="00325B1A" w:rsidRPr="008A3E4E" w14:paraId="4761D306" w14:textId="77777777" w:rsidTr="00325B1A">
        <w:trPr>
          <w:trHeight w:val="300"/>
        </w:trPr>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2C024856" w14:textId="77777777" w:rsidR="00325B1A" w:rsidRPr="008A3E4E" w:rsidRDefault="00325B1A" w:rsidP="006250C2">
            <w:pPr>
              <w:jc w:val="both"/>
              <w:rPr>
                <w:color w:val="000000"/>
                <w:sz w:val="22"/>
                <w:szCs w:val="22"/>
              </w:rPr>
            </w:pPr>
          </w:p>
        </w:tc>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6E9DCD2D" w14:textId="77777777" w:rsidR="00325B1A" w:rsidRPr="008A3E4E" w:rsidRDefault="00325B1A" w:rsidP="00D57CFB">
            <w:pPr>
              <w:jc w:val="right"/>
              <w:rPr>
                <w:color w:val="000000"/>
                <w:sz w:val="22"/>
                <w:szCs w:val="22"/>
              </w:rPr>
            </w:pPr>
            <w:r w:rsidRPr="008A3E4E">
              <w:rPr>
                <w:color w:val="000000"/>
                <w:sz w:val="22"/>
                <w:szCs w:val="22"/>
              </w:rPr>
              <w:t>rate (RECR)</w:t>
            </w:r>
          </w:p>
        </w:tc>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36D5318E" w14:textId="77777777" w:rsidR="00325B1A" w:rsidRPr="008A3E4E" w:rsidRDefault="00325B1A" w:rsidP="00D57CFB">
            <w:pPr>
              <w:jc w:val="right"/>
              <w:rPr>
                <w:color w:val="000000"/>
                <w:sz w:val="22"/>
                <w:szCs w:val="22"/>
              </w:rPr>
            </w:pPr>
            <w:r w:rsidRPr="008A3E4E">
              <w:rPr>
                <w:color w:val="000000"/>
                <w:sz w:val="22"/>
                <w:szCs w:val="22"/>
              </w:rPr>
              <w:t>rate (RETR)</w:t>
            </w:r>
          </w:p>
        </w:tc>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2BDAF851" w14:textId="77777777" w:rsidR="00325B1A" w:rsidRPr="008A3E4E" w:rsidRDefault="00325B1A" w:rsidP="00D57CFB">
            <w:pPr>
              <w:jc w:val="right"/>
              <w:rPr>
                <w:color w:val="000000"/>
                <w:sz w:val="22"/>
                <w:szCs w:val="22"/>
              </w:rPr>
            </w:pPr>
            <w:r w:rsidRPr="008A3E4E">
              <w:rPr>
                <w:color w:val="000000"/>
                <w:sz w:val="22"/>
                <w:szCs w:val="22"/>
              </w:rPr>
              <w:t>rate (COMR)</w:t>
            </w:r>
          </w:p>
        </w:tc>
        <w:tc>
          <w:tcPr>
            <w:tcW w:w="1996" w:type="dxa"/>
            <w:tcBorders>
              <w:bottom w:val="single" w:sz="4" w:space="0" w:color="auto"/>
            </w:tcBorders>
            <w:shd w:val="clear" w:color="000000" w:fill="auto"/>
            <w:noWrap/>
            <w:tcMar>
              <w:top w:w="15" w:type="dxa"/>
              <w:left w:w="15" w:type="dxa"/>
              <w:bottom w:w="0" w:type="dxa"/>
              <w:right w:w="15" w:type="dxa"/>
            </w:tcMar>
            <w:vAlign w:val="bottom"/>
            <w:hideMark/>
          </w:tcPr>
          <w:p w14:paraId="0A750C34" w14:textId="77777777" w:rsidR="00325B1A" w:rsidRPr="008A3E4E" w:rsidRDefault="00325B1A" w:rsidP="00D57CFB">
            <w:pPr>
              <w:jc w:val="right"/>
              <w:rPr>
                <w:color w:val="000000"/>
                <w:sz w:val="22"/>
                <w:szCs w:val="22"/>
              </w:rPr>
            </w:pPr>
            <w:r w:rsidRPr="008A3E4E">
              <w:rPr>
                <w:color w:val="000000"/>
                <w:sz w:val="22"/>
                <w:szCs w:val="22"/>
              </w:rPr>
              <w:t>rate (CUMRR2)</w:t>
            </w:r>
          </w:p>
        </w:tc>
      </w:tr>
      <w:tr w:rsidR="00325B1A" w:rsidRPr="008A3E4E" w14:paraId="62B22C49" w14:textId="77777777" w:rsidTr="00325B1A">
        <w:trPr>
          <w:trHeight w:val="300"/>
        </w:trPr>
        <w:tc>
          <w:tcPr>
            <w:tcW w:w="0" w:type="auto"/>
            <w:tcBorders>
              <w:top w:val="single" w:sz="4" w:space="0" w:color="auto"/>
            </w:tcBorders>
            <w:shd w:val="clear" w:color="000000" w:fill="auto"/>
            <w:noWrap/>
            <w:tcMar>
              <w:top w:w="15" w:type="dxa"/>
              <w:left w:w="15" w:type="dxa"/>
              <w:bottom w:w="0" w:type="dxa"/>
              <w:right w:w="15" w:type="dxa"/>
            </w:tcMar>
            <w:vAlign w:val="bottom"/>
            <w:hideMark/>
          </w:tcPr>
          <w:p w14:paraId="0EE9667F" w14:textId="77777777" w:rsidR="00325B1A" w:rsidRPr="008A3E4E" w:rsidRDefault="00325B1A" w:rsidP="006250C2">
            <w:pPr>
              <w:jc w:val="both"/>
              <w:rPr>
                <w:color w:val="000000"/>
                <w:sz w:val="22"/>
                <w:szCs w:val="22"/>
              </w:rPr>
            </w:pPr>
            <w:r w:rsidRPr="008A3E4E">
              <w:rPr>
                <w:color w:val="000000"/>
                <w:sz w:val="22"/>
                <w:szCs w:val="22"/>
              </w:rPr>
              <w:t>MS Internet + MS CATI</w:t>
            </w:r>
          </w:p>
        </w:tc>
        <w:tc>
          <w:tcPr>
            <w:tcW w:w="0" w:type="auto"/>
            <w:tcBorders>
              <w:top w:val="single" w:sz="4" w:space="0" w:color="auto"/>
            </w:tcBorders>
            <w:shd w:val="clear" w:color="000000" w:fill="auto"/>
            <w:noWrap/>
            <w:tcMar>
              <w:top w:w="15" w:type="dxa"/>
              <w:left w:w="15" w:type="dxa"/>
              <w:bottom w:w="0" w:type="dxa"/>
              <w:right w:w="15" w:type="dxa"/>
            </w:tcMar>
            <w:vAlign w:val="bottom"/>
            <w:hideMark/>
          </w:tcPr>
          <w:p w14:paraId="2B0DDD65" w14:textId="77777777" w:rsidR="00325B1A" w:rsidRPr="008A3E4E" w:rsidRDefault="00325B1A" w:rsidP="006250C2">
            <w:pPr>
              <w:jc w:val="right"/>
              <w:rPr>
                <w:color w:val="000000"/>
                <w:sz w:val="22"/>
                <w:szCs w:val="22"/>
              </w:rPr>
            </w:pPr>
            <w:r w:rsidRPr="008A3E4E">
              <w:rPr>
                <w:color w:val="000000"/>
                <w:sz w:val="22"/>
                <w:szCs w:val="22"/>
              </w:rPr>
              <w:t>18.4</w:t>
            </w:r>
          </w:p>
        </w:tc>
        <w:tc>
          <w:tcPr>
            <w:tcW w:w="0" w:type="auto"/>
            <w:tcBorders>
              <w:top w:val="single" w:sz="4" w:space="0" w:color="auto"/>
            </w:tcBorders>
            <w:shd w:val="clear" w:color="000000" w:fill="auto"/>
            <w:noWrap/>
            <w:tcMar>
              <w:top w:w="15" w:type="dxa"/>
              <w:left w:w="15" w:type="dxa"/>
              <w:bottom w:w="0" w:type="dxa"/>
              <w:right w:w="15" w:type="dxa"/>
            </w:tcMar>
            <w:vAlign w:val="bottom"/>
            <w:hideMark/>
          </w:tcPr>
          <w:p w14:paraId="4DF33B90" w14:textId="77777777" w:rsidR="00325B1A" w:rsidRPr="008A3E4E" w:rsidRDefault="00325B1A" w:rsidP="006250C2">
            <w:pPr>
              <w:jc w:val="right"/>
              <w:rPr>
                <w:color w:val="000000"/>
                <w:sz w:val="22"/>
                <w:szCs w:val="22"/>
              </w:rPr>
            </w:pPr>
            <w:r w:rsidRPr="008A3E4E">
              <w:rPr>
                <w:color w:val="000000"/>
                <w:sz w:val="22"/>
                <w:szCs w:val="22"/>
              </w:rPr>
              <w:t>45.8</w:t>
            </w:r>
          </w:p>
        </w:tc>
        <w:tc>
          <w:tcPr>
            <w:tcW w:w="0" w:type="auto"/>
            <w:tcBorders>
              <w:top w:val="single" w:sz="4" w:space="0" w:color="auto"/>
            </w:tcBorders>
            <w:shd w:val="clear" w:color="000000" w:fill="auto"/>
            <w:noWrap/>
            <w:tcMar>
              <w:top w:w="15" w:type="dxa"/>
              <w:left w:w="15" w:type="dxa"/>
              <w:bottom w:w="0" w:type="dxa"/>
              <w:right w:w="15" w:type="dxa"/>
            </w:tcMar>
            <w:vAlign w:val="bottom"/>
            <w:hideMark/>
          </w:tcPr>
          <w:p w14:paraId="0740F548" w14:textId="77777777" w:rsidR="00325B1A" w:rsidRPr="008A3E4E" w:rsidRDefault="00325B1A" w:rsidP="006250C2">
            <w:pPr>
              <w:jc w:val="right"/>
              <w:rPr>
                <w:color w:val="000000"/>
                <w:sz w:val="22"/>
                <w:szCs w:val="22"/>
              </w:rPr>
            </w:pPr>
            <w:r w:rsidRPr="008A3E4E">
              <w:rPr>
                <w:color w:val="000000"/>
                <w:sz w:val="22"/>
                <w:szCs w:val="22"/>
              </w:rPr>
              <w:t>78.3</w:t>
            </w:r>
          </w:p>
        </w:tc>
        <w:tc>
          <w:tcPr>
            <w:tcW w:w="1996" w:type="dxa"/>
            <w:tcBorders>
              <w:top w:val="single" w:sz="4" w:space="0" w:color="auto"/>
            </w:tcBorders>
            <w:shd w:val="clear" w:color="000000" w:fill="auto"/>
            <w:noWrap/>
            <w:tcMar>
              <w:top w:w="15" w:type="dxa"/>
              <w:left w:w="15" w:type="dxa"/>
              <w:bottom w:w="0" w:type="dxa"/>
              <w:right w:w="15" w:type="dxa"/>
            </w:tcMar>
            <w:vAlign w:val="bottom"/>
            <w:hideMark/>
          </w:tcPr>
          <w:p w14:paraId="620E8932" w14:textId="77777777" w:rsidR="00325B1A" w:rsidRPr="008A3E4E" w:rsidRDefault="00325B1A" w:rsidP="006250C2">
            <w:pPr>
              <w:jc w:val="right"/>
              <w:rPr>
                <w:color w:val="000000"/>
                <w:sz w:val="22"/>
                <w:szCs w:val="22"/>
              </w:rPr>
            </w:pPr>
            <w:r w:rsidRPr="008A3E4E">
              <w:rPr>
                <w:color w:val="000000"/>
                <w:sz w:val="22"/>
                <w:szCs w:val="22"/>
              </w:rPr>
              <w:t>6.6</w:t>
            </w:r>
          </w:p>
        </w:tc>
      </w:tr>
      <w:tr w:rsidR="00325B1A" w:rsidRPr="008A3E4E" w14:paraId="78D9ACB8" w14:textId="77777777" w:rsidTr="00325B1A">
        <w:trPr>
          <w:trHeight w:val="300"/>
        </w:trPr>
        <w:tc>
          <w:tcPr>
            <w:tcW w:w="0" w:type="auto"/>
            <w:shd w:val="clear" w:color="000000" w:fill="auto"/>
            <w:noWrap/>
            <w:tcMar>
              <w:top w:w="15" w:type="dxa"/>
              <w:left w:w="15" w:type="dxa"/>
              <w:bottom w:w="0" w:type="dxa"/>
              <w:right w:w="15" w:type="dxa"/>
            </w:tcMar>
            <w:vAlign w:val="bottom"/>
            <w:hideMark/>
          </w:tcPr>
          <w:p w14:paraId="6859E6A7" w14:textId="77777777" w:rsidR="00325B1A" w:rsidRPr="008A3E4E" w:rsidRDefault="00325B1A" w:rsidP="006250C2">
            <w:pPr>
              <w:jc w:val="both"/>
              <w:rPr>
                <w:color w:val="000000"/>
                <w:sz w:val="22"/>
                <w:szCs w:val="22"/>
              </w:rPr>
            </w:pPr>
            <w:r w:rsidRPr="008A3E4E">
              <w:rPr>
                <w:color w:val="000000"/>
                <w:sz w:val="22"/>
                <w:szCs w:val="22"/>
              </w:rPr>
              <w:t>National Survey Project</w:t>
            </w:r>
          </w:p>
        </w:tc>
        <w:tc>
          <w:tcPr>
            <w:tcW w:w="0" w:type="auto"/>
            <w:shd w:val="clear" w:color="000000" w:fill="auto"/>
            <w:noWrap/>
            <w:tcMar>
              <w:top w:w="15" w:type="dxa"/>
              <w:left w:w="15" w:type="dxa"/>
              <w:bottom w:w="0" w:type="dxa"/>
              <w:right w:w="15" w:type="dxa"/>
            </w:tcMar>
            <w:vAlign w:val="bottom"/>
            <w:hideMark/>
          </w:tcPr>
          <w:p w14:paraId="5BF2715A" w14:textId="77777777" w:rsidR="00325B1A" w:rsidRPr="008A3E4E" w:rsidRDefault="00325B1A" w:rsidP="006250C2">
            <w:pPr>
              <w:jc w:val="right"/>
              <w:rPr>
                <w:color w:val="000000"/>
                <w:sz w:val="22"/>
                <w:szCs w:val="22"/>
              </w:rPr>
            </w:pPr>
            <w:r w:rsidRPr="008A3E4E">
              <w:rPr>
                <w:color w:val="000000"/>
                <w:sz w:val="22"/>
                <w:szCs w:val="22"/>
              </w:rPr>
              <w:t>23.9</w:t>
            </w:r>
          </w:p>
        </w:tc>
        <w:tc>
          <w:tcPr>
            <w:tcW w:w="0" w:type="auto"/>
            <w:shd w:val="clear" w:color="000000" w:fill="auto"/>
            <w:noWrap/>
            <w:tcMar>
              <w:top w:w="15" w:type="dxa"/>
              <w:left w:w="15" w:type="dxa"/>
              <w:bottom w:w="0" w:type="dxa"/>
              <w:right w:w="15" w:type="dxa"/>
            </w:tcMar>
            <w:vAlign w:val="bottom"/>
            <w:hideMark/>
          </w:tcPr>
          <w:p w14:paraId="7EF37DFB" w14:textId="77777777" w:rsidR="00325B1A" w:rsidRPr="008A3E4E" w:rsidRDefault="00325B1A" w:rsidP="006250C2">
            <w:pPr>
              <w:jc w:val="right"/>
              <w:rPr>
                <w:color w:val="000000"/>
                <w:sz w:val="22"/>
                <w:szCs w:val="22"/>
              </w:rPr>
            </w:pPr>
            <w:r w:rsidRPr="008A3E4E">
              <w:rPr>
                <w:color w:val="000000"/>
                <w:sz w:val="22"/>
                <w:szCs w:val="22"/>
              </w:rPr>
              <w:t>98.9</w:t>
            </w:r>
          </w:p>
        </w:tc>
        <w:tc>
          <w:tcPr>
            <w:tcW w:w="0" w:type="auto"/>
            <w:shd w:val="clear" w:color="000000" w:fill="auto"/>
            <w:noWrap/>
            <w:tcMar>
              <w:top w:w="15" w:type="dxa"/>
              <w:left w:w="15" w:type="dxa"/>
              <w:bottom w:w="0" w:type="dxa"/>
              <w:right w:w="15" w:type="dxa"/>
            </w:tcMar>
            <w:vAlign w:val="bottom"/>
            <w:hideMark/>
          </w:tcPr>
          <w:p w14:paraId="5E3502CA" w14:textId="77777777" w:rsidR="00325B1A" w:rsidRPr="008A3E4E" w:rsidRDefault="00325B1A" w:rsidP="006250C2">
            <w:pPr>
              <w:jc w:val="right"/>
              <w:rPr>
                <w:color w:val="000000"/>
                <w:sz w:val="22"/>
                <w:szCs w:val="22"/>
              </w:rPr>
            </w:pPr>
            <w:r w:rsidRPr="008A3E4E">
              <w:rPr>
                <w:color w:val="000000"/>
                <w:sz w:val="22"/>
                <w:szCs w:val="22"/>
              </w:rPr>
              <w:t>80.8</w:t>
            </w:r>
          </w:p>
        </w:tc>
        <w:tc>
          <w:tcPr>
            <w:tcW w:w="1996" w:type="dxa"/>
            <w:shd w:val="clear" w:color="000000" w:fill="auto"/>
            <w:noWrap/>
            <w:tcMar>
              <w:top w:w="15" w:type="dxa"/>
              <w:left w:w="15" w:type="dxa"/>
              <w:bottom w:w="0" w:type="dxa"/>
              <w:right w:w="15" w:type="dxa"/>
            </w:tcMar>
            <w:vAlign w:val="bottom"/>
            <w:hideMark/>
          </w:tcPr>
          <w:p w14:paraId="32B8DBEC" w14:textId="77777777" w:rsidR="00325B1A" w:rsidRPr="008A3E4E" w:rsidRDefault="00325B1A" w:rsidP="006250C2">
            <w:pPr>
              <w:jc w:val="right"/>
              <w:rPr>
                <w:color w:val="000000"/>
                <w:sz w:val="22"/>
                <w:szCs w:val="22"/>
              </w:rPr>
            </w:pPr>
            <w:r w:rsidRPr="008A3E4E">
              <w:rPr>
                <w:color w:val="000000"/>
                <w:sz w:val="22"/>
                <w:szCs w:val="22"/>
              </w:rPr>
              <w:t>19.1</w:t>
            </w:r>
          </w:p>
        </w:tc>
      </w:tr>
      <w:tr w:rsidR="00325B1A" w:rsidRPr="008A3E4E" w14:paraId="607A9E8D" w14:textId="77777777" w:rsidTr="00325B1A">
        <w:trPr>
          <w:trHeight w:val="300"/>
        </w:trPr>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51C413B1" w14:textId="77777777" w:rsidR="00325B1A" w:rsidRPr="008A3E4E" w:rsidRDefault="00325B1A" w:rsidP="006250C2">
            <w:pPr>
              <w:jc w:val="both"/>
              <w:rPr>
                <w:color w:val="000000"/>
                <w:sz w:val="22"/>
                <w:szCs w:val="22"/>
              </w:rPr>
            </w:pPr>
            <w:r w:rsidRPr="008A3E4E">
              <w:rPr>
                <w:color w:val="000000"/>
                <w:sz w:val="22"/>
                <w:szCs w:val="22"/>
              </w:rPr>
              <w:t>Vulnerable Population</w:t>
            </w:r>
          </w:p>
        </w:tc>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6A344916" w14:textId="77777777" w:rsidR="00325B1A" w:rsidRPr="008A3E4E" w:rsidRDefault="00325B1A" w:rsidP="006250C2">
            <w:pPr>
              <w:jc w:val="right"/>
              <w:rPr>
                <w:color w:val="000000"/>
                <w:sz w:val="22"/>
                <w:szCs w:val="22"/>
              </w:rPr>
            </w:pPr>
            <w:r w:rsidRPr="008A3E4E">
              <w:rPr>
                <w:color w:val="000000"/>
                <w:sz w:val="22"/>
                <w:szCs w:val="22"/>
              </w:rPr>
              <w:t>28.9</w:t>
            </w:r>
          </w:p>
        </w:tc>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72E4BE62" w14:textId="77777777" w:rsidR="00325B1A" w:rsidRPr="008A3E4E" w:rsidRDefault="00325B1A" w:rsidP="006250C2">
            <w:pPr>
              <w:jc w:val="right"/>
              <w:rPr>
                <w:color w:val="000000"/>
                <w:sz w:val="22"/>
                <w:szCs w:val="22"/>
              </w:rPr>
            </w:pPr>
            <w:r w:rsidRPr="008A3E4E">
              <w:rPr>
                <w:color w:val="000000"/>
                <w:sz w:val="22"/>
                <w:szCs w:val="22"/>
              </w:rPr>
              <w:t>100.0</w:t>
            </w:r>
          </w:p>
        </w:tc>
        <w:tc>
          <w:tcPr>
            <w:tcW w:w="0" w:type="auto"/>
            <w:tcBorders>
              <w:bottom w:val="single" w:sz="4" w:space="0" w:color="auto"/>
            </w:tcBorders>
            <w:shd w:val="clear" w:color="000000" w:fill="auto"/>
            <w:noWrap/>
            <w:tcMar>
              <w:top w:w="15" w:type="dxa"/>
              <w:left w:w="15" w:type="dxa"/>
              <w:bottom w:w="0" w:type="dxa"/>
              <w:right w:w="15" w:type="dxa"/>
            </w:tcMar>
            <w:vAlign w:val="bottom"/>
            <w:hideMark/>
          </w:tcPr>
          <w:p w14:paraId="4C68BD4C" w14:textId="77777777" w:rsidR="00325B1A" w:rsidRPr="008A3E4E" w:rsidRDefault="00325B1A" w:rsidP="006250C2">
            <w:pPr>
              <w:jc w:val="right"/>
              <w:rPr>
                <w:sz w:val="22"/>
                <w:szCs w:val="22"/>
              </w:rPr>
            </w:pPr>
            <w:r w:rsidRPr="008A3E4E">
              <w:rPr>
                <w:sz w:val="22"/>
                <w:szCs w:val="22"/>
              </w:rPr>
              <w:t>78.6</w:t>
            </w:r>
          </w:p>
        </w:tc>
        <w:tc>
          <w:tcPr>
            <w:tcW w:w="1996" w:type="dxa"/>
            <w:tcBorders>
              <w:bottom w:val="single" w:sz="4" w:space="0" w:color="auto"/>
            </w:tcBorders>
            <w:shd w:val="clear" w:color="000000" w:fill="auto"/>
            <w:noWrap/>
            <w:tcMar>
              <w:top w:w="15" w:type="dxa"/>
              <w:left w:w="15" w:type="dxa"/>
              <w:bottom w:w="0" w:type="dxa"/>
              <w:right w:w="15" w:type="dxa"/>
            </w:tcMar>
            <w:vAlign w:val="bottom"/>
            <w:hideMark/>
          </w:tcPr>
          <w:p w14:paraId="6932E4A6" w14:textId="77777777" w:rsidR="00325B1A" w:rsidRPr="008A3E4E" w:rsidRDefault="00325B1A" w:rsidP="006250C2">
            <w:pPr>
              <w:jc w:val="right"/>
              <w:rPr>
                <w:color w:val="000000"/>
                <w:sz w:val="22"/>
                <w:szCs w:val="22"/>
              </w:rPr>
            </w:pPr>
            <w:r w:rsidRPr="008A3E4E">
              <w:rPr>
                <w:color w:val="000000"/>
                <w:sz w:val="22"/>
                <w:szCs w:val="22"/>
              </w:rPr>
              <w:t>22.7</w:t>
            </w:r>
          </w:p>
        </w:tc>
      </w:tr>
      <w:tr w:rsidR="00325B1A" w:rsidRPr="008A3E4E" w14:paraId="4B425BAF" w14:textId="77777777" w:rsidTr="00325B1A">
        <w:trPr>
          <w:trHeight w:val="300"/>
        </w:trPr>
        <w:tc>
          <w:tcPr>
            <w:tcW w:w="0" w:type="auto"/>
            <w:tcBorders>
              <w:top w:val="single" w:sz="4" w:space="0" w:color="auto"/>
              <w:bottom w:val="single" w:sz="4" w:space="0" w:color="auto"/>
            </w:tcBorders>
            <w:shd w:val="clear" w:color="000000" w:fill="auto"/>
            <w:noWrap/>
            <w:tcMar>
              <w:top w:w="15" w:type="dxa"/>
              <w:left w:w="15" w:type="dxa"/>
              <w:bottom w:w="0" w:type="dxa"/>
              <w:right w:w="15" w:type="dxa"/>
            </w:tcMar>
            <w:vAlign w:val="bottom"/>
            <w:hideMark/>
          </w:tcPr>
          <w:p w14:paraId="5B2176CA" w14:textId="77777777" w:rsidR="00325B1A" w:rsidRPr="008A3E4E" w:rsidRDefault="00325B1A" w:rsidP="006250C2">
            <w:pPr>
              <w:jc w:val="both"/>
              <w:rPr>
                <w:color w:val="000000"/>
                <w:sz w:val="22"/>
                <w:szCs w:val="22"/>
              </w:rPr>
            </w:pPr>
            <w:r w:rsidRPr="008A3E4E">
              <w:rPr>
                <w:color w:val="000000"/>
                <w:sz w:val="22"/>
                <w:szCs w:val="22"/>
              </w:rPr>
              <w:t>Total</w:t>
            </w:r>
          </w:p>
        </w:tc>
        <w:tc>
          <w:tcPr>
            <w:tcW w:w="0" w:type="auto"/>
            <w:tcBorders>
              <w:top w:val="single" w:sz="4" w:space="0" w:color="auto"/>
              <w:bottom w:val="single" w:sz="4" w:space="0" w:color="auto"/>
            </w:tcBorders>
            <w:shd w:val="clear" w:color="000000" w:fill="auto"/>
            <w:noWrap/>
            <w:tcMar>
              <w:top w:w="15" w:type="dxa"/>
              <w:left w:w="15" w:type="dxa"/>
              <w:bottom w:w="0" w:type="dxa"/>
              <w:right w:w="15" w:type="dxa"/>
            </w:tcMar>
            <w:vAlign w:val="bottom"/>
            <w:hideMark/>
          </w:tcPr>
          <w:p w14:paraId="2DD70EFB" w14:textId="77777777" w:rsidR="00325B1A" w:rsidRPr="008A3E4E" w:rsidRDefault="00325B1A" w:rsidP="006250C2">
            <w:pPr>
              <w:jc w:val="right"/>
              <w:rPr>
                <w:color w:val="000000"/>
                <w:sz w:val="22"/>
                <w:szCs w:val="22"/>
              </w:rPr>
            </w:pPr>
            <w:r w:rsidRPr="008A3E4E">
              <w:rPr>
                <w:color w:val="000000"/>
                <w:sz w:val="22"/>
                <w:szCs w:val="22"/>
              </w:rPr>
              <w:t>22.1</w:t>
            </w:r>
          </w:p>
        </w:tc>
        <w:tc>
          <w:tcPr>
            <w:tcW w:w="0" w:type="auto"/>
            <w:tcBorders>
              <w:top w:val="single" w:sz="4" w:space="0" w:color="auto"/>
              <w:bottom w:val="single" w:sz="4" w:space="0" w:color="auto"/>
            </w:tcBorders>
            <w:shd w:val="clear" w:color="000000" w:fill="auto"/>
            <w:noWrap/>
            <w:tcMar>
              <w:top w:w="15" w:type="dxa"/>
              <w:left w:w="15" w:type="dxa"/>
              <w:bottom w:w="0" w:type="dxa"/>
              <w:right w:w="15" w:type="dxa"/>
            </w:tcMar>
            <w:vAlign w:val="bottom"/>
            <w:hideMark/>
          </w:tcPr>
          <w:p w14:paraId="2E6686BB" w14:textId="77777777" w:rsidR="00325B1A" w:rsidRPr="008A3E4E" w:rsidRDefault="00325B1A" w:rsidP="006250C2">
            <w:pPr>
              <w:jc w:val="right"/>
              <w:rPr>
                <w:color w:val="000000"/>
                <w:sz w:val="22"/>
                <w:szCs w:val="22"/>
              </w:rPr>
            </w:pPr>
            <w:r w:rsidRPr="008A3E4E">
              <w:rPr>
                <w:color w:val="000000"/>
                <w:sz w:val="22"/>
                <w:szCs w:val="22"/>
              </w:rPr>
              <w:t>72.1</w:t>
            </w:r>
          </w:p>
        </w:tc>
        <w:tc>
          <w:tcPr>
            <w:tcW w:w="0" w:type="auto"/>
            <w:tcBorders>
              <w:top w:val="single" w:sz="4" w:space="0" w:color="auto"/>
              <w:bottom w:val="single" w:sz="4" w:space="0" w:color="auto"/>
            </w:tcBorders>
            <w:shd w:val="clear" w:color="000000" w:fill="auto"/>
            <w:noWrap/>
            <w:tcMar>
              <w:top w:w="15" w:type="dxa"/>
              <w:left w:w="15" w:type="dxa"/>
              <w:bottom w:w="0" w:type="dxa"/>
              <w:right w:w="15" w:type="dxa"/>
            </w:tcMar>
            <w:vAlign w:val="bottom"/>
            <w:hideMark/>
          </w:tcPr>
          <w:p w14:paraId="2E4B7BB7" w14:textId="77777777" w:rsidR="00325B1A" w:rsidRPr="008A3E4E" w:rsidRDefault="00325B1A" w:rsidP="006250C2">
            <w:pPr>
              <w:jc w:val="right"/>
              <w:rPr>
                <w:color w:val="000000"/>
                <w:sz w:val="22"/>
                <w:szCs w:val="22"/>
              </w:rPr>
            </w:pPr>
            <w:r w:rsidRPr="008A3E4E">
              <w:rPr>
                <w:color w:val="000000"/>
                <w:sz w:val="22"/>
                <w:szCs w:val="22"/>
              </w:rPr>
              <w:t>78.6</w:t>
            </w:r>
          </w:p>
        </w:tc>
        <w:tc>
          <w:tcPr>
            <w:tcW w:w="1996" w:type="dxa"/>
            <w:tcBorders>
              <w:top w:val="single" w:sz="4" w:space="0" w:color="auto"/>
              <w:bottom w:val="single" w:sz="4" w:space="0" w:color="auto"/>
            </w:tcBorders>
            <w:shd w:val="clear" w:color="000000" w:fill="auto"/>
            <w:noWrap/>
            <w:tcMar>
              <w:top w:w="15" w:type="dxa"/>
              <w:left w:w="15" w:type="dxa"/>
              <w:bottom w:w="0" w:type="dxa"/>
              <w:right w:w="15" w:type="dxa"/>
            </w:tcMar>
            <w:vAlign w:val="bottom"/>
            <w:hideMark/>
          </w:tcPr>
          <w:p w14:paraId="20D5F5C5" w14:textId="77777777" w:rsidR="00325B1A" w:rsidRPr="008A3E4E" w:rsidRDefault="00325B1A" w:rsidP="006250C2">
            <w:pPr>
              <w:jc w:val="right"/>
              <w:rPr>
                <w:color w:val="000000"/>
                <w:sz w:val="22"/>
                <w:szCs w:val="22"/>
              </w:rPr>
            </w:pPr>
            <w:r w:rsidRPr="008A3E4E">
              <w:rPr>
                <w:color w:val="000000"/>
                <w:sz w:val="22"/>
                <w:szCs w:val="22"/>
              </w:rPr>
              <w:t>12.5</w:t>
            </w:r>
          </w:p>
        </w:tc>
      </w:tr>
    </w:tbl>
    <w:p w14:paraId="4BC42F9A" w14:textId="77777777" w:rsidR="00325B1A" w:rsidRPr="006250C2" w:rsidRDefault="00325B1A" w:rsidP="006250C2">
      <w:pPr>
        <w:jc w:val="both"/>
        <w:rPr>
          <w:sz w:val="18"/>
          <w:szCs w:val="18"/>
        </w:rPr>
      </w:pPr>
      <w:r w:rsidRPr="006250C2">
        <w:rPr>
          <w:i/>
          <w:sz w:val="18"/>
          <w:szCs w:val="18"/>
        </w:rPr>
        <w:t>Note.</w:t>
      </w:r>
      <w:r w:rsidRPr="006250C2">
        <w:rPr>
          <w:sz w:val="18"/>
          <w:szCs w:val="18"/>
        </w:rPr>
        <w:t xml:space="preserve"> As explained in the text, some of these numbers are based on assumptions, and not only straightforward computations.</w:t>
      </w:r>
    </w:p>
    <w:p w14:paraId="4062F76B" w14:textId="77777777" w:rsidR="00714940" w:rsidRPr="008A3E4E" w:rsidRDefault="00714940" w:rsidP="006250C2">
      <w:pPr>
        <w:pStyle w:val="NormalWeb"/>
        <w:spacing w:line="276" w:lineRule="auto"/>
        <w:jc w:val="both"/>
        <w:rPr>
          <w:sz w:val="22"/>
          <w:szCs w:val="22"/>
        </w:rPr>
      </w:pPr>
      <w:r w:rsidRPr="006250C2">
        <w:rPr>
          <w:sz w:val="22"/>
          <w:szCs w:val="22"/>
        </w:rPr>
        <w:t xml:space="preserve">It is important to put this response rate in perspective. Some studies have been carried out to compare the quality of results based on probability internet panels with similar response rates as the ALP to population representative telephone surveys and convenience Internet surveys (which typically have much larger </w:t>
      </w:r>
      <w:r w:rsidRPr="008A3E4E">
        <w:rPr>
          <w:sz w:val="22"/>
          <w:szCs w:val="22"/>
        </w:rPr>
        <w:t xml:space="preserve">numbers of respondents, but unknown response probabilities). </w:t>
      </w:r>
      <w:r w:rsidRPr="008A3E4E">
        <w:rPr>
          <w:color w:val="000000"/>
          <w:sz w:val="22"/>
          <w:szCs w:val="22"/>
        </w:rPr>
        <w:t xml:space="preserve">Chang and </w:t>
      </w:r>
      <w:proofErr w:type="spellStart"/>
      <w:r w:rsidRPr="008A3E4E">
        <w:rPr>
          <w:color w:val="000000"/>
          <w:sz w:val="22"/>
          <w:szCs w:val="22"/>
        </w:rPr>
        <w:t>Krosnick</w:t>
      </w:r>
      <w:proofErr w:type="spellEnd"/>
      <w:r w:rsidRPr="008A3E4E">
        <w:rPr>
          <w:color w:val="000000"/>
          <w:sz w:val="22"/>
          <w:szCs w:val="22"/>
        </w:rPr>
        <w:t xml:space="preserve"> (2009) simultaneously administered the same questionnaire (on politics) to an RDD (random digit dialing) telephone sample, an Internet probability sample, and a non-probability sample of volunteers who do Internet surveys for money. They found that the telephone sample ha</w:t>
      </w:r>
      <w:r w:rsidR="002F3BC1">
        <w:rPr>
          <w:color w:val="000000"/>
          <w:sz w:val="22"/>
          <w:szCs w:val="22"/>
        </w:rPr>
        <w:t>d</w:t>
      </w:r>
      <w:r w:rsidRPr="008A3E4E">
        <w:rPr>
          <w:color w:val="000000"/>
          <w:sz w:val="22"/>
          <w:szCs w:val="22"/>
        </w:rPr>
        <w:t xml:space="preserve"> most random measurement error, while the non-probability sample </w:t>
      </w:r>
      <w:r w:rsidR="002F3BC1" w:rsidRPr="008A3E4E">
        <w:rPr>
          <w:color w:val="000000"/>
          <w:sz w:val="22"/>
          <w:szCs w:val="22"/>
        </w:rPr>
        <w:t>ha</w:t>
      </w:r>
      <w:r w:rsidR="002F3BC1">
        <w:rPr>
          <w:color w:val="000000"/>
          <w:sz w:val="22"/>
          <w:szCs w:val="22"/>
        </w:rPr>
        <w:t>d</w:t>
      </w:r>
      <w:r w:rsidR="002F3BC1" w:rsidRPr="008A3E4E">
        <w:rPr>
          <w:color w:val="000000"/>
          <w:sz w:val="22"/>
          <w:szCs w:val="22"/>
        </w:rPr>
        <w:t xml:space="preserve"> </w:t>
      </w:r>
      <w:r w:rsidRPr="008A3E4E">
        <w:rPr>
          <w:color w:val="000000"/>
          <w:sz w:val="22"/>
          <w:szCs w:val="22"/>
        </w:rPr>
        <w:t xml:space="preserve">the least. At the same time, the latter sample </w:t>
      </w:r>
      <w:r w:rsidR="002F3BC1" w:rsidRPr="008A3E4E">
        <w:rPr>
          <w:color w:val="000000"/>
          <w:sz w:val="22"/>
          <w:szCs w:val="22"/>
        </w:rPr>
        <w:t>exhibit</w:t>
      </w:r>
      <w:r w:rsidR="002F3BC1">
        <w:rPr>
          <w:color w:val="000000"/>
          <w:sz w:val="22"/>
          <w:szCs w:val="22"/>
        </w:rPr>
        <w:t>ed</w:t>
      </w:r>
      <w:r w:rsidR="002F3BC1" w:rsidRPr="008A3E4E">
        <w:rPr>
          <w:color w:val="000000"/>
          <w:sz w:val="22"/>
          <w:szCs w:val="22"/>
        </w:rPr>
        <w:t xml:space="preserve"> </w:t>
      </w:r>
      <w:r w:rsidRPr="008A3E4E">
        <w:rPr>
          <w:color w:val="000000"/>
          <w:sz w:val="22"/>
          <w:szCs w:val="22"/>
        </w:rPr>
        <w:t xml:space="preserve">most bias (also after reweighting), so that it </w:t>
      </w:r>
      <w:r w:rsidR="002F3BC1" w:rsidRPr="008A3E4E">
        <w:rPr>
          <w:color w:val="000000"/>
          <w:sz w:val="22"/>
          <w:szCs w:val="22"/>
        </w:rPr>
        <w:t>produce</w:t>
      </w:r>
      <w:r w:rsidR="002F3BC1">
        <w:rPr>
          <w:color w:val="000000"/>
          <w:sz w:val="22"/>
          <w:szCs w:val="22"/>
        </w:rPr>
        <w:t>d</w:t>
      </w:r>
      <w:r w:rsidR="002F3BC1" w:rsidRPr="008A3E4E">
        <w:rPr>
          <w:color w:val="000000"/>
          <w:sz w:val="22"/>
          <w:szCs w:val="22"/>
        </w:rPr>
        <w:t xml:space="preserve"> </w:t>
      </w:r>
      <w:r w:rsidRPr="008A3E4E">
        <w:rPr>
          <w:color w:val="000000"/>
          <w:sz w:val="22"/>
          <w:szCs w:val="22"/>
        </w:rPr>
        <w:t>the most accurate self-reports from the most biased sample. The probability Internet sample exhibited more random measurement error than the non-probability sample (but less than the telephone sample) and less bias than the non-probabil</w:t>
      </w:r>
      <w:r w:rsidR="00D5707C">
        <w:rPr>
          <w:color w:val="000000"/>
          <w:sz w:val="22"/>
          <w:szCs w:val="22"/>
        </w:rPr>
        <w:t>i</w:t>
      </w:r>
      <w:r w:rsidRPr="008A3E4E">
        <w:rPr>
          <w:color w:val="000000"/>
          <w:sz w:val="22"/>
          <w:szCs w:val="22"/>
        </w:rPr>
        <w:t>ty Internet sample. On balance, the probability Internet sample produced the most accurate results. Yeager et al. (2009) conducted a follow-up study comparing one probability Internet sample, one RDD telephone sample, and seven non-probability Internet samples and a wider array of outcomes. Their conclusions are the same: Both the telephone sample and the probability Internet sample show</w:t>
      </w:r>
      <w:r w:rsidR="002F3BC1">
        <w:rPr>
          <w:color w:val="000000"/>
          <w:sz w:val="22"/>
          <w:szCs w:val="22"/>
        </w:rPr>
        <w:t>ed</w:t>
      </w:r>
      <w:r w:rsidRPr="008A3E4E">
        <w:rPr>
          <w:color w:val="000000"/>
          <w:sz w:val="22"/>
          <w:szCs w:val="22"/>
        </w:rPr>
        <w:t xml:space="preserve"> the least bias; reweighting the non-probability samples d</w:t>
      </w:r>
      <w:r w:rsidR="002F3BC1">
        <w:rPr>
          <w:color w:val="000000"/>
          <w:sz w:val="22"/>
          <w:szCs w:val="22"/>
        </w:rPr>
        <w:t>id</w:t>
      </w:r>
      <w:r w:rsidRPr="008A3E4E">
        <w:rPr>
          <w:color w:val="000000"/>
          <w:sz w:val="22"/>
          <w:szCs w:val="22"/>
        </w:rPr>
        <w:t xml:space="preserve"> not help (for some outcomes, the bias gets worse; for others, better). They also found that response rates do not appear critical for bias. Even with relatively low response rates, the probability samples yield</w:t>
      </w:r>
      <w:r w:rsidR="002F3BC1">
        <w:rPr>
          <w:color w:val="000000"/>
          <w:sz w:val="22"/>
          <w:szCs w:val="22"/>
        </w:rPr>
        <w:t>ed</w:t>
      </w:r>
      <w:r w:rsidRPr="008A3E4E">
        <w:rPr>
          <w:color w:val="000000"/>
          <w:sz w:val="22"/>
          <w:szCs w:val="22"/>
        </w:rPr>
        <w:t xml:space="preserve"> unbiased estimates. It is not clear a priori why non-probability samples do so much worse. As they note, it appears that there are some fundamental differences between Internet users and non-Internet users that cannot be redressed by reweighting. Indeed, </w:t>
      </w:r>
      <w:proofErr w:type="spellStart"/>
      <w:r w:rsidRPr="008A3E4E">
        <w:rPr>
          <w:color w:val="000000"/>
          <w:sz w:val="22"/>
          <w:szCs w:val="22"/>
        </w:rPr>
        <w:t>Couper</w:t>
      </w:r>
      <w:proofErr w:type="spellEnd"/>
      <w:r w:rsidRPr="008A3E4E">
        <w:rPr>
          <w:color w:val="000000"/>
          <w:sz w:val="22"/>
          <w:szCs w:val="22"/>
        </w:rPr>
        <w:t xml:space="preserve"> et al. (2007) and </w:t>
      </w:r>
      <w:proofErr w:type="spellStart"/>
      <w:r w:rsidRPr="008A3E4E">
        <w:rPr>
          <w:color w:val="000000"/>
          <w:sz w:val="22"/>
          <w:szCs w:val="22"/>
        </w:rPr>
        <w:t>Schonlau</w:t>
      </w:r>
      <w:proofErr w:type="spellEnd"/>
      <w:r w:rsidRPr="008A3E4E">
        <w:rPr>
          <w:color w:val="000000"/>
          <w:sz w:val="22"/>
          <w:szCs w:val="22"/>
        </w:rPr>
        <w:t xml:space="preserve"> et al. (2009) show weighting and matching do not eliminate differences between estimates based on samples of respondents with and without Internet access. Several other studies point at equally mixed results, including </w:t>
      </w:r>
      <w:proofErr w:type="spellStart"/>
      <w:r w:rsidRPr="008A3E4E">
        <w:rPr>
          <w:sz w:val="22"/>
          <w:szCs w:val="22"/>
        </w:rPr>
        <w:t>Vehovar</w:t>
      </w:r>
      <w:proofErr w:type="spellEnd"/>
      <w:r w:rsidRPr="008A3E4E">
        <w:rPr>
          <w:sz w:val="22"/>
          <w:szCs w:val="22"/>
        </w:rPr>
        <w:t xml:space="preserve"> et al. (1999); Duffy et al., (2005); </w:t>
      </w:r>
      <w:proofErr w:type="spellStart"/>
      <w:r w:rsidRPr="008A3E4E">
        <w:rPr>
          <w:sz w:val="22"/>
          <w:szCs w:val="22"/>
        </w:rPr>
        <w:t>Malhotra</w:t>
      </w:r>
      <w:proofErr w:type="spellEnd"/>
      <w:r w:rsidRPr="008A3E4E">
        <w:rPr>
          <w:sz w:val="22"/>
          <w:szCs w:val="22"/>
        </w:rPr>
        <w:t xml:space="preserve"> and </w:t>
      </w:r>
      <w:proofErr w:type="spellStart"/>
      <w:r w:rsidRPr="008A3E4E">
        <w:rPr>
          <w:sz w:val="22"/>
          <w:szCs w:val="22"/>
        </w:rPr>
        <w:t>Krosnick</w:t>
      </w:r>
      <w:proofErr w:type="spellEnd"/>
      <w:r w:rsidRPr="008A3E4E">
        <w:rPr>
          <w:sz w:val="22"/>
          <w:szCs w:val="22"/>
        </w:rPr>
        <w:t xml:space="preserve"> (2007), Taylor (2000), </w:t>
      </w:r>
      <w:proofErr w:type="spellStart"/>
      <w:r w:rsidRPr="008A3E4E">
        <w:rPr>
          <w:sz w:val="22"/>
          <w:szCs w:val="22"/>
        </w:rPr>
        <w:t>Loosveldt</w:t>
      </w:r>
      <w:proofErr w:type="spellEnd"/>
      <w:r w:rsidRPr="008A3E4E">
        <w:rPr>
          <w:sz w:val="22"/>
          <w:szCs w:val="22"/>
        </w:rPr>
        <w:t xml:space="preserve"> and </w:t>
      </w:r>
      <w:proofErr w:type="spellStart"/>
      <w:r w:rsidRPr="008A3E4E">
        <w:rPr>
          <w:sz w:val="22"/>
          <w:szCs w:val="22"/>
        </w:rPr>
        <w:t>Sonck</w:t>
      </w:r>
      <w:proofErr w:type="spellEnd"/>
      <w:r w:rsidRPr="008A3E4E">
        <w:rPr>
          <w:sz w:val="22"/>
          <w:szCs w:val="22"/>
        </w:rPr>
        <w:t xml:space="preserve"> (2008). Of course a distinguishing characteristic of the ALP is that it provides Internet access to respondents who did not have </w:t>
      </w:r>
      <w:r w:rsidR="003F7821" w:rsidRPr="008A3E4E">
        <w:rPr>
          <w:sz w:val="22"/>
          <w:szCs w:val="22"/>
        </w:rPr>
        <w:t xml:space="preserve">it </w:t>
      </w:r>
      <w:r w:rsidRPr="008A3E4E">
        <w:rPr>
          <w:sz w:val="22"/>
          <w:szCs w:val="22"/>
        </w:rPr>
        <w:t>before joining the study.</w:t>
      </w:r>
    </w:p>
    <w:p w14:paraId="2FBAA0DC" w14:textId="77777777" w:rsidR="003F7821" w:rsidRPr="006250C2" w:rsidRDefault="003F7821" w:rsidP="006250C2">
      <w:pPr>
        <w:jc w:val="both"/>
        <w:rPr>
          <w:sz w:val="22"/>
          <w:szCs w:val="22"/>
        </w:rPr>
      </w:pPr>
      <w:r w:rsidRPr="006250C2">
        <w:rPr>
          <w:sz w:val="22"/>
          <w:szCs w:val="22"/>
        </w:rPr>
        <w:t>The computation of the recruitment rates in the ALP varies greatly between the various cohorts, because of their different backgrounds. Therefore, we discuss each of these separately, and then discuss retention rates and completion rates.</w:t>
      </w:r>
    </w:p>
    <w:p w14:paraId="25B9DB5C" w14:textId="77777777" w:rsidR="003F7821" w:rsidRPr="006250C2" w:rsidRDefault="003F7821" w:rsidP="006250C2">
      <w:pPr>
        <w:jc w:val="both"/>
        <w:rPr>
          <w:sz w:val="22"/>
          <w:szCs w:val="22"/>
        </w:rPr>
      </w:pPr>
    </w:p>
    <w:p w14:paraId="66211E2E" w14:textId="77777777" w:rsidR="003F7821" w:rsidRPr="006250C2" w:rsidRDefault="003F7821" w:rsidP="006250C2">
      <w:pPr>
        <w:jc w:val="both"/>
        <w:rPr>
          <w:sz w:val="22"/>
          <w:szCs w:val="22"/>
        </w:rPr>
      </w:pPr>
    </w:p>
    <w:p w14:paraId="1F8FA8AC" w14:textId="77777777" w:rsidR="003F7821" w:rsidRPr="006250C2" w:rsidRDefault="003F7821" w:rsidP="006250C2">
      <w:pPr>
        <w:jc w:val="both"/>
        <w:rPr>
          <w:i/>
          <w:sz w:val="22"/>
          <w:szCs w:val="22"/>
        </w:rPr>
      </w:pPr>
      <w:r w:rsidRPr="006250C2">
        <w:rPr>
          <w:i/>
          <w:sz w:val="22"/>
          <w:szCs w:val="22"/>
        </w:rPr>
        <w:t>University of Michigan (MS Internet and MS CATI)</w:t>
      </w:r>
    </w:p>
    <w:p w14:paraId="65469FC8" w14:textId="77777777" w:rsidR="003F7821" w:rsidRPr="006250C2" w:rsidRDefault="003F7821" w:rsidP="006250C2">
      <w:pPr>
        <w:jc w:val="both"/>
        <w:rPr>
          <w:sz w:val="22"/>
          <w:szCs w:val="22"/>
        </w:rPr>
      </w:pPr>
    </w:p>
    <w:p w14:paraId="616C9891" w14:textId="77777777" w:rsidR="003F7821" w:rsidRPr="006250C2" w:rsidRDefault="003F7821" w:rsidP="006250C2">
      <w:pPr>
        <w:jc w:val="both"/>
        <w:rPr>
          <w:sz w:val="22"/>
          <w:szCs w:val="22"/>
        </w:rPr>
      </w:pPr>
      <w:r w:rsidRPr="006250C2">
        <w:rPr>
          <w:sz w:val="22"/>
          <w:szCs w:val="22"/>
        </w:rPr>
        <w:t xml:space="preserve">Recruitment of panel members through the University of Michigan's Survey of Consumer Attitudes </w:t>
      </w:r>
      <w:r w:rsidRPr="006250C2">
        <w:rPr>
          <w:sz w:val="22"/>
          <w:szCs w:val="22"/>
        </w:rPr>
        <w:lastRenderedPageBreak/>
        <w:t xml:space="preserve">(SCA) proceeded through several stages. Stage 1 is the initial (first round) SCA interview. Stage 2 is the 6-month follow-up interview in the SCA. In this follow-up interview, age-eligible respondents were asked permission to refer them to RAND, so stage 3 is referral to RAND. Referred individuals were then entered into RAND's database and given an individual identifier. We define recruitment as the result of these three stages. Once recruited, individuals could ask to be removed from the panel at any time (including immediately after recruitment), or they could be removed from the panel by RAND due to inactivity for more than a (calendar) year. If not removed before 2011, they are considered to be part of the panel in 2011, which defines the retention rate. </w:t>
      </w:r>
    </w:p>
    <w:p w14:paraId="1E25D582" w14:textId="77777777" w:rsidR="003F7821" w:rsidRPr="006250C2" w:rsidRDefault="003F7821" w:rsidP="006250C2">
      <w:pPr>
        <w:jc w:val="both"/>
        <w:rPr>
          <w:sz w:val="22"/>
          <w:szCs w:val="22"/>
        </w:rPr>
      </w:pPr>
    </w:p>
    <w:p w14:paraId="2C7CA61B" w14:textId="77777777" w:rsidR="003F7821" w:rsidRPr="006250C2" w:rsidRDefault="003F7821" w:rsidP="006250C2">
      <w:pPr>
        <w:jc w:val="both"/>
        <w:rPr>
          <w:sz w:val="22"/>
          <w:szCs w:val="22"/>
        </w:rPr>
      </w:pPr>
      <w:r w:rsidRPr="006250C2">
        <w:rPr>
          <w:sz w:val="22"/>
          <w:szCs w:val="22"/>
        </w:rPr>
        <w:t>We have been unable to obtain detailed information from the University of Michigan about response rates, age distributions, and permission rates, so for this document we have used a combination of</w:t>
      </w:r>
      <w:r w:rsidR="00D5707C">
        <w:rPr>
          <w:sz w:val="22"/>
          <w:szCs w:val="22"/>
        </w:rPr>
        <w:t xml:space="preserve"> the available</w:t>
      </w:r>
      <w:r w:rsidRPr="006250C2">
        <w:rPr>
          <w:sz w:val="22"/>
          <w:szCs w:val="22"/>
        </w:rPr>
        <w:t xml:space="preserve"> information and</w:t>
      </w:r>
      <w:r w:rsidR="00D5707C">
        <w:rPr>
          <w:sz w:val="22"/>
          <w:szCs w:val="22"/>
        </w:rPr>
        <w:t xml:space="preserve"> </w:t>
      </w:r>
      <w:r w:rsidRPr="006250C2">
        <w:rPr>
          <w:sz w:val="22"/>
          <w:szCs w:val="22"/>
        </w:rPr>
        <w:t>assumptions</w:t>
      </w:r>
      <w:r w:rsidR="00D5707C">
        <w:rPr>
          <w:sz w:val="22"/>
          <w:szCs w:val="22"/>
        </w:rPr>
        <w:t xml:space="preserve"> (appropriately noted)</w:t>
      </w:r>
      <w:r w:rsidRPr="006250C2">
        <w:rPr>
          <w:sz w:val="22"/>
          <w:szCs w:val="22"/>
        </w:rPr>
        <w:t xml:space="preserve"> to compute recruitment rates for the Michigan subsample. We base our computations on the AAPOR RR2 definition:</w:t>
      </w:r>
    </w:p>
    <w:p w14:paraId="44FD3765" w14:textId="77777777" w:rsidR="003F7821" w:rsidRPr="006250C2" w:rsidRDefault="003F7821" w:rsidP="006250C2">
      <w:pPr>
        <w:jc w:val="both"/>
        <w:rPr>
          <w:sz w:val="22"/>
          <w:szCs w:val="22"/>
        </w:rPr>
      </w:pPr>
    </w:p>
    <w:p w14:paraId="4142F283" w14:textId="77777777" w:rsidR="003F7821" w:rsidRPr="006250C2" w:rsidRDefault="003F7821" w:rsidP="006250C2">
      <w:pPr>
        <w:pStyle w:val="MTDisplayEquation"/>
        <w:jc w:val="both"/>
        <w:rPr>
          <w:rFonts w:ascii="Times New Roman" w:hAnsi="Times New Roman"/>
        </w:rPr>
      </w:pPr>
      <w:r w:rsidRPr="006250C2">
        <w:rPr>
          <w:rFonts w:ascii="Times New Roman" w:hAnsi="Times New Roman"/>
        </w:rPr>
        <w:tab/>
      </w:r>
      <w:r w:rsidRPr="00CC15D9">
        <w:rPr>
          <w:rFonts w:ascii="Times New Roman" w:hAnsi="Times New Roman"/>
          <w:position w:val="-28"/>
        </w:rPr>
        <w:object w:dxaOrig="4200" w:dyaOrig="660" w14:anchorId="63D95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3pt" o:ole="">
            <v:imagedata r:id="rId13" o:title=""/>
          </v:shape>
          <o:OLEObject Type="Embed" ProgID="Equation.3" ShapeID="_x0000_i1025" DrawAspect="Content" ObjectID="_1420454700" r:id="rId14"/>
        </w:object>
      </w:r>
    </w:p>
    <w:p w14:paraId="405E56BE" w14:textId="77777777" w:rsidR="003F7821" w:rsidRPr="006250C2" w:rsidRDefault="003F7821" w:rsidP="006250C2">
      <w:pPr>
        <w:jc w:val="both"/>
        <w:rPr>
          <w:sz w:val="22"/>
          <w:szCs w:val="22"/>
        </w:rPr>
      </w:pPr>
    </w:p>
    <w:p w14:paraId="7E3297FA" w14:textId="77777777" w:rsidR="003F7821" w:rsidRPr="006250C2" w:rsidRDefault="003F7821" w:rsidP="006250C2">
      <w:pPr>
        <w:jc w:val="both"/>
        <w:rPr>
          <w:sz w:val="22"/>
          <w:szCs w:val="22"/>
        </w:rPr>
      </w:pPr>
      <w:r w:rsidRPr="006250C2">
        <w:rPr>
          <w:sz w:val="22"/>
          <w:szCs w:val="22"/>
        </w:rPr>
        <w:t xml:space="preserve">where </w:t>
      </w:r>
      <w:r w:rsidRPr="006250C2">
        <w:rPr>
          <w:i/>
          <w:sz w:val="22"/>
          <w:szCs w:val="22"/>
        </w:rPr>
        <w:t>I</w:t>
      </w:r>
      <w:r w:rsidRPr="006250C2">
        <w:rPr>
          <w:sz w:val="22"/>
          <w:szCs w:val="22"/>
        </w:rPr>
        <w:t xml:space="preserve"> is the number of complete interviews, </w:t>
      </w:r>
      <w:r w:rsidRPr="006250C2">
        <w:rPr>
          <w:i/>
          <w:sz w:val="22"/>
          <w:szCs w:val="22"/>
        </w:rPr>
        <w:t>P</w:t>
      </w:r>
      <w:r w:rsidRPr="006250C2">
        <w:rPr>
          <w:sz w:val="22"/>
          <w:szCs w:val="22"/>
        </w:rPr>
        <w:t xml:space="preserve"> is the number of partial interviews, </w:t>
      </w:r>
      <w:r w:rsidRPr="006250C2">
        <w:rPr>
          <w:i/>
          <w:sz w:val="22"/>
          <w:szCs w:val="22"/>
        </w:rPr>
        <w:t>R</w:t>
      </w:r>
      <w:r w:rsidRPr="006250C2">
        <w:rPr>
          <w:sz w:val="22"/>
          <w:szCs w:val="22"/>
        </w:rPr>
        <w:t xml:space="preserve"> is the number of refusals, </w:t>
      </w:r>
      <w:r w:rsidRPr="006250C2">
        <w:rPr>
          <w:i/>
          <w:sz w:val="22"/>
          <w:szCs w:val="22"/>
        </w:rPr>
        <w:t>NC</w:t>
      </w:r>
      <w:r w:rsidRPr="006250C2">
        <w:rPr>
          <w:sz w:val="22"/>
          <w:szCs w:val="22"/>
        </w:rPr>
        <w:t xml:space="preserve"> is the number of non-contacts, </w:t>
      </w:r>
      <w:r w:rsidRPr="006250C2">
        <w:rPr>
          <w:i/>
          <w:sz w:val="22"/>
          <w:szCs w:val="22"/>
        </w:rPr>
        <w:t>O</w:t>
      </w:r>
      <w:r w:rsidRPr="006250C2">
        <w:rPr>
          <w:sz w:val="22"/>
          <w:szCs w:val="22"/>
        </w:rPr>
        <w:t xml:space="preserve"> is "other", and </w:t>
      </w:r>
      <w:r w:rsidRPr="006250C2">
        <w:rPr>
          <w:i/>
          <w:sz w:val="22"/>
          <w:szCs w:val="22"/>
        </w:rPr>
        <w:t>UH</w:t>
      </w:r>
      <w:r w:rsidRPr="006250C2">
        <w:rPr>
          <w:sz w:val="22"/>
          <w:szCs w:val="22"/>
        </w:rPr>
        <w:t xml:space="preserve"> and </w:t>
      </w:r>
      <w:r w:rsidRPr="006250C2">
        <w:rPr>
          <w:i/>
          <w:sz w:val="22"/>
          <w:szCs w:val="22"/>
        </w:rPr>
        <w:t>UO</w:t>
      </w:r>
      <w:r w:rsidRPr="006250C2">
        <w:rPr>
          <w:sz w:val="22"/>
          <w:szCs w:val="22"/>
        </w:rPr>
        <w:t xml:space="preserve"> denote cases in which it is unknown whether the selected unit (telephone number for the SCA) is an eligible unit, that is, whether it is a residential landline telephone number.</w:t>
      </w:r>
    </w:p>
    <w:p w14:paraId="75FD53AB" w14:textId="77777777" w:rsidR="003F7821" w:rsidRPr="006250C2" w:rsidRDefault="003F7821" w:rsidP="006250C2">
      <w:pPr>
        <w:jc w:val="both"/>
        <w:rPr>
          <w:sz w:val="22"/>
          <w:szCs w:val="22"/>
        </w:rPr>
      </w:pPr>
    </w:p>
    <w:p w14:paraId="127FBF16" w14:textId="77777777" w:rsidR="003F7821" w:rsidRPr="006250C2" w:rsidRDefault="003F7821" w:rsidP="006250C2">
      <w:pPr>
        <w:jc w:val="both"/>
        <w:rPr>
          <w:sz w:val="22"/>
          <w:szCs w:val="22"/>
        </w:rPr>
      </w:pPr>
      <w:r w:rsidRPr="006250C2">
        <w:rPr>
          <w:sz w:val="22"/>
          <w:szCs w:val="22"/>
        </w:rPr>
        <w:t xml:space="preserve">Let </w:t>
      </w:r>
      <w:r w:rsidRPr="006250C2">
        <w:rPr>
          <w:i/>
          <w:sz w:val="22"/>
          <w:szCs w:val="22"/>
        </w:rPr>
        <w:t>N</w:t>
      </w:r>
      <w:r w:rsidRPr="006250C2">
        <w:rPr>
          <w:sz w:val="22"/>
          <w:szCs w:val="22"/>
          <w:vertAlign w:val="subscript"/>
        </w:rPr>
        <w:t>1</w:t>
      </w:r>
      <w:r w:rsidRPr="006250C2">
        <w:rPr>
          <w:sz w:val="22"/>
          <w:szCs w:val="22"/>
        </w:rPr>
        <w:t xml:space="preserve"> be the number of telephone numbers selected for a first-round interview in a given month. The SCA contains 300 first-round interviews per month, and thus the AAPOR RR2 first-round response rate </w:t>
      </w:r>
      <w:r w:rsidRPr="006250C2">
        <w:rPr>
          <w:i/>
          <w:sz w:val="22"/>
          <w:szCs w:val="22"/>
        </w:rPr>
        <w:t>p</w:t>
      </w:r>
      <w:r w:rsidRPr="006250C2">
        <w:rPr>
          <w:sz w:val="22"/>
          <w:szCs w:val="22"/>
          <w:vertAlign w:val="subscript"/>
        </w:rPr>
        <w:t>1</w:t>
      </w:r>
      <w:r w:rsidRPr="006250C2">
        <w:rPr>
          <w:sz w:val="22"/>
          <w:szCs w:val="22"/>
        </w:rPr>
        <w:t xml:space="preserve"> = 300/</w:t>
      </w:r>
      <w:r w:rsidRPr="006250C2">
        <w:rPr>
          <w:i/>
          <w:sz w:val="22"/>
          <w:szCs w:val="22"/>
        </w:rPr>
        <w:t>N</w:t>
      </w:r>
      <w:r w:rsidRPr="006250C2">
        <w:rPr>
          <w:sz w:val="22"/>
          <w:szCs w:val="22"/>
          <w:vertAlign w:val="subscript"/>
        </w:rPr>
        <w:t>1</w:t>
      </w:r>
      <w:r w:rsidRPr="006250C2">
        <w:rPr>
          <w:sz w:val="22"/>
          <w:szCs w:val="22"/>
        </w:rPr>
        <w:t xml:space="preserve">. The SCA contains 200 second-round interviews per month, and thus the AAPOR RR2 cumulative response rate for the second-round interviews is </w:t>
      </w:r>
      <w:r w:rsidRPr="006250C2">
        <w:rPr>
          <w:i/>
          <w:sz w:val="22"/>
          <w:szCs w:val="22"/>
        </w:rPr>
        <w:t>p</w:t>
      </w:r>
      <w:r w:rsidRPr="006250C2">
        <w:rPr>
          <w:sz w:val="22"/>
          <w:szCs w:val="22"/>
          <w:vertAlign w:val="subscript"/>
        </w:rPr>
        <w:t>1</w:t>
      </w:r>
      <w:r w:rsidRPr="006250C2">
        <w:rPr>
          <w:sz w:val="22"/>
          <w:szCs w:val="22"/>
        </w:rPr>
        <w:t xml:space="preserve"> </w:t>
      </w:r>
      <w:r w:rsidRPr="006250C2">
        <w:rPr>
          <w:i/>
          <w:sz w:val="22"/>
          <w:szCs w:val="22"/>
        </w:rPr>
        <w:t>p</w:t>
      </w:r>
      <w:r w:rsidRPr="006250C2">
        <w:rPr>
          <w:sz w:val="22"/>
          <w:szCs w:val="22"/>
          <w:vertAlign w:val="subscript"/>
        </w:rPr>
        <w:t>2</w:t>
      </w:r>
      <w:r w:rsidRPr="006250C2">
        <w:rPr>
          <w:sz w:val="22"/>
          <w:szCs w:val="22"/>
        </w:rPr>
        <w:t xml:space="preserve">, where </w:t>
      </w:r>
      <w:r w:rsidRPr="006250C2">
        <w:rPr>
          <w:i/>
          <w:sz w:val="22"/>
          <w:szCs w:val="22"/>
        </w:rPr>
        <w:t>p</w:t>
      </w:r>
      <w:r w:rsidRPr="006250C2">
        <w:rPr>
          <w:sz w:val="22"/>
          <w:szCs w:val="22"/>
          <w:vertAlign w:val="subscript"/>
        </w:rPr>
        <w:t>2</w:t>
      </w:r>
      <w:r w:rsidRPr="006250C2">
        <w:rPr>
          <w:sz w:val="22"/>
          <w:szCs w:val="22"/>
        </w:rPr>
        <w:t xml:space="preserve"> = 200/300 = 66.7% is the conditional second-round response rate, given a first-round response. The combined response rate of the SCA is then the number of interviews in a month (500) divided by the number of originally selected phone numbers for this sample (first-round plus second round; 2 </w:t>
      </w:r>
      <w:r w:rsidRPr="006250C2">
        <w:rPr>
          <w:i/>
          <w:sz w:val="22"/>
          <w:szCs w:val="22"/>
        </w:rPr>
        <w:t>N</w:t>
      </w:r>
      <w:r w:rsidRPr="006250C2">
        <w:rPr>
          <w:sz w:val="22"/>
          <w:szCs w:val="22"/>
          <w:vertAlign w:val="subscript"/>
        </w:rPr>
        <w:t>1</w:t>
      </w:r>
      <w:r w:rsidRPr="006250C2">
        <w:rPr>
          <w:sz w:val="22"/>
          <w:szCs w:val="22"/>
        </w:rPr>
        <w:t xml:space="preserve">). Thus, 2 </w:t>
      </w:r>
      <w:r w:rsidRPr="006250C2">
        <w:rPr>
          <w:i/>
          <w:sz w:val="22"/>
          <w:szCs w:val="22"/>
        </w:rPr>
        <w:t>N</w:t>
      </w:r>
      <w:r w:rsidRPr="006250C2">
        <w:rPr>
          <w:sz w:val="22"/>
          <w:szCs w:val="22"/>
          <w:vertAlign w:val="subscript"/>
        </w:rPr>
        <w:t>1</w:t>
      </w:r>
      <w:r w:rsidRPr="006250C2">
        <w:rPr>
          <w:sz w:val="22"/>
          <w:szCs w:val="22"/>
        </w:rPr>
        <w:t xml:space="preserve"> = 500/RR2. From Dixon and Tucker (2010, </w:t>
      </w:r>
      <w:r w:rsidRPr="008A3E4E">
        <w:rPr>
          <w:color w:val="000000"/>
          <w:sz w:val="22"/>
          <w:szCs w:val="22"/>
        </w:rPr>
        <w:t xml:space="preserve">Figure 19.1), we obtain the SCA RR2 = 57%, 54%, 52% in 2002, 2004, and 2006, respectively. We interpolate and extrapolate this to obtain RR2 = 55.5%, 53%, 51%, 50% in 2003, 2005, 2007, and 2008, respectively, from which we obtain </w:t>
      </w:r>
      <w:r w:rsidRPr="006250C2">
        <w:rPr>
          <w:i/>
          <w:sz w:val="22"/>
          <w:szCs w:val="22"/>
        </w:rPr>
        <w:t>N</w:t>
      </w:r>
      <w:r w:rsidRPr="006250C2">
        <w:rPr>
          <w:sz w:val="22"/>
          <w:szCs w:val="22"/>
          <w:vertAlign w:val="subscript"/>
        </w:rPr>
        <w:t>1</w:t>
      </w:r>
      <w:r w:rsidRPr="008A3E4E">
        <w:rPr>
          <w:color w:val="000000"/>
          <w:sz w:val="22"/>
          <w:szCs w:val="22"/>
        </w:rPr>
        <w:t xml:space="preserve"> for each month the ALP received referrals from the University of Michigan.</w:t>
      </w:r>
    </w:p>
    <w:p w14:paraId="49D25B20" w14:textId="77777777" w:rsidR="003F7821" w:rsidRPr="006250C2" w:rsidRDefault="003F7821" w:rsidP="006250C2">
      <w:pPr>
        <w:jc w:val="both"/>
        <w:rPr>
          <w:sz w:val="22"/>
          <w:szCs w:val="22"/>
        </w:rPr>
      </w:pPr>
    </w:p>
    <w:p w14:paraId="25FEB3F1" w14:textId="77777777" w:rsidR="003F7821" w:rsidRPr="006250C2" w:rsidRDefault="003F7821" w:rsidP="006250C2">
      <w:pPr>
        <w:jc w:val="both"/>
        <w:rPr>
          <w:sz w:val="22"/>
          <w:szCs w:val="22"/>
        </w:rPr>
      </w:pPr>
      <w:r w:rsidRPr="006250C2">
        <w:rPr>
          <w:sz w:val="22"/>
          <w:szCs w:val="22"/>
        </w:rPr>
        <w:t xml:space="preserve">Let </w:t>
      </w:r>
      <w:r w:rsidRPr="006250C2">
        <w:rPr>
          <w:i/>
          <w:sz w:val="22"/>
          <w:szCs w:val="22"/>
        </w:rPr>
        <w:t>p</w:t>
      </w:r>
      <w:r w:rsidRPr="006250C2">
        <w:rPr>
          <w:sz w:val="22"/>
          <w:szCs w:val="22"/>
          <w:vertAlign w:val="subscript"/>
        </w:rPr>
        <w:t>3</w:t>
      </w:r>
      <w:r w:rsidRPr="006250C2">
        <w:rPr>
          <w:sz w:val="22"/>
          <w:szCs w:val="22"/>
        </w:rPr>
        <w:t xml:space="preserve"> be the fraction of second-round respondents who are age-eligible for the ALP. Since November 2006, the ALP includes respondents 18 and over, which is the same age restriction as the SCA, so </w:t>
      </w:r>
      <w:r w:rsidRPr="006250C2">
        <w:rPr>
          <w:i/>
          <w:sz w:val="22"/>
          <w:szCs w:val="22"/>
        </w:rPr>
        <w:t>p</w:t>
      </w:r>
      <w:r w:rsidRPr="006250C2">
        <w:rPr>
          <w:sz w:val="22"/>
          <w:szCs w:val="22"/>
          <w:vertAlign w:val="subscript"/>
        </w:rPr>
        <w:t>3</w:t>
      </w:r>
      <w:r w:rsidRPr="006250C2">
        <w:rPr>
          <w:sz w:val="22"/>
          <w:szCs w:val="22"/>
        </w:rPr>
        <w:t xml:space="preserve"> = 100%. Before November 2006, the ALP only recruited individuals 40 and over. We obtain the number of individuals 40 and over as a fraction of the number of individuals 18 and over from population estimates from the US Census Bureau (US Census Bureau, 2011), and use this as our estimate of </w:t>
      </w:r>
      <w:r w:rsidRPr="006250C2">
        <w:rPr>
          <w:i/>
          <w:sz w:val="22"/>
          <w:szCs w:val="22"/>
        </w:rPr>
        <w:t>p</w:t>
      </w:r>
      <w:r w:rsidRPr="006250C2">
        <w:rPr>
          <w:sz w:val="22"/>
          <w:szCs w:val="22"/>
          <w:vertAlign w:val="subscript"/>
        </w:rPr>
        <w:t>3</w:t>
      </w:r>
      <w:r w:rsidRPr="006250C2">
        <w:rPr>
          <w:sz w:val="22"/>
          <w:szCs w:val="22"/>
        </w:rPr>
        <w:t xml:space="preserve"> before November 2006. Let </w:t>
      </w:r>
      <w:r w:rsidRPr="006250C2">
        <w:rPr>
          <w:i/>
          <w:sz w:val="22"/>
          <w:szCs w:val="22"/>
        </w:rPr>
        <w:t>p</w:t>
      </w:r>
      <w:r w:rsidRPr="006250C2">
        <w:rPr>
          <w:sz w:val="22"/>
          <w:szCs w:val="22"/>
          <w:vertAlign w:val="subscript"/>
        </w:rPr>
        <w:t>4</w:t>
      </w:r>
      <w:r w:rsidRPr="006250C2">
        <w:rPr>
          <w:sz w:val="22"/>
          <w:szCs w:val="22"/>
        </w:rPr>
        <w:t xml:space="preserve"> be the referral rate, that is, the fraction of individuals asked for permission who were referred to RAND. Then the number of referrals received by RAND (number of recruits) in a given month is </w:t>
      </w:r>
      <w:r w:rsidRPr="006250C2">
        <w:rPr>
          <w:i/>
          <w:sz w:val="22"/>
          <w:szCs w:val="22"/>
        </w:rPr>
        <w:t>N</w:t>
      </w:r>
      <w:r w:rsidRPr="006250C2">
        <w:rPr>
          <w:sz w:val="22"/>
          <w:szCs w:val="22"/>
          <w:vertAlign w:val="subscript"/>
        </w:rPr>
        <w:t>4</w:t>
      </w:r>
      <w:r w:rsidRPr="006250C2">
        <w:rPr>
          <w:sz w:val="22"/>
          <w:szCs w:val="22"/>
        </w:rPr>
        <w:t xml:space="preserve"> = </w:t>
      </w:r>
      <w:r w:rsidRPr="006250C2">
        <w:rPr>
          <w:i/>
          <w:sz w:val="22"/>
          <w:szCs w:val="22"/>
        </w:rPr>
        <w:t>N</w:t>
      </w:r>
      <w:r w:rsidRPr="006250C2">
        <w:rPr>
          <w:sz w:val="22"/>
          <w:szCs w:val="22"/>
          <w:vertAlign w:val="subscript"/>
        </w:rPr>
        <w:t>1</w:t>
      </w:r>
      <w:r w:rsidRPr="006250C2">
        <w:rPr>
          <w:sz w:val="22"/>
          <w:szCs w:val="22"/>
        </w:rPr>
        <w:t xml:space="preserve"> </w:t>
      </w:r>
      <w:r w:rsidRPr="006250C2">
        <w:rPr>
          <w:i/>
          <w:sz w:val="22"/>
          <w:szCs w:val="22"/>
        </w:rPr>
        <w:t>p</w:t>
      </w:r>
      <w:r w:rsidRPr="006250C2">
        <w:rPr>
          <w:sz w:val="22"/>
          <w:szCs w:val="22"/>
          <w:vertAlign w:val="subscript"/>
        </w:rPr>
        <w:t>1</w:t>
      </w:r>
      <w:r w:rsidRPr="006250C2">
        <w:rPr>
          <w:sz w:val="22"/>
          <w:szCs w:val="22"/>
        </w:rPr>
        <w:t xml:space="preserve"> </w:t>
      </w:r>
      <w:r w:rsidRPr="006250C2">
        <w:rPr>
          <w:i/>
          <w:sz w:val="22"/>
          <w:szCs w:val="22"/>
        </w:rPr>
        <w:t>p</w:t>
      </w:r>
      <w:r w:rsidRPr="006250C2">
        <w:rPr>
          <w:sz w:val="22"/>
          <w:szCs w:val="22"/>
          <w:vertAlign w:val="subscript"/>
        </w:rPr>
        <w:t>2</w:t>
      </w:r>
      <w:r w:rsidRPr="006250C2">
        <w:rPr>
          <w:sz w:val="22"/>
          <w:szCs w:val="22"/>
        </w:rPr>
        <w:t xml:space="preserve"> </w:t>
      </w:r>
      <w:r w:rsidRPr="006250C2">
        <w:rPr>
          <w:i/>
          <w:sz w:val="22"/>
          <w:szCs w:val="22"/>
        </w:rPr>
        <w:t>p</w:t>
      </w:r>
      <w:r w:rsidRPr="006250C2">
        <w:rPr>
          <w:sz w:val="22"/>
          <w:szCs w:val="22"/>
          <w:vertAlign w:val="subscript"/>
        </w:rPr>
        <w:t>3</w:t>
      </w:r>
      <w:r w:rsidRPr="006250C2">
        <w:rPr>
          <w:sz w:val="22"/>
          <w:szCs w:val="22"/>
        </w:rPr>
        <w:t xml:space="preserve"> </w:t>
      </w:r>
      <w:r w:rsidRPr="006250C2">
        <w:rPr>
          <w:i/>
          <w:sz w:val="22"/>
          <w:szCs w:val="22"/>
        </w:rPr>
        <w:t>p</w:t>
      </w:r>
      <w:r w:rsidRPr="006250C2">
        <w:rPr>
          <w:sz w:val="22"/>
          <w:szCs w:val="22"/>
          <w:vertAlign w:val="subscript"/>
        </w:rPr>
        <w:t>4</w:t>
      </w:r>
      <w:r w:rsidRPr="006250C2">
        <w:rPr>
          <w:sz w:val="22"/>
          <w:szCs w:val="22"/>
        </w:rPr>
        <w:t xml:space="preserve">. The number of recruits </w:t>
      </w:r>
      <w:r w:rsidRPr="006250C2">
        <w:rPr>
          <w:i/>
          <w:sz w:val="22"/>
          <w:szCs w:val="22"/>
        </w:rPr>
        <w:t>N</w:t>
      </w:r>
      <w:r w:rsidRPr="006250C2">
        <w:rPr>
          <w:sz w:val="22"/>
          <w:szCs w:val="22"/>
          <w:vertAlign w:val="subscript"/>
        </w:rPr>
        <w:t>4</w:t>
      </w:r>
      <w:r w:rsidRPr="006250C2">
        <w:rPr>
          <w:sz w:val="22"/>
          <w:szCs w:val="22"/>
        </w:rPr>
        <w:t xml:space="preserve"> is observed in our records and with the estimated </w:t>
      </w:r>
      <w:r w:rsidRPr="006250C2">
        <w:rPr>
          <w:i/>
          <w:sz w:val="22"/>
          <w:szCs w:val="22"/>
        </w:rPr>
        <w:t>N</w:t>
      </w:r>
      <w:r w:rsidRPr="006250C2">
        <w:rPr>
          <w:sz w:val="22"/>
          <w:szCs w:val="22"/>
          <w:vertAlign w:val="subscript"/>
        </w:rPr>
        <w:t>1</w:t>
      </w:r>
      <w:r w:rsidRPr="006250C2">
        <w:rPr>
          <w:sz w:val="22"/>
          <w:szCs w:val="22"/>
        </w:rPr>
        <w:t xml:space="preserve">, </w:t>
      </w:r>
      <w:r w:rsidRPr="006250C2">
        <w:rPr>
          <w:i/>
          <w:sz w:val="22"/>
          <w:szCs w:val="22"/>
        </w:rPr>
        <w:t>p</w:t>
      </w:r>
      <w:r w:rsidRPr="006250C2">
        <w:rPr>
          <w:sz w:val="22"/>
          <w:szCs w:val="22"/>
          <w:vertAlign w:val="subscript"/>
        </w:rPr>
        <w:t>1</w:t>
      </w:r>
      <w:r w:rsidRPr="006250C2">
        <w:rPr>
          <w:sz w:val="22"/>
          <w:szCs w:val="22"/>
        </w:rPr>
        <w:t xml:space="preserve">, </w:t>
      </w:r>
      <w:r w:rsidRPr="006250C2">
        <w:rPr>
          <w:i/>
          <w:sz w:val="22"/>
          <w:szCs w:val="22"/>
        </w:rPr>
        <w:t>p</w:t>
      </w:r>
      <w:r w:rsidRPr="006250C2">
        <w:rPr>
          <w:sz w:val="22"/>
          <w:szCs w:val="22"/>
          <w:vertAlign w:val="subscript"/>
        </w:rPr>
        <w:t>2</w:t>
      </w:r>
      <w:r w:rsidRPr="006250C2">
        <w:rPr>
          <w:sz w:val="22"/>
          <w:szCs w:val="22"/>
        </w:rPr>
        <w:t xml:space="preserve">, and </w:t>
      </w:r>
      <w:r w:rsidRPr="006250C2">
        <w:rPr>
          <w:i/>
          <w:sz w:val="22"/>
          <w:szCs w:val="22"/>
        </w:rPr>
        <w:t>p</w:t>
      </w:r>
      <w:r w:rsidRPr="006250C2">
        <w:rPr>
          <w:sz w:val="22"/>
          <w:szCs w:val="22"/>
          <w:vertAlign w:val="subscript"/>
        </w:rPr>
        <w:t>3</w:t>
      </w:r>
      <w:r w:rsidRPr="006250C2">
        <w:rPr>
          <w:sz w:val="22"/>
          <w:szCs w:val="22"/>
        </w:rPr>
        <w:t xml:space="preserve"> as above, we can solve for </w:t>
      </w:r>
      <w:r w:rsidRPr="006250C2">
        <w:rPr>
          <w:i/>
          <w:sz w:val="22"/>
          <w:szCs w:val="22"/>
        </w:rPr>
        <w:t>p</w:t>
      </w:r>
      <w:r w:rsidRPr="006250C2">
        <w:rPr>
          <w:sz w:val="22"/>
          <w:szCs w:val="22"/>
          <w:vertAlign w:val="subscript"/>
        </w:rPr>
        <w:t>4</w:t>
      </w:r>
      <w:r w:rsidRPr="006250C2">
        <w:rPr>
          <w:sz w:val="22"/>
          <w:szCs w:val="22"/>
        </w:rPr>
        <w:t xml:space="preserve">. Because </w:t>
      </w:r>
      <w:r w:rsidRPr="006250C2">
        <w:rPr>
          <w:i/>
          <w:sz w:val="22"/>
          <w:szCs w:val="22"/>
        </w:rPr>
        <w:t>p</w:t>
      </w:r>
      <w:r w:rsidRPr="006250C2">
        <w:rPr>
          <w:sz w:val="22"/>
          <w:szCs w:val="22"/>
          <w:vertAlign w:val="subscript"/>
        </w:rPr>
        <w:t>3</w:t>
      </w:r>
      <w:r w:rsidRPr="006250C2">
        <w:rPr>
          <w:sz w:val="22"/>
          <w:szCs w:val="22"/>
        </w:rPr>
        <w:t xml:space="preserve"> refers to a selection based on eligibility and not nonresponse, the recruitment rate is RECR = </w:t>
      </w:r>
      <w:r w:rsidRPr="006250C2">
        <w:rPr>
          <w:i/>
          <w:sz w:val="22"/>
          <w:szCs w:val="22"/>
        </w:rPr>
        <w:t>p</w:t>
      </w:r>
      <w:r w:rsidRPr="006250C2">
        <w:rPr>
          <w:sz w:val="22"/>
          <w:szCs w:val="22"/>
          <w:vertAlign w:val="subscript"/>
        </w:rPr>
        <w:t>1</w:t>
      </w:r>
      <w:r w:rsidRPr="006250C2">
        <w:rPr>
          <w:sz w:val="22"/>
          <w:szCs w:val="22"/>
        </w:rPr>
        <w:t xml:space="preserve"> </w:t>
      </w:r>
      <w:r w:rsidRPr="006250C2">
        <w:rPr>
          <w:i/>
          <w:sz w:val="22"/>
          <w:szCs w:val="22"/>
        </w:rPr>
        <w:t>p</w:t>
      </w:r>
      <w:r w:rsidRPr="006250C2">
        <w:rPr>
          <w:sz w:val="22"/>
          <w:szCs w:val="22"/>
          <w:vertAlign w:val="subscript"/>
        </w:rPr>
        <w:t>2</w:t>
      </w:r>
      <w:r w:rsidRPr="006250C2">
        <w:rPr>
          <w:sz w:val="22"/>
          <w:szCs w:val="22"/>
        </w:rPr>
        <w:t xml:space="preserve"> </w:t>
      </w:r>
      <w:r w:rsidRPr="006250C2">
        <w:rPr>
          <w:i/>
          <w:sz w:val="22"/>
          <w:szCs w:val="22"/>
        </w:rPr>
        <w:t>p</w:t>
      </w:r>
      <w:r w:rsidRPr="006250C2">
        <w:rPr>
          <w:sz w:val="22"/>
          <w:szCs w:val="22"/>
          <w:vertAlign w:val="subscript"/>
        </w:rPr>
        <w:t>4</w:t>
      </w:r>
      <w:r w:rsidRPr="006250C2">
        <w:rPr>
          <w:sz w:val="22"/>
          <w:szCs w:val="22"/>
        </w:rPr>
        <w:t xml:space="preserve">. We assume that the various probabilities are constant within a year and the same for </w:t>
      </w:r>
      <w:r w:rsidR="00D5707C" w:rsidRPr="006250C2">
        <w:rPr>
          <w:sz w:val="22"/>
          <w:szCs w:val="22"/>
        </w:rPr>
        <w:t>individuals</w:t>
      </w:r>
      <w:r w:rsidR="00D5707C">
        <w:rPr>
          <w:sz w:val="22"/>
          <w:szCs w:val="22"/>
        </w:rPr>
        <w:t xml:space="preserve"> </w:t>
      </w:r>
      <w:proofErr w:type="gramStart"/>
      <w:r w:rsidR="00D5707C">
        <w:rPr>
          <w:sz w:val="22"/>
          <w:szCs w:val="22"/>
        </w:rPr>
        <w:t xml:space="preserve">aged </w:t>
      </w:r>
      <w:r w:rsidRPr="006250C2">
        <w:rPr>
          <w:sz w:val="22"/>
          <w:szCs w:val="22"/>
        </w:rPr>
        <w:t xml:space="preserve"> 18</w:t>
      </w:r>
      <w:proofErr w:type="gramEnd"/>
      <w:r w:rsidR="00D5707C">
        <w:rPr>
          <w:sz w:val="22"/>
          <w:szCs w:val="22"/>
        </w:rPr>
        <w:t>-</w:t>
      </w:r>
      <w:r w:rsidRPr="006250C2">
        <w:rPr>
          <w:sz w:val="22"/>
          <w:szCs w:val="22"/>
        </w:rPr>
        <w:t>39</w:t>
      </w:r>
      <w:r w:rsidR="00D5707C">
        <w:rPr>
          <w:sz w:val="22"/>
          <w:szCs w:val="22"/>
        </w:rPr>
        <w:t xml:space="preserve"> and</w:t>
      </w:r>
      <w:r w:rsidRPr="006250C2">
        <w:rPr>
          <w:sz w:val="22"/>
          <w:szCs w:val="22"/>
        </w:rPr>
        <w:t xml:space="preserve"> age 40 and over </w:t>
      </w:r>
      <w:r w:rsidR="00D5707C">
        <w:rPr>
          <w:sz w:val="22"/>
          <w:szCs w:val="22"/>
        </w:rPr>
        <w:t xml:space="preserve"> We </w:t>
      </w:r>
      <w:r w:rsidRPr="006250C2">
        <w:rPr>
          <w:sz w:val="22"/>
          <w:szCs w:val="22"/>
        </w:rPr>
        <w:t xml:space="preserve">compute these numbers per year, rather than on a monthly basis, because the monthly numbers are more subject to random variation. In 2006, the age 40 restriction was imposed </w:t>
      </w:r>
      <w:r w:rsidR="00D5707C">
        <w:rPr>
          <w:sz w:val="22"/>
          <w:szCs w:val="22"/>
        </w:rPr>
        <w:t>for</w:t>
      </w:r>
      <w:r w:rsidRPr="006250C2">
        <w:rPr>
          <w:sz w:val="22"/>
          <w:szCs w:val="22"/>
        </w:rPr>
        <w:t xml:space="preserve"> 10 months, and lifted in November, and thus we compute </w:t>
      </w:r>
      <w:r w:rsidRPr="006250C2">
        <w:rPr>
          <w:i/>
          <w:sz w:val="22"/>
          <w:szCs w:val="22"/>
        </w:rPr>
        <w:t>p</w:t>
      </w:r>
      <w:r w:rsidRPr="006250C2">
        <w:rPr>
          <w:sz w:val="22"/>
          <w:szCs w:val="22"/>
          <w:vertAlign w:val="subscript"/>
        </w:rPr>
        <w:t>3</w:t>
      </w:r>
      <w:r w:rsidRPr="006250C2">
        <w:rPr>
          <w:sz w:val="22"/>
          <w:szCs w:val="22"/>
        </w:rPr>
        <w:t xml:space="preserve"> as (10/12) * </w:t>
      </w:r>
      <w:r w:rsidRPr="006250C2">
        <w:rPr>
          <w:i/>
          <w:sz w:val="22"/>
          <w:szCs w:val="22"/>
        </w:rPr>
        <w:t>F</w:t>
      </w:r>
      <w:r w:rsidRPr="006250C2">
        <w:rPr>
          <w:sz w:val="22"/>
          <w:szCs w:val="22"/>
        </w:rPr>
        <w:t xml:space="preserve"> + (2/12) * 1, where </w:t>
      </w:r>
      <w:r w:rsidRPr="006250C2">
        <w:rPr>
          <w:i/>
          <w:sz w:val="22"/>
          <w:szCs w:val="22"/>
        </w:rPr>
        <w:t>F</w:t>
      </w:r>
      <w:r w:rsidRPr="006250C2">
        <w:rPr>
          <w:sz w:val="22"/>
          <w:szCs w:val="22"/>
        </w:rPr>
        <w:t xml:space="preserve"> is the fraction of individuals age 40 and older among the number of individuals 18 and over.</w:t>
      </w:r>
    </w:p>
    <w:p w14:paraId="3749EBCF" w14:textId="77777777" w:rsidR="003F7821" w:rsidRPr="006250C2" w:rsidRDefault="003F7821" w:rsidP="006250C2">
      <w:pPr>
        <w:jc w:val="both"/>
        <w:rPr>
          <w:sz w:val="22"/>
          <w:szCs w:val="22"/>
        </w:rPr>
      </w:pPr>
    </w:p>
    <w:p w14:paraId="29E83413" w14:textId="77777777" w:rsidR="003F7821" w:rsidRPr="006250C2" w:rsidRDefault="003F7821" w:rsidP="006250C2">
      <w:pPr>
        <w:jc w:val="both"/>
        <w:rPr>
          <w:sz w:val="22"/>
          <w:szCs w:val="22"/>
        </w:rPr>
      </w:pPr>
      <w:r w:rsidRPr="006250C2">
        <w:rPr>
          <w:sz w:val="22"/>
          <w:szCs w:val="22"/>
        </w:rPr>
        <w:t>Summarizing, and aggregating to the annual level, we compute the various components as follows:</w:t>
      </w:r>
    </w:p>
    <w:p w14:paraId="4C228881" w14:textId="77777777" w:rsidR="003F7821" w:rsidRPr="006250C2" w:rsidRDefault="003F7821" w:rsidP="006250C2">
      <w:pPr>
        <w:jc w:val="both"/>
        <w:rPr>
          <w:sz w:val="22"/>
          <w:szCs w:val="22"/>
        </w:rPr>
      </w:pPr>
    </w:p>
    <w:p w14:paraId="63DBA144" w14:textId="77777777" w:rsidR="003F7821" w:rsidRPr="006250C2" w:rsidRDefault="003F7821" w:rsidP="006250C2">
      <w:pPr>
        <w:pStyle w:val="MTDisplayEquation"/>
        <w:jc w:val="both"/>
        <w:rPr>
          <w:rFonts w:ascii="Times New Roman" w:hAnsi="Times New Roman"/>
        </w:rPr>
      </w:pPr>
      <w:r w:rsidRPr="006250C2">
        <w:rPr>
          <w:rFonts w:ascii="Times New Roman" w:hAnsi="Times New Roman"/>
        </w:rPr>
        <w:tab/>
      </w:r>
      <w:r w:rsidRPr="00CC15D9">
        <w:rPr>
          <w:rFonts w:ascii="Times New Roman" w:hAnsi="Times New Roman"/>
          <w:position w:val="-192"/>
        </w:rPr>
        <w:object w:dxaOrig="7460" w:dyaOrig="5740" w14:anchorId="24B27422">
          <v:shape id="_x0000_i1026" type="#_x0000_t75" style="width:374.25pt;height:287.25pt" o:ole="">
            <v:imagedata r:id="rId15" o:title=""/>
          </v:shape>
          <o:OLEObject Type="Embed" ProgID="Equation.3" ShapeID="_x0000_i1026" DrawAspect="Content" ObjectID="_1420454701" r:id="rId16"/>
        </w:object>
      </w:r>
    </w:p>
    <w:p w14:paraId="7BC696D3" w14:textId="77777777" w:rsidR="003F7821" w:rsidRPr="006250C2" w:rsidRDefault="003F7821" w:rsidP="006250C2">
      <w:pPr>
        <w:jc w:val="both"/>
        <w:rPr>
          <w:sz w:val="22"/>
          <w:szCs w:val="22"/>
        </w:rPr>
      </w:pPr>
    </w:p>
    <w:p w14:paraId="0C9516CA" w14:textId="77777777" w:rsidR="003F7821" w:rsidRPr="006250C2" w:rsidRDefault="003F7821" w:rsidP="006250C2">
      <w:pPr>
        <w:jc w:val="both"/>
        <w:rPr>
          <w:sz w:val="22"/>
          <w:szCs w:val="22"/>
        </w:rPr>
      </w:pPr>
      <w:r w:rsidRPr="006250C2">
        <w:rPr>
          <w:sz w:val="22"/>
          <w:szCs w:val="22"/>
        </w:rPr>
        <w:t>The results are given in Table B.</w:t>
      </w:r>
      <w:r w:rsidR="006250C2">
        <w:rPr>
          <w:sz w:val="22"/>
          <w:szCs w:val="22"/>
        </w:rPr>
        <w:t>2</w:t>
      </w:r>
      <w:r w:rsidRPr="006250C2">
        <w:rPr>
          <w:sz w:val="22"/>
          <w:szCs w:val="22"/>
        </w:rPr>
        <w:t xml:space="preserve">. An overall recruitment rate can be computed by weighting the recruitment rates for the separate years by the corresponding numbers of selected households. The number of selected households, accounting for age-ineligibility in earlier years, is </w:t>
      </w:r>
      <w:r w:rsidRPr="006250C2">
        <w:rPr>
          <w:i/>
          <w:sz w:val="22"/>
          <w:szCs w:val="22"/>
        </w:rPr>
        <w:t>W</w:t>
      </w:r>
      <w:r w:rsidRPr="006250C2">
        <w:rPr>
          <w:sz w:val="22"/>
          <w:szCs w:val="22"/>
        </w:rPr>
        <w:t xml:space="preserve"> = </w:t>
      </w:r>
      <w:r w:rsidRPr="006250C2">
        <w:rPr>
          <w:i/>
          <w:sz w:val="22"/>
          <w:szCs w:val="22"/>
        </w:rPr>
        <w:t>N</w:t>
      </w:r>
      <w:r w:rsidRPr="006250C2">
        <w:rPr>
          <w:sz w:val="22"/>
          <w:szCs w:val="22"/>
          <w:vertAlign w:val="subscript"/>
        </w:rPr>
        <w:t>4</w:t>
      </w:r>
      <w:r w:rsidRPr="006250C2">
        <w:rPr>
          <w:sz w:val="22"/>
          <w:szCs w:val="22"/>
        </w:rPr>
        <w:t xml:space="preserve"> / RECR. This is naturally equal to </w:t>
      </w:r>
      <w:r w:rsidRPr="006250C2">
        <w:rPr>
          <w:i/>
          <w:sz w:val="22"/>
          <w:szCs w:val="22"/>
        </w:rPr>
        <w:t>N</w:t>
      </w:r>
      <w:r w:rsidRPr="006250C2">
        <w:rPr>
          <w:sz w:val="22"/>
          <w:szCs w:val="22"/>
          <w:vertAlign w:val="subscript"/>
        </w:rPr>
        <w:t>1</w:t>
      </w:r>
      <w:r w:rsidRPr="006250C2">
        <w:rPr>
          <w:sz w:val="22"/>
          <w:szCs w:val="22"/>
        </w:rPr>
        <w:t xml:space="preserve"> for the years in which all SCA respondents were eligible for the ALP (2007 and 2008), but it is less by the eligibility-adjustment factor </w:t>
      </w:r>
      <w:r w:rsidRPr="006250C2">
        <w:rPr>
          <w:i/>
          <w:sz w:val="22"/>
          <w:szCs w:val="22"/>
        </w:rPr>
        <w:t>p</w:t>
      </w:r>
      <w:r w:rsidRPr="006250C2">
        <w:rPr>
          <w:sz w:val="22"/>
          <w:szCs w:val="22"/>
          <w:vertAlign w:val="subscript"/>
        </w:rPr>
        <w:t>3</w:t>
      </w:r>
      <w:r w:rsidRPr="006250C2">
        <w:rPr>
          <w:sz w:val="22"/>
          <w:szCs w:val="22"/>
        </w:rPr>
        <w:t xml:space="preserve"> in 2002-2006. Attaching a </w:t>
      </w:r>
      <w:r w:rsidRPr="006250C2">
        <w:rPr>
          <w:i/>
          <w:sz w:val="22"/>
          <w:szCs w:val="22"/>
        </w:rPr>
        <w:t>t</w:t>
      </w:r>
      <w:r w:rsidRPr="006250C2">
        <w:rPr>
          <w:sz w:val="22"/>
          <w:szCs w:val="22"/>
        </w:rPr>
        <w:t xml:space="preserve"> subscript for the year, the combined recruitment rate is</w:t>
      </w:r>
    </w:p>
    <w:p w14:paraId="4E97F9DB" w14:textId="77777777" w:rsidR="003F7821" w:rsidRPr="006250C2" w:rsidRDefault="003F7821" w:rsidP="006250C2">
      <w:pPr>
        <w:jc w:val="both"/>
        <w:rPr>
          <w:sz w:val="22"/>
          <w:szCs w:val="22"/>
        </w:rPr>
      </w:pPr>
    </w:p>
    <w:p w14:paraId="3759226C" w14:textId="77777777" w:rsidR="003F7821" w:rsidRPr="00D57CFB" w:rsidRDefault="003F7821" w:rsidP="006250C2">
      <w:pPr>
        <w:pStyle w:val="MTDisplayEquation"/>
        <w:jc w:val="both"/>
        <w:rPr>
          <w:rFonts w:ascii="Times New Roman" w:hAnsi="Times New Roman"/>
        </w:rPr>
      </w:pPr>
      <w:r w:rsidRPr="006250C2">
        <w:rPr>
          <w:rFonts w:ascii="Times New Roman" w:hAnsi="Times New Roman"/>
        </w:rPr>
        <w:tab/>
      </w:r>
      <w:r w:rsidRPr="00CC15D9">
        <w:rPr>
          <w:rFonts w:ascii="Times New Roman" w:hAnsi="Times New Roman"/>
          <w:position w:val="-38"/>
        </w:rPr>
        <w:object w:dxaOrig="2660" w:dyaOrig="880" w14:anchorId="6D1DF5E5">
          <v:shape id="_x0000_i1027" type="#_x0000_t75" style="width:133.5pt;height:44.25pt" o:ole="">
            <v:imagedata r:id="rId17" o:title=""/>
          </v:shape>
          <o:OLEObject Type="Embed" ProgID="Equation.3" ShapeID="_x0000_i1027" DrawAspect="Content" ObjectID="_1420454702" r:id="rId18"/>
        </w:object>
      </w:r>
      <w:r w:rsidRPr="00D57CFB">
        <w:rPr>
          <w:rFonts w:ascii="Times New Roman" w:hAnsi="Times New Roman"/>
        </w:rPr>
        <w:t>.</w:t>
      </w:r>
    </w:p>
    <w:p w14:paraId="718A573B" w14:textId="77777777" w:rsidR="003F7821" w:rsidRPr="00D57CFB" w:rsidRDefault="003F7821" w:rsidP="006250C2">
      <w:pPr>
        <w:jc w:val="both"/>
        <w:rPr>
          <w:sz w:val="22"/>
          <w:szCs w:val="22"/>
        </w:rPr>
      </w:pPr>
    </w:p>
    <w:p w14:paraId="63417601" w14:textId="77777777" w:rsidR="003F7821" w:rsidRPr="00D57CFB" w:rsidRDefault="003F7821" w:rsidP="006250C2">
      <w:pPr>
        <w:jc w:val="both"/>
        <w:rPr>
          <w:sz w:val="22"/>
          <w:szCs w:val="22"/>
        </w:rPr>
      </w:pPr>
      <w:r w:rsidRPr="00D57CFB">
        <w:rPr>
          <w:sz w:val="22"/>
          <w:szCs w:val="22"/>
        </w:rPr>
        <w:t>The resulting combined recruitment rate for the MS cohorts is 18.4%.</w:t>
      </w:r>
    </w:p>
    <w:p w14:paraId="61590311" w14:textId="77777777" w:rsidR="003F7821" w:rsidRPr="00D57CFB" w:rsidRDefault="003F7821" w:rsidP="006250C2">
      <w:pPr>
        <w:jc w:val="both"/>
        <w:rPr>
          <w:sz w:val="22"/>
          <w:szCs w:val="22"/>
        </w:rPr>
      </w:pPr>
    </w:p>
    <w:p w14:paraId="2ED782EF" w14:textId="77777777" w:rsidR="003F7821" w:rsidRPr="00D57CFB" w:rsidRDefault="003F7821" w:rsidP="006250C2">
      <w:pPr>
        <w:jc w:val="both"/>
        <w:rPr>
          <w:sz w:val="22"/>
          <w:szCs w:val="22"/>
        </w:rPr>
      </w:pPr>
    </w:p>
    <w:p w14:paraId="1CC6E9E9" w14:textId="77777777" w:rsidR="003F7821" w:rsidRPr="00D57CFB" w:rsidRDefault="003F7821" w:rsidP="006250C2">
      <w:pPr>
        <w:jc w:val="both"/>
        <w:rPr>
          <w:sz w:val="22"/>
          <w:szCs w:val="22"/>
        </w:rPr>
      </w:pPr>
      <w:r w:rsidRPr="00D57CFB">
        <w:rPr>
          <w:b/>
          <w:sz w:val="22"/>
          <w:szCs w:val="22"/>
        </w:rPr>
        <w:t>Table B.</w:t>
      </w:r>
      <w:r w:rsidR="00D57CFB">
        <w:rPr>
          <w:b/>
          <w:sz w:val="22"/>
          <w:szCs w:val="22"/>
        </w:rPr>
        <w:t>2</w:t>
      </w:r>
      <w:r w:rsidRPr="00D57CFB">
        <w:rPr>
          <w:b/>
          <w:sz w:val="22"/>
          <w:szCs w:val="22"/>
        </w:rPr>
        <w:t>:</w:t>
      </w:r>
      <w:r w:rsidRPr="00D57CFB">
        <w:rPr>
          <w:sz w:val="22"/>
          <w:szCs w:val="22"/>
        </w:rPr>
        <w:t xml:space="preserve"> Computation of recruitment rates for the Michigan sample.</w:t>
      </w:r>
    </w:p>
    <w:tbl>
      <w:tblPr>
        <w:tblW w:w="9555" w:type="dxa"/>
        <w:tblLayout w:type="fixed"/>
        <w:tblCellMar>
          <w:left w:w="0" w:type="dxa"/>
          <w:right w:w="0" w:type="dxa"/>
        </w:tblCellMar>
        <w:tblLook w:val="04A0" w:firstRow="1" w:lastRow="0" w:firstColumn="1" w:lastColumn="0" w:noHBand="0" w:noVBand="1"/>
      </w:tblPr>
      <w:tblGrid>
        <w:gridCol w:w="555"/>
        <w:gridCol w:w="540"/>
        <w:gridCol w:w="583"/>
        <w:gridCol w:w="497"/>
        <w:gridCol w:w="810"/>
        <w:gridCol w:w="779"/>
        <w:gridCol w:w="855"/>
        <w:gridCol w:w="929"/>
        <w:gridCol w:w="497"/>
        <w:gridCol w:w="630"/>
        <w:gridCol w:w="630"/>
        <w:gridCol w:w="650"/>
        <w:gridCol w:w="630"/>
        <w:gridCol w:w="970"/>
      </w:tblGrid>
      <w:tr w:rsidR="003F7821" w:rsidRPr="008A3E4E" w14:paraId="5F6DF9AD" w14:textId="77777777" w:rsidTr="00DD5B0D">
        <w:trPr>
          <w:trHeight w:val="300"/>
        </w:trPr>
        <w:tc>
          <w:tcPr>
            <w:tcW w:w="555"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6085661" w14:textId="77777777" w:rsidR="003F7821" w:rsidRPr="00D57CFB" w:rsidRDefault="003F7821" w:rsidP="006250C2">
            <w:pPr>
              <w:jc w:val="both"/>
              <w:rPr>
                <w:color w:val="000000"/>
                <w:sz w:val="20"/>
                <w:szCs w:val="20"/>
              </w:rPr>
            </w:pPr>
            <w:r w:rsidRPr="00D57CFB">
              <w:rPr>
                <w:color w:val="000000"/>
                <w:sz w:val="20"/>
                <w:szCs w:val="20"/>
              </w:rPr>
              <w:t>year</w:t>
            </w:r>
          </w:p>
        </w:tc>
        <w:tc>
          <w:tcPr>
            <w:tcW w:w="54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8E68CB2" w14:textId="77777777" w:rsidR="003F7821" w:rsidRPr="00D57CFB" w:rsidRDefault="003F7821" w:rsidP="00D57CFB">
            <w:pPr>
              <w:jc w:val="right"/>
              <w:rPr>
                <w:color w:val="000000"/>
                <w:sz w:val="20"/>
                <w:szCs w:val="20"/>
              </w:rPr>
            </w:pPr>
            <w:r w:rsidRPr="00D57CFB">
              <w:rPr>
                <w:color w:val="000000"/>
                <w:sz w:val="20"/>
                <w:szCs w:val="20"/>
              </w:rPr>
              <w:t>SCA RR2 (%)</w:t>
            </w:r>
          </w:p>
        </w:tc>
        <w:tc>
          <w:tcPr>
            <w:tcW w:w="583"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FB0711E" w14:textId="77777777" w:rsidR="003F7821" w:rsidRPr="00D57CFB" w:rsidRDefault="003F7821" w:rsidP="00D57CFB">
            <w:pPr>
              <w:jc w:val="right"/>
              <w:rPr>
                <w:color w:val="000000"/>
                <w:sz w:val="20"/>
                <w:szCs w:val="20"/>
              </w:rPr>
            </w:pPr>
            <w:r w:rsidRPr="00D57CFB">
              <w:rPr>
                <w:color w:val="000000"/>
                <w:sz w:val="20"/>
                <w:szCs w:val="20"/>
              </w:rPr>
              <w:t>F</w:t>
            </w:r>
          </w:p>
        </w:tc>
        <w:tc>
          <w:tcPr>
            <w:tcW w:w="497"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EF04751" w14:textId="77777777" w:rsidR="003F7821" w:rsidRPr="00D57CFB" w:rsidRDefault="003F7821" w:rsidP="00D57CFB">
            <w:pPr>
              <w:jc w:val="right"/>
              <w:rPr>
                <w:color w:val="000000"/>
                <w:sz w:val="20"/>
                <w:szCs w:val="20"/>
              </w:rPr>
            </w:pPr>
            <w:r w:rsidRPr="00D57CFB">
              <w:rPr>
                <w:color w:val="000000"/>
                <w:sz w:val="20"/>
                <w:szCs w:val="20"/>
              </w:rPr>
              <w:t>N4</w:t>
            </w:r>
          </w:p>
        </w:tc>
        <w:tc>
          <w:tcPr>
            <w:tcW w:w="81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2ECC9D6" w14:textId="77777777" w:rsidR="003F7821" w:rsidRPr="00D57CFB" w:rsidRDefault="003F7821" w:rsidP="00D57CFB">
            <w:pPr>
              <w:jc w:val="right"/>
              <w:rPr>
                <w:color w:val="000000"/>
                <w:sz w:val="20"/>
                <w:szCs w:val="20"/>
              </w:rPr>
            </w:pPr>
            <w:r w:rsidRPr="00D57CFB">
              <w:rPr>
                <w:color w:val="000000"/>
                <w:sz w:val="20"/>
                <w:szCs w:val="20"/>
              </w:rPr>
              <w:t xml:space="preserve">No. months 40+ </w:t>
            </w:r>
            <w:proofErr w:type="spellStart"/>
            <w:r w:rsidRPr="00D57CFB">
              <w:rPr>
                <w:color w:val="000000"/>
                <w:sz w:val="20"/>
                <w:szCs w:val="20"/>
              </w:rPr>
              <w:t>elig</w:t>
            </w:r>
            <w:proofErr w:type="spellEnd"/>
            <w:r w:rsidRPr="00D57CFB">
              <w:rPr>
                <w:color w:val="000000"/>
                <w:sz w:val="20"/>
                <w:szCs w:val="20"/>
              </w:rPr>
              <w:t>.</w:t>
            </w:r>
          </w:p>
        </w:tc>
        <w:tc>
          <w:tcPr>
            <w:tcW w:w="779"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10807AA" w14:textId="77777777" w:rsidR="003F7821" w:rsidRPr="00D57CFB" w:rsidRDefault="003F7821" w:rsidP="00D57CFB">
            <w:pPr>
              <w:jc w:val="right"/>
              <w:rPr>
                <w:color w:val="000000"/>
                <w:sz w:val="20"/>
                <w:szCs w:val="20"/>
              </w:rPr>
            </w:pPr>
            <w:r w:rsidRPr="00D57CFB">
              <w:rPr>
                <w:color w:val="000000"/>
                <w:sz w:val="20"/>
                <w:szCs w:val="20"/>
              </w:rPr>
              <w:t>No. months</w:t>
            </w:r>
          </w:p>
          <w:p w14:paraId="2C1AAE0B" w14:textId="77777777" w:rsidR="003F7821" w:rsidRPr="00D57CFB" w:rsidRDefault="003F7821" w:rsidP="00D57CFB">
            <w:pPr>
              <w:jc w:val="right"/>
              <w:rPr>
                <w:color w:val="000000"/>
                <w:sz w:val="20"/>
                <w:szCs w:val="20"/>
              </w:rPr>
            </w:pPr>
            <w:r w:rsidRPr="00D57CFB">
              <w:rPr>
                <w:color w:val="000000"/>
                <w:sz w:val="20"/>
                <w:szCs w:val="20"/>
              </w:rPr>
              <w:t xml:space="preserve">18+ </w:t>
            </w:r>
            <w:proofErr w:type="spellStart"/>
            <w:r w:rsidRPr="00D57CFB">
              <w:rPr>
                <w:color w:val="000000"/>
                <w:sz w:val="20"/>
                <w:szCs w:val="20"/>
              </w:rPr>
              <w:t>elig</w:t>
            </w:r>
            <w:proofErr w:type="spellEnd"/>
          </w:p>
        </w:tc>
        <w:tc>
          <w:tcPr>
            <w:tcW w:w="1784" w:type="dxa"/>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693B910" w14:textId="77777777" w:rsidR="003F7821" w:rsidRPr="00D57CFB" w:rsidRDefault="003F7821" w:rsidP="00D57CFB">
            <w:pPr>
              <w:jc w:val="right"/>
              <w:rPr>
                <w:color w:val="000000"/>
                <w:sz w:val="20"/>
                <w:szCs w:val="20"/>
              </w:rPr>
            </w:pPr>
            <w:r w:rsidRPr="00D57CFB">
              <w:rPr>
                <w:color w:val="000000"/>
                <w:sz w:val="20"/>
                <w:szCs w:val="20"/>
              </w:rPr>
              <w:t>SCA no. interviews</w:t>
            </w:r>
          </w:p>
        </w:tc>
        <w:tc>
          <w:tcPr>
            <w:tcW w:w="497"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C2F4A5B" w14:textId="77777777" w:rsidR="003F7821" w:rsidRPr="00D57CFB" w:rsidRDefault="003F7821" w:rsidP="00D57CFB">
            <w:pPr>
              <w:jc w:val="right"/>
              <w:rPr>
                <w:color w:val="000000"/>
                <w:sz w:val="20"/>
                <w:szCs w:val="20"/>
              </w:rPr>
            </w:pPr>
            <w:r w:rsidRPr="00D57CFB">
              <w:rPr>
                <w:color w:val="000000"/>
                <w:sz w:val="20"/>
                <w:szCs w:val="20"/>
              </w:rPr>
              <w:t>N1</w:t>
            </w:r>
          </w:p>
        </w:tc>
        <w:tc>
          <w:tcPr>
            <w:tcW w:w="63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D445557" w14:textId="77777777" w:rsidR="003F7821" w:rsidRPr="00D57CFB" w:rsidRDefault="003F7821" w:rsidP="00D57CFB">
            <w:pPr>
              <w:jc w:val="right"/>
              <w:rPr>
                <w:color w:val="000000"/>
                <w:sz w:val="20"/>
                <w:szCs w:val="20"/>
              </w:rPr>
            </w:pPr>
            <w:r w:rsidRPr="00D57CFB">
              <w:rPr>
                <w:color w:val="000000"/>
                <w:sz w:val="20"/>
                <w:szCs w:val="20"/>
              </w:rPr>
              <w:t>p1 (%)</w:t>
            </w:r>
          </w:p>
        </w:tc>
        <w:tc>
          <w:tcPr>
            <w:tcW w:w="63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18AEFAE" w14:textId="77777777" w:rsidR="003F7821" w:rsidRPr="00D57CFB" w:rsidRDefault="003F7821" w:rsidP="00D57CFB">
            <w:pPr>
              <w:jc w:val="right"/>
              <w:rPr>
                <w:color w:val="000000"/>
                <w:sz w:val="20"/>
                <w:szCs w:val="20"/>
              </w:rPr>
            </w:pPr>
            <w:r w:rsidRPr="00D57CFB">
              <w:rPr>
                <w:color w:val="000000"/>
                <w:sz w:val="20"/>
                <w:szCs w:val="20"/>
              </w:rPr>
              <w:t>p2 (%)</w:t>
            </w:r>
          </w:p>
        </w:tc>
        <w:tc>
          <w:tcPr>
            <w:tcW w:w="65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A19B078" w14:textId="77777777" w:rsidR="003F7821" w:rsidRPr="00D57CFB" w:rsidRDefault="003F7821" w:rsidP="00D57CFB">
            <w:pPr>
              <w:jc w:val="right"/>
              <w:rPr>
                <w:color w:val="000000"/>
                <w:sz w:val="20"/>
                <w:szCs w:val="20"/>
              </w:rPr>
            </w:pPr>
            <w:r w:rsidRPr="00D57CFB">
              <w:rPr>
                <w:color w:val="000000"/>
                <w:sz w:val="20"/>
                <w:szCs w:val="20"/>
              </w:rPr>
              <w:t>p3 (%)</w:t>
            </w:r>
          </w:p>
        </w:tc>
        <w:tc>
          <w:tcPr>
            <w:tcW w:w="63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6939F4C" w14:textId="77777777" w:rsidR="003F7821" w:rsidRPr="00D57CFB" w:rsidRDefault="003F7821" w:rsidP="00D57CFB">
            <w:pPr>
              <w:jc w:val="right"/>
              <w:rPr>
                <w:color w:val="000000"/>
                <w:sz w:val="20"/>
                <w:szCs w:val="20"/>
              </w:rPr>
            </w:pPr>
            <w:r w:rsidRPr="00D57CFB">
              <w:rPr>
                <w:color w:val="000000"/>
                <w:sz w:val="20"/>
                <w:szCs w:val="20"/>
              </w:rPr>
              <w:t>p4 (%)</w:t>
            </w:r>
          </w:p>
        </w:tc>
        <w:tc>
          <w:tcPr>
            <w:tcW w:w="970" w:type="dxa"/>
            <w:vMerge w:val="restart"/>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852E6D3" w14:textId="77777777" w:rsidR="003F7821" w:rsidRPr="00D57CFB" w:rsidRDefault="003F7821" w:rsidP="00D57CFB">
            <w:pPr>
              <w:jc w:val="right"/>
              <w:rPr>
                <w:color w:val="000000"/>
                <w:sz w:val="20"/>
                <w:szCs w:val="20"/>
              </w:rPr>
            </w:pPr>
            <w:r w:rsidRPr="00D57CFB">
              <w:rPr>
                <w:color w:val="000000"/>
                <w:sz w:val="20"/>
                <w:szCs w:val="20"/>
              </w:rPr>
              <w:t>RECR (%)</w:t>
            </w:r>
          </w:p>
        </w:tc>
      </w:tr>
      <w:tr w:rsidR="003F7821" w:rsidRPr="008A3E4E" w14:paraId="1A440AB1" w14:textId="77777777" w:rsidTr="00DD5B0D">
        <w:trPr>
          <w:trHeight w:val="300"/>
        </w:trPr>
        <w:tc>
          <w:tcPr>
            <w:tcW w:w="555"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19105790" w14:textId="77777777" w:rsidR="008F4F21" w:rsidRDefault="008F4F21">
            <w:pPr>
              <w:jc w:val="both"/>
              <w:rPr>
                <w:color w:val="000000"/>
                <w:sz w:val="20"/>
                <w:szCs w:val="20"/>
              </w:rPr>
            </w:pPr>
          </w:p>
        </w:tc>
        <w:tc>
          <w:tcPr>
            <w:tcW w:w="54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22FBF081" w14:textId="77777777" w:rsidR="003F7821" w:rsidRPr="00D57CFB" w:rsidRDefault="003F7821" w:rsidP="00D57CFB">
            <w:pPr>
              <w:jc w:val="right"/>
              <w:rPr>
                <w:color w:val="000000"/>
                <w:sz w:val="20"/>
                <w:szCs w:val="20"/>
              </w:rPr>
            </w:pPr>
          </w:p>
        </w:tc>
        <w:tc>
          <w:tcPr>
            <w:tcW w:w="583"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36463964" w14:textId="77777777" w:rsidR="003F7821" w:rsidRPr="00D57CFB" w:rsidRDefault="003F7821" w:rsidP="00D57CFB">
            <w:pPr>
              <w:jc w:val="right"/>
              <w:rPr>
                <w:color w:val="000000"/>
                <w:sz w:val="20"/>
                <w:szCs w:val="20"/>
              </w:rPr>
            </w:pPr>
          </w:p>
        </w:tc>
        <w:tc>
          <w:tcPr>
            <w:tcW w:w="497"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3F147178" w14:textId="77777777" w:rsidR="003F7821" w:rsidRPr="00D57CFB" w:rsidRDefault="003F7821" w:rsidP="00D57CFB">
            <w:pPr>
              <w:jc w:val="right"/>
              <w:rPr>
                <w:color w:val="000000"/>
                <w:sz w:val="20"/>
                <w:szCs w:val="20"/>
              </w:rPr>
            </w:pPr>
          </w:p>
        </w:tc>
        <w:tc>
          <w:tcPr>
            <w:tcW w:w="81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0E51CEA8" w14:textId="77777777" w:rsidR="003F7821" w:rsidRPr="00D57CFB" w:rsidRDefault="003F7821" w:rsidP="00D57CFB">
            <w:pPr>
              <w:jc w:val="right"/>
              <w:rPr>
                <w:color w:val="000000"/>
                <w:sz w:val="20"/>
                <w:szCs w:val="20"/>
              </w:rPr>
            </w:pPr>
          </w:p>
        </w:tc>
        <w:tc>
          <w:tcPr>
            <w:tcW w:w="779"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7371B023" w14:textId="77777777" w:rsidR="003F7821" w:rsidRPr="00D57CFB" w:rsidRDefault="003F7821" w:rsidP="00D57CFB">
            <w:pPr>
              <w:jc w:val="right"/>
              <w:rPr>
                <w:color w:val="000000"/>
                <w:sz w:val="20"/>
                <w:szCs w:val="20"/>
              </w:rPr>
            </w:pPr>
          </w:p>
        </w:tc>
        <w:tc>
          <w:tcPr>
            <w:tcW w:w="85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B7F15E4" w14:textId="77777777" w:rsidR="003F7821" w:rsidRPr="00D57CFB" w:rsidRDefault="00BE74F8" w:rsidP="00D57CFB">
            <w:pPr>
              <w:jc w:val="right"/>
              <w:rPr>
                <w:color w:val="000000"/>
                <w:sz w:val="20"/>
                <w:szCs w:val="20"/>
              </w:rPr>
            </w:pPr>
            <w:r w:rsidRPr="00BE74F8">
              <w:rPr>
                <w:color w:val="000000"/>
                <w:sz w:val="20"/>
                <w:szCs w:val="20"/>
              </w:rPr>
              <w:t xml:space="preserve">1st </w:t>
            </w:r>
            <w:proofErr w:type="spellStart"/>
            <w:r w:rsidRPr="00BE74F8">
              <w:rPr>
                <w:color w:val="000000"/>
                <w:sz w:val="20"/>
                <w:szCs w:val="20"/>
              </w:rPr>
              <w:t>rnd</w:t>
            </w:r>
            <w:proofErr w:type="spellEnd"/>
          </w:p>
        </w:tc>
        <w:tc>
          <w:tcPr>
            <w:tcW w:w="92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577AA51" w14:textId="77777777" w:rsidR="003F7821" w:rsidRPr="00D57CFB" w:rsidRDefault="00BE74F8" w:rsidP="00D57CFB">
            <w:pPr>
              <w:jc w:val="right"/>
              <w:rPr>
                <w:color w:val="000000"/>
                <w:sz w:val="20"/>
                <w:szCs w:val="20"/>
              </w:rPr>
            </w:pPr>
            <w:r w:rsidRPr="00BE74F8">
              <w:rPr>
                <w:color w:val="000000"/>
                <w:sz w:val="20"/>
                <w:szCs w:val="20"/>
              </w:rPr>
              <w:t xml:space="preserve">2nd </w:t>
            </w:r>
            <w:proofErr w:type="spellStart"/>
            <w:r w:rsidRPr="00BE74F8">
              <w:rPr>
                <w:color w:val="000000"/>
                <w:sz w:val="20"/>
                <w:szCs w:val="20"/>
              </w:rPr>
              <w:t>rnd</w:t>
            </w:r>
            <w:proofErr w:type="spellEnd"/>
          </w:p>
        </w:tc>
        <w:tc>
          <w:tcPr>
            <w:tcW w:w="497"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5ACD9AD9" w14:textId="77777777" w:rsidR="003F7821" w:rsidRPr="00D57CFB" w:rsidRDefault="003F7821" w:rsidP="00D57CFB">
            <w:pPr>
              <w:jc w:val="right"/>
              <w:rPr>
                <w:color w:val="000000"/>
                <w:sz w:val="20"/>
                <w:szCs w:val="20"/>
              </w:rPr>
            </w:pPr>
          </w:p>
        </w:tc>
        <w:tc>
          <w:tcPr>
            <w:tcW w:w="63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1CBA643B" w14:textId="77777777" w:rsidR="003F7821" w:rsidRPr="00D57CFB" w:rsidRDefault="003F7821" w:rsidP="00D57CFB">
            <w:pPr>
              <w:jc w:val="right"/>
              <w:rPr>
                <w:color w:val="000000"/>
                <w:sz w:val="20"/>
                <w:szCs w:val="20"/>
              </w:rPr>
            </w:pPr>
          </w:p>
        </w:tc>
        <w:tc>
          <w:tcPr>
            <w:tcW w:w="63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35A3E667" w14:textId="77777777" w:rsidR="003F7821" w:rsidRPr="00D57CFB" w:rsidRDefault="003F7821" w:rsidP="00D57CFB">
            <w:pPr>
              <w:jc w:val="right"/>
              <w:rPr>
                <w:color w:val="000000"/>
                <w:sz w:val="20"/>
                <w:szCs w:val="20"/>
              </w:rPr>
            </w:pPr>
          </w:p>
        </w:tc>
        <w:tc>
          <w:tcPr>
            <w:tcW w:w="65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6BCAD562" w14:textId="77777777" w:rsidR="003F7821" w:rsidRPr="00D57CFB" w:rsidRDefault="003F7821" w:rsidP="00D57CFB">
            <w:pPr>
              <w:jc w:val="right"/>
              <w:rPr>
                <w:color w:val="000000"/>
                <w:sz w:val="20"/>
                <w:szCs w:val="20"/>
              </w:rPr>
            </w:pPr>
          </w:p>
        </w:tc>
        <w:tc>
          <w:tcPr>
            <w:tcW w:w="63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5F68F3E1" w14:textId="77777777" w:rsidR="003F7821" w:rsidRPr="00D57CFB" w:rsidRDefault="003F7821" w:rsidP="00D57CFB">
            <w:pPr>
              <w:jc w:val="right"/>
              <w:rPr>
                <w:color w:val="000000"/>
                <w:sz w:val="20"/>
                <w:szCs w:val="20"/>
              </w:rPr>
            </w:pPr>
          </w:p>
        </w:tc>
        <w:tc>
          <w:tcPr>
            <w:tcW w:w="970" w:type="dxa"/>
            <w:vMerge/>
            <w:tcBorders>
              <w:left w:val="nil"/>
              <w:bottom w:val="single" w:sz="4" w:space="0" w:color="auto"/>
              <w:right w:val="nil"/>
            </w:tcBorders>
            <w:shd w:val="clear" w:color="auto" w:fill="auto"/>
            <w:noWrap/>
            <w:tcMar>
              <w:top w:w="15" w:type="dxa"/>
              <w:left w:w="15" w:type="dxa"/>
              <w:bottom w:w="0" w:type="dxa"/>
              <w:right w:w="15" w:type="dxa"/>
            </w:tcMar>
            <w:vAlign w:val="bottom"/>
            <w:hideMark/>
          </w:tcPr>
          <w:p w14:paraId="5860F280" w14:textId="77777777" w:rsidR="003F7821" w:rsidRPr="00D57CFB" w:rsidRDefault="003F7821" w:rsidP="00D57CFB">
            <w:pPr>
              <w:jc w:val="right"/>
              <w:rPr>
                <w:color w:val="000000"/>
                <w:sz w:val="20"/>
                <w:szCs w:val="20"/>
              </w:rPr>
            </w:pPr>
          </w:p>
        </w:tc>
      </w:tr>
      <w:tr w:rsidR="003F7821" w:rsidRPr="008A3E4E" w14:paraId="3ACA418B" w14:textId="77777777" w:rsidTr="00DD5B0D">
        <w:trPr>
          <w:trHeight w:val="300"/>
        </w:trPr>
        <w:tc>
          <w:tcPr>
            <w:tcW w:w="55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F5AFB3F" w14:textId="77777777" w:rsidR="003F7821" w:rsidRPr="00D57CFB" w:rsidRDefault="003F7821" w:rsidP="00D57CFB">
            <w:pPr>
              <w:jc w:val="both"/>
              <w:rPr>
                <w:color w:val="000000"/>
                <w:sz w:val="20"/>
                <w:szCs w:val="20"/>
              </w:rPr>
            </w:pPr>
            <w:r w:rsidRPr="00D57CFB">
              <w:rPr>
                <w:color w:val="000000"/>
                <w:sz w:val="20"/>
                <w:szCs w:val="20"/>
              </w:rPr>
              <w:t>2002</w:t>
            </w:r>
          </w:p>
        </w:tc>
        <w:tc>
          <w:tcPr>
            <w:tcW w:w="54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0657CA6" w14:textId="77777777" w:rsidR="003F7821" w:rsidRPr="00D57CFB" w:rsidRDefault="003F7821" w:rsidP="00D57CFB">
            <w:pPr>
              <w:jc w:val="right"/>
              <w:rPr>
                <w:color w:val="000000"/>
                <w:sz w:val="20"/>
                <w:szCs w:val="20"/>
              </w:rPr>
            </w:pPr>
            <w:r w:rsidRPr="00D57CFB">
              <w:rPr>
                <w:color w:val="000000"/>
                <w:sz w:val="20"/>
                <w:szCs w:val="20"/>
              </w:rPr>
              <w:t>57.0</w:t>
            </w:r>
          </w:p>
        </w:tc>
        <w:tc>
          <w:tcPr>
            <w:tcW w:w="58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06BC132" w14:textId="77777777" w:rsidR="003F7821" w:rsidRPr="00D57CFB" w:rsidRDefault="003F7821" w:rsidP="00D57CFB">
            <w:pPr>
              <w:jc w:val="right"/>
              <w:rPr>
                <w:color w:val="000000"/>
                <w:sz w:val="20"/>
                <w:szCs w:val="20"/>
              </w:rPr>
            </w:pPr>
            <w:r w:rsidRPr="00D57CFB">
              <w:rPr>
                <w:color w:val="000000"/>
                <w:sz w:val="20"/>
                <w:szCs w:val="20"/>
              </w:rPr>
              <w:t xml:space="preserve"> 58.3 </w:t>
            </w:r>
          </w:p>
        </w:tc>
        <w:tc>
          <w:tcPr>
            <w:tcW w:w="49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0DF93A5" w14:textId="77777777" w:rsidR="003F7821" w:rsidRPr="00D57CFB" w:rsidRDefault="003F7821" w:rsidP="00D57CFB">
            <w:pPr>
              <w:jc w:val="right"/>
              <w:rPr>
                <w:color w:val="000000"/>
                <w:sz w:val="20"/>
                <w:szCs w:val="20"/>
              </w:rPr>
            </w:pPr>
            <w:r w:rsidRPr="00D57CFB">
              <w:rPr>
                <w:color w:val="000000"/>
                <w:sz w:val="20"/>
                <w:szCs w:val="20"/>
              </w:rPr>
              <w:t>484</w:t>
            </w:r>
          </w:p>
        </w:tc>
        <w:tc>
          <w:tcPr>
            <w:tcW w:w="81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C302424" w14:textId="77777777" w:rsidR="003F7821" w:rsidRPr="00D57CFB" w:rsidRDefault="003F7821" w:rsidP="00D57CFB">
            <w:pPr>
              <w:jc w:val="right"/>
              <w:rPr>
                <w:color w:val="000000"/>
                <w:sz w:val="20"/>
                <w:szCs w:val="20"/>
              </w:rPr>
            </w:pPr>
            <w:r w:rsidRPr="00D57CFB">
              <w:rPr>
                <w:color w:val="000000"/>
                <w:sz w:val="20"/>
                <w:szCs w:val="20"/>
              </w:rPr>
              <w:t>12</w:t>
            </w:r>
          </w:p>
        </w:tc>
        <w:tc>
          <w:tcPr>
            <w:tcW w:w="779"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DE75503" w14:textId="77777777" w:rsidR="003F7821" w:rsidRPr="00D57CFB" w:rsidRDefault="003F7821" w:rsidP="00D57CFB">
            <w:pPr>
              <w:jc w:val="right"/>
              <w:rPr>
                <w:color w:val="000000"/>
                <w:sz w:val="20"/>
                <w:szCs w:val="20"/>
              </w:rPr>
            </w:pPr>
            <w:r w:rsidRPr="00D57CFB">
              <w:rPr>
                <w:color w:val="000000"/>
                <w:sz w:val="20"/>
                <w:szCs w:val="20"/>
              </w:rPr>
              <w:t>0</w:t>
            </w:r>
          </w:p>
        </w:tc>
        <w:tc>
          <w:tcPr>
            <w:tcW w:w="85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EB54F6C" w14:textId="77777777" w:rsidR="003F7821" w:rsidRPr="00D57CFB" w:rsidRDefault="003F7821" w:rsidP="00D57CFB">
            <w:pPr>
              <w:jc w:val="right"/>
              <w:rPr>
                <w:color w:val="000000"/>
                <w:sz w:val="20"/>
                <w:szCs w:val="20"/>
              </w:rPr>
            </w:pPr>
            <w:r w:rsidRPr="00D57CFB">
              <w:rPr>
                <w:color w:val="000000"/>
                <w:sz w:val="20"/>
                <w:szCs w:val="20"/>
              </w:rPr>
              <w:t>3600</w:t>
            </w:r>
          </w:p>
        </w:tc>
        <w:tc>
          <w:tcPr>
            <w:tcW w:w="929"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CB4BB79" w14:textId="77777777" w:rsidR="003F7821" w:rsidRPr="00D57CFB" w:rsidRDefault="003F7821" w:rsidP="00D57CFB">
            <w:pPr>
              <w:jc w:val="right"/>
              <w:rPr>
                <w:color w:val="000000"/>
                <w:sz w:val="20"/>
                <w:szCs w:val="20"/>
              </w:rPr>
            </w:pPr>
            <w:r w:rsidRPr="00D57CFB">
              <w:rPr>
                <w:color w:val="000000"/>
                <w:sz w:val="20"/>
                <w:szCs w:val="20"/>
              </w:rPr>
              <w:t>2400</w:t>
            </w:r>
          </w:p>
        </w:tc>
        <w:tc>
          <w:tcPr>
            <w:tcW w:w="49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C88F79B" w14:textId="77777777" w:rsidR="003F7821" w:rsidRPr="00D57CFB" w:rsidRDefault="003F7821" w:rsidP="00D57CFB">
            <w:pPr>
              <w:jc w:val="right"/>
              <w:rPr>
                <w:color w:val="000000"/>
                <w:sz w:val="20"/>
                <w:szCs w:val="20"/>
              </w:rPr>
            </w:pPr>
            <w:r w:rsidRPr="00D57CFB">
              <w:rPr>
                <w:color w:val="000000"/>
                <w:sz w:val="20"/>
                <w:szCs w:val="20"/>
              </w:rPr>
              <w:t>5263</w:t>
            </w:r>
          </w:p>
        </w:tc>
        <w:tc>
          <w:tcPr>
            <w:tcW w:w="63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D8FEFD1" w14:textId="77777777" w:rsidR="003F7821" w:rsidRPr="00D57CFB" w:rsidRDefault="003F7821" w:rsidP="00D57CFB">
            <w:pPr>
              <w:jc w:val="right"/>
              <w:rPr>
                <w:color w:val="000000"/>
                <w:sz w:val="20"/>
                <w:szCs w:val="20"/>
              </w:rPr>
            </w:pPr>
            <w:r w:rsidRPr="00D57CFB">
              <w:rPr>
                <w:color w:val="000000"/>
                <w:sz w:val="20"/>
                <w:szCs w:val="20"/>
              </w:rPr>
              <w:t>68.4</w:t>
            </w:r>
          </w:p>
        </w:tc>
        <w:tc>
          <w:tcPr>
            <w:tcW w:w="63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5EFFE2A"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2F677EA" w14:textId="77777777" w:rsidR="003F7821" w:rsidRPr="00D57CFB" w:rsidRDefault="003F7821" w:rsidP="00D57CFB">
            <w:pPr>
              <w:jc w:val="right"/>
              <w:rPr>
                <w:color w:val="000000"/>
                <w:sz w:val="20"/>
                <w:szCs w:val="20"/>
              </w:rPr>
            </w:pPr>
            <w:r w:rsidRPr="00D57CFB">
              <w:rPr>
                <w:color w:val="000000"/>
                <w:sz w:val="20"/>
                <w:szCs w:val="20"/>
              </w:rPr>
              <w:t xml:space="preserve"> 58.3 </w:t>
            </w:r>
          </w:p>
        </w:tc>
        <w:tc>
          <w:tcPr>
            <w:tcW w:w="63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462F9CB" w14:textId="77777777" w:rsidR="003F7821" w:rsidRPr="00D57CFB" w:rsidRDefault="003F7821" w:rsidP="00D57CFB">
            <w:pPr>
              <w:jc w:val="right"/>
              <w:rPr>
                <w:color w:val="000000"/>
                <w:sz w:val="20"/>
                <w:szCs w:val="20"/>
              </w:rPr>
            </w:pPr>
            <w:r w:rsidRPr="00D57CFB">
              <w:rPr>
                <w:color w:val="000000"/>
                <w:sz w:val="20"/>
                <w:szCs w:val="20"/>
              </w:rPr>
              <w:t xml:space="preserve"> 34.6 </w:t>
            </w:r>
          </w:p>
        </w:tc>
        <w:tc>
          <w:tcPr>
            <w:tcW w:w="97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415938C" w14:textId="77777777" w:rsidR="003F7821" w:rsidRPr="00D57CFB" w:rsidRDefault="003F7821" w:rsidP="00D57CFB">
            <w:pPr>
              <w:jc w:val="right"/>
              <w:rPr>
                <w:color w:val="000000"/>
                <w:sz w:val="20"/>
                <w:szCs w:val="20"/>
              </w:rPr>
            </w:pPr>
            <w:r w:rsidRPr="00D57CFB">
              <w:rPr>
                <w:color w:val="000000"/>
                <w:sz w:val="20"/>
                <w:szCs w:val="20"/>
              </w:rPr>
              <w:t xml:space="preserve"> 15.8 </w:t>
            </w:r>
          </w:p>
        </w:tc>
      </w:tr>
      <w:tr w:rsidR="003F7821" w:rsidRPr="008A3E4E" w14:paraId="4FEE1B0A" w14:textId="77777777" w:rsidTr="00DD5B0D">
        <w:trPr>
          <w:trHeight w:val="300"/>
        </w:trPr>
        <w:tc>
          <w:tcPr>
            <w:tcW w:w="555" w:type="dxa"/>
            <w:tcBorders>
              <w:top w:val="nil"/>
              <w:left w:val="nil"/>
              <w:bottom w:val="nil"/>
              <w:right w:val="nil"/>
            </w:tcBorders>
            <w:shd w:val="clear" w:color="auto" w:fill="auto"/>
            <w:noWrap/>
            <w:tcMar>
              <w:top w:w="15" w:type="dxa"/>
              <w:left w:w="15" w:type="dxa"/>
              <w:bottom w:w="0" w:type="dxa"/>
              <w:right w:w="15" w:type="dxa"/>
            </w:tcMar>
            <w:vAlign w:val="bottom"/>
            <w:hideMark/>
          </w:tcPr>
          <w:p w14:paraId="7C41499C" w14:textId="77777777" w:rsidR="003F7821" w:rsidRPr="00D57CFB" w:rsidRDefault="003F7821" w:rsidP="00D57CFB">
            <w:pPr>
              <w:jc w:val="both"/>
              <w:rPr>
                <w:color w:val="000000"/>
                <w:sz w:val="20"/>
                <w:szCs w:val="20"/>
              </w:rPr>
            </w:pPr>
            <w:r w:rsidRPr="00D57CFB">
              <w:rPr>
                <w:color w:val="000000"/>
                <w:sz w:val="20"/>
                <w:szCs w:val="20"/>
              </w:rPr>
              <w:t>2003</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6FB1D6E3" w14:textId="77777777" w:rsidR="003F7821" w:rsidRPr="00D57CFB" w:rsidRDefault="003F7821" w:rsidP="00D57CFB">
            <w:pPr>
              <w:jc w:val="right"/>
              <w:rPr>
                <w:color w:val="000000"/>
                <w:sz w:val="20"/>
                <w:szCs w:val="20"/>
              </w:rPr>
            </w:pPr>
            <w:r w:rsidRPr="00D57CFB">
              <w:rPr>
                <w:color w:val="000000"/>
                <w:sz w:val="20"/>
                <w:szCs w:val="20"/>
              </w:rPr>
              <w:t>55.5</w:t>
            </w:r>
          </w:p>
        </w:tc>
        <w:tc>
          <w:tcPr>
            <w:tcW w:w="583" w:type="dxa"/>
            <w:tcBorders>
              <w:top w:val="nil"/>
              <w:left w:val="nil"/>
              <w:bottom w:val="nil"/>
              <w:right w:val="nil"/>
            </w:tcBorders>
            <w:shd w:val="clear" w:color="auto" w:fill="auto"/>
            <w:noWrap/>
            <w:tcMar>
              <w:top w:w="15" w:type="dxa"/>
              <w:left w:w="15" w:type="dxa"/>
              <w:bottom w:w="0" w:type="dxa"/>
              <w:right w:w="15" w:type="dxa"/>
            </w:tcMar>
            <w:vAlign w:val="bottom"/>
            <w:hideMark/>
          </w:tcPr>
          <w:p w14:paraId="148DADFD" w14:textId="77777777" w:rsidR="003F7821" w:rsidRPr="00D57CFB" w:rsidRDefault="003F7821" w:rsidP="00D57CFB">
            <w:pPr>
              <w:jc w:val="right"/>
              <w:rPr>
                <w:color w:val="000000"/>
                <w:sz w:val="20"/>
                <w:szCs w:val="20"/>
              </w:rPr>
            </w:pPr>
            <w:r w:rsidRPr="00D57CFB">
              <w:rPr>
                <w:color w:val="000000"/>
                <w:sz w:val="20"/>
                <w:szCs w:val="20"/>
              </w:rPr>
              <w:t xml:space="preserve"> 58.8 </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1A588F90" w14:textId="77777777" w:rsidR="003F7821" w:rsidRPr="00D57CFB" w:rsidRDefault="003F7821" w:rsidP="00D57CFB">
            <w:pPr>
              <w:jc w:val="right"/>
              <w:rPr>
                <w:color w:val="000000"/>
                <w:sz w:val="20"/>
                <w:szCs w:val="20"/>
              </w:rPr>
            </w:pPr>
            <w:r w:rsidRPr="00D57CFB">
              <w:rPr>
                <w:color w:val="000000"/>
                <w:sz w:val="20"/>
                <w:szCs w:val="20"/>
              </w:rPr>
              <w:t>603</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52885A2F" w14:textId="77777777" w:rsidR="003F7821" w:rsidRPr="00D57CFB" w:rsidRDefault="003F7821" w:rsidP="00D57CFB">
            <w:pPr>
              <w:jc w:val="right"/>
              <w:rPr>
                <w:color w:val="000000"/>
                <w:sz w:val="20"/>
                <w:szCs w:val="20"/>
              </w:rPr>
            </w:pPr>
            <w:r w:rsidRPr="00D57CFB">
              <w:rPr>
                <w:color w:val="000000"/>
                <w:sz w:val="20"/>
                <w:szCs w:val="20"/>
              </w:rPr>
              <w:t>12</w:t>
            </w:r>
          </w:p>
        </w:tc>
        <w:tc>
          <w:tcPr>
            <w:tcW w:w="779" w:type="dxa"/>
            <w:tcBorders>
              <w:top w:val="nil"/>
              <w:left w:val="nil"/>
              <w:bottom w:val="nil"/>
              <w:right w:val="nil"/>
            </w:tcBorders>
            <w:shd w:val="clear" w:color="auto" w:fill="auto"/>
            <w:noWrap/>
            <w:tcMar>
              <w:top w:w="15" w:type="dxa"/>
              <w:left w:w="15" w:type="dxa"/>
              <w:bottom w:w="0" w:type="dxa"/>
              <w:right w:w="15" w:type="dxa"/>
            </w:tcMar>
            <w:vAlign w:val="bottom"/>
            <w:hideMark/>
          </w:tcPr>
          <w:p w14:paraId="53F892DE" w14:textId="77777777" w:rsidR="003F7821" w:rsidRPr="00D57CFB" w:rsidRDefault="003F7821" w:rsidP="00D57CFB">
            <w:pPr>
              <w:jc w:val="right"/>
              <w:rPr>
                <w:color w:val="000000"/>
                <w:sz w:val="20"/>
                <w:szCs w:val="20"/>
              </w:rPr>
            </w:pPr>
            <w:r w:rsidRPr="00D57CFB">
              <w:rPr>
                <w:color w:val="000000"/>
                <w:sz w:val="20"/>
                <w:szCs w:val="20"/>
              </w:rPr>
              <w:t>0</w:t>
            </w:r>
          </w:p>
        </w:tc>
        <w:tc>
          <w:tcPr>
            <w:tcW w:w="855" w:type="dxa"/>
            <w:tcBorders>
              <w:top w:val="nil"/>
              <w:left w:val="nil"/>
              <w:bottom w:val="nil"/>
              <w:right w:val="nil"/>
            </w:tcBorders>
            <w:shd w:val="clear" w:color="auto" w:fill="auto"/>
            <w:noWrap/>
            <w:tcMar>
              <w:top w:w="15" w:type="dxa"/>
              <w:left w:w="15" w:type="dxa"/>
              <w:bottom w:w="0" w:type="dxa"/>
              <w:right w:w="15" w:type="dxa"/>
            </w:tcMar>
            <w:vAlign w:val="bottom"/>
            <w:hideMark/>
          </w:tcPr>
          <w:p w14:paraId="022727AB" w14:textId="77777777" w:rsidR="003F7821" w:rsidRPr="00D57CFB" w:rsidRDefault="003F7821" w:rsidP="00D57CFB">
            <w:pPr>
              <w:jc w:val="right"/>
              <w:rPr>
                <w:color w:val="000000"/>
                <w:sz w:val="20"/>
                <w:szCs w:val="20"/>
              </w:rPr>
            </w:pPr>
            <w:r w:rsidRPr="00D57CFB">
              <w:rPr>
                <w:color w:val="000000"/>
                <w:sz w:val="20"/>
                <w:szCs w:val="20"/>
              </w:rPr>
              <w:t>3600</w:t>
            </w:r>
          </w:p>
        </w:tc>
        <w:tc>
          <w:tcPr>
            <w:tcW w:w="929" w:type="dxa"/>
            <w:tcBorders>
              <w:top w:val="nil"/>
              <w:left w:val="nil"/>
              <w:bottom w:val="nil"/>
              <w:right w:val="nil"/>
            </w:tcBorders>
            <w:shd w:val="clear" w:color="auto" w:fill="auto"/>
            <w:noWrap/>
            <w:tcMar>
              <w:top w:w="15" w:type="dxa"/>
              <w:left w:w="15" w:type="dxa"/>
              <w:bottom w:w="0" w:type="dxa"/>
              <w:right w:w="15" w:type="dxa"/>
            </w:tcMar>
            <w:vAlign w:val="bottom"/>
            <w:hideMark/>
          </w:tcPr>
          <w:p w14:paraId="33297681" w14:textId="77777777" w:rsidR="003F7821" w:rsidRPr="00D57CFB" w:rsidRDefault="003F7821" w:rsidP="00D57CFB">
            <w:pPr>
              <w:jc w:val="right"/>
              <w:rPr>
                <w:color w:val="000000"/>
                <w:sz w:val="20"/>
                <w:szCs w:val="20"/>
              </w:rPr>
            </w:pPr>
            <w:r w:rsidRPr="00D57CFB">
              <w:rPr>
                <w:color w:val="000000"/>
                <w:sz w:val="20"/>
                <w:szCs w:val="20"/>
              </w:rPr>
              <w:t>2400</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58B41339" w14:textId="77777777" w:rsidR="003F7821" w:rsidRPr="00D57CFB" w:rsidRDefault="003F7821" w:rsidP="00D57CFB">
            <w:pPr>
              <w:jc w:val="right"/>
              <w:rPr>
                <w:color w:val="000000"/>
                <w:sz w:val="20"/>
                <w:szCs w:val="20"/>
              </w:rPr>
            </w:pPr>
            <w:r w:rsidRPr="00D57CFB">
              <w:rPr>
                <w:color w:val="000000"/>
                <w:sz w:val="20"/>
                <w:szCs w:val="20"/>
              </w:rPr>
              <w:t>5405</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F5252D1" w14:textId="77777777" w:rsidR="003F7821" w:rsidRPr="00D57CFB" w:rsidRDefault="003F7821" w:rsidP="00D57CFB">
            <w:pPr>
              <w:jc w:val="right"/>
              <w:rPr>
                <w:color w:val="000000"/>
                <w:sz w:val="20"/>
                <w:szCs w:val="20"/>
              </w:rPr>
            </w:pPr>
            <w:r w:rsidRPr="00D57CFB">
              <w:rPr>
                <w:color w:val="000000"/>
                <w:sz w:val="20"/>
                <w:szCs w:val="20"/>
              </w:rPr>
              <w:t>66.6</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43FDEFC"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5A5932" w14:textId="77777777" w:rsidR="003F7821" w:rsidRPr="00D57CFB" w:rsidRDefault="003F7821" w:rsidP="00D57CFB">
            <w:pPr>
              <w:jc w:val="right"/>
              <w:rPr>
                <w:color w:val="000000"/>
                <w:sz w:val="20"/>
                <w:szCs w:val="20"/>
              </w:rPr>
            </w:pPr>
            <w:r w:rsidRPr="00D57CFB">
              <w:rPr>
                <w:color w:val="000000"/>
                <w:sz w:val="20"/>
                <w:szCs w:val="20"/>
              </w:rPr>
              <w:t xml:space="preserve"> 58.8 </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21C7902" w14:textId="77777777" w:rsidR="003F7821" w:rsidRPr="00D57CFB" w:rsidRDefault="003F7821" w:rsidP="00D57CFB">
            <w:pPr>
              <w:jc w:val="right"/>
              <w:rPr>
                <w:color w:val="000000"/>
                <w:sz w:val="20"/>
                <w:szCs w:val="20"/>
              </w:rPr>
            </w:pPr>
            <w:r w:rsidRPr="00D57CFB">
              <w:rPr>
                <w:color w:val="000000"/>
                <w:sz w:val="20"/>
                <w:szCs w:val="20"/>
              </w:rPr>
              <w:t xml:space="preserve"> 42.7 </w:t>
            </w:r>
          </w:p>
        </w:tc>
        <w:tc>
          <w:tcPr>
            <w:tcW w:w="970" w:type="dxa"/>
            <w:tcBorders>
              <w:top w:val="nil"/>
              <w:left w:val="nil"/>
              <w:bottom w:val="nil"/>
              <w:right w:val="nil"/>
            </w:tcBorders>
            <w:shd w:val="clear" w:color="auto" w:fill="auto"/>
            <w:noWrap/>
            <w:tcMar>
              <w:top w:w="15" w:type="dxa"/>
              <w:left w:w="15" w:type="dxa"/>
              <w:bottom w:w="0" w:type="dxa"/>
              <w:right w:w="15" w:type="dxa"/>
            </w:tcMar>
            <w:vAlign w:val="bottom"/>
            <w:hideMark/>
          </w:tcPr>
          <w:p w14:paraId="195AEACB" w14:textId="77777777" w:rsidR="003F7821" w:rsidRPr="00D57CFB" w:rsidRDefault="003F7821" w:rsidP="00D57CFB">
            <w:pPr>
              <w:jc w:val="right"/>
              <w:rPr>
                <w:color w:val="000000"/>
                <w:sz w:val="20"/>
                <w:szCs w:val="20"/>
              </w:rPr>
            </w:pPr>
            <w:r w:rsidRPr="00D57CFB">
              <w:rPr>
                <w:color w:val="000000"/>
                <w:sz w:val="20"/>
                <w:szCs w:val="20"/>
              </w:rPr>
              <w:t xml:space="preserve"> 19.0 </w:t>
            </w:r>
          </w:p>
        </w:tc>
      </w:tr>
      <w:tr w:rsidR="003F7821" w:rsidRPr="008A3E4E" w14:paraId="6961EF01" w14:textId="77777777" w:rsidTr="00DD5B0D">
        <w:trPr>
          <w:trHeight w:val="300"/>
        </w:trPr>
        <w:tc>
          <w:tcPr>
            <w:tcW w:w="555" w:type="dxa"/>
            <w:tcBorders>
              <w:top w:val="nil"/>
              <w:left w:val="nil"/>
              <w:bottom w:val="nil"/>
              <w:right w:val="nil"/>
            </w:tcBorders>
            <w:shd w:val="clear" w:color="auto" w:fill="auto"/>
            <w:noWrap/>
            <w:tcMar>
              <w:top w:w="15" w:type="dxa"/>
              <w:left w:w="15" w:type="dxa"/>
              <w:bottom w:w="0" w:type="dxa"/>
              <w:right w:w="15" w:type="dxa"/>
            </w:tcMar>
            <w:vAlign w:val="bottom"/>
            <w:hideMark/>
          </w:tcPr>
          <w:p w14:paraId="7C901D0B" w14:textId="77777777" w:rsidR="003F7821" w:rsidRPr="00D57CFB" w:rsidRDefault="003F7821" w:rsidP="00D57CFB">
            <w:pPr>
              <w:jc w:val="both"/>
              <w:rPr>
                <w:color w:val="000000"/>
                <w:sz w:val="20"/>
                <w:szCs w:val="20"/>
              </w:rPr>
            </w:pPr>
            <w:r w:rsidRPr="00D57CFB">
              <w:rPr>
                <w:color w:val="000000"/>
                <w:sz w:val="20"/>
                <w:szCs w:val="20"/>
              </w:rPr>
              <w:t>2004</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FB71F64" w14:textId="77777777" w:rsidR="003F7821" w:rsidRPr="00D57CFB" w:rsidRDefault="003F7821" w:rsidP="00D57CFB">
            <w:pPr>
              <w:jc w:val="right"/>
              <w:rPr>
                <w:color w:val="000000"/>
                <w:sz w:val="20"/>
                <w:szCs w:val="20"/>
              </w:rPr>
            </w:pPr>
            <w:r w:rsidRPr="00D57CFB">
              <w:rPr>
                <w:color w:val="000000"/>
                <w:sz w:val="20"/>
                <w:szCs w:val="20"/>
              </w:rPr>
              <w:t>54.0</w:t>
            </w:r>
          </w:p>
        </w:tc>
        <w:tc>
          <w:tcPr>
            <w:tcW w:w="583" w:type="dxa"/>
            <w:tcBorders>
              <w:top w:val="nil"/>
              <w:left w:val="nil"/>
              <w:bottom w:val="nil"/>
              <w:right w:val="nil"/>
            </w:tcBorders>
            <w:shd w:val="clear" w:color="auto" w:fill="auto"/>
            <w:noWrap/>
            <w:tcMar>
              <w:top w:w="15" w:type="dxa"/>
              <w:left w:w="15" w:type="dxa"/>
              <w:bottom w:w="0" w:type="dxa"/>
              <w:right w:w="15" w:type="dxa"/>
            </w:tcMar>
            <w:vAlign w:val="bottom"/>
            <w:hideMark/>
          </w:tcPr>
          <w:p w14:paraId="6F3C047C" w14:textId="77777777" w:rsidR="003F7821" w:rsidRPr="00D57CFB" w:rsidRDefault="003F7821" w:rsidP="00D57CFB">
            <w:pPr>
              <w:jc w:val="right"/>
              <w:rPr>
                <w:color w:val="000000"/>
                <w:sz w:val="20"/>
                <w:szCs w:val="20"/>
              </w:rPr>
            </w:pPr>
            <w:r w:rsidRPr="00D57CFB">
              <w:rPr>
                <w:color w:val="000000"/>
                <w:sz w:val="20"/>
                <w:szCs w:val="20"/>
              </w:rPr>
              <w:t xml:space="preserve"> 59.3 </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6C84FBFC" w14:textId="77777777" w:rsidR="003F7821" w:rsidRPr="00D57CFB" w:rsidRDefault="003F7821" w:rsidP="00D57CFB">
            <w:pPr>
              <w:jc w:val="right"/>
              <w:rPr>
                <w:color w:val="000000"/>
                <w:sz w:val="20"/>
                <w:szCs w:val="20"/>
              </w:rPr>
            </w:pPr>
            <w:r w:rsidRPr="00D57CFB">
              <w:rPr>
                <w:color w:val="000000"/>
                <w:sz w:val="20"/>
                <w:szCs w:val="20"/>
              </w:rPr>
              <w:t>275</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44C3E4F6" w14:textId="77777777" w:rsidR="003F7821" w:rsidRPr="00D57CFB" w:rsidRDefault="003F7821" w:rsidP="00D57CFB">
            <w:pPr>
              <w:jc w:val="right"/>
              <w:rPr>
                <w:color w:val="000000"/>
                <w:sz w:val="20"/>
                <w:szCs w:val="20"/>
              </w:rPr>
            </w:pPr>
            <w:r w:rsidRPr="00D57CFB">
              <w:rPr>
                <w:color w:val="000000"/>
                <w:sz w:val="20"/>
                <w:szCs w:val="20"/>
              </w:rPr>
              <w:t>5</w:t>
            </w:r>
          </w:p>
        </w:tc>
        <w:tc>
          <w:tcPr>
            <w:tcW w:w="779" w:type="dxa"/>
            <w:tcBorders>
              <w:top w:val="nil"/>
              <w:left w:val="nil"/>
              <w:bottom w:val="nil"/>
              <w:right w:val="nil"/>
            </w:tcBorders>
            <w:shd w:val="clear" w:color="auto" w:fill="auto"/>
            <w:noWrap/>
            <w:tcMar>
              <w:top w:w="15" w:type="dxa"/>
              <w:left w:w="15" w:type="dxa"/>
              <w:bottom w:w="0" w:type="dxa"/>
              <w:right w:w="15" w:type="dxa"/>
            </w:tcMar>
            <w:vAlign w:val="bottom"/>
            <w:hideMark/>
          </w:tcPr>
          <w:p w14:paraId="2A33994B" w14:textId="77777777" w:rsidR="003F7821" w:rsidRPr="00D57CFB" w:rsidRDefault="003F7821" w:rsidP="00D57CFB">
            <w:pPr>
              <w:jc w:val="right"/>
              <w:rPr>
                <w:color w:val="000000"/>
                <w:sz w:val="20"/>
                <w:szCs w:val="20"/>
              </w:rPr>
            </w:pPr>
            <w:r w:rsidRPr="00D57CFB">
              <w:rPr>
                <w:color w:val="000000"/>
                <w:sz w:val="20"/>
                <w:szCs w:val="20"/>
              </w:rPr>
              <w:t>0</w:t>
            </w:r>
          </w:p>
        </w:tc>
        <w:tc>
          <w:tcPr>
            <w:tcW w:w="855" w:type="dxa"/>
            <w:tcBorders>
              <w:top w:val="nil"/>
              <w:left w:val="nil"/>
              <w:bottom w:val="nil"/>
              <w:right w:val="nil"/>
            </w:tcBorders>
            <w:shd w:val="clear" w:color="auto" w:fill="auto"/>
            <w:noWrap/>
            <w:tcMar>
              <w:top w:w="15" w:type="dxa"/>
              <w:left w:w="15" w:type="dxa"/>
              <w:bottom w:w="0" w:type="dxa"/>
              <w:right w:w="15" w:type="dxa"/>
            </w:tcMar>
            <w:vAlign w:val="bottom"/>
            <w:hideMark/>
          </w:tcPr>
          <w:p w14:paraId="188CA99D" w14:textId="77777777" w:rsidR="003F7821" w:rsidRPr="00D57CFB" w:rsidRDefault="003F7821" w:rsidP="00D57CFB">
            <w:pPr>
              <w:jc w:val="right"/>
              <w:rPr>
                <w:color w:val="000000"/>
                <w:sz w:val="20"/>
                <w:szCs w:val="20"/>
              </w:rPr>
            </w:pPr>
            <w:r w:rsidRPr="00D57CFB">
              <w:rPr>
                <w:color w:val="000000"/>
                <w:sz w:val="20"/>
                <w:szCs w:val="20"/>
              </w:rPr>
              <w:t>1500</w:t>
            </w:r>
          </w:p>
        </w:tc>
        <w:tc>
          <w:tcPr>
            <w:tcW w:w="929" w:type="dxa"/>
            <w:tcBorders>
              <w:top w:val="nil"/>
              <w:left w:val="nil"/>
              <w:bottom w:val="nil"/>
              <w:right w:val="nil"/>
            </w:tcBorders>
            <w:shd w:val="clear" w:color="auto" w:fill="auto"/>
            <w:noWrap/>
            <w:tcMar>
              <w:top w:w="15" w:type="dxa"/>
              <w:left w:w="15" w:type="dxa"/>
              <w:bottom w:w="0" w:type="dxa"/>
              <w:right w:w="15" w:type="dxa"/>
            </w:tcMar>
            <w:vAlign w:val="bottom"/>
            <w:hideMark/>
          </w:tcPr>
          <w:p w14:paraId="6753BDEE" w14:textId="77777777" w:rsidR="003F7821" w:rsidRPr="00D57CFB" w:rsidRDefault="003F7821" w:rsidP="00D57CFB">
            <w:pPr>
              <w:jc w:val="right"/>
              <w:rPr>
                <w:color w:val="000000"/>
                <w:sz w:val="20"/>
                <w:szCs w:val="20"/>
              </w:rPr>
            </w:pPr>
            <w:r w:rsidRPr="00D57CFB">
              <w:rPr>
                <w:color w:val="000000"/>
                <w:sz w:val="20"/>
                <w:szCs w:val="20"/>
              </w:rPr>
              <w:t>1000</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12AA41C2" w14:textId="77777777" w:rsidR="003F7821" w:rsidRPr="00D57CFB" w:rsidRDefault="003F7821" w:rsidP="00D57CFB">
            <w:pPr>
              <w:jc w:val="right"/>
              <w:rPr>
                <w:color w:val="000000"/>
                <w:sz w:val="20"/>
                <w:szCs w:val="20"/>
              </w:rPr>
            </w:pPr>
            <w:r w:rsidRPr="00D57CFB">
              <w:rPr>
                <w:color w:val="000000"/>
                <w:sz w:val="20"/>
                <w:szCs w:val="20"/>
              </w:rPr>
              <w:t>2315</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28A97157" w14:textId="77777777" w:rsidR="003F7821" w:rsidRPr="00D57CFB" w:rsidRDefault="003F7821" w:rsidP="00D57CFB">
            <w:pPr>
              <w:jc w:val="right"/>
              <w:rPr>
                <w:color w:val="000000"/>
                <w:sz w:val="20"/>
                <w:szCs w:val="20"/>
              </w:rPr>
            </w:pPr>
            <w:r w:rsidRPr="00D57CFB">
              <w:rPr>
                <w:color w:val="000000"/>
                <w:sz w:val="20"/>
                <w:szCs w:val="20"/>
              </w:rPr>
              <w:t>64.8</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076DE37C"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nil"/>
              <w:left w:val="nil"/>
              <w:bottom w:val="nil"/>
              <w:right w:val="nil"/>
            </w:tcBorders>
            <w:shd w:val="clear" w:color="auto" w:fill="auto"/>
            <w:noWrap/>
            <w:tcMar>
              <w:top w:w="15" w:type="dxa"/>
              <w:left w:w="15" w:type="dxa"/>
              <w:bottom w:w="0" w:type="dxa"/>
              <w:right w:w="15" w:type="dxa"/>
            </w:tcMar>
            <w:vAlign w:val="bottom"/>
            <w:hideMark/>
          </w:tcPr>
          <w:p w14:paraId="1DBCCD76" w14:textId="77777777" w:rsidR="003F7821" w:rsidRPr="00D57CFB" w:rsidRDefault="003F7821" w:rsidP="00D57CFB">
            <w:pPr>
              <w:jc w:val="right"/>
              <w:rPr>
                <w:color w:val="000000"/>
                <w:sz w:val="20"/>
                <w:szCs w:val="20"/>
              </w:rPr>
            </w:pPr>
            <w:r w:rsidRPr="00D57CFB">
              <w:rPr>
                <w:color w:val="000000"/>
                <w:sz w:val="20"/>
                <w:szCs w:val="20"/>
              </w:rPr>
              <w:t xml:space="preserve"> 59.3 </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F22F14B" w14:textId="77777777" w:rsidR="003F7821" w:rsidRPr="00D57CFB" w:rsidRDefault="003F7821" w:rsidP="00D57CFB">
            <w:pPr>
              <w:jc w:val="right"/>
              <w:rPr>
                <w:color w:val="000000"/>
                <w:sz w:val="20"/>
                <w:szCs w:val="20"/>
              </w:rPr>
            </w:pPr>
            <w:r w:rsidRPr="00D57CFB">
              <w:rPr>
                <w:color w:val="000000"/>
                <w:sz w:val="20"/>
                <w:szCs w:val="20"/>
              </w:rPr>
              <w:t xml:space="preserve"> 46.4 </w:t>
            </w:r>
          </w:p>
        </w:tc>
        <w:tc>
          <w:tcPr>
            <w:tcW w:w="970" w:type="dxa"/>
            <w:tcBorders>
              <w:top w:val="nil"/>
              <w:left w:val="nil"/>
              <w:bottom w:val="nil"/>
              <w:right w:val="nil"/>
            </w:tcBorders>
            <w:shd w:val="clear" w:color="auto" w:fill="auto"/>
            <w:noWrap/>
            <w:tcMar>
              <w:top w:w="15" w:type="dxa"/>
              <w:left w:w="15" w:type="dxa"/>
              <w:bottom w:w="0" w:type="dxa"/>
              <w:right w:w="15" w:type="dxa"/>
            </w:tcMar>
            <w:vAlign w:val="bottom"/>
            <w:hideMark/>
          </w:tcPr>
          <w:p w14:paraId="2A8FCAC0" w14:textId="77777777" w:rsidR="003F7821" w:rsidRPr="00D57CFB" w:rsidRDefault="003F7821" w:rsidP="00D57CFB">
            <w:pPr>
              <w:jc w:val="right"/>
              <w:rPr>
                <w:color w:val="000000"/>
                <w:sz w:val="20"/>
                <w:szCs w:val="20"/>
              </w:rPr>
            </w:pPr>
            <w:r w:rsidRPr="00D57CFB">
              <w:rPr>
                <w:color w:val="000000"/>
                <w:sz w:val="20"/>
                <w:szCs w:val="20"/>
              </w:rPr>
              <w:t xml:space="preserve"> 20.0 </w:t>
            </w:r>
          </w:p>
        </w:tc>
      </w:tr>
      <w:tr w:rsidR="003F7821" w:rsidRPr="008A3E4E" w14:paraId="732390E3" w14:textId="77777777" w:rsidTr="00DD5B0D">
        <w:trPr>
          <w:trHeight w:val="300"/>
        </w:trPr>
        <w:tc>
          <w:tcPr>
            <w:tcW w:w="555" w:type="dxa"/>
            <w:tcBorders>
              <w:top w:val="nil"/>
              <w:left w:val="nil"/>
              <w:bottom w:val="nil"/>
              <w:right w:val="nil"/>
            </w:tcBorders>
            <w:shd w:val="clear" w:color="auto" w:fill="auto"/>
            <w:noWrap/>
            <w:tcMar>
              <w:top w:w="15" w:type="dxa"/>
              <w:left w:w="15" w:type="dxa"/>
              <w:bottom w:w="0" w:type="dxa"/>
              <w:right w:w="15" w:type="dxa"/>
            </w:tcMar>
            <w:vAlign w:val="bottom"/>
            <w:hideMark/>
          </w:tcPr>
          <w:p w14:paraId="6D1AEF99" w14:textId="77777777" w:rsidR="003F7821" w:rsidRPr="00D57CFB" w:rsidRDefault="003F7821" w:rsidP="00D57CFB">
            <w:pPr>
              <w:jc w:val="both"/>
              <w:rPr>
                <w:color w:val="000000"/>
                <w:sz w:val="20"/>
                <w:szCs w:val="20"/>
              </w:rPr>
            </w:pPr>
            <w:r w:rsidRPr="00D57CFB">
              <w:rPr>
                <w:color w:val="000000"/>
                <w:sz w:val="20"/>
                <w:szCs w:val="20"/>
              </w:rPr>
              <w:t>2005</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3D66B28C" w14:textId="77777777" w:rsidR="003F7821" w:rsidRPr="00D57CFB" w:rsidRDefault="003F7821" w:rsidP="00D57CFB">
            <w:pPr>
              <w:jc w:val="right"/>
              <w:rPr>
                <w:color w:val="000000"/>
                <w:sz w:val="20"/>
                <w:szCs w:val="20"/>
              </w:rPr>
            </w:pPr>
            <w:r w:rsidRPr="00D57CFB">
              <w:rPr>
                <w:color w:val="000000"/>
                <w:sz w:val="20"/>
                <w:szCs w:val="20"/>
              </w:rPr>
              <w:t>53.0</w:t>
            </w:r>
          </w:p>
        </w:tc>
        <w:tc>
          <w:tcPr>
            <w:tcW w:w="583" w:type="dxa"/>
            <w:tcBorders>
              <w:top w:val="nil"/>
              <w:left w:val="nil"/>
              <w:bottom w:val="nil"/>
              <w:right w:val="nil"/>
            </w:tcBorders>
            <w:shd w:val="clear" w:color="auto" w:fill="auto"/>
            <w:noWrap/>
            <w:tcMar>
              <w:top w:w="15" w:type="dxa"/>
              <w:left w:w="15" w:type="dxa"/>
              <w:bottom w:w="0" w:type="dxa"/>
              <w:right w:w="15" w:type="dxa"/>
            </w:tcMar>
            <w:vAlign w:val="bottom"/>
            <w:hideMark/>
          </w:tcPr>
          <w:p w14:paraId="27DC8957" w14:textId="77777777" w:rsidR="003F7821" w:rsidRPr="00D57CFB" w:rsidRDefault="003F7821" w:rsidP="00D57CFB">
            <w:pPr>
              <w:jc w:val="right"/>
              <w:rPr>
                <w:color w:val="000000"/>
                <w:sz w:val="20"/>
                <w:szCs w:val="20"/>
              </w:rPr>
            </w:pPr>
            <w:r w:rsidRPr="00D57CFB">
              <w:rPr>
                <w:color w:val="000000"/>
                <w:sz w:val="20"/>
                <w:szCs w:val="20"/>
              </w:rPr>
              <w:t xml:space="preserve"> 59.7 </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528D9856" w14:textId="77777777" w:rsidR="003F7821" w:rsidRPr="00D57CFB" w:rsidRDefault="003F7821" w:rsidP="00D57CFB">
            <w:pPr>
              <w:jc w:val="right"/>
              <w:rPr>
                <w:color w:val="000000"/>
                <w:sz w:val="20"/>
                <w:szCs w:val="20"/>
              </w:rPr>
            </w:pPr>
            <w:r w:rsidRPr="00D57CFB">
              <w:rPr>
                <w:color w:val="000000"/>
                <w:sz w:val="20"/>
                <w:szCs w:val="20"/>
              </w:rPr>
              <w:t>642</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D19EAE5" w14:textId="77777777" w:rsidR="003F7821" w:rsidRPr="00D57CFB" w:rsidRDefault="003F7821" w:rsidP="00D57CFB">
            <w:pPr>
              <w:jc w:val="right"/>
              <w:rPr>
                <w:color w:val="000000"/>
                <w:sz w:val="20"/>
                <w:szCs w:val="20"/>
              </w:rPr>
            </w:pPr>
            <w:r w:rsidRPr="00D57CFB">
              <w:rPr>
                <w:color w:val="000000"/>
                <w:sz w:val="20"/>
                <w:szCs w:val="20"/>
              </w:rPr>
              <w:t>12</w:t>
            </w:r>
          </w:p>
        </w:tc>
        <w:tc>
          <w:tcPr>
            <w:tcW w:w="779" w:type="dxa"/>
            <w:tcBorders>
              <w:top w:val="nil"/>
              <w:left w:val="nil"/>
              <w:bottom w:val="nil"/>
              <w:right w:val="nil"/>
            </w:tcBorders>
            <w:shd w:val="clear" w:color="auto" w:fill="auto"/>
            <w:noWrap/>
            <w:tcMar>
              <w:top w:w="15" w:type="dxa"/>
              <w:left w:w="15" w:type="dxa"/>
              <w:bottom w:w="0" w:type="dxa"/>
              <w:right w:w="15" w:type="dxa"/>
            </w:tcMar>
            <w:vAlign w:val="bottom"/>
            <w:hideMark/>
          </w:tcPr>
          <w:p w14:paraId="065509E5" w14:textId="77777777" w:rsidR="003F7821" w:rsidRPr="00D57CFB" w:rsidRDefault="003F7821" w:rsidP="00D57CFB">
            <w:pPr>
              <w:jc w:val="right"/>
              <w:rPr>
                <w:color w:val="000000"/>
                <w:sz w:val="20"/>
                <w:szCs w:val="20"/>
              </w:rPr>
            </w:pPr>
            <w:r w:rsidRPr="00D57CFB">
              <w:rPr>
                <w:color w:val="000000"/>
                <w:sz w:val="20"/>
                <w:szCs w:val="20"/>
              </w:rPr>
              <w:t>0</w:t>
            </w:r>
          </w:p>
        </w:tc>
        <w:tc>
          <w:tcPr>
            <w:tcW w:w="855" w:type="dxa"/>
            <w:tcBorders>
              <w:top w:val="nil"/>
              <w:left w:val="nil"/>
              <w:bottom w:val="nil"/>
              <w:right w:val="nil"/>
            </w:tcBorders>
            <w:shd w:val="clear" w:color="auto" w:fill="auto"/>
            <w:noWrap/>
            <w:tcMar>
              <w:top w:w="15" w:type="dxa"/>
              <w:left w:w="15" w:type="dxa"/>
              <w:bottom w:w="0" w:type="dxa"/>
              <w:right w:w="15" w:type="dxa"/>
            </w:tcMar>
            <w:vAlign w:val="bottom"/>
            <w:hideMark/>
          </w:tcPr>
          <w:p w14:paraId="07693A3C" w14:textId="77777777" w:rsidR="003F7821" w:rsidRPr="00D57CFB" w:rsidRDefault="003F7821" w:rsidP="00D57CFB">
            <w:pPr>
              <w:jc w:val="right"/>
              <w:rPr>
                <w:color w:val="000000"/>
                <w:sz w:val="20"/>
                <w:szCs w:val="20"/>
              </w:rPr>
            </w:pPr>
            <w:r w:rsidRPr="00D57CFB">
              <w:rPr>
                <w:color w:val="000000"/>
                <w:sz w:val="20"/>
                <w:szCs w:val="20"/>
              </w:rPr>
              <w:t>3600</w:t>
            </w:r>
          </w:p>
        </w:tc>
        <w:tc>
          <w:tcPr>
            <w:tcW w:w="929" w:type="dxa"/>
            <w:tcBorders>
              <w:top w:val="nil"/>
              <w:left w:val="nil"/>
              <w:bottom w:val="nil"/>
              <w:right w:val="nil"/>
            </w:tcBorders>
            <w:shd w:val="clear" w:color="auto" w:fill="auto"/>
            <w:noWrap/>
            <w:tcMar>
              <w:top w:w="15" w:type="dxa"/>
              <w:left w:w="15" w:type="dxa"/>
              <w:bottom w:w="0" w:type="dxa"/>
              <w:right w:w="15" w:type="dxa"/>
            </w:tcMar>
            <w:vAlign w:val="bottom"/>
            <w:hideMark/>
          </w:tcPr>
          <w:p w14:paraId="6AEBD16F" w14:textId="77777777" w:rsidR="003F7821" w:rsidRPr="00D57CFB" w:rsidRDefault="003F7821" w:rsidP="00D57CFB">
            <w:pPr>
              <w:jc w:val="right"/>
              <w:rPr>
                <w:color w:val="000000"/>
                <w:sz w:val="20"/>
                <w:szCs w:val="20"/>
              </w:rPr>
            </w:pPr>
            <w:r w:rsidRPr="00D57CFB">
              <w:rPr>
                <w:color w:val="000000"/>
                <w:sz w:val="20"/>
                <w:szCs w:val="20"/>
              </w:rPr>
              <w:t>2400</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73CE6DA8" w14:textId="77777777" w:rsidR="003F7821" w:rsidRPr="00D57CFB" w:rsidRDefault="003F7821" w:rsidP="00D57CFB">
            <w:pPr>
              <w:jc w:val="right"/>
              <w:rPr>
                <w:color w:val="000000"/>
                <w:sz w:val="20"/>
                <w:szCs w:val="20"/>
              </w:rPr>
            </w:pPr>
            <w:r w:rsidRPr="00D57CFB">
              <w:rPr>
                <w:color w:val="000000"/>
                <w:sz w:val="20"/>
                <w:szCs w:val="20"/>
              </w:rPr>
              <w:t>5660</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151BA3F" w14:textId="77777777" w:rsidR="003F7821" w:rsidRPr="00D57CFB" w:rsidRDefault="003F7821" w:rsidP="00D57CFB">
            <w:pPr>
              <w:jc w:val="right"/>
              <w:rPr>
                <w:color w:val="000000"/>
                <w:sz w:val="20"/>
                <w:szCs w:val="20"/>
              </w:rPr>
            </w:pPr>
            <w:r w:rsidRPr="00D57CFB">
              <w:rPr>
                <w:color w:val="000000"/>
                <w:sz w:val="20"/>
                <w:szCs w:val="20"/>
              </w:rPr>
              <w:t>63.6</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4762D23C"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nil"/>
              <w:left w:val="nil"/>
              <w:bottom w:val="nil"/>
              <w:right w:val="nil"/>
            </w:tcBorders>
            <w:shd w:val="clear" w:color="auto" w:fill="auto"/>
            <w:noWrap/>
            <w:tcMar>
              <w:top w:w="15" w:type="dxa"/>
              <w:left w:w="15" w:type="dxa"/>
              <w:bottom w:w="0" w:type="dxa"/>
              <w:right w:w="15" w:type="dxa"/>
            </w:tcMar>
            <w:vAlign w:val="bottom"/>
            <w:hideMark/>
          </w:tcPr>
          <w:p w14:paraId="35282F59" w14:textId="77777777" w:rsidR="003F7821" w:rsidRPr="00D57CFB" w:rsidRDefault="003F7821" w:rsidP="00D57CFB">
            <w:pPr>
              <w:jc w:val="right"/>
              <w:rPr>
                <w:color w:val="000000"/>
                <w:sz w:val="20"/>
                <w:szCs w:val="20"/>
              </w:rPr>
            </w:pPr>
            <w:r w:rsidRPr="00D57CFB">
              <w:rPr>
                <w:color w:val="000000"/>
                <w:sz w:val="20"/>
                <w:szCs w:val="20"/>
              </w:rPr>
              <w:t xml:space="preserve"> 59.7 </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1AD4438" w14:textId="77777777" w:rsidR="003F7821" w:rsidRPr="00D57CFB" w:rsidRDefault="003F7821" w:rsidP="00D57CFB">
            <w:pPr>
              <w:jc w:val="right"/>
              <w:rPr>
                <w:color w:val="000000"/>
                <w:sz w:val="20"/>
                <w:szCs w:val="20"/>
              </w:rPr>
            </w:pPr>
            <w:r w:rsidRPr="00D57CFB">
              <w:rPr>
                <w:color w:val="000000"/>
                <w:sz w:val="20"/>
                <w:szCs w:val="20"/>
              </w:rPr>
              <w:t xml:space="preserve"> 44.8 </w:t>
            </w:r>
          </w:p>
        </w:tc>
        <w:tc>
          <w:tcPr>
            <w:tcW w:w="970" w:type="dxa"/>
            <w:tcBorders>
              <w:top w:val="nil"/>
              <w:left w:val="nil"/>
              <w:bottom w:val="nil"/>
              <w:right w:val="nil"/>
            </w:tcBorders>
            <w:shd w:val="clear" w:color="auto" w:fill="auto"/>
            <w:noWrap/>
            <w:tcMar>
              <w:top w:w="15" w:type="dxa"/>
              <w:left w:w="15" w:type="dxa"/>
              <w:bottom w:w="0" w:type="dxa"/>
              <w:right w:w="15" w:type="dxa"/>
            </w:tcMar>
            <w:vAlign w:val="bottom"/>
            <w:hideMark/>
          </w:tcPr>
          <w:p w14:paraId="4F1EFED8" w14:textId="77777777" w:rsidR="003F7821" w:rsidRPr="00D57CFB" w:rsidRDefault="003F7821" w:rsidP="00D57CFB">
            <w:pPr>
              <w:jc w:val="right"/>
              <w:rPr>
                <w:color w:val="000000"/>
                <w:sz w:val="20"/>
                <w:szCs w:val="20"/>
              </w:rPr>
            </w:pPr>
            <w:r w:rsidRPr="00D57CFB">
              <w:rPr>
                <w:color w:val="000000"/>
                <w:sz w:val="20"/>
                <w:szCs w:val="20"/>
              </w:rPr>
              <w:t xml:space="preserve"> 19.0 </w:t>
            </w:r>
          </w:p>
        </w:tc>
      </w:tr>
      <w:tr w:rsidR="003F7821" w:rsidRPr="008A3E4E" w14:paraId="6C5E425F" w14:textId="77777777" w:rsidTr="00DD5B0D">
        <w:trPr>
          <w:trHeight w:val="300"/>
        </w:trPr>
        <w:tc>
          <w:tcPr>
            <w:tcW w:w="555" w:type="dxa"/>
            <w:tcBorders>
              <w:top w:val="nil"/>
              <w:left w:val="nil"/>
              <w:bottom w:val="nil"/>
              <w:right w:val="nil"/>
            </w:tcBorders>
            <w:shd w:val="clear" w:color="auto" w:fill="auto"/>
            <w:noWrap/>
            <w:tcMar>
              <w:top w:w="15" w:type="dxa"/>
              <w:left w:w="15" w:type="dxa"/>
              <w:bottom w:w="0" w:type="dxa"/>
              <w:right w:w="15" w:type="dxa"/>
            </w:tcMar>
            <w:vAlign w:val="bottom"/>
            <w:hideMark/>
          </w:tcPr>
          <w:p w14:paraId="367A4E4D" w14:textId="77777777" w:rsidR="003F7821" w:rsidRPr="00D57CFB" w:rsidRDefault="003F7821" w:rsidP="00D57CFB">
            <w:pPr>
              <w:jc w:val="both"/>
              <w:rPr>
                <w:color w:val="000000"/>
                <w:sz w:val="20"/>
                <w:szCs w:val="20"/>
              </w:rPr>
            </w:pPr>
            <w:r w:rsidRPr="00D57CFB">
              <w:rPr>
                <w:color w:val="000000"/>
                <w:sz w:val="20"/>
                <w:szCs w:val="20"/>
              </w:rPr>
              <w:lastRenderedPageBreak/>
              <w:t>2006</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14:paraId="0D1AA0F0" w14:textId="77777777" w:rsidR="003F7821" w:rsidRPr="00D57CFB" w:rsidRDefault="003F7821" w:rsidP="00D57CFB">
            <w:pPr>
              <w:jc w:val="right"/>
              <w:rPr>
                <w:color w:val="000000"/>
                <w:sz w:val="20"/>
                <w:szCs w:val="20"/>
              </w:rPr>
            </w:pPr>
            <w:r w:rsidRPr="00D57CFB">
              <w:rPr>
                <w:color w:val="000000"/>
                <w:sz w:val="20"/>
                <w:szCs w:val="20"/>
              </w:rPr>
              <w:t>52.0</w:t>
            </w:r>
          </w:p>
        </w:tc>
        <w:tc>
          <w:tcPr>
            <w:tcW w:w="583" w:type="dxa"/>
            <w:tcBorders>
              <w:top w:val="nil"/>
              <w:left w:val="nil"/>
              <w:bottom w:val="nil"/>
              <w:right w:val="nil"/>
            </w:tcBorders>
            <w:shd w:val="clear" w:color="auto" w:fill="auto"/>
            <w:noWrap/>
            <w:tcMar>
              <w:top w:w="15" w:type="dxa"/>
              <w:left w:w="15" w:type="dxa"/>
              <w:bottom w:w="0" w:type="dxa"/>
              <w:right w:w="15" w:type="dxa"/>
            </w:tcMar>
            <w:vAlign w:val="bottom"/>
            <w:hideMark/>
          </w:tcPr>
          <w:p w14:paraId="519CDD2B" w14:textId="77777777" w:rsidR="003F7821" w:rsidRPr="00D57CFB" w:rsidRDefault="003F7821" w:rsidP="00D57CFB">
            <w:pPr>
              <w:jc w:val="right"/>
              <w:rPr>
                <w:color w:val="000000"/>
                <w:sz w:val="20"/>
                <w:szCs w:val="20"/>
              </w:rPr>
            </w:pPr>
            <w:r w:rsidRPr="00D57CFB">
              <w:rPr>
                <w:color w:val="000000"/>
                <w:sz w:val="20"/>
                <w:szCs w:val="20"/>
              </w:rPr>
              <w:t xml:space="preserve"> 60.0 </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09DDAD7D" w14:textId="77777777" w:rsidR="003F7821" w:rsidRPr="00D57CFB" w:rsidRDefault="003F7821" w:rsidP="00D57CFB">
            <w:pPr>
              <w:jc w:val="right"/>
              <w:rPr>
                <w:color w:val="000000"/>
                <w:sz w:val="20"/>
                <w:szCs w:val="20"/>
              </w:rPr>
            </w:pPr>
            <w:r w:rsidRPr="00D57CFB">
              <w:rPr>
                <w:color w:val="000000"/>
                <w:sz w:val="20"/>
                <w:szCs w:val="20"/>
              </w:rPr>
              <w:t>669</w:t>
            </w:r>
          </w:p>
        </w:tc>
        <w:tc>
          <w:tcPr>
            <w:tcW w:w="810" w:type="dxa"/>
            <w:tcBorders>
              <w:top w:val="nil"/>
              <w:left w:val="nil"/>
              <w:bottom w:val="nil"/>
              <w:right w:val="nil"/>
            </w:tcBorders>
            <w:shd w:val="clear" w:color="auto" w:fill="auto"/>
            <w:noWrap/>
            <w:tcMar>
              <w:top w:w="15" w:type="dxa"/>
              <w:left w:w="15" w:type="dxa"/>
              <w:bottom w:w="0" w:type="dxa"/>
              <w:right w:w="15" w:type="dxa"/>
            </w:tcMar>
            <w:vAlign w:val="bottom"/>
            <w:hideMark/>
          </w:tcPr>
          <w:p w14:paraId="18555959" w14:textId="77777777" w:rsidR="003F7821" w:rsidRPr="00D57CFB" w:rsidRDefault="003F7821" w:rsidP="00D57CFB">
            <w:pPr>
              <w:jc w:val="right"/>
              <w:rPr>
                <w:color w:val="000000"/>
                <w:sz w:val="20"/>
                <w:szCs w:val="20"/>
              </w:rPr>
            </w:pPr>
            <w:r w:rsidRPr="00D57CFB">
              <w:rPr>
                <w:color w:val="000000"/>
                <w:sz w:val="20"/>
                <w:szCs w:val="20"/>
              </w:rPr>
              <w:t>10</w:t>
            </w:r>
          </w:p>
        </w:tc>
        <w:tc>
          <w:tcPr>
            <w:tcW w:w="779" w:type="dxa"/>
            <w:tcBorders>
              <w:top w:val="nil"/>
              <w:left w:val="nil"/>
              <w:bottom w:val="nil"/>
              <w:right w:val="nil"/>
            </w:tcBorders>
            <w:shd w:val="clear" w:color="auto" w:fill="auto"/>
            <w:noWrap/>
            <w:tcMar>
              <w:top w:w="15" w:type="dxa"/>
              <w:left w:w="15" w:type="dxa"/>
              <w:bottom w:w="0" w:type="dxa"/>
              <w:right w:w="15" w:type="dxa"/>
            </w:tcMar>
            <w:vAlign w:val="bottom"/>
            <w:hideMark/>
          </w:tcPr>
          <w:p w14:paraId="1D516302" w14:textId="77777777" w:rsidR="003F7821" w:rsidRPr="00D57CFB" w:rsidRDefault="003F7821" w:rsidP="00D57CFB">
            <w:pPr>
              <w:jc w:val="right"/>
              <w:rPr>
                <w:color w:val="000000"/>
                <w:sz w:val="20"/>
                <w:szCs w:val="20"/>
              </w:rPr>
            </w:pPr>
            <w:r w:rsidRPr="00D57CFB">
              <w:rPr>
                <w:color w:val="000000"/>
                <w:sz w:val="20"/>
                <w:szCs w:val="20"/>
              </w:rPr>
              <w:t>2</w:t>
            </w:r>
          </w:p>
        </w:tc>
        <w:tc>
          <w:tcPr>
            <w:tcW w:w="855" w:type="dxa"/>
            <w:tcBorders>
              <w:top w:val="nil"/>
              <w:left w:val="nil"/>
              <w:bottom w:val="nil"/>
              <w:right w:val="nil"/>
            </w:tcBorders>
            <w:shd w:val="clear" w:color="auto" w:fill="auto"/>
            <w:noWrap/>
            <w:tcMar>
              <w:top w:w="15" w:type="dxa"/>
              <w:left w:w="15" w:type="dxa"/>
              <w:bottom w:w="0" w:type="dxa"/>
              <w:right w:w="15" w:type="dxa"/>
            </w:tcMar>
            <w:vAlign w:val="bottom"/>
            <w:hideMark/>
          </w:tcPr>
          <w:p w14:paraId="564FF5A1" w14:textId="77777777" w:rsidR="003F7821" w:rsidRPr="00D57CFB" w:rsidRDefault="003F7821" w:rsidP="00D57CFB">
            <w:pPr>
              <w:jc w:val="right"/>
              <w:rPr>
                <w:color w:val="000000"/>
                <w:sz w:val="20"/>
                <w:szCs w:val="20"/>
              </w:rPr>
            </w:pPr>
            <w:r w:rsidRPr="00D57CFB">
              <w:rPr>
                <w:color w:val="000000"/>
                <w:sz w:val="20"/>
                <w:szCs w:val="20"/>
              </w:rPr>
              <w:t>3600</w:t>
            </w:r>
          </w:p>
        </w:tc>
        <w:tc>
          <w:tcPr>
            <w:tcW w:w="929" w:type="dxa"/>
            <w:tcBorders>
              <w:top w:val="nil"/>
              <w:left w:val="nil"/>
              <w:bottom w:val="nil"/>
              <w:right w:val="nil"/>
            </w:tcBorders>
            <w:shd w:val="clear" w:color="auto" w:fill="auto"/>
            <w:noWrap/>
            <w:tcMar>
              <w:top w:w="15" w:type="dxa"/>
              <w:left w:w="15" w:type="dxa"/>
              <w:bottom w:w="0" w:type="dxa"/>
              <w:right w:w="15" w:type="dxa"/>
            </w:tcMar>
            <w:vAlign w:val="bottom"/>
            <w:hideMark/>
          </w:tcPr>
          <w:p w14:paraId="548EFA47" w14:textId="77777777" w:rsidR="003F7821" w:rsidRPr="00D57CFB" w:rsidRDefault="003F7821" w:rsidP="00D57CFB">
            <w:pPr>
              <w:jc w:val="right"/>
              <w:rPr>
                <w:color w:val="000000"/>
                <w:sz w:val="20"/>
                <w:szCs w:val="20"/>
              </w:rPr>
            </w:pPr>
            <w:r w:rsidRPr="00D57CFB">
              <w:rPr>
                <w:color w:val="000000"/>
                <w:sz w:val="20"/>
                <w:szCs w:val="20"/>
              </w:rPr>
              <w:t>2400</w:t>
            </w:r>
          </w:p>
        </w:tc>
        <w:tc>
          <w:tcPr>
            <w:tcW w:w="497" w:type="dxa"/>
            <w:tcBorders>
              <w:top w:val="nil"/>
              <w:left w:val="nil"/>
              <w:bottom w:val="nil"/>
              <w:right w:val="nil"/>
            </w:tcBorders>
            <w:shd w:val="clear" w:color="auto" w:fill="auto"/>
            <w:noWrap/>
            <w:tcMar>
              <w:top w:w="15" w:type="dxa"/>
              <w:left w:w="15" w:type="dxa"/>
              <w:bottom w:w="0" w:type="dxa"/>
              <w:right w:w="15" w:type="dxa"/>
            </w:tcMar>
            <w:vAlign w:val="bottom"/>
            <w:hideMark/>
          </w:tcPr>
          <w:p w14:paraId="0C245900" w14:textId="77777777" w:rsidR="003F7821" w:rsidRPr="00D57CFB" w:rsidRDefault="003F7821" w:rsidP="00D57CFB">
            <w:pPr>
              <w:jc w:val="right"/>
              <w:rPr>
                <w:color w:val="000000"/>
                <w:sz w:val="20"/>
                <w:szCs w:val="20"/>
              </w:rPr>
            </w:pPr>
            <w:r w:rsidRPr="00D57CFB">
              <w:rPr>
                <w:color w:val="000000"/>
                <w:sz w:val="20"/>
                <w:szCs w:val="20"/>
              </w:rPr>
              <w:t>5769</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69771B5B" w14:textId="77777777" w:rsidR="003F7821" w:rsidRPr="00D57CFB" w:rsidRDefault="003F7821" w:rsidP="00D57CFB">
            <w:pPr>
              <w:jc w:val="right"/>
              <w:rPr>
                <w:color w:val="000000"/>
                <w:sz w:val="20"/>
                <w:szCs w:val="20"/>
              </w:rPr>
            </w:pPr>
            <w:r w:rsidRPr="00D57CFB">
              <w:rPr>
                <w:color w:val="000000"/>
                <w:sz w:val="20"/>
                <w:szCs w:val="20"/>
              </w:rPr>
              <w:t>62.4</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19616168"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nil"/>
              <w:left w:val="nil"/>
              <w:bottom w:val="nil"/>
              <w:right w:val="nil"/>
            </w:tcBorders>
            <w:shd w:val="clear" w:color="auto" w:fill="auto"/>
            <w:noWrap/>
            <w:tcMar>
              <w:top w:w="15" w:type="dxa"/>
              <w:left w:w="15" w:type="dxa"/>
              <w:bottom w:w="0" w:type="dxa"/>
              <w:right w:w="15" w:type="dxa"/>
            </w:tcMar>
            <w:vAlign w:val="bottom"/>
            <w:hideMark/>
          </w:tcPr>
          <w:p w14:paraId="47E2831C" w14:textId="77777777" w:rsidR="003F7821" w:rsidRPr="00D57CFB" w:rsidRDefault="003F7821" w:rsidP="00D57CFB">
            <w:pPr>
              <w:jc w:val="right"/>
              <w:rPr>
                <w:color w:val="000000"/>
                <w:sz w:val="20"/>
                <w:szCs w:val="20"/>
              </w:rPr>
            </w:pPr>
            <w:r w:rsidRPr="00D57CFB">
              <w:rPr>
                <w:color w:val="000000"/>
                <w:sz w:val="20"/>
                <w:szCs w:val="20"/>
              </w:rPr>
              <w:t xml:space="preserve"> 66.6 </w:t>
            </w:r>
          </w:p>
        </w:tc>
        <w:tc>
          <w:tcPr>
            <w:tcW w:w="630" w:type="dxa"/>
            <w:tcBorders>
              <w:top w:val="nil"/>
              <w:left w:val="nil"/>
              <w:bottom w:val="nil"/>
              <w:right w:val="nil"/>
            </w:tcBorders>
            <w:shd w:val="clear" w:color="auto" w:fill="auto"/>
            <w:noWrap/>
            <w:tcMar>
              <w:top w:w="15" w:type="dxa"/>
              <w:left w:w="15" w:type="dxa"/>
              <w:bottom w:w="0" w:type="dxa"/>
              <w:right w:w="15" w:type="dxa"/>
            </w:tcMar>
            <w:vAlign w:val="bottom"/>
            <w:hideMark/>
          </w:tcPr>
          <w:p w14:paraId="57CCA914" w14:textId="77777777" w:rsidR="003F7821" w:rsidRPr="00D57CFB" w:rsidRDefault="003F7821" w:rsidP="00D57CFB">
            <w:pPr>
              <w:jc w:val="right"/>
              <w:rPr>
                <w:color w:val="000000"/>
                <w:sz w:val="20"/>
                <w:szCs w:val="20"/>
              </w:rPr>
            </w:pPr>
            <w:r w:rsidRPr="00D57CFB">
              <w:rPr>
                <w:color w:val="000000"/>
                <w:sz w:val="20"/>
                <w:szCs w:val="20"/>
              </w:rPr>
              <w:t xml:space="preserve"> 41.8 </w:t>
            </w:r>
          </w:p>
        </w:tc>
        <w:tc>
          <w:tcPr>
            <w:tcW w:w="970" w:type="dxa"/>
            <w:tcBorders>
              <w:top w:val="nil"/>
              <w:left w:val="nil"/>
              <w:bottom w:val="nil"/>
              <w:right w:val="nil"/>
            </w:tcBorders>
            <w:shd w:val="clear" w:color="auto" w:fill="auto"/>
            <w:noWrap/>
            <w:tcMar>
              <w:top w:w="15" w:type="dxa"/>
              <w:left w:w="15" w:type="dxa"/>
              <w:bottom w:w="0" w:type="dxa"/>
              <w:right w:w="15" w:type="dxa"/>
            </w:tcMar>
            <w:vAlign w:val="bottom"/>
            <w:hideMark/>
          </w:tcPr>
          <w:p w14:paraId="617F5149" w14:textId="77777777" w:rsidR="003F7821" w:rsidRPr="00D57CFB" w:rsidRDefault="003F7821" w:rsidP="00D57CFB">
            <w:pPr>
              <w:jc w:val="right"/>
              <w:rPr>
                <w:color w:val="000000"/>
                <w:sz w:val="20"/>
                <w:szCs w:val="20"/>
              </w:rPr>
            </w:pPr>
            <w:r w:rsidRPr="00D57CFB">
              <w:rPr>
                <w:color w:val="000000"/>
                <w:sz w:val="20"/>
                <w:szCs w:val="20"/>
              </w:rPr>
              <w:t xml:space="preserve"> 17.4 </w:t>
            </w:r>
          </w:p>
        </w:tc>
      </w:tr>
      <w:tr w:rsidR="003F7821" w:rsidRPr="008A3E4E" w14:paraId="3B5EDB42" w14:textId="77777777" w:rsidTr="00DD5B0D">
        <w:trPr>
          <w:trHeight w:val="300"/>
        </w:trPr>
        <w:tc>
          <w:tcPr>
            <w:tcW w:w="555" w:type="dxa"/>
            <w:tcBorders>
              <w:top w:val="nil"/>
              <w:left w:val="nil"/>
              <w:right w:val="nil"/>
            </w:tcBorders>
            <w:shd w:val="clear" w:color="auto" w:fill="auto"/>
            <w:noWrap/>
            <w:tcMar>
              <w:top w:w="15" w:type="dxa"/>
              <w:left w:w="15" w:type="dxa"/>
              <w:bottom w:w="0" w:type="dxa"/>
              <w:right w:w="15" w:type="dxa"/>
            </w:tcMar>
            <w:vAlign w:val="bottom"/>
            <w:hideMark/>
          </w:tcPr>
          <w:p w14:paraId="77252314" w14:textId="77777777" w:rsidR="003F7821" w:rsidRPr="00D57CFB" w:rsidRDefault="003F7821" w:rsidP="00D57CFB">
            <w:pPr>
              <w:jc w:val="both"/>
              <w:rPr>
                <w:color w:val="000000"/>
                <w:sz w:val="20"/>
                <w:szCs w:val="20"/>
              </w:rPr>
            </w:pPr>
            <w:r w:rsidRPr="00D57CFB">
              <w:rPr>
                <w:color w:val="000000"/>
                <w:sz w:val="20"/>
                <w:szCs w:val="20"/>
              </w:rPr>
              <w:t>2007</w:t>
            </w:r>
          </w:p>
        </w:tc>
        <w:tc>
          <w:tcPr>
            <w:tcW w:w="540" w:type="dxa"/>
            <w:tcBorders>
              <w:top w:val="nil"/>
              <w:left w:val="nil"/>
              <w:right w:val="nil"/>
            </w:tcBorders>
            <w:shd w:val="clear" w:color="auto" w:fill="auto"/>
            <w:noWrap/>
            <w:tcMar>
              <w:top w:w="15" w:type="dxa"/>
              <w:left w:w="15" w:type="dxa"/>
              <w:bottom w:w="0" w:type="dxa"/>
              <w:right w:w="15" w:type="dxa"/>
            </w:tcMar>
            <w:vAlign w:val="bottom"/>
            <w:hideMark/>
          </w:tcPr>
          <w:p w14:paraId="66BFBE1C" w14:textId="77777777" w:rsidR="003F7821" w:rsidRPr="00D57CFB" w:rsidRDefault="003F7821" w:rsidP="00D57CFB">
            <w:pPr>
              <w:jc w:val="right"/>
              <w:rPr>
                <w:color w:val="000000"/>
                <w:sz w:val="20"/>
                <w:szCs w:val="20"/>
              </w:rPr>
            </w:pPr>
            <w:r w:rsidRPr="00D57CFB">
              <w:rPr>
                <w:color w:val="000000"/>
                <w:sz w:val="20"/>
                <w:szCs w:val="20"/>
              </w:rPr>
              <w:t>51.0</w:t>
            </w:r>
          </w:p>
        </w:tc>
        <w:tc>
          <w:tcPr>
            <w:tcW w:w="583" w:type="dxa"/>
            <w:tcBorders>
              <w:top w:val="nil"/>
              <w:left w:val="nil"/>
              <w:right w:val="nil"/>
            </w:tcBorders>
            <w:shd w:val="clear" w:color="auto" w:fill="auto"/>
            <w:noWrap/>
            <w:tcMar>
              <w:top w:w="15" w:type="dxa"/>
              <w:left w:w="15" w:type="dxa"/>
              <w:bottom w:w="0" w:type="dxa"/>
              <w:right w:w="15" w:type="dxa"/>
            </w:tcMar>
            <w:vAlign w:val="bottom"/>
            <w:hideMark/>
          </w:tcPr>
          <w:p w14:paraId="64ED1E26" w14:textId="77777777" w:rsidR="003F7821" w:rsidRPr="00D57CFB" w:rsidRDefault="003F7821" w:rsidP="00D57CFB">
            <w:pPr>
              <w:jc w:val="right"/>
              <w:rPr>
                <w:color w:val="000000"/>
                <w:sz w:val="20"/>
                <w:szCs w:val="20"/>
              </w:rPr>
            </w:pPr>
            <w:r w:rsidRPr="00D57CFB">
              <w:rPr>
                <w:color w:val="000000"/>
                <w:sz w:val="20"/>
                <w:szCs w:val="20"/>
              </w:rPr>
              <w:t xml:space="preserve"> 60.2 </w:t>
            </w:r>
          </w:p>
        </w:tc>
        <w:tc>
          <w:tcPr>
            <w:tcW w:w="497" w:type="dxa"/>
            <w:tcBorders>
              <w:top w:val="nil"/>
              <w:left w:val="nil"/>
              <w:right w:val="nil"/>
            </w:tcBorders>
            <w:shd w:val="clear" w:color="auto" w:fill="auto"/>
            <w:noWrap/>
            <w:tcMar>
              <w:top w:w="15" w:type="dxa"/>
              <w:left w:w="15" w:type="dxa"/>
              <w:bottom w:w="0" w:type="dxa"/>
              <w:right w:w="15" w:type="dxa"/>
            </w:tcMar>
            <w:vAlign w:val="bottom"/>
            <w:hideMark/>
          </w:tcPr>
          <w:p w14:paraId="77AA79CF" w14:textId="77777777" w:rsidR="003F7821" w:rsidRPr="00D57CFB" w:rsidRDefault="003F7821" w:rsidP="00D57CFB">
            <w:pPr>
              <w:jc w:val="right"/>
              <w:rPr>
                <w:color w:val="000000"/>
                <w:sz w:val="20"/>
                <w:szCs w:val="20"/>
              </w:rPr>
            </w:pPr>
            <w:r w:rsidRPr="00D57CFB">
              <w:rPr>
                <w:color w:val="000000"/>
                <w:sz w:val="20"/>
                <w:szCs w:val="20"/>
              </w:rPr>
              <w:t>1120</w:t>
            </w:r>
          </w:p>
        </w:tc>
        <w:tc>
          <w:tcPr>
            <w:tcW w:w="810" w:type="dxa"/>
            <w:tcBorders>
              <w:top w:val="nil"/>
              <w:left w:val="nil"/>
              <w:right w:val="nil"/>
            </w:tcBorders>
            <w:shd w:val="clear" w:color="auto" w:fill="auto"/>
            <w:noWrap/>
            <w:tcMar>
              <w:top w:w="15" w:type="dxa"/>
              <w:left w:w="15" w:type="dxa"/>
              <w:bottom w:w="0" w:type="dxa"/>
              <w:right w:w="15" w:type="dxa"/>
            </w:tcMar>
            <w:vAlign w:val="bottom"/>
            <w:hideMark/>
          </w:tcPr>
          <w:p w14:paraId="620FEA84" w14:textId="77777777" w:rsidR="003F7821" w:rsidRPr="00D57CFB" w:rsidRDefault="003F7821" w:rsidP="00D57CFB">
            <w:pPr>
              <w:jc w:val="right"/>
              <w:rPr>
                <w:color w:val="000000"/>
                <w:sz w:val="20"/>
                <w:szCs w:val="20"/>
              </w:rPr>
            </w:pPr>
            <w:r w:rsidRPr="00D57CFB">
              <w:rPr>
                <w:color w:val="000000"/>
                <w:sz w:val="20"/>
                <w:szCs w:val="20"/>
              </w:rPr>
              <w:t>0</w:t>
            </w:r>
          </w:p>
        </w:tc>
        <w:tc>
          <w:tcPr>
            <w:tcW w:w="779" w:type="dxa"/>
            <w:tcBorders>
              <w:top w:val="nil"/>
              <w:left w:val="nil"/>
              <w:right w:val="nil"/>
            </w:tcBorders>
            <w:shd w:val="clear" w:color="auto" w:fill="auto"/>
            <w:noWrap/>
            <w:tcMar>
              <w:top w:w="15" w:type="dxa"/>
              <w:left w:w="15" w:type="dxa"/>
              <w:bottom w:w="0" w:type="dxa"/>
              <w:right w:w="15" w:type="dxa"/>
            </w:tcMar>
            <w:vAlign w:val="bottom"/>
            <w:hideMark/>
          </w:tcPr>
          <w:p w14:paraId="17A4AE96" w14:textId="77777777" w:rsidR="003F7821" w:rsidRPr="00D57CFB" w:rsidRDefault="003F7821" w:rsidP="00D57CFB">
            <w:pPr>
              <w:jc w:val="right"/>
              <w:rPr>
                <w:color w:val="000000"/>
                <w:sz w:val="20"/>
                <w:szCs w:val="20"/>
              </w:rPr>
            </w:pPr>
            <w:r w:rsidRPr="00D57CFB">
              <w:rPr>
                <w:color w:val="000000"/>
                <w:sz w:val="20"/>
                <w:szCs w:val="20"/>
              </w:rPr>
              <w:t>12</w:t>
            </w:r>
          </w:p>
        </w:tc>
        <w:tc>
          <w:tcPr>
            <w:tcW w:w="855" w:type="dxa"/>
            <w:tcBorders>
              <w:top w:val="nil"/>
              <w:left w:val="nil"/>
              <w:right w:val="nil"/>
            </w:tcBorders>
            <w:shd w:val="clear" w:color="auto" w:fill="auto"/>
            <w:noWrap/>
            <w:tcMar>
              <w:top w:w="15" w:type="dxa"/>
              <w:left w:w="15" w:type="dxa"/>
              <w:bottom w:w="0" w:type="dxa"/>
              <w:right w:w="15" w:type="dxa"/>
            </w:tcMar>
            <w:vAlign w:val="bottom"/>
            <w:hideMark/>
          </w:tcPr>
          <w:p w14:paraId="23CA61CC" w14:textId="77777777" w:rsidR="003F7821" w:rsidRPr="00D57CFB" w:rsidRDefault="003F7821" w:rsidP="00D57CFB">
            <w:pPr>
              <w:jc w:val="right"/>
              <w:rPr>
                <w:color w:val="000000"/>
                <w:sz w:val="20"/>
                <w:szCs w:val="20"/>
              </w:rPr>
            </w:pPr>
            <w:r w:rsidRPr="00D57CFB">
              <w:rPr>
                <w:color w:val="000000"/>
                <w:sz w:val="20"/>
                <w:szCs w:val="20"/>
              </w:rPr>
              <w:t>3600</w:t>
            </w:r>
          </w:p>
        </w:tc>
        <w:tc>
          <w:tcPr>
            <w:tcW w:w="929" w:type="dxa"/>
            <w:tcBorders>
              <w:top w:val="nil"/>
              <w:left w:val="nil"/>
              <w:right w:val="nil"/>
            </w:tcBorders>
            <w:shd w:val="clear" w:color="auto" w:fill="auto"/>
            <w:noWrap/>
            <w:tcMar>
              <w:top w:w="15" w:type="dxa"/>
              <w:left w:w="15" w:type="dxa"/>
              <w:bottom w:w="0" w:type="dxa"/>
              <w:right w:w="15" w:type="dxa"/>
            </w:tcMar>
            <w:vAlign w:val="bottom"/>
            <w:hideMark/>
          </w:tcPr>
          <w:p w14:paraId="26169685" w14:textId="77777777" w:rsidR="003F7821" w:rsidRPr="00D57CFB" w:rsidRDefault="003F7821" w:rsidP="00D57CFB">
            <w:pPr>
              <w:jc w:val="right"/>
              <w:rPr>
                <w:color w:val="000000"/>
                <w:sz w:val="20"/>
                <w:szCs w:val="20"/>
              </w:rPr>
            </w:pPr>
            <w:r w:rsidRPr="00D57CFB">
              <w:rPr>
                <w:color w:val="000000"/>
                <w:sz w:val="20"/>
                <w:szCs w:val="20"/>
              </w:rPr>
              <w:t>2400</w:t>
            </w:r>
          </w:p>
        </w:tc>
        <w:tc>
          <w:tcPr>
            <w:tcW w:w="497" w:type="dxa"/>
            <w:tcBorders>
              <w:top w:val="nil"/>
              <w:left w:val="nil"/>
              <w:right w:val="nil"/>
            </w:tcBorders>
            <w:shd w:val="clear" w:color="auto" w:fill="auto"/>
            <w:noWrap/>
            <w:tcMar>
              <w:top w:w="15" w:type="dxa"/>
              <w:left w:w="15" w:type="dxa"/>
              <w:bottom w:w="0" w:type="dxa"/>
              <w:right w:w="15" w:type="dxa"/>
            </w:tcMar>
            <w:vAlign w:val="bottom"/>
            <w:hideMark/>
          </w:tcPr>
          <w:p w14:paraId="4B9923C3" w14:textId="77777777" w:rsidR="003F7821" w:rsidRPr="00D57CFB" w:rsidRDefault="003F7821" w:rsidP="00D57CFB">
            <w:pPr>
              <w:jc w:val="right"/>
              <w:rPr>
                <w:color w:val="000000"/>
                <w:sz w:val="20"/>
                <w:szCs w:val="20"/>
              </w:rPr>
            </w:pPr>
            <w:r w:rsidRPr="00D57CFB">
              <w:rPr>
                <w:color w:val="000000"/>
                <w:sz w:val="20"/>
                <w:szCs w:val="20"/>
              </w:rPr>
              <w:t>5882</w:t>
            </w:r>
          </w:p>
        </w:tc>
        <w:tc>
          <w:tcPr>
            <w:tcW w:w="630" w:type="dxa"/>
            <w:tcBorders>
              <w:top w:val="nil"/>
              <w:left w:val="nil"/>
              <w:right w:val="nil"/>
            </w:tcBorders>
            <w:shd w:val="clear" w:color="auto" w:fill="auto"/>
            <w:noWrap/>
            <w:tcMar>
              <w:top w:w="15" w:type="dxa"/>
              <w:left w:w="15" w:type="dxa"/>
              <w:bottom w:w="0" w:type="dxa"/>
              <w:right w:w="15" w:type="dxa"/>
            </w:tcMar>
            <w:vAlign w:val="bottom"/>
            <w:hideMark/>
          </w:tcPr>
          <w:p w14:paraId="4CFDD990" w14:textId="77777777" w:rsidR="003F7821" w:rsidRPr="00D57CFB" w:rsidRDefault="003F7821" w:rsidP="00D57CFB">
            <w:pPr>
              <w:jc w:val="right"/>
              <w:rPr>
                <w:color w:val="000000"/>
                <w:sz w:val="20"/>
                <w:szCs w:val="20"/>
              </w:rPr>
            </w:pPr>
            <w:r w:rsidRPr="00D57CFB">
              <w:rPr>
                <w:color w:val="000000"/>
                <w:sz w:val="20"/>
                <w:szCs w:val="20"/>
              </w:rPr>
              <w:t>61.2</w:t>
            </w:r>
          </w:p>
        </w:tc>
        <w:tc>
          <w:tcPr>
            <w:tcW w:w="630" w:type="dxa"/>
            <w:tcBorders>
              <w:top w:val="nil"/>
              <w:left w:val="nil"/>
              <w:right w:val="nil"/>
            </w:tcBorders>
            <w:shd w:val="clear" w:color="auto" w:fill="auto"/>
            <w:noWrap/>
            <w:tcMar>
              <w:top w:w="15" w:type="dxa"/>
              <w:left w:w="15" w:type="dxa"/>
              <w:bottom w:w="0" w:type="dxa"/>
              <w:right w:w="15" w:type="dxa"/>
            </w:tcMar>
            <w:vAlign w:val="bottom"/>
            <w:hideMark/>
          </w:tcPr>
          <w:p w14:paraId="41904E77"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nil"/>
              <w:left w:val="nil"/>
              <w:right w:val="nil"/>
            </w:tcBorders>
            <w:shd w:val="clear" w:color="auto" w:fill="auto"/>
            <w:noWrap/>
            <w:tcMar>
              <w:top w:w="15" w:type="dxa"/>
              <w:left w:w="15" w:type="dxa"/>
              <w:bottom w:w="0" w:type="dxa"/>
              <w:right w:w="15" w:type="dxa"/>
            </w:tcMar>
            <w:vAlign w:val="bottom"/>
            <w:hideMark/>
          </w:tcPr>
          <w:p w14:paraId="581F0D4F" w14:textId="77777777" w:rsidR="003F7821" w:rsidRPr="00D57CFB" w:rsidRDefault="003F7821" w:rsidP="00D57CFB">
            <w:pPr>
              <w:jc w:val="right"/>
              <w:rPr>
                <w:color w:val="000000"/>
                <w:sz w:val="20"/>
                <w:szCs w:val="20"/>
              </w:rPr>
            </w:pPr>
            <w:r w:rsidRPr="00D57CFB">
              <w:rPr>
                <w:color w:val="000000"/>
                <w:sz w:val="20"/>
                <w:szCs w:val="20"/>
              </w:rPr>
              <w:t>100.0</w:t>
            </w:r>
          </w:p>
        </w:tc>
        <w:tc>
          <w:tcPr>
            <w:tcW w:w="630" w:type="dxa"/>
            <w:tcBorders>
              <w:top w:val="nil"/>
              <w:left w:val="nil"/>
              <w:right w:val="nil"/>
            </w:tcBorders>
            <w:shd w:val="clear" w:color="auto" w:fill="auto"/>
            <w:noWrap/>
            <w:tcMar>
              <w:top w:w="15" w:type="dxa"/>
              <w:left w:w="15" w:type="dxa"/>
              <w:bottom w:w="0" w:type="dxa"/>
              <w:right w:w="15" w:type="dxa"/>
            </w:tcMar>
            <w:vAlign w:val="bottom"/>
            <w:hideMark/>
          </w:tcPr>
          <w:p w14:paraId="3A4E86FC" w14:textId="77777777" w:rsidR="003F7821" w:rsidRPr="00D57CFB" w:rsidRDefault="003F7821" w:rsidP="00D57CFB">
            <w:pPr>
              <w:jc w:val="right"/>
              <w:rPr>
                <w:color w:val="000000"/>
                <w:sz w:val="20"/>
                <w:szCs w:val="20"/>
              </w:rPr>
            </w:pPr>
            <w:r w:rsidRPr="00D57CFB">
              <w:rPr>
                <w:color w:val="000000"/>
                <w:sz w:val="20"/>
                <w:szCs w:val="20"/>
              </w:rPr>
              <w:t xml:space="preserve"> 46.7 </w:t>
            </w:r>
          </w:p>
        </w:tc>
        <w:tc>
          <w:tcPr>
            <w:tcW w:w="970" w:type="dxa"/>
            <w:tcBorders>
              <w:top w:val="nil"/>
              <w:left w:val="nil"/>
              <w:right w:val="nil"/>
            </w:tcBorders>
            <w:shd w:val="clear" w:color="auto" w:fill="auto"/>
            <w:noWrap/>
            <w:tcMar>
              <w:top w:w="15" w:type="dxa"/>
              <w:left w:w="15" w:type="dxa"/>
              <w:bottom w:w="0" w:type="dxa"/>
              <w:right w:w="15" w:type="dxa"/>
            </w:tcMar>
            <w:vAlign w:val="bottom"/>
            <w:hideMark/>
          </w:tcPr>
          <w:p w14:paraId="719D51FA" w14:textId="77777777" w:rsidR="003F7821" w:rsidRPr="00D57CFB" w:rsidRDefault="003F7821" w:rsidP="00D57CFB">
            <w:pPr>
              <w:jc w:val="right"/>
              <w:rPr>
                <w:color w:val="000000"/>
                <w:sz w:val="20"/>
                <w:szCs w:val="20"/>
              </w:rPr>
            </w:pPr>
            <w:r w:rsidRPr="00D57CFB">
              <w:rPr>
                <w:color w:val="000000"/>
                <w:sz w:val="20"/>
                <w:szCs w:val="20"/>
              </w:rPr>
              <w:t xml:space="preserve"> 19.0 </w:t>
            </w:r>
          </w:p>
        </w:tc>
      </w:tr>
      <w:tr w:rsidR="003F7821" w:rsidRPr="008A3E4E" w14:paraId="7739B730" w14:textId="77777777" w:rsidTr="00DD5B0D">
        <w:trPr>
          <w:trHeight w:val="300"/>
        </w:trPr>
        <w:tc>
          <w:tcPr>
            <w:tcW w:w="55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10E3B22" w14:textId="77777777" w:rsidR="003F7821" w:rsidRPr="00D57CFB" w:rsidRDefault="003F7821" w:rsidP="00D57CFB">
            <w:pPr>
              <w:jc w:val="both"/>
              <w:rPr>
                <w:color w:val="000000"/>
                <w:sz w:val="20"/>
                <w:szCs w:val="20"/>
              </w:rPr>
            </w:pPr>
            <w:r w:rsidRPr="00D57CFB">
              <w:rPr>
                <w:color w:val="000000"/>
                <w:sz w:val="20"/>
                <w:szCs w:val="20"/>
              </w:rPr>
              <w:t>2008</w:t>
            </w:r>
          </w:p>
        </w:tc>
        <w:tc>
          <w:tcPr>
            <w:tcW w:w="54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9FF5E1E" w14:textId="77777777" w:rsidR="003F7821" w:rsidRPr="00D57CFB" w:rsidRDefault="003F7821" w:rsidP="00D57CFB">
            <w:pPr>
              <w:jc w:val="right"/>
              <w:rPr>
                <w:color w:val="000000"/>
                <w:sz w:val="20"/>
                <w:szCs w:val="20"/>
              </w:rPr>
            </w:pPr>
            <w:r w:rsidRPr="00D57CFB">
              <w:rPr>
                <w:color w:val="000000"/>
                <w:sz w:val="20"/>
                <w:szCs w:val="20"/>
              </w:rPr>
              <w:t>50.0</w:t>
            </w:r>
          </w:p>
        </w:tc>
        <w:tc>
          <w:tcPr>
            <w:tcW w:w="583"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4CA8BC7" w14:textId="77777777" w:rsidR="003F7821" w:rsidRPr="00D57CFB" w:rsidRDefault="003F7821" w:rsidP="00D57CFB">
            <w:pPr>
              <w:jc w:val="right"/>
              <w:rPr>
                <w:color w:val="000000"/>
                <w:sz w:val="20"/>
                <w:szCs w:val="20"/>
              </w:rPr>
            </w:pPr>
            <w:r w:rsidRPr="00D57CFB">
              <w:rPr>
                <w:color w:val="000000"/>
                <w:sz w:val="20"/>
                <w:szCs w:val="20"/>
              </w:rPr>
              <w:t xml:space="preserve"> 60.3 </w:t>
            </w:r>
          </w:p>
        </w:tc>
        <w:tc>
          <w:tcPr>
            <w:tcW w:w="49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96113D4" w14:textId="77777777" w:rsidR="003F7821" w:rsidRPr="00D57CFB" w:rsidRDefault="003F7821" w:rsidP="00D57CFB">
            <w:pPr>
              <w:jc w:val="right"/>
              <w:rPr>
                <w:color w:val="000000"/>
                <w:sz w:val="20"/>
                <w:szCs w:val="20"/>
              </w:rPr>
            </w:pPr>
            <w:r w:rsidRPr="00D57CFB">
              <w:rPr>
                <w:color w:val="000000"/>
                <w:sz w:val="20"/>
                <w:szCs w:val="20"/>
              </w:rPr>
              <w:t>762</w:t>
            </w:r>
          </w:p>
        </w:tc>
        <w:tc>
          <w:tcPr>
            <w:tcW w:w="81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C42913E" w14:textId="77777777" w:rsidR="003F7821" w:rsidRPr="00D57CFB" w:rsidRDefault="003F7821" w:rsidP="00D57CFB">
            <w:pPr>
              <w:jc w:val="right"/>
              <w:rPr>
                <w:color w:val="000000"/>
                <w:sz w:val="20"/>
                <w:szCs w:val="20"/>
              </w:rPr>
            </w:pPr>
            <w:r w:rsidRPr="00D57CFB">
              <w:rPr>
                <w:color w:val="000000"/>
                <w:sz w:val="20"/>
                <w:szCs w:val="20"/>
              </w:rPr>
              <w:t>0</w:t>
            </w:r>
          </w:p>
        </w:tc>
        <w:tc>
          <w:tcPr>
            <w:tcW w:w="77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0CAE093" w14:textId="77777777" w:rsidR="003F7821" w:rsidRPr="00D57CFB" w:rsidRDefault="003F7821" w:rsidP="00D57CFB">
            <w:pPr>
              <w:jc w:val="right"/>
              <w:rPr>
                <w:color w:val="000000"/>
                <w:sz w:val="20"/>
                <w:szCs w:val="20"/>
              </w:rPr>
            </w:pPr>
            <w:r w:rsidRPr="00D57CFB">
              <w:rPr>
                <w:color w:val="000000"/>
                <w:sz w:val="20"/>
                <w:szCs w:val="20"/>
              </w:rPr>
              <w:t>8</w:t>
            </w:r>
          </w:p>
        </w:tc>
        <w:tc>
          <w:tcPr>
            <w:tcW w:w="85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216345B" w14:textId="77777777" w:rsidR="003F7821" w:rsidRPr="00D57CFB" w:rsidRDefault="003F7821" w:rsidP="00D57CFB">
            <w:pPr>
              <w:jc w:val="right"/>
              <w:rPr>
                <w:color w:val="000000"/>
                <w:sz w:val="20"/>
                <w:szCs w:val="20"/>
              </w:rPr>
            </w:pPr>
            <w:r w:rsidRPr="00D57CFB">
              <w:rPr>
                <w:color w:val="000000"/>
                <w:sz w:val="20"/>
                <w:szCs w:val="20"/>
              </w:rPr>
              <w:t>2400</w:t>
            </w:r>
          </w:p>
        </w:tc>
        <w:tc>
          <w:tcPr>
            <w:tcW w:w="92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8E34F70" w14:textId="77777777" w:rsidR="003F7821" w:rsidRPr="00D57CFB" w:rsidRDefault="003F7821" w:rsidP="00D57CFB">
            <w:pPr>
              <w:jc w:val="right"/>
              <w:rPr>
                <w:color w:val="000000"/>
                <w:sz w:val="20"/>
                <w:szCs w:val="20"/>
              </w:rPr>
            </w:pPr>
            <w:r w:rsidRPr="00D57CFB">
              <w:rPr>
                <w:color w:val="000000"/>
                <w:sz w:val="20"/>
                <w:szCs w:val="20"/>
              </w:rPr>
              <w:t>1600</w:t>
            </w:r>
          </w:p>
        </w:tc>
        <w:tc>
          <w:tcPr>
            <w:tcW w:w="49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36B675C" w14:textId="77777777" w:rsidR="003F7821" w:rsidRPr="00D57CFB" w:rsidRDefault="003F7821" w:rsidP="00D57CFB">
            <w:pPr>
              <w:jc w:val="right"/>
              <w:rPr>
                <w:color w:val="000000"/>
                <w:sz w:val="20"/>
                <w:szCs w:val="20"/>
              </w:rPr>
            </w:pPr>
            <w:r w:rsidRPr="00D57CFB">
              <w:rPr>
                <w:color w:val="000000"/>
                <w:sz w:val="20"/>
                <w:szCs w:val="20"/>
              </w:rPr>
              <w:t>4000</w:t>
            </w:r>
          </w:p>
        </w:tc>
        <w:tc>
          <w:tcPr>
            <w:tcW w:w="63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A690EEF" w14:textId="77777777" w:rsidR="003F7821" w:rsidRPr="00D57CFB" w:rsidRDefault="003F7821" w:rsidP="00D57CFB">
            <w:pPr>
              <w:jc w:val="right"/>
              <w:rPr>
                <w:color w:val="000000"/>
                <w:sz w:val="20"/>
                <w:szCs w:val="20"/>
              </w:rPr>
            </w:pPr>
            <w:r w:rsidRPr="00D57CFB">
              <w:rPr>
                <w:color w:val="000000"/>
                <w:sz w:val="20"/>
                <w:szCs w:val="20"/>
              </w:rPr>
              <w:t>60.0</w:t>
            </w:r>
          </w:p>
        </w:tc>
        <w:tc>
          <w:tcPr>
            <w:tcW w:w="63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B6ED0DA" w14:textId="77777777" w:rsidR="003F7821" w:rsidRPr="00D57CFB" w:rsidRDefault="003F7821" w:rsidP="00D57CFB">
            <w:pPr>
              <w:jc w:val="right"/>
              <w:rPr>
                <w:color w:val="000000"/>
                <w:sz w:val="20"/>
                <w:szCs w:val="20"/>
              </w:rPr>
            </w:pPr>
            <w:r w:rsidRPr="00D57CFB">
              <w:rPr>
                <w:color w:val="000000"/>
                <w:sz w:val="20"/>
                <w:szCs w:val="20"/>
              </w:rPr>
              <w:t>66.7</w:t>
            </w:r>
          </w:p>
        </w:tc>
        <w:tc>
          <w:tcPr>
            <w:tcW w:w="65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54EEF7F" w14:textId="77777777" w:rsidR="003F7821" w:rsidRPr="00D57CFB" w:rsidRDefault="003F7821" w:rsidP="00D57CFB">
            <w:pPr>
              <w:jc w:val="right"/>
              <w:rPr>
                <w:color w:val="000000"/>
                <w:sz w:val="20"/>
                <w:szCs w:val="20"/>
              </w:rPr>
            </w:pPr>
            <w:r w:rsidRPr="00D57CFB">
              <w:rPr>
                <w:color w:val="000000"/>
                <w:sz w:val="20"/>
                <w:szCs w:val="20"/>
              </w:rPr>
              <w:t>100.0</w:t>
            </w:r>
          </w:p>
        </w:tc>
        <w:tc>
          <w:tcPr>
            <w:tcW w:w="63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046ACBC" w14:textId="77777777" w:rsidR="003F7821" w:rsidRPr="00D57CFB" w:rsidRDefault="003F7821" w:rsidP="00D57CFB">
            <w:pPr>
              <w:jc w:val="right"/>
              <w:rPr>
                <w:color w:val="000000"/>
                <w:sz w:val="20"/>
                <w:szCs w:val="20"/>
              </w:rPr>
            </w:pPr>
            <w:r w:rsidRPr="00D57CFB">
              <w:rPr>
                <w:color w:val="000000"/>
                <w:sz w:val="20"/>
                <w:szCs w:val="20"/>
              </w:rPr>
              <w:t xml:space="preserve"> 47.6 </w:t>
            </w:r>
          </w:p>
        </w:tc>
        <w:tc>
          <w:tcPr>
            <w:tcW w:w="97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25D7AB8" w14:textId="77777777" w:rsidR="003F7821" w:rsidRPr="00D57CFB" w:rsidRDefault="003F7821" w:rsidP="00D57CFB">
            <w:pPr>
              <w:jc w:val="right"/>
              <w:rPr>
                <w:color w:val="000000"/>
                <w:sz w:val="20"/>
                <w:szCs w:val="20"/>
              </w:rPr>
            </w:pPr>
            <w:r w:rsidRPr="00D57CFB">
              <w:rPr>
                <w:color w:val="000000"/>
                <w:sz w:val="20"/>
                <w:szCs w:val="20"/>
              </w:rPr>
              <w:t xml:space="preserve"> 19.1 </w:t>
            </w:r>
          </w:p>
        </w:tc>
      </w:tr>
    </w:tbl>
    <w:p w14:paraId="7C359E2D" w14:textId="77777777" w:rsidR="003F7821" w:rsidRPr="00D57CFB" w:rsidRDefault="003F7821" w:rsidP="00D57CFB">
      <w:pPr>
        <w:jc w:val="both"/>
        <w:rPr>
          <w:sz w:val="18"/>
          <w:szCs w:val="18"/>
        </w:rPr>
      </w:pPr>
      <w:r w:rsidRPr="00D57CFB">
        <w:rPr>
          <w:i/>
          <w:sz w:val="18"/>
          <w:szCs w:val="18"/>
        </w:rPr>
        <w:t>Note.</w:t>
      </w:r>
      <w:r w:rsidRPr="00D57CFB">
        <w:rPr>
          <w:sz w:val="18"/>
          <w:szCs w:val="18"/>
        </w:rPr>
        <w:t xml:space="preserve"> See text for definition of N1, p1-p4, N4, and F. RECR = Recruitment rate.</w:t>
      </w:r>
    </w:p>
    <w:p w14:paraId="30021A5C" w14:textId="77777777" w:rsidR="003F7821" w:rsidRPr="00D57CFB" w:rsidRDefault="003F7821" w:rsidP="00D57CFB">
      <w:pPr>
        <w:jc w:val="both"/>
        <w:rPr>
          <w:sz w:val="22"/>
          <w:szCs w:val="22"/>
        </w:rPr>
      </w:pPr>
    </w:p>
    <w:p w14:paraId="5BBA188E" w14:textId="77777777" w:rsidR="003F7821" w:rsidRPr="00D57CFB" w:rsidRDefault="003F7821" w:rsidP="00D57CFB">
      <w:pPr>
        <w:tabs>
          <w:tab w:val="left" w:pos="987"/>
        </w:tabs>
        <w:jc w:val="both"/>
        <w:rPr>
          <w:sz w:val="22"/>
          <w:szCs w:val="22"/>
        </w:rPr>
      </w:pPr>
    </w:p>
    <w:p w14:paraId="0D4CF753" w14:textId="77777777" w:rsidR="003F7821" w:rsidRPr="00D57CFB" w:rsidRDefault="003F7821" w:rsidP="00D57CFB">
      <w:pPr>
        <w:jc w:val="both"/>
        <w:rPr>
          <w:i/>
          <w:sz w:val="22"/>
          <w:szCs w:val="22"/>
        </w:rPr>
      </w:pPr>
      <w:r w:rsidRPr="00D57CFB">
        <w:rPr>
          <w:i/>
          <w:sz w:val="22"/>
          <w:szCs w:val="22"/>
        </w:rPr>
        <w:t>National Survey Project</w:t>
      </w:r>
    </w:p>
    <w:p w14:paraId="5CB8E8AB" w14:textId="77777777" w:rsidR="003F7821" w:rsidRPr="00D57CFB" w:rsidRDefault="003F7821" w:rsidP="00D57CFB">
      <w:pPr>
        <w:jc w:val="both"/>
        <w:rPr>
          <w:sz w:val="22"/>
          <w:szCs w:val="22"/>
        </w:rPr>
      </w:pPr>
    </w:p>
    <w:p w14:paraId="3CC2C6D5" w14:textId="77777777" w:rsidR="003F7821" w:rsidRPr="00D57CFB" w:rsidRDefault="003F7821" w:rsidP="00D57CFB">
      <w:pPr>
        <w:jc w:val="both"/>
        <w:rPr>
          <w:sz w:val="22"/>
          <w:szCs w:val="22"/>
        </w:rPr>
      </w:pPr>
      <w:r w:rsidRPr="00D57CFB">
        <w:rPr>
          <w:sz w:val="22"/>
          <w:szCs w:val="22"/>
        </w:rPr>
        <w:t xml:space="preserve">The National Survey Project cohort consists of individuals who were previously part of the Face-to-Face Recruited Internet Survey Platform (FFRISP) at Stanford University. The FFRISP had an AAPOR RR4 recruitment rate of 43% (Yeager et al., 2011). RR4 is similar to the RR2 formula given above, except that the "unknown" term (UH + UO) in the denominator is multiplied by a factor </w:t>
      </w:r>
      <w:r w:rsidRPr="00D57CFB">
        <w:rPr>
          <w:i/>
          <w:sz w:val="22"/>
          <w:szCs w:val="22"/>
        </w:rPr>
        <w:t>e</w:t>
      </w:r>
      <w:r w:rsidRPr="00D57CFB">
        <w:rPr>
          <w:sz w:val="22"/>
          <w:szCs w:val="22"/>
        </w:rPr>
        <w:t xml:space="preserve"> that is an estimate of the fraction eligible among the unknown. The resulting panel size of the FFRISP was 1,000. RAND received 556 of these as recruits (488 in 2009, 67 in 2010, and 1 in 2011), so our recruitment rate for this cohort is RECR = 43% * (556/1,000) = 23.9%.</w:t>
      </w:r>
    </w:p>
    <w:p w14:paraId="1752A3A3" w14:textId="77777777" w:rsidR="003F7821" w:rsidRPr="00D57CFB" w:rsidRDefault="003F7821" w:rsidP="00D57CFB">
      <w:pPr>
        <w:jc w:val="both"/>
        <w:rPr>
          <w:sz w:val="22"/>
          <w:szCs w:val="22"/>
        </w:rPr>
      </w:pPr>
    </w:p>
    <w:p w14:paraId="585C57EA" w14:textId="77777777" w:rsidR="003F7821" w:rsidRPr="00D57CFB" w:rsidRDefault="003F7821" w:rsidP="00D57CFB">
      <w:pPr>
        <w:jc w:val="both"/>
        <w:rPr>
          <w:sz w:val="22"/>
          <w:szCs w:val="22"/>
        </w:rPr>
      </w:pPr>
    </w:p>
    <w:p w14:paraId="69A59295" w14:textId="77777777" w:rsidR="003F7821" w:rsidRPr="00D57CFB" w:rsidRDefault="003F7821" w:rsidP="00D57CFB">
      <w:pPr>
        <w:jc w:val="both"/>
        <w:rPr>
          <w:sz w:val="22"/>
          <w:szCs w:val="22"/>
        </w:rPr>
      </w:pPr>
      <w:r w:rsidRPr="00D57CFB">
        <w:rPr>
          <w:i/>
          <w:sz w:val="22"/>
          <w:szCs w:val="22"/>
        </w:rPr>
        <w:t>Vulnerable Populations</w:t>
      </w:r>
    </w:p>
    <w:p w14:paraId="0FF55186" w14:textId="77777777" w:rsidR="003F7821" w:rsidRPr="00D57CFB" w:rsidRDefault="003F7821" w:rsidP="00D57CFB">
      <w:pPr>
        <w:jc w:val="both"/>
        <w:rPr>
          <w:sz w:val="22"/>
          <w:szCs w:val="22"/>
        </w:rPr>
      </w:pPr>
    </w:p>
    <w:p w14:paraId="51452AAA" w14:textId="77777777" w:rsidR="003F7821" w:rsidRPr="00D57CFB" w:rsidRDefault="003F7821" w:rsidP="00D57CFB">
      <w:pPr>
        <w:jc w:val="both"/>
        <w:rPr>
          <w:sz w:val="22"/>
          <w:szCs w:val="22"/>
        </w:rPr>
      </w:pPr>
      <w:r w:rsidRPr="00D57CFB">
        <w:rPr>
          <w:sz w:val="22"/>
          <w:szCs w:val="22"/>
        </w:rPr>
        <w:t>Unlike the MS and National Survey Project cohorts, the Vulnerable Populations cohort is not inherited from a previous survey or panel but specifically sampled for the ALP. The number of addresses selected was 15,000, divided into three batches of 5,000 addresses each. T</w:t>
      </w:r>
      <w:r w:rsidR="00D57CFB">
        <w:rPr>
          <w:sz w:val="22"/>
          <w:szCs w:val="22"/>
        </w:rPr>
        <w:t>able B.3</w:t>
      </w:r>
      <w:r w:rsidRPr="00D57CFB">
        <w:rPr>
          <w:sz w:val="22"/>
          <w:szCs w:val="22"/>
        </w:rPr>
        <w:t xml:space="preserve"> shows the results of the initial brief survey that was sent to all 15,000 individuals in the sample. </w:t>
      </w:r>
    </w:p>
    <w:p w14:paraId="6582A34F" w14:textId="77777777" w:rsidR="003F7821" w:rsidRPr="00D57CFB" w:rsidRDefault="003F7821" w:rsidP="0039023E">
      <w:pPr>
        <w:spacing w:line="276" w:lineRule="auto"/>
        <w:jc w:val="both"/>
        <w:rPr>
          <w:sz w:val="22"/>
          <w:szCs w:val="22"/>
        </w:rPr>
      </w:pPr>
    </w:p>
    <w:p w14:paraId="5FBFE896" w14:textId="77777777" w:rsidR="003F7821" w:rsidRPr="008A3E4E" w:rsidRDefault="003F7821" w:rsidP="0039023E">
      <w:pPr>
        <w:spacing w:line="276" w:lineRule="auto"/>
        <w:jc w:val="both"/>
        <w:rPr>
          <w:b/>
          <w:sz w:val="22"/>
          <w:szCs w:val="22"/>
        </w:rPr>
      </w:pPr>
      <w:r w:rsidRPr="008A3E4E">
        <w:rPr>
          <w:b/>
          <w:sz w:val="22"/>
          <w:szCs w:val="22"/>
        </w:rPr>
        <w:t>Table B.</w:t>
      </w:r>
      <w:r w:rsidR="00D57CFB">
        <w:rPr>
          <w:b/>
          <w:sz w:val="22"/>
          <w:szCs w:val="22"/>
        </w:rPr>
        <w:t>3</w:t>
      </w:r>
      <w:r w:rsidRPr="008A3E4E">
        <w:rPr>
          <w:b/>
          <w:sz w:val="22"/>
          <w:szCs w:val="22"/>
        </w:rPr>
        <w:t xml:space="preserve">: </w:t>
      </w:r>
      <w:r w:rsidRPr="008A3E4E">
        <w:rPr>
          <w:sz w:val="22"/>
          <w:szCs w:val="22"/>
        </w:rPr>
        <w:t>ALP Vulnerable Populations supplement survey: recruiting survey results</w:t>
      </w:r>
    </w:p>
    <w:tbl>
      <w:tblPr>
        <w:tblStyle w:val="TableGrid"/>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810"/>
        <w:gridCol w:w="1260"/>
        <w:gridCol w:w="1040"/>
        <w:gridCol w:w="996"/>
        <w:gridCol w:w="1080"/>
        <w:gridCol w:w="1170"/>
        <w:gridCol w:w="1170"/>
        <w:gridCol w:w="1260"/>
      </w:tblGrid>
      <w:tr w:rsidR="003F7821" w:rsidRPr="008A3E4E" w14:paraId="6C6CF24E" w14:textId="77777777" w:rsidTr="00DD5B0D">
        <w:tc>
          <w:tcPr>
            <w:tcW w:w="828" w:type="dxa"/>
            <w:tcBorders>
              <w:top w:val="single" w:sz="4" w:space="0" w:color="auto"/>
              <w:bottom w:val="single" w:sz="4" w:space="0" w:color="auto"/>
            </w:tcBorders>
          </w:tcPr>
          <w:p w14:paraId="604AA8FE" w14:textId="77777777" w:rsidR="003F7821" w:rsidRPr="008A3E4E" w:rsidRDefault="003F7821" w:rsidP="00D57CFB">
            <w:pPr>
              <w:jc w:val="both"/>
              <w:rPr>
                <w:sz w:val="18"/>
                <w:szCs w:val="18"/>
              </w:rPr>
            </w:pPr>
            <w:r w:rsidRPr="008A3E4E">
              <w:rPr>
                <w:sz w:val="18"/>
                <w:szCs w:val="18"/>
              </w:rPr>
              <w:t>Sample Batch</w:t>
            </w:r>
          </w:p>
        </w:tc>
        <w:tc>
          <w:tcPr>
            <w:tcW w:w="810" w:type="dxa"/>
            <w:tcBorders>
              <w:top w:val="single" w:sz="4" w:space="0" w:color="auto"/>
              <w:bottom w:val="single" w:sz="4" w:space="0" w:color="auto"/>
            </w:tcBorders>
          </w:tcPr>
          <w:p w14:paraId="2B4204B2" w14:textId="77777777" w:rsidR="003F7821" w:rsidRPr="008A3E4E" w:rsidRDefault="003F7821" w:rsidP="00D57CFB">
            <w:pPr>
              <w:jc w:val="both"/>
              <w:rPr>
                <w:sz w:val="18"/>
                <w:szCs w:val="18"/>
              </w:rPr>
            </w:pPr>
            <w:r w:rsidRPr="008A3E4E">
              <w:rPr>
                <w:sz w:val="18"/>
                <w:szCs w:val="18"/>
              </w:rPr>
              <w:t>Mail Survey</w:t>
            </w:r>
          </w:p>
        </w:tc>
        <w:tc>
          <w:tcPr>
            <w:tcW w:w="1260" w:type="dxa"/>
            <w:tcBorders>
              <w:top w:val="single" w:sz="4" w:space="0" w:color="auto"/>
              <w:bottom w:val="single" w:sz="4" w:space="0" w:color="auto"/>
            </w:tcBorders>
          </w:tcPr>
          <w:p w14:paraId="1EBAF423" w14:textId="77777777" w:rsidR="003F7821" w:rsidRPr="008A3E4E" w:rsidRDefault="003F7821" w:rsidP="00D57CFB">
            <w:pPr>
              <w:jc w:val="both"/>
              <w:rPr>
                <w:sz w:val="18"/>
                <w:szCs w:val="18"/>
              </w:rPr>
            </w:pPr>
            <w:r w:rsidRPr="008A3E4E">
              <w:rPr>
                <w:sz w:val="18"/>
                <w:szCs w:val="18"/>
              </w:rPr>
              <w:t>Undeliverable</w:t>
            </w:r>
          </w:p>
        </w:tc>
        <w:tc>
          <w:tcPr>
            <w:tcW w:w="1040" w:type="dxa"/>
            <w:tcBorders>
              <w:top w:val="single" w:sz="4" w:space="0" w:color="auto"/>
              <w:bottom w:val="single" w:sz="4" w:space="0" w:color="auto"/>
            </w:tcBorders>
          </w:tcPr>
          <w:p w14:paraId="0534A388" w14:textId="77777777" w:rsidR="003F7821" w:rsidRPr="008A3E4E" w:rsidRDefault="003F7821" w:rsidP="00D57CFB">
            <w:pPr>
              <w:jc w:val="both"/>
              <w:rPr>
                <w:sz w:val="18"/>
                <w:szCs w:val="18"/>
              </w:rPr>
            </w:pPr>
            <w:r w:rsidRPr="008A3E4E">
              <w:rPr>
                <w:sz w:val="18"/>
                <w:szCs w:val="18"/>
              </w:rPr>
              <w:t>Refusal by Mail</w:t>
            </w:r>
          </w:p>
        </w:tc>
        <w:tc>
          <w:tcPr>
            <w:tcW w:w="996" w:type="dxa"/>
            <w:tcBorders>
              <w:top w:val="single" w:sz="4" w:space="0" w:color="auto"/>
              <w:bottom w:val="single" w:sz="4" w:space="0" w:color="auto"/>
            </w:tcBorders>
          </w:tcPr>
          <w:p w14:paraId="4F725074" w14:textId="77777777" w:rsidR="003F7821" w:rsidRPr="008A3E4E" w:rsidRDefault="003F7821" w:rsidP="00D57CFB">
            <w:pPr>
              <w:jc w:val="both"/>
              <w:rPr>
                <w:sz w:val="18"/>
                <w:szCs w:val="18"/>
              </w:rPr>
            </w:pPr>
            <w:r w:rsidRPr="008A3E4E">
              <w:rPr>
                <w:sz w:val="18"/>
                <w:szCs w:val="18"/>
              </w:rPr>
              <w:t>Phone follow-up sample</w:t>
            </w:r>
          </w:p>
        </w:tc>
        <w:tc>
          <w:tcPr>
            <w:tcW w:w="1080" w:type="dxa"/>
            <w:tcBorders>
              <w:top w:val="single" w:sz="4" w:space="0" w:color="auto"/>
              <w:bottom w:val="single" w:sz="4" w:space="0" w:color="auto"/>
            </w:tcBorders>
          </w:tcPr>
          <w:p w14:paraId="6F8546E2" w14:textId="77777777" w:rsidR="003F7821" w:rsidRPr="008A3E4E" w:rsidRDefault="003F7821" w:rsidP="00D57CFB">
            <w:pPr>
              <w:jc w:val="both"/>
              <w:rPr>
                <w:sz w:val="18"/>
                <w:szCs w:val="18"/>
              </w:rPr>
            </w:pPr>
            <w:r w:rsidRPr="008A3E4E">
              <w:rPr>
                <w:sz w:val="18"/>
                <w:szCs w:val="18"/>
              </w:rPr>
              <w:t>Refusal by Phone</w:t>
            </w:r>
          </w:p>
        </w:tc>
        <w:tc>
          <w:tcPr>
            <w:tcW w:w="1170" w:type="dxa"/>
            <w:tcBorders>
              <w:top w:val="single" w:sz="4" w:space="0" w:color="auto"/>
              <w:bottom w:val="single" w:sz="4" w:space="0" w:color="auto"/>
            </w:tcBorders>
          </w:tcPr>
          <w:p w14:paraId="66FD36A6" w14:textId="77777777" w:rsidR="003F7821" w:rsidRPr="008A3E4E" w:rsidRDefault="003F7821" w:rsidP="00D57CFB">
            <w:pPr>
              <w:jc w:val="both"/>
              <w:rPr>
                <w:sz w:val="18"/>
                <w:szCs w:val="18"/>
              </w:rPr>
            </w:pPr>
            <w:r w:rsidRPr="008A3E4E">
              <w:rPr>
                <w:sz w:val="18"/>
                <w:szCs w:val="18"/>
              </w:rPr>
              <w:t>Completed by Mail</w:t>
            </w:r>
          </w:p>
        </w:tc>
        <w:tc>
          <w:tcPr>
            <w:tcW w:w="1170" w:type="dxa"/>
            <w:tcBorders>
              <w:top w:val="single" w:sz="4" w:space="0" w:color="auto"/>
              <w:bottom w:val="single" w:sz="4" w:space="0" w:color="auto"/>
            </w:tcBorders>
          </w:tcPr>
          <w:p w14:paraId="1B266389" w14:textId="77777777" w:rsidR="003F7821" w:rsidRPr="008A3E4E" w:rsidRDefault="003F7821" w:rsidP="00D57CFB">
            <w:pPr>
              <w:jc w:val="both"/>
              <w:rPr>
                <w:sz w:val="18"/>
                <w:szCs w:val="18"/>
              </w:rPr>
            </w:pPr>
            <w:r w:rsidRPr="008A3E4E">
              <w:rPr>
                <w:sz w:val="18"/>
                <w:szCs w:val="18"/>
              </w:rPr>
              <w:t>Completed by Phone</w:t>
            </w:r>
          </w:p>
        </w:tc>
        <w:tc>
          <w:tcPr>
            <w:tcW w:w="1260" w:type="dxa"/>
            <w:tcBorders>
              <w:top w:val="single" w:sz="4" w:space="0" w:color="auto"/>
              <w:bottom w:val="single" w:sz="4" w:space="0" w:color="auto"/>
            </w:tcBorders>
          </w:tcPr>
          <w:p w14:paraId="2AC54175" w14:textId="77777777" w:rsidR="003F7821" w:rsidRPr="008A3E4E" w:rsidRDefault="003F7821" w:rsidP="00D57CFB">
            <w:pPr>
              <w:jc w:val="both"/>
              <w:rPr>
                <w:sz w:val="18"/>
                <w:szCs w:val="18"/>
              </w:rPr>
            </w:pPr>
            <w:r w:rsidRPr="008A3E4E">
              <w:rPr>
                <w:sz w:val="18"/>
                <w:szCs w:val="18"/>
              </w:rPr>
              <w:t>Total # of completes</w:t>
            </w:r>
          </w:p>
        </w:tc>
      </w:tr>
      <w:tr w:rsidR="003F7821" w:rsidRPr="008A3E4E" w14:paraId="61BEBBCF" w14:textId="77777777" w:rsidTr="00DD5B0D">
        <w:tc>
          <w:tcPr>
            <w:tcW w:w="828" w:type="dxa"/>
            <w:tcBorders>
              <w:top w:val="single" w:sz="4" w:space="0" w:color="auto"/>
            </w:tcBorders>
          </w:tcPr>
          <w:p w14:paraId="2A987B25" w14:textId="77777777" w:rsidR="003F7821" w:rsidRPr="008A3E4E" w:rsidRDefault="003F7821" w:rsidP="00D57CFB">
            <w:pPr>
              <w:jc w:val="both"/>
              <w:rPr>
                <w:sz w:val="18"/>
                <w:szCs w:val="18"/>
              </w:rPr>
            </w:pPr>
            <w:r w:rsidRPr="008A3E4E">
              <w:rPr>
                <w:sz w:val="18"/>
                <w:szCs w:val="18"/>
              </w:rPr>
              <w:t>Batch 1</w:t>
            </w:r>
          </w:p>
        </w:tc>
        <w:tc>
          <w:tcPr>
            <w:tcW w:w="810" w:type="dxa"/>
            <w:tcBorders>
              <w:top w:val="single" w:sz="4" w:space="0" w:color="auto"/>
            </w:tcBorders>
          </w:tcPr>
          <w:p w14:paraId="36B907FE" w14:textId="77777777" w:rsidR="003F7821" w:rsidRPr="008A3E4E" w:rsidRDefault="003F7821" w:rsidP="00D57CFB">
            <w:pPr>
              <w:jc w:val="both"/>
              <w:rPr>
                <w:sz w:val="18"/>
                <w:szCs w:val="18"/>
              </w:rPr>
            </w:pPr>
            <w:r w:rsidRPr="008A3E4E">
              <w:rPr>
                <w:sz w:val="18"/>
                <w:szCs w:val="18"/>
              </w:rPr>
              <w:t>5000</w:t>
            </w:r>
          </w:p>
        </w:tc>
        <w:tc>
          <w:tcPr>
            <w:tcW w:w="1260" w:type="dxa"/>
            <w:tcBorders>
              <w:top w:val="single" w:sz="4" w:space="0" w:color="auto"/>
            </w:tcBorders>
          </w:tcPr>
          <w:p w14:paraId="73747509" w14:textId="77777777" w:rsidR="003F7821" w:rsidRPr="008A3E4E" w:rsidRDefault="003F7821" w:rsidP="00D57CFB">
            <w:pPr>
              <w:jc w:val="both"/>
              <w:rPr>
                <w:sz w:val="18"/>
                <w:szCs w:val="18"/>
              </w:rPr>
            </w:pPr>
            <w:r w:rsidRPr="008A3E4E">
              <w:rPr>
                <w:sz w:val="18"/>
                <w:szCs w:val="18"/>
              </w:rPr>
              <w:t>497 (9%)</w:t>
            </w:r>
          </w:p>
        </w:tc>
        <w:tc>
          <w:tcPr>
            <w:tcW w:w="1040" w:type="dxa"/>
            <w:tcBorders>
              <w:top w:val="single" w:sz="4" w:space="0" w:color="auto"/>
            </w:tcBorders>
          </w:tcPr>
          <w:p w14:paraId="55BACB56" w14:textId="77777777" w:rsidR="003F7821" w:rsidRPr="008A3E4E" w:rsidRDefault="003F7821" w:rsidP="00D57CFB">
            <w:pPr>
              <w:jc w:val="both"/>
              <w:rPr>
                <w:sz w:val="18"/>
                <w:szCs w:val="18"/>
              </w:rPr>
            </w:pPr>
            <w:r w:rsidRPr="008A3E4E">
              <w:rPr>
                <w:sz w:val="18"/>
                <w:szCs w:val="18"/>
              </w:rPr>
              <w:t>217 (4%)</w:t>
            </w:r>
          </w:p>
        </w:tc>
        <w:tc>
          <w:tcPr>
            <w:tcW w:w="996" w:type="dxa"/>
            <w:tcBorders>
              <w:top w:val="single" w:sz="4" w:space="0" w:color="auto"/>
            </w:tcBorders>
          </w:tcPr>
          <w:p w14:paraId="7A177FD3" w14:textId="77777777" w:rsidR="003F7821" w:rsidRPr="008A3E4E" w:rsidRDefault="003F7821" w:rsidP="00D57CFB">
            <w:pPr>
              <w:jc w:val="both"/>
              <w:rPr>
                <w:sz w:val="18"/>
                <w:szCs w:val="18"/>
              </w:rPr>
            </w:pPr>
            <w:r w:rsidRPr="008A3E4E">
              <w:rPr>
                <w:sz w:val="18"/>
                <w:szCs w:val="18"/>
              </w:rPr>
              <w:t>1270</w:t>
            </w:r>
          </w:p>
        </w:tc>
        <w:tc>
          <w:tcPr>
            <w:tcW w:w="1080" w:type="dxa"/>
            <w:tcBorders>
              <w:top w:val="single" w:sz="4" w:space="0" w:color="auto"/>
            </w:tcBorders>
          </w:tcPr>
          <w:p w14:paraId="728FBCD5" w14:textId="77777777" w:rsidR="003F7821" w:rsidRPr="008A3E4E" w:rsidRDefault="003F7821" w:rsidP="00D57CFB">
            <w:pPr>
              <w:jc w:val="both"/>
              <w:rPr>
                <w:sz w:val="18"/>
                <w:szCs w:val="18"/>
              </w:rPr>
            </w:pPr>
            <w:r w:rsidRPr="008A3E4E">
              <w:rPr>
                <w:sz w:val="18"/>
                <w:szCs w:val="18"/>
              </w:rPr>
              <w:t>245 (19%)</w:t>
            </w:r>
          </w:p>
        </w:tc>
        <w:tc>
          <w:tcPr>
            <w:tcW w:w="1170" w:type="dxa"/>
            <w:tcBorders>
              <w:top w:val="single" w:sz="4" w:space="0" w:color="auto"/>
            </w:tcBorders>
          </w:tcPr>
          <w:p w14:paraId="0F4C28E6" w14:textId="77777777" w:rsidR="003F7821" w:rsidRPr="008A3E4E" w:rsidRDefault="003F7821" w:rsidP="00D57CFB">
            <w:pPr>
              <w:jc w:val="both"/>
              <w:rPr>
                <w:sz w:val="18"/>
                <w:szCs w:val="18"/>
              </w:rPr>
            </w:pPr>
            <w:r w:rsidRPr="008A3E4E">
              <w:rPr>
                <w:sz w:val="18"/>
                <w:szCs w:val="18"/>
              </w:rPr>
              <w:t>1310 (26%)</w:t>
            </w:r>
          </w:p>
        </w:tc>
        <w:tc>
          <w:tcPr>
            <w:tcW w:w="1170" w:type="dxa"/>
            <w:tcBorders>
              <w:top w:val="single" w:sz="4" w:space="0" w:color="auto"/>
            </w:tcBorders>
          </w:tcPr>
          <w:p w14:paraId="77C9BA38" w14:textId="77777777" w:rsidR="003F7821" w:rsidRPr="008A3E4E" w:rsidRDefault="003F7821" w:rsidP="00D57CFB">
            <w:pPr>
              <w:jc w:val="both"/>
              <w:rPr>
                <w:sz w:val="18"/>
                <w:szCs w:val="18"/>
              </w:rPr>
            </w:pPr>
            <w:r w:rsidRPr="008A3E4E">
              <w:rPr>
                <w:sz w:val="18"/>
                <w:szCs w:val="18"/>
              </w:rPr>
              <w:t>229 (18%)</w:t>
            </w:r>
          </w:p>
        </w:tc>
        <w:tc>
          <w:tcPr>
            <w:tcW w:w="1260" w:type="dxa"/>
            <w:tcBorders>
              <w:top w:val="single" w:sz="4" w:space="0" w:color="auto"/>
            </w:tcBorders>
          </w:tcPr>
          <w:p w14:paraId="10F9FF2B" w14:textId="77777777" w:rsidR="003F7821" w:rsidRPr="008A3E4E" w:rsidRDefault="003F7821" w:rsidP="00D57CFB">
            <w:pPr>
              <w:jc w:val="both"/>
              <w:rPr>
                <w:sz w:val="18"/>
                <w:szCs w:val="18"/>
              </w:rPr>
            </w:pPr>
            <w:r w:rsidRPr="008A3E4E">
              <w:rPr>
                <w:sz w:val="18"/>
                <w:szCs w:val="18"/>
              </w:rPr>
              <w:t>1539 (31%)</w:t>
            </w:r>
          </w:p>
        </w:tc>
      </w:tr>
      <w:tr w:rsidR="003F7821" w:rsidRPr="008A3E4E" w14:paraId="67D5C001" w14:textId="77777777" w:rsidTr="00DD5B0D">
        <w:tc>
          <w:tcPr>
            <w:tcW w:w="828" w:type="dxa"/>
          </w:tcPr>
          <w:p w14:paraId="6D37CDF6" w14:textId="77777777" w:rsidR="003F7821" w:rsidRPr="008A3E4E" w:rsidRDefault="003F7821" w:rsidP="00D57CFB">
            <w:pPr>
              <w:jc w:val="both"/>
              <w:rPr>
                <w:sz w:val="18"/>
                <w:szCs w:val="18"/>
              </w:rPr>
            </w:pPr>
            <w:r w:rsidRPr="008A3E4E">
              <w:rPr>
                <w:sz w:val="18"/>
                <w:szCs w:val="18"/>
              </w:rPr>
              <w:t>Batch 2</w:t>
            </w:r>
          </w:p>
        </w:tc>
        <w:tc>
          <w:tcPr>
            <w:tcW w:w="810" w:type="dxa"/>
          </w:tcPr>
          <w:p w14:paraId="10E54770" w14:textId="77777777" w:rsidR="003F7821" w:rsidRPr="008A3E4E" w:rsidRDefault="003F7821" w:rsidP="00D57CFB">
            <w:pPr>
              <w:jc w:val="both"/>
              <w:rPr>
                <w:sz w:val="18"/>
                <w:szCs w:val="18"/>
              </w:rPr>
            </w:pPr>
            <w:r w:rsidRPr="008A3E4E">
              <w:rPr>
                <w:sz w:val="18"/>
                <w:szCs w:val="18"/>
              </w:rPr>
              <w:t>5000</w:t>
            </w:r>
          </w:p>
        </w:tc>
        <w:tc>
          <w:tcPr>
            <w:tcW w:w="1260" w:type="dxa"/>
          </w:tcPr>
          <w:p w14:paraId="46F24AE9" w14:textId="77777777" w:rsidR="003F7821" w:rsidRPr="008A3E4E" w:rsidRDefault="003F7821" w:rsidP="00D57CFB">
            <w:pPr>
              <w:jc w:val="both"/>
              <w:rPr>
                <w:sz w:val="18"/>
                <w:szCs w:val="18"/>
              </w:rPr>
            </w:pPr>
            <w:r w:rsidRPr="008A3E4E">
              <w:rPr>
                <w:sz w:val="18"/>
                <w:szCs w:val="18"/>
              </w:rPr>
              <w:t>763 (15%)</w:t>
            </w:r>
          </w:p>
        </w:tc>
        <w:tc>
          <w:tcPr>
            <w:tcW w:w="1040" w:type="dxa"/>
          </w:tcPr>
          <w:p w14:paraId="5830A176" w14:textId="77777777" w:rsidR="003F7821" w:rsidRPr="008A3E4E" w:rsidRDefault="003F7821" w:rsidP="00D57CFB">
            <w:pPr>
              <w:jc w:val="both"/>
              <w:rPr>
                <w:sz w:val="18"/>
                <w:szCs w:val="18"/>
              </w:rPr>
            </w:pPr>
            <w:r w:rsidRPr="008A3E4E">
              <w:rPr>
                <w:sz w:val="18"/>
                <w:szCs w:val="18"/>
              </w:rPr>
              <w:t>205 (4%)</w:t>
            </w:r>
          </w:p>
        </w:tc>
        <w:tc>
          <w:tcPr>
            <w:tcW w:w="996" w:type="dxa"/>
          </w:tcPr>
          <w:p w14:paraId="5CAF1D62" w14:textId="77777777" w:rsidR="003F7821" w:rsidRPr="008A3E4E" w:rsidRDefault="003F7821" w:rsidP="00D57CFB">
            <w:pPr>
              <w:jc w:val="both"/>
              <w:rPr>
                <w:sz w:val="18"/>
                <w:szCs w:val="18"/>
              </w:rPr>
            </w:pPr>
            <w:r w:rsidRPr="008A3E4E">
              <w:rPr>
                <w:sz w:val="18"/>
                <w:szCs w:val="18"/>
              </w:rPr>
              <w:t>1337</w:t>
            </w:r>
          </w:p>
        </w:tc>
        <w:tc>
          <w:tcPr>
            <w:tcW w:w="1080" w:type="dxa"/>
          </w:tcPr>
          <w:p w14:paraId="4507198F" w14:textId="77777777" w:rsidR="003F7821" w:rsidRPr="008A3E4E" w:rsidRDefault="003F7821" w:rsidP="00D57CFB">
            <w:pPr>
              <w:jc w:val="both"/>
              <w:rPr>
                <w:sz w:val="18"/>
                <w:szCs w:val="18"/>
              </w:rPr>
            </w:pPr>
            <w:r w:rsidRPr="008A3E4E">
              <w:rPr>
                <w:sz w:val="18"/>
                <w:szCs w:val="18"/>
              </w:rPr>
              <w:t>326 (24%)</w:t>
            </w:r>
          </w:p>
        </w:tc>
        <w:tc>
          <w:tcPr>
            <w:tcW w:w="1170" w:type="dxa"/>
          </w:tcPr>
          <w:p w14:paraId="3C6C5E70" w14:textId="77777777" w:rsidR="003F7821" w:rsidRPr="008A3E4E" w:rsidRDefault="003F7821" w:rsidP="00D57CFB">
            <w:pPr>
              <w:jc w:val="both"/>
              <w:rPr>
                <w:sz w:val="18"/>
                <w:szCs w:val="18"/>
              </w:rPr>
            </w:pPr>
            <w:r w:rsidRPr="008A3E4E">
              <w:rPr>
                <w:sz w:val="18"/>
                <w:szCs w:val="18"/>
              </w:rPr>
              <w:t>1194 (24%)</w:t>
            </w:r>
          </w:p>
        </w:tc>
        <w:tc>
          <w:tcPr>
            <w:tcW w:w="1170" w:type="dxa"/>
          </w:tcPr>
          <w:p w14:paraId="246FC036" w14:textId="77777777" w:rsidR="003F7821" w:rsidRPr="008A3E4E" w:rsidRDefault="003F7821" w:rsidP="00D57CFB">
            <w:pPr>
              <w:jc w:val="both"/>
              <w:rPr>
                <w:sz w:val="18"/>
                <w:szCs w:val="18"/>
              </w:rPr>
            </w:pPr>
            <w:r w:rsidRPr="008A3E4E">
              <w:rPr>
                <w:sz w:val="18"/>
                <w:szCs w:val="18"/>
              </w:rPr>
              <w:t>172 (13%)</w:t>
            </w:r>
          </w:p>
        </w:tc>
        <w:tc>
          <w:tcPr>
            <w:tcW w:w="1260" w:type="dxa"/>
          </w:tcPr>
          <w:p w14:paraId="6E2DA311" w14:textId="77777777" w:rsidR="003F7821" w:rsidRPr="008A3E4E" w:rsidRDefault="003F7821" w:rsidP="00D57CFB">
            <w:pPr>
              <w:jc w:val="both"/>
              <w:rPr>
                <w:sz w:val="18"/>
                <w:szCs w:val="18"/>
              </w:rPr>
            </w:pPr>
            <w:r w:rsidRPr="008A3E4E">
              <w:rPr>
                <w:sz w:val="18"/>
                <w:szCs w:val="18"/>
              </w:rPr>
              <w:t>1366 (27%)</w:t>
            </w:r>
          </w:p>
        </w:tc>
      </w:tr>
      <w:tr w:rsidR="003F7821" w:rsidRPr="008A3E4E" w14:paraId="13233474" w14:textId="77777777" w:rsidTr="00DD5B0D">
        <w:tc>
          <w:tcPr>
            <w:tcW w:w="828" w:type="dxa"/>
            <w:tcBorders>
              <w:bottom w:val="single" w:sz="4" w:space="0" w:color="auto"/>
            </w:tcBorders>
          </w:tcPr>
          <w:p w14:paraId="0E33D7E2" w14:textId="77777777" w:rsidR="003F7821" w:rsidRPr="008A3E4E" w:rsidRDefault="003F7821" w:rsidP="00D57CFB">
            <w:pPr>
              <w:jc w:val="both"/>
              <w:rPr>
                <w:sz w:val="18"/>
                <w:szCs w:val="18"/>
              </w:rPr>
            </w:pPr>
            <w:r w:rsidRPr="008A3E4E">
              <w:rPr>
                <w:sz w:val="18"/>
                <w:szCs w:val="18"/>
              </w:rPr>
              <w:t>Batch 3</w:t>
            </w:r>
          </w:p>
        </w:tc>
        <w:tc>
          <w:tcPr>
            <w:tcW w:w="810" w:type="dxa"/>
            <w:tcBorders>
              <w:bottom w:val="single" w:sz="4" w:space="0" w:color="auto"/>
            </w:tcBorders>
          </w:tcPr>
          <w:p w14:paraId="75EDB3B1" w14:textId="77777777" w:rsidR="003F7821" w:rsidRPr="008A3E4E" w:rsidRDefault="003F7821" w:rsidP="00D57CFB">
            <w:pPr>
              <w:jc w:val="both"/>
              <w:rPr>
                <w:sz w:val="18"/>
                <w:szCs w:val="18"/>
              </w:rPr>
            </w:pPr>
            <w:r w:rsidRPr="008A3E4E">
              <w:rPr>
                <w:sz w:val="18"/>
                <w:szCs w:val="18"/>
              </w:rPr>
              <w:t>5000</w:t>
            </w:r>
          </w:p>
        </w:tc>
        <w:tc>
          <w:tcPr>
            <w:tcW w:w="1260" w:type="dxa"/>
            <w:tcBorders>
              <w:bottom w:val="single" w:sz="4" w:space="0" w:color="auto"/>
            </w:tcBorders>
          </w:tcPr>
          <w:p w14:paraId="3B138F27" w14:textId="77777777" w:rsidR="003F7821" w:rsidRPr="008A3E4E" w:rsidRDefault="003F7821" w:rsidP="00D57CFB">
            <w:pPr>
              <w:jc w:val="both"/>
              <w:rPr>
                <w:sz w:val="18"/>
                <w:szCs w:val="18"/>
              </w:rPr>
            </w:pPr>
            <w:r w:rsidRPr="008A3E4E">
              <w:rPr>
                <w:sz w:val="18"/>
                <w:szCs w:val="18"/>
              </w:rPr>
              <w:t>790 (16%)</w:t>
            </w:r>
          </w:p>
        </w:tc>
        <w:tc>
          <w:tcPr>
            <w:tcW w:w="1040" w:type="dxa"/>
            <w:tcBorders>
              <w:bottom w:val="single" w:sz="4" w:space="0" w:color="auto"/>
            </w:tcBorders>
          </w:tcPr>
          <w:p w14:paraId="78679CC3" w14:textId="77777777" w:rsidR="003F7821" w:rsidRPr="008A3E4E" w:rsidRDefault="003F7821" w:rsidP="00D57CFB">
            <w:pPr>
              <w:jc w:val="both"/>
              <w:rPr>
                <w:sz w:val="18"/>
                <w:szCs w:val="18"/>
              </w:rPr>
            </w:pPr>
            <w:r w:rsidRPr="008A3E4E">
              <w:rPr>
                <w:sz w:val="18"/>
                <w:szCs w:val="18"/>
              </w:rPr>
              <w:t>183 (4%)</w:t>
            </w:r>
          </w:p>
        </w:tc>
        <w:tc>
          <w:tcPr>
            <w:tcW w:w="996" w:type="dxa"/>
            <w:tcBorders>
              <w:bottom w:val="single" w:sz="4" w:space="0" w:color="auto"/>
            </w:tcBorders>
          </w:tcPr>
          <w:p w14:paraId="39F5DDA0" w14:textId="77777777" w:rsidR="003F7821" w:rsidRPr="008A3E4E" w:rsidRDefault="003F7821" w:rsidP="00D57CFB">
            <w:pPr>
              <w:jc w:val="both"/>
              <w:rPr>
                <w:sz w:val="18"/>
                <w:szCs w:val="18"/>
              </w:rPr>
            </w:pPr>
            <w:r w:rsidRPr="008A3E4E">
              <w:rPr>
                <w:sz w:val="18"/>
                <w:szCs w:val="18"/>
              </w:rPr>
              <w:t>1675</w:t>
            </w:r>
          </w:p>
        </w:tc>
        <w:tc>
          <w:tcPr>
            <w:tcW w:w="1080" w:type="dxa"/>
            <w:tcBorders>
              <w:bottom w:val="single" w:sz="4" w:space="0" w:color="auto"/>
            </w:tcBorders>
          </w:tcPr>
          <w:p w14:paraId="28441579" w14:textId="77777777" w:rsidR="003F7821" w:rsidRPr="008A3E4E" w:rsidRDefault="003F7821" w:rsidP="00D57CFB">
            <w:pPr>
              <w:jc w:val="both"/>
              <w:rPr>
                <w:sz w:val="18"/>
                <w:szCs w:val="18"/>
              </w:rPr>
            </w:pPr>
            <w:r w:rsidRPr="008A3E4E">
              <w:rPr>
                <w:sz w:val="18"/>
                <w:szCs w:val="18"/>
              </w:rPr>
              <w:t>174 (10%)</w:t>
            </w:r>
          </w:p>
        </w:tc>
        <w:tc>
          <w:tcPr>
            <w:tcW w:w="1170" w:type="dxa"/>
            <w:tcBorders>
              <w:bottom w:val="single" w:sz="4" w:space="0" w:color="auto"/>
            </w:tcBorders>
          </w:tcPr>
          <w:p w14:paraId="56F88E55" w14:textId="77777777" w:rsidR="003F7821" w:rsidRPr="008A3E4E" w:rsidRDefault="003F7821" w:rsidP="00D57CFB">
            <w:pPr>
              <w:jc w:val="both"/>
              <w:rPr>
                <w:sz w:val="18"/>
                <w:szCs w:val="18"/>
              </w:rPr>
            </w:pPr>
            <w:r w:rsidRPr="008A3E4E">
              <w:rPr>
                <w:sz w:val="18"/>
                <w:szCs w:val="18"/>
              </w:rPr>
              <w:t>1226 (25%)</w:t>
            </w:r>
          </w:p>
        </w:tc>
        <w:tc>
          <w:tcPr>
            <w:tcW w:w="1170" w:type="dxa"/>
            <w:tcBorders>
              <w:bottom w:val="single" w:sz="4" w:space="0" w:color="auto"/>
            </w:tcBorders>
          </w:tcPr>
          <w:p w14:paraId="187948BE" w14:textId="77777777" w:rsidR="003F7821" w:rsidRPr="008A3E4E" w:rsidRDefault="003F7821" w:rsidP="00D57CFB">
            <w:pPr>
              <w:jc w:val="both"/>
              <w:rPr>
                <w:sz w:val="18"/>
                <w:szCs w:val="18"/>
              </w:rPr>
            </w:pPr>
            <w:r w:rsidRPr="008A3E4E">
              <w:rPr>
                <w:sz w:val="18"/>
                <w:szCs w:val="18"/>
              </w:rPr>
              <w:t>200 (12%)</w:t>
            </w:r>
          </w:p>
        </w:tc>
        <w:tc>
          <w:tcPr>
            <w:tcW w:w="1260" w:type="dxa"/>
            <w:tcBorders>
              <w:bottom w:val="single" w:sz="4" w:space="0" w:color="auto"/>
            </w:tcBorders>
          </w:tcPr>
          <w:p w14:paraId="7FE87025" w14:textId="77777777" w:rsidR="003F7821" w:rsidRPr="008A3E4E" w:rsidRDefault="003F7821" w:rsidP="00D57CFB">
            <w:pPr>
              <w:jc w:val="both"/>
              <w:rPr>
                <w:sz w:val="18"/>
                <w:szCs w:val="18"/>
              </w:rPr>
            </w:pPr>
            <w:r w:rsidRPr="008A3E4E">
              <w:rPr>
                <w:sz w:val="18"/>
                <w:szCs w:val="18"/>
              </w:rPr>
              <w:t>1426 (29%)</w:t>
            </w:r>
          </w:p>
        </w:tc>
      </w:tr>
    </w:tbl>
    <w:p w14:paraId="48A0071A" w14:textId="77777777" w:rsidR="003F7821" w:rsidRPr="008A3E4E" w:rsidRDefault="003F7821" w:rsidP="0039023E">
      <w:pPr>
        <w:spacing w:after="120" w:line="276" w:lineRule="auto"/>
        <w:jc w:val="both"/>
        <w:rPr>
          <w:sz w:val="22"/>
          <w:szCs w:val="22"/>
        </w:rPr>
      </w:pPr>
    </w:p>
    <w:p w14:paraId="3E3D5CCB" w14:textId="77777777" w:rsidR="003F7821" w:rsidRPr="00D57CFB" w:rsidRDefault="003F7821" w:rsidP="00D57CFB">
      <w:pPr>
        <w:jc w:val="both"/>
        <w:rPr>
          <w:sz w:val="22"/>
          <w:szCs w:val="22"/>
        </w:rPr>
      </w:pPr>
      <w:r w:rsidRPr="00D57CFB">
        <w:rPr>
          <w:sz w:val="22"/>
          <w:szCs w:val="22"/>
        </w:rPr>
        <w:t xml:space="preserve">The numbers in parentheses in the final column </w:t>
      </w:r>
      <w:r w:rsidRPr="008A3E4E">
        <w:rPr>
          <w:sz w:val="22"/>
          <w:szCs w:val="22"/>
        </w:rPr>
        <w:t>are the response rates obtained as of December 15, 2011, according to the AAPOR RR1 definition</w:t>
      </w:r>
      <w:r w:rsidR="00D61A74">
        <w:rPr>
          <w:sz w:val="22"/>
          <w:szCs w:val="22"/>
        </w:rPr>
        <w:t>.</w:t>
      </w:r>
      <w:r w:rsidRPr="008A3E4E">
        <w:rPr>
          <w:sz w:val="22"/>
          <w:szCs w:val="22"/>
        </w:rPr>
        <w:t xml:space="preserve"> The overall response rate across the three batches is 4,331/15,000=28.9%. Analogous to our definition of recruitment rate for the other cohorts, we define this as our recruitment rate (RECR). Among respondents, 86% respond positively to the question whether they are interested in joining the panel. We are still in the process of signing up the respondents who expressed a willingness to participate in the panel; currently we have signed up 11% of the original sample, but we expect this to increase significantly. If indeed ultimately 86% join the panel, this would mean a retention rate of 86% for 2012 according to our definition of recruitment and retention. These response rates compare favorably with similar recruitment strategies elsewhere. For example, </w:t>
      </w:r>
      <w:proofErr w:type="spellStart"/>
      <w:r w:rsidRPr="008A3E4E">
        <w:rPr>
          <w:sz w:val="22"/>
          <w:szCs w:val="22"/>
        </w:rPr>
        <w:t>DiSogra</w:t>
      </w:r>
      <w:proofErr w:type="spellEnd"/>
      <w:r w:rsidRPr="008A3E4E">
        <w:rPr>
          <w:sz w:val="22"/>
          <w:szCs w:val="22"/>
        </w:rPr>
        <w:t xml:space="preserve"> (2010) reports a "successful" recruitment for Knowledge Networks' </w:t>
      </w:r>
      <w:proofErr w:type="spellStart"/>
      <w:r w:rsidRPr="008A3E4E">
        <w:rPr>
          <w:sz w:val="22"/>
          <w:szCs w:val="22"/>
        </w:rPr>
        <w:t>KnowledgePanel</w:t>
      </w:r>
      <w:proofErr w:type="spellEnd"/>
      <w:r w:rsidRPr="008A3E4E">
        <w:rPr>
          <w:sz w:val="22"/>
          <w:szCs w:val="22"/>
        </w:rPr>
        <w:t xml:space="preserve"> with an initial response rate of 14% and 75% of those becoming panel members.</w:t>
      </w:r>
    </w:p>
    <w:p w14:paraId="531DA43F" w14:textId="77777777" w:rsidR="003F7821" w:rsidRPr="00D57CFB" w:rsidRDefault="003F7821" w:rsidP="00D57CFB">
      <w:pPr>
        <w:jc w:val="both"/>
        <w:rPr>
          <w:sz w:val="22"/>
          <w:szCs w:val="22"/>
        </w:rPr>
      </w:pPr>
    </w:p>
    <w:p w14:paraId="3332F02F" w14:textId="77777777" w:rsidR="003F7821" w:rsidRPr="00D57CFB" w:rsidRDefault="003F7821" w:rsidP="00D57CFB">
      <w:pPr>
        <w:jc w:val="both"/>
        <w:rPr>
          <w:i/>
          <w:sz w:val="22"/>
          <w:szCs w:val="22"/>
        </w:rPr>
      </w:pPr>
      <w:r w:rsidRPr="00D57CFB">
        <w:rPr>
          <w:i/>
          <w:sz w:val="22"/>
          <w:szCs w:val="22"/>
        </w:rPr>
        <w:t>Attrition and retention rates</w:t>
      </w:r>
    </w:p>
    <w:p w14:paraId="4435191C" w14:textId="77777777" w:rsidR="003F7821" w:rsidRPr="00D57CFB" w:rsidRDefault="003F7821" w:rsidP="00D57CFB">
      <w:pPr>
        <w:jc w:val="both"/>
        <w:rPr>
          <w:sz w:val="22"/>
          <w:szCs w:val="22"/>
        </w:rPr>
      </w:pPr>
    </w:p>
    <w:p w14:paraId="44111F70" w14:textId="77777777" w:rsidR="003F7821" w:rsidRPr="00D57CFB" w:rsidRDefault="003F7821" w:rsidP="00D57CFB">
      <w:pPr>
        <w:jc w:val="both"/>
        <w:rPr>
          <w:sz w:val="22"/>
          <w:szCs w:val="22"/>
        </w:rPr>
      </w:pPr>
      <w:r w:rsidRPr="00D57CFB">
        <w:rPr>
          <w:sz w:val="22"/>
          <w:szCs w:val="22"/>
        </w:rPr>
        <w:t xml:space="preserve">The ALP records indicate whether a previously recruited individual has been removed from the panel ("dropped") and an indication of the reason why the individual was dropped. Additionally, individuals can be classified as (temporary) nonparticipants, for example, if they are traveling or moving overseas for a </w:t>
      </w:r>
      <w:r w:rsidRPr="00D57CFB">
        <w:rPr>
          <w:sz w:val="22"/>
          <w:szCs w:val="22"/>
        </w:rPr>
        <w:lastRenderedPageBreak/>
        <w:t xml:space="preserve">prolonged but (expected) finite period of time. For the current computations, we define an individual as being in the panel in a given year if the individual was recruited during or before this year, was not dropped before the start of this year, and was not a nonparticipant during this whole year. Only five individuals ever returned to the panel after being temporary nonparticipants, and these all did so within the same year or the next year after becoming nonparticipants. Thus, there are no respondents for whom we observe discontinuous panel membership as defined on an annual basis. Therefore, we can unambiguously define attrition between two consecutive panel years as being in the panel in one year and not being in the panel in the next year. This treats nonparticipants who did not return in the same or the next year as </w:t>
      </w:r>
      <w:proofErr w:type="spellStart"/>
      <w:r w:rsidRPr="00D57CFB">
        <w:rPr>
          <w:sz w:val="22"/>
          <w:szCs w:val="22"/>
        </w:rPr>
        <w:t>attritors</w:t>
      </w:r>
      <w:proofErr w:type="spellEnd"/>
      <w:r w:rsidRPr="00D57CFB">
        <w:rPr>
          <w:sz w:val="22"/>
          <w:szCs w:val="22"/>
        </w:rPr>
        <w:t xml:space="preserve">. The (year to year) attrition rate is the number of individuals thus classified as </w:t>
      </w:r>
      <w:proofErr w:type="spellStart"/>
      <w:r w:rsidRPr="00D57CFB">
        <w:rPr>
          <w:sz w:val="22"/>
          <w:szCs w:val="22"/>
        </w:rPr>
        <w:t>attritors</w:t>
      </w:r>
      <w:proofErr w:type="spellEnd"/>
      <w:r w:rsidRPr="00D57CFB">
        <w:rPr>
          <w:sz w:val="22"/>
          <w:szCs w:val="22"/>
        </w:rPr>
        <w:t xml:space="preserve"> as a percentage of the panel size in the former year, and the cumulative attrition rate after year </w:t>
      </w:r>
      <w:r w:rsidRPr="00D57CFB">
        <w:rPr>
          <w:i/>
          <w:sz w:val="22"/>
          <w:szCs w:val="22"/>
        </w:rPr>
        <w:t>t</w:t>
      </w:r>
      <w:r w:rsidRPr="00D57CFB">
        <w:rPr>
          <w:sz w:val="22"/>
          <w:szCs w:val="22"/>
        </w:rPr>
        <w:t xml:space="preserve"> is the fraction of individuals who were recruited in year </w:t>
      </w:r>
      <w:r w:rsidRPr="00D57CFB">
        <w:rPr>
          <w:i/>
          <w:sz w:val="22"/>
          <w:szCs w:val="22"/>
        </w:rPr>
        <w:t>t</w:t>
      </w:r>
      <w:r w:rsidRPr="00D57CFB">
        <w:rPr>
          <w:sz w:val="22"/>
          <w:szCs w:val="22"/>
        </w:rPr>
        <w:t xml:space="preserve"> or earlier who were not in the panel after year </w:t>
      </w:r>
      <w:r w:rsidRPr="00D57CFB">
        <w:rPr>
          <w:i/>
          <w:sz w:val="22"/>
          <w:szCs w:val="22"/>
        </w:rPr>
        <w:t>t</w:t>
      </w:r>
      <w:r w:rsidRPr="00D57CFB">
        <w:rPr>
          <w:sz w:val="22"/>
          <w:szCs w:val="22"/>
        </w:rPr>
        <w:t>. The (cumulative) retention rate RETR is 100% minus the cumulative attrition rate.</w:t>
      </w:r>
    </w:p>
    <w:p w14:paraId="5FEFE47A" w14:textId="77777777" w:rsidR="003F7821" w:rsidRPr="00D57CFB" w:rsidRDefault="003F7821" w:rsidP="00D57CFB">
      <w:pPr>
        <w:tabs>
          <w:tab w:val="left" w:pos="2560"/>
        </w:tabs>
        <w:jc w:val="both"/>
        <w:rPr>
          <w:sz w:val="22"/>
          <w:szCs w:val="22"/>
        </w:rPr>
      </w:pPr>
    </w:p>
    <w:p w14:paraId="111CFF87" w14:textId="77777777" w:rsidR="003F7821" w:rsidRPr="00D57CFB" w:rsidRDefault="003F7821" w:rsidP="00D57CFB">
      <w:pPr>
        <w:tabs>
          <w:tab w:val="left" w:pos="2560"/>
        </w:tabs>
        <w:jc w:val="both"/>
        <w:rPr>
          <w:sz w:val="22"/>
          <w:szCs w:val="22"/>
        </w:rPr>
      </w:pPr>
      <w:r w:rsidRPr="00D57CFB">
        <w:rPr>
          <w:sz w:val="22"/>
          <w:szCs w:val="22"/>
        </w:rPr>
        <w:t>Table B.</w:t>
      </w:r>
      <w:r w:rsidR="00651367">
        <w:rPr>
          <w:sz w:val="22"/>
          <w:szCs w:val="22"/>
        </w:rPr>
        <w:t>4</w:t>
      </w:r>
      <w:r w:rsidRPr="00D57CFB">
        <w:rPr>
          <w:sz w:val="22"/>
          <w:szCs w:val="22"/>
        </w:rPr>
        <w:t xml:space="preserve"> shows the number of panel members in the Michigan cohorts, by panel year and recruitment year. From this table, it follows that prior to the start of the ALP in its current form, no individuals had been dropped from the panel. There were two waves in which relatively large numbers of inactive members were removed from the panel: in 2007 for members who were recruited in 2002-2006 and in 2010 for members who were recruited in 2006-2008. Cumulative attrition rates after 2011 vary from 40% to 74%. We can compute the combined cumulative retention rate analogously to the combined recruitment rate as a weighted average of the recruitment year-specific retention rates:</w:t>
      </w:r>
    </w:p>
    <w:p w14:paraId="2083A467" w14:textId="77777777" w:rsidR="003F7821" w:rsidRPr="00D57CFB" w:rsidRDefault="003F7821" w:rsidP="00D57CFB">
      <w:pPr>
        <w:jc w:val="both"/>
        <w:rPr>
          <w:sz w:val="22"/>
          <w:szCs w:val="22"/>
        </w:rPr>
      </w:pPr>
    </w:p>
    <w:p w14:paraId="7546CC65" w14:textId="77777777" w:rsidR="003F7821" w:rsidRPr="00651367" w:rsidRDefault="003F7821" w:rsidP="00D57CFB">
      <w:pPr>
        <w:pStyle w:val="MTDisplayEquation"/>
        <w:jc w:val="both"/>
        <w:rPr>
          <w:rFonts w:ascii="Times New Roman" w:hAnsi="Times New Roman"/>
        </w:rPr>
      </w:pPr>
      <w:r w:rsidRPr="00D57CFB">
        <w:rPr>
          <w:rFonts w:ascii="Times New Roman" w:hAnsi="Times New Roman"/>
        </w:rPr>
        <w:tab/>
      </w:r>
      <w:r w:rsidRPr="00CC15D9">
        <w:rPr>
          <w:rFonts w:ascii="Times New Roman" w:hAnsi="Times New Roman"/>
          <w:position w:val="-38"/>
        </w:rPr>
        <w:object w:dxaOrig="2640" w:dyaOrig="900" w14:anchorId="316F3F37">
          <v:shape id="_x0000_i1028" type="#_x0000_t75" style="width:132.75pt;height:45pt" o:ole="">
            <v:imagedata r:id="rId19" o:title=""/>
          </v:shape>
          <o:OLEObject Type="Embed" ProgID="Equation.DSMT4" ShapeID="_x0000_i1028" DrawAspect="Content" ObjectID="_1420454703" r:id="rId20"/>
        </w:object>
      </w:r>
      <w:r w:rsidRPr="00651367">
        <w:rPr>
          <w:rFonts w:ascii="Times New Roman" w:hAnsi="Times New Roman"/>
        </w:rPr>
        <w:t>,</w:t>
      </w:r>
    </w:p>
    <w:p w14:paraId="381C3BBF" w14:textId="77777777" w:rsidR="003F7821" w:rsidRPr="00651367" w:rsidRDefault="003F7821" w:rsidP="00D57CFB">
      <w:pPr>
        <w:jc w:val="both"/>
        <w:rPr>
          <w:sz w:val="22"/>
          <w:szCs w:val="22"/>
        </w:rPr>
      </w:pPr>
    </w:p>
    <w:p w14:paraId="2E2CEE5F" w14:textId="77777777" w:rsidR="003F7821" w:rsidRPr="00651367" w:rsidRDefault="003F7821" w:rsidP="00D57CFB">
      <w:pPr>
        <w:tabs>
          <w:tab w:val="left" w:pos="2560"/>
        </w:tabs>
        <w:jc w:val="both"/>
        <w:rPr>
          <w:sz w:val="22"/>
          <w:szCs w:val="22"/>
        </w:rPr>
      </w:pPr>
      <w:proofErr w:type="gramStart"/>
      <w:r w:rsidRPr="00651367">
        <w:rPr>
          <w:sz w:val="22"/>
          <w:szCs w:val="22"/>
        </w:rPr>
        <w:t>where</w:t>
      </w:r>
      <w:proofErr w:type="gramEnd"/>
      <w:r w:rsidRPr="00651367">
        <w:rPr>
          <w:sz w:val="22"/>
          <w:szCs w:val="22"/>
        </w:rPr>
        <w:t xml:space="preserve"> for the computation of retention rates the weights are equal to the number of recruits. The result is equal to the panel size in the year following the panel year divided by the number of individuals recruited up to the panel year. Thus, the retention rate after 2010 was RETR = 2087/4555 = 45.8% and the cumulative attrition rate was 100% - RETR = 54.2%.</w:t>
      </w:r>
    </w:p>
    <w:p w14:paraId="0CC18024" w14:textId="77777777" w:rsidR="003F7821" w:rsidRPr="00651367" w:rsidRDefault="003F7821" w:rsidP="00D57CFB">
      <w:pPr>
        <w:tabs>
          <w:tab w:val="left" w:pos="2560"/>
        </w:tabs>
        <w:jc w:val="both"/>
        <w:rPr>
          <w:sz w:val="22"/>
          <w:szCs w:val="22"/>
        </w:rPr>
      </w:pPr>
    </w:p>
    <w:p w14:paraId="765D9F72" w14:textId="77777777" w:rsidR="003F7821" w:rsidRPr="00651367" w:rsidRDefault="003F7821" w:rsidP="00D57CFB">
      <w:pPr>
        <w:jc w:val="both"/>
        <w:rPr>
          <w:sz w:val="22"/>
          <w:szCs w:val="22"/>
        </w:rPr>
      </w:pPr>
      <w:r w:rsidRPr="00651367">
        <w:rPr>
          <w:b/>
          <w:sz w:val="22"/>
          <w:szCs w:val="22"/>
        </w:rPr>
        <w:t>Table B.</w:t>
      </w:r>
      <w:r w:rsidR="00651367">
        <w:rPr>
          <w:b/>
          <w:sz w:val="22"/>
          <w:szCs w:val="22"/>
        </w:rPr>
        <w:t>4</w:t>
      </w:r>
      <w:r w:rsidRPr="00651367">
        <w:rPr>
          <w:b/>
          <w:sz w:val="22"/>
          <w:szCs w:val="22"/>
        </w:rPr>
        <w:t>:</w:t>
      </w:r>
      <w:r w:rsidRPr="00651367">
        <w:rPr>
          <w:sz w:val="22"/>
          <w:szCs w:val="22"/>
        </w:rPr>
        <w:t xml:space="preserve"> Panel size and attrition in the Michigan cohort.</w:t>
      </w:r>
    </w:p>
    <w:tbl>
      <w:tblPr>
        <w:tblW w:w="9390" w:type="dxa"/>
        <w:tblCellMar>
          <w:left w:w="0" w:type="dxa"/>
          <w:right w:w="0" w:type="dxa"/>
        </w:tblCellMar>
        <w:tblLook w:val="04A0" w:firstRow="1" w:lastRow="0" w:firstColumn="1" w:lastColumn="0" w:noHBand="0" w:noVBand="1"/>
      </w:tblPr>
      <w:tblGrid>
        <w:gridCol w:w="1107"/>
        <w:gridCol w:w="1058"/>
        <w:gridCol w:w="1033"/>
        <w:gridCol w:w="1032"/>
        <w:gridCol w:w="1032"/>
        <w:gridCol w:w="1032"/>
        <w:gridCol w:w="1032"/>
        <w:gridCol w:w="1032"/>
        <w:gridCol w:w="1032"/>
      </w:tblGrid>
      <w:tr w:rsidR="003F7821" w:rsidRPr="008A3E4E" w14:paraId="12C9D859" w14:textId="77777777" w:rsidTr="00DD5B0D">
        <w:trPr>
          <w:trHeight w:val="300"/>
        </w:trPr>
        <w:tc>
          <w:tcPr>
            <w:tcW w:w="1044"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00BAC55D" w14:textId="77777777" w:rsidR="003F7821" w:rsidRPr="003B3BB0" w:rsidRDefault="003F7821" w:rsidP="00D57CFB">
            <w:pPr>
              <w:jc w:val="both"/>
              <w:rPr>
                <w:color w:val="000000"/>
                <w:sz w:val="22"/>
                <w:szCs w:val="22"/>
              </w:rPr>
            </w:pPr>
            <w:r w:rsidRPr="003B3BB0">
              <w:rPr>
                <w:color w:val="000000"/>
                <w:sz w:val="22"/>
                <w:szCs w:val="22"/>
              </w:rPr>
              <w:t>Recruitment</w:t>
            </w:r>
          </w:p>
        </w:tc>
        <w:tc>
          <w:tcPr>
            <w:tcW w:w="1044"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18323876" w14:textId="77777777" w:rsidR="003F7821" w:rsidRPr="003B3BB0" w:rsidRDefault="003F7821" w:rsidP="003B3BB0">
            <w:pPr>
              <w:jc w:val="right"/>
              <w:rPr>
                <w:color w:val="000000"/>
                <w:sz w:val="22"/>
                <w:szCs w:val="22"/>
              </w:rPr>
            </w:pPr>
          </w:p>
        </w:tc>
        <w:tc>
          <w:tcPr>
            <w:tcW w:w="1044"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59ACB8C5" w14:textId="77777777" w:rsidR="003F7821" w:rsidRPr="003B3BB0" w:rsidRDefault="003F7821" w:rsidP="003B3BB0">
            <w:pPr>
              <w:jc w:val="right"/>
              <w:rPr>
                <w:color w:val="000000"/>
                <w:sz w:val="22"/>
                <w:szCs w:val="22"/>
              </w:rPr>
            </w:pPr>
            <w:r w:rsidRPr="003B3BB0">
              <w:rPr>
                <w:color w:val="000000"/>
                <w:sz w:val="22"/>
                <w:szCs w:val="22"/>
              </w:rPr>
              <w:t>Panel year</w:t>
            </w:r>
          </w:p>
        </w:tc>
        <w:tc>
          <w:tcPr>
            <w:tcW w:w="1043"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523941DB" w14:textId="77777777" w:rsidR="003F7821" w:rsidRPr="003B3BB0" w:rsidRDefault="003F7821" w:rsidP="003B3BB0">
            <w:pPr>
              <w:jc w:val="right"/>
              <w:rPr>
                <w:color w:val="000000"/>
                <w:sz w:val="22"/>
                <w:szCs w:val="22"/>
              </w:rPr>
            </w:pPr>
          </w:p>
        </w:tc>
        <w:tc>
          <w:tcPr>
            <w:tcW w:w="1043"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79A06072" w14:textId="77777777" w:rsidR="003F7821" w:rsidRPr="003B3BB0" w:rsidRDefault="003F7821" w:rsidP="003B3BB0">
            <w:pPr>
              <w:jc w:val="right"/>
              <w:rPr>
                <w:color w:val="000000"/>
                <w:sz w:val="22"/>
                <w:szCs w:val="22"/>
              </w:rPr>
            </w:pPr>
          </w:p>
        </w:tc>
        <w:tc>
          <w:tcPr>
            <w:tcW w:w="1043"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18A0F937" w14:textId="77777777" w:rsidR="003F7821" w:rsidRPr="003B3BB0" w:rsidRDefault="003F7821" w:rsidP="003B3BB0">
            <w:pPr>
              <w:jc w:val="right"/>
              <w:rPr>
                <w:color w:val="000000"/>
                <w:sz w:val="22"/>
                <w:szCs w:val="22"/>
              </w:rPr>
            </w:pPr>
          </w:p>
        </w:tc>
        <w:tc>
          <w:tcPr>
            <w:tcW w:w="1043"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728579EF" w14:textId="77777777" w:rsidR="003F7821" w:rsidRPr="003B3BB0" w:rsidRDefault="003F7821" w:rsidP="003B3BB0">
            <w:pPr>
              <w:jc w:val="right"/>
              <w:rPr>
                <w:color w:val="000000"/>
                <w:sz w:val="22"/>
                <w:szCs w:val="22"/>
              </w:rPr>
            </w:pPr>
          </w:p>
        </w:tc>
        <w:tc>
          <w:tcPr>
            <w:tcW w:w="1043"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05A3C68E" w14:textId="77777777" w:rsidR="003F7821" w:rsidRPr="003B3BB0" w:rsidRDefault="003F7821" w:rsidP="003B3BB0">
            <w:pPr>
              <w:jc w:val="right"/>
              <w:rPr>
                <w:color w:val="000000"/>
                <w:sz w:val="22"/>
                <w:szCs w:val="22"/>
              </w:rPr>
            </w:pPr>
          </w:p>
        </w:tc>
        <w:tc>
          <w:tcPr>
            <w:tcW w:w="1043"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7704EB75" w14:textId="77777777" w:rsidR="003F7821" w:rsidRPr="003B3BB0" w:rsidRDefault="003F7821" w:rsidP="003B3BB0">
            <w:pPr>
              <w:jc w:val="right"/>
              <w:rPr>
                <w:color w:val="000000"/>
                <w:sz w:val="22"/>
                <w:szCs w:val="22"/>
              </w:rPr>
            </w:pPr>
          </w:p>
        </w:tc>
      </w:tr>
      <w:tr w:rsidR="003F7821" w:rsidRPr="008A3E4E" w14:paraId="127575C5" w14:textId="77777777" w:rsidTr="00DD5B0D">
        <w:trPr>
          <w:trHeight w:val="300"/>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47D9716" w14:textId="77777777" w:rsidR="003F7821" w:rsidRPr="003B3BB0" w:rsidRDefault="003F7821" w:rsidP="00651367">
            <w:pPr>
              <w:jc w:val="both"/>
              <w:rPr>
                <w:color w:val="000000"/>
                <w:sz w:val="22"/>
                <w:szCs w:val="22"/>
              </w:rPr>
            </w:pPr>
            <w:r w:rsidRPr="003B3BB0">
              <w:rPr>
                <w:color w:val="000000"/>
                <w:sz w:val="22"/>
                <w:szCs w:val="22"/>
              </w:rPr>
              <w:t xml:space="preserve"> year</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11A0F25" w14:textId="77777777" w:rsidR="003F7821" w:rsidRPr="003B3BB0" w:rsidRDefault="003F7821" w:rsidP="003B3BB0">
            <w:pPr>
              <w:jc w:val="right"/>
              <w:rPr>
                <w:color w:val="000000"/>
                <w:sz w:val="22"/>
                <w:szCs w:val="22"/>
              </w:rPr>
            </w:pPr>
            <w:r w:rsidRPr="003B3BB0">
              <w:rPr>
                <w:color w:val="000000"/>
                <w:sz w:val="22"/>
                <w:szCs w:val="22"/>
              </w:rPr>
              <w:t>No. recruits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FC3C45A" w14:textId="77777777" w:rsidR="003F7821" w:rsidRPr="003B3BB0" w:rsidRDefault="003F7821" w:rsidP="003B3BB0">
            <w:pPr>
              <w:jc w:val="right"/>
              <w:rPr>
                <w:color w:val="000000"/>
                <w:sz w:val="22"/>
                <w:szCs w:val="22"/>
              </w:rPr>
            </w:pPr>
            <w:r w:rsidRPr="003B3BB0">
              <w:rPr>
                <w:color w:val="000000"/>
                <w:sz w:val="22"/>
                <w:szCs w:val="22"/>
              </w:rPr>
              <w:t>2006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450763B" w14:textId="77777777" w:rsidR="003F7821" w:rsidRPr="003B3BB0" w:rsidRDefault="003F7821" w:rsidP="003B3BB0">
            <w:pPr>
              <w:jc w:val="right"/>
              <w:rPr>
                <w:color w:val="000000"/>
                <w:sz w:val="22"/>
                <w:szCs w:val="22"/>
              </w:rPr>
            </w:pPr>
            <w:r w:rsidRPr="003B3BB0">
              <w:rPr>
                <w:color w:val="000000"/>
                <w:sz w:val="22"/>
                <w:szCs w:val="22"/>
              </w:rPr>
              <w:t>2007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DD47E7E" w14:textId="77777777" w:rsidR="003F7821" w:rsidRPr="003B3BB0" w:rsidRDefault="003F7821" w:rsidP="003B3BB0">
            <w:pPr>
              <w:jc w:val="right"/>
              <w:rPr>
                <w:color w:val="000000"/>
                <w:sz w:val="22"/>
                <w:szCs w:val="22"/>
              </w:rPr>
            </w:pPr>
            <w:r w:rsidRPr="003B3BB0">
              <w:rPr>
                <w:color w:val="000000"/>
                <w:sz w:val="22"/>
                <w:szCs w:val="22"/>
              </w:rPr>
              <w:t>2008</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C055F12" w14:textId="77777777" w:rsidR="003F7821" w:rsidRPr="003B3BB0" w:rsidRDefault="003F7821" w:rsidP="003B3BB0">
            <w:pPr>
              <w:jc w:val="right"/>
              <w:rPr>
                <w:color w:val="000000"/>
                <w:sz w:val="22"/>
                <w:szCs w:val="22"/>
              </w:rPr>
            </w:pPr>
            <w:r w:rsidRPr="003B3BB0">
              <w:rPr>
                <w:color w:val="000000"/>
                <w:sz w:val="22"/>
                <w:szCs w:val="22"/>
              </w:rPr>
              <w:t>2009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1D1153" w14:textId="77777777" w:rsidR="003F7821" w:rsidRPr="003B3BB0" w:rsidRDefault="003F7821" w:rsidP="003B3BB0">
            <w:pPr>
              <w:jc w:val="right"/>
              <w:rPr>
                <w:color w:val="000000"/>
                <w:sz w:val="22"/>
                <w:szCs w:val="22"/>
              </w:rPr>
            </w:pPr>
            <w:r w:rsidRPr="003B3BB0">
              <w:rPr>
                <w:color w:val="000000"/>
                <w:sz w:val="22"/>
                <w:szCs w:val="22"/>
              </w:rPr>
              <w:t>2010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72E8A8D" w14:textId="77777777" w:rsidR="003F7821" w:rsidRPr="003B3BB0" w:rsidRDefault="003F7821" w:rsidP="003B3BB0">
            <w:pPr>
              <w:jc w:val="right"/>
              <w:rPr>
                <w:color w:val="000000"/>
                <w:sz w:val="22"/>
                <w:szCs w:val="22"/>
              </w:rPr>
            </w:pPr>
            <w:r w:rsidRPr="003B3BB0">
              <w:rPr>
                <w:color w:val="000000"/>
                <w:sz w:val="22"/>
                <w:szCs w:val="22"/>
              </w:rPr>
              <w:t>2011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F85FE31" w14:textId="77777777" w:rsidR="003F7821" w:rsidRPr="003B3BB0" w:rsidRDefault="003F7821" w:rsidP="003B3BB0">
            <w:pPr>
              <w:jc w:val="right"/>
              <w:rPr>
                <w:color w:val="000000"/>
                <w:sz w:val="22"/>
                <w:szCs w:val="22"/>
              </w:rPr>
            </w:pPr>
            <w:r w:rsidRPr="003B3BB0">
              <w:rPr>
                <w:color w:val="000000"/>
                <w:sz w:val="22"/>
                <w:szCs w:val="22"/>
              </w:rPr>
              <w:t>2012</w:t>
            </w:r>
          </w:p>
        </w:tc>
      </w:tr>
      <w:tr w:rsidR="003F7821" w:rsidRPr="008A3E4E" w14:paraId="782BB521" w14:textId="77777777" w:rsidTr="00DD5B0D">
        <w:trPr>
          <w:trHeight w:val="300"/>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3F33C37C" w14:textId="77777777" w:rsidR="003F7821" w:rsidRPr="003B3BB0" w:rsidRDefault="003F7821" w:rsidP="00651367">
            <w:pPr>
              <w:jc w:val="both"/>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3FDF3960"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71A8DCBB"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7628EF5C"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1B739F53"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3DB3F337"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3B866A6F"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2EADFBEB" w14:textId="77777777" w:rsidR="003F7821" w:rsidRPr="003B3BB0" w:rsidRDefault="003F7821" w:rsidP="003B3BB0">
            <w:pPr>
              <w:jc w:val="right"/>
              <w:rPr>
                <w:color w:val="000000"/>
                <w:sz w:val="22"/>
                <w:szCs w:val="22"/>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63A626CF" w14:textId="77777777" w:rsidR="003F7821" w:rsidRPr="003B3BB0" w:rsidRDefault="003F7821" w:rsidP="003B3BB0">
            <w:pPr>
              <w:jc w:val="right"/>
              <w:rPr>
                <w:color w:val="000000"/>
                <w:sz w:val="22"/>
                <w:szCs w:val="22"/>
              </w:rPr>
            </w:pPr>
          </w:p>
        </w:tc>
      </w:tr>
      <w:tr w:rsidR="003F7821" w:rsidRPr="008A3E4E" w14:paraId="3A211A33" w14:textId="77777777" w:rsidTr="00DD5B0D">
        <w:trPr>
          <w:trHeight w:val="300"/>
        </w:trPr>
        <w:tc>
          <w:tcPr>
            <w:tcW w:w="0" w:type="auto"/>
            <w:tcBorders>
              <w:left w:val="nil"/>
              <w:right w:val="nil"/>
            </w:tcBorders>
            <w:shd w:val="clear" w:color="auto" w:fill="auto"/>
            <w:noWrap/>
            <w:tcMar>
              <w:top w:w="15" w:type="dxa"/>
              <w:left w:w="15" w:type="dxa"/>
              <w:bottom w:w="0" w:type="dxa"/>
              <w:right w:w="15" w:type="dxa"/>
            </w:tcMar>
            <w:vAlign w:val="bottom"/>
          </w:tcPr>
          <w:p w14:paraId="3FD09C56" w14:textId="77777777" w:rsidR="003F7821" w:rsidRPr="003B3BB0" w:rsidRDefault="003F7821" w:rsidP="00651367">
            <w:pPr>
              <w:jc w:val="both"/>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410A7811" w14:textId="77777777" w:rsidR="003F7821" w:rsidRPr="003B3BB0" w:rsidRDefault="003F7821" w:rsidP="003B3BB0">
            <w:pPr>
              <w:jc w:val="right"/>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49AD026F" w14:textId="77777777" w:rsidR="003F7821" w:rsidRPr="003B3BB0" w:rsidRDefault="003F7821" w:rsidP="003B3BB0">
            <w:pPr>
              <w:jc w:val="right"/>
              <w:rPr>
                <w:color w:val="000000"/>
                <w:sz w:val="22"/>
                <w:szCs w:val="22"/>
              </w:rPr>
            </w:pPr>
            <w:r w:rsidRPr="003B3BB0">
              <w:rPr>
                <w:i/>
                <w:color w:val="000000"/>
                <w:sz w:val="22"/>
                <w:szCs w:val="22"/>
              </w:rPr>
              <w:t>Panel size</w:t>
            </w:r>
          </w:p>
        </w:tc>
        <w:tc>
          <w:tcPr>
            <w:tcW w:w="0" w:type="auto"/>
            <w:tcBorders>
              <w:left w:val="nil"/>
              <w:right w:val="nil"/>
            </w:tcBorders>
            <w:shd w:val="clear" w:color="auto" w:fill="auto"/>
            <w:noWrap/>
            <w:tcMar>
              <w:top w:w="15" w:type="dxa"/>
              <w:left w:w="15" w:type="dxa"/>
              <w:bottom w:w="0" w:type="dxa"/>
              <w:right w:w="15" w:type="dxa"/>
            </w:tcMar>
            <w:vAlign w:val="bottom"/>
          </w:tcPr>
          <w:p w14:paraId="0D434980" w14:textId="77777777" w:rsidR="003F7821" w:rsidRPr="003B3BB0" w:rsidRDefault="003F7821" w:rsidP="003B3BB0">
            <w:pPr>
              <w:jc w:val="right"/>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69675990" w14:textId="77777777" w:rsidR="003F7821" w:rsidRPr="003B3BB0" w:rsidRDefault="003F7821" w:rsidP="003B3BB0">
            <w:pPr>
              <w:jc w:val="right"/>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3CE3CDA4" w14:textId="77777777" w:rsidR="003F7821" w:rsidRPr="003B3BB0" w:rsidRDefault="003F7821" w:rsidP="003B3BB0">
            <w:pPr>
              <w:jc w:val="right"/>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0A54EEBD" w14:textId="77777777" w:rsidR="003F7821" w:rsidRPr="003B3BB0" w:rsidRDefault="003F7821" w:rsidP="003B3BB0">
            <w:pPr>
              <w:jc w:val="right"/>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77577A2F" w14:textId="77777777" w:rsidR="003F7821" w:rsidRPr="003B3BB0" w:rsidRDefault="003F7821" w:rsidP="003B3BB0">
            <w:pPr>
              <w:jc w:val="right"/>
              <w:rPr>
                <w:color w:val="000000"/>
                <w:sz w:val="22"/>
                <w:szCs w:val="22"/>
              </w:rPr>
            </w:pPr>
          </w:p>
        </w:tc>
        <w:tc>
          <w:tcPr>
            <w:tcW w:w="0" w:type="auto"/>
            <w:tcBorders>
              <w:left w:val="nil"/>
              <w:right w:val="nil"/>
            </w:tcBorders>
            <w:shd w:val="clear" w:color="auto" w:fill="auto"/>
            <w:noWrap/>
            <w:tcMar>
              <w:top w:w="15" w:type="dxa"/>
              <w:left w:w="15" w:type="dxa"/>
              <w:bottom w:w="0" w:type="dxa"/>
              <w:right w:w="15" w:type="dxa"/>
            </w:tcMar>
            <w:vAlign w:val="bottom"/>
          </w:tcPr>
          <w:p w14:paraId="71F75FBF" w14:textId="77777777" w:rsidR="003F7821" w:rsidRPr="003B3BB0" w:rsidRDefault="003F7821" w:rsidP="003B3BB0">
            <w:pPr>
              <w:jc w:val="right"/>
              <w:rPr>
                <w:color w:val="000000"/>
                <w:sz w:val="22"/>
                <w:szCs w:val="22"/>
              </w:rPr>
            </w:pPr>
          </w:p>
        </w:tc>
      </w:tr>
      <w:tr w:rsidR="003F7821" w:rsidRPr="008A3E4E" w14:paraId="51DE18A9" w14:textId="77777777" w:rsidTr="00DD5B0D">
        <w:trPr>
          <w:trHeight w:val="300"/>
        </w:trPr>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22F6DB17" w14:textId="77777777" w:rsidR="003F7821" w:rsidRPr="003B3BB0" w:rsidRDefault="003F7821" w:rsidP="00651367">
            <w:pPr>
              <w:jc w:val="both"/>
              <w:rPr>
                <w:color w:val="000000"/>
                <w:sz w:val="22"/>
                <w:szCs w:val="22"/>
              </w:rPr>
            </w:pPr>
            <w:r w:rsidRPr="003B3BB0">
              <w:rPr>
                <w:color w:val="000000"/>
                <w:sz w:val="22"/>
                <w:szCs w:val="22"/>
              </w:rPr>
              <w:t>2002</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733FBC8C" w14:textId="77777777" w:rsidR="003F7821" w:rsidRPr="003B3BB0" w:rsidRDefault="003F7821" w:rsidP="003B3BB0">
            <w:pPr>
              <w:jc w:val="right"/>
              <w:rPr>
                <w:color w:val="000000"/>
                <w:sz w:val="22"/>
                <w:szCs w:val="22"/>
              </w:rPr>
            </w:pPr>
            <w:r w:rsidRPr="003B3BB0">
              <w:rPr>
                <w:color w:val="000000"/>
                <w:sz w:val="22"/>
                <w:szCs w:val="22"/>
              </w:rPr>
              <w:t>484</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6F3133BA" w14:textId="77777777" w:rsidR="003F7821" w:rsidRPr="003B3BB0" w:rsidRDefault="003F7821" w:rsidP="003B3BB0">
            <w:pPr>
              <w:jc w:val="right"/>
              <w:rPr>
                <w:color w:val="000000"/>
                <w:sz w:val="22"/>
                <w:szCs w:val="22"/>
              </w:rPr>
            </w:pPr>
            <w:r w:rsidRPr="003B3BB0">
              <w:rPr>
                <w:color w:val="000000"/>
                <w:sz w:val="22"/>
                <w:szCs w:val="22"/>
              </w:rPr>
              <w:t>484</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4D9A63ED" w14:textId="77777777" w:rsidR="003F7821" w:rsidRPr="003B3BB0" w:rsidRDefault="003F7821" w:rsidP="003B3BB0">
            <w:pPr>
              <w:jc w:val="right"/>
              <w:rPr>
                <w:color w:val="000000"/>
                <w:sz w:val="22"/>
                <w:szCs w:val="22"/>
              </w:rPr>
            </w:pPr>
            <w:r w:rsidRPr="003B3BB0">
              <w:rPr>
                <w:color w:val="000000"/>
                <w:sz w:val="22"/>
                <w:szCs w:val="22"/>
              </w:rPr>
              <w:t>393</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36F85097" w14:textId="77777777" w:rsidR="003F7821" w:rsidRPr="003B3BB0" w:rsidRDefault="003F7821" w:rsidP="003B3BB0">
            <w:pPr>
              <w:jc w:val="right"/>
              <w:rPr>
                <w:color w:val="000000"/>
                <w:sz w:val="22"/>
                <w:szCs w:val="22"/>
              </w:rPr>
            </w:pPr>
            <w:r w:rsidRPr="003B3BB0">
              <w:rPr>
                <w:color w:val="000000"/>
                <w:sz w:val="22"/>
                <w:szCs w:val="22"/>
              </w:rPr>
              <w:t>229</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6F38945C" w14:textId="77777777" w:rsidR="003F7821" w:rsidRPr="003B3BB0" w:rsidRDefault="003F7821" w:rsidP="003B3BB0">
            <w:pPr>
              <w:jc w:val="right"/>
              <w:rPr>
                <w:color w:val="000000"/>
                <w:sz w:val="22"/>
                <w:szCs w:val="22"/>
              </w:rPr>
            </w:pPr>
            <w:r w:rsidRPr="003B3BB0">
              <w:rPr>
                <w:color w:val="000000"/>
                <w:sz w:val="22"/>
                <w:szCs w:val="22"/>
              </w:rPr>
              <w:t>223</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68A06FA7" w14:textId="77777777" w:rsidR="003F7821" w:rsidRPr="003B3BB0" w:rsidRDefault="003F7821" w:rsidP="003B3BB0">
            <w:pPr>
              <w:jc w:val="right"/>
              <w:rPr>
                <w:color w:val="000000"/>
                <w:sz w:val="22"/>
                <w:szCs w:val="22"/>
              </w:rPr>
            </w:pPr>
            <w:r w:rsidRPr="003B3BB0">
              <w:rPr>
                <w:color w:val="000000"/>
                <w:sz w:val="22"/>
                <w:szCs w:val="22"/>
              </w:rPr>
              <w:t>214</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6DE8389A" w14:textId="77777777" w:rsidR="003F7821" w:rsidRPr="003B3BB0" w:rsidRDefault="003F7821" w:rsidP="003B3BB0">
            <w:pPr>
              <w:jc w:val="right"/>
              <w:rPr>
                <w:color w:val="000000"/>
                <w:sz w:val="22"/>
                <w:szCs w:val="22"/>
              </w:rPr>
            </w:pPr>
            <w:r w:rsidRPr="003B3BB0">
              <w:rPr>
                <w:color w:val="000000"/>
                <w:sz w:val="22"/>
                <w:szCs w:val="22"/>
              </w:rPr>
              <w:t>209</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00D04B1C" w14:textId="77777777" w:rsidR="003F7821" w:rsidRPr="003B3BB0" w:rsidRDefault="003F7821" w:rsidP="003B3BB0">
            <w:pPr>
              <w:jc w:val="right"/>
              <w:rPr>
                <w:color w:val="000000"/>
                <w:sz w:val="22"/>
                <w:szCs w:val="22"/>
              </w:rPr>
            </w:pPr>
            <w:r w:rsidRPr="003B3BB0">
              <w:rPr>
                <w:color w:val="000000"/>
                <w:sz w:val="22"/>
                <w:szCs w:val="22"/>
              </w:rPr>
              <w:t>206</w:t>
            </w:r>
          </w:p>
        </w:tc>
      </w:tr>
      <w:tr w:rsidR="003F7821" w:rsidRPr="008A3E4E" w14:paraId="49879B02"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4DAAB" w14:textId="77777777" w:rsidR="003F7821" w:rsidRPr="003B3BB0" w:rsidRDefault="003F7821" w:rsidP="00651367">
            <w:pPr>
              <w:jc w:val="both"/>
              <w:rPr>
                <w:color w:val="000000"/>
                <w:sz w:val="22"/>
                <w:szCs w:val="22"/>
              </w:rPr>
            </w:pPr>
            <w:r w:rsidRPr="003B3BB0">
              <w:rPr>
                <w:color w:val="000000"/>
                <w:sz w:val="22"/>
                <w:szCs w:val="22"/>
              </w:rPr>
              <w:t>2003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25BE2B" w14:textId="77777777" w:rsidR="003F7821" w:rsidRPr="003B3BB0" w:rsidRDefault="003F7821" w:rsidP="003B3BB0">
            <w:pPr>
              <w:jc w:val="right"/>
              <w:rPr>
                <w:color w:val="000000"/>
                <w:sz w:val="22"/>
                <w:szCs w:val="22"/>
              </w:rPr>
            </w:pPr>
            <w:r w:rsidRPr="003B3BB0">
              <w:rPr>
                <w:color w:val="000000"/>
                <w:sz w:val="22"/>
                <w:szCs w:val="22"/>
              </w:rPr>
              <w:t>603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FD4E9C" w14:textId="77777777" w:rsidR="003F7821" w:rsidRPr="003B3BB0" w:rsidRDefault="003F7821" w:rsidP="003B3BB0">
            <w:pPr>
              <w:jc w:val="right"/>
              <w:rPr>
                <w:color w:val="000000"/>
                <w:sz w:val="22"/>
                <w:szCs w:val="22"/>
              </w:rPr>
            </w:pPr>
            <w:r w:rsidRPr="003B3BB0">
              <w:rPr>
                <w:color w:val="000000"/>
                <w:sz w:val="22"/>
                <w:szCs w:val="22"/>
              </w:rPr>
              <w:t>603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BDB275" w14:textId="77777777" w:rsidR="003F7821" w:rsidRPr="003B3BB0" w:rsidRDefault="003F7821" w:rsidP="003B3BB0">
            <w:pPr>
              <w:jc w:val="right"/>
              <w:rPr>
                <w:color w:val="000000"/>
                <w:sz w:val="22"/>
                <w:szCs w:val="22"/>
              </w:rPr>
            </w:pPr>
            <w:r w:rsidRPr="003B3BB0">
              <w:rPr>
                <w:color w:val="000000"/>
                <w:sz w:val="22"/>
                <w:szCs w:val="22"/>
              </w:rPr>
              <w:t>529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3E8AE" w14:textId="77777777" w:rsidR="003F7821" w:rsidRPr="003B3BB0" w:rsidRDefault="003F7821" w:rsidP="003B3BB0">
            <w:pPr>
              <w:jc w:val="right"/>
              <w:rPr>
                <w:color w:val="000000"/>
                <w:sz w:val="22"/>
                <w:szCs w:val="22"/>
              </w:rPr>
            </w:pPr>
            <w:r w:rsidRPr="003B3BB0">
              <w:rPr>
                <w:color w:val="000000"/>
                <w:sz w:val="22"/>
                <w:szCs w:val="22"/>
              </w:rPr>
              <w:t>223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B21B34" w14:textId="77777777" w:rsidR="003F7821" w:rsidRPr="003B3BB0" w:rsidRDefault="003F7821" w:rsidP="003B3BB0">
            <w:pPr>
              <w:jc w:val="right"/>
              <w:rPr>
                <w:color w:val="000000"/>
                <w:sz w:val="22"/>
                <w:szCs w:val="22"/>
              </w:rPr>
            </w:pPr>
            <w:r w:rsidRPr="003B3BB0">
              <w:rPr>
                <w:color w:val="000000"/>
                <w:sz w:val="22"/>
                <w:szCs w:val="22"/>
              </w:rPr>
              <w:t>221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CA5203" w14:textId="77777777" w:rsidR="003F7821" w:rsidRPr="003B3BB0" w:rsidRDefault="003F7821" w:rsidP="003B3BB0">
            <w:pPr>
              <w:jc w:val="right"/>
              <w:rPr>
                <w:color w:val="000000"/>
                <w:sz w:val="22"/>
                <w:szCs w:val="22"/>
              </w:rPr>
            </w:pPr>
            <w:r w:rsidRPr="003B3BB0">
              <w:rPr>
                <w:color w:val="000000"/>
                <w:sz w:val="22"/>
                <w:szCs w:val="22"/>
              </w:rPr>
              <w:t>212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B918CE" w14:textId="77777777" w:rsidR="003F7821" w:rsidRPr="003B3BB0" w:rsidRDefault="003F7821" w:rsidP="003B3BB0">
            <w:pPr>
              <w:jc w:val="right"/>
              <w:rPr>
                <w:color w:val="000000"/>
                <w:sz w:val="22"/>
                <w:szCs w:val="22"/>
              </w:rPr>
            </w:pPr>
            <w:r w:rsidRPr="003B3BB0">
              <w:rPr>
                <w:color w:val="000000"/>
                <w:sz w:val="22"/>
                <w:szCs w:val="22"/>
              </w:rPr>
              <w:t>206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F956E7" w14:textId="77777777" w:rsidR="003F7821" w:rsidRPr="003B3BB0" w:rsidRDefault="003F7821" w:rsidP="003B3BB0">
            <w:pPr>
              <w:jc w:val="right"/>
              <w:rPr>
                <w:color w:val="000000"/>
                <w:sz w:val="22"/>
                <w:szCs w:val="22"/>
              </w:rPr>
            </w:pPr>
            <w:r w:rsidRPr="003B3BB0">
              <w:rPr>
                <w:color w:val="000000"/>
                <w:sz w:val="22"/>
                <w:szCs w:val="22"/>
              </w:rPr>
              <w:t>203</w:t>
            </w:r>
          </w:p>
        </w:tc>
      </w:tr>
      <w:tr w:rsidR="003F7821" w:rsidRPr="008A3E4E" w14:paraId="33AF481B"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527351" w14:textId="77777777" w:rsidR="003F7821" w:rsidRPr="003B3BB0" w:rsidRDefault="003F7821" w:rsidP="00651367">
            <w:pPr>
              <w:jc w:val="both"/>
              <w:rPr>
                <w:color w:val="000000"/>
                <w:sz w:val="22"/>
                <w:szCs w:val="22"/>
              </w:rPr>
            </w:pPr>
            <w:r w:rsidRPr="003B3BB0">
              <w:rPr>
                <w:color w:val="000000"/>
                <w:sz w:val="22"/>
                <w:szCs w:val="22"/>
              </w:rPr>
              <w:t>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ED13A" w14:textId="77777777" w:rsidR="003F7821" w:rsidRPr="003B3BB0" w:rsidRDefault="003F7821" w:rsidP="003B3BB0">
            <w:pPr>
              <w:jc w:val="right"/>
              <w:rPr>
                <w:color w:val="000000"/>
                <w:sz w:val="22"/>
                <w:szCs w:val="22"/>
              </w:rPr>
            </w:pPr>
            <w:r w:rsidRPr="003B3BB0">
              <w:rPr>
                <w:color w:val="000000"/>
                <w:sz w:val="22"/>
                <w:szCs w:val="22"/>
              </w:rPr>
              <w:t>275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4D8001" w14:textId="77777777" w:rsidR="003F7821" w:rsidRPr="003B3BB0" w:rsidRDefault="003F7821" w:rsidP="003B3BB0">
            <w:pPr>
              <w:jc w:val="right"/>
              <w:rPr>
                <w:color w:val="000000"/>
                <w:sz w:val="22"/>
                <w:szCs w:val="22"/>
              </w:rPr>
            </w:pPr>
            <w:r w:rsidRPr="003B3BB0">
              <w:rPr>
                <w:color w:val="000000"/>
                <w:sz w:val="22"/>
                <w:szCs w:val="22"/>
              </w:rPr>
              <w:t>275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46959" w14:textId="77777777" w:rsidR="003F7821" w:rsidRPr="003B3BB0" w:rsidRDefault="003F7821" w:rsidP="003B3BB0">
            <w:pPr>
              <w:jc w:val="right"/>
              <w:rPr>
                <w:color w:val="000000"/>
                <w:sz w:val="22"/>
                <w:szCs w:val="22"/>
              </w:rPr>
            </w:pPr>
            <w:r w:rsidRPr="003B3BB0">
              <w:rPr>
                <w:color w:val="000000"/>
                <w:sz w:val="22"/>
                <w:szCs w:val="22"/>
              </w:rPr>
              <w:t>259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A6401" w14:textId="77777777" w:rsidR="003F7821" w:rsidRPr="003B3BB0" w:rsidRDefault="003F7821" w:rsidP="003B3BB0">
            <w:pPr>
              <w:jc w:val="right"/>
              <w:rPr>
                <w:color w:val="000000"/>
                <w:sz w:val="22"/>
                <w:szCs w:val="22"/>
              </w:rPr>
            </w:pPr>
            <w:r w:rsidRPr="003B3BB0">
              <w:rPr>
                <w:color w:val="000000"/>
                <w:sz w:val="22"/>
                <w:szCs w:val="22"/>
              </w:rPr>
              <w:t>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9B710C" w14:textId="77777777" w:rsidR="003F7821" w:rsidRPr="003B3BB0" w:rsidRDefault="003F7821" w:rsidP="003B3BB0">
            <w:pPr>
              <w:jc w:val="right"/>
              <w:rPr>
                <w:color w:val="000000"/>
                <w:sz w:val="22"/>
                <w:szCs w:val="22"/>
              </w:rPr>
            </w:pPr>
            <w:r w:rsidRPr="003B3BB0">
              <w:rPr>
                <w:color w:val="000000"/>
                <w:sz w:val="22"/>
                <w:szCs w:val="22"/>
              </w:rPr>
              <w:t>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4CCEC7" w14:textId="77777777" w:rsidR="003F7821" w:rsidRPr="003B3BB0" w:rsidRDefault="003F7821" w:rsidP="003B3BB0">
            <w:pPr>
              <w:jc w:val="right"/>
              <w:rPr>
                <w:color w:val="000000"/>
                <w:sz w:val="22"/>
                <w:szCs w:val="22"/>
              </w:rPr>
            </w:pPr>
            <w:r w:rsidRPr="003B3BB0">
              <w:rPr>
                <w:color w:val="000000"/>
                <w:sz w:val="22"/>
                <w:szCs w:val="22"/>
              </w:rPr>
              <w:t>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A54DAE" w14:textId="77777777" w:rsidR="003F7821" w:rsidRPr="003B3BB0" w:rsidRDefault="003F7821" w:rsidP="003B3BB0">
            <w:pPr>
              <w:jc w:val="right"/>
              <w:rPr>
                <w:color w:val="000000"/>
                <w:sz w:val="22"/>
                <w:szCs w:val="22"/>
              </w:rPr>
            </w:pPr>
            <w:r w:rsidRPr="003B3BB0">
              <w:rPr>
                <w:color w:val="000000"/>
                <w:sz w:val="22"/>
                <w:szCs w:val="22"/>
              </w:rPr>
              <w:t>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A1FE8C" w14:textId="77777777" w:rsidR="003F7821" w:rsidRPr="003B3BB0" w:rsidRDefault="003F7821" w:rsidP="003B3BB0">
            <w:pPr>
              <w:jc w:val="right"/>
              <w:rPr>
                <w:color w:val="000000"/>
                <w:sz w:val="22"/>
                <w:szCs w:val="22"/>
              </w:rPr>
            </w:pPr>
            <w:r w:rsidRPr="003B3BB0">
              <w:rPr>
                <w:color w:val="000000"/>
                <w:sz w:val="22"/>
                <w:szCs w:val="22"/>
              </w:rPr>
              <w:t>72</w:t>
            </w:r>
          </w:p>
        </w:tc>
      </w:tr>
      <w:tr w:rsidR="003F7821" w:rsidRPr="008A3E4E" w14:paraId="0B1E7CD3"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6E0867" w14:textId="77777777" w:rsidR="003F7821" w:rsidRPr="003B3BB0" w:rsidRDefault="003F7821" w:rsidP="00651367">
            <w:pPr>
              <w:jc w:val="both"/>
              <w:rPr>
                <w:color w:val="000000"/>
                <w:sz w:val="22"/>
                <w:szCs w:val="22"/>
              </w:rPr>
            </w:pPr>
            <w:r w:rsidRPr="003B3BB0">
              <w:rPr>
                <w:color w:val="000000"/>
                <w:sz w:val="22"/>
                <w:szCs w:val="22"/>
              </w:rPr>
              <w:t>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453408" w14:textId="77777777" w:rsidR="003F7821" w:rsidRPr="003B3BB0" w:rsidRDefault="003F7821" w:rsidP="003B3BB0">
            <w:pPr>
              <w:jc w:val="right"/>
              <w:rPr>
                <w:color w:val="000000"/>
                <w:sz w:val="22"/>
                <w:szCs w:val="22"/>
              </w:rPr>
            </w:pPr>
            <w:r w:rsidRPr="003B3BB0">
              <w:rPr>
                <w:color w:val="000000"/>
                <w:sz w:val="22"/>
                <w:szCs w:val="22"/>
              </w:rPr>
              <w:t>642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E9DDDD" w14:textId="77777777" w:rsidR="003F7821" w:rsidRPr="003B3BB0" w:rsidRDefault="003F7821" w:rsidP="003B3BB0">
            <w:pPr>
              <w:jc w:val="right"/>
              <w:rPr>
                <w:color w:val="000000"/>
                <w:sz w:val="22"/>
                <w:szCs w:val="22"/>
              </w:rPr>
            </w:pPr>
            <w:r w:rsidRPr="003B3BB0">
              <w:rPr>
                <w:color w:val="000000"/>
                <w:sz w:val="22"/>
                <w:szCs w:val="22"/>
              </w:rPr>
              <w:t>642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141A5" w14:textId="77777777" w:rsidR="003F7821" w:rsidRPr="003B3BB0" w:rsidRDefault="003F7821" w:rsidP="003B3BB0">
            <w:pPr>
              <w:jc w:val="right"/>
              <w:rPr>
                <w:color w:val="000000"/>
                <w:sz w:val="22"/>
                <w:szCs w:val="22"/>
              </w:rPr>
            </w:pPr>
            <w:r w:rsidRPr="003B3BB0">
              <w:rPr>
                <w:color w:val="000000"/>
                <w:sz w:val="22"/>
                <w:szCs w:val="22"/>
              </w:rPr>
              <w:t>630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05964" w14:textId="77777777" w:rsidR="003F7821" w:rsidRPr="003B3BB0" w:rsidRDefault="003F7821" w:rsidP="003B3BB0">
            <w:pPr>
              <w:jc w:val="right"/>
              <w:rPr>
                <w:color w:val="000000"/>
                <w:sz w:val="22"/>
                <w:szCs w:val="22"/>
              </w:rPr>
            </w:pPr>
            <w:r w:rsidRPr="003B3BB0">
              <w:rPr>
                <w:color w:val="000000"/>
                <w:sz w:val="22"/>
                <w:szCs w:val="22"/>
              </w:rPr>
              <w:t>180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22344F" w14:textId="77777777" w:rsidR="003F7821" w:rsidRPr="003B3BB0" w:rsidRDefault="003F7821" w:rsidP="003B3BB0">
            <w:pPr>
              <w:jc w:val="right"/>
              <w:rPr>
                <w:color w:val="000000"/>
                <w:sz w:val="22"/>
                <w:szCs w:val="22"/>
              </w:rPr>
            </w:pPr>
            <w:r w:rsidRPr="003B3BB0">
              <w:rPr>
                <w:color w:val="000000"/>
                <w:sz w:val="22"/>
                <w:szCs w:val="22"/>
              </w:rPr>
              <w:t>178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3D9284" w14:textId="77777777" w:rsidR="003F7821" w:rsidRPr="003B3BB0" w:rsidRDefault="003F7821" w:rsidP="003B3BB0">
            <w:pPr>
              <w:jc w:val="right"/>
              <w:rPr>
                <w:color w:val="000000"/>
                <w:sz w:val="22"/>
                <w:szCs w:val="22"/>
              </w:rPr>
            </w:pPr>
            <w:r w:rsidRPr="003B3BB0">
              <w:rPr>
                <w:color w:val="000000"/>
                <w:sz w:val="22"/>
                <w:szCs w:val="22"/>
              </w:rPr>
              <w:t>177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2AA74D" w14:textId="77777777" w:rsidR="003F7821" w:rsidRPr="003B3BB0" w:rsidRDefault="003F7821" w:rsidP="003B3BB0">
            <w:pPr>
              <w:jc w:val="right"/>
              <w:rPr>
                <w:color w:val="000000"/>
                <w:sz w:val="22"/>
                <w:szCs w:val="22"/>
              </w:rPr>
            </w:pPr>
            <w:r w:rsidRPr="003B3BB0">
              <w:rPr>
                <w:color w:val="000000"/>
                <w:sz w:val="22"/>
                <w:szCs w:val="22"/>
              </w:rPr>
              <w:t>175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60E42D" w14:textId="77777777" w:rsidR="003F7821" w:rsidRPr="003B3BB0" w:rsidRDefault="003F7821" w:rsidP="003B3BB0">
            <w:pPr>
              <w:jc w:val="right"/>
              <w:rPr>
                <w:color w:val="000000"/>
                <w:sz w:val="22"/>
                <w:szCs w:val="22"/>
              </w:rPr>
            </w:pPr>
            <w:r w:rsidRPr="003B3BB0">
              <w:rPr>
                <w:color w:val="000000"/>
                <w:sz w:val="22"/>
                <w:szCs w:val="22"/>
              </w:rPr>
              <w:t>174</w:t>
            </w:r>
          </w:p>
        </w:tc>
      </w:tr>
      <w:tr w:rsidR="003F7821" w:rsidRPr="008A3E4E" w14:paraId="770EE81A"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A76267" w14:textId="77777777" w:rsidR="003F7821" w:rsidRPr="003B3BB0" w:rsidRDefault="003F7821" w:rsidP="00651367">
            <w:pPr>
              <w:jc w:val="both"/>
              <w:rPr>
                <w:color w:val="000000"/>
                <w:sz w:val="22"/>
                <w:szCs w:val="22"/>
              </w:rPr>
            </w:pPr>
            <w:r w:rsidRPr="003B3BB0">
              <w:rPr>
                <w:color w:val="000000"/>
                <w:sz w:val="22"/>
                <w:szCs w:val="22"/>
              </w:rPr>
              <w:t>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6C24A" w14:textId="77777777" w:rsidR="003F7821" w:rsidRPr="003B3BB0" w:rsidRDefault="003F7821" w:rsidP="003B3BB0">
            <w:pPr>
              <w:jc w:val="right"/>
              <w:rPr>
                <w:color w:val="000000"/>
                <w:sz w:val="22"/>
                <w:szCs w:val="22"/>
              </w:rPr>
            </w:pPr>
            <w:r w:rsidRPr="003B3BB0">
              <w:rPr>
                <w:color w:val="000000"/>
                <w:sz w:val="22"/>
                <w:szCs w:val="22"/>
              </w:rPr>
              <w:t>669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08658E" w14:textId="77777777" w:rsidR="003F7821" w:rsidRPr="003B3BB0" w:rsidRDefault="003F7821" w:rsidP="003B3BB0">
            <w:pPr>
              <w:jc w:val="right"/>
              <w:rPr>
                <w:color w:val="000000"/>
                <w:sz w:val="22"/>
                <w:szCs w:val="22"/>
              </w:rPr>
            </w:pPr>
            <w:r w:rsidRPr="003B3BB0">
              <w:rPr>
                <w:color w:val="000000"/>
                <w:sz w:val="22"/>
                <w:szCs w:val="22"/>
              </w:rPr>
              <w:t>669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2CB5CD" w14:textId="77777777" w:rsidR="003F7821" w:rsidRPr="003B3BB0" w:rsidRDefault="003F7821" w:rsidP="003B3BB0">
            <w:pPr>
              <w:jc w:val="right"/>
              <w:rPr>
                <w:color w:val="000000"/>
                <w:sz w:val="22"/>
                <w:szCs w:val="22"/>
              </w:rPr>
            </w:pPr>
            <w:r w:rsidRPr="003B3BB0">
              <w:rPr>
                <w:color w:val="000000"/>
                <w:sz w:val="22"/>
                <w:szCs w:val="22"/>
              </w:rPr>
              <w:t>662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4762AD" w14:textId="77777777" w:rsidR="003F7821" w:rsidRPr="003B3BB0" w:rsidRDefault="003F7821" w:rsidP="003B3BB0">
            <w:pPr>
              <w:jc w:val="right"/>
              <w:rPr>
                <w:color w:val="000000"/>
                <w:sz w:val="22"/>
                <w:szCs w:val="22"/>
              </w:rPr>
            </w:pPr>
            <w:r w:rsidRPr="003B3BB0">
              <w:rPr>
                <w:color w:val="000000"/>
                <w:sz w:val="22"/>
                <w:szCs w:val="22"/>
              </w:rPr>
              <w:t>506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A13B39" w14:textId="77777777" w:rsidR="003F7821" w:rsidRPr="003B3BB0" w:rsidRDefault="003F7821" w:rsidP="003B3BB0">
            <w:pPr>
              <w:jc w:val="right"/>
              <w:rPr>
                <w:color w:val="000000"/>
                <w:sz w:val="22"/>
                <w:szCs w:val="22"/>
              </w:rPr>
            </w:pPr>
            <w:r w:rsidRPr="003B3BB0">
              <w:rPr>
                <w:color w:val="000000"/>
                <w:sz w:val="22"/>
                <w:szCs w:val="22"/>
              </w:rPr>
              <w:t>490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69D247" w14:textId="77777777" w:rsidR="003F7821" w:rsidRPr="003B3BB0" w:rsidRDefault="003F7821" w:rsidP="003B3BB0">
            <w:pPr>
              <w:jc w:val="right"/>
              <w:rPr>
                <w:color w:val="000000"/>
                <w:sz w:val="22"/>
                <w:szCs w:val="22"/>
              </w:rPr>
            </w:pPr>
            <w:r w:rsidRPr="003B3BB0">
              <w:rPr>
                <w:color w:val="000000"/>
                <w:sz w:val="22"/>
                <w:szCs w:val="22"/>
              </w:rPr>
              <w:t>452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B4A13C" w14:textId="77777777" w:rsidR="003F7821" w:rsidRPr="003B3BB0" w:rsidRDefault="003F7821" w:rsidP="003B3BB0">
            <w:pPr>
              <w:jc w:val="right"/>
              <w:rPr>
                <w:color w:val="000000"/>
                <w:sz w:val="22"/>
                <w:szCs w:val="22"/>
              </w:rPr>
            </w:pPr>
            <w:r w:rsidRPr="003B3BB0">
              <w:rPr>
                <w:color w:val="000000"/>
                <w:sz w:val="22"/>
                <w:szCs w:val="22"/>
              </w:rPr>
              <w:t>306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9A35CE" w14:textId="77777777" w:rsidR="003F7821" w:rsidRPr="003B3BB0" w:rsidRDefault="003F7821" w:rsidP="003B3BB0">
            <w:pPr>
              <w:jc w:val="right"/>
              <w:rPr>
                <w:color w:val="000000"/>
                <w:sz w:val="22"/>
                <w:szCs w:val="22"/>
              </w:rPr>
            </w:pPr>
            <w:r w:rsidRPr="003B3BB0">
              <w:rPr>
                <w:color w:val="000000"/>
                <w:sz w:val="22"/>
                <w:szCs w:val="22"/>
              </w:rPr>
              <w:t>304</w:t>
            </w:r>
          </w:p>
        </w:tc>
      </w:tr>
      <w:tr w:rsidR="003F7821" w:rsidRPr="008A3E4E" w14:paraId="5E304DC7"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EB21E3" w14:textId="77777777" w:rsidR="003F7821" w:rsidRPr="003B3BB0" w:rsidRDefault="003F7821" w:rsidP="00651367">
            <w:pPr>
              <w:jc w:val="both"/>
              <w:rPr>
                <w:color w:val="000000"/>
                <w:sz w:val="22"/>
                <w:szCs w:val="22"/>
              </w:rPr>
            </w:pPr>
            <w:r w:rsidRPr="003B3BB0">
              <w:rPr>
                <w:color w:val="000000"/>
                <w:sz w:val="22"/>
                <w:szCs w:val="22"/>
              </w:rPr>
              <w:t>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7FBF6F" w14:textId="77777777" w:rsidR="003F7821" w:rsidRPr="003B3BB0" w:rsidRDefault="003F7821" w:rsidP="003B3BB0">
            <w:pPr>
              <w:jc w:val="right"/>
              <w:rPr>
                <w:color w:val="000000"/>
                <w:sz w:val="22"/>
                <w:szCs w:val="22"/>
              </w:rPr>
            </w:pPr>
            <w:r w:rsidRPr="003B3BB0">
              <w:rPr>
                <w:color w:val="000000"/>
                <w:sz w:val="22"/>
                <w:szCs w:val="22"/>
              </w:rPr>
              <w:t>1120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DFC11E" w14:textId="77777777" w:rsidR="003F7821" w:rsidRPr="003B3BB0" w:rsidRDefault="003F7821" w:rsidP="003B3BB0">
            <w:pPr>
              <w:jc w:val="right"/>
              <w:rPr>
                <w:color w:val="000000"/>
                <w:sz w:val="22"/>
                <w:szCs w:val="22"/>
              </w:rPr>
            </w:pPr>
            <w:r w:rsidRPr="003B3BB0">
              <w:rPr>
                <w:color w:val="000000"/>
                <w:sz w:val="22"/>
                <w:szCs w:val="22"/>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0073CA" w14:textId="77777777" w:rsidR="003F7821" w:rsidRPr="003B3BB0" w:rsidRDefault="003F7821" w:rsidP="003B3BB0">
            <w:pPr>
              <w:jc w:val="right"/>
              <w:rPr>
                <w:color w:val="000000"/>
                <w:sz w:val="22"/>
                <w:szCs w:val="22"/>
              </w:rPr>
            </w:pPr>
            <w:r w:rsidRPr="003B3BB0">
              <w:rPr>
                <w:color w:val="000000"/>
                <w:sz w:val="22"/>
                <w:szCs w:val="22"/>
              </w:rPr>
              <w:t>1120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66E8B1" w14:textId="77777777" w:rsidR="003F7821" w:rsidRPr="003B3BB0" w:rsidRDefault="003F7821" w:rsidP="003B3BB0">
            <w:pPr>
              <w:jc w:val="right"/>
              <w:rPr>
                <w:color w:val="000000"/>
                <w:sz w:val="22"/>
                <w:szCs w:val="22"/>
              </w:rPr>
            </w:pPr>
            <w:r w:rsidRPr="003B3BB0">
              <w:rPr>
                <w:color w:val="000000"/>
                <w:sz w:val="22"/>
                <w:szCs w:val="22"/>
              </w:rPr>
              <w:t>1095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F9C61C" w14:textId="77777777" w:rsidR="003F7821" w:rsidRPr="003B3BB0" w:rsidRDefault="003F7821" w:rsidP="003B3BB0">
            <w:pPr>
              <w:jc w:val="right"/>
              <w:rPr>
                <w:color w:val="000000"/>
                <w:sz w:val="22"/>
                <w:szCs w:val="22"/>
              </w:rPr>
            </w:pPr>
            <w:r w:rsidRPr="003B3BB0">
              <w:rPr>
                <w:color w:val="000000"/>
                <w:sz w:val="22"/>
                <w:szCs w:val="22"/>
              </w:rPr>
              <w:t>1070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320B19" w14:textId="77777777" w:rsidR="003F7821" w:rsidRPr="003B3BB0" w:rsidRDefault="003F7821" w:rsidP="003B3BB0">
            <w:pPr>
              <w:jc w:val="right"/>
              <w:rPr>
                <w:color w:val="000000"/>
                <w:sz w:val="22"/>
                <w:szCs w:val="22"/>
              </w:rPr>
            </w:pPr>
            <w:r w:rsidRPr="003B3BB0">
              <w:rPr>
                <w:color w:val="000000"/>
                <w:sz w:val="22"/>
                <w:szCs w:val="22"/>
              </w:rPr>
              <w:t>1029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E0795A" w14:textId="77777777" w:rsidR="003F7821" w:rsidRPr="003B3BB0" w:rsidRDefault="003F7821" w:rsidP="003B3BB0">
            <w:pPr>
              <w:jc w:val="right"/>
              <w:rPr>
                <w:color w:val="000000"/>
                <w:sz w:val="22"/>
                <w:szCs w:val="22"/>
              </w:rPr>
            </w:pPr>
            <w:r w:rsidRPr="003B3BB0">
              <w:rPr>
                <w:color w:val="000000"/>
                <w:sz w:val="22"/>
                <w:szCs w:val="22"/>
              </w:rPr>
              <w:t>665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9C3F2C" w14:textId="77777777" w:rsidR="003F7821" w:rsidRPr="003B3BB0" w:rsidRDefault="003F7821" w:rsidP="003B3BB0">
            <w:pPr>
              <w:jc w:val="right"/>
              <w:rPr>
                <w:color w:val="000000"/>
                <w:sz w:val="22"/>
                <w:szCs w:val="22"/>
              </w:rPr>
            </w:pPr>
            <w:r w:rsidRPr="003B3BB0">
              <w:rPr>
                <w:color w:val="000000"/>
                <w:sz w:val="22"/>
                <w:szCs w:val="22"/>
              </w:rPr>
              <w:t>657</w:t>
            </w:r>
          </w:p>
        </w:tc>
      </w:tr>
      <w:tr w:rsidR="003F7821" w:rsidRPr="008A3E4E" w14:paraId="77775CB9"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4C07A" w14:textId="77777777" w:rsidR="003F7821" w:rsidRPr="003B3BB0" w:rsidRDefault="003F7821" w:rsidP="00651367">
            <w:pPr>
              <w:jc w:val="both"/>
              <w:rPr>
                <w:color w:val="000000"/>
                <w:sz w:val="22"/>
                <w:szCs w:val="22"/>
              </w:rPr>
            </w:pPr>
            <w:r w:rsidRPr="003B3BB0">
              <w:rPr>
                <w:color w:val="000000"/>
                <w:sz w:val="22"/>
                <w:szCs w:val="22"/>
              </w:rPr>
              <w:t>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F90BD1" w14:textId="77777777" w:rsidR="003F7821" w:rsidRPr="003B3BB0" w:rsidRDefault="003F7821" w:rsidP="003B3BB0">
            <w:pPr>
              <w:jc w:val="right"/>
              <w:rPr>
                <w:color w:val="000000"/>
                <w:sz w:val="22"/>
                <w:szCs w:val="22"/>
              </w:rPr>
            </w:pPr>
            <w:r w:rsidRPr="003B3BB0">
              <w:rPr>
                <w:color w:val="000000"/>
                <w:sz w:val="22"/>
                <w:szCs w:val="22"/>
              </w:rPr>
              <w:t>762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4748BD" w14:textId="77777777" w:rsidR="003F7821" w:rsidRPr="003B3BB0" w:rsidRDefault="003F7821" w:rsidP="003B3BB0">
            <w:pPr>
              <w:jc w:val="right"/>
              <w:rPr>
                <w:color w:val="000000"/>
                <w:sz w:val="22"/>
                <w:szCs w:val="22"/>
              </w:rPr>
            </w:pPr>
            <w:r w:rsidRPr="003B3BB0">
              <w:rPr>
                <w:color w:val="000000"/>
                <w:sz w:val="22"/>
                <w:szCs w:val="22"/>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BE3F25" w14:textId="77777777" w:rsidR="003F7821" w:rsidRPr="003B3BB0" w:rsidRDefault="003F7821" w:rsidP="003B3BB0">
            <w:pPr>
              <w:jc w:val="right"/>
              <w:rPr>
                <w:color w:val="000000"/>
                <w:sz w:val="22"/>
                <w:szCs w:val="22"/>
              </w:rPr>
            </w:pPr>
            <w:r w:rsidRPr="003B3BB0">
              <w:rPr>
                <w:color w:val="000000"/>
                <w:sz w:val="22"/>
                <w:szCs w:val="22"/>
              </w:rPr>
              <w:t>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894908" w14:textId="77777777" w:rsidR="003F7821" w:rsidRPr="003B3BB0" w:rsidRDefault="003F7821" w:rsidP="003B3BB0">
            <w:pPr>
              <w:jc w:val="right"/>
              <w:rPr>
                <w:color w:val="000000"/>
                <w:sz w:val="22"/>
                <w:szCs w:val="22"/>
              </w:rPr>
            </w:pPr>
            <w:r w:rsidRPr="003B3BB0">
              <w:rPr>
                <w:color w:val="000000"/>
                <w:sz w:val="22"/>
                <w:szCs w:val="22"/>
              </w:rPr>
              <w:t>762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C38289" w14:textId="77777777" w:rsidR="003F7821" w:rsidRPr="003B3BB0" w:rsidRDefault="003F7821" w:rsidP="003B3BB0">
            <w:pPr>
              <w:jc w:val="right"/>
              <w:rPr>
                <w:color w:val="000000"/>
                <w:sz w:val="22"/>
                <w:szCs w:val="22"/>
              </w:rPr>
            </w:pPr>
            <w:r w:rsidRPr="003B3BB0">
              <w:rPr>
                <w:color w:val="000000"/>
                <w:sz w:val="22"/>
                <w:szCs w:val="22"/>
              </w:rPr>
              <w:t>733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739850" w14:textId="77777777" w:rsidR="003F7821" w:rsidRPr="003B3BB0" w:rsidRDefault="003F7821" w:rsidP="003B3BB0">
            <w:pPr>
              <w:jc w:val="right"/>
              <w:rPr>
                <w:color w:val="000000"/>
                <w:sz w:val="22"/>
                <w:szCs w:val="22"/>
              </w:rPr>
            </w:pPr>
            <w:r w:rsidRPr="003B3BB0">
              <w:rPr>
                <w:color w:val="000000"/>
                <w:sz w:val="22"/>
                <w:szCs w:val="22"/>
              </w:rPr>
              <w:t>712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70709" w14:textId="77777777" w:rsidR="003F7821" w:rsidRPr="003B3BB0" w:rsidRDefault="003F7821" w:rsidP="003B3BB0">
            <w:pPr>
              <w:jc w:val="right"/>
              <w:rPr>
                <w:color w:val="000000"/>
                <w:sz w:val="22"/>
                <w:szCs w:val="22"/>
              </w:rPr>
            </w:pPr>
            <w:r w:rsidRPr="003B3BB0">
              <w:rPr>
                <w:color w:val="000000"/>
                <w:sz w:val="22"/>
                <w:szCs w:val="22"/>
              </w:rPr>
              <w:t>454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C5B32B" w14:textId="77777777" w:rsidR="003F7821" w:rsidRPr="003B3BB0" w:rsidRDefault="003F7821" w:rsidP="003B3BB0">
            <w:pPr>
              <w:jc w:val="right"/>
              <w:rPr>
                <w:color w:val="000000"/>
                <w:sz w:val="22"/>
                <w:szCs w:val="22"/>
              </w:rPr>
            </w:pPr>
            <w:r w:rsidRPr="003B3BB0">
              <w:rPr>
                <w:color w:val="000000"/>
                <w:sz w:val="22"/>
                <w:szCs w:val="22"/>
              </w:rPr>
              <w:t>452</w:t>
            </w:r>
          </w:p>
        </w:tc>
      </w:tr>
      <w:tr w:rsidR="003F7821" w:rsidRPr="008A3E4E" w14:paraId="02C1A6E1"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2D18D2" w14:textId="77777777" w:rsidR="003F7821" w:rsidRPr="003B3BB0" w:rsidRDefault="003F7821" w:rsidP="00651367">
            <w:pPr>
              <w:jc w:val="both"/>
              <w:rPr>
                <w:color w:val="000000"/>
                <w:sz w:val="22"/>
                <w:szCs w:val="22"/>
              </w:rPr>
            </w:pPr>
            <w:r w:rsidRPr="003B3BB0">
              <w:rPr>
                <w:color w:val="000000"/>
                <w:sz w:val="22"/>
                <w:szCs w:val="22"/>
              </w:rPr>
              <w:t>Total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21E149F" w14:textId="77777777" w:rsidR="003F7821" w:rsidRPr="003B3BB0" w:rsidRDefault="003F7821" w:rsidP="003B3BB0">
            <w:pPr>
              <w:jc w:val="right"/>
              <w:rPr>
                <w:color w:val="000000"/>
                <w:sz w:val="22"/>
                <w:szCs w:val="22"/>
              </w:rPr>
            </w:pPr>
            <w:r w:rsidRPr="003B3BB0">
              <w:rPr>
                <w:color w:val="000000"/>
                <w:sz w:val="22"/>
                <w:szCs w:val="22"/>
              </w:rPr>
              <w:t>4555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09D38E" w14:textId="77777777" w:rsidR="003F7821" w:rsidRPr="003B3BB0" w:rsidRDefault="003F7821" w:rsidP="003B3BB0">
            <w:pPr>
              <w:jc w:val="right"/>
              <w:rPr>
                <w:color w:val="000000"/>
                <w:sz w:val="22"/>
                <w:szCs w:val="22"/>
              </w:rPr>
            </w:pPr>
            <w:r w:rsidRPr="003B3BB0">
              <w:rPr>
                <w:color w:val="000000"/>
                <w:sz w:val="22"/>
                <w:szCs w:val="22"/>
              </w:rPr>
              <w:t>2673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F05C67A" w14:textId="77777777" w:rsidR="003F7821" w:rsidRPr="003B3BB0" w:rsidRDefault="003F7821" w:rsidP="003B3BB0">
            <w:pPr>
              <w:jc w:val="right"/>
              <w:rPr>
                <w:color w:val="000000"/>
                <w:sz w:val="22"/>
                <w:szCs w:val="22"/>
              </w:rPr>
            </w:pPr>
            <w:r w:rsidRPr="003B3BB0">
              <w:rPr>
                <w:color w:val="000000"/>
                <w:sz w:val="22"/>
                <w:szCs w:val="22"/>
              </w:rPr>
              <w:t>3593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B9C12A1" w14:textId="77777777" w:rsidR="003F7821" w:rsidRPr="003B3BB0" w:rsidRDefault="003F7821" w:rsidP="003B3BB0">
            <w:pPr>
              <w:jc w:val="right"/>
              <w:rPr>
                <w:color w:val="000000"/>
                <w:sz w:val="22"/>
                <w:szCs w:val="22"/>
              </w:rPr>
            </w:pPr>
            <w:r w:rsidRPr="003B3BB0">
              <w:rPr>
                <w:color w:val="000000"/>
                <w:sz w:val="22"/>
                <w:szCs w:val="22"/>
              </w:rPr>
              <w:t>3069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D83A24D" w14:textId="77777777" w:rsidR="003F7821" w:rsidRPr="003B3BB0" w:rsidRDefault="003F7821" w:rsidP="003B3BB0">
            <w:pPr>
              <w:jc w:val="right"/>
              <w:rPr>
                <w:color w:val="000000"/>
                <w:sz w:val="22"/>
                <w:szCs w:val="22"/>
              </w:rPr>
            </w:pPr>
            <w:r w:rsidRPr="003B3BB0">
              <w:rPr>
                <w:color w:val="000000"/>
                <w:sz w:val="22"/>
                <w:szCs w:val="22"/>
              </w:rPr>
              <w:t>2988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DF62876" w14:textId="77777777" w:rsidR="003F7821" w:rsidRPr="003B3BB0" w:rsidRDefault="003F7821" w:rsidP="003B3BB0">
            <w:pPr>
              <w:jc w:val="right"/>
              <w:rPr>
                <w:color w:val="000000"/>
                <w:sz w:val="22"/>
                <w:szCs w:val="22"/>
              </w:rPr>
            </w:pPr>
            <w:r w:rsidRPr="003B3BB0">
              <w:rPr>
                <w:color w:val="000000"/>
                <w:sz w:val="22"/>
                <w:szCs w:val="22"/>
              </w:rPr>
              <w:t>2869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77AEB18" w14:textId="77777777" w:rsidR="003F7821" w:rsidRPr="003B3BB0" w:rsidRDefault="003F7821" w:rsidP="003B3BB0">
            <w:pPr>
              <w:jc w:val="right"/>
              <w:rPr>
                <w:color w:val="000000"/>
                <w:sz w:val="22"/>
                <w:szCs w:val="22"/>
              </w:rPr>
            </w:pPr>
            <w:r w:rsidRPr="003B3BB0">
              <w:rPr>
                <w:color w:val="000000"/>
                <w:sz w:val="22"/>
                <w:szCs w:val="22"/>
              </w:rPr>
              <w:t>2087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99C25A" w14:textId="77777777" w:rsidR="003F7821" w:rsidRPr="003B3BB0" w:rsidRDefault="003F7821" w:rsidP="003B3BB0">
            <w:pPr>
              <w:jc w:val="right"/>
              <w:rPr>
                <w:color w:val="000000"/>
                <w:sz w:val="22"/>
                <w:szCs w:val="22"/>
              </w:rPr>
            </w:pPr>
            <w:r w:rsidRPr="003B3BB0">
              <w:rPr>
                <w:color w:val="000000"/>
                <w:sz w:val="22"/>
                <w:szCs w:val="22"/>
              </w:rPr>
              <w:t>2068</w:t>
            </w:r>
          </w:p>
        </w:tc>
      </w:tr>
      <w:tr w:rsidR="003F7821" w:rsidRPr="008A3E4E" w14:paraId="1155CFBA"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2BB159" w14:textId="77777777" w:rsidR="003F7821" w:rsidRPr="003B3BB0" w:rsidRDefault="003F7821" w:rsidP="00651367">
            <w:pPr>
              <w:jc w:val="both"/>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3F7DBB"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C74AB8"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8A623D"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79F7E"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DE7CBD"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6441F2"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4287E0"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38798" w14:textId="77777777" w:rsidR="003F7821" w:rsidRPr="003B3BB0" w:rsidRDefault="003F7821" w:rsidP="003B3BB0">
            <w:pPr>
              <w:jc w:val="right"/>
              <w:rPr>
                <w:color w:val="000000"/>
                <w:sz w:val="22"/>
                <w:szCs w:val="22"/>
              </w:rPr>
            </w:pPr>
          </w:p>
        </w:tc>
      </w:tr>
      <w:tr w:rsidR="003F7821" w:rsidRPr="008A3E4E" w14:paraId="39FE81BA"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0ECFA4" w14:textId="77777777" w:rsidR="003F7821" w:rsidRPr="003B3BB0" w:rsidRDefault="003F7821" w:rsidP="00651367">
            <w:pPr>
              <w:jc w:val="both"/>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407B7A" w14:textId="77777777" w:rsidR="003F7821" w:rsidRPr="003B3BB0" w:rsidRDefault="003F7821" w:rsidP="003B3BB0">
            <w:pPr>
              <w:jc w:val="right"/>
              <w:rPr>
                <w:color w:val="000000"/>
                <w:sz w:val="22"/>
                <w:szCs w:val="22"/>
              </w:rPr>
            </w:pPr>
          </w:p>
        </w:tc>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2FCDDA4D" w14:textId="77777777" w:rsidR="003F7821" w:rsidRPr="003B3BB0" w:rsidRDefault="003F7821" w:rsidP="003B3BB0">
            <w:pPr>
              <w:rPr>
                <w:color w:val="000000"/>
                <w:sz w:val="22"/>
                <w:szCs w:val="22"/>
              </w:rPr>
            </w:pPr>
            <w:r w:rsidRPr="003B3BB0">
              <w:rPr>
                <w:i/>
                <w:color w:val="000000"/>
                <w:sz w:val="22"/>
                <w:szCs w:val="22"/>
              </w:rPr>
              <w:t>Attrition rate (after the panel year,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3C93CB" w14:textId="77777777" w:rsidR="003F7821" w:rsidRPr="003B3BB0" w:rsidRDefault="003F7821" w:rsidP="003B3BB0">
            <w:pPr>
              <w:jc w:val="right"/>
              <w:rPr>
                <w:color w:val="000000"/>
                <w:sz w:val="22"/>
                <w:szCs w:val="22"/>
              </w:rPr>
            </w:pPr>
          </w:p>
        </w:tc>
      </w:tr>
      <w:tr w:rsidR="003F7821" w:rsidRPr="008A3E4E" w14:paraId="3995ADA9"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C39223" w14:textId="77777777" w:rsidR="003F7821" w:rsidRPr="003B3BB0" w:rsidRDefault="003F7821" w:rsidP="00651367">
            <w:pPr>
              <w:jc w:val="both"/>
              <w:rPr>
                <w:color w:val="000000"/>
                <w:sz w:val="22"/>
                <w:szCs w:val="22"/>
              </w:rPr>
            </w:pPr>
            <w:r w:rsidRPr="003B3BB0">
              <w:rPr>
                <w:color w:val="000000"/>
                <w:sz w:val="22"/>
                <w:szCs w:val="22"/>
              </w:rPr>
              <w:t>2002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CA3330"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1A969F" w14:textId="77777777" w:rsidR="003F7821" w:rsidRPr="003B3BB0" w:rsidRDefault="003F7821" w:rsidP="003B3BB0">
            <w:pPr>
              <w:jc w:val="right"/>
              <w:rPr>
                <w:color w:val="000000"/>
                <w:sz w:val="22"/>
                <w:szCs w:val="22"/>
              </w:rPr>
            </w:pPr>
            <w:r w:rsidRPr="003B3BB0">
              <w:rPr>
                <w:color w:val="000000"/>
                <w:sz w:val="22"/>
                <w:szCs w:val="22"/>
              </w:rPr>
              <w:t>18.8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137F8" w14:textId="77777777" w:rsidR="003F7821" w:rsidRPr="003B3BB0" w:rsidRDefault="003F7821" w:rsidP="003B3BB0">
            <w:pPr>
              <w:jc w:val="right"/>
              <w:rPr>
                <w:color w:val="000000"/>
                <w:sz w:val="22"/>
                <w:szCs w:val="22"/>
              </w:rPr>
            </w:pPr>
            <w:r w:rsidRPr="003B3BB0">
              <w:rPr>
                <w:color w:val="000000"/>
                <w:sz w:val="22"/>
                <w:szCs w:val="22"/>
              </w:rPr>
              <w:t>41.7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9CCF48" w14:textId="77777777" w:rsidR="003F7821" w:rsidRPr="003B3BB0" w:rsidRDefault="003F7821" w:rsidP="003B3BB0">
            <w:pPr>
              <w:jc w:val="right"/>
              <w:rPr>
                <w:color w:val="000000"/>
                <w:sz w:val="22"/>
                <w:szCs w:val="22"/>
              </w:rPr>
            </w:pPr>
            <w:r w:rsidRPr="003B3BB0">
              <w:rPr>
                <w:color w:val="000000"/>
                <w:sz w:val="22"/>
                <w:szCs w:val="22"/>
              </w:rPr>
              <w:t>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8BABF" w14:textId="77777777" w:rsidR="003F7821" w:rsidRPr="003B3BB0" w:rsidRDefault="003F7821" w:rsidP="003B3BB0">
            <w:pPr>
              <w:jc w:val="right"/>
              <w:rPr>
                <w:color w:val="000000"/>
                <w:sz w:val="22"/>
                <w:szCs w:val="22"/>
              </w:rPr>
            </w:pPr>
            <w:r w:rsidRPr="003B3BB0">
              <w:rPr>
                <w:color w:val="000000"/>
                <w:sz w:val="22"/>
                <w:szCs w:val="22"/>
              </w:rPr>
              <w:t>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B11710" w14:textId="77777777" w:rsidR="003F7821" w:rsidRPr="003B3BB0" w:rsidRDefault="003F7821" w:rsidP="003B3BB0">
            <w:pPr>
              <w:jc w:val="right"/>
              <w:rPr>
                <w:color w:val="000000"/>
                <w:sz w:val="22"/>
                <w:szCs w:val="22"/>
              </w:rPr>
            </w:pPr>
            <w:r w:rsidRPr="003B3BB0">
              <w:rPr>
                <w:color w:val="000000"/>
                <w:sz w:val="22"/>
                <w:szCs w:val="22"/>
              </w:rPr>
              <w:t>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CEAD62" w14:textId="77777777" w:rsidR="003F7821" w:rsidRPr="003B3BB0" w:rsidRDefault="003F7821" w:rsidP="003B3BB0">
            <w:pPr>
              <w:jc w:val="right"/>
              <w:rPr>
                <w:color w:val="000000"/>
                <w:sz w:val="22"/>
                <w:szCs w:val="22"/>
              </w:rPr>
            </w:pPr>
            <w:r w:rsidRPr="003B3BB0">
              <w:rPr>
                <w:color w:val="000000"/>
                <w:sz w:val="22"/>
                <w:szCs w:val="22"/>
              </w:rPr>
              <w:t>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DE6A02" w14:textId="77777777" w:rsidR="003F7821" w:rsidRPr="003B3BB0" w:rsidRDefault="003F7821" w:rsidP="003B3BB0">
            <w:pPr>
              <w:jc w:val="right"/>
              <w:rPr>
                <w:color w:val="000000"/>
                <w:sz w:val="22"/>
                <w:szCs w:val="22"/>
              </w:rPr>
            </w:pPr>
          </w:p>
        </w:tc>
      </w:tr>
      <w:tr w:rsidR="003F7821" w:rsidRPr="008A3E4E" w14:paraId="7928F8A1"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340B8E" w14:textId="77777777" w:rsidR="003F7821" w:rsidRPr="003B3BB0" w:rsidRDefault="003F7821" w:rsidP="003B3BB0">
            <w:pPr>
              <w:jc w:val="both"/>
              <w:rPr>
                <w:color w:val="000000"/>
                <w:sz w:val="22"/>
                <w:szCs w:val="22"/>
              </w:rPr>
            </w:pPr>
            <w:r w:rsidRPr="003B3BB0">
              <w:rPr>
                <w:color w:val="000000"/>
                <w:sz w:val="22"/>
                <w:szCs w:val="22"/>
              </w:rPr>
              <w:t>2003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AC1449"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931C38" w14:textId="77777777" w:rsidR="003F7821" w:rsidRPr="003B3BB0" w:rsidRDefault="003F7821" w:rsidP="00651367">
            <w:pPr>
              <w:jc w:val="right"/>
              <w:rPr>
                <w:color w:val="000000"/>
                <w:sz w:val="22"/>
                <w:szCs w:val="22"/>
              </w:rPr>
            </w:pPr>
            <w:r w:rsidRPr="003B3BB0">
              <w:rPr>
                <w:color w:val="000000"/>
                <w:sz w:val="22"/>
                <w:szCs w:val="22"/>
              </w:rPr>
              <w:t>12.3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AE792C" w14:textId="77777777" w:rsidR="003F7821" w:rsidRPr="003B3BB0" w:rsidRDefault="003F7821" w:rsidP="00651367">
            <w:pPr>
              <w:jc w:val="right"/>
              <w:rPr>
                <w:color w:val="000000"/>
                <w:sz w:val="22"/>
                <w:szCs w:val="22"/>
              </w:rPr>
            </w:pPr>
            <w:r w:rsidRPr="003B3BB0">
              <w:rPr>
                <w:color w:val="000000"/>
                <w:sz w:val="22"/>
                <w:szCs w:val="22"/>
              </w:rPr>
              <w:t>57.8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6B44F5" w14:textId="77777777" w:rsidR="003F7821" w:rsidRPr="003B3BB0" w:rsidRDefault="003F7821" w:rsidP="00651367">
            <w:pPr>
              <w:jc w:val="right"/>
              <w:rPr>
                <w:color w:val="000000"/>
                <w:sz w:val="22"/>
                <w:szCs w:val="22"/>
              </w:rPr>
            </w:pPr>
            <w:r w:rsidRPr="003B3BB0">
              <w:rPr>
                <w:color w:val="000000"/>
                <w:sz w:val="22"/>
                <w:szCs w:val="22"/>
              </w:rPr>
              <w:t>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138C8" w14:textId="77777777" w:rsidR="003F7821" w:rsidRPr="003B3BB0" w:rsidRDefault="003F7821" w:rsidP="00651367">
            <w:pPr>
              <w:jc w:val="right"/>
              <w:rPr>
                <w:color w:val="000000"/>
                <w:sz w:val="22"/>
                <w:szCs w:val="22"/>
              </w:rPr>
            </w:pPr>
            <w:r w:rsidRPr="003B3BB0">
              <w:rPr>
                <w:color w:val="000000"/>
                <w:sz w:val="22"/>
                <w:szCs w:val="22"/>
              </w:rPr>
              <w:t>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2C18F7" w14:textId="77777777" w:rsidR="003F7821" w:rsidRPr="003B3BB0" w:rsidRDefault="003F7821" w:rsidP="00651367">
            <w:pPr>
              <w:jc w:val="right"/>
              <w:rPr>
                <w:color w:val="000000"/>
                <w:sz w:val="22"/>
                <w:szCs w:val="22"/>
              </w:rPr>
            </w:pPr>
            <w:r w:rsidRPr="003B3BB0">
              <w:rPr>
                <w:color w:val="000000"/>
                <w:sz w:val="22"/>
                <w:szCs w:val="22"/>
              </w:rPr>
              <w:t>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C67A13" w14:textId="77777777" w:rsidR="003F7821" w:rsidRPr="003B3BB0" w:rsidRDefault="003F7821" w:rsidP="00651367">
            <w:pPr>
              <w:jc w:val="right"/>
              <w:rPr>
                <w:color w:val="000000"/>
                <w:sz w:val="22"/>
                <w:szCs w:val="22"/>
              </w:rPr>
            </w:pPr>
            <w:r w:rsidRPr="003B3BB0">
              <w:rPr>
                <w:color w:val="000000"/>
                <w:sz w:val="22"/>
                <w:szCs w:val="22"/>
              </w:rPr>
              <w:t>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45E32D" w14:textId="77777777" w:rsidR="003F7821" w:rsidRPr="003B3BB0" w:rsidRDefault="003F7821" w:rsidP="003B3BB0">
            <w:pPr>
              <w:jc w:val="right"/>
              <w:rPr>
                <w:color w:val="000000"/>
                <w:sz w:val="22"/>
                <w:szCs w:val="22"/>
              </w:rPr>
            </w:pPr>
          </w:p>
        </w:tc>
      </w:tr>
      <w:tr w:rsidR="003F7821" w:rsidRPr="008A3E4E" w14:paraId="5D625479"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D73D0A" w14:textId="77777777" w:rsidR="003F7821" w:rsidRPr="003B3BB0" w:rsidRDefault="003F7821" w:rsidP="003B3BB0">
            <w:pPr>
              <w:jc w:val="both"/>
              <w:rPr>
                <w:color w:val="000000"/>
                <w:sz w:val="22"/>
                <w:szCs w:val="22"/>
              </w:rPr>
            </w:pPr>
            <w:r w:rsidRPr="003B3BB0">
              <w:rPr>
                <w:color w:val="000000"/>
                <w:sz w:val="22"/>
                <w:szCs w:val="22"/>
              </w:rPr>
              <w:t>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4D688B"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B09A61" w14:textId="77777777" w:rsidR="003F7821" w:rsidRPr="003B3BB0" w:rsidRDefault="003F7821" w:rsidP="00651367">
            <w:pPr>
              <w:jc w:val="right"/>
              <w:rPr>
                <w:color w:val="000000"/>
                <w:sz w:val="22"/>
                <w:szCs w:val="22"/>
              </w:rPr>
            </w:pPr>
            <w:r w:rsidRPr="003B3BB0">
              <w:rPr>
                <w:color w:val="000000"/>
                <w:sz w:val="22"/>
                <w:szCs w:val="22"/>
              </w:rPr>
              <w:t>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1F34B6" w14:textId="77777777" w:rsidR="003F7821" w:rsidRPr="003B3BB0" w:rsidRDefault="003F7821" w:rsidP="00651367">
            <w:pPr>
              <w:jc w:val="right"/>
              <w:rPr>
                <w:color w:val="000000"/>
                <w:sz w:val="22"/>
                <w:szCs w:val="22"/>
              </w:rPr>
            </w:pPr>
            <w:r w:rsidRPr="003B3BB0">
              <w:rPr>
                <w:color w:val="000000"/>
                <w:sz w:val="22"/>
                <w:szCs w:val="22"/>
              </w:rPr>
              <w:t>71.4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35E9CF" w14:textId="77777777" w:rsidR="003F7821" w:rsidRPr="003B3BB0" w:rsidRDefault="003F7821" w:rsidP="00651367">
            <w:pPr>
              <w:jc w:val="right"/>
              <w:rPr>
                <w:color w:val="000000"/>
                <w:sz w:val="22"/>
                <w:szCs w:val="22"/>
              </w:rPr>
            </w:pPr>
            <w:r w:rsidRPr="003B3BB0">
              <w:rPr>
                <w:color w:val="000000"/>
                <w:sz w:val="22"/>
                <w:szCs w:val="22"/>
              </w:rPr>
              <w:t>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576CCF" w14:textId="77777777" w:rsidR="003F7821" w:rsidRPr="003B3BB0" w:rsidRDefault="003F7821" w:rsidP="00651367">
            <w:pPr>
              <w:jc w:val="right"/>
              <w:rPr>
                <w:color w:val="000000"/>
                <w:sz w:val="22"/>
                <w:szCs w:val="22"/>
              </w:rPr>
            </w:pPr>
            <w:r w:rsidRPr="003B3BB0">
              <w:rPr>
                <w:color w:val="000000"/>
                <w:sz w:val="22"/>
                <w:szCs w:val="22"/>
              </w:rPr>
              <w:t>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F62D65" w14:textId="77777777" w:rsidR="003F7821" w:rsidRPr="003B3BB0" w:rsidRDefault="003F7821" w:rsidP="00651367">
            <w:pPr>
              <w:jc w:val="right"/>
              <w:rPr>
                <w:color w:val="000000"/>
                <w:sz w:val="22"/>
                <w:szCs w:val="22"/>
              </w:rPr>
            </w:pPr>
            <w:r w:rsidRPr="003B3BB0">
              <w:rPr>
                <w:color w:val="000000"/>
                <w:sz w:val="22"/>
                <w:szCs w:val="22"/>
              </w:rPr>
              <w:t>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38609F" w14:textId="77777777" w:rsidR="003F7821" w:rsidRPr="003B3BB0" w:rsidRDefault="003F7821" w:rsidP="00651367">
            <w:pPr>
              <w:jc w:val="right"/>
              <w:rPr>
                <w:color w:val="000000"/>
                <w:sz w:val="22"/>
                <w:szCs w:val="22"/>
              </w:rPr>
            </w:pPr>
            <w:r w:rsidRPr="003B3BB0">
              <w:rPr>
                <w:color w:val="000000"/>
                <w:sz w:val="22"/>
                <w:szCs w:val="22"/>
              </w:rPr>
              <w:t>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DF80F1" w14:textId="77777777" w:rsidR="003F7821" w:rsidRPr="003B3BB0" w:rsidRDefault="003F7821" w:rsidP="003B3BB0">
            <w:pPr>
              <w:jc w:val="right"/>
              <w:rPr>
                <w:color w:val="000000"/>
                <w:sz w:val="22"/>
                <w:szCs w:val="22"/>
              </w:rPr>
            </w:pPr>
          </w:p>
        </w:tc>
      </w:tr>
      <w:tr w:rsidR="003F7821" w:rsidRPr="008A3E4E" w14:paraId="01D1DDA6"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F8545" w14:textId="77777777" w:rsidR="003F7821" w:rsidRPr="003B3BB0" w:rsidRDefault="003F7821" w:rsidP="003B3BB0">
            <w:pPr>
              <w:jc w:val="both"/>
              <w:rPr>
                <w:color w:val="000000"/>
                <w:sz w:val="22"/>
                <w:szCs w:val="22"/>
              </w:rPr>
            </w:pPr>
            <w:r w:rsidRPr="003B3BB0">
              <w:rPr>
                <w:color w:val="000000"/>
                <w:sz w:val="22"/>
                <w:szCs w:val="22"/>
              </w:rPr>
              <w:t>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B85D58"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1B211" w14:textId="77777777" w:rsidR="003F7821" w:rsidRPr="003B3BB0" w:rsidRDefault="003F7821" w:rsidP="00651367">
            <w:pPr>
              <w:jc w:val="right"/>
              <w:rPr>
                <w:color w:val="000000"/>
                <w:sz w:val="22"/>
                <w:szCs w:val="22"/>
              </w:rPr>
            </w:pPr>
            <w:r w:rsidRPr="003B3BB0">
              <w:rPr>
                <w:color w:val="000000"/>
                <w:sz w:val="22"/>
                <w:szCs w:val="22"/>
              </w:rPr>
              <w:t>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78F962" w14:textId="77777777" w:rsidR="003F7821" w:rsidRPr="003B3BB0" w:rsidRDefault="003F7821" w:rsidP="00651367">
            <w:pPr>
              <w:jc w:val="right"/>
              <w:rPr>
                <w:color w:val="000000"/>
                <w:sz w:val="22"/>
                <w:szCs w:val="22"/>
              </w:rPr>
            </w:pPr>
            <w:r w:rsidRPr="003B3BB0">
              <w:rPr>
                <w:color w:val="000000"/>
                <w:sz w:val="22"/>
                <w:szCs w:val="22"/>
              </w:rPr>
              <w:t>71.4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04222E" w14:textId="77777777" w:rsidR="003F7821" w:rsidRPr="003B3BB0" w:rsidRDefault="003F7821" w:rsidP="00651367">
            <w:pPr>
              <w:jc w:val="right"/>
              <w:rPr>
                <w:color w:val="000000"/>
                <w:sz w:val="22"/>
                <w:szCs w:val="22"/>
              </w:rPr>
            </w:pPr>
            <w:r w:rsidRPr="003B3BB0">
              <w:rPr>
                <w:color w:val="000000"/>
                <w:sz w:val="22"/>
                <w:szCs w:val="22"/>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A02908" w14:textId="77777777" w:rsidR="003F7821" w:rsidRPr="003B3BB0" w:rsidRDefault="003F7821" w:rsidP="00651367">
            <w:pPr>
              <w:jc w:val="right"/>
              <w:rPr>
                <w:color w:val="000000"/>
                <w:sz w:val="22"/>
                <w:szCs w:val="22"/>
              </w:rPr>
            </w:pPr>
            <w:r w:rsidRPr="003B3BB0">
              <w:rPr>
                <w:color w:val="000000"/>
                <w:sz w:val="22"/>
                <w:szCs w:val="22"/>
              </w:rPr>
              <w:t>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530E71" w14:textId="77777777" w:rsidR="003F7821" w:rsidRPr="003B3BB0" w:rsidRDefault="003F7821" w:rsidP="00651367">
            <w:pPr>
              <w:jc w:val="right"/>
              <w:rPr>
                <w:color w:val="000000"/>
                <w:sz w:val="22"/>
                <w:szCs w:val="22"/>
              </w:rPr>
            </w:pPr>
            <w:r w:rsidRPr="003B3BB0">
              <w:rPr>
                <w:color w:val="000000"/>
                <w:sz w:val="22"/>
                <w:szCs w:val="22"/>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DECAE" w14:textId="77777777" w:rsidR="003F7821" w:rsidRPr="003B3BB0" w:rsidRDefault="003F7821" w:rsidP="00651367">
            <w:pPr>
              <w:jc w:val="right"/>
              <w:rPr>
                <w:color w:val="000000"/>
                <w:sz w:val="22"/>
                <w:szCs w:val="22"/>
              </w:rPr>
            </w:pPr>
            <w:r w:rsidRPr="003B3BB0">
              <w:rPr>
                <w:color w:val="000000"/>
                <w:sz w:val="22"/>
                <w:szCs w:val="22"/>
              </w:rPr>
              <w:t>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4D8AC7" w14:textId="77777777" w:rsidR="003F7821" w:rsidRPr="003B3BB0" w:rsidRDefault="003F7821" w:rsidP="003B3BB0">
            <w:pPr>
              <w:jc w:val="right"/>
              <w:rPr>
                <w:color w:val="000000"/>
                <w:sz w:val="22"/>
                <w:szCs w:val="22"/>
              </w:rPr>
            </w:pPr>
          </w:p>
        </w:tc>
      </w:tr>
      <w:tr w:rsidR="003F7821" w:rsidRPr="008A3E4E" w14:paraId="2B72B8C9"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0DC41" w14:textId="77777777" w:rsidR="003F7821" w:rsidRPr="003B3BB0" w:rsidRDefault="003F7821" w:rsidP="003B3BB0">
            <w:pPr>
              <w:jc w:val="both"/>
              <w:rPr>
                <w:color w:val="000000"/>
                <w:sz w:val="22"/>
                <w:szCs w:val="22"/>
              </w:rPr>
            </w:pPr>
            <w:r w:rsidRPr="003B3BB0">
              <w:rPr>
                <w:color w:val="000000"/>
                <w:sz w:val="22"/>
                <w:szCs w:val="22"/>
              </w:rPr>
              <w:t>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E973C"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7CBFAD" w14:textId="77777777" w:rsidR="003F7821" w:rsidRPr="003B3BB0" w:rsidRDefault="003F7821" w:rsidP="00651367">
            <w:pPr>
              <w:jc w:val="right"/>
              <w:rPr>
                <w:color w:val="000000"/>
                <w:sz w:val="22"/>
                <w:szCs w:val="22"/>
              </w:rPr>
            </w:pPr>
            <w:r w:rsidRPr="003B3BB0">
              <w:rPr>
                <w:color w:val="000000"/>
                <w:sz w:val="22"/>
                <w:szCs w:val="22"/>
              </w:rPr>
              <w:t>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D21262" w14:textId="77777777" w:rsidR="003F7821" w:rsidRPr="003B3BB0" w:rsidRDefault="003F7821" w:rsidP="00651367">
            <w:pPr>
              <w:jc w:val="right"/>
              <w:rPr>
                <w:color w:val="000000"/>
                <w:sz w:val="22"/>
                <w:szCs w:val="22"/>
              </w:rPr>
            </w:pPr>
            <w:r w:rsidRPr="003B3BB0">
              <w:rPr>
                <w:color w:val="000000"/>
                <w:sz w:val="22"/>
                <w:szCs w:val="22"/>
              </w:rPr>
              <w:t>23.6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81ED5" w14:textId="77777777" w:rsidR="003F7821" w:rsidRPr="003B3BB0" w:rsidRDefault="003F7821" w:rsidP="00651367">
            <w:pPr>
              <w:jc w:val="right"/>
              <w:rPr>
                <w:color w:val="000000"/>
                <w:sz w:val="22"/>
                <w:szCs w:val="22"/>
              </w:rPr>
            </w:pPr>
            <w:r w:rsidRPr="003B3BB0">
              <w:rPr>
                <w:color w:val="000000"/>
                <w:sz w:val="22"/>
                <w:szCs w:val="22"/>
              </w:rPr>
              <w:t>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639411" w14:textId="77777777" w:rsidR="003F7821" w:rsidRPr="003B3BB0" w:rsidRDefault="003F7821" w:rsidP="00651367">
            <w:pPr>
              <w:jc w:val="right"/>
              <w:rPr>
                <w:color w:val="000000"/>
                <w:sz w:val="22"/>
                <w:szCs w:val="22"/>
              </w:rPr>
            </w:pPr>
            <w:r w:rsidRPr="003B3BB0">
              <w:rPr>
                <w:color w:val="000000"/>
                <w:sz w:val="22"/>
                <w:szCs w:val="22"/>
              </w:rPr>
              <w:t>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341CFB" w14:textId="77777777" w:rsidR="003F7821" w:rsidRPr="003B3BB0" w:rsidRDefault="003F7821" w:rsidP="00651367">
            <w:pPr>
              <w:jc w:val="right"/>
              <w:rPr>
                <w:color w:val="000000"/>
                <w:sz w:val="22"/>
                <w:szCs w:val="22"/>
              </w:rPr>
            </w:pPr>
            <w:r w:rsidRPr="003B3BB0">
              <w:rPr>
                <w:color w:val="000000"/>
                <w:sz w:val="22"/>
                <w:szCs w:val="22"/>
              </w:rPr>
              <w:t>32.3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4883A0" w14:textId="77777777" w:rsidR="003F7821" w:rsidRPr="003B3BB0" w:rsidRDefault="003F7821" w:rsidP="00651367">
            <w:pPr>
              <w:jc w:val="right"/>
              <w:rPr>
                <w:color w:val="000000"/>
                <w:sz w:val="22"/>
                <w:szCs w:val="22"/>
              </w:rPr>
            </w:pPr>
            <w:r w:rsidRPr="003B3BB0">
              <w:rPr>
                <w:color w:val="000000"/>
                <w:sz w:val="22"/>
                <w:szCs w:val="22"/>
              </w:rPr>
              <w:t>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EE850A" w14:textId="77777777" w:rsidR="003F7821" w:rsidRPr="003B3BB0" w:rsidRDefault="003F7821" w:rsidP="003B3BB0">
            <w:pPr>
              <w:jc w:val="right"/>
              <w:rPr>
                <w:color w:val="000000"/>
                <w:sz w:val="22"/>
                <w:szCs w:val="22"/>
              </w:rPr>
            </w:pPr>
          </w:p>
        </w:tc>
      </w:tr>
      <w:tr w:rsidR="003F7821" w:rsidRPr="008A3E4E" w14:paraId="55920C76"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27BD13" w14:textId="77777777" w:rsidR="003F7821" w:rsidRPr="003B3BB0" w:rsidRDefault="003F7821" w:rsidP="003B3BB0">
            <w:pPr>
              <w:jc w:val="both"/>
              <w:rPr>
                <w:color w:val="000000"/>
                <w:sz w:val="22"/>
                <w:szCs w:val="22"/>
              </w:rPr>
            </w:pPr>
            <w:r w:rsidRPr="003B3BB0">
              <w:rPr>
                <w:color w:val="000000"/>
                <w:sz w:val="22"/>
                <w:szCs w:val="22"/>
              </w:rPr>
              <w:t>2007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8D7BBC"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0C29F"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C73A30" w14:textId="77777777" w:rsidR="003F7821" w:rsidRPr="003B3BB0" w:rsidRDefault="003F7821" w:rsidP="00651367">
            <w:pPr>
              <w:jc w:val="right"/>
              <w:rPr>
                <w:color w:val="000000"/>
                <w:sz w:val="22"/>
                <w:szCs w:val="22"/>
              </w:rPr>
            </w:pPr>
            <w:r w:rsidRPr="003B3BB0">
              <w:rPr>
                <w:color w:val="000000"/>
                <w:sz w:val="22"/>
                <w:szCs w:val="22"/>
              </w:rPr>
              <w:t>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FF08B" w14:textId="77777777" w:rsidR="003F7821" w:rsidRPr="003B3BB0" w:rsidRDefault="003F7821" w:rsidP="00651367">
            <w:pPr>
              <w:jc w:val="right"/>
              <w:rPr>
                <w:color w:val="000000"/>
                <w:sz w:val="22"/>
                <w:szCs w:val="22"/>
              </w:rPr>
            </w:pPr>
            <w:r w:rsidRPr="003B3BB0">
              <w:rPr>
                <w:color w:val="000000"/>
                <w:sz w:val="22"/>
                <w:szCs w:val="22"/>
              </w:rPr>
              <w:t>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8BEBAC" w14:textId="77777777" w:rsidR="003F7821" w:rsidRPr="003B3BB0" w:rsidRDefault="003F7821" w:rsidP="00651367">
            <w:pPr>
              <w:jc w:val="right"/>
              <w:rPr>
                <w:color w:val="000000"/>
                <w:sz w:val="22"/>
                <w:szCs w:val="22"/>
              </w:rPr>
            </w:pPr>
            <w:r w:rsidRPr="003B3BB0">
              <w:rPr>
                <w:color w:val="000000"/>
                <w:sz w:val="22"/>
                <w:szCs w:val="22"/>
              </w:rPr>
              <w:t>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D03E4" w14:textId="77777777" w:rsidR="003F7821" w:rsidRPr="003B3BB0" w:rsidRDefault="003F7821" w:rsidP="00651367">
            <w:pPr>
              <w:jc w:val="right"/>
              <w:rPr>
                <w:color w:val="000000"/>
                <w:sz w:val="22"/>
                <w:szCs w:val="22"/>
              </w:rPr>
            </w:pPr>
            <w:r w:rsidRPr="003B3BB0">
              <w:rPr>
                <w:color w:val="000000"/>
                <w:sz w:val="22"/>
                <w:szCs w:val="22"/>
              </w:rPr>
              <w:t>35.4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EB3CEF" w14:textId="77777777" w:rsidR="003F7821" w:rsidRPr="003B3BB0" w:rsidRDefault="003F7821" w:rsidP="00651367">
            <w:pPr>
              <w:jc w:val="right"/>
              <w:rPr>
                <w:color w:val="000000"/>
                <w:sz w:val="22"/>
                <w:szCs w:val="22"/>
              </w:rPr>
            </w:pPr>
            <w:r w:rsidRPr="003B3BB0">
              <w:rPr>
                <w:color w:val="000000"/>
                <w:sz w:val="22"/>
                <w:szCs w:val="22"/>
              </w:rPr>
              <w:t>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D8772" w14:textId="77777777" w:rsidR="003F7821" w:rsidRPr="003B3BB0" w:rsidRDefault="003F7821" w:rsidP="003B3BB0">
            <w:pPr>
              <w:jc w:val="right"/>
              <w:rPr>
                <w:color w:val="000000"/>
                <w:sz w:val="22"/>
                <w:szCs w:val="22"/>
              </w:rPr>
            </w:pPr>
          </w:p>
        </w:tc>
      </w:tr>
      <w:tr w:rsidR="003F7821" w:rsidRPr="008A3E4E" w14:paraId="0CDF2221"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4E1DB" w14:textId="77777777" w:rsidR="003F7821" w:rsidRPr="003B3BB0" w:rsidRDefault="003F7821" w:rsidP="003B3BB0">
            <w:pPr>
              <w:jc w:val="both"/>
              <w:rPr>
                <w:color w:val="000000"/>
                <w:sz w:val="22"/>
                <w:szCs w:val="22"/>
              </w:rPr>
            </w:pPr>
            <w:r w:rsidRPr="003B3BB0">
              <w:rPr>
                <w:color w:val="000000"/>
                <w:sz w:val="22"/>
                <w:szCs w:val="22"/>
              </w:rPr>
              <w:t>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898A56"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8D0823"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7E3382"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AC165" w14:textId="77777777" w:rsidR="003F7821" w:rsidRPr="003B3BB0" w:rsidRDefault="003F7821" w:rsidP="00651367">
            <w:pPr>
              <w:jc w:val="right"/>
              <w:rPr>
                <w:color w:val="000000"/>
                <w:sz w:val="22"/>
                <w:szCs w:val="22"/>
              </w:rPr>
            </w:pPr>
            <w:r w:rsidRPr="003B3BB0">
              <w:rPr>
                <w:color w:val="000000"/>
                <w:sz w:val="22"/>
                <w:szCs w:val="22"/>
              </w:rPr>
              <w:t>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29F7E3" w14:textId="77777777" w:rsidR="003F7821" w:rsidRPr="003B3BB0" w:rsidRDefault="003F7821" w:rsidP="00651367">
            <w:pPr>
              <w:jc w:val="right"/>
              <w:rPr>
                <w:color w:val="000000"/>
                <w:sz w:val="22"/>
                <w:szCs w:val="22"/>
              </w:rPr>
            </w:pPr>
            <w:r w:rsidRPr="003B3BB0">
              <w:rPr>
                <w:color w:val="000000"/>
                <w:sz w:val="22"/>
                <w:szCs w:val="22"/>
              </w:rPr>
              <w:t>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17A226" w14:textId="77777777" w:rsidR="003F7821" w:rsidRPr="003B3BB0" w:rsidRDefault="003F7821" w:rsidP="00651367">
            <w:pPr>
              <w:jc w:val="right"/>
              <w:rPr>
                <w:color w:val="000000"/>
                <w:sz w:val="22"/>
                <w:szCs w:val="22"/>
              </w:rPr>
            </w:pPr>
            <w:r w:rsidRPr="003B3BB0">
              <w:rPr>
                <w:color w:val="000000"/>
                <w:sz w:val="22"/>
                <w:szCs w:val="22"/>
              </w:rPr>
              <w:t>36.2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B447BF" w14:textId="77777777" w:rsidR="003F7821" w:rsidRPr="003B3BB0" w:rsidRDefault="003F7821" w:rsidP="00651367">
            <w:pPr>
              <w:jc w:val="right"/>
              <w:rPr>
                <w:color w:val="000000"/>
                <w:sz w:val="22"/>
                <w:szCs w:val="22"/>
              </w:rPr>
            </w:pPr>
            <w:r w:rsidRPr="003B3BB0">
              <w:rPr>
                <w:color w:val="000000"/>
                <w:sz w:val="22"/>
                <w:szCs w:val="22"/>
              </w:rPr>
              <w:t>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315036" w14:textId="77777777" w:rsidR="003F7821" w:rsidRPr="003B3BB0" w:rsidRDefault="003F7821" w:rsidP="003B3BB0">
            <w:pPr>
              <w:jc w:val="right"/>
              <w:rPr>
                <w:color w:val="000000"/>
                <w:sz w:val="22"/>
                <w:szCs w:val="22"/>
              </w:rPr>
            </w:pPr>
          </w:p>
        </w:tc>
      </w:tr>
      <w:tr w:rsidR="003F7821" w:rsidRPr="008A3E4E" w14:paraId="16688981"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CFECA" w14:textId="77777777" w:rsidR="003F7821" w:rsidRPr="003B3BB0" w:rsidRDefault="003F7821" w:rsidP="003B3BB0">
            <w:pPr>
              <w:jc w:val="both"/>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376B11"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3434B"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095F1A"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22D88"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E98004"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E0E97B"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69C6DC"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FEC216" w14:textId="77777777" w:rsidR="003F7821" w:rsidRPr="003B3BB0" w:rsidRDefault="003F7821" w:rsidP="003B3BB0">
            <w:pPr>
              <w:jc w:val="right"/>
              <w:rPr>
                <w:color w:val="000000"/>
                <w:sz w:val="22"/>
                <w:szCs w:val="22"/>
              </w:rPr>
            </w:pPr>
          </w:p>
        </w:tc>
      </w:tr>
      <w:tr w:rsidR="003F7821" w:rsidRPr="008A3E4E" w14:paraId="62547713"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FE697" w14:textId="77777777" w:rsidR="003F7821" w:rsidRPr="003B3BB0" w:rsidRDefault="003F7821" w:rsidP="003B3BB0">
            <w:pPr>
              <w:jc w:val="both"/>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EE08B2" w14:textId="77777777" w:rsidR="003F7821" w:rsidRPr="003B3BB0" w:rsidRDefault="003F7821" w:rsidP="003B3BB0">
            <w:pPr>
              <w:jc w:val="right"/>
              <w:rPr>
                <w:color w:val="000000"/>
                <w:sz w:val="22"/>
                <w:szCs w:val="22"/>
              </w:rPr>
            </w:pPr>
          </w:p>
        </w:tc>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64D06655" w14:textId="77777777" w:rsidR="003F7821" w:rsidRPr="003B3BB0" w:rsidRDefault="003F7821" w:rsidP="00651367">
            <w:pPr>
              <w:rPr>
                <w:i/>
                <w:color w:val="000000"/>
                <w:sz w:val="22"/>
                <w:szCs w:val="22"/>
              </w:rPr>
            </w:pPr>
            <w:r w:rsidRPr="003B3BB0">
              <w:rPr>
                <w:i/>
                <w:color w:val="000000"/>
                <w:sz w:val="22"/>
                <w:szCs w:val="22"/>
              </w:rPr>
              <w:t>Cumulative attrition rate (after the panel year,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F2CAA2" w14:textId="77777777" w:rsidR="003F7821" w:rsidRPr="003B3BB0" w:rsidRDefault="003F7821" w:rsidP="003B3BB0">
            <w:pPr>
              <w:jc w:val="right"/>
              <w:rPr>
                <w:color w:val="000000"/>
                <w:sz w:val="22"/>
                <w:szCs w:val="22"/>
              </w:rPr>
            </w:pPr>
          </w:p>
        </w:tc>
      </w:tr>
      <w:tr w:rsidR="003F7821" w:rsidRPr="008A3E4E" w14:paraId="4D5C047B"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690604" w14:textId="77777777" w:rsidR="003F7821" w:rsidRPr="003B3BB0" w:rsidRDefault="003F7821" w:rsidP="003B3BB0">
            <w:pPr>
              <w:jc w:val="both"/>
              <w:rPr>
                <w:color w:val="000000"/>
                <w:sz w:val="22"/>
                <w:szCs w:val="22"/>
              </w:rPr>
            </w:pPr>
            <w:r w:rsidRPr="003B3BB0">
              <w:rPr>
                <w:color w:val="000000"/>
                <w:sz w:val="22"/>
                <w:szCs w:val="22"/>
              </w:rPr>
              <w:t>2002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18B9CC"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9C81A1" w14:textId="77777777" w:rsidR="003F7821" w:rsidRPr="003B3BB0" w:rsidRDefault="003F7821" w:rsidP="00651367">
            <w:pPr>
              <w:jc w:val="right"/>
              <w:rPr>
                <w:color w:val="000000"/>
                <w:sz w:val="22"/>
                <w:szCs w:val="22"/>
              </w:rPr>
            </w:pPr>
            <w:r w:rsidRPr="003B3BB0">
              <w:rPr>
                <w:color w:val="000000"/>
                <w:sz w:val="22"/>
                <w:szCs w:val="22"/>
              </w:rPr>
              <w:t>18.8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25D202" w14:textId="77777777" w:rsidR="003F7821" w:rsidRPr="003B3BB0" w:rsidRDefault="003F7821" w:rsidP="00651367">
            <w:pPr>
              <w:jc w:val="right"/>
              <w:rPr>
                <w:color w:val="000000"/>
                <w:sz w:val="22"/>
                <w:szCs w:val="22"/>
              </w:rPr>
            </w:pPr>
            <w:r w:rsidRPr="003B3BB0">
              <w:rPr>
                <w:color w:val="000000"/>
                <w:sz w:val="22"/>
                <w:szCs w:val="22"/>
              </w:rPr>
              <w:t>52.7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F66C5E" w14:textId="77777777" w:rsidR="003F7821" w:rsidRPr="003B3BB0" w:rsidRDefault="003F7821" w:rsidP="00651367">
            <w:pPr>
              <w:jc w:val="right"/>
              <w:rPr>
                <w:color w:val="000000"/>
                <w:sz w:val="22"/>
                <w:szCs w:val="22"/>
              </w:rPr>
            </w:pPr>
            <w:r w:rsidRPr="003B3BB0">
              <w:rPr>
                <w:color w:val="000000"/>
                <w:sz w:val="22"/>
                <w:szCs w:val="22"/>
              </w:rPr>
              <w:t>53.9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A84397" w14:textId="77777777" w:rsidR="003F7821" w:rsidRPr="003B3BB0" w:rsidRDefault="003F7821" w:rsidP="00651367">
            <w:pPr>
              <w:jc w:val="right"/>
              <w:rPr>
                <w:color w:val="000000"/>
                <w:sz w:val="22"/>
                <w:szCs w:val="22"/>
              </w:rPr>
            </w:pPr>
            <w:r w:rsidRPr="003B3BB0">
              <w:rPr>
                <w:color w:val="000000"/>
                <w:sz w:val="22"/>
                <w:szCs w:val="22"/>
              </w:rPr>
              <w:t>55.8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35D1D8" w14:textId="77777777" w:rsidR="003F7821" w:rsidRPr="003B3BB0" w:rsidRDefault="003F7821" w:rsidP="00651367">
            <w:pPr>
              <w:jc w:val="right"/>
              <w:rPr>
                <w:color w:val="000000"/>
                <w:sz w:val="22"/>
                <w:szCs w:val="22"/>
              </w:rPr>
            </w:pPr>
            <w:r w:rsidRPr="003B3BB0">
              <w:rPr>
                <w:color w:val="000000"/>
                <w:sz w:val="22"/>
                <w:szCs w:val="22"/>
              </w:rPr>
              <w:t>56.8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C02B14" w14:textId="77777777" w:rsidR="003F7821" w:rsidRPr="003B3BB0" w:rsidRDefault="003F7821" w:rsidP="00651367">
            <w:pPr>
              <w:jc w:val="right"/>
              <w:rPr>
                <w:color w:val="000000"/>
                <w:sz w:val="22"/>
                <w:szCs w:val="22"/>
              </w:rPr>
            </w:pPr>
            <w:r w:rsidRPr="003B3BB0">
              <w:rPr>
                <w:color w:val="000000"/>
                <w:sz w:val="22"/>
                <w:szCs w:val="22"/>
              </w:rPr>
              <w:t>57.4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416F6A" w14:textId="77777777" w:rsidR="003F7821" w:rsidRPr="003B3BB0" w:rsidRDefault="003F7821" w:rsidP="003B3BB0">
            <w:pPr>
              <w:jc w:val="right"/>
              <w:rPr>
                <w:color w:val="000000"/>
                <w:sz w:val="22"/>
                <w:szCs w:val="22"/>
              </w:rPr>
            </w:pPr>
          </w:p>
        </w:tc>
      </w:tr>
      <w:tr w:rsidR="003F7821" w:rsidRPr="008A3E4E" w14:paraId="3BFBBE93"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4CDC1" w14:textId="77777777" w:rsidR="003F7821" w:rsidRPr="003B3BB0" w:rsidRDefault="003F7821" w:rsidP="003B3BB0">
            <w:pPr>
              <w:jc w:val="both"/>
              <w:rPr>
                <w:color w:val="000000"/>
                <w:sz w:val="22"/>
                <w:szCs w:val="22"/>
              </w:rPr>
            </w:pPr>
            <w:r w:rsidRPr="003B3BB0">
              <w:rPr>
                <w:color w:val="000000"/>
                <w:sz w:val="22"/>
                <w:szCs w:val="22"/>
              </w:rPr>
              <w:t>2003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F6549B"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18A2F0" w14:textId="77777777" w:rsidR="003F7821" w:rsidRPr="003B3BB0" w:rsidRDefault="003F7821" w:rsidP="00651367">
            <w:pPr>
              <w:jc w:val="right"/>
              <w:rPr>
                <w:color w:val="000000"/>
                <w:sz w:val="22"/>
                <w:szCs w:val="22"/>
              </w:rPr>
            </w:pPr>
            <w:r w:rsidRPr="003B3BB0">
              <w:rPr>
                <w:color w:val="000000"/>
                <w:sz w:val="22"/>
                <w:szCs w:val="22"/>
              </w:rPr>
              <w:t>12.3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2FA8DC" w14:textId="77777777" w:rsidR="003F7821" w:rsidRPr="003B3BB0" w:rsidRDefault="003F7821" w:rsidP="00651367">
            <w:pPr>
              <w:jc w:val="right"/>
              <w:rPr>
                <w:color w:val="000000"/>
                <w:sz w:val="22"/>
                <w:szCs w:val="22"/>
              </w:rPr>
            </w:pPr>
            <w:r w:rsidRPr="003B3BB0">
              <w:rPr>
                <w:color w:val="000000"/>
                <w:sz w:val="22"/>
                <w:szCs w:val="22"/>
              </w:rPr>
              <w:t>63.0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6DA0F8" w14:textId="77777777" w:rsidR="003F7821" w:rsidRPr="003B3BB0" w:rsidRDefault="003F7821" w:rsidP="00651367">
            <w:pPr>
              <w:jc w:val="right"/>
              <w:rPr>
                <w:color w:val="000000"/>
                <w:sz w:val="22"/>
                <w:szCs w:val="22"/>
              </w:rPr>
            </w:pPr>
            <w:r w:rsidRPr="003B3BB0">
              <w:rPr>
                <w:color w:val="000000"/>
                <w:sz w:val="22"/>
                <w:szCs w:val="22"/>
              </w:rPr>
              <w:t>63.3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C5018B" w14:textId="77777777" w:rsidR="003F7821" w:rsidRPr="003B3BB0" w:rsidRDefault="003F7821" w:rsidP="00651367">
            <w:pPr>
              <w:jc w:val="right"/>
              <w:rPr>
                <w:color w:val="000000"/>
                <w:sz w:val="22"/>
                <w:szCs w:val="22"/>
              </w:rPr>
            </w:pPr>
            <w:r w:rsidRPr="003B3BB0">
              <w:rPr>
                <w:color w:val="000000"/>
                <w:sz w:val="22"/>
                <w:szCs w:val="22"/>
              </w:rPr>
              <w:t>64.8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D9005D" w14:textId="77777777" w:rsidR="003F7821" w:rsidRPr="003B3BB0" w:rsidRDefault="003F7821" w:rsidP="00651367">
            <w:pPr>
              <w:jc w:val="right"/>
              <w:rPr>
                <w:color w:val="000000"/>
                <w:sz w:val="22"/>
                <w:szCs w:val="22"/>
              </w:rPr>
            </w:pPr>
            <w:r w:rsidRPr="003B3BB0">
              <w:rPr>
                <w:color w:val="000000"/>
                <w:sz w:val="22"/>
                <w:szCs w:val="22"/>
              </w:rPr>
              <w:t>65.8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EF96DD" w14:textId="77777777" w:rsidR="003F7821" w:rsidRPr="003B3BB0" w:rsidRDefault="003F7821" w:rsidP="00651367">
            <w:pPr>
              <w:jc w:val="right"/>
              <w:rPr>
                <w:color w:val="000000"/>
                <w:sz w:val="22"/>
                <w:szCs w:val="22"/>
              </w:rPr>
            </w:pPr>
            <w:r w:rsidRPr="003B3BB0">
              <w:rPr>
                <w:color w:val="000000"/>
                <w:sz w:val="22"/>
                <w:szCs w:val="22"/>
              </w:rPr>
              <w:t>66.3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7B586A" w14:textId="77777777" w:rsidR="003F7821" w:rsidRPr="003B3BB0" w:rsidRDefault="003F7821" w:rsidP="003B3BB0">
            <w:pPr>
              <w:jc w:val="right"/>
              <w:rPr>
                <w:color w:val="000000"/>
                <w:sz w:val="22"/>
                <w:szCs w:val="22"/>
              </w:rPr>
            </w:pPr>
          </w:p>
        </w:tc>
      </w:tr>
      <w:tr w:rsidR="003F7821" w:rsidRPr="008A3E4E" w14:paraId="6A4CC9DF"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CAEA50" w14:textId="77777777" w:rsidR="003F7821" w:rsidRPr="003B3BB0" w:rsidRDefault="003F7821" w:rsidP="003B3BB0">
            <w:pPr>
              <w:jc w:val="both"/>
              <w:rPr>
                <w:color w:val="000000"/>
                <w:sz w:val="22"/>
                <w:szCs w:val="22"/>
              </w:rPr>
            </w:pPr>
            <w:r w:rsidRPr="003B3BB0">
              <w:rPr>
                <w:color w:val="000000"/>
                <w:sz w:val="22"/>
                <w:szCs w:val="22"/>
              </w:rPr>
              <w:t>2004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8BE1E4"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65D812" w14:textId="77777777" w:rsidR="003F7821" w:rsidRPr="003B3BB0" w:rsidRDefault="003F7821" w:rsidP="00651367">
            <w:pPr>
              <w:jc w:val="right"/>
              <w:rPr>
                <w:color w:val="000000"/>
                <w:sz w:val="22"/>
                <w:szCs w:val="22"/>
              </w:rPr>
            </w:pPr>
            <w:r w:rsidRPr="003B3BB0">
              <w:rPr>
                <w:color w:val="000000"/>
                <w:sz w:val="22"/>
                <w:szCs w:val="22"/>
              </w:rPr>
              <w:t>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F0820" w14:textId="77777777" w:rsidR="003F7821" w:rsidRPr="003B3BB0" w:rsidRDefault="003F7821" w:rsidP="00651367">
            <w:pPr>
              <w:jc w:val="right"/>
              <w:rPr>
                <w:color w:val="000000"/>
                <w:sz w:val="22"/>
                <w:szCs w:val="22"/>
              </w:rPr>
            </w:pPr>
            <w:r w:rsidRPr="003B3BB0">
              <w:rPr>
                <w:color w:val="000000"/>
                <w:sz w:val="22"/>
                <w:szCs w:val="22"/>
              </w:rPr>
              <w:t>73.1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878873" w14:textId="77777777" w:rsidR="003F7821" w:rsidRPr="003B3BB0" w:rsidRDefault="003F7821" w:rsidP="00651367">
            <w:pPr>
              <w:jc w:val="right"/>
              <w:rPr>
                <w:color w:val="000000"/>
                <w:sz w:val="22"/>
                <w:szCs w:val="22"/>
              </w:rPr>
            </w:pPr>
            <w:r w:rsidRPr="003B3BB0">
              <w:rPr>
                <w:color w:val="000000"/>
                <w:sz w:val="22"/>
                <w:szCs w:val="22"/>
              </w:rPr>
              <w:t>73.5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A4892" w14:textId="77777777" w:rsidR="003F7821" w:rsidRPr="003B3BB0" w:rsidRDefault="003F7821" w:rsidP="00651367">
            <w:pPr>
              <w:jc w:val="right"/>
              <w:rPr>
                <w:color w:val="000000"/>
                <w:sz w:val="22"/>
                <w:szCs w:val="22"/>
              </w:rPr>
            </w:pPr>
            <w:r w:rsidRPr="003B3BB0">
              <w:rPr>
                <w:color w:val="000000"/>
                <w:sz w:val="22"/>
                <w:szCs w:val="22"/>
              </w:rPr>
              <w:t>73.5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EC3A2" w14:textId="77777777" w:rsidR="003F7821" w:rsidRPr="003B3BB0" w:rsidRDefault="003F7821" w:rsidP="00651367">
            <w:pPr>
              <w:jc w:val="right"/>
              <w:rPr>
                <w:color w:val="000000"/>
                <w:sz w:val="22"/>
                <w:szCs w:val="22"/>
              </w:rPr>
            </w:pPr>
            <w:r w:rsidRPr="003B3BB0">
              <w:rPr>
                <w:color w:val="000000"/>
                <w:sz w:val="22"/>
                <w:szCs w:val="22"/>
              </w:rPr>
              <w:t>73.8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741058" w14:textId="77777777" w:rsidR="003F7821" w:rsidRPr="003B3BB0" w:rsidRDefault="003F7821" w:rsidP="00651367">
            <w:pPr>
              <w:jc w:val="right"/>
              <w:rPr>
                <w:color w:val="000000"/>
                <w:sz w:val="22"/>
                <w:szCs w:val="22"/>
              </w:rPr>
            </w:pPr>
            <w:r w:rsidRPr="003B3BB0">
              <w:rPr>
                <w:color w:val="000000"/>
                <w:sz w:val="22"/>
                <w:szCs w:val="22"/>
              </w:rPr>
              <w:t>73.8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A3C86D" w14:textId="77777777" w:rsidR="003F7821" w:rsidRPr="003B3BB0" w:rsidRDefault="003F7821" w:rsidP="003B3BB0">
            <w:pPr>
              <w:jc w:val="right"/>
              <w:rPr>
                <w:color w:val="000000"/>
                <w:sz w:val="22"/>
                <w:szCs w:val="22"/>
              </w:rPr>
            </w:pPr>
          </w:p>
        </w:tc>
      </w:tr>
      <w:tr w:rsidR="003F7821" w:rsidRPr="008A3E4E" w14:paraId="6D540CB9"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E96CC5" w14:textId="77777777" w:rsidR="003F7821" w:rsidRPr="003B3BB0" w:rsidRDefault="003F7821" w:rsidP="003B3BB0">
            <w:pPr>
              <w:jc w:val="both"/>
              <w:rPr>
                <w:color w:val="000000"/>
                <w:sz w:val="22"/>
                <w:szCs w:val="22"/>
              </w:rPr>
            </w:pPr>
            <w:r w:rsidRPr="003B3BB0">
              <w:rPr>
                <w:color w:val="000000"/>
                <w:sz w:val="22"/>
                <w:szCs w:val="22"/>
              </w:rPr>
              <w:t>2005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FE8599"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583C16" w14:textId="77777777" w:rsidR="003F7821" w:rsidRPr="003B3BB0" w:rsidRDefault="003F7821" w:rsidP="00651367">
            <w:pPr>
              <w:jc w:val="right"/>
              <w:rPr>
                <w:color w:val="000000"/>
                <w:sz w:val="22"/>
                <w:szCs w:val="22"/>
              </w:rPr>
            </w:pPr>
            <w:r w:rsidRPr="003B3BB0">
              <w:rPr>
                <w:color w:val="000000"/>
                <w:sz w:val="22"/>
                <w:szCs w:val="22"/>
              </w:rPr>
              <w:t>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05FB6C" w14:textId="77777777" w:rsidR="003F7821" w:rsidRPr="003B3BB0" w:rsidRDefault="003F7821" w:rsidP="00651367">
            <w:pPr>
              <w:jc w:val="right"/>
              <w:rPr>
                <w:color w:val="000000"/>
                <w:sz w:val="22"/>
                <w:szCs w:val="22"/>
              </w:rPr>
            </w:pPr>
            <w:r w:rsidRPr="003B3BB0">
              <w:rPr>
                <w:color w:val="000000"/>
                <w:sz w:val="22"/>
                <w:szCs w:val="22"/>
              </w:rPr>
              <w:t>72.0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8B3992" w14:textId="77777777" w:rsidR="003F7821" w:rsidRPr="003B3BB0" w:rsidRDefault="003F7821" w:rsidP="00651367">
            <w:pPr>
              <w:jc w:val="right"/>
              <w:rPr>
                <w:color w:val="000000"/>
                <w:sz w:val="22"/>
                <w:szCs w:val="22"/>
              </w:rPr>
            </w:pPr>
            <w:r w:rsidRPr="003B3BB0">
              <w:rPr>
                <w:color w:val="000000"/>
                <w:sz w:val="22"/>
                <w:szCs w:val="22"/>
              </w:rPr>
              <w:t>72.3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2C7FFE" w14:textId="77777777" w:rsidR="003F7821" w:rsidRPr="003B3BB0" w:rsidRDefault="003F7821" w:rsidP="00651367">
            <w:pPr>
              <w:jc w:val="right"/>
              <w:rPr>
                <w:color w:val="000000"/>
                <w:sz w:val="22"/>
                <w:szCs w:val="22"/>
              </w:rPr>
            </w:pPr>
            <w:r w:rsidRPr="003B3BB0">
              <w:rPr>
                <w:color w:val="000000"/>
                <w:sz w:val="22"/>
                <w:szCs w:val="22"/>
              </w:rPr>
              <w:t>72.4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6E09B" w14:textId="77777777" w:rsidR="003F7821" w:rsidRPr="003B3BB0" w:rsidRDefault="003F7821" w:rsidP="00651367">
            <w:pPr>
              <w:jc w:val="right"/>
              <w:rPr>
                <w:color w:val="000000"/>
                <w:sz w:val="22"/>
                <w:szCs w:val="22"/>
              </w:rPr>
            </w:pPr>
            <w:r w:rsidRPr="003B3BB0">
              <w:rPr>
                <w:color w:val="000000"/>
                <w:sz w:val="22"/>
                <w:szCs w:val="22"/>
              </w:rPr>
              <w:t>72.7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537006" w14:textId="77777777" w:rsidR="003F7821" w:rsidRPr="003B3BB0" w:rsidRDefault="003F7821" w:rsidP="00651367">
            <w:pPr>
              <w:jc w:val="right"/>
              <w:rPr>
                <w:color w:val="000000"/>
                <w:sz w:val="22"/>
                <w:szCs w:val="22"/>
              </w:rPr>
            </w:pPr>
            <w:r w:rsidRPr="003B3BB0">
              <w:rPr>
                <w:color w:val="000000"/>
                <w:sz w:val="22"/>
                <w:szCs w:val="22"/>
              </w:rPr>
              <w:t>72.9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FD8E96" w14:textId="77777777" w:rsidR="003F7821" w:rsidRPr="003B3BB0" w:rsidRDefault="003F7821" w:rsidP="003B3BB0">
            <w:pPr>
              <w:jc w:val="right"/>
              <w:rPr>
                <w:color w:val="000000"/>
                <w:sz w:val="22"/>
                <w:szCs w:val="22"/>
              </w:rPr>
            </w:pPr>
          </w:p>
        </w:tc>
      </w:tr>
      <w:tr w:rsidR="003F7821" w:rsidRPr="008A3E4E" w14:paraId="32806E2D"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8F557" w14:textId="77777777" w:rsidR="003F7821" w:rsidRPr="003B3BB0" w:rsidRDefault="003F7821" w:rsidP="003B3BB0">
            <w:pPr>
              <w:jc w:val="both"/>
              <w:rPr>
                <w:color w:val="000000"/>
                <w:sz w:val="22"/>
                <w:szCs w:val="22"/>
              </w:rPr>
            </w:pPr>
            <w:r w:rsidRPr="003B3BB0">
              <w:rPr>
                <w:color w:val="000000"/>
                <w:sz w:val="22"/>
                <w:szCs w:val="22"/>
              </w:rPr>
              <w:t>2006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68E63E"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55B7FB" w14:textId="77777777" w:rsidR="003F7821" w:rsidRPr="003B3BB0" w:rsidRDefault="003F7821" w:rsidP="00651367">
            <w:pPr>
              <w:jc w:val="right"/>
              <w:rPr>
                <w:color w:val="000000"/>
                <w:sz w:val="22"/>
                <w:szCs w:val="22"/>
              </w:rPr>
            </w:pPr>
            <w:r w:rsidRPr="003B3BB0">
              <w:rPr>
                <w:color w:val="000000"/>
                <w:sz w:val="22"/>
                <w:szCs w:val="22"/>
              </w:rPr>
              <w:t>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8001C1" w14:textId="77777777" w:rsidR="003F7821" w:rsidRPr="003B3BB0" w:rsidRDefault="003F7821" w:rsidP="00651367">
            <w:pPr>
              <w:jc w:val="right"/>
              <w:rPr>
                <w:color w:val="000000"/>
                <w:sz w:val="22"/>
                <w:szCs w:val="22"/>
              </w:rPr>
            </w:pPr>
            <w:r w:rsidRPr="003B3BB0">
              <w:rPr>
                <w:color w:val="000000"/>
                <w:sz w:val="22"/>
                <w:szCs w:val="22"/>
              </w:rPr>
              <w:t>24.4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046C4" w14:textId="77777777" w:rsidR="003F7821" w:rsidRPr="003B3BB0" w:rsidRDefault="003F7821" w:rsidP="00651367">
            <w:pPr>
              <w:jc w:val="right"/>
              <w:rPr>
                <w:color w:val="000000"/>
                <w:sz w:val="22"/>
                <w:szCs w:val="22"/>
              </w:rPr>
            </w:pPr>
            <w:r w:rsidRPr="003B3BB0">
              <w:rPr>
                <w:color w:val="000000"/>
                <w:sz w:val="22"/>
                <w:szCs w:val="22"/>
              </w:rPr>
              <w:t>26.8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37BE7F" w14:textId="77777777" w:rsidR="003F7821" w:rsidRPr="003B3BB0" w:rsidRDefault="003F7821" w:rsidP="00651367">
            <w:pPr>
              <w:jc w:val="right"/>
              <w:rPr>
                <w:color w:val="000000"/>
                <w:sz w:val="22"/>
                <w:szCs w:val="22"/>
              </w:rPr>
            </w:pPr>
            <w:r w:rsidRPr="003B3BB0">
              <w:rPr>
                <w:color w:val="000000"/>
                <w:sz w:val="22"/>
                <w:szCs w:val="22"/>
              </w:rPr>
              <w:t>32.4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93DA30" w14:textId="77777777" w:rsidR="003F7821" w:rsidRPr="003B3BB0" w:rsidRDefault="003F7821" w:rsidP="00651367">
            <w:pPr>
              <w:jc w:val="right"/>
              <w:rPr>
                <w:color w:val="000000"/>
                <w:sz w:val="22"/>
                <w:szCs w:val="22"/>
              </w:rPr>
            </w:pPr>
            <w:r w:rsidRPr="003B3BB0">
              <w:rPr>
                <w:color w:val="000000"/>
                <w:sz w:val="22"/>
                <w:szCs w:val="22"/>
              </w:rPr>
              <w:t>54.3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264B4B" w14:textId="77777777" w:rsidR="003F7821" w:rsidRPr="003B3BB0" w:rsidRDefault="003F7821" w:rsidP="00651367">
            <w:pPr>
              <w:jc w:val="right"/>
              <w:rPr>
                <w:color w:val="000000"/>
                <w:sz w:val="22"/>
                <w:szCs w:val="22"/>
              </w:rPr>
            </w:pPr>
            <w:r w:rsidRPr="003B3BB0">
              <w:rPr>
                <w:color w:val="000000"/>
                <w:sz w:val="22"/>
                <w:szCs w:val="22"/>
              </w:rPr>
              <w:t>54.6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232647" w14:textId="77777777" w:rsidR="003F7821" w:rsidRPr="003B3BB0" w:rsidRDefault="003F7821" w:rsidP="003B3BB0">
            <w:pPr>
              <w:jc w:val="right"/>
              <w:rPr>
                <w:color w:val="000000"/>
                <w:sz w:val="22"/>
                <w:szCs w:val="22"/>
              </w:rPr>
            </w:pPr>
          </w:p>
        </w:tc>
      </w:tr>
      <w:tr w:rsidR="003F7821" w:rsidRPr="008A3E4E" w14:paraId="3B6CCA6E" w14:textId="77777777" w:rsidTr="00DD5B0D">
        <w:trPr>
          <w:trHeight w:val="300"/>
        </w:trPr>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040F92FC" w14:textId="77777777" w:rsidR="003F7821" w:rsidRPr="003B3BB0" w:rsidRDefault="003F7821" w:rsidP="003B3BB0">
            <w:pPr>
              <w:jc w:val="both"/>
              <w:rPr>
                <w:color w:val="000000"/>
                <w:sz w:val="22"/>
                <w:szCs w:val="22"/>
              </w:rPr>
            </w:pPr>
            <w:r w:rsidRPr="003B3BB0">
              <w:rPr>
                <w:color w:val="000000"/>
                <w:sz w:val="22"/>
                <w:szCs w:val="22"/>
              </w:rPr>
              <w:t>2007</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648690D5" w14:textId="77777777" w:rsidR="003F7821" w:rsidRPr="003B3BB0" w:rsidRDefault="003F7821" w:rsidP="003B3BB0">
            <w:pPr>
              <w:jc w:val="right"/>
              <w:rPr>
                <w:color w:val="000000"/>
                <w:sz w:val="22"/>
                <w:szCs w:val="22"/>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196F1991" w14:textId="77777777" w:rsidR="003F7821" w:rsidRPr="003B3BB0" w:rsidRDefault="003F7821" w:rsidP="00651367">
            <w:pPr>
              <w:jc w:val="right"/>
              <w:rPr>
                <w:color w:val="000000"/>
                <w:sz w:val="22"/>
                <w:szCs w:val="22"/>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56348F83" w14:textId="77777777" w:rsidR="003F7821" w:rsidRPr="003B3BB0" w:rsidRDefault="003F7821" w:rsidP="00651367">
            <w:pPr>
              <w:jc w:val="right"/>
              <w:rPr>
                <w:color w:val="000000"/>
                <w:sz w:val="22"/>
                <w:szCs w:val="22"/>
              </w:rPr>
            </w:pPr>
            <w:r w:rsidRPr="003B3BB0">
              <w:rPr>
                <w:color w:val="000000"/>
                <w:sz w:val="22"/>
                <w:szCs w:val="22"/>
              </w:rPr>
              <w:t>2.2</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9728B80" w14:textId="77777777" w:rsidR="003F7821" w:rsidRPr="003B3BB0" w:rsidRDefault="003F7821" w:rsidP="00651367">
            <w:pPr>
              <w:jc w:val="right"/>
              <w:rPr>
                <w:color w:val="000000"/>
                <w:sz w:val="22"/>
                <w:szCs w:val="22"/>
              </w:rPr>
            </w:pPr>
            <w:r w:rsidRPr="003B3BB0">
              <w:rPr>
                <w:color w:val="000000"/>
                <w:sz w:val="22"/>
                <w:szCs w:val="22"/>
              </w:rPr>
              <w:t>4.5</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7A5E9173" w14:textId="77777777" w:rsidR="003F7821" w:rsidRPr="003B3BB0" w:rsidRDefault="003F7821" w:rsidP="00651367">
            <w:pPr>
              <w:jc w:val="right"/>
              <w:rPr>
                <w:color w:val="000000"/>
                <w:sz w:val="22"/>
                <w:szCs w:val="22"/>
              </w:rPr>
            </w:pPr>
            <w:r w:rsidRPr="003B3BB0">
              <w:rPr>
                <w:color w:val="000000"/>
                <w:sz w:val="22"/>
                <w:szCs w:val="22"/>
              </w:rPr>
              <w:t>8.1</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18FEF4D2" w14:textId="77777777" w:rsidR="003F7821" w:rsidRPr="003B3BB0" w:rsidRDefault="003F7821" w:rsidP="00651367">
            <w:pPr>
              <w:jc w:val="right"/>
              <w:rPr>
                <w:color w:val="000000"/>
                <w:sz w:val="22"/>
                <w:szCs w:val="22"/>
              </w:rPr>
            </w:pPr>
            <w:r w:rsidRPr="003B3BB0">
              <w:rPr>
                <w:color w:val="000000"/>
                <w:sz w:val="22"/>
                <w:szCs w:val="22"/>
              </w:rPr>
              <w:t>40.6</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0802E280" w14:textId="77777777" w:rsidR="003F7821" w:rsidRPr="003B3BB0" w:rsidRDefault="003F7821" w:rsidP="00651367">
            <w:pPr>
              <w:jc w:val="right"/>
              <w:rPr>
                <w:color w:val="000000"/>
                <w:sz w:val="22"/>
                <w:szCs w:val="22"/>
              </w:rPr>
            </w:pPr>
            <w:r w:rsidRPr="003B3BB0">
              <w:rPr>
                <w:color w:val="000000"/>
                <w:sz w:val="22"/>
                <w:szCs w:val="22"/>
              </w:rPr>
              <w:t>41.3</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71B8038A" w14:textId="77777777" w:rsidR="003F7821" w:rsidRPr="003B3BB0" w:rsidRDefault="003F7821" w:rsidP="003B3BB0">
            <w:pPr>
              <w:jc w:val="right"/>
              <w:rPr>
                <w:color w:val="000000"/>
                <w:sz w:val="22"/>
                <w:szCs w:val="22"/>
              </w:rPr>
            </w:pPr>
          </w:p>
        </w:tc>
      </w:tr>
      <w:tr w:rsidR="003F7821" w:rsidRPr="008A3E4E" w14:paraId="719B5110"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9EBD32" w14:textId="77777777" w:rsidR="003F7821" w:rsidRPr="003B3BB0" w:rsidRDefault="003F7821" w:rsidP="003B3BB0">
            <w:pPr>
              <w:jc w:val="both"/>
              <w:rPr>
                <w:color w:val="000000"/>
                <w:sz w:val="22"/>
                <w:szCs w:val="22"/>
              </w:rPr>
            </w:pPr>
            <w:r w:rsidRPr="003B3BB0">
              <w:rPr>
                <w:color w:val="000000"/>
                <w:sz w:val="22"/>
                <w:szCs w:val="22"/>
              </w:rPr>
              <w:t>2008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CCFBD4" w14:textId="77777777" w:rsidR="003F7821" w:rsidRPr="003B3BB0" w:rsidRDefault="003F7821" w:rsidP="003B3BB0">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E5FDF5" w14:textId="77777777" w:rsidR="003F7821" w:rsidRPr="003B3BB0" w:rsidRDefault="003F7821" w:rsidP="00651367">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4C8948" w14:textId="77777777" w:rsidR="003F7821" w:rsidRPr="003B3BB0" w:rsidRDefault="003F7821" w:rsidP="00651367">
            <w:pPr>
              <w:jc w:val="right"/>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3B4A92" w14:textId="77777777" w:rsidR="003F7821" w:rsidRPr="003B3BB0" w:rsidRDefault="003F7821" w:rsidP="00651367">
            <w:pPr>
              <w:jc w:val="right"/>
              <w:rPr>
                <w:color w:val="000000"/>
                <w:sz w:val="22"/>
                <w:szCs w:val="22"/>
              </w:rPr>
            </w:pPr>
            <w:r w:rsidRPr="003B3BB0">
              <w:rPr>
                <w:color w:val="000000"/>
                <w:sz w:val="22"/>
                <w:szCs w:val="22"/>
              </w:rPr>
              <w:t>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A8C4D0" w14:textId="77777777" w:rsidR="003F7821" w:rsidRPr="003B3BB0" w:rsidRDefault="003F7821" w:rsidP="00651367">
            <w:pPr>
              <w:jc w:val="right"/>
              <w:rPr>
                <w:color w:val="000000"/>
                <w:sz w:val="22"/>
                <w:szCs w:val="22"/>
              </w:rPr>
            </w:pPr>
            <w:r w:rsidRPr="003B3BB0">
              <w:rPr>
                <w:color w:val="000000"/>
                <w:sz w:val="22"/>
                <w:szCs w:val="22"/>
              </w:rPr>
              <w:t>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3507B" w14:textId="77777777" w:rsidR="003F7821" w:rsidRPr="003B3BB0" w:rsidRDefault="003F7821" w:rsidP="00651367">
            <w:pPr>
              <w:jc w:val="right"/>
              <w:rPr>
                <w:color w:val="000000"/>
                <w:sz w:val="22"/>
                <w:szCs w:val="22"/>
              </w:rPr>
            </w:pPr>
            <w:r w:rsidRPr="003B3BB0">
              <w:rPr>
                <w:color w:val="000000"/>
                <w:sz w:val="22"/>
                <w:szCs w:val="22"/>
              </w:rPr>
              <w:t>40.4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834E41" w14:textId="77777777" w:rsidR="003F7821" w:rsidRPr="003B3BB0" w:rsidRDefault="003F7821" w:rsidP="00651367">
            <w:pPr>
              <w:jc w:val="right"/>
              <w:rPr>
                <w:color w:val="000000"/>
                <w:sz w:val="22"/>
                <w:szCs w:val="22"/>
              </w:rPr>
            </w:pPr>
            <w:r w:rsidRPr="003B3BB0">
              <w:rPr>
                <w:color w:val="000000"/>
                <w:sz w:val="22"/>
                <w:szCs w:val="22"/>
              </w:rPr>
              <w:t>40.7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5E1011" w14:textId="77777777" w:rsidR="003F7821" w:rsidRPr="003B3BB0" w:rsidRDefault="003F7821" w:rsidP="003B3BB0">
            <w:pPr>
              <w:jc w:val="right"/>
              <w:rPr>
                <w:color w:val="000000"/>
                <w:sz w:val="22"/>
                <w:szCs w:val="22"/>
              </w:rPr>
            </w:pPr>
          </w:p>
        </w:tc>
      </w:tr>
      <w:tr w:rsidR="003F7821" w:rsidRPr="008A3E4E" w14:paraId="356990B2" w14:textId="77777777" w:rsidTr="00DD5B0D">
        <w:trPr>
          <w:trHeight w:val="300"/>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6E81BA70" w14:textId="77777777" w:rsidR="003F7821" w:rsidRPr="003B3BB0" w:rsidRDefault="003F7821" w:rsidP="003B3BB0">
            <w:pPr>
              <w:jc w:val="both"/>
              <w:rPr>
                <w:color w:val="000000"/>
                <w:sz w:val="22"/>
                <w:szCs w:val="22"/>
              </w:rPr>
            </w:pPr>
            <w:r w:rsidRPr="003B3BB0">
              <w:rPr>
                <w:color w:val="000000"/>
                <w:sz w:val="22"/>
                <w:szCs w:val="22"/>
              </w:rPr>
              <w:t>Total</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01DA3C9F" w14:textId="77777777" w:rsidR="003F7821" w:rsidRPr="003B3BB0" w:rsidRDefault="003F7821" w:rsidP="003B3BB0">
            <w:pPr>
              <w:jc w:val="right"/>
              <w:rPr>
                <w:color w:val="000000"/>
                <w:sz w:val="22"/>
                <w:szCs w:val="22"/>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2C5462D3" w14:textId="77777777" w:rsidR="003F7821" w:rsidRPr="003B3BB0" w:rsidRDefault="003F7821" w:rsidP="00651367">
            <w:pPr>
              <w:jc w:val="right"/>
              <w:rPr>
                <w:color w:val="000000"/>
                <w:sz w:val="22"/>
                <w:szCs w:val="22"/>
              </w:rPr>
            </w:pPr>
            <w:r w:rsidRPr="003B3BB0">
              <w:rPr>
                <w:color w:val="000000"/>
                <w:sz w:val="22"/>
                <w:szCs w:val="22"/>
              </w:rPr>
              <w:t>7.5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3C6001EF" w14:textId="77777777" w:rsidR="003F7821" w:rsidRPr="003B3BB0" w:rsidRDefault="003F7821" w:rsidP="00651367">
            <w:pPr>
              <w:jc w:val="right"/>
              <w:rPr>
                <w:color w:val="000000"/>
                <w:sz w:val="22"/>
                <w:szCs w:val="22"/>
              </w:rPr>
            </w:pPr>
            <w:r w:rsidRPr="003B3BB0">
              <w:rPr>
                <w:color w:val="000000"/>
                <w:sz w:val="22"/>
                <w:szCs w:val="22"/>
              </w:rPr>
              <w:t>39.2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4A371107" w14:textId="77777777" w:rsidR="003F7821" w:rsidRPr="003B3BB0" w:rsidRDefault="003F7821" w:rsidP="00651367">
            <w:pPr>
              <w:jc w:val="right"/>
              <w:rPr>
                <w:color w:val="000000"/>
                <w:sz w:val="22"/>
                <w:szCs w:val="22"/>
              </w:rPr>
            </w:pPr>
            <w:r w:rsidRPr="003B3BB0">
              <w:rPr>
                <w:color w:val="000000"/>
                <w:sz w:val="22"/>
                <w:szCs w:val="22"/>
              </w:rPr>
              <w:t>34.4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3D952644" w14:textId="77777777" w:rsidR="003F7821" w:rsidRPr="003B3BB0" w:rsidRDefault="003F7821" w:rsidP="00651367">
            <w:pPr>
              <w:jc w:val="right"/>
              <w:rPr>
                <w:color w:val="000000"/>
                <w:sz w:val="22"/>
                <w:szCs w:val="22"/>
              </w:rPr>
            </w:pPr>
            <w:r w:rsidRPr="003B3BB0">
              <w:rPr>
                <w:color w:val="000000"/>
                <w:sz w:val="22"/>
                <w:szCs w:val="22"/>
              </w:rPr>
              <w:t>37.0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1DE9C7B0" w14:textId="77777777" w:rsidR="003F7821" w:rsidRPr="003B3BB0" w:rsidRDefault="003F7821" w:rsidP="00651367">
            <w:pPr>
              <w:jc w:val="right"/>
              <w:rPr>
                <w:color w:val="000000"/>
                <w:sz w:val="22"/>
                <w:szCs w:val="22"/>
              </w:rPr>
            </w:pPr>
            <w:r w:rsidRPr="003B3BB0">
              <w:rPr>
                <w:color w:val="000000"/>
                <w:sz w:val="22"/>
                <w:szCs w:val="22"/>
              </w:rPr>
              <w:t>54.2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2C9E5B45" w14:textId="77777777" w:rsidR="003F7821" w:rsidRPr="003B3BB0" w:rsidRDefault="003F7821" w:rsidP="00651367">
            <w:pPr>
              <w:jc w:val="right"/>
              <w:rPr>
                <w:color w:val="000000"/>
                <w:sz w:val="22"/>
                <w:szCs w:val="22"/>
              </w:rPr>
            </w:pPr>
            <w:r w:rsidRPr="003B3BB0">
              <w:rPr>
                <w:color w:val="000000"/>
                <w:sz w:val="22"/>
                <w:szCs w:val="22"/>
              </w:rPr>
              <w:t>54.6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52201F9C" w14:textId="77777777" w:rsidR="003F7821" w:rsidRPr="003B3BB0" w:rsidRDefault="003F7821" w:rsidP="003B3BB0">
            <w:pPr>
              <w:jc w:val="right"/>
              <w:rPr>
                <w:color w:val="000000"/>
                <w:sz w:val="22"/>
                <w:szCs w:val="22"/>
              </w:rPr>
            </w:pPr>
          </w:p>
        </w:tc>
      </w:tr>
    </w:tbl>
    <w:p w14:paraId="2DE0BB28" w14:textId="77777777" w:rsidR="003F7821" w:rsidRPr="003B3BB0" w:rsidRDefault="003F7821" w:rsidP="003B3BB0">
      <w:pPr>
        <w:jc w:val="both"/>
        <w:rPr>
          <w:sz w:val="22"/>
          <w:szCs w:val="22"/>
        </w:rPr>
      </w:pPr>
    </w:p>
    <w:p w14:paraId="2178B3BE" w14:textId="77777777" w:rsidR="003F7821" w:rsidRPr="003B3BB0" w:rsidRDefault="003F7821" w:rsidP="003B3BB0">
      <w:pPr>
        <w:jc w:val="both"/>
        <w:rPr>
          <w:sz w:val="22"/>
          <w:szCs w:val="22"/>
        </w:rPr>
      </w:pPr>
      <w:r w:rsidRPr="003B3BB0">
        <w:rPr>
          <w:sz w:val="22"/>
          <w:szCs w:val="22"/>
        </w:rPr>
        <w:t>The National Survey Project cohort was recruited in 2009-2011. There was no attrition between 2009 and 2010. After 2010, 3 of the 488 individuals recruited in 2009 and 3 of the 67 individuals recruited in 2010 were removed from the panel, resulting in attrition rates of 0.6% and 4.5%, respectively, and a combined attrition rate of 1.1% and a RETR of 98.9%. Another 15 individuals from the 2009 recruits and none from 2010 and 2011 left the panel after 2011, resulting in attrition rates of 3.1%, 0%, and 0%, respectively. The cumulative attrition rates after 2011 were 3.7%, 4.5%, and 0%. The combined attrition rate after 2011 is 3.8% and the RETR is 96.2%.</w:t>
      </w:r>
    </w:p>
    <w:p w14:paraId="2E943B11" w14:textId="77777777" w:rsidR="003F7821" w:rsidRPr="003B3BB0" w:rsidRDefault="003F7821" w:rsidP="003B3BB0">
      <w:pPr>
        <w:jc w:val="both"/>
        <w:rPr>
          <w:sz w:val="22"/>
          <w:szCs w:val="22"/>
        </w:rPr>
      </w:pPr>
    </w:p>
    <w:p w14:paraId="07AADA1D" w14:textId="77777777" w:rsidR="003F7821" w:rsidRPr="003B3BB0" w:rsidRDefault="003F7821" w:rsidP="003B3BB0">
      <w:pPr>
        <w:jc w:val="both"/>
        <w:rPr>
          <w:sz w:val="22"/>
          <w:szCs w:val="22"/>
        </w:rPr>
      </w:pPr>
      <w:r w:rsidRPr="003B3BB0">
        <w:rPr>
          <w:sz w:val="22"/>
          <w:szCs w:val="22"/>
        </w:rPr>
        <w:t xml:space="preserve">Recruitment for the Vulnerable Populations cohort started in 2011, so there has not been any attrition before 2011. Of the 3759 individuals who were entered into the panel in 2011, 73 (1.9%) were removed during or after 2011. Note, however, that entering these individuals had not been completed yet by the end of 2011 (e.g., 265 additional individuals have been entered between January 1 and January 25, 2012). As indicated in the section on recruitment, 4331 individuals were recruited and 86% of these expressed interest in joining the panel, which would imply an attrition rate (as defined here) of 14% after 2011. </w:t>
      </w:r>
    </w:p>
    <w:p w14:paraId="407E4355" w14:textId="77777777" w:rsidR="003F7821" w:rsidRPr="003B3BB0" w:rsidRDefault="003F7821" w:rsidP="003B3BB0">
      <w:pPr>
        <w:jc w:val="both"/>
        <w:rPr>
          <w:sz w:val="22"/>
          <w:szCs w:val="22"/>
        </w:rPr>
      </w:pPr>
    </w:p>
    <w:p w14:paraId="46E9E194" w14:textId="77777777" w:rsidR="003F7821" w:rsidRPr="003B3BB0" w:rsidRDefault="003F7821" w:rsidP="003B3BB0">
      <w:pPr>
        <w:jc w:val="both"/>
        <w:rPr>
          <w:sz w:val="22"/>
          <w:szCs w:val="22"/>
        </w:rPr>
      </w:pPr>
      <w:r w:rsidRPr="003B3BB0">
        <w:rPr>
          <w:sz w:val="22"/>
          <w:szCs w:val="22"/>
        </w:rPr>
        <w:t>Table B.</w:t>
      </w:r>
      <w:r w:rsidR="003B3BB0">
        <w:rPr>
          <w:sz w:val="22"/>
          <w:szCs w:val="22"/>
        </w:rPr>
        <w:t>5</w:t>
      </w:r>
      <w:r w:rsidRPr="003B3BB0">
        <w:rPr>
          <w:sz w:val="22"/>
          <w:szCs w:val="22"/>
        </w:rPr>
        <w:t xml:space="preserve"> shows the reasons for attrition. It follows that the vast majority of "</w:t>
      </w:r>
      <w:proofErr w:type="spellStart"/>
      <w:r w:rsidRPr="003B3BB0">
        <w:rPr>
          <w:sz w:val="22"/>
          <w:szCs w:val="22"/>
        </w:rPr>
        <w:t>attritors</w:t>
      </w:r>
      <w:proofErr w:type="spellEnd"/>
      <w:r w:rsidRPr="003B3BB0">
        <w:rPr>
          <w:sz w:val="22"/>
          <w:szCs w:val="22"/>
        </w:rPr>
        <w:t>" are individuals who signed up for the panel but never actually participated and once active, individuals are much less likely to leave the panel. Note that "ineligible" and "died" should generally not be considered attrition. Rather, these individuals should be removed from both the numerator and the denominator of the attrition rates. Given their small numbers, the computed rates are not noticeabl</w:t>
      </w:r>
      <w:r w:rsidR="00276A6A">
        <w:rPr>
          <w:sz w:val="22"/>
          <w:szCs w:val="22"/>
        </w:rPr>
        <w:t>y</w:t>
      </w:r>
      <w:r w:rsidRPr="003B3BB0">
        <w:rPr>
          <w:sz w:val="22"/>
          <w:szCs w:val="22"/>
        </w:rPr>
        <w:t xml:space="preserve"> affected by their inclusion.</w:t>
      </w:r>
    </w:p>
    <w:p w14:paraId="157FD278" w14:textId="77777777" w:rsidR="003F7821" w:rsidRPr="003B3BB0" w:rsidRDefault="003F7821" w:rsidP="003B3BB0">
      <w:pPr>
        <w:jc w:val="both"/>
        <w:rPr>
          <w:sz w:val="22"/>
          <w:szCs w:val="22"/>
        </w:rPr>
      </w:pPr>
    </w:p>
    <w:p w14:paraId="63BA080E" w14:textId="77777777" w:rsidR="003F7821" w:rsidRPr="003B3BB0" w:rsidRDefault="003F7821" w:rsidP="003B3BB0">
      <w:pPr>
        <w:tabs>
          <w:tab w:val="left" w:pos="1360"/>
        </w:tabs>
        <w:jc w:val="both"/>
        <w:rPr>
          <w:sz w:val="22"/>
          <w:szCs w:val="22"/>
        </w:rPr>
      </w:pPr>
      <w:r w:rsidRPr="003B3BB0">
        <w:rPr>
          <w:b/>
          <w:sz w:val="22"/>
          <w:szCs w:val="22"/>
        </w:rPr>
        <w:t>Table B.</w:t>
      </w:r>
      <w:r w:rsidR="003B3BB0">
        <w:rPr>
          <w:b/>
          <w:sz w:val="22"/>
          <w:szCs w:val="22"/>
        </w:rPr>
        <w:t>5</w:t>
      </w:r>
      <w:r w:rsidRPr="003B3BB0">
        <w:rPr>
          <w:b/>
          <w:sz w:val="22"/>
          <w:szCs w:val="22"/>
        </w:rPr>
        <w:t>:</w:t>
      </w:r>
      <w:r w:rsidRPr="003B3BB0">
        <w:rPr>
          <w:sz w:val="22"/>
          <w:szCs w:val="22"/>
        </w:rPr>
        <w:t xml:space="preserve"> Reasons for attrition.</w:t>
      </w:r>
    </w:p>
    <w:tbl>
      <w:tblPr>
        <w:tblW w:w="7200" w:type="dxa"/>
        <w:tblCellMar>
          <w:left w:w="0" w:type="dxa"/>
          <w:right w:w="0" w:type="dxa"/>
        </w:tblCellMar>
        <w:tblLook w:val="04A0" w:firstRow="1" w:lastRow="0" w:firstColumn="1" w:lastColumn="0" w:noHBand="0" w:noVBand="1"/>
      </w:tblPr>
      <w:tblGrid>
        <w:gridCol w:w="4376"/>
        <w:gridCol w:w="1340"/>
        <w:gridCol w:w="1484"/>
      </w:tblGrid>
      <w:tr w:rsidR="003F7821" w:rsidRPr="008A3E4E" w14:paraId="674A0610" w14:textId="77777777" w:rsidTr="00DD5B0D">
        <w:trPr>
          <w:trHeight w:val="300"/>
        </w:trPr>
        <w:tc>
          <w:tcPr>
            <w:tcW w:w="424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2D3DF58" w14:textId="77777777" w:rsidR="003F7821" w:rsidRPr="008A3E4E" w:rsidRDefault="003F7821" w:rsidP="003B3BB0">
            <w:pPr>
              <w:jc w:val="both"/>
              <w:rPr>
                <w:color w:val="000000"/>
                <w:sz w:val="22"/>
                <w:szCs w:val="22"/>
              </w:rPr>
            </w:pPr>
            <w:r w:rsidRPr="008A3E4E">
              <w:rPr>
                <w:color w:val="000000"/>
                <w:sz w:val="22"/>
                <w:szCs w:val="22"/>
              </w:rPr>
              <w:t>Reason</w:t>
            </w:r>
          </w:p>
        </w:tc>
        <w:tc>
          <w:tcPr>
            <w:tcW w:w="130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52C2024" w14:textId="77777777" w:rsidR="003F7821" w:rsidRPr="008A3E4E" w:rsidRDefault="003F7821" w:rsidP="003B3BB0">
            <w:pPr>
              <w:jc w:val="right"/>
              <w:rPr>
                <w:color w:val="000000"/>
                <w:sz w:val="22"/>
                <w:szCs w:val="22"/>
              </w:rPr>
            </w:pPr>
            <w:r w:rsidRPr="008A3E4E">
              <w:rPr>
                <w:color w:val="000000"/>
                <w:sz w:val="22"/>
                <w:szCs w:val="22"/>
              </w:rPr>
              <w:t>Number</w:t>
            </w:r>
          </w:p>
        </w:tc>
        <w:tc>
          <w:tcPr>
            <w:tcW w:w="14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8D9D194" w14:textId="77777777" w:rsidR="003F7821" w:rsidRPr="008A3E4E" w:rsidRDefault="003F7821" w:rsidP="003B3BB0">
            <w:pPr>
              <w:jc w:val="right"/>
              <w:rPr>
                <w:color w:val="000000"/>
                <w:sz w:val="22"/>
                <w:szCs w:val="22"/>
              </w:rPr>
            </w:pPr>
            <w:r w:rsidRPr="008A3E4E">
              <w:rPr>
                <w:color w:val="000000"/>
                <w:sz w:val="22"/>
                <w:szCs w:val="22"/>
              </w:rPr>
              <w:t>Percent</w:t>
            </w:r>
          </w:p>
        </w:tc>
      </w:tr>
      <w:tr w:rsidR="003F7821" w:rsidRPr="008A3E4E" w14:paraId="2663634B" w14:textId="77777777" w:rsidTr="00DD5B0D">
        <w:trPr>
          <w:trHeight w:val="300"/>
        </w:trPr>
        <w:tc>
          <w:tcPr>
            <w:tcW w:w="424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DD771DA" w14:textId="77777777" w:rsidR="003F7821" w:rsidRPr="008A3E4E" w:rsidRDefault="003F7821" w:rsidP="003B3BB0">
            <w:pPr>
              <w:jc w:val="both"/>
              <w:rPr>
                <w:color w:val="000000"/>
                <w:sz w:val="22"/>
                <w:szCs w:val="22"/>
              </w:rPr>
            </w:pPr>
            <w:r w:rsidRPr="008A3E4E">
              <w:rPr>
                <w:color w:val="000000"/>
                <w:sz w:val="22"/>
                <w:szCs w:val="22"/>
              </w:rPr>
              <w:t>Ineligible for the panel</w:t>
            </w:r>
          </w:p>
        </w:tc>
        <w:tc>
          <w:tcPr>
            <w:tcW w:w="130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D376A18" w14:textId="77777777" w:rsidR="003F7821" w:rsidRPr="008A3E4E" w:rsidRDefault="003F7821" w:rsidP="003B3BB0">
            <w:pPr>
              <w:jc w:val="right"/>
              <w:rPr>
                <w:color w:val="000000"/>
                <w:sz w:val="22"/>
                <w:szCs w:val="22"/>
              </w:rPr>
            </w:pPr>
            <w:r w:rsidRPr="008A3E4E">
              <w:rPr>
                <w:color w:val="000000"/>
                <w:sz w:val="22"/>
                <w:szCs w:val="22"/>
              </w:rPr>
              <w:t>13</w:t>
            </w:r>
          </w:p>
        </w:tc>
        <w:tc>
          <w:tcPr>
            <w:tcW w:w="144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1EE19E0" w14:textId="77777777" w:rsidR="003F7821" w:rsidRPr="008A3E4E" w:rsidRDefault="003F7821" w:rsidP="003B3BB0">
            <w:pPr>
              <w:jc w:val="right"/>
              <w:rPr>
                <w:color w:val="000000"/>
                <w:sz w:val="22"/>
                <w:szCs w:val="22"/>
              </w:rPr>
            </w:pPr>
            <w:r w:rsidRPr="008A3E4E">
              <w:rPr>
                <w:color w:val="000000"/>
                <w:sz w:val="22"/>
                <w:szCs w:val="22"/>
              </w:rPr>
              <w:t>0.5</w:t>
            </w:r>
          </w:p>
        </w:tc>
      </w:tr>
      <w:tr w:rsidR="003F7821" w:rsidRPr="008A3E4E" w14:paraId="0A725C9B" w14:textId="77777777" w:rsidTr="00DD5B0D">
        <w:trPr>
          <w:trHeight w:val="300"/>
        </w:trPr>
        <w:tc>
          <w:tcPr>
            <w:tcW w:w="4245" w:type="dxa"/>
            <w:tcBorders>
              <w:top w:val="nil"/>
              <w:left w:val="nil"/>
              <w:bottom w:val="nil"/>
              <w:right w:val="nil"/>
            </w:tcBorders>
            <w:shd w:val="clear" w:color="auto" w:fill="auto"/>
            <w:noWrap/>
            <w:tcMar>
              <w:top w:w="15" w:type="dxa"/>
              <w:left w:w="15" w:type="dxa"/>
              <w:bottom w:w="0" w:type="dxa"/>
              <w:right w:w="15" w:type="dxa"/>
            </w:tcMar>
            <w:vAlign w:val="bottom"/>
            <w:hideMark/>
          </w:tcPr>
          <w:p w14:paraId="4DE50193" w14:textId="77777777" w:rsidR="003F7821" w:rsidRPr="008A3E4E" w:rsidRDefault="003F7821" w:rsidP="003B3BB0">
            <w:pPr>
              <w:jc w:val="both"/>
              <w:rPr>
                <w:color w:val="000000"/>
                <w:sz w:val="22"/>
                <w:szCs w:val="22"/>
              </w:rPr>
            </w:pPr>
            <w:r w:rsidRPr="008A3E4E">
              <w:rPr>
                <w:color w:val="000000"/>
                <w:sz w:val="22"/>
                <w:szCs w:val="22"/>
              </w:rPr>
              <w:t>Died</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657A4043" w14:textId="77777777" w:rsidR="003F7821" w:rsidRPr="008A3E4E" w:rsidRDefault="003F7821" w:rsidP="003B3BB0">
            <w:pPr>
              <w:jc w:val="right"/>
              <w:rPr>
                <w:color w:val="000000"/>
                <w:sz w:val="22"/>
                <w:szCs w:val="22"/>
              </w:rPr>
            </w:pPr>
            <w:r w:rsidRPr="008A3E4E">
              <w:rPr>
                <w:color w:val="000000"/>
                <w:sz w:val="22"/>
                <w:szCs w:val="22"/>
              </w:rPr>
              <w:t>44</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14:paraId="1E003EB5" w14:textId="77777777" w:rsidR="003F7821" w:rsidRPr="008A3E4E" w:rsidRDefault="003F7821" w:rsidP="003B3BB0">
            <w:pPr>
              <w:jc w:val="right"/>
              <w:rPr>
                <w:color w:val="000000"/>
                <w:sz w:val="22"/>
                <w:szCs w:val="22"/>
              </w:rPr>
            </w:pPr>
            <w:r w:rsidRPr="008A3E4E">
              <w:rPr>
                <w:color w:val="000000"/>
                <w:sz w:val="22"/>
                <w:szCs w:val="22"/>
              </w:rPr>
              <w:t>1.7</w:t>
            </w:r>
          </w:p>
        </w:tc>
      </w:tr>
      <w:tr w:rsidR="003F7821" w:rsidRPr="008A3E4E" w14:paraId="20BBC079" w14:textId="77777777" w:rsidTr="00DD5B0D">
        <w:trPr>
          <w:trHeight w:val="300"/>
        </w:trPr>
        <w:tc>
          <w:tcPr>
            <w:tcW w:w="4245" w:type="dxa"/>
            <w:tcBorders>
              <w:top w:val="nil"/>
              <w:left w:val="nil"/>
              <w:bottom w:val="nil"/>
              <w:right w:val="nil"/>
            </w:tcBorders>
            <w:shd w:val="clear" w:color="auto" w:fill="auto"/>
            <w:noWrap/>
            <w:tcMar>
              <w:top w:w="15" w:type="dxa"/>
              <w:left w:w="15" w:type="dxa"/>
              <w:bottom w:w="0" w:type="dxa"/>
              <w:right w:w="15" w:type="dxa"/>
            </w:tcMar>
            <w:vAlign w:val="bottom"/>
            <w:hideMark/>
          </w:tcPr>
          <w:p w14:paraId="60575849" w14:textId="77777777" w:rsidR="003F7821" w:rsidRPr="008A3E4E" w:rsidRDefault="003F7821" w:rsidP="003B3BB0">
            <w:pPr>
              <w:jc w:val="both"/>
              <w:rPr>
                <w:color w:val="000000"/>
                <w:sz w:val="22"/>
                <w:szCs w:val="22"/>
              </w:rPr>
            </w:pPr>
            <w:r w:rsidRPr="008A3E4E">
              <w:rPr>
                <w:color w:val="000000"/>
                <w:sz w:val="22"/>
                <w:szCs w:val="22"/>
              </w:rPr>
              <w:t>Unable to (re)contact</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11E2C848" w14:textId="77777777" w:rsidR="003F7821" w:rsidRPr="008A3E4E" w:rsidRDefault="003F7821" w:rsidP="003B3BB0">
            <w:pPr>
              <w:jc w:val="right"/>
              <w:rPr>
                <w:color w:val="000000"/>
                <w:sz w:val="22"/>
                <w:szCs w:val="22"/>
              </w:rPr>
            </w:pPr>
            <w:r w:rsidRPr="008A3E4E">
              <w:rPr>
                <w:color w:val="000000"/>
                <w:sz w:val="22"/>
                <w:szCs w:val="22"/>
              </w:rPr>
              <w:t>167</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14:paraId="442A2AE1" w14:textId="77777777" w:rsidR="003F7821" w:rsidRPr="008A3E4E" w:rsidRDefault="003F7821" w:rsidP="003B3BB0">
            <w:pPr>
              <w:jc w:val="right"/>
              <w:rPr>
                <w:color w:val="000000"/>
                <w:sz w:val="22"/>
                <w:szCs w:val="22"/>
              </w:rPr>
            </w:pPr>
            <w:r w:rsidRPr="008A3E4E">
              <w:rPr>
                <w:color w:val="000000"/>
                <w:sz w:val="22"/>
                <w:szCs w:val="22"/>
              </w:rPr>
              <w:t>6.4</w:t>
            </w:r>
          </w:p>
        </w:tc>
      </w:tr>
      <w:tr w:rsidR="003F7821" w:rsidRPr="008A3E4E" w14:paraId="6E160F6E" w14:textId="77777777" w:rsidTr="00DD5B0D">
        <w:trPr>
          <w:trHeight w:val="300"/>
        </w:trPr>
        <w:tc>
          <w:tcPr>
            <w:tcW w:w="4245" w:type="dxa"/>
            <w:tcBorders>
              <w:top w:val="nil"/>
              <w:left w:val="nil"/>
              <w:bottom w:val="nil"/>
              <w:right w:val="nil"/>
            </w:tcBorders>
            <w:shd w:val="clear" w:color="auto" w:fill="auto"/>
            <w:noWrap/>
            <w:tcMar>
              <w:top w:w="15" w:type="dxa"/>
              <w:left w:w="15" w:type="dxa"/>
              <w:bottom w:w="0" w:type="dxa"/>
              <w:right w:w="15" w:type="dxa"/>
            </w:tcMar>
            <w:vAlign w:val="bottom"/>
            <w:hideMark/>
          </w:tcPr>
          <w:p w14:paraId="5DD3A76A" w14:textId="77777777" w:rsidR="003F7821" w:rsidRPr="008A3E4E" w:rsidRDefault="003F7821" w:rsidP="003B3BB0">
            <w:pPr>
              <w:jc w:val="both"/>
              <w:rPr>
                <w:color w:val="000000"/>
                <w:sz w:val="22"/>
                <w:szCs w:val="22"/>
              </w:rPr>
            </w:pPr>
            <w:r w:rsidRPr="008A3E4E">
              <w:rPr>
                <w:color w:val="000000"/>
                <w:sz w:val="22"/>
                <w:szCs w:val="22"/>
              </w:rPr>
              <w:lastRenderedPageBreak/>
              <w:t>Never participated</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1BCA75F6" w14:textId="77777777" w:rsidR="003F7821" w:rsidRPr="008A3E4E" w:rsidRDefault="003F7821" w:rsidP="003B3BB0">
            <w:pPr>
              <w:ind w:left="-6" w:hanging="354"/>
              <w:jc w:val="right"/>
              <w:rPr>
                <w:color w:val="000000"/>
                <w:sz w:val="22"/>
                <w:szCs w:val="22"/>
              </w:rPr>
            </w:pPr>
            <w:r w:rsidRPr="008A3E4E">
              <w:rPr>
                <w:color w:val="000000"/>
                <w:sz w:val="22"/>
                <w:szCs w:val="22"/>
              </w:rPr>
              <w:t>1997</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14:paraId="411C19C9" w14:textId="77777777" w:rsidR="003F7821" w:rsidRPr="008A3E4E" w:rsidRDefault="003F7821" w:rsidP="003B3BB0">
            <w:pPr>
              <w:jc w:val="right"/>
              <w:rPr>
                <w:color w:val="000000"/>
                <w:sz w:val="22"/>
                <w:szCs w:val="22"/>
              </w:rPr>
            </w:pPr>
            <w:r w:rsidRPr="008A3E4E">
              <w:rPr>
                <w:color w:val="000000"/>
                <w:sz w:val="22"/>
                <w:szCs w:val="22"/>
              </w:rPr>
              <w:t>76.6</w:t>
            </w:r>
          </w:p>
        </w:tc>
      </w:tr>
      <w:tr w:rsidR="003F7821" w:rsidRPr="008A3E4E" w14:paraId="22E137F3" w14:textId="77777777" w:rsidTr="00DD5B0D">
        <w:trPr>
          <w:trHeight w:val="300"/>
        </w:trPr>
        <w:tc>
          <w:tcPr>
            <w:tcW w:w="4245" w:type="dxa"/>
            <w:tcBorders>
              <w:top w:val="nil"/>
              <w:left w:val="nil"/>
              <w:bottom w:val="nil"/>
              <w:right w:val="nil"/>
            </w:tcBorders>
            <w:shd w:val="clear" w:color="auto" w:fill="auto"/>
            <w:noWrap/>
            <w:tcMar>
              <w:top w:w="15" w:type="dxa"/>
              <w:left w:w="15" w:type="dxa"/>
              <w:bottom w:w="0" w:type="dxa"/>
              <w:right w:w="15" w:type="dxa"/>
            </w:tcMar>
            <w:vAlign w:val="bottom"/>
            <w:hideMark/>
          </w:tcPr>
          <w:p w14:paraId="5F5ADFE0" w14:textId="77777777" w:rsidR="003F7821" w:rsidRPr="008A3E4E" w:rsidRDefault="003F7821" w:rsidP="003B3BB0">
            <w:pPr>
              <w:jc w:val="both"/>
              <w:rPr>
                <w:color w:val="000000"/>
                <w:sz w:val="22"/>
                <w:szCs w:val="22"/>
              </w:rPr>
            </w:pPr>
            <w:r w:rsidRPr="008A3E4E">
              <w:rPr>
                <w:color w:val="000000"/>
                <w:sz w:val="22"/>
                <w:szCs w:val="22"/>
              </w:rPr>
              <w:t>Problems with computer/internet/WebTV</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3C4B8A63" w14:textId="77777777" w:rsidR="003F7821" w:rsidRPr="008A3E4E" w:rsidRDefault="003F7821" w:rsidP="003B3BB0">
            <w:pPr>
              <w:jc w:val="right"/>
              <w:rPr>
                <w:color w:val="000000"/>
                <w:sz w:val="22"/>
                <w:szCs w:val="22"/>
              </w:rPr>
            </w:pPr>
            <w:r w:rsidRPr="008A3E4E">
              <w:rPr>
                <w:color w:val="000000"/>
                <w:sz w:val="22"/>
                <w:szCs w:val="22"/>
              </w:rPr>
              <w:t>51</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14:paraId="3908D507" w14:textId="77777777" w:rsidR="003F7821" w:rsidRPr="008A3E4E" w:rsidRDefault="003F7821" w:rsidP="003B3BB0">
            <w:pPr>
              <w:jc w:val="right"/>
              <w:rPr>
                <w:color w:val="000000"/>
                <w:sz w:val="22"/>
                <w:szCs w:val="22"/>
              </w:rPr>
            </w:pPr>
            <w:r w:rsidRPr="008A3E4E">
              <w:rPr>
                <w:color w:val="000000"/>
                <w:sz w:val="22"/>
                <w:szCs w:val="22"/>
              </w:rPr>
              <w:t>2.0</w:t>
            </w:r>
          </w:p>
        </w:tc>
      </w:tr>
      <w:tr w:rsidR="003F7821" w:rsidRPr="008A3E4E" w14:paraId="35CAB5D8" w14:textId="77777777" w:rsidTr="00DD5B0D">
        <w:trPr>
          <w:trHeight w:val="300"/>
        </w:trPr>
        <w:tc>
          <w:tcPr>
            <w:tcW w:w="4245" w:type="dxa"/>
            <w:tcBorders>
              <w:top w:val="nil"/>
              <w:left w:val="nil"/>
              <w:bottom w:val="nil"/>
              <w:right w:val="nil"/>
            </w:tcBorders>
            <w:shd w:val="clear" w:color="auto" w:fill="auto"/>
            <w:noWrap/>
            <w:tcMar>
              <w:top w:w="15" w:type="dxa"/>
              <w:left w:w="15" w:type="dxa"/>
              <w:bottom w:w="0" w:type="dxa"/>
              <w:right w:w="15" w:type="dxa"/>
            </w:tcMar>
            <w:vAlign w:val="bottom"/>
            <w:hideMark/>
          </w:tcPr>
          <w:p w14:paraId="352C26EA" w14:textId="77777777" w:rsidR="003F7821" w:rsidRPr="008A3E4E" w:rsidRDefault="003F7821" w:rsidP="003B3BB0">
            <w:pPr>
              <w:jc w:val="both"/>
              <w:rPr>
                <w:color w:val="000000"/>
                <w:sz w:val="22"/>
                <w:szCs w:val="22"/>
              </w:rPr>
            </w:pPr>
            <w:r w:rsidRPr="008A3E4E">
              <w:rPr>
                <w:color w:val="000000"/>
                <w:sz w:val="22"/>
                <w:szCs w:val="22"/>
              </w:rPr>
              <w:t>Health/cognition/claims too old</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79DDBD57" w14:textId="77777777" w:rsidR="003F7821" w:rsidRPr="008A3E4E" w:rsidRDefault="003F7821" w:rsidP="003B3BB0">
            <w:pPr>
              <w:jc w:val="right"/>
              <w:rPr>
                <w:color w:val="000000"/>
                <w:sz w:val="22"/>
                <w:szCs w:val="22"/>
              </w:rPr>
            </w:pPr>
            <w:r w:rsidRPr="008A3E4E">
              <w:rPr>
                <w:color w:val="000000"/>
                <w:sz w:val="22"/>
                <w:szCs w:val="22"/>
              </w:rPr>
              <w:t>29</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14:paraId="4AB5A6BE" w14:textId="77777777" w:rsidR="003F7821" w:rsidRPr="008A3E4E" w:rsidRDefault="003F7821" w:rsidP="003B3BB0">
            <w:pPr>
              <w:jc w:val="right"/>
              <w:rPr>
                <w:color w:val="000000"/>
                <w:sz w:val="22"/>
                <w:szCs w:val="22"/>
              </w:rPr>
            </w:pPr>
            <w:r w:rsidRPr="008A3E4E">
              <w:rPr>
                <w:color w:val="000000"/>
                <w:sz w:val="22"/>
                <w:szCs w:val="22"/>
              </w:rPr>
              <w:t>1.1</w:t>
            </w:r>
          </w:p>
        </w:tc>
      </w:tr>
      <w:tr w:rsidR="003F7821" w:rsidRPr="008A3E4E" w14:paraId="13861D72" w14:textId="77777777" w:rsidTr="00DD5B0D">
        <w:trPr>
          <w:trHeight w:val="300"/>
        </w:trPr>
        <w:tc>
          <w:tcPr>
            <w:tcW w:w="4245" w:type="dxa"/>
            <w:tcBorders>
              <w:top w:val="nil"/>
              <w:left w:val="nil"/>
              <w:bottom w:val="nil"/>
              <w:right w:val="nil"/>
            </w:tcBorders>
            <w:shd w:val="clear" w:color="auto" w:fill="auto"/>
            <w:noWrap/>
            <w:tcMar>
              <w:top w:w="15" w:type="dxa"/>
              <w:left w:w="15" w:type="dxa"/>
              <w:bottom w:w="0" w:type="dxa"/>
              <w:right w:w="15" w:type="dxa"/>
            </w:tcMar>
            <w:vAlign w:val="bottom"/>
            <w:hideMark/>
          </w:tcPr>
          <w:p w14:paraId="3CAEEBBF" w14:textId="77777777" w:rsidR="003F7821" w:rsidRPr="008A3E4E" w:rsidRDefault="003F7821" w:rsidP="003B3BB0">
            <w:pPr>
              <w:jc w:val="both"/>
              <w:rPr>
                <w:color w:val="000000"/>
                <w:sz w:val="22"/>
                <w:szCs w:val="22"/>
              </w:rPr>
            </w:pPr>
            <w:r w:rsidRPr="008A3E4E">
              <w:rPr>
                <w:color w:val="000000"/>
                <w:sz w:val="22"/>
                <w:szCs w:val="22"/>
              </w:rPr>
              <w:t>No time/busy</w:t>
            </w:r>
          </w:p>
        </w:tc>
        <w:tc>
          <w:tcPr>
            <w:tcW w:w="1300" w:type="dxa"/>
            <w:tcBorders>
              <w:top w:val="nil"/>
              <w:left w:val="nil"/>
              <w:bottom w:val="nil"/>
              <w:right w:val="nil"/>
            </w:tcBorders>
            <w:shd w:val="clear" w:color="auto" w:fill="auto"/>
            <w:noWrap/>
            <w:tcMar>
              <w:top w:w="15" w:type="dxa"/>
              <w:left w:w="15" w:type="dxa"/>
              <w:bottom w:w="0" w:type="dxa"/>
              <w:right w:w="15" w:type="dxa"/>
            </w:tcMar>
            <w:vAlign w:val="bottom"/>
            <w:hideMark/>
          </w:tcPr>
          <w:p w14:paraId="1D96D4C8" w14:textId="77777777" w:rsidR="003F7821" w:rsidRPr="008A3E4E" w:rsidRDefault="003F7821" w:rsidP="003B3BB0">
            <w:pPr>
              <w:jc w:val="right"/>
              <w:rPr>
                <w:color w:val="000000"/>
                <w:sz w:val="22"/>
                <w:szCs w:val="22"/>
              </w:rPr>
            </w:pPr>
            <w:r w:rsidRPr="008A3E4E">
              <w:rPr>
                <w:color w:val="000000"/>
                <w:sz w:val="22"/>
                <w:szCs w:val="22"/>
              </w:rPr>
              <w:t>33</w:t>
            </w:r>
          </w:p>
        </w:tc>
        <w:tc>
          <w:tcPr>
            <w:tcW w:w="1440" w:type="dxa"/>
            <w:tcBorders>
              <w:top w:val="nil"/>
              <w:left w:val="nil"/>
              <w:bottom w:val="nil"/>
              <w:right w:val="nil"/>
            </w:tcBorders>
            <w:shd w:val="clear" w:color="auto" w:fill="auto"/>
            <w:noWrap/>
            <w:tcMar>
              <w:top w:w="15" w:type="dxa"/>
              <w:left w:w="15" w:type="dxa"/>
              <w:bottom w:w="0" w:type="dxa"/>
              <w:right w:w="15" w:type="dxa"/>
            </w:tcMar>
            <w:vAlign w:val="bottom"/>
            <w:hideMark/>
          </w:tcPr>
          <w:p w14:paraId="3E6DC0B1" w14:textId="77777777" w:rsidR="003F7821" w:rsidRPr="008A3E4E" w:rsidRDefault="003F7821" w:rsidP="003B3BB0">
            <w:pPr>
              <w:jc w:val="right"/>
              <w:rPr>
                <w:color w:val="000000"/>
                <w:sz w:val="22"/>
                <w:szCs w:val="22"/>
              </w:rPr>
            </w:pPr>
            <w:r w:rsidRPr="008A3E4E">
              <w:rPr>
                <w:color w:val="000000"/>
                <w:sz w:val="22"/>
                <w:szCs w:val="22"/>
              </w:rPr>
              <w:t>1.3</w:t>
            </w:r>
          </w:p>
        </w:tc>
      </w:tr>
      <w:tr w:rsidR="003F7821" w:rsidRPr="008A3E4E" w14:paraId="0FA4BECF" w14:textId="77777777" w:rsidTr="00DD5B0D">
        <w:trPr>
          <w:trHeight w:val="300"/>
        </w:trPr>
        <w:tc>
          <w:tcPr>
            <w:tcW w:w="424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B245B69" w14:textId="77777777" w:rsidR="003F7821" w:rsidRPr="008A3E4E" w:rsidRDefault="003F7821" w:rsidP="003B3BB0">
            <w:pPr>
              <w:jc w:val="both"/>
              <w:rPr>
                <w:color w:val="000000"/>
                <w:sz w:val="22"/>
                <w:szCs w:val="22"/>
              </w:rPr>
            </w:pPr>
            <w:r w:rsidRPr="008A3E4E">
              <w:rPr>
                <w:color w:val="000000"/>
                <w:sz w:val="22"/>
                <w:szCs w:val="22"/>
              </w:rPr>
              <w:t>Other</w:t>
            </w:r>
          </w:p>
        </w:tc>
        <w:tc>
          <w:tcPr>
            <w:tcW w:w="13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CD37913" w14:textId="77777777" w:rsidR="003F7821" w:rsidRPr="008A3E4E" w:rsidRDefault="003F7821" w:rsidP="003B3BB0">
            <w:pPr>
              <w:jc w:val="right"/>
              <w:rPr>
                <w:color w:val="000000"/>
                <w:sz w:val="22"/>
                <w:szCs w:val="22"/>
              </w:rPr>
            </w:pPr>
            <w:r w:rsidRPr="008A3E4E">
              <w:rPr>
                <w:color w:val="000000"/>
                <w:sz w:val="22"/>
                <w:szCs w:val="22"/>
              </w:rPr>
              <w:t>272</w:t>
            </w:r>
          </w:p>
        </w:tc>
        <w:tc>
          <w:tcPr>
            <w:tcW w:w="144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7D8B501" w14:textId="77777777" w:rsidR="003F7821" w:rsidRPr="008A3E4E" w:rsidRDefault="003F7821" w:rsidP="003B3BB0">
            <w:pPr>
              <w:jc w:val="right"/>
              <w:rPr>
                <w:color w:val="000000"/>
                <w:sz w:val="22"/>
                <w:szCs w:val="22"/>
              </w:rPr>
            </w:pPr>
            <w:r w:rsidRPr="008A3E4E">
              <w:rPr>
                <w:color w:val="000000"/>
                <w:sz w:val="22"/>
                <w:szCs w:val="22"/>
              </w:rPr>
              <w:t>10.4</w:t>
            </w:r>
          </w:p>
        </w:tc>
      </w:tr>
      <w:tr w:rsidR="003F7821" w:rsidRPr="008A3E4E" w14:paraId="7BF70A57" w14:textId="77777777" w:rsidTr="00DD5B0D">
        <w:trPr>
          <w:trHeight w:val="300"/>
        </w:trPr>
        <w:tc>
          <w:tcPr>
            <w:tcW w:w="4245"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E38BDB4" w14:textId="77777777" w:rsidR="003F7821" w:rsidRPr="008A3E4E" w:rsidRDefault="003F7821" w:rsidP="003B3BB0">
            <w:pPr>
              <w:jc w:val="both"/>
              <w:rPr>
                <w:color w:val="000000"/>
                <w:sz w:val="22"/>
                <w:szCs w:val="22"/>
              </w:rPr>
            </w:pPr>
            <w:r w:rsidRPr="008A3E4E">
              <w:rPr>
                <w:color w:val="000000"/>
                <w:sz w:val="22"/>
                <w:szCs w:val="22"/>
              </w:rPr>
              <w:t>Total</w:t>
            </w:r>
          </w:p>
        </w:tc>
        <w:tc>
          <w:tcPr>
            <w:tcW w:w="130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1D26634" w14:textId="77777777" w:rsidR="003F7821" w:rsidRPr="008A3E4E" w:rsidRDefault="003F7821" w:rsidP="003B3BB0">
            <w:pPr>
              <w:jc w:val="right"/>
              <w:rPr>
                <w:color w:val="000000"/>
                <w:sz w:val="22"/>
                <w:szCs w:val="22"/>
              </w:rPr>
            </w:pPr>
            <w:r w:rsidRPr="008A3E4E">
              <w:rPr>
                <w:color w:val="000000"/>
                <w:sz w:val="22"/>
                <w:szCs w:val="22"/>
              </w:rPr>
              <w:t>2606</w:t>
            </w:r>
          </w:p>
        </w:tc>
        <w:tc>
          <w:tcPr>
            <w:tcW w:w="144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FA79B21" w14:textId="77777777" w:rsidR="003F7821" w:rsidRPr="008A3E4E" w:rsidRDefault="003F7821" w:rsidP="003B3BB0">
            <w:pPr>
              <w:jc w:val="right"/>
              <w:rPr>
                <w:color w:val="000000"/>
                <w:sz w:val="22"/>
                <w:szCs w:val="22"/>
              </w:rPr>
            </w:pPr>
            <w:r w:rsidRPr="008A3E4E">
              <w:rPr>
                <w:color w:val="000000"/>
                <w:sz w:val="22"/>
                <w:szCs w:val="22"/>
              </w:rPr>
              <w:t>100.0</w:t>
            </w:r>
          </w:p>
        </w:tc>
      </w:tr>
    </w:tbl>
    <w:p w14:paraId="4F54A523" w14:textId="77777777" w:rsidR="003F7821" w:rsidRPr="003B3BB0" w:rsidRDefault="003F7821" w:rsidP="003B3BB0">
      <w:pPr>
        <w:jc w:val="both"/>
        <w:rPr>
          <w:sz w:val="22"/>
          <w:szCs w:val="22"/>
        </w:rPr>
      </w:pPr>
    </w:p>
    <w:p w14:paraId="7D502187" w14:textId="77777777" w:rsidR="003F7821" w:rsidRPr="003B3BB0" w:rsidRDefault="003F7821" w:rsidP="003B3BB0">
      <w:pPr>
        <w:jc w:val="both"/>
        <w:rPr>
          <w:sz w:val="22"/>
          <w:szCs w:val="22"/>
        </w:rPr>
      </w:pPr>
    </w:p>
    <w:p w14:paraId="062334E1" w14:textId="77777777" w:rsidR="003F7821" w:rsidRPr="003B3BB0" w:rsidRDefault="003F7821" w:rsidP="003B3BB0">
      <w:pPr>
        <w:jc w:val="both"/>
        <w:rPr>
          <w:i/>
          <w:sz w:val="22"/>
          <w:szCs w:val="22"/>
        </w:rPr>
      </w:pPr>
      <w:r w:rsidRPr="003B3BB0">
        <w:rPr>
          <w:i/>
          <w:sz w:val="22"/>
          <w:szCs w:val="22"/>
        </w:rPr>
        <w:t>Completion rates</w:t>
      </w:r>
    </w:p>
    <w:p w14:paraId="0FB04088" w14:textId="77777777" w:rsidR="003F7821" w:rsidRPr="003B3BB0" w:rsidRDefault="003F7821" w:rsidP="003B3BB0">
      <w:pPr>
        <w:jc w:val="both"/>
        <w:rPr>
          <w:sz w:val="22"/>
          <w:szCs w:val="22"/>
        </w:rPr>
      </w:pPr>
    </w:p>
    <w:p w14:paraId="77A85BFF" w14:textId="77777777" w:rsidR="003F7821" w:rsidRPr="003B3BB0" w:rsidRDefault="003F7821" w:rsidP="003B3BB0">
      <w:pPr>
        <w:jc w:val="both"/>
        <w:rPr>
          <w:sz w:val="22"/>
          <w:szCs w:val="22"/>
        </w:rPr>
      </w:pPr>
      <w:r w:rsidRPr="003B3BB0">
        <w:rPr>
          <w:sz w:val="22"/>
          <w:szCs w:val="22"/>
        </w:rPr>
        <w:t xml:space="preserve">For every survey, a number of panel members are invited by email to participate in the survey. Generally, due to survey-specific eligibility criteria or budget reasons, not all panel members are invited for a survey. </w:t>
      </w:r>
      <w:proofErr w:type="spellStart"/>
      <w:r w:rsidRPr="003B3BB0">
        <w:rPr>
          <w:sz w:val="22"/>
          <w:szCs w:val="22"/>
        </w:rPr>
        <w:t>Callegaro</w:t>
      </w:r>
      <w:proofErr w:type="spellEnd"/>
      <w:r w:rsidRPr="003B3BB0">
        <w:rPr>
          <w:sz w:val="22"/>
          <w:szCs w:val="22"/>
        </w:rPr>
        <w:t xml:space="preserve"> and </w:t>
      </w:r>
      <w:proofErr w:type="spellStart"/>
      <w:r w:rsidRPr="003B3BB0">
        <w:rPr>
          <w:sz w:val="22"/>
          <w:szCs w:val="22"/>
        </w:rPr>
        <w:t>DiSogra</w:t>
      </w:r>
      <w:proofErr w:type="spellEnd"/>
      <w:r w:rsidRPr="003B3BB0">
        <w:rPr>
          <w:sz w:val="22"/>
          <w:szCs w:val="22"/>
        </w:rPr>
        <w:t xml:space="preserve"> (2008) and AAPOR (2011) define the completion rate (COMR) of a survey as the number of panel members who delivered a complete (I) or partial (P) interview, divided by the number of panel members who were invited to participate in the survey. AAPOR (2011) also mentions break-offs and includes a discussion of rules of thumb of how one might define complete, partial, and break-off. In ALP surveys, almost all panel members who start a survey also finish it, and item nonresponse is very low, so the computation of completion rates is insensitive to alternative definitions. For the current computations, we define a partial interview as one that was started (variable </w:t>
      </w:r>
      <w:proofErr w:type="spellStart"/>
      <w:r w:rsidRPr="003B3BB0">
        <w:rPr>
          <w:sz w:val="22"/>
          <w:szCs w:val="22"/>
        </w:rPr>
        <w:t>tsstart</w:t>
      </w:r>
      <w:proofErr w:type="spellEnd"/>
      <w:r w:rsidRPr="003B3BB0">
        <w:rPr>
          <w:sz w:val="22"/>
          <w:szCs w:val="22"/>
        </w:rPr>
        <w:t xml:space="preserve"> is a valid date/time stamp) but not finished (</w:t>
      </w:r>
      <w:proofErr w:type="spellStart"/>
      <w:r w:rsidRPr="003B3BB0">
        <w:rPr>
          <w:sz w:val="22"/>
          <w:szCs w:val="22"/>
        </w:rPr>
        <w:t>tsend</w:t>
      </w:r>
      <w:proofErr w:type="spellEnd"/>
      <w:r w:rsidRPr="003B3BB0">
        <w:rPr>
          <w:sz w:val="22"/>
          <w:szCs w:val="22"/>
        </w:rPr>
        <w:t xml:space="preserve"> is missing) and a complete interview as one that was finished (</w:t>
      </w:r>
      <w:proofErr w:type="spellStart"/>
      <w:r w:rsidRPr="003B3BB0">
        <w:rPr>
          <w:sz w:val="22"/>
          <w:szCs w:val="22"/>
        </w:rPr>
        <w:t>tsend</w:t>
      </w:r>
      <w:proofErr w:type="spellEnd"/>
      <w:r w:rsidRPr="003B3BB0">
        <w:rPr>
          <w:sz w:val="22"/>
          <w:szCs w:val="22"/>
        </w:rPr>
        <w:t xml:space="preserve"> is a valid date/time stamp), and a nonresponse as an individual who was invited to participate in the survey but did not start the survey (</w:t>
      </w:r>
      <w:proofErr w:type="spellStart"/>
      <w:r w:rsidRPr="003B3BB0">
        <w:rPr>
          <w:sz w:val="22"/>
          <w:szCs w:val="22"/>
        </w:rPr>
        <w:t>tsstart</w:t>
      </w:r>
      <w:proofErr w:type="spellEnd"/>
      <w:r w:rsidRPr="003B3BB0">
        <w:rPr>
          <w:sz w:val="22"/>
          <w:szCs w:val="22"/>
        </w:rPr>
        <w:t xml:space="preserve"> is missing). We do not make a distinction between break-offs and partial interviews. </w:t>
      </w:r>
    </w:p>
    <w:p w14:paraId="10DE477E" w14:textId="77777777" w:rsidR="003F7821" w:rsidRPr="003B3BB0" w:rsidRDefault="003F7821" w:rsidP="003B3BB0">
      <w:pPr>
        <w:jc w:val="both"/>
        <w:rPr>
          <w:sz w:val="22"/>
          <w:szCs w:val="22"/>
        </w:rPr>
      </w:pPr>
    </w:p>
    <w:p w14:paraId="3A695802" w14:textId="77777777" w:rsidR="003F7821" w:rsidRPr="003B3BB0" w:rsidRDefault="003F7821" w:rsidP="003B3BB0">
      <w:pPr>
        <w:jc w:val="both"/>
        <w:rPr>
          <w:sz w:val="22"/>
          <w:szCs w:val="22"/>
        </w:rPr>
      </w:pPr>
      <w:r w:rsidRPr="003B3BB0">
        <w:rPr>
          <w:sz w:val="22"/>
          <w:szCs w:val="22"/>
        </w:rPr>
        <w:t xml:space="preserve">We computed completion rates for all surveys that were both opened and closed in 2011 (the field dates were completely within 2011). The surveys included are 162, 164, 165, 167, 169, 171, 173, 174, 175, 176, 177, 178, 179, 180, 182, 185, 188, 189, 190, 194, 197, 198, 199, 200, 211, 213, 217, 219, 220, 221, 225, and 231. See </w:t>
      </w:r>
      <w:r w:rsidRPr="008A3E4E">
        <w:rPr>
          <w:color w:val="000000"/>
          <w:sz w:val="22"/>
          <w:szCs w:val="22"/>
        </w:rPr>
        <w:t>https://mmicdata.rand.org/alp/index.php/Data for the list of ALP surveys. Table B.</w:t>
      </w:r>
      <w:r w:rsidR="003B3BB0">
        <w:rPr>
          <w:color w:val="000000"/>
          <w:sz w:val="22"/>
          <w:szCs w:val="22"/>
        </w:rPr>
        <w:t>6</w:t>
      </w:r>
      <w:r w:rsidRPr="008A3E4E">
        <w:rPr>
          <w:color w:val="000000"/>
          <w:sz w:val="22"/>
          <w:szCs w:val="22"/>
        </w:rPr>
        <w:t xml:space="preserve"> gives a summary of the results. The number of partial interviews is 1% of the number of invites, which confirms the minor role played by partial interviews. The completion rates are approximately 80% taken over all surveys. (There is considerable variation across surveys, though.) </w:t>
      </w:r>
    </w:p>
    <w:p w14:paraId="76621725" w14:textId="77777777" w:rsidR="003F7821" w:rsidRPr="003B3BB0" w:rsidRDefault="003F7821" w:rsidP="003B3BB0">
      <w:pPr>
        <w:jc w:val="both"/>
        <w:rPr>
          <w:sz w:val="22"/>
          <w:szCs w:val="22"/>
        </w:rPr>
      </w:pPr>
    </w:p>
    <w:p w14:paraId="2C1EDF27" w14:textId="77777777" w:rsidR="003F7821" w:rsidRPr="003B3BB0" w:rsidRDefault="003F7821" w:rsidP="003B3BB0">
      <w:pPr>
        <w:jc w:val="both"/>
        <w:rPr>
          <w:sz w:val="22"/>
          <w:szCs w:val="22"/>
        </w:rPr>
      </w:pPr>
      <w:r w:rsidRPr="003B3BB0">
        <w:rPr>
          <w:b/>
          <w:sz w:val="22"/>
          <w:szCs w:val="22"/>
        </w:rPr>
        <w:t>Table B.</w:t>
      </w:r>
      <w:r w:rsidR="003B3BB0">
        <w:rPr>
          <w:b/>
          <w:sz w:val="22"/>
          <w:szCs w:val="22"/>
        </w:rPr>
        <w:t>6</w:t>
      </w:r>
      <w:r w:rsidRPr="003B3BB0">
        <w:rPr>
          <w:b/>
          <w:sz w:val="22"/>
          <w:szCs w:val="22"/>
        </w:rPr>
        <w:t>:</w:t>
      </w:r>
      <w:r w:rsidRPr="003B3BB0">
        <w:rPr>
          <w:sz w:val="22"/>
          <w:szCs w:val="22"/>
        </w:rPr>
        <w:t xml:space="preserve"> Completion rates in 2011.</w:t>
      </w:r>
    </w:p>
    <w:tbl>
      <w:tblPr>
        <w:tblW w:w="9390" w:type="dxa"/>
        <w:tblCellMar>
          <w:left w:w="0" w:type="dxa"/>
          <w:right w:w="0" w:type="dxa"/>
        </w:tblCellMar>
        <w:tblLook w:val="04A0" w:firstRow="1" w:lastRow="0" w:firstColumn="1" w:lastColumn="0" w:noHBand="0" w:noVBand="1"/>
      </w:tblPr>
      <w:tblGrid>
        <w:gridCol w:w="2476"/>
        <w:gridCol w:w="724"/>
        <w:gridCol w:w="1238"/>
        <w:gridCol w:w="1238"/>
        <w:gridCol w:w="1238"/>
        <w:gridCol w:w="1238"/>
        <w:gridCol w:w="1238"/>
      </w:tblGrid>
      <w:tr w:rsidR="003F7821" w:rsidRPr="008A3E4E" w14:paraId="3137F356" w14:textId="77777777" w:rsidTr="00DD5B0D">
        <w:trPr>
          <w:trHeight w:val="300"/>
        </w:trPr>
        <w:tc>
          <w:tcPr>
            <w:tcW w:w="2476"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3763A69F" w14:textId="77777777" w:rsidR="003F7821" w:rsidRPr="008A3E4E" w:rsidRDefault="003F7821" w:rsidP="003B3BB0">
            <w:pPr>
              <w:jc w:val="both"/>
              <w:rPr>
                <w:color w:val="000000"/>
                <w:sz w:val="22"/>
                <w:szCs w:val="22"/>
              </w:rPr>
            </w:pPr>
          </w:p>
        </w:tc>
        <w:tc>
          <w:tcPr>
            <w:tcW w:w="724"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04FBF83C" w14:textId="77777777" w:rsidR="003F7821" w:rsidRPr="008A3E4E" w:rsidRDefault="003F7821" w:rsidP="003B3BB0">
            <w:pPr>
              <w:jc w:val="both"/>
              <w:rPr>
                <w:color w:val="000000"/>
                <w:sz w:val="22"/>
                <w:szCs w:val="22"/>
              </w:rPr>
            </w:pPr>
          </w:p>
        </w:tc>
        <w:tc>
          <w:tcPr>
            <w:tcW w:w="1238"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516EBA70" w14:textId="77777777" w:rsidR="003F7821" w:rsidRPr="008A3E4E" w:rsidRDefault="003F7821" w:rsidP="003B3BB0">
            <w:pPr>
              <w:jc w:val="right"/>
              <w:rPr>
                <w:color w:val="000000"/>
                <w:sz w:val="22"/>
                <w:szCs w:val="22"/>
              </w:rPr>
            </w:pPr>
          </w:p>
        </w:tc>
        <w:tc>
          <w:tcPr>
            <w:tcW w:w="1238"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1FF32DB6" w14:textId="77777777" w:rsidR="003F7821" w:rsidRPr="008A3E4E" w:rsidRDefault="003F7821" w:rsidP="003B3BB0">
            <w:pPr>
              <w:jc w:val="right"/>
              <w:rPr>
                <w:color w:val="000000"/>
                <w:sz w:val="22"/>
                <w:szCs w:val="22"/>
              </w:rPr>
            </w:pPr>
          </w:p>
        </w:tc>
        <w:tc>
          <w:tcPr>
            <w:tcW w:w="1238"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4F2D5C7C" w14:textId="77777777" w:rsidR="003F7821" w:rsidRPr="008A3E4E" w:rsidRDefault="003F7821" w:rsidP="003B3BB0">
            <w:pPr>
              <w:jc w:val="right"/>
              <w:rPr>
                <w:color w:val="000000"/>
                <w:sz w:val="22"/>
                <w:szCs w:val="22"/>
              </w:rPr>
            </w:pPr>
          </w:p>
        </w:tc>
        <w:tc>
          <w:tcPr>
            <w:tcW w:w="1238"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1A41D1D2" w14:textId="77777777" w:rsidR="003F7821" w:rsidRPr="008A3E4E" w:rsidRDefault="003F7821" w:rsidP="003B3BB0">
            <w:pPr>
              <w:jc w:val="right"/>
              <w:rPr>
                <w:color w:val="000000"/>
                <w:sz w:val="22"/>
                <w:szCs w:val="22"/>
              </w:rPr>
            </w:pPr>
          </w:p>
        </w:tc>
        <w:tc>
          <w:tcPr>
            <w:tcW w:w="1238" w:type="dxa"/>
            <w:tcBorders>
              <w:top w:val="single" w:sz="4" w:space="0" w:color="auto"/>
              <w:left w:val="nil"/>
              <w:right w:val="nil"/>
            </w:tcBorders>
            <w:shd w:val="clear" w:color="auto" w:fill="auto"/>
            <w:noWrap/>
            <w:tcMar>
              <w:top w:w="15" w:type="dxa"/>
              <w:left w:w="15" w:type="dxa"/>
              <w:bottom w:w="0" w:type="dxa"/>
              <w:right w:w="15" w:type="dxa"/>
            </w:tcMar>
            <w:vAlign w:val="bottom"/>
            <w:hideMark/>
          </w:tcPr>
          <w:p w14:paraId="6A1B37C8" w14:textId="77777777" w:rsidR="003F7821" w:rsidRPr="008A3E4E" w:rsidRDefault="003F7821" w:rsidP="003B3BB0">
            <w:pPr>
              <w:jc w:val="right"/>
              <w:rPr>
                <w:color w:val="000000"/>
                <w:sz w:val="22"/>
                <w:szCs w:val="22"/>
              </w:rPr>
            </w:pPr>
            <w:r w:rsidRPr="008A3E4E">
              <w:rPr>
                <w:color w:val="000000"/>
                <w:sz w:val="22"/>
                <w:szCs w:val="22"/>
              </w:rPr>
              <w:t>completion</w:t>
            </w:r>
          </w:p>
        </w:tc>
      </w:tr>
      <w:tr w:rsidR="003F7821" w:rsidRPr="008A3E4E" w14:paraId="4D72A773" w14:textId="77777777" w:rsidTr="00DD5B0D">
        <w:trPr>
          <w:trHeight w:val="300"/>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A7EF180" w14:textId="77777777" w:rsidR="003F7821" w:rsidRPr="008A3E4E" w:rsidRDefault="003F7821" w:rsidP="003B3BB0">
            <w:pPr>
              <w:jc w:val="both"/>
              <w:rPr>
                <w:color w:val="000000"/>
                <w:sz w:val="22"/>
                <w:szCs w:val="22"/>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3038B61" w14:textId="77777777" w:rsidR="003F7821" w:rsidRPr="008A3E4E" w:rsidRDefault="003F7821" w:rsidP="003B3BB0">
            <w:pPr>
              <w:jc w:val="both"/>
              <w:rPr>
                <w:color w:val="000000"/>
                <w:sz w:val="22"/>
                <w:szCs w:val="22"/>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A06AD7A" w14:textId="77777777" w:rsidR="003F7821" w:rsidRPr="008A3E4E" w:rsidRDefault="003F7821" w:rsidP="003B3BB0">
            <w:pPr>
              <w:jc w:val="right"/>
              <w:rPr>
                <w:color w:val="000000"/>
                <w:sz w:val="22"/>
                <w:szCs w:val="22"/>
              </w:rPr>
            </w:pPr>
            <w:r w:rsidRPr="008A3E4E">
              <w:rPr>
                <w:color w:val="000000"/>
                <w:sz w:val="22"/>
                <w:szCs w:val="22"/>
              </w:rPr>
              <w:t>invited</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D3A05BA" w14:textId="77777777" w:rsidR="003F7821" w:rsidRPr="008A3E4E" w:rsidRDefault="003F7821" w:rsidP="003B3BB0">
            <w:pPr>
              <w:jc w:val="right"/>
              <w:rPr>
                <w:color w:val="000000"/>
                <w:sz w:val="22"/>
                <w:szCs w:val="22"/>
              </w:rPr>
            </w:pPr>
            <w:proofErr w:type="spellStart"/>
            <w:r w:rsidRPr="008A3E4E">
              <w:rPr>
                <w:color w:val="000000"/>
                <w:sz w:val="22"/>
                <w:szCs w:val="22"/>
              </w:rPr>
              <w:t>nonresp</w:t>
            </w:r>
            <w:proofErr w:type="spellEnd"/>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5FA8A56" w14:textId="77777777" w:rsidR="003F7821" w:rsidRPr="008A3E4E" w:rsidRDefault="003F7821" w:rsidP="003B3BB0">
            <w:pPr>
              <w:jc w:val="right"/>
              <w:rPr>
                <w:color w:val="000000"/>
                <w:sz w:val="22"/>
                <w:szCs w:val="22"/>
              </w:rPr>
            </w:pPr>
            <w:r w:rsidRPr="008A3E4E">
              <w:rPr>
                <w:color w:val="000000"/>
                <w:sz w:val="22"/>
                <w:szCs w:val="22"/>
              </w:rPr>
              <w:t>partial (P)</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799CFF3" w14:textId="77777777" w:rsidR="003F7821" w:rsidRPr="008A3E4E" w:rsidRDefault="003F7821" w:rsidP="003B3BB0">
            <w:pPr>
              <w:jc w:val="right"/>
              <w:rPr>
                <w:color w:val="000000"/>
                <w:sz w:val="22"/>
                <w:szCs w:val="22"/>
              </w:rPr>
            </w:pPr>
            <w:r w:rsidRPr="008A3E4E">
              <w:rPr>
                <w:color w:val="000000"/>
                <w:sz w:val="22"/>
                <w:szCs w:val="22"/>
              </w:rPr>
              <w:t>complete (I)</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2CB546E" w14:textId="77777777" w:rsidR="003F7821" w:rsidRPr="008A3E4E" w:rsidRDefault="003F7821" w:rsidP="003B3BB0">
            <w:pPr>
              <w:jc w:val="right"/>
              <w:rPr>
                <w:color w:val="000000"/>
                <w:sz w:val="22"/>
                <w:szCs w:val="22"/>
              </w:rPr>
            </w:pPr>
            <w:r w:rsidRPr="008A3E4E">
              <w:rPr>
                <w:color w:val="000000"/>
                <w:sz w:val="22"/>
                <w:szCs w:val="22"/>
              </w:rPr>
              <w:t>rate (COMR)</w:t>
            </w:r>
          </w:p>
        </w:tc>
      </w:tr>
      <w:tr w:rsidR="003F7821" w:rsidRPr="008A3E4E" w14:paraId="42F7C4FF" w14:textId="77777777" w:rsidTr="00DD5B0D">
        <w:trPr>
          <w:trHeight w:val="300"/>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28EB60E" w14:textId="77777777" w:rsidR="003F7821" w:rsidRPr="008A3E4E" w:rsidRDefault="003F7821" w:rsidP="003B3BB0">
            <w:pPr>
              <w:jc w:val="both"/>
              <w:rPr>
                <w:color w:val="000000"/>
                <w:sz w:val="22"/>
                <w:szCs w:val="22"/>
              </w:rPr>
            </w:pPr>
            <w:r w:rsidRPr="008A3E4E">
              <w:rPr>
                <w:color w:val="000000"/>
                <w:sz w:val="22"/>
                <w:szCs w:val="22"/>
              </w:rPr>
              <w:t>MS Internet + MS CATI</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7EB084E" w14:textId="77777777" w:rsidR="003F7821" w:rsidRPr="008A3E4E" w:rsidRDefault="003F7821" w:rsidP="003B3BB0">
            <w:pPr>
              <w:jc w:val="both"/>
              <w:rPr>
                <w:color w:val="000000"/>
                <w:sz w:val="22"/>
                <w:szCs w:val="22"/>
              </w:rPr>
            </w:pPr>
            <w:r w:rsidRPr="008A3E4E">
              <w:rPr>
                <w:color w:val="000000"/>
                <w:sz w:val="22"/>
                <w:szCs w:val="22"/>
              </w:rPr>
              <w:t>N</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EAA94A5" w14:textId="77777777" w:rsidR="003F7821" w:rsidRPr="008A3E4E" w:rsidRDefault="003F7821" w:rsidP="003B3BB0">
            <w:pPr>
              <w:jc w:val="right"/>
              <w:rPr>
                <w:color w:val="000000"/>
                <w:sz w:val="22"/>
                <w:szCs w:val="22"/>
              </w:rPr>
            </w:pPr>
            <w:r w:rsidRPr="008A3E4E">
              <w:rPr>
                <w:color w:val="000000"/>
                <w:sz w:val="22"/>
                <w:szCs w:val="22"/>
              </w:rPr>
              <w:t>36,529</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1153E9B" w14:textId="77777777" w:rsidR="003F7821" w:rsidRPr="008A3E4E" w:rsidRDefault="003F7821" w:rsidP="003B3BB0">
            <w:pPr>
              <w:jc w:val="right"/>
              <w:rPr>
                <w:color w:val="000000"/>
                <w:sz w:val="22"/>
                <w:szCs w:val="22"/>
              </w:rPr>
            </w:pPr>
            <w:r w:rsidRPr="008A3E4E">
              <w:rPr>
                <w:color w:val="000000"/>
                <w:sz w:val="22"/>
                <w:szCs w:val="22"/>
              </w:rPr>
              <w:t>7,945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70F90C8" w14:textId="77777777" w:rsidR="003F7821" w:rsidRPr="008A3E4E" w:rsidRDefault="003F7821" w:rsidP="003B3BB0">
            <w:pPr>
              <w:jc w:val="right"/>
              <w:rPr>
                <w:color w:val="000000"/>
                <w:sz w:val="22"/>
                <w:szCs w:val="22"/>
              </w:rPr>
            </w:pPr>
            <w:r w:rsidRPr="008A3E4E">
              <w:rPr>
                <w:color w:val="000000"/>
                <w:sz w:val="22"/>
                <w:szCs w:val="22"/>
              </w:rPr>
              <w:t>353</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B3225A4" w14:textId="77777777" w:rsidR="003F7821" w:rsidRPr="008A3E4E" w:rsidRDefault="003F7821" w:rsidP="003B3BB0">
            <w:pPr>
              <w:jc w:val="right"/>
              <w:rPr>
                <w:color w:val="000000"/>
                <w:sz w:val="22"/>
                <w:szCs w:val="22"/>
              </w:rPr>
            </w:pPr>
            <w:r w:rsidRPr="008A3E4E">
              <w:rPr>
                <w:color w:val="000000"/>
                <w:sz w:val="22"/>
                <w:szCs w:val="22"/>
              </w:rPr>
              <w:t>28,231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DDAEE61" w14:textId="77777777" w:rsidR="003F7821" w:rsidRPr="008A3E4E" w:rsidRDefault="003F7821" w:rsidP="003B3BB0">
            <w:pPr>
              <w:jc w:val="right"/>
              <w:rPr>
                <w:color w:val="000000"/>
                <w:sz w:val="22"/>
                <w:szCs w:val="22"/>
              </w:rPr>
            </w:pPr>
          </w:p>
        </w:tc>
      </w:tr>
      <w:tr w:rsidR="003F7821" w:rsidRPr="008A3E4E" w14:paraId="0DC69830"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64D4899" w14:textId="77777777" w:rsidR="003F7821" w:rsidRPr="008A3E4E" w:rsidRDefault="003F7821" w:rsidP="003B3BB0">
            <w:pPr>
              <w:jc w:val="both"/>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E6E6E1" w14:textId="77777777" w:rsidR="003F7821" w:rsidRPr="008A3E4E" w:rsidRDefault="003F7821" w:rsidP="003B3BB0">
            <w:pPr>
              <w:jc w:val="both"/>
              <w:rPr>
                <w:color w:val="000000"/>
                <w:sz w:val="22"/>
                <w:szCs w:val="22"/>
              </w:rPr>
            </w:pPr>
            <w:r w:rsidRPr="008A3E4E">
              <w:rPr>
                <w:color w:val="000000"/>
                <w:sz w:val="22"/>
                <w:szCs w:val="2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3422A7" w14:textId="77777777" w:rsidR="003F7821" w:rsidRPr="008A3E4E" w:rsidRDefault="003F7821" w:rsidP="003B3BB0">
            <w:pPr>
              <w:jc w:val="right"/>
              <w:rPr>
                <w:color w:val="000000"/>
                <w:sz w:val="22"/>
                <w:szCs w:val="22"/>
              </w:rPr>
            </w:pPr>
            <w:r w:rsidRPr="008A3E4E">
              <w:rPr>
                <w:color w:val="000000"/>
                <w:sz w:val="22"/>
                <w:szCs w:val="22"/>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221D23" w14:textId="77777777" w:rsidR="003F7821" w:rsidRPr="008A3E4E" w:rsidRDefault="003F7821" w:rsidP="003B3BB0">
            <w:pPr>
              <w:jc w:val="right"/>
              <w:rPr>
                <w:color w:val="000000"/>
                <w:sz w:val="22"/>
                <w:szCs w:val="22"/>
              </w:rPr>
            </w:pPr>
            <w:r w:rsidRPr="008A3E4E">
              <w:rPr>
                <w:color w:val="000000"/>
                <w:sz w:val="22"/>
                <w:szCs w:val="22"/>
              </w:rPr>
              <w:t>21.7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C49198" w14:textId="77777777" w:rsidR="003F7821" w:rsidRPr="008A3E4E" w:rsidRDefault="003F7821" w:rsidP="003B3BB0">
            <w:pPr>
              <w:jc w:val="right"/>
              <w:rPr>
                <w:color w:val="000000"/>
                <w:sz w:val="22"/>
                <w:szCs w:val="22"/>
              </w:rPr>
            </w:pPr>
            <w:r w:rsidRPr="008A3E4E">
              <w:rPr>
                <w:color w:val="000000"/>
                <w:sz w:val="22"/>
                <w:szCs w:val="22"/>
              </w:rPr>
              <w:t>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1251CD" w14:textId="77777777" w:rsidR="003F7821" w:rsidRPr="008A3E4E" w:rsidRDefault="003F7821" w:rsidP="003B3BB0">
            <w:pPr>
              <w:jc w:val="right"/>
              <w:rPr>
                <w:color w:val="000000"/>
                <w:sz w:val="22"/>
                <w:szCs w:val="22"/>
              </w:rPr>
            </w:pPr>
            <w:r w:rsidRPr="008A3E4E">
              <w:rPr>
                <w:color w:val="000000"/>
                <w:sz w:val="22"/>
                <w:szCs w:val="22"/>
              </w:rPr>
              <w:t>77.3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D920A7" w14:textId="77777777" w:rsidR="003F7821" w:rsidRPr="008A3E4E" w:rsidRDefault="003F7821" w:rsidP="003B3BB0">
            <w:pPr>
              <w:jc w:val="right"/>
              <w:rPr>
                <w:color w:val="000000"/>
                <w:sz w:val="22"/>
                <w:szCs w:val="22"/>
              </w:rPr>
            </w:pPr>
            <w:r w:rsidRPr="008A3E4E">
              <w:rPr>
                <w:color w:val="000000"/>
                <w:sz w:val="22"/>
                <w:szCs w:val="22"/>
              </w:rPr>
              <w:t>78.3</w:t>
            </w:r>
          </w:p>
        </w:tc>
      </w:tr>
      <w:tr w:rsidR="003F7821" w:rsidRPr="008A3E4E" w14:paraId="4B83051C"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6C9241C" w14:textId="77777777" w:rsidR="003F7821" w:rsidRPr="008A3E4E" w:rsidRDefault="003F7821" w:rsidP="003B3BB0">
            <w:pPr>
              <w:jc w:val="both"/>
              <w:rPr>
                <w:color w:val="000000"/>
                <w:sz w:val="22"/>
                <w:szCs w:val="22"/>
              </w:rPr>
            </w:pPr>
            <w:r w:rsidRPr="008A3E4E">
              <w:rPr>
                <w:color w:val="000000"/>
                <w:sz w:val="22"/>
                <w:szCs w:val="22"/>
              </w:rPr>
              <w:t>National Survey Project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B0244" w14:textId="77777777" w:rsidR="003F7821" w:rsidRPr="008A3E4E" w:rsidRDefault="003F7821" w:rsidP="003B3BB0">
            <w:pPr>
              <w:jc w:val="both"/>
              <w:rPr>
                <w:color w:val="000000"/>
                <w:sz w:val="22"/>
                <w:szCs w:val="22"/>
              </w:rPr>
            </w:pPr>
            <w:r w:rsidRPr="008A3E4E">
              <w:rPr>
                <w:color w:val="000000"/>
                <w:sz w:val="22"/>
                <w:szCs w:val="22"/>
              </w:rPr>
              <w:t>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12B81B" w14:textId="77777777" w:rsidR="003F7821" w:rsidRPr="008A3E4E" w:rsidRDefault="003F7821" w:rsidP="003B3BB0">
            <w:pPr>
              <w:jc w:val="right"/>
              <w:rPr>
                <w:color w:val="000000"/>
                <w:sz w:val="22"/>
                <w:szCs w:val="22"/>
              </w:rPr>
            </w:pPr>
            <w:r w:rsidRPr="008A3E4E">
              <w:rPr>
                <w:color w:val="000000"/>
                <w:sz w:val="22"/>
                <w:szCs w:val="22"/>
              </w:rPr>
              <w:t>5,236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2DAFA2" w14:textId="77777777" w:rsidR="003F7821" w:rsidRPr="008A3E4E" w:rsidRDefault="003F7821" w:rsidP="003B3BB0">
            <w:pPr>
              <w:jc w:val="right"/>
              <w:rPr>
                <w:color w:val="000000"/>
                <w:sz w:val="22"/>
                <w:szCs w:val="22"/>
              </w:rPr>
            </w:pPr>
            <w:r w:rsidRPr="008A3E4E">
              <w:rPr>
                <w:color w:val="000000"/>
                <w:sz w:val="22"/>
                <w:szCs w:val="22"/>
              </w:rPr>
              <w:t>1,007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B7D32A" w14:textId="77777777" w:rsidR="003F7821" w:rsidRPr="008A3E4E" w:rsidRDefault="003F7821" w:rsidP="003B3BB0">
            <w:pPr>
              <w:jc w:val="right"/>
              <w:rPr>
                <w:color w:val="000000"/>
                <w:sz w:val="22"/>
                <w:szCs w:val="22"/>
              </w:rPr>
            </w:pPr>
            <w:r w:rsidRPr="008A3E4E">
              <w:rPr>
                <w:color w:val="000000"/>
                <w:sz w:val="22"/>
                <w:szCs w:val="22"/>
              </w:rPr>
              <w:t>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2CA8BB" w14:textId="77777777" w:rsidR="003F7821" w:rsidRPr="008A3E4E" w:rsidRDefault="003F7821" w:rsidP="003B3BB0">
            <w:pPr>
              <w:jc w:val="right"/>
              <w:rPr>
                <w:color w:val="000000"/>
                <w:sz w:val="22"/>
                <w:szCs w:val="22"/>
              </w:rPr>
            </w:pPr>
            <w:r w:rsidRPr="008A3E4E">
              <w:rPr>
                <w:color w:val="000000"/>
                <w:sz w:val="22"/>
                <w:szCs w:val="22"/>
              </w:rPr>
              <w:t>4,176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51E9CB" w14:textId="77777777" w:rsidR="003F7821" w:rsidRPr="008A3E4E" w:rsidRDefault="003F7821" w:rsidP="003B3BB0">
            <w:pPr>
              <w:jc w:val="right"/>
              <w:rPr>
                <w:color w:val="000000"/>
                <w:sz w:val="22"/>
                <w:szCs w:val="22"/>
              </w:rPr>
            </w:pPr>
          </w:p>
        </w:tc>
      </w:tr>
      <w:tr w:rsidR="003F7821" w:rsidRPr="008A3E4E" w14:paraId="1B92EE86" w14:textId="77777777" w:rsidTr="00DD5B0D">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7E074" w14:textId="77777777" w:rsidR="003F7821" w:rsidRPr="008A3E4E" w:rsidRDefault="003F7821" w:rsidP="003B3BB0">
            <w:pPr>
              <w:jc w:val="both"/>
              <w:rPr>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1AC7D0" w14:textId="77777777" w:rsidR="003F7821" w:rsidRPr="008A3E4E" w:rsidRDefault="003F7821" w:rsidP="003B3BB0">
            <w:pPr>
              <w:jc w:val="both"/>
              <w:rPr>
                <w:color w:val="000000"/>
                <w:sz w:val="22"/>
                <w:szCs w:val="22"/>
              </w:rPr>
            </w:pPr>
            <w:r w:rsidRPr="008A3E4E">
              <w:rPr>
                <w:color w:val="000000"/>
                <w:sz w:val="22"/>
                <w:szCs w:val="2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705232" w14:textId="77777777" w:rsidR="003F7821" w:rsidRPr="008A3E4E" w:rsidRDefault="003F7821" w:rsidP="003B3BB0">
            <w:pPr>
              <w:jc w:val="right"/>
              <w:rPr>
                <w:color w:val="000000"/>
                <w:sz w:val="22"/>
                <w:szCs w:val="22"/>
              </w:rPr>
            </w:pPr>
            <w:r w:rsidRPr="008A3E4E">
              <w:rPr>
                <w:color w:val="000000"/>
                <w:sz w:val="22"/>
                <w:szCs w:val="22"/>
              </w:rPr>
              <w:t>100.0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0E4DFC" w14:textId="77777777" w:rsidR="003F7821" w:rsidRPr="008A3E4E" w:rsidRDefault="003F7821" w:rsidP="003B3BB0">
            <w:pPr>
              <w:jc w:val="right"/>
              <w:rPr>
                <w:color w:val="000000"/>
                <w:sz w:val="22"/>
                <w:szCs w:val="22"/>
              </w:rPr>
            </w:pPr>
            <w:r w:rsidRPr="008A3E4E">
              <w:rPr>
                <w:color w:val="000000"/>
                <w:sz w:val="22"/>
                <w:szCs w:val="22"/>
              </w:rPr>
              <w:t>19.2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D2A646" w14:textId="77777777" w:rsidR="003F7821" w:rsidRPr="008A3E4E" w:rsidRDefault="003F7821" w:rsidP="003B3BB0">
            <w:pPr>
              <w:jc w:val="right"/>
              <w:rPr>
                <w:color w:val="000000"/>
                <w:sz w:val="22"/>
                <w:szCs w:val="22"/>
              </w:rPr>
            </w:pPr>
            <w:r w:rsidRPr="008A3E4E">
              <w:rPr>
                <w:color w:val="000000"/>
                <w:sz w:val="22"/>
                <w:szCs w:val="22"/>
              </w:rPr>
              <w:t>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418A38" w14:textId="77777777" w:rsidR="003F7821" w:rsidRPr="008A3E4E" w:rsidRDefault="003F7821" w:rsidP="003B3BB0">
            <w:pPr>
              <w:jc w:val="right"/>
              <w:rPr>
                <w:color w:val="000000"/>
                <w:sz w:val="22"/>
                <w:szCs w:val="22"/>
              </w:rPr>
            </w:pPr>
            <w:r w:rsidRPr="008A3E4E">
              <w:rPr>
                <w:color w:val="000000"/>
                <w:sz w:val="22"/>
                <w:szCs w:val="22"/>
              </w:rPr>
              <w:t>79.8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60686C" w14:textId="77777777" w:rsidR="003F7821" w:rsidRPr="008A3E4E" w:rsidRDefault="003F7821" w:rsidP="003B3BB0">
            <w:pPr>
              <w:jc w:val="right"/>
              <w:rPr>
                <w:color w:val="000000"/>
                <w:sz w:val="22"/>
                <w:szCs w:val="22"/>
              </w:rPr>
            </w:pPr>
            <w:r w:rsidRPr="008A3E4E">
              <w:rPr>
                <w:color w:val="000000"/>
                <w:sz w:val="22"/>
                <w:szCs w:val="22"/>
              </w:rPr>
              <w:t>80.8</w:t>
            </w:r>
          </w:p>
        </w:tc>
      </w:tr>
      <w:tr w:rsidR="003F7821" w:rsidRPr="008A3E4E" w14:paraId="19CC95BC" w14:textId="77777777" w:rsidTr="00DD5B0D">
        <w:trPr>
          <w:trHeight w:val="300"/>
        </w:trPr>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6ED544BF" w14:textId="77777777" w:rsidR="003F7821" w:rsidRPr="008A3E4E" w:rsidRDefault="003F7821" w:rsidP="003B3BB0">
            <w:pPr>
              <w:jc w:val="both"/>
              <w:rPr>
                <w:color w:val="000000"/>
                <w:sz w:val="22"/>
                <w:szCs w:val="22"/>
              </w:rPr>
            </w:pPr>
            <w:r w:rsidRPr="008A3E4E">
              <w:rPr>
                <w:color w:val="000000"/>
                <w:sz w:val="22"/>
                <w:szCs w:val="22"/>
              </w:rPr>
              <w:t>Total</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06BB4AD4" w14:textId="77777777" w:rsidR="003F7821" w:rsidRPr="008A3E4E" w:rsidRDefault="003F7821" w:rsidP="003B3BB0">
            <w:pPr>
              <w:jc w:val="both"/>
              <w:rPr>
                <w:color w:val="000000"/>
                <w:sz w:val="22"/>
                <w:szCs w:val="22"/>
              </w:rPr>
            </w:pPr>
            <w:r w:rsidRPr="008A3E4E">
              <w:rPr>
                <w:color w:val="000000"/>
                <w:sz w:val="22"/>
                <w:szCs w:val="22"/>
              </w:rPr>
              <w:t>N</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5A3248CF" w14:textId="77777777" w:rsidR="003F7821" w:rsidRPr="008A3E4E" w:rsidRDefault="003F7821" w:rsidP="003B3BB0">
            <w:pPr>
              <w:jc w:val="right"/>
              <w:rPr>
                <w:color w:val="000000"/>
                <w:sz w:val="22"/>
                <w:szCs w:val="22"/>
              </w:rPr>
            </w:pPr>
            <w:r w:rsidRPr="008A3E4E">
              <w:rPr>
                <w:color w:val="000000"/>
                <w:sz w:val="22"/>
                <w:szCs w:val="22"/>
              </w:rPr>
              <w:t>41,765</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562003F7" w14:textId="77777777" w:rsidR="003F7821" w:rsidRPr="008A3E4E" w:rsidRDefault="003F7821" w:rsidP="003B3BB0">
            <w:pPr>
              <w:jc w:val="right"/>
              <w:rPr>
                <w:color w:val="000000"/>
                <w:sz w:val="22"/>
                <w:szCs w:val="22"/>
              </w:rPr>
            </w:pPr>
            <w:r w:rsidRPr="008A3E4E">
              <w:rPr>
                <w:color w:val="000000"/>
                <w:sz w:val="22"/>
                <w:szCs w:val="22"/>
              </w:rPr>
              <w:t>8,952</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2545019C" w14:textId="77777777" w:rsidR="003F7821" w:rsidRPr="008A3E4E" w:rsidRDefault="003F7821" w:rsidP="003B3BB0">
            <w:pPr>
              <w:jc w:val="right"/>
              <w:rPr>
                <w:color w:val="000000"/>
                <w:sz w:val="22"/>
                <w:szCs w:val="22"/>
              </w:rPr>
            </w:pPr>
            <w:r w:rsidRPr="008A3E4E">
              <w:rPr>
                <w:color w:val="000000"/>
                <w:sz w:val="22"/>
                <w:szCs w:val="22"/>
              </w:rPr>
              <w:t>406</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635B8035" w14:textId="77777777" w:rsidR="003F7821" w:rsidRPr="008A3E4E" w:rsidRDefault="003F7821" w:rsidP="003B3BB0">
            <w:pPr>
              <w:jc w:val="right"/>
              <w:rPr>
                <w:color w:val="000000"/>
                <w:sz w:val="22"/>
                <w:szCs w:val="22"/>
              </w:rPr>
            </w:pPr>
            <w:r w:rsidRPr="008A3E4E">
              <w:rPr>
                <w:color w:val="000000"/>
                <w:sz w:val="22"/>
                <w:szCs w:val="22"/>
              </w:rPr>
              <w:t>32,407</w:t>
            </w: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4852567B" w14:textId="77777777" w:rsidR="003F7821" w:rsidRPr="008A3E4E" w:rsidRDefault="003F7821" w:rsidP="003B3BB0">
            <w:pPr>
              <w:jc w:val="right"/>
              <w:rPr>
                <w:color w:val="000000"/>
                <w:sz w:val="22"/>
                <w:szCs w:val="22"/>
              </w:rPr>
            </w:pPr>
          </w:p>
        </w:tc>
      </w:tr>
      <w:tr w:rsidR="003F7821" w:rsidRPr="008A3E4E" w14:paraId="096CA7A9" w14:textId="77777777" w:rsidTr="00DD5B0D">
        <w:trPr>
          <w:trHeight w:val="300"/>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8991A19" w14:textId="77777777" w:rsidR="003F7821" w:rsidRPr="008A3E4E" w:rsidRDefault="003F7821" w:rsidP="003B3BB0">
            <w:pPr>
              <w:jc w:val="both"/>
              <w:rPr>
                <w:color w:val="000000"/>
                <w:sz w:val="22"/>
                <w:szCs w:val="22"/>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48B11E5" w14:textId="77777777" w:rsidR="003F7821" w:rsidRPr="008A3E4E" w:rsidRDefault="003F7821" w:rsidP="003B3BB0">
            <w:pPr>
              <w:jc w:val="both"/>
              <w:rPr>
                <w:color w:val="000000"/>
                <w:sz w:val="22"/>
                <w:szCs w:val="22"/>
              </w:rPr>
            </w:pPr>
            <w:r w:rsidRPr="008A3E4E">
              <w:rPr>
                <w:color w:val="000000"/>
                <w:sz w:val="22"/>
                <w:szCs w:val="22"/>
              </w:rPr>
              <w: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63A2560" w14:textId="77777777" w:rsidR="003F7821" w:rsidRPr="008A3E4E" w:rsidRDefault="003F7821" w:rsidP="003B3BB0">
            <w:pPr>
              <w:jc w:val="right"/>
              <w:rPr>
                <w:color w:val="000000"/>
                <w:sz w:val="22"/>
                <w:szCs w:val="22"/>
              </w:rPr>
            </w:pPr>
            <w:r w:rsidRPr="008A3E4E">
              <w:rPr>
                <w:color w:val="000000"/>
                <w:sz w:val="22"/>
                <w:szCs w:val="22"/>
              </w:rPr>
              <w:t>100.0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FB8D400" w14:textId="77777777" w:rsidR="003F7821" w:rsidRPr="008A3E4E" w:rsidRDefault="003F7821" w:rsidP="003B3BB0">
            <w:pPr>
              <w:jc w:val="right"/>
              <w:rPr>
                <w:color w:val="000000"/>
                <w:sz w:val="22"/>
                <w:szCs w:val="22"/>
              </w:rPr>
            </w:pPr>
            <w:r w:rsidRPr="008A3E4E">
              <w:rPr>
                <w:color w:val="000000"/>
                <w:sz w:val="22"/>
                <w:szCs w:val="22"/>
              </w:rPr>
              <w:t>21.4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0A9F511" w14:textId="77777777" w:rsidR="003F7821" w:rsidRPr="008A3E4E" w:rsidRDefault="003F7821" w:rsidP="003B3BB0">
            <w:pPr>
              <w:jc w:val="right"/>
              <w:rPr>
                <w:color w:val="000000"/>
                <w:sz w:val="22"/>
                <w:szCs w:val="22"/>
              </w:rPr>
            </w:pPr>
            <w:r w:rsidRPr="008A3E4E">
              <w:rPr>
                <w:color w:val="000000"/>
                <w:sz w:val="22"/>
                <w:szCs w:val="22"/>
              </w:rPr>
              <w:t>1.0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32B6AB0" w14:textId="77777777" w:rsidR="003F7821" w:rsidRPr="008A3E4E" w:rsidRDefault="003F7821" w:rsidP="003B3BB0">
            <w:pPr>
              <w:jc w:val="right"/>
              <w:rPr>
                <w:color w:val="000000"/>
                <w:sz w:val="22"/>
                <w:szCs w:val="22"/>
              </w:rPr>
            </w:pPr>
            <w:r w:rsidRPr="008A3E4E">
              <w:rPr>
                <w:color w:val="000000"/>
                <w:sz w:val="22"/>
                <w:szCs w:val="22"/>
              </w:rPr>
              <w:t>77.6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3A8AFCA" w14:textId="77777777" w:rsidR="003F7821" w:rsidRPr="008A3E4E" w:rsidRDefault="003F7821" w:rsidP="003B3BB0">
            <w:pPr>
              <w:jc w:val="right"/>
              <w:rPr>
                <w:color w:val="000000"/>
                <w:sz w:val="22"/>
                <w:szCs w:val="22"/>
              </w:rPr>
            </w:pPr>
            <w:r w:rsidRPr="008A3E4E">
              <w:rPr>
                <w:color w:val="000000"/>
                <w:sz w:val="22"/>
                <w:szCs w:val="22"/>
              </w:rPr>
              <w:t>78.6</w:t>
            </w:r>
          </w:p>
        </w:tc>
      </w:tr>
    </w:tbl>
    <w:p w14:paraId="2868B89E" w14:textId="77777777" w:rsidR="003F7821" w:rsidRPr="003B3BB0" w:rsidRDefault="003F7821" w:rsidP="003B3BB0">
      <w:pPr>
        <w:jc w:val="both"/>
        <w:rPr>
          <w:sz w:val="22"/>
          <w:szCs w:val="22"/>
        </w:rPr>
      </w:pPr>
    </w:p>
    <w:p w14:paraId="547F3E0B" w14:textId="77777777" w:rsidR="003F7821" w:rsidRPr="003B3BB0" w:rsidRDefault="003F7821" w:rsidP="003B3BB0">
      <w:pPr>
        <w:jc w:val="both"/>
        <w:rPr>
          <w:sz w:val="22"/>
          <w:szCs w:val="22"/>
        </w:rPr>
      </w:pPr>
      <w:r w:rsidRPr="008A3E4E">
        <w:rPr>
          <w:color w:val="000000"/>
          <w:sz w:val="22"/>
          <w:szCs w:val="22"/>
        </w:rPr>
        <w:t xml:space="preserve">The Vulnerable Population cohort was signed up in 2011 (and 2012) and thus many of these members have not completed their first survey yet. Some have been invited already, and their completion rates are about 30%, but we believe that this low number is due to them not being used to the system yet and not a reliable indication of likely response rates in 2012 and later. We will spend considerable efforts in </w:t>
      </w:r>
      <w:r w:rsidRPr="008A3E4E">
        <w:rPr>
          <w:color w:val="000000"/>
          <w:sz w:val="22"/>
          <w:szCs w:val="22"/>
        </w:rPr>
        <w:lastRenderedPageBreak/>
        <w:t>activating these panel members and we expect their completion rates to be similar to the completion rates of the other cohorts. Thus, in the computation of the cumulative response rates, we assume the average 78.6% completion rate of the other cohorts applies to the Vulnerable Population cohort.</w:t>
      </w:r>
    </w:p>
    <w:p w14:paraId="307C1220" w14:textId="77777777" w:rsidR="003F7821" w:rsidRPr="003B3BB0" w:rsidRDefault="003F7821" w:rsidP="003B3BB0">
      <w:pPr>
        <w:jc w:val="both"/>
        <w:rPr>
          <w:sz w:val="22"/>
          <w:szCs w:val="22"/>
        </w:rPr>
      </w:pPr>
    </w:p>
    <w:p w14:paraId="22D01F35" w14:textId="77777777" w:rsidR="003F7821" w:rsidRPr="003B3BB0" w:rsidRDefault="003F7821" w:rsidP="003B3BB0">
      <w:pPr>
        <w:jc w:val="both"/>
        <w:rPr>
          <w:sz w:val="22"/>
          <w:szCs w:val="22"/>
        </w:rPr>
      </w:pPr>
    </w:p>
    <w:p w14:paraId="2549F5F8" w14:textId="77777777" w:rsidR="003F7821" w:rsidRPr="003B3BB0" w:rsidRDefault="003F7821" w:rsidP="003B3BB0">
      <w:pPr>
        <w:jc w:val="both"/>
        <w:rPr>
          <w:i/>
          <w:sz w:val="22"/>
          <w:szCs w:val="22"/>
        </w:rPr>
      </w:pPr>
      <w:r w:rsidRPr="003B3BB0">
        <w:rPr>
          <w:i/>
          <w:sz w:val="22"/>
          <w:szCs w:val="22"/>
        </w:rPr>
        <w:t>Combining the rates of the different cohorts</w:t>
      </w:r>
    </w:p>
    <w:p w14:paraId="216DEA09" w14:textId="77777777" w:rsidR="003F7821" w:rsidRPr="003B3BB0" w:rsidRDefault="003F7821" w:rsidP="003B3BB0">
      <w:pPr>
        <w:jc w:val="both"/>
        <w:rPr>
          <w:sz w:val="22"/>
          <w:szCs w:val="22"/>
        </w:rPr>
      </w:pPr>
    </w:p>
    <w:p w14:paraId="10B824ED" w14:textId="77777777" w:rsidR="003F7821" w:rsidRDefault="003F7821" w:rsidP="003B3BB0">
      <w:pPr>
        <w:jc w:val="both"/>
        <w:rPr>
          <w:sz w:val="22"/>
          <w:szCs w:val="22"/>
        </w:rPr>
      </w:pPr>
      <w:r w:rsidRPr="003B3BB0">
        <w:rPr>
          <w:sz w:val="22"/>
          <w:szCs w:val="22"/>
        </w:rPr>
        <w:t>Recruitment rates, retention rates, and completion rates of the different cohorts are combined analogously to the way the different recruitment years were combined, that is, by weighting the cohort-specific rates by their sizes. Here, the "size" is the denominator for the relevant rate. For the recruitment rates, this is the number of addresses or telephone numbers selected; for the retention rates, it is the number of individuals who were recruited; and for the completion rates, it is the number of invitations to participate in a survey. The results were given in Table B.</w:t>
      </w:r>
      <w:r w:rsidR="00200E76">
        <w:rPr>
          <w:sz w:val="22"/>
          <w:szCs w:val="22"/>
        </w:rPr>
        <w:t>1</w:t>
      </w:r>
      <w:r w:rsidRPr="003B3BB0">
        <w:rPr>
          <w:sz w:val="22"/>
          <w:szCs w:val="22"/>
        </w:rPr>
        <w:t xml:space="preserve"> above.</w:t>
      </w:r>
    </w:p>
    <w:p w14:paraId="036D60C8" w14:textId="77777777" w:rsidR="00333C2C" w:rsidRDefault="00333C2C" w:rsidP="003B3BB0">
      <w:pPr>
        <w:jc w:val="both"/>
        <w:rPr>
          <w:sz w:val="22"/>
          <w:szCs w:val="22"/>
        </w:rPr>
      </w:pPr>
    </w:p>
    <w:p w14:paraId="1626937A" w14:textId="77777777" w:rsidR="00333C2C" w:rsidRPr="003B3BB0" w:rsidRDefault="00333C2C" w:rsidP="00333C2C">
      <w:pPr>
        <w:jc w:val="both"/>
        <w:rPr>
          <w:i/>
          <w:sz w:val="22"/>
          <w:szCs w:val="22"/>
        </w:rPr>
      </w:pPr>
      <w:r>
        <w:rPr>
          <w:i/>
          <w:sz w:val="22"/>
          <w:szCs w:val="22"/>
        </w:rPr>
        <w:t>Sample Size</w:t>
      </w:r>
    </w:p>
    <w:p w14:paraId="60F47959" w14:textId="77777777" w:rsidR="00333C2C" w:rsidRPr="003B3BB0" w:rsidRDefault="00333C2C" w:rsidP="00333C2C">
      <w:pPr>
        <w:jc w:val="both"/>
        <w:rPr>
          <w:sz w:val="22"/>
          <w:szCs w:val="22"/>
        </w:rPr>
      </w:pPr>
    </w:p>
    <w:p w14:paraId="1DE036DB" w14:textId="23CA3AE3" w:rsidR="00333C2C" w:rsidRPr="003B3BB0" w:rsidRDefault="00333C2C" w:rsidP="00333C2C">
      <w:pPr>
        <w:jc w:val="both"/>
        <w:rPr>
          <w:sz w:val="22"/>
          <w:szCs w:val="22"/>
        </w:rPr>
      </w:pPr>
      <w:r>
        <w:rPr>
          <w:sz w:val="22"/>
          <w:szCs w:val="22"/>
        </w:rPr>
        <w:t>As mentioned above, the ALP pool contains roughly 4,500 respondents. After excluding the Snowball cohort</w:t>
      </w:r>
      <w:r w:rsidR="00775A2C">
        <w:rPr>
          <w:sz w:val="22"/>
          <w:szCs w:val="22"/>
        </w:rPr>
        <w:t>,</w:t>
      </w:r>
      <w:r>
        <w:rPr>
          <w:sz w:val="22"/>
          <w:szCs w:val="22"/>
        </w:rPr>
        <w:t xml:space="preserve"> the Mailing and Phone Experiment cohorts, and the RDS cohort, we are left with about 3,</w:t>
      </w:r>
      <w:r w:rsidR="00775A2C">
        <w:rPr>
          <w:sz w:val="22"/>
          <w:szCs w:val="22"/>
        </w:rPr>
        <w:t>6</w:t>
      </w:r>
      <w:r>
        <w:rPr>
          <w:sz w:val="22"/>
          <w:szCs w:val="22"/>
        </w:rPr>
        <w:t xml:space="preserve">00 panel members. Based on the previous discussion, we assume a completion rate of 80%. Accordingly, the expected sample size for the project will be </w:t>
      </w:r>
      <w:r w:rsidR="00492221">
        <w:rPr>
          <w:sz w:val="22"/>
          <w:szCs w:val="22"/>
        </w:rPr>
        <w:t>2,900</w:t>
      </w:r>
      <w:r>
        <w:rPr>
          <w:sz w:val="22"/>
          <w:szCs w:val="22"/>
        </w:rPr>
        <w:t xml:space="preserve"> individuals. </w:t>
      </w:r>
    </w:p>
    <w:p w14:paraId="3DA53C23" w14:textId="77777777" w:rsidR="0070428B" w:rsidRPr="003B3BB0" w:rsidRDefault="0070428B" w:rsidP="0070428B">
      <w:pPr>
        <w:pStyle w:val="Heading2"/>
        <w:rPr>
          <w:sz w:val="22"/>
          <w:szCs w:val="22"/>
        </w:rPr>
      </w:pPr>
      <w:bookmarkStart w:id="34" w:name="_Toc201829392"/>
      <w:r w:rsidRPr="003B3BB0">
        <w:rPr>
          <w:sz w:val="22"/>
          <w:szCs w:val="22"/>
        </w:rPr>
        <w:t>B.4. Tests of Procedures or Methods to be undertaken</w:t>
      </w:r>
      <w:bookmarkEnd w:id="34"/>
    </w:p>
    <w:p w14:paraId="0700D69F" w14:textId="77777777" w:rsidR="0070428B" w:rsidRPr="002E21B7" w:rsidRDefault="0070428B" w:rsidP="0070428B">
      <w:pPr>
        <w:pStyle w:val="Heading3"/>
        <w:ind w:left="0"/>
        <w:rPr>
          <w:sz w:val="22"/>
          <w:szCs w:val="22"/>
        </w:rPr>
      </w:pPr>
      <w:bookmarkStart w:id="35" w:name="_Toc201829393"/>
      <w:r w:rsidRPr="002E21B7">
        <w:rPr>
          <w:sz w:val="22"/>
          <w:szCs w:val="22"/>
        </w:rPr>
        <w:t>Sample Weights</w:t>
      </w:r>
      <w:bookmarkEnd w:id="35"/>
    </w:p>
    <w:p w14:paraId="46364550" w14:textId="77777777" w:rsidR="0070428B" w:rsidRPr="002E21B7" w:rsidRDefault="0070428B" w:rsidP="0070428B">
      <w:pPr>
        <w:spacing w:after="100" w:afterAutospacing="1"/>
        <w:jc w:val="both"/>
        <w:rPr>
          <w:sz w:val="22"/>
          <w:szCs w:val="22"/>
        </w:rPr>
      </w:pPr>
      <w:r w:rsidRPr="002E21B7">
        <w:rPr>
          <w:sz w:val="22"/>
          <w:szCs w:val="22"/>
        </w:rPr>
        <w:t xml:space="preserve">As for most microeconomic surveys based on random sampling, the composition of the ALP sample does not necessarily match the one of the reference population. Hence, sample weights are needed to derive population estimates.  RAND constructs such weights to allow for generalization to the population it intends to represent. </w:t>
      </w:r>
    </w:p>
    <w:p w14:paraId="2B0DE6B4" w14:textId="77777777" w:rsidR="0070428B" w:rsidRPr="002E21B7" w:rsidRDefault="0070428B" w:rsidP="0070428B">
      <w:pPr>
        <w:spacing w:after="100" w:afterAutospacing="1"/>
        <w:jc w:val="both"/>
        <w:rPr>
          <w:sz w:val="22"/>
          <w:szCs w:val="22"/>
        </w:rPr>
      </w:pPr>
      <w:r w:rsidRPr="002E21B7">
        <w:rPr>
          <w:sz w:val="22"/>
          <w:szCs w:val="22"/>
        </w:rPr>
        <w:t xml:space="preserve">The reference population for the entire ALP consists of individuals aged 18 and older, who are not in the Armed Forces or institutionalized. The weighting procedure adopted by RAND, however, allows targeting specific sub-populations depending on the sample selection criteria of distinct surveys (e.g. the population of persons in a certain age bracket). </w:t>
      </w:r>
    </w:p>
    <w:p w14:paraId="4F585CA9" w14:textId="77777777" w:rsidR="0070428B" w:rsidRPr="002E21B7" w:rsidRDefault="0070428B" w:rsidP="0070428B">
      <w:pPr>
        <w:spacing w:after="100" w:afterAutospacing="1"/>
        <w:jc w:val="both"/>
        <w:rPr>
          <w:sz w:val="22"/>
          <w:szCs w:val="22"/>
        </w:rPr>
      </w:pPr>
      <w:r w:rsidRPr="002E21B7">
        <w:rPr>
          <w:sz w:val="22"/>
          <w:szCs w:val="22"/>
        </w:rPr>
        <w:t>The benchmark distributions against which ALP surveys are weighted are derived from the Current Population Survey (CPS) Annual Social and Economic Supplement (</w:t>
      </w:r>
      <w:r>
        <w:rPr>
          <w:sz w:val="22"/>
          <w:szCs w:val="22"/>
        </w:rPr>
        <w:t>administered</w:t>
      </w:r>
      <w:r w:rsidRPr="002E21B7">
        <w:rPr>
          <w:sz w:val="22"/>
          <w:szCs w:val="22"/>
        </w:rPr>
        <w:t xml:space="preserve"> in March of each year). This choice follows common practice in other </w:t>
      </w:r>
      <w:r>
        <w:rPr>
          <w:sz w:val="22"/>
          <w:szCs w:val="22"/>
        </w:rPr>
        <w:t>social science</w:t>
      </w:r>
      <w:r w:rsidRPr="002E21B7">
        <w:rPr>
          <w:sz w:val="22"/>
          <w:szCs w:val="22"/>
        </w:rPr>
        <w:t xml:space="preserve"> surveys, such as for instance, the Health and Retirement Study (HRS). </w:t>
      </w:r>
    </w:p>
    <w:p w14:paraId="0BE78DFF" w14:textId="77777777" w:rsidR="0070428B" w:rsidRPr="002E21B7" w:rsidRDefault="0070428B" w:rsidP="0070428B">
      <w:pPr>
        <w:spacing w:after="100" w:afterAutospacing="1"/>
        <w:jc w:val="both"/>
        <w:rPr>
          <w:sz w:val="22"/>
          <w:szCs w:val="22"/>
        </w:rPr>
      </w:pPr>
      <w:r w:rsidRPr="002E21B7">
        <w:rPr>
          <w:sz w:val="22"/>
          <w:szCs w:val="22"/>
        </w:rPr>
        <w:t xml:space="preserve">Three weighting methods have been implemented for the ALP: cell-based post stratification, logistic regression, and raking. After experimentation over time, raking has been found to give the best results among these different methods. It allows finer categorizations of variables of interest (in particular, age and income) than cell-based post-stratification does, while still matching benchmark distributions of such variables exactly. </w:t>
      </w:r>
    </w:p>
    <w:p w14:paraId="4D3F37DE" w14:textId="77777777" w:rsidR="0070428B" w:rsidRPr="002E21B7" w:rsidRDefault="0070428B" w:rsidP="0070428B">
      <w:pPr>
        <w:spacing w:after="100" w:afterAutospacing="1"/>
        <w:jc w:val="both"/>
        <w:rPr>
          <w:sz w:val="22"/>
          <w:szCs w:val="22"/>
        </w:rPr>
      </w:pPr>
      <w:r w:rsidRPr="002E21B7">
        <w:rPr>
          <w:sz w:val="22"/>
          <w:szCs w:val="22"/>
        </w:rPr>
        <w:t xml:space="preserve">The weighting procedure consists of two steps. In the first one, individual demographics from the CPS are mapped onto those available in the ALP and selected weighting variables are recoded into strata (or categories). </w:t>
      </w:r>
      <w:r>
        <w:rPr>
          <w:sz w:val="22"/>
          <w:szCs w:val="22"/>
        </w:rPr>
        <w:t>Such</w:t>
      </w:r>
      <w:r w:rsidRPr="002E21B7">
        <w:rPr>
          <w:sz w:val="22"/>
          <w:szCs w:val="22"/>
        </w:rPr>
        <w:t xml:space="preserve"> re-categorization</w:t>
      </w:r>
      <w:r>
        <w:rPr>
          <w:sz w:val="22"/>
          <w:szCs w:val="22"/>
        </w:rPr>
        <w:t xml:space="preserve">, which </w:t>
      </w:r>
      <w:r w:rsidRPr="002E21B7">
        <w:rPr>
          <w:sz w:val="22"/>
          <w:szCs w:val="22"/>
        </w:rPr>
        <w:t>applies to both CPS and ALP variables</w:t>
      </w:r>
      <w:r>
        <w:rPr>
          <w:sz w:val="22"/>
          <w:szCs w:val="22"/>
        </w:rPr>
        <w:t xml:space="preserve">, </w:t>
      </w:r>
      <w:r>
        <w:rPr>
          <w:rFonts w:ascii="Times" w:hAnsi="Times" w:cstheme="minorHAnsi"/>
          <w:sz w:val="22"/>
          <w:szCs w:val="22"/>
        </w:rPr>
        <w:t xml:space="preserve">is required particularly when </w:t>
      </w:r>
      <w:r w:rsidRPr="002E21B7">
        <w:rPr>
          <w:sz w:val="22"/>
          <w:szCs w:val="22"/>
        </w:rPr>
        <w:t xml:space="preserve">weighting variables are continuous </w:t>
      </w:r>
      <w:r>
        <w:rPr>
          <w:sz w:val="22"/>
          <w:szCs w:val="22"/>
        </w:rPr>
        <w:t xml:space="preserve">(e.g., income) </w:t>
      </w:r>
      <w:r w:rsidRPr="002E21B7">
        <w:rPr>
          <w:sz w:val="22"/>
          <w:szCs w:val="22"/>
        </w:rPr>
        <w:t xml:space="preserve">or take values in a finite, but relatively large set </w:t>
      </w:r>
      <w:r w:rsidRPr="002E21B7">
        <w:rPr>
          <w:sz w:val="22"/>
          <w:szCs w:val="22"/>
        </w:rPr>
        <w:lastRenderedPageBreak/>
        <w:t>(e.g.</w:t>
      </w:r>
      <w:r>
        <w:rPr>
          <w:sz w:val="22"/>
          <w:szCs w:val="22"/>
        </w:rPr>
        <w:t>,</w:t>
      </w:r>
      <w:r w:rsidRPr="002E21B7">
        <w:rPr>
          <w:sz w:val="22"/>
          <w:szCs w:val="22"/>
        </w:rPr>
        <w:t xml:space="preserve"> age)</w:t>
      </w:r>
      <w:proofErr w:type="gramStart"/>
      <w:r w:rsidRPr="002E21B7">
        <w:rPr>
          <w:sz w:val="22"/>
          <w:szCs w:val="22"/>
        </w:rPr>
        <w:t>.</w:t>
      </w:r>
      <w:r>
        <w:rPr>
          <w:sz w:val="22"/>
          <w:szCs w:val="22"/>
        </w:rPr>
        <w:t>.</w:t>
      </w:r>
      <w:proofErr w:type="gramEnd"/>
      <w:r w:rsidRPr="002E21B7">
        <w:rPr>
          <w:sz w:val="22"/>
          <w:szCs w:val="22"/>
        </w:rPr>
        <w:t xml:space="preserve"> In the second step, the raking algorithm is implemented and sample weights are generated by matching the proportions of pre-defined strata in the ALP to those in the CPS. More precisely, the weighting algorithm is performed on the following set of two-way </w:t>
      </w:r>
      <w:proofErr w:type="spellStart"/>
      <w:r w:rsidRPr="002E21B7">
        <w:rPr>
          <w:sz w:val="22"/>
          <w:szCs w:val="22"/>
        </w:rPr>
        <w:t>marginals</w:t>
      </w:r>
      <w:proofErr w:type="spellEnd"/>
      <w:r w:rsidRPr="002E21B7">
        <w:rPr>
          <w:sz w:val="22"/>
          <w:szCs w:val="22"/>
        </w:rPr>
        <w:t>:</w:t>
      </w:r>
    </w:p>
    <w:p w14:paraId="0D4F1D63" w14:textId="77777777" w:rsidR="0070428B" w:rsidRPr="002E21B7" w:rsidRDefault="0070428B" w:rsidP="0070428B">
      <w:pPr>
        <w:widowControl/>
        <w:numPr>
          <w:ilvl w:val="0"/>
          <w:numId w:val="39"/>
        </w:numPr>
        <w:autoSpaceDE/>
        <w:autoSpaceDN/>
        <w:adjustRightInd/>
        <w:spacing w:line="276" w:lineRule="auto"/>
        <w:jc w:val="both"/>
        <w:rPr>
          <w:sz w:val="22"/>
          <w:szCs w:val="22"/>
        </w:rPr>
      </w:pPr>
      <w:r w:rsidRPr="002E21B7">
        <w:rPr>
          <w:b/>
          <w:sz w:val="22"/>
          <w:szCs w:val="22"/>
        </w:rPr>
        <w:t xml:space="preserve">Gender </w:t>
      </w:r>
      <w:r w:rsidRPr="00B04043">
        <w:rPr>
          <w:sz w:val="22"/>
          <w:szCs w:val="22"/>
        </w:rPr>
        <w:t>×</w:t>
      </w:r>
      <w:r w:rsidRPr="002E21B7">
        <w:rPr>
          <w:b/>
          <w:sz w:val="22"/>
          <w:szCs w:val="22"/>
        </w:rPr>
        <w:t>Age</w:t>
      </w:r>
      <w:r w:rsidRPr="002E21B7">
        <w:rPr>
          <w:sz w:val="22"/>
          <w:szCs w:val="22"/>
        </w:rPr>
        <w:t xml:space="preserve"> </w:t>
      </w:r>
    </w:p>
    <w:p w14:paraId="2F271B5C" w14:textId="77777777" w:rsidR="0070428B" w:rsidRPr="002E21B7" w:rsidRDefault="0070428B" w:rsidP="0070428B">
      <w:pPr>
        <w:widowControl/>
        <w:autoSpaceDE/>
        <w:autoSpaceDN/>
        <w:adjustRightInd/>
        <w:spacing w:line="276" w:lineRule="auto"/>
        <w:ind w:left="360"/>
        <w:jc w:val="both"/>
        <w:rPr>
          <w:sz w:val="22"/>
          <w:szCs w:val="22"/>
        </w:rPr>
      </w:pPr>
      <w:r w:rsidRPr="002E21B7">
        <w:rPr>
          <w:sz w:val="22"/>
          <w:szCs w:val="22"/>
        </w:rPr>
        <w:t xml:space="preserve">with twelve categories: (1) male, 18-30; (2) male, 31-40; (3) male, 41-50; (4) male, 51-60; (5) male, 61-74; (6) male, 75+; (7) female, 18-30; (8) female, 31-40; (9) female, 41-50; (10) female, 51-60; (11) female, 61-74; (12) female, 75+. </w:t>
      </w:r>
    </w:p>
    <w:p w14:paraId="0A515B56" w14:textId="77777777" w:rsidR="0070428B" w:rsidRPr="002E21B7" w:rsidRDefault="0070428B" w:rsidP="0070428B">
      <w:pPr>
        <w:widowControl/>
        <w:numPr>
          <w:ilvl w:val="0"/>
          <w:numId w:val="40"/>
        </w:numPr>
        <w:autoSpaceDE/>
        <w:autoSpaceDN/>
        <w:adjustRightInd/>
        <w:spacing w:line="276" w:lineRule="auto"/>
        <w:jc w:val="both"/>
        <w:rPr>
          <w:sz w:val="22"/>
          <w:szCs w:val="22"/>
        </w:rPr>
      </w:pPr>
      <w:r w:rsidRPr="002E21B7">
        <w:rPr>
          <w:b/>
          <w:sz w:val="22"/>
          <w:szCs w:val="22"/>
        </w:rPr>
        <w:t>Gender × Ethnicity</w:t>
      </w:r>
    </w:p>
    <w:p w14:paraId="6E29AD95" w14:textId="77777777" w:rsidR="0070428B" w:rsidRPr="002E21B7" w:rsidRDefault="0070428B" w:rsidP="0070428B">
      <w:pPr>
        <w:widowControl/>
        <w:autoSpaceDE/>
        <w:autoSpaceDN/>
        <w:adjustRightInd/>
        <w:spacing w:line="276" w:lineRule="auto"/>
        <w:ind w:left="360"/>
        <w:jc w:val="both"/>
        <w:rPr>
          <w:sz w:val="22"/>
          <w:szCs w:val="22"/>
        </w:rPr>
      </w:pPr>
      <w:r w:rsidRPr="002E21B7">
        <w:rPr>
          <w:sz w:val="22"/>
          <w:szCs w:val="22"/>
        </w:rPr>
        <w:t>with six categories: (1) male, non-Hispanic White; (2) male, non-Hispanic African American; (3) male, Hispanic or Other; (4) female, non-Hispanic White; (5) female, non-Hispanic African American; (6) female, Hispanic or Other.</w:t>
      </w:r>
    </w:p>
    <w:p w14:paraId="4FF527F0" w14:textId="77777777" w:rsidR="0070428B" w:rsidRDefault="0070428B" w:rsidP="0070428B">
      <w:pPr>
        <w:widowControl/>
        <w:numPr>
          <w:ilvl w:val="0"/>
          <w:numId w:val="41"/>
        </w:numPr>
        <w:autoSpaceDE/>
        <w:autoSpaceDN/>
        <w:adjustRightInd/>
        <w:spacing w:line="276" w:lineRule="auto"/>
        <w:jc w:val="both"/>
        <w:rPr>
          <w:sz w:val="22"/>
          <w:szCs w:val="22"/>
        </w:rPr>
      </w:pPr>
      <w:r w:rsidRPr="002E21B7">
        <w:rPr>
          <w:b/>
          <w:sz w:val="22"/>
          <w:szCs w:val="22"/>
        </w:rPr>
        <w:t xml:space="preserve">Gender </w:t>
      </w:r>
      <w:r w:rsidRPr="0033072C">
        <w:rPr>
          <w:sz w:val="22"/>
          <w:szCs w:val="22"/>
        </w:rPr>
        <w:t>×</w:t>
      </w:r>
      <w:r w:rsidRPr="002E21B7">
        <w:rPr>
          <w:b/>
          <w:sz w:val="22"/>
          <w:szCs w:val="22"/>
        </w:rPr>
        <w:t xml:space="preserve"> Education</w:t>
      </w:r>
      <w:r w:rsidRPr="002E21B7">
        <w:rPr>
          <w:sz w:val="22"/>
          <w:szCs w:val="22"/>
        </w:rPr>
        <w:t xml:space="preserve"> </w:t>
      </w:r>
    </w:p>
    <w:p w14:paraId="0B09F0F1" w14:textId="77777777" w:rsidR="0070428B" w:rsidRPr="002E21B7" w:rsidRDefault="0070428B" w:rsidP="0070428B">
      <w:pPr>
        <w:widowControl/>
        <w:autoSpaceDE/>
        <w:autoSpaceDN/>
        <w:adjustRightInd/>
        <w:spacing w:line="276" w:lineRule="auto"/>
        <w:ind w:left="360"/>
        <w:jc w:val="both"/>
        <w:rPr>
          <w:sz w:val="22"/>
          <w:szCs w:val="22"/>
        </w:rPr>
      </w:pPr>
      <w:r w:rsidRPr="002E21B7">
        <w:rPr>
          <w:sz w:val="22"/>
          <w:szCs w:val="22"/>
        </w:rPr>
        <w:t xml:space="preserve">with six categories: (1) male, high school or less; (2) male, some college or a bachelor’s degree; (3) male, more than a bachelor’s degree; (4) female, high school or less; (5) female, some college or a bachelor’s degree; (6) female, more than a bachelor’s degree.  </w:t>
      </w:r>
    </w:p>
    <w:p w14:paraId="176CFD5C" w14:textId="77777777" w:rsidR="0070428B" w:rsidRPr="002E21B7" w:rsidRDefault="0070428B" w:rsidP="0070428B">
      <w:pPr>
        <w:widowControl/>
        <w:numPr>
          <w:ilvl w:val="0"/>
          <w:numId w:val="41"/>
        </w:numPr>
        <w:autoSpaceDE/>
        <w:autoSpaceDN/>
        <w:adjustRightInd/>
        <w:spacing w:line="276" w:lineRule="auto"/>
        <w:jc w:val="both"/>
        <w:rPr>
          <w:sz w:val="22"/>
          <w:szCs w:val="22"/>
        </w:rPr>
      </w:pPr>
      <w:r w:rsidRPr="002E21B7">
        <w:rPr>
          <w:b/>
          <w:sz w:val="22"/>
          <w:szCs w:val="22"/>
        </w:rPr>
        <w:t xml:space="preserve">Gender </w:t>
      </w:r>
      <w:r w:rsidRPr="00B04043">
        <w:rPr>
          <w:sz w:val="22"/>
          <w:szCs w:val="22"/>
        </w:rPr>
        <w:t>×</w:t>
      </w:r>
      <w:r>
        <w:rPr>
          <w:sz w:val="22"/>
          <w:szCs w:val="22"/>
        </w:rPr>
        <w:t xml:space="preserve"> </w:t>
      </w:r>
      <w:r w:rsidRPr="002E21B7">
        <w:rPr>
          <w:b/>
          <w:sz w:val="22"/>
          <w:szCs w:val="22"/>
        </w:rPr>
        <w:t>Household Income</w:t>
      </w:r>
      <w:r w:rsidRPr="002E21B7">
        <w:rPr>
          <w:sz w:val="22"/>
          <w:szCs w:val="22"/>
        </w:rPr>
        <w:t xml:space="preserve"> </w:t>
      </w:r>
    </w:p>
    <w:p w14:paraId="4B40618D" w14:textId="77777777" w:rsidR="0070428B" w:rsidRDefault="0070428B" w:rsidP="0070428B">
      <w:pPr>
        <w:widowControl/>
        <w:autoSpaceDE/>
        <w:autoSpaceDN/>
        <w:adjustRightInd/>
        <w:spacing w:line="276" w:lineRule="auto"/>
        <w:ind w:left="360"/>
        <w:jc w:val="both"/>
        <w:rPr>
          <w:sz w:val="22"/>
          <w:szCs w:val="22"/>
        </w:rPr>
      </w:pPr>
      <w:r w:rsidRPr="002E21B7">
        <w:rPr>
          <w:sz w:val="22"/>
          <w:szCs w:val="22"/>
        </w:rPr>
        <w:t>with eight categories: (1) male, &lt;$35,000; (2) male, $35,000-$59,999; (3) male, $60,000-$99,999; (4) male, $100,000+; (5) female, &lt;$35,000; (6) female, $35,000-$59,999; (7) female, $60,000-$99,999; (8) female, $100,000+.</w:t>
      </w:r>
    </w:p>
    <w:p w14:paraId="7FEB41B9" w14:textId="77777777" w:rsidR="0070428B" w:rsidRPr="002E21B7" w:rsidRDefault="0070428B" w:rsidP="0070428B">
      <w:pPr>
        <w:widowControl/>
        <w:numPr>
          <w:ilvl w:val="0"/>
          <w:numId w:val="41"/>
        </w:numPr>
        <w:autoSpaceDE/>
        <w:autoSpaceDN/>
        <w:adjustRightInd/>
        <w:spacing w:line="276" w:lineRule="auto"/>
        <w:jc w:val="both"/>
        <w:rPr>
          <w:sz w:val="22"/>
          <w:szCs w:val="22"/>
        </w:rPr>
      </w:pPr>
      <w:r w:rsidRPr="002E21B7">
        <w:rPr>
          <w:sz w:val="22"/>
          <w:szCs w:val="22"/>
        </w:rPr>
        <w:t xml:space="preserve"> </w:t>
      </w:r>
      <w:r w:rsidRPr="002E21B7">
        <w:rPr>
          <w:b/>
          <w:sz w:val="22"/>
          <w:szCs w:val="22"/>
        </w:rPr>
        <w:t xml:space="preserve">Household Income </w:t>
      </w:r>
      <w:r w:rsidRPr="00B04043">
        <w:rPr>
          <w:sz w:val="22"/>
          <w:szCs w:val="22"/>
        </w:rPr>
        <w:t>×</w:t>
      </w:r>
      <w:r>
        <w:rPr>
          <w:sz w:val="22"/>
          <w:szCs w:val="22"/>
        </w:rPr>
        <w:t xml:space="preserve"> </w:t>
      </w:r>
      <w:r w:rsidRPr="002E21B7">
        <w:rPr>
          <w:b/>
          <w:sz w:val="22"/>
          <w:szCs w:val="22"/>
        </w:rPr>
        <w:t>Number of Household Members</w:t>
      </w:r>
      <w:r w:rsidRPr="002E21B7">
        <w:rPr>
          <w:sz w:val="22"/>
          <w:szCs w:val="22"/>
        </w:rPr>
        <w:t xml:space="preserve"> </w:t>
      </w:r>
    </w:p>
    <w:p w14:paraId="7F455ECC" w14:textId="77777777" w:rsidR="0070428B" w:rsidRPr="002E21B7" w:rsidRDefault="0070428B" w:rsidP="0070428B">
      <w:pPr>
        <w:widowControl/>
        <w:autoSpaceDE/>
        <w:autoSpaceDN/>
        <w:adjustRightInd/>
        <w:spacing w:line="276" w:lineRule="auto"/>
        <w:ind w:left="360"/>
        <w:jc w:val="both"/>
        <w:rPr>
          <w:sz w:val="22"/>
          <w:szCs w:val="22"/>
        </w:rPr>
      </w:pPr>
      <w:proofErr w:type="gramStart"/>
      <w:r w:rsidRPr="002E21B7">
        <w:rPr>
          <w:sz w:val="22"/>
          <w:szCs w:val="22"/>
        </w:rPr>
        <w:t>with</w:t>
      </w:r>
      <w:proofErr w:type="gramEnd"/>
      <w:r w:rsidRPr="002E21B7">
        <w:rPr>
          <w:sz w:val="22"/>
          <w:szCs w:val="22"/>
        </w:rPr>
        <w:t xml:space="preserve"> six categories: (1) single, &lt;$60,000; (2) single, $60,000+; (3) couple, &lt;$60,000; (4) couple, $60,000+; (5) 3+ members, &lt;$60,000; (6) 3+ members, $60,000+.</w:t>
      </w:r>
    </w:p>
    <w:p w14:paraId="2352BD69" w14:textId="77777777" w:rsidR="0070428B" w:rsidRDefault="0070428B" w:rsidP="0070428B">
      <w:pPr>
        <w:widowControl/>
        <w:autoSpaceDE/>
        <w:autoSpaceDN/>
        <w:adjustRightInd/>
        <w:spacing w:line="276" w:lineRule="auto"/>
        <w:jc w:val="both"/>
        <w:rPr>
          <w:sz w:val="22"/>
          <w:szCs w:val="22"/>
        </w:rPr>
      </w:pPr>
    </w:p>
    <w:p w14:paraId="38391E04" w14:textId="77777777" w:rsidR="0070428B" w:rsidRDefault="0070428B" w:rsidP="0070428B">
      <w:pPr>
        <w:widowControl/>
        <w:autoSpaceDE/>
        <w:autoSpaceDN/>
        <w:adjustRightInd/>
        <w:spacing w:line="276" w:lineRule="auto"/>
        <w:jc w:val="both"/>
        <w:rPr>
          <w:rFonts w:ascii="Times" w:hAnsi="Times" w:cstheme="minorHAnsi"/>
          <w:sz w:val="22"/>
          <w:szCs w:val="22"/>
        </w:rPr>
      </w:pPr>
      <w:r>
        <w:rPr>
          <w:sz w:val="22"/>
          <w:szCs w:val="22"/>
        </w:rPr>
        <w:t xml:space="preserve">The above </w:t>
      </w:r>
      <w:r>
        <w:rPr>
          <w:rFonts w:ascii="Times" w:hAnsi="Times" w:cstheme="minorHAnsi"/>
          <w:sz w:val="22"/>
          <w:szCs w:val="22"/>
        </w:rPr>
        <w:t>strata are defined such that none of them contains less than 5% of the ALP sample. This rule of thumb is commonly adopted (</w:t>
      </w:r>
      <w:proofErr w:type="spellStart"/>
      <w:r>
        <w:rPr>
          <w:rFonts w:ascii="Times" w:hAnsi="Times" w:cstheme="minorHAnsi"/>
          <w:sz w:val="22"/>
          <w:szCs w:val="22"/>
        </w:rPr>
        <w:t>DeBell</w:t>
      </w:r>
      <w:proofErr w:type="spellEnd"/>
      <w:r>
        <w:rPr>
          <w:rFonts w:ascii="Times" w:hAnsi="Times" w:cstheme="minorHAnsi"/>
          <w:sz w:val="22"/>
          <w:szCs w:val="22"/>
        </w:rPr>
        <w:t xml:space="preserve"> and </w:t>
      </w:r>
      <w:proofErr w:type="spellStart"/>
      <w:r>
        <w:rPr>
          <w:rFonts w:ascii="Times" w:hAnsi="Times" w:cstheme="minorHAnsi"/>
          <w:sz w:val="22"/>
          <w:szCs w:val="22"/>
        </w:rPr>
        <w:t>Krosnick</w:t>
      </w:r>
      <w:proofErr w:type="spellEnd"/>
      <w:r>
        <w:rPr>
          <w:rFonts w:ascii="Times" w:hAnsi="Times" w:cstheme="minorHAnsi"/>
          <w:sz w:val="22"/>
          <w:szCs w:val="22"/>
        </w:rPr>
        <w:t xml:space="preserve">, 2009) in </w:t>
      </w:r>
      <w:proofErr w:type="spellStart"/>
      <w:r>
        <w:rPr>
          <w:rFonts w:ascii="Times" w:hAnsi="Times" w:cstheme="minorHAnsi"/>
          <w:sz w:val="22"/>
          <w:szCs w:val="22"/>
        </w:rPr>
        <w:t>poststratification</w:t>
      </w:r>
      <w:proofErr w:type="spellEnd"/>
      <w:r>
        <w:rPr>
          <w:rFonts w:ascii="Times" w:hAnsi="Times" w:cstheme="minorHAnsi"/>
          <w:sz w:val="22"/>
          <w:szCs w:val="22"/>
        </w:rPr>
        <w:t xml:space="preserve"> weighting. It </w:t>
      </w:r>
      <w:r w:rsidRPr="00F56400">
        <w:rPr>
          <w:rFonts w:ascii="Times" w:hAnsi="Times" w:cstheme="minorHAnsi"/>
          <w:sz w:val="22"/>
          <w:szCs w:val="22"/>
        </w:rPr>
        <w:t>aims at p</w:t>
      </w:r>
      <w:r>
        <w:rPr>
          <w:rFonts w:ascii="Times" w:hAnsi="Times" w:cstheme="minorHAnsi"/>
          <w:sz w:val="22"/>
          <w:szCs w:val="22"/>
        </w:rPr>
        <w:t>reventing very small cell sizes</w:t>
      </w:r>
      <w:r w:rsidRPr="00F56400">
        <w:rPr>
          <w:rFonts w:ascii="Times" w:hAnsi="Times" w:cstheme="minorHAnsi"/>
          <w:sz w:val="22"/>
          <w:szCs w:val="22"/>
        </w:rPr>
        <w:t xml:space="preserve"> and</w:t>
      </w:r>
      <w:r>
        <w:rPr>
          <w:rFonts w:ascii="Times" w:hAnsi="Times" w:cstheme="minorHAnsi"/>
          <w:sz w:val="22"/>
          <w:szCs w:val="22"/>
        </w:rPr>
        <w:t>,</w:t>
      </w:r>
      <w:r w:rsidRPr="00F56400">
        <w:rPr>
          <w:rFonts w:ascii="Times" w:hAnsi="Times" w:cstheme="minorHAnsi"/>
          <w:sz w:val="22"/>
          <w:szCs w:val="22"/>
        </w:rPr>
        <w:t xml:space="preserve"> therefore</w:t>
      </w:r>
      <w:r>
        <w:rPr>
          <w:rFonts w:ascii="Times" w:hAnsi="Times" w:cstheme="minorHAnsi"/>
          <w:sz w:val="22"/>
          <w:szCs w:val="22"/>
        </w:rPr>
        <w:t>,</w:t>
      </w:r>
      <w:r w:rsidRPr="00F56400">
        <w:rPr>
          <w:rFonts w:ascii="Times" w:hAnsi="Times" w:cstheme="minorHAnsi"/>
          <w:sz w:val="22"/>
          <w:szCs w:val="22"/>
        </w:rPr>
        <w:t xml:space="preserve"> extremely </w:t>
      </w:r>
      <w:r>
        <w:rPr>
          <w:rFonts w:ascii="Times" w:hAnsi="Times" w:cstheme="minorHAnsi"/>
          <w:sz w:val="22"/>
          <w:szCs w:val="22"/>
        </w:rPr>
        <w:t xml:space="preserve">high weights. </w:t>
      </w:r>
    </w:p>
    <w:p w14:paraId="02415420" w14:textId="77777777" w:rsidR="0070428B" w:rsidRPr="002E21B7" w:rsidRDefault="0070428B" w:rsidP="0070428B">
      <w:pPr>
        <w:widowControl/>
        <w:autoSpaceDE/>
        <w:autoSpaceDN/>
        <w:adjustRightInd/>
        <w:spacing w:line="276" w:lineRule="auto"/>
        <w:jc w:val="both"/>
        <w:rPr>
          <w:sz w:val="22"/>
          <w:szCs w:val="22"/>
        </w:rPr>
      </w:pPr>
    </w:p>
    <w:p w14:paraId="1F450CD8" w14:textId="77777777" w:rsidR="0070428B" w:rsidRPr="00CE079F" w:rsidRDefault="0070428B" w:rsidP="0070428B">
      <w:pPr>
        <w:widowControl/>
        <w:autoSpaceDE/>
        <w:autoSpaceDN/>
        <w:adjustRightInd/>
        <w:spacing w:line="276" w:lineRule="auto"/>
        <w:jc w:val="both"/>
        <w:rPr>
          <w:sz w:val="22"/>
          <w:szCs w:val="22"/>
        </w:rPr>
      </w:pPr>
      <w:r w:rsidRPr="002E21B7">
        <w:rPr>
          <w:sz w:val="22"/>
          <w:szCs w:val="22"/>
        </w:rPr>
        <w:t xml:space="preserve">While </w:t>
      </w:r>
      <w:r w:rsidRPr="00CE079F">
        <w:rPr>
          <w:sz w:val="22"/>
          <w:szCs w:val="22"/>
        </w:rPr>
        <w:t>sample weights are necessary to correctly infer population parameters, their use requires estimation techniques that take design effects into account and adjust variance estimates accordingly. This is a crucial step to enable valid statistical inference. The design effect (</w:t>
      </w:r>
      <w:proofErr w:type="spellStart"/>
      <w:r w:rsidRPr="00CE079F">
        <w:rPr>
          <w:i/>
          <w:sz w:val="22"/>
          <w:szCs w:val="22"/>
        </w:rPr>
        <w:t>deff</w:t>
      </w:r>
      <w:proofErr w:type="spellEnd"/>
      <w:r w:rsidRPr="00CE079F">
        <w:rPr>
          <w:sz w:val="22"/>
          <w:szCs w:val="22"/>
        </w:rPr>
        <w:t>) measures the extent to which the sampling design (as described by the sample weights) influences the computation of any statistic of interest. It is defined as the ratio of the variance of the statistic from the weighted sample (under complex survey design) to the variance of the statistic from an equally weighted sample (under simple random sample)</w:t>
      </w:r>
      <w:r>
        <w:rPr>
          <w:sz w:val="22"/>
          <w:szCs w:val="22"/>
        </w:rPr>
        <w:t xml:space="preserve"> with the same number of observations</w:t>
      </w:r>
      <w:r w:rsidRPr="00CE079F">
        <w:rPr>
          <w:sz w:val="22"/>
          <w:szCs w:val="22"/>
        </w:rPr>
        <w:t>. A design</w:t>
      </w:r>
      <w:r>
        <w:rPr>
          <w:sz w:val="22"/>
          <w:szCs w:val="22"/>
        </w:rPr>
        <w:t xml:space="preserve"> effect</w:t>
      </w:r>
      <w:r w:rsidRPr="00CE079F">
        <w:rPr>
          <w:sz w:val="22"/>
          <w:szCs w:val="22"/>
        </w:rPr>
        <w:t xml:space="preserve"> greater than 1 indicates that the use of sample weights decreases the precision of estimates compared to an equally weighted sample. In this case, standard formula</w:t>
      </w:r>
      <w:r>
        <w:rPr>
          <w:sz w:val="22"/>
          <w:szCs w:val="22"/>
        </w:rPr>
        <w:t>s</w:t>
      </w:r>
      <w:r w:rsidRPr="00CE079F">
        <w:rPr>
          <w:sz w:val="22"/>
          <w:szCs w:val="22"/>
        </w:rPr>
        <w:t xml:space="preserve"> for the variance of estimates should be appropriately amended. Suppose, for instance, that we are interested in the population mean of a variable </w:t>
      </w:r>
      <w:r w:rsidRPr="00CE079F">
        <w:rPr>
          <w:i/>
          <w:sz w:val="22"/>
          <w:szCs w:val="22"/>
        </w:rPr>
        <w:t>x</w:t>
      </w:r>
      <w:r w:rsidRPr="00CE079F">
        <w:rPr>
          <w:sz w:val="22"/>
          <w:szCs w:val="22"/>
        </w:rPr>
        <w:t xml:space="preserve">. After computing the weighted sample average, </w:t>
      </w:r>
      <m:oMath>
        <m:acc>
          <m:accPr>
            <m:chr m:val="̅"/>
            <m:ctrlPr>
              <w:rPr>
                <w:rFonts w:ascii="Cambria Math" w:hAnsi="Cambria Math"/>
                <w:i/>
                <w:sz w:val="22"/>
                <w:szCs w:val="22"/>
              </w:rPr>
            </m:ctrlPr>
          </m:accPr>
          <m:e>
            <m:r>
              <w:rPr>
                <w:rFonts w:ascii="Cambria Math" w:hAnsi="Cambria Math"/>
                <w:sz w:val="22"/>
                <w:szCs w:val="22"/>
              </w:rPr>
              <m:t>x</m:t>
            </m:r>
          </m:e>
        </m:acc>
      </m:oMath>
      <w:r w:rsidRPr="00CE079F">
        <w:rPr>
          <w:sz w:val="22"/>
          <w:szCs w:val="22"/>
        </w:rPr>
        <w:t xml:space="preserve">, a 95% confidence interval for the population mean of </w:t>
      </w:r>
      <w:r w:rsidRPr="00CE079F">
        <w:rPr>
          <w:i/>
          <w:sz w:val="22"/>
          <w:szCs w:val="22"/>
        </w:rPr>
        <w:t>x</w:t>
      </w:r>
      <w:r w:rsidRPr="00CE079F">
        <w:rPr>
          <w:sz w:val="22"/>
          <w:szCs w:val="22"/>
        </w:rPr>
        <w:t xml:space="preserve"> will be given by:</w:t>
      </w:r>
    </w:p>
    <w:p w14:paraId="370A7D4F" w14:textId="77777777" w:rsidR="0070428B" w:rsidRPr="00EA7F48" w:rsidRDefault="00F12B4C" w:rsidP="0070428B">
      <w:pPr>
        <w:pStyle w:val="PlainText"/>
        <w:jc w:val="center"/>
        <w:rPr>
          <w:rFonts w:ascii="Times New Roman" w:hAnsi="Times New Roman"/>
          <w:sz w:val="22"/>
          <w:szCs w:val="22"/>
        </w:rPr>
      </w:pPr>
      <m:oMath>
        <m:acc>
          <m:accPr>
            <m:chr m:val="̅"/>
            <m:ctrlPr>
              <w:rPr>
                <w:rFonts w:ascii="Cambria Math" w:hAnsi="Cambria Math"/>
                <w:sz w:val="22"/>
                <w:szCs w:val="22"/>
              </w:rPr>
            </m:ctrlPr>
          </m:accPr>
          <m:e>
            <m:r>
              <w:rPr>
                <w:rFonts w:ascii="Cambria Math" w:hAnsi="Cambria Math"/>
                <w:sz w:val="22"/>
                <w:szCs w:val="22"/>
              </w:rPr>
              <m:t>x</m:t>
            </m:r>
          </m:e>
        </m:acc>
        <m:r>
          <m:rPr>
            <m:sty m:val="p"/>
          </m:rPr>
          <w:rPr>
            <w:rFonts w:ascii="Cambria Math" w:hAnsi="Cambria Math"/>
            <w:sz w:val="22"/>
            <w:szCs w:val="22"/>
          </w:rPr>
          <m:t>±1.96  × SE</m:t>
        </m:r>
        <m:d>
          <m:dPr>
            <m:ctrlPr>
              <w:rPr>
                <w:rFonts w:ascii="Cambria Math" w:hAnsi="Cambria Math"/>
                <w:sz w:val="22"/>
                <w:szCs w:val="22"/>
              </w:rPr>
            </m:ctrlPr>
          </m:dPr>
          <m:e>
            <m:acc>
              <m:accPr>
                <m:chr m:val="̅"/>
                <m:ctrlPr>
                  <w:rPr>
                    <w:rFonts w:ascii="Cambria Math" w:hAnsi="Cambria Math"/>
                    <w:sz w:val="22"/>
                    <w:szCs w:val="22"/>
                  </w:rPr>
                </m:ctrlPr>
              </m:accPr>
              <m:e>
                <m:r>
                  <w:rPr>
                    <w:rFonts w:ascii="Cambria Math" w:hAnsi="Cambria Math"/>
                    <w:sz w:val="22"/>
                    <w:szCs w:val="22"/>
                  </w:rPr>
                  <m:t>x</m:t>
                </m:r>
              </m:e>
            </m:acc>
          </m:e>
        </m:d>
        <m:r>
          <m:rPr>
            <m:sty m:val="p"/>
          </m:rPr>
          <w:rPr>
            <w:rFonts w:ascii="Cambria Math" w:hAnsi="Cambria Math"/>
            <w:sz w:val="22"/>
            <w:szCs w:val="22"/>
          </w:rPr>
          <m:t xml:space="preserve"> × </m:t>
        </m:r>
        <m:rad>
          <m:radPr>
            <m:degHide m:val="1"/>
            <m:ctrlPr>
              <w:rPr>
                <w:rFonts w:ascii="Cambria Math" w:hAnsi="Cambria Math"/>
                <w:sz w:val="22"/>
                <w:szCs w:val="22"/>
              </w:rPr>
            </m:ctrlPr>
          </m:radPr>
          <m:deg/>
          <m:e>
            <m:r>
              <w:rPr>
                <w:rFonts w:ascii="Cambria Math" w:hAnsi="Cambria Math"/>
                <w:sz w:val="22"/>
                <w:szCs w:val="22"/>
              </w:rPr>
              <m:t>deff</m:t>
            </m:r>
          </m:e>
        </m:rad>
      </m:oMath>
      <w:r w:rsidR="0070428B">
        <w:rPr>
          <w:rFonts w:ascii="Times New Roman" w:hAnsi="Times New Roman"/>
          <w:sz w:val="22"/>
          <w:szCs w:val="22"/>
        </w:rPr>
        <w:t>,</w:t>
      </w:r>
    </w:p>
    <w:p w14:paraId="28760B14" w14:textId="77777777" w:rsidR="0070428B" w:rsidRPr="00CE079F" w:rsidRDefault="0070428B" w:rsidP="0070428B">
      <w:pPr>
        <w:spacing w:before="120"/>
        <w:jc w:val="both"/>
        <w:rPr>
          <w:sz w:val="22"/>
          <w:szCs w:val="22"/>
        </w:rPr>
      </w:pPr>
      <w:proofErr w:type="gramStart"/>
      <w:r>
        <w:rPr>
          <w:sz w:val="22"/>
          <w:szCs w:val="22"/>
        </w:rPr>
        <w:t>where</w:t>
      </w:r>
      <w:proofErr w:type="gramEnd"/>
      <w:r>
        <w:rPr>
          <w:sz w:val="22"/>
          <w:szCs w:val="22"/>
        </w:rPr>
        <w:t xml:space="preserve"> </w:t>
      </w:r>
      <m:oMath>
        <m:r>
          <m:rPr>
            <m:sty m:val="p"/>
          </m:rPr>
          <w:rPr>
            <w:rFonts w:ascii="Cambria Math" w:eastAsia="SimSun" w:hAnsi="Cambria Math"/>
            <w:sz w:val="22"/>
            <w:szCs w:val="22"/>
          </w:rPr>
          <m:t>SE</m:t>
        </m:r>
        <m:d>
          <m:dPr>
            <m:ctrlPr>
              <w:rPr>
                <w:rFonts w:ascii="Cambria Math" w:hAnsi="Cambria Math"/>
                <w:sz w:val="22"/>
                <w:szCs w:val="22"/>
              </w:rPr>
            </m:ctrlPr>
          </m:dPr>
          <m:e>
            <m:acc>
              <m:accPr>
                <m:chr m:val="̅"/>
                <m:ctrlPr>
                  <w:rPr>
                    <w:rFonts w:ascii="Cambria Math" w:hAnsi="Cambria Math"/>
                    <w:sz w:val="22"/>
                    <w:szCs w:val="22"/>
                  </w:rPr>
                </m:ctrlPr>
              </m:accPr>
              <m:e>
                <m:r>
                  <w:rPr>
                    <w:rFonts w:ascii="Cambria Math" w:hAnsi="Cambria Math"/>
                    <w:sz w:val="22"/>
                    <w:szCs w:val="22"/>
                  </w:rPr>
                  <m:t>x</m:t>
                </m:r>
              </m:e>
            </m:acc>
          </m:e>
        </m:d>
      </m:oMath>
      <w:r>
        <w:rPr>
          <w:sz w:val="22"/>
          <w:szCs w:val="22"/>
        </w:rPr>
        <w:t xml:space="preserve"> is the standard error of </w:t>
      </w:r>
      <m:oMath>
        <m:acc>
          <m:accPr>
            <m:chr m:val="̅"/>
            <m:ctrlPr>
              <w:rPr>
                <w:rFonts w:ascii="Cambria Math" w:hAnsi="Cambria Math"/>
                <w:sz w:val="22"/>
                <w:szCs w:val="22"/>
              </w:rPr>
            </m:ctrlPr>
          </m:accPr>
          <m:e>
            <m:r>
              <w:rPr>
                <w:rFonts w:ascii="Cambria Math" w:hAnsi="Cambria Math"/>
                <w:sz w:val="22"/>
                <w:szCs w:val="22"/>
              </w:rPr>
              <m:t>x</m:t>
            </m:r>
          </m:e>
        </m:acc>
      </m:oMath>
      <w:r>
        <w:rPr>
          <w:sz w:val="22"/>
          <w:szCs w:val="22"/>
        </w:rPr>
        <w:t>. Analogous</w:t>
      </w:r>
      <w:r w:rsidRPr="00CE079F">
        <w:rPr>
          <w:sz w:val="22"/>
          <w:szCs w:val="22"/>
        </w:rPr>
        <w:t xml:space="preserve"> formula</w:t>
      </w:r>
      <w:r>
        <w:rPr>
          <w:sz w:val="22"/>
          <w:szCs w:val="22"/>
        </w:rPr>
        <w:t>s</w:t>
      </w:r>
      <w:r w:rsidRPr="00CE079F">
        <w:rPr>
          <w:sz w:val="22"/>
          <w:szCs w:val="22"/>
        </w:rPr>
        <w:t xml:space="preserve"> appl</w:t>
      </w:r>
      <w:r>
        <w:rPr>
          <w:sz w:val="22"/>
          <w:szCs w:val="22"/>
        </w:rPr>
        <w:t>y</w:t>
      </w:r>
      <w:r w:rsidRPr="00CE079F">
        <w:rPr>
          <w:sz w:val="22"/>
          <w:szCs w:val="22"/>
        </w:rPr>
        <w:t xml:space="preserve"> to other estimators, such as regression coefficients.</w:t>
      </w:r>
    </w:p>
    <w:p w14:paraId="5393CDC4" w14:textId="6A222B00" w:rsidR="0070428B" w:rsidRDefault="0070428B" w:rsidP="0070428B">
      <w:pPr>
        <w:spacing w:before="120"/>
        <w:jc w:val="both"/>
        <w:rPr>
          <w:sz w:val="22"/>
          <w:szCs w:val="22"/>
        </w:rPr>
      </w:pPr>
      <w:r w:rsidRPr="00CE079F">
        <w:rPr>
          <w:sz w:val="22"/>
          <w:szCs w:val="22"/>
        </w:rPr>
        <w:t xml:space="preserve">We will run our statistical analyses using </w:t>
      </w:r>
      <w:proofErr w:type="spellStart"/>
      <w:r w:rsidRPr="00CE079F">
        <w:rPr>
          <w:sz w:val="22"/>
          <w:szCs w:val="22"/>
        </w:rPr>
        <w:t>Stata</w:t>
      </w:r>
      <w:proofErr w:type="spellEnd"/>
      <w:r w:rsidRPr="00CE079F">
        <w:rPr>
          <w:sz w:val="22"/>
          <w:szCs w:val="22"/>
        </w:rPr>
        <w:t xml:space="preserve">, software capable of correcting variance estimates for </w:t>
      </w:r>
      <w:r w:rsidRPr="00CE079F">
        <w:rPr>
          <w:sz w:val="22"/>
          <w:szCs w:val="22"/>
        </w:rPr>
        <w:lastRenderedPageBreak/>
        <w:t xml:space="preserve">design effects. In Table </w:t>
      </w:r>
      <w:r>
        <w:rPr>
          <w:sz w:val="22"/>
          <w:szCs w:val="22"/>
        </w:rPr>
        <w:t>B.7</w:t>
      </w:r>
      <w:r w:rsidRPr="00CE079F">
        <w:rPr>
          <w:sz w:val="22"/>
          <w:szCs w:val="22"/>
        </w:rPr>
        <w:t>, we present mean estimates and corresponding design effects for a number of individual demographics. We compare estimated quantities across different samples: the 2011 CPS sample of individuals aged 18 and older, the entire ALP sample, and the reference sample for this project (excluding Snowball, Mail and Phone, and RDS cohorts from the ALP sample</w:t>
      </w:r>
      <w:r>
        <w:rPr>
          <w:sz w:val="22"/>
          <w:szCs w:val="22"/>
        </w:rPr>
        <w:t xml:space="preserve"> as well as Added Members</w:t>
      </w:r>
      <w:r w:rsidRPr="00CE079F">
        <w:rPr>
          <w:sz w:val="22"/>
          <w:szCs w:val="22"/>
        </w:rPr>
        <w:t xml:space="preserve">). </w:t>
      </w:r>
    </w:p>
    <w:p w14:paraId="6849A753" w14:textId="77777777" w:rsidR="0070428B" w:rsidRDefault="0070428B" w:rsidP="0070428B">
      <w:pPr>
        <w:spacing w:before="120"/>
        <w:jc w:val="both"/>
        <w:rPr>
          <w:sz w:val="22"/>
          <w:szCs w:val="22"/>
        </w:rPr>
      </w:pPr>
      <w:r w:rsidRPr="00CE079F">
        <w:rPr>
          <w:sz w:val="22"/>
          <w:szCs w:val="22"/>
        </w:rPr>
        <w:t>The results show that weighted sample means in the ALP are in line with their CPS counterparts. Moreover, the</w:t>
      </w:r>
      <w:r>
        <w:rPr>
          <w:sz w:val="22"/>
          <w:szCs w:val="22"/>
        </w:rPr>
        <w:t xml:space="preserve"> increase in the variance </w:t>
      </w:r>
      <w:r w:rsidRPr="00CE079F">
        <w:rPr>
          <w:sz w:val="22"/>
          <w:szCs w:val="22"/>
        </w:rPr>
        <w:t>introduced by sample weights</w:t>
      </w:r>
      <w:r>
        <w:rPr>
          <w:sz w:val="22"/>
          <w:szCs w:val="22"/>
        </w:rPr>
        <w:t>, as measured</w:t>
      </w:r>
      <w:r w:rsidRPr="00CE079F">
        <w:rPr>
          <w:sz w:val="22"/>
          <w:szCs w:val="22"/>
        </w:rPr>
        <w:t xml:space="preserve"> </w:t>
      </w:r>
      <w:r>
        <w:rPr>
          <w:sz w:val="22"/>
          <w:szCs w:val="22"/>
        </w:rPr>
        <w:t>by the design effect,</w:t>
      </w:r>
      <w:r w:rsidRPr="00CE079F">
        <w:rPr>
          <w:sz w:val="22"/>
          <w:szCs w:val="22"/>
        </w:rPr>
        <w:t xml:space="preserve"> </w:t>
      </w:r>
      <w:r w:rsidR="00756814">
        <w:rPr>
          <w:sz w:val="22"/>
          <w:szCs w:val="22"/>
        </w:rPr>
        <w:t xml:space="preserve">appear </w:t>
      </w:r>
      <w:r>
        <w:rPr>
          <w:sz w:val="22"/>
          <w:szCs w:val="22"/>
        </w:rPr>
        <w:t>modest</w:t>
      </w:r>
      <w:r w:rsidR="00AA50F4">
        <w:rPr>
          <w:sz w:val="22"/>
          <w:szCs w:val="22"/>
        </w:rPr>
        <w:t>.</w:t>
      </w:r>
    </w:p>
    <w:p w14:paraId="6CA51429" w14:textId="77777777" w:rsidR="0048246C" w:rsidRDefault="0048246C" w:rsidP="0070428B">
      <w:pPr>
        <w:spacing w:before="120"/>
        <w:jc w:val="both"/>
        <w:rPr>
          <w:sz w:val="22"/>
          <w:szCs w:val="22"/>
        </w:rPr>
      </w:pPr>
      <w:r>
        <w:rPr>
          <w:sz w:val="22"/>
          <w:szCs w:val="22"/>
        </w:rPr>
        <w:t>Sample means will be, together with regression coefficients, the type of estimates we will generalize to the national level. The results in Table B.7 can be used to determine the extent to which the margin of error will be affected by the design effect.</w:t>
      </w:r>
      <w:r w:rsidR="009774C9">
        <w:rPr>
          <w:sz w:val="22"/>
          <w:szCs w:val="22"/>
        </w:rPr>
        <w:t xml:space="preserve"> For our statistical analysis, we will follow the common practice of setting the reference level of significance for hypothesis tests at 5%. This represents the probability of rejecting the null hypothesis when it is indeed true. Suppose we are </w:t>
      </w:r>
      <w:r w:rsidR="00CF6E06">
        <w:rPr>
          <w:sz w:val="22"/>
          <w:szCs w:val="22"/>
        </w:rPr>
        <w:t xml:space="preserve">interested in the average </w:t>
      </w:r>
      <w:r w:rsidR="00E2165B">
        <w:rPr>
          <w:sz w:val="22"/>
          <w:szCs w:val="22"/>
        </w:rPr>
        <w:t>age</w:t>
      </w:r>
      <w:r w:rsidR="00CF6E06">
        <w:rPr>
          <w:sz w:val="22"/>
          <w:szCs w:val="22"/>
        </w:rPr>
        <w:t xml:space="preserve"> </w:t>
      </w:r>
      <w:r w:rsidR="00C84EFE">
        <w:rPr>
          <w:sz w:val="22"/>
          <w:szCs w:val="22"/>
        </w:rPr>
        <w:t>of</w:t>
      </w:r>
      <w:r w:rsidR="009774C9">
        <w:rPr>
          <w:sz w:val="22"/>
          <w:szCs w:val="22"/>
        </w:rPr>
        <w:t xml:space="preserve"> the population</w:t>
      </w:r>
      <w:r w:rsidR="00CF6E06">
        <w:rPr>
          <w:sz w:val="22"/>
          <w:szCs w:val="22"/>
        </w:rPr>
        <w:t xml:space="preserve">. Using our reference sample, we obtain an estimate of </w:t>
      </w:r>
      <w:r w:rsidR="00E2165B">
        <w:rPr>
          <w:sz w:val="22"/>
          <w:szCs w:val="22"/>
        </w:rPr>
        <w:t>46</w:t>
      </w:r>
      <w:r w:rsidR="00CF6E06">
        <w:rPr>
          <w:sz w:val="22"/>
          <w:szCs w:val="22"/>
        </w:rPr>
        <w:t>.7</w:t>
      </w:r>
      <w:r w:rsidR="00E2165B">
        <w:rPr>
          <w:sz w:val="22"/>
          <w:szCs w:val="22"/>
        </w:rPr>
        <w:t>2</w:t>
      </w:r>
      <w:r w:rsidR="00CF6E06">
        <w:rPr>
          <w:sz w:val="22"/>
          <w:szCs w:val="22"/>
        </w:rPr>
        <w:t xml:space="preserve"> and a standard error of 0.</w:t>
      </w:r>
      <w:r w:rsidR="00E2165B">
        <w:rPr>
          <w:sz w:val="22"/>
          <w:szCs w:val="22"/>
        </w:rPr>
        <w:t>453</w:t>
      </w:r>
      <w:r w:rsidR="00CF6E06">
        <w:rPr>
          <w:sz w:val="22"/>
          <w:szCs w:val="22"/>
        </w:rPr>
        <w:t xml:space="preserve"> (see Table B.7). These numbers give the following 95% confidence interval [</w:t>
      </w:r>
      <w:r w:rsidR="00E2165B">
        <w:rPr>
          <w:sz w:val="22"/>
          <w:szCs w:val="22"/>
        </w:rPr>
        <w:t>45.83</w:t>
      </w:r>
      <w:r w:rsidR="00CF6E06">
        <w:rPr>
          <w:sz w:val="22"/>
          <w:szCs w:val="22"/>
        </w:rPr>
        <w:t xml:space="preserve">, </w:t>
      </w:r>
      <w:r w:rsidR="00E2165B">
        <w:rPr>
          <w:sz w:val="22"/>
          <w:szCs w:val="22"/>
        </w:rPr>
        <w:t>47.60</w:t>
      </w:r>
      <w:r w:rsidR="00CF6E06">
        <w:rPr>
          <w:sz w:val="22"/>
          <w:szCs w:val="22"/>
        </w:rPr>
        <w:t xml:space="preserve">]. The 95% confidence interval </w:t>
      </w:r>
      <w:r w:rsidR="00E2165B">
        <w:rPr>
          <w:sz w:val="22"/>
          <w:szCs w:val="22"/>
        </w:rPr>
        <w:t xml:space="preserve">appropriately </w:t>
      </w:r>
      <w:r w:rsidR="00CF6E06">
        <w:rPr>
          <w:sz w:val="22"/>
          <w:szCs w:val="22"/>
        </w:rPr>
        <w:t>adjusted to</w:t>
      </w:r>
      <w:r w:rsidR="00F1268A">
        <w:rPr>
          <w:sz w:val="22"/>
          <w:szCs w:val="22"/>
        </w:rPr>
        <w:t xml:space="preserve"> account for the design effect is</w:t>
      </w:r>
      <w:r w:rsidR="00CF6E06">
        <w:rPr>
          <w:sz w:val="22"/>
          <w:szCs w:val="22"/>
        </w:rPr>
        <w:t xml:space="preserve"> [</w:t>
      </w:r>
      <w:r w:rsidR="00E2165B">
        <w:rPr>
          <w:sz w:val="22"/>
          <w:szCs w:val="22"/>
        </w:rPr>
        <w:t>45.33, 48.10</w:t>
      </w:r>
      <w:r w:rsidR="00CF6E06">
        <w:rPr>
          <w:sz w:val="22"/>
          <w:szCs w:val="22"/>
        </w:rPr>
        <w:t>]</w:t>
      </w:r>
      <w:r w:rsidR="00F1268A">
        <w:rPr>
          <w:sz w:val="22"/>
          <w:szCs w:val="22"/>
        </w:rPr>
        <w:t xml:space="preserve">, which is only marginally wider. As it can be seen from Table B.7, </w:t>
      </w:r>
      <w:r w:rsidR="00C84EFE">
        <w:rPr>
          <w:sz w:val="22"/>
          <w:szCs w:val="22"/>
        </w:rPr>
        <w:t>the estimate of average age has a relatively high standard error and design effect. Even in this case</w:t>
      </w:r>
      <w:r w:rsidR="00976CF9">
        <w:rPr>
          <w:sz w:val="22"/>
          <w:szCs w:val="22"/>
        </w:rPr>
        <w:t xml:space="preserve">, which we chose deliberately for illustrative purposes, </w:t>
      </w:r>
      <w:r w:rsidR="00C84EFE">
        <w:rPr>
          <w:sz w:val="22"/>
          <w:szCs w:val="22"/>
        </w:rPr>
        <w:t xml:space="preserve">the impact of the </w:t>
      </w:r>
      <w:r w:rsidR="00976CF9">
        <w:rPr>
          <w:sz w:val="22"/>
          <w:szCs w:val="22"/>
        </w:rPr>
        <w:t xml:space="preserve">sample </w:t>
      </w:r>
      <w:r w:rsidR="00C84EFE">
        <w:rPr>
          <w:sz w:val="22"/>
          <w:szCs w:val="22"/>
        </w:rPr>
        <w:t>design on the margin of error is rather modest. W</w:t>
      </w:r>
      <w:r w:rsidR="00F1268A">
        <w:rPr>
          <w:sz w:val="22"/>
          <w:szCs w:val="22"/>
        </w:rPr>
        <w:t xml:space="preserve">e </w:t>
      </w:r>
      <w:r w:rsidR="00C84EFE">
        <w:rPr>
          <w:sz w:val="22"/>
          <w:szCs w:val="22"/>
        </w:rPr>
        <w:t xml:space="preserve">expect </w:t>
      </w:r>
      <w:r w:rsidR="00976CF9">
        <w:rPr>
          <w:sz w:val="22"/>
          <w:szCs w:val="22"/>
        </w:rPr>
        <w:t xml:space="preserve">the impact of the sample design on the margin of error to be around or below this order of magnitude when conducting statistical inference for the proposed investigation.  </w:t>
      </w:r>
      <w:r w:rsidR="00C84EFE">
        <w:rPr>
          <w:sz w:val="22"/>
          <w:szCs w:val="22"/>
        </w:rPr>
        <w:t xml:space="preserve">   </w:t>
      </w:r>
      <w:r w:rsidR="00F1268A">
        <w:rPr>
          <w:sz w:val="22"/>
          <w:szCs w:val="22"/>
        </w:rPr>
        <w:t xml:space="preserve"> </w:t>
      </w:r>
      <w:r w:rsidR="00E2165B">
        <w:rPr>
          <w:sz w:val="22"/>
          <w:szCs w:val="22"/>
        </w:rPr>
        <w:t xml:space="preserve"> </w:t>
      </w:r>
      <w:r w:rsidR="00CF6E06">
        <w:rPr>
          <w:sz w:val="22"/>
          <w:szCs w:val="22"/>
        </w:rPr>
        <w:t xml:space="preserve">  </w:t>
      </w:r>
      <w:r w:rsidR="009774C9">
        <w:rPr>
          <w:sz w:val="22"/>
          <w:szCs w:val="22"/>
        </w:rPr>
        <w:t xml:space="preserve">     </w:t>
      </w:r>
      <w:r>
        <w:rPr>
          <w:sz w:val="22"/>
          <w:szCs w:val="22"/>
        </w:rPr>
        <w:t xml:space="preserve">  </w:t>
      </w:r>
    </w:p>
    <w:p w14:paraId="14035026" w14:textId="77777777" w:rsidR="004231F6" w:rsidRPr="00651AB8" w:rsidRDefault="004231F6" w:rsidP="0070428B">
      <w:pPr>
        <w:spacing w:before="120"/>
        <w:jc w:val="both"/>
        <w:rPr>
          <w:sz w:val="22"/>
          <w:szCs w:val="22"/>
        </w:rPr>
      </w:pPr>
    </w:p>
    <w:p w14:paraId="5E2680F8" w14:textId="77777777" w:rsidR="004231F6" w:rsidRDefault="004231F6" w:rsidP="0070428B">
      <w:pPr>
        <w:spacing w:before="120"/>
        <w:jc w:val="both"/>
        <w:rPr>
          <w:b/>
          <w:sz w:val="22"/>
          <w:szCs w:val="22"/>
        </w:rPr>
      </w:pPr>
    </w:p>
    <w:p w14:paraId="062E88A8" w14:textId="77777777" w:rsidR="004231F6" w:rsidRDefault="004231F6" w:rsidP="0070428B">
      <w:pPr>
        <w:spacing w:before="120"/>
        <w:jc w:val="both"/>
        <w:rPr>
          <w:b/>
          <w:sz w:val="22"/>
          <w:szCs w:val="22"/>
        </w:rPr>
      </w:pPr>
    </w:p>
    <w:p w14:paraId="423D5159" w14:textId="77777777" w:rsidR="0070428B" w:rsidRPr="00EA7F48" w:rsidRDefault="0070428B" w:rsidP="0070428B">
      <w:pPr>
        <w:spacing w:before="120"/>
        <w:jc w:val="both"/>
        <w:rPr>
          <w:b/>
          <w:sz w:val="22"/>
          <w:szCs w:val="22"/>
        </w:rPr>
      </w:pPr>
      <w:r w:rsidRPr="00EA7F48">
        <w:rPr>
          <w:b/>
          <w:sz w:val="22"/>
          <w:szCs w:val="22"/>
        </w:rPr>
        <w:t xml:space="preserve">Table </w:t>
      </w:r>
      <w:r>
        <w:rPr>
          <w:b/>
          <w:sz w:val="22"/>
          <w:szCs w:val="22"/>
        </w:rPr>
        <w:t>B.7</w:t>
      </w:r>
      <w:r w:rsidRPr="00EA7F48">
        <w:rPr>
          <w:b/>
          <w:sz w:val="22"/>
          <w:szCs w:val="22"/>
        </w:rPr>
        <w:t xml:space="preserve">: </w:t>
      </w:r>
      <w:r w:rsidRPr="00651AB8">
        <w:rPr>
          <w:sz w:val="22"/>
          <w:szCs w:val="22"/>
        </w:rPr>
        <w:t>Estimated Means and Design Effects</w:t>
      </w:r>
    </w:p>
    <w:tbl>
      <w:tblPr>
        <w:tblStyle w:val="TableGrid"/>
        <w:tblW w:w="5000" w:type="pct"/>
        <w:tblLook w:val="04A0" w:firstRow="1" w:lastRow="0" w:firstColumn="1" w:lastColumn="0" w:noHBand="0" w:noVBand="1"/>
      </w:tblPr>
      <w:tblGrid>
        <w:gridCol w:w="2553"/>
        <w:gridCol w:w="1094"/>
        <w:gridCol w:w="1214"/>
        <w:gridCol w:w="1404"/>
        <w:gridCol w:w="2099"/>
        <w:gridCol w:w="1212"/>
      </w:tblGrid>
      <w:tr w:rsidR="0070428B" w:rsidRPr="00A01DEC" w14:paraId="0DED440C" w14:textId="77777777" w:rsidTr="0070428B">
        <w:tc>
          <w:tcPr>
            <w:tcW w:w="5000" w:type="pct"/>
            <w:gridSpan w:val="6"/>
            <w:vAlign w:val="center"/>
          </w:tcPr>
          <w:p w14:paraId="4566A5A3" w14:textId="77777777" w:rsidR="0070428B" w:rsidRPr="00A01DEC" w:rsidRDefault="0070428B" w:rsidP="004231F6">
            <w:pPr>
              <w:spacing w:before="120" w:line="276" w:lineRule="auto"/>
              <w:rPr>
                <w:b/>
                <w:sz w:val="22"/>
                <w:szCs w:val="22"/>
              </w:rPr>
            </w:pPr>
            <w:r w:rsidRPr="00A01DEC">
              <w:rPr>
                <w:b/>
                <w:sz w:val="22"/>
                <w:szCs w:val="22"/>
              </w:rPr>
              <w:t>Gender</w:t>
            </w:r>
            <w:r>
              <w:rPr>
                <w:b/>
                <w:sz w:val="22"/>
                <w:szCs w:val="22"/>
              </w:rPr>
              <w:t>: Male (1), Female (0)</w:t>
            </w:r>
          </w:p>
        </w:tc>
      </w:tr>
      <w:tr w:rsidR="0070428B" w:rsidRPr="00A01DEC" w14:paraId="6183EBFE" w14:textId="77777777" w:rsidTr="0070428B">
        <w:tc>
          <w:tcPr>
            <w:tcW w:w="1333" w:type="pct"/>
            <w:vAlign w:val="center"/>
          </w:tcPr>
          <w:p w14:paraId="62582E10" w14:textId="77777777" w:rsidR="0070428B" w:rsidRPr="00A01DEC" w:rsidRDefault="0070428B" w:rsidP="004231F6">
            <w:pPr>
              <w:spacing w:before="120" w:line="276" w:lineRule="auto"/>
              <w:jc w:val="center"/>
              <w:rPr>
                <w:sz w:val="22"/>
                <w:szCs w:val="22"/>
              </w:rPr>
            </w:pPr>
          </w:p>
        </w:tc>
        <w:tc>
          <w:tcPr>
            <w:tcW w:w="571" w:type="pct"/>
            <w:vAlign w:val="center"/>
          </w:tcPr>
          <w:p w14:paraId="6BEC145F" w14:textId="77777777" w:rsidR="0070428B" w:rsidRPr="00A01DEC" w:rsidRDefault="0070428B" w:rsidP="004231F6">
            <w:pPr>
              <w:spacing w:before="120" w:line="276" w:lineRule="auto"/>
              <w:jc w:val="center"/>
              <w:rPr>
                <w:sz w:val="22"/>
                <w:szCs w:val="22"/>
              </w:rPr>
            </w:pPr>
            <w:r>
              <w:rPr>
                <w:sz w:val="22"/>
                <w:szCs w:val="22"/>
              </w:rPr>
              <w:t>M</w:t>
            </w:r>
            <w:r w:rsidRPr="00A01DEC">
              <w:rPr>
                <w:sz w:val="22"/>
                <w:szCs w:val="22"/>
              </w:rPr>
              <w:t>in</w:t>
            </w:r>
          </w:p>
        </w:tc>
        <w:tc>
          <w:tcPr>
            <w:tcW w:w="634" w:type="pct"/>
            <w:vAlign w:val="center"/>
          </w:tcPr>
          <w:p w14:paraId="5AD66451" w14:textId="77777777" w:rsidR="0070428B" w:rsidRPr="00A01DEC" w:rsidRDefault="0070428B" w:rsidP="004231F6">
            <w:pPr>
              <w:spacing w:before="120" w:line="276" w:lineRule="auto"/>
              <w:jc w:val="center"/>
              <w:rPr>
                <w:sz w:val="22"/>
                <w:szCs w:val="22"/>
              </w:rPr>
            </w:pPr>
            <w:r w:rsidRPr="00A01DEC">
              <w:rPr>
                <w:sz w:val="22"/>
                <w:szCs w:val="22"/>
              </w:rPr>
              <w:t>Max</w:t>
            </w:r>
          </w:p>
        </w:tc>
        <w:tc>
          <w:tcPr>
            <w:tcW w:w="733" w:type="pct"/>
            <w:vAlign w:val="center"/>
          </w:tcPr>
          <w:p w14:paraId="6DD34F2A" w14:textId="77777777" w:rsidR="0070428B" w:rsidRPr="00A01DEC" w:rsidRDefault="0070428B" w:rsidP="004231F6">
            <w:pPr>
              <w:spacing w:before="120" w:line="276" w:lineRule="auto"/>
              <w:jc w:val="center"/>
              <w:rPr>
                <w:sz w:val="22"/>
                <w:szCs w:val="22"/>
              </w:rPr>
            </w:pPr>
            <w:r w:rsidRPr="00A01DEC">
              <w:rPr>
                <w:sz w:val="22"/>
                <w:szCs w:val="22"/>
              </w:rPr>
              <w:t>Mean</w:t>
            </w:r>
          </w:p>
        </w:tc>
        <w:tc>
          <w:tcPr>
            <w:tcW w:w="1096" w:type="pct"/>
            <w:vAlign w:val="center"/>
          </w:tcPr>
          <w:p w14:paraId="5E90F2FF" w14:textId="77777777" w:rsidR="0070428B" w:rsidRPr="00A01DEC" w:rsidRDefault="0070428B" w:rsidP="004231F6">
            <w:pPr>
              <w:spacing w:before="120" w:line="276" w:lineRule="auto"/>
              <w:jc w:val="center"/>
              <w:rPr>
                <w:sz w:val="22"/>
                <w:szCs w:val="22"/>
              </w:rPr>
            </w:pPr>
            <w:r w:rsidRPr="00A01DEC">
              <w:rPr>
                <w:sz w:val="22"/>
                <w:szCs w:val="22"/>
              </w:rPr>
              <w:t>Std. Err.</w:t>
            </w:r>
          </w:p>
        </w:tc>
        <w:tc>
          <w:tcPr>
            <w:tcW w:w="633" w:type="pct"/>
            <w:vAlign w:val="center"/>
          </w:tcPr>
          <w:p w14:paraId="79C6FA79" w14:textId="77777777" w:rsidR="0070428B" w:rsidRPr="00A01DEC" w:rsidRDefault="0070428B" w:rsidP="004231F6">
            <w:pPr>
              <w:spacing w:before="120" w:line="276" w:lineRule="auto"/>
              <w:jc w:val="center"/>
              <w:rPr>
                <w:sz w:val="22"/>
                <w:szCs w:val="22"/>
              </w:rPr>
            </w:pPr>
            <w:proofErr w:type="spellStart"/>
            <w:r w:rsidRPr="00A01DEC">
              <w:rPr>
                <w:sz w:val="22"/>
                <w:szCs w:val="22"/>
              </w:rPr>
              <w:t>Deff</w:t>
            </w:r>
            <w:proofErr w:type="spellEnd"/>
          </w:p>
        </w:tc>
      </w:tr>
      <w:tr w:rsidR="0070428B" w:rsidRPr="00A01DEC" w14:paraId="381B9B55" w14:textId="77777777" w:rsidTr="0070428B">
        <w:tc>
          <w:tcPr>
            <w:tcW w:w="1333" w:type="pct"/>
            <w:vAlign w:val="center"/>
          </w:tcPr>
          <w:p w14:paraId="1D0148D1" w14:textId="77777777" w:rsidR="0070428B" w:rsidRPr="00A01DEC" w:rsidRDefault="0070428B" w:rsidP="004231F6">
            <w:pPr>
              <w:spacing w:before="120" w:line="276" w:lineRule="auto"/>
              <w:jc w:val="center"/>
              <w:rPr>
                <w:sz w:val="22"/>
                <w:szCs w:val="22"/>
              </w:rPr>
            </w:pPr>
            <w:r w:rsidRPr="00A01DEC">
              <w:rPr>
                <w:sz w:val="22"/>
                <w:szCs w:val="22"/>
              </w:rPr>
              <w:t>CPS</w:t>
            </w:r>
          </w:p>
        </w:tc>
        <w:tc>
          <w:tcPr>
            <w:tcW w:w="571" w:type="pct"/>
            <w:vAlign w:val="center"/>
          </w:tcPr>
          <w:p w14:paraId="55532FB9" w14:textId="77777777" w:rsidR="0070428B" w:rsidRPr="00A01DEC" w:rsidRDefault="0070428B" w:rsidP="004231F6">
            <w:pPr>
              <w:spacing w:before="120" w:line="276" w:lineRule="auto"/>
              <w:jc w:val="center"/>
              <w:rPr>
                <w:sz w:val="22"/>
                <w:szCs w:val="22"/>
              </w:rPr>
            </w:pPr>
            <w:r>
              <w:rPr>
                <w:sz w:val="22"/>
                <w:szCs w:val="22"/>
              </w:rPr>
              <w:t>0</w:t>
            </w:r>
          </w:p>
        </w:tc>
        <w:tc>
          <w:tcPr>
            <w:tcW w:w="634" w:type="pct"/>
            <w:vAlign w:val="center"/>
          </w:tcPr>
          <w:p w14:paraId="735AB614" w14:textId="77777777" w:rsidR="0070428B" w:rsidRPr="00A01DEC" w:rsidRDefault="0070428B" w:rsidP="004231F6">
            <w:pPr>
              <w:spacing w:before="120" w:line="276" w:lineRule="auto"/>
              <w:jc w:val="center"/>
              <w:rPr>
                <w:sz w:val="22"/>
                <w:szCs w:val="22"/>
              </w:rPr>
            </w:pPr>
            <w:r>
              <w:rPr>
                <w:sz w:val="22"/>
                <w:szCs w:val="22"/>
              </w:rPr>
              <w:t>1</w:t>
            </w:r>
          </w:p>
        </w:tc>
        <w:tc>
          <w:tcPr>
            <w:tcW w:w="733" w:type="pct"/>
            <w:vAlign w:val="center"/>
          </w:tcPr>
          <w:p w14:paraId="7A08105A" w14:textId="77777777" w:rsidR="0070428B" w:rsidRPr="00A01DEC" w:rsidRDefault="0070428B" w:rsidP="004231F6">
            <w:pPr>
              <w:spacing w:before="120" w:line="276" w:lineRule="auto"/>
              <w:jc w:val="center"/>
              <w:rPr>
                <w:sz w:val="22"/>
                <w:szCs w:val="22"/>
              </w:rPr>
            </w:pPr>
            <w:r>
              <w:rPr>
                <w:color w:val="000000"/>
                <w:sz w:val="22"/>
                <w:szCs w:val="22"/>
              </w:rPr>
              <w:t>0.48</w:t>
            </w:r>
          </w:p>
        </w:tc>
        <w:tc>
          <w:tcPr>
            <w:tcW w:w="1096" w:type="pct"/>
            <w:vAlign w:val="center"/>
          </w:tcPr>
          <w:p w14:paraId="22684CE6" w14:textId="77777777" w:rsidR="0070428B" w:rsidRPr="00A01DEC" w:rsidRDefault="0070428B" w:rsidP="004231F6">
            <w:pPr>
              <w:spacing w:before="120" w:line="276" w:lineRule="auto"/>
              <w:jc w:val="center"/>
              <w:rPr>
                <w:sz w:val="22"/>
                <w:szCs w:val="22"/>
              </w:rPr>
            </w:pPr>
            <w:r w:rsidRPr="00A01DEC">
              <w:rPr>
                <w:color w:val="000000"/>
                <w:sz w:val="22"/>
                <w:szCs w:val="22"/>
              </w:rPr>
              <w:t>0.0018</w:t>
            </w:r>
          </w:p>
        </w:tc>
        <w:tc>
          <w:tcPr>
            <w:tcW w:w="633" w:type="pct"/>
            <w:vAlign w:val="center"/>
          </w:tcPr>
          <w:p w14:paraId="165AE54E" w14:textId="77777777" w:rsidR="0070428B" w:rsidRPr="00A01DEC" w:rsidRDefault="0070428B" w:rsidP="004231F6">
            <w:pPr>
              <w:spacing w:before="120" w:line="276" w:lineRule="auto"/>
              <w:jc w:val="center"/>
              <w:rPr>
                <w:sz w:val="22"/>
                <w:szCs w:val="22"/>
              </w:rPr>
            </w:pPr>
            <w:r w:rsidRPr="00A01DEC">
              <w:rPr>
                <w:color w:val="000000"/>
                <w:sz w:val="22"/>
                <w:szCs w:val="22"/>
              </w:rPr>
              <w:t>1.28</w:t>
            </w:r>
          </w:p>
        </w:tc>
      </w:tr>
      <w:tr w:rsidR="0070428B" w:rsidRPr="00A01DEC" w14:paraId="332B22FE" w14:textId="77777777" w:rsidTr="0070428B">
        <w:tc>
          <w:tcPr>
            <w:tcW w:w="1333" w:type="pct"/>
            <w:vAlign w:val="center"/>
          </w:tcPr>
          <w:p w14:paraId="1622D5FC" w14:textId="77777777" w:rsidR="0070428B" w:rsidRPr="00A01DEC" w:rsidRDefault="0070428B" w:rsidP="004231F6">
            <w:pPr>
              <w:spacing w:before="120" w:line="276" w:lineRule="auto"/>
              <w:jc w:val="center"/>
              <w:rPr>
                <w:sz w:val="22"/>
                <w:szCs w:val="22"/>
              </w:rPr>
            </w:pPr>
            <w:r w:rsidRPr="00A01DEC">
              <w:rPr>
                <w:sz w:val="22"/>
                <w:szCs w:val="22"/>
              </w:rPr>
              <w:t xml:space="preserve">ALP </w:t>
            </w:r>
            <w:r>
              <w:rPr>
                <w:sz w:val="22"/>
                <w:szCs w:val="22"/>
              </w:rPr>
              <w:t>S</w:t>
            </w:r>
            <w:r w:rsidRPr="00A01DEC">
              <w:rPr>
                <w:sz w:val="22"/>
                <w:szCs w:val="22"/>
              </w:rPr>
              <w:t>ample</w:t>
            </w:r>
          </w:p>
        </w:tc>
        <w:tc>
          <w:tcPr>
            <w:tcW w:w="571" w:type="pct"/>
            <w:vAlign w:val="center"/>
          </w:tcPr>
          <w:p w14:paraId="5177F0AC" w14:textId="77777777" w:rsidR="0070428B" w:rsidRPr="00A01DEC" w:rsidRDefault="0070428B" w:rsidP="004231F6">
            <w:pPr>
              <w:spacing w:before="120" w:line="276" w:lineRule="auto"/>
              <w:jc w:val="center"/>
              <w:rPr>
                <w:sz w:val="22"/>
                <w:szCs w:val="22"/>
              </w:rPr>
            </w:pPr>
            <w:r>
              <w:rPr>
                <w:sz w:val="22"/>
                <w:szCs w:val="22"/>
              </w:rPr>
              <w:t>0</w:t>
            </w:r>
          </w:p>
        </w:tc>
        <w:tc>
          <w:tcPr>
            <w:tcW w:w="634" w:type="pct"/>
            <w:vAlign w:val="center"/>
          </w:tcPr>
          <w:p w14:paraId="0158E54F" w14:textId="77777777" w:rsidR="0070428B" w:rsidRPr="00A01DEC" w:rsidRDefault="0070428B" w:rsidP="004231F6">
            <w:pPr>
              <w:spacing w:before="120" w:line="276" w:lineRule="auto"/>
              <w:jc w:val="center"/>
              <w:rPr>
                <w:sz w:val="22"/>
                <w:szCs w:val="22"/>
              </w:rPr>
            </w:pPr>
            <w:r>
              <w:rPr>
                <w:sz w:val="22"/>
                <w:szCs w:val="22"/>
              </w:rPr>
              <w:t>1</w:t>
            </w:r>
          </w:p>
        </w:tc>
        <w:tc>
          <w:tcPr>
            <w:tcW w:w="733" w:type="pct"/>
            <w:vAlign w:val="center"/>
          </w:tcPr>
          <w:p w14:paraId="4A61AD9D" w14:textId="77777777" w:rsidR="0070428B" w:rsidRPr="00A01DEC" w:rsidRDefault="0070428B" w:rsidP="004231F6">
            <w:pPr>
              <w:spacing w:before="120" w:line="276" w:lineRule="auto"/>
              <w:jc w:val="center"/>
              <w:rPr>
                <w:sz w:val="22"/>
                <w:szCs w:val="22"/>
              </w:rPr>
            </w:pPr>
            <w:r>
              <w:rPr>
                <w:sz w:val="22"/>
                <w:szCs w:val="22"/>
              </w:rPr>
              <w:t>0.48</w:t>
            </w:r>
          </w:p>
        </w:tc>
        <w:tc>
          <w:tcPr>
            <w:tcW w:w="1096" w:type="pct"/>
            <w:vAlign w:val="center"/>
          </w:tcPr>
          <w:p w14:paraId="204E366E" w14:textId="77777777" w:rsidR="0070428B" w:rsidRPr="00A01DEC" w:rsidRDefault="0070428B" w:rsidP="004231F6">
            <w:pPr>
              <w:spacing w:before="120" w:line="276" w:lineRule="auto"/>
              <w:jc w:val="center"/>
              <w:rPr>
                <w:sz w:val="22"/>
                <w:szCs w:val="22"/>
              </w:rPr>
            </w:pPr>
            <w:r w:rsidRPr="00A01DEC">
              <w:rPr>
                <w:sz w:val="22"/>
                <w:szCs w:val="22"/>
              </w:rPr>
              <w:t>0.0094</w:t>
            </w:r>
          </w:p>
        </w:tc>
        <w:tc>
          <w:tcPr>
            <w:tcW w:w="633" w:type="pct"/>
            <w:vAlign w:val="center"/>
          </w:tcPr>
          <w:p w14:paraId="738AE975" w14:textId="77777777" w:rsidR="0070428B" w:rsidRPr="00A01DEC" w:rsidRDefault="0070428B" w:rsidP="004231F6">
            <w:pPr>
              <w:spacing w:before="120" w:line="276" w:lineRule="auto"/>
              <w:jc w:val="center"/>
              <w:rPr>
                <w:sz w:val="22"/>
                <w:szCs w:val="22"/>
              </w:rPr>
            </w:pPr>
            <w:r>
              <w:rPr>
                <w:sz w:val="22"/>
                <w:szCs w:val="22"/>
              </w:rPr>
              <w:t>1.60</w:t>
            </w:r>
          </w:p>
        </w:tc>
      </w:tr>
      <w:tr w:rsidR="0070428B" w:rsidRPr="00A01DEC" w14:paraId="4CA08074" w14:textId="77777777" w:rsidTr="0070428B">
        <w:tc>
          <w:tcPr>
            <w:tcW w:w="1333" w:type="pct"/>
            <w:vAlign w:val="center"/>
          </w:tcPr>
          <w:p w14:paraId="18EA3CEC" w14:textId="77777777" w:rsidR="0070428B" w:rsidRPr="00A01DEC" w:rsidRDefault="0070428B" w:rsidP="004231F6">
            <w:pPr>
              <w:spacing w:before="120" w:line="276" w:lineRule="auto"/>
              <w:jc w:val="center"/>
              <w:rPr>
                <w:sz w:val="22"/>
                <w:szCs w:val="22"/>
              </w:rPr>
            </w:pPr>
            <w:r w:rsidRPr="00A01DEC">
              <w:rPr>
                <w:sz w:val="22"/>
                <w:szCs w:val="22"/>
              </w:rPr>
              <w:t>Ref. Sample</w:t>
            </w:r>
          </w:p>
        </w:tc>
        <w:tc>
          <w:tcPr>
            <w:tcW w:w="571" w:type="pct"/>
            <w:vAlign w:val="center"/>
          </w:tcPr>
          <w:p w14:paraId="6D2FEA9F" w14:textId="77777777" w:rsidR="0070428B" w:rsidRPr="00A01DEC" w:rsidRDefault="0070428B" w:rsidP="004231F6">
            <w:pPr>
              <w:spacing w:before="120" w:line="276" w:lineRule="auto"/>
              <w:jc w:val="center"/>
              <w:rPr>
                <w:sz w:val="22"/>
                <w:szCs w:val="22"/>
              </w:rPr>
            </w:pPr>
            <w:r>
              <w:rPr>
                <w:sz w:val="22"/>
                <w:szCs w:val="22"/>
              </w:rPr>
              <w:t>0</w:t>
            </w:r>
          </w:p>
        </w:tc>
        <w:tc>
          <w:tcPr>
            <w:tcW w:w="634" w:type="pct"/>
            <w:vAlign w:val="center"/>
          </w:tcPr>
          <w:p w14:paraId="6248BB23" w14:textId="77777777" w:rsidR="0070428B" w:rsidRPr="00A01DEC" w:rsidRDefault="0070428B" w:rsidP="004231F6">
            <w:pPr>
              <w:spacing w:before="120" w:line="276" w:lineRule="auto"/>
              <w:jc w:val="center"/>
              <w:rPr>
                <w:sz w:val="22"/>
                <w:szCs w:val="22"/>
              </w:rPr>
            </w:pPr>
            <w:r>
              <w:rPr>
                <w:sz w:val="22"/>
                <w:szCs w:val="22"/>
              </w:rPr>
              <w:t>1</w:t>
            </w:r>
          </w:p>
        </w:tc>
        <w:tc>
          <w:tcPr>
            <w:tcW w:w="733" w:type="pct"/>
            <w:vAlign w:val="center"/>
          </w:tcPr>
          <w:p w14:paraId="1B4024C7" w14:textId="77777777" w:rsidR="0070428B" w:rsidRPr="00A01DEC" w:rsidRDefault="0070428B" w:rsidP="004231F6">
            <w:pPr>
              <w:spacing w:before="120" w:line="276" w:lineRule="auto"/>
              <w:jc w:val="center"/>
              <w:rPr>
                <w:sz w:val="22"/>
                <w:szCs w:val="22"/>
              </w:rPr>
            </w:pPr>
            <w:r>
              <w:rPr>
                <w:sz w:val="22"/>
                <w:szCs w:val="22"/>
              </w:rPr>
              <w:t>0.48</w:t>
            </w:r>
          </w:p>
        </w:tc>
        <w:tc>
          <w:tcPr>
            <w:tcW w:w="1096" w:type="pct"/>
            <w:vAlign w:val="center"/>
          </w:tcPr>
          <w:p w14:paraId="06CFB1D3" w14:textId="77777777" w:rsidR="0070428B" w:rsidRPr="00A01DEC" w:rsidRDefault="0070428B" w:rsidP="004231F6">
            <w:pPr>
              <w:spacing w:before="120" w:line="276" w:lineRule="auto"/>
              <w:jc w:val="center"/>
              <w:rPr>
                <w:sz w:val="22"/>
                <w:szCs w:val="22"/>
              </w:rPr>
            </w:pPr>
            <w:r>
              <w:rPr>
                <w:sz w:val="22"/>
                <w:szCs w:val="22"/>
              </w:rPr>
              <w:t>0.0123</w:t>
            </w:r>
          </w:p>
        </w:tc>
        <w:tc>
          <w:tcPr>
            <w:tcW w:w="633" w:type="pct"/>
            <w:vAlign w:val="center"/>
          </w:tcPr>
          <w:p w14:paraId="68E5A2B9" w14:textId="77777777" w:rsidR="0070428B" w:rsidRPr="00A01DEC" w:rsidRDefault="0070428B" w:rsidP="004231F6">
            <w:pPr>
              <w:spacing w:before="120" w:line="276" w:lineRule="auto"/>
              <w:jc w:val="center"/>
              <w:rPr>
                <w:sz w:val="22"/>
                <w:szCs w:val="22"/>
              </w:rPr>
            </w:pPr>
            <w:r>
              <w:rPr>
                <w:sz w:val="22"/>
                <w:szCs w:val="22"/>
              </w:rPr>
              <w:t>1.99</w:t>
            </w:r>
          </w:p>
        </w:tc>
      </w:tr>
      <w:tr w:rsidR="0070428B" w:rsidRPr="00A01DEC" w14:paraId="197D28FB" w14:textId="77777777" w:rsidTr="0070428B">
        <w:tc>
          <w:tcPr>
            <w:tcW w:w="5000" w:type="pct"/>
            <w:gridSpan w:val="6"/>
            <w:vAlign w:val="center"/>
          </w:tcPr>
          <w:p w14:paraId="446CB589" w14:textId="77777777" w:rsidR="0070428B" w:rsidRPr="00A01DEC" w:rsidRDefault="0070428B" w:rsidP="004231F6">
            <w:pPr>
              <w:spacing w:before="120" w:line="276" w:lineRule="auto"/>
              <w:rPr>
                <w:b/>
                <w:sz w:val="22"/>
                <w:szCs w:val="22"/>
              </w:rPr>
            </w:pPr>
            <w:r w:rsidRPr="00A01DEC">
              <w:rPr>
                <w:b/>
                <w:sz w:val="22"/>
                <w:szCs w:val="22"/>
              </w:rPr>
              <w:t>Ethnicity</w:t>
            </w:r>
            <w:r>
              <w:rPr>
                <w:b/>
                <w:sz w:val="22"/>
                <w:szCs w:val="22"/>
              </w:rPr>
              <w:t>: White (1), Non-White (0)</w:t>
            </w:r>
          </w:p>
        </w:tc>
      </w:tr>
      <w:tr w:rsidR="0070428B" w:rsidRPr="00A01DEC" w14:paraId="52584167" w14:textId="77777777" w:rsidTr="0070428B">
        <w:tc>
          <w:tcPr>
            <w:tcW w:w="1333" w:type="pct"/>
            <w:vAlign w:val="center"/>
          </w:tcPr>
          <w:p w14:paraId="7199E159" w14:textId="77777777" w:rsidR="0070428B" w:rsidRPr="00A01DEC" w:rsidRDefault="0070428B" w:rsidP="004231F6">
            <w:pPr>
              <w:spacing w:before="120" w:line="276" w:lineRule="auto"/>
              <w:jc w:val="center"/>
              <w:rPr>
                <w:sz w:val="22"/>
                <w:szCs w:val="22"/>
              </w:rPr>
            </w:pPr>
          </w:p>
        </w:tc>
        <w:tc>
          <w:tcPr>
            <w:tcW w:w="571" w:type="pct"/>
            <w:vAlign w:val="center"/>
          </w:tcPr>
          <w:p w14:paraId="37670E11" w14:textId="77777777" w:rsidR="0070428B" w:rsidRPr="00A01DEC" w:rsidRDefault="0070428B" w:rsidP="004231F6">
            <w:pPr>
              <w:spacing w:before="120" w:line="276" w:lineRule="auto"/>
              <w:jc w:val="center"/>
              <w:rPr>
                <w:sz w:val="22"/>
                <w:szCs w:val="22"/>
              </w:rPr>
            </w:pPr>
            <w:r>
              <w:rPr>
                <w:sz w:val="22"/>
                <w:szCs w:val="22"/>
              </w:rPr>
              <w:t>M</w:t>
            </w:r>
            <w:r w:rsidRPr="00A01DEC">
              <w:rPr>
                <w:sz w:val="22"/>
                <w:szCs w:val="22"/>
              </w:rPr>
              <w:t>in</w:t>
            </w:r>
          </w:p>
        </w:tc>
        <w:tc>
          <w:tcPr>
            <w:tcW w:w="634" w:type="pct"/>
            <w:vAlign w:val="center"/>
          </w:tcPr>
          <w:p w14:paraId="07936A09" w14:textId="77777777" w:rsidR="0070428B" w:rsidRPr="00A01DEC" w:rsidRDefault="0070428B" w:rsidP="004231F6">
            <w:pPr>
              <w:spacing w:before="120" w:line="276" w:lineRule="auto"/>
              <w:jc w:val="center"/>
              <w:rPr>
                <w:sz w:val="22"/>
                <w:szCs w:val="22"/>
              </w:rPr>
            </w:pPr>
            <w:r w:rsidRPr="00A01DEC">
              <w:rPr>
                <w:sz w:val="22"/>
                <w:szCs w:val="22"/>
              </w:rPr>
              <w:t>Max</w:t>
            </w:r>
          </w:p>
        </w:tc>
        <w:tc>
          <w:tcPr>
            <w:tcW w:w="733" w:type="pct"/>
            <w:vAlign w:val="center"/>
          </w:tcPr>
          <w:p w14:paraId="3D57962A" w14:textId="77777777" w:rsidR="0070428B" w:rsidRPr="00A01DEC" w:rsidRDefault="0070428B" w:rsidP="004231F6">
            <w:pPr>
              <w:spacing w:before="120" w:line="276" w:lineRule="auto"/>
              <w:jc w:val="center"/>
              <w:rPr>
                <w:sz w:val="22"/>
                <w:szCs w:val="22"/>
              </w:rPr>
            </w:pPr>
            <w:r w:rsidRPr="00A01DEC">
              <w:rPr>
                <w:sz w:val="22"/>
                <w:szCs w:val="22"/>
              </w:rPr>
              <w:t>Mean</w:t>
            </w:r>
          </w:p>
        </w:tc>
        <w:tc>
          <w:tcPr>
            <w:tcW w:w="1096" w:type="pct"/>
            <w:vAlign w:val="center"/>
          </w:tcPr>
          <w:p w14:paraId="64289A41" w14:textId="77777777" w:rsidR="0070428B" w:rsidRPr="00A01DEC" w:rsidRDefault="0070428B" w:rsidP="004231F6">
            <w:pPr>
              <w:spacing w:before="120" w:line="276" w:lineRule="auto"/>
              <w:jc w:val="center"/>
              <w:rPr>
                <w:sz w:val="22"/>
                <w:szCs w:val="22"/>
              </w:rPr>
            </w:pPr>
            <w:r w:rsidRPr="00A01DEC">
              <w:rPr>
                <w:sz w:val="22"/>
                <w:szCs w:val="22"/>
              </w:rPr>
              <w:t>Std. Err.</w:t>
            </w:r>
          </w:p>
        </w:tc>
        <w:tc>
          <w:tcPr>
            <w:tcW w:w="633" w:type="pct"/>
            <w:vAlign w:val="center"/>
          </w:tcPr>
          <w:p w14:paraId="04B29705" w14:textId="77777777" w:rsidR="0070428B" w:rsidRPr="00A01DEC" w:rsidRDefault="0070428B" w:rsidP="004231F6">
            <w:pPr>
              <w:spacing w:before="120" w:line="276" w:lineRule="auto"/>
              <w:jc w:val="center"/>
              <w:rPr>
                <w:sz w:val="22"/>
                <w:szCs w:val="22"/>
              </w:rPr>
            </w:pPr>
            <w:proofErr w:type="spellStart"/>
            <w:r w:rsidRPr="00A01DEC">
              <w:rPr>
                <w:sz w:val="22"/>
                <w:szCs w:val="22"/>
              </w:rPr>
              <w:t>Deff</w:t>
            </w:r>
            <w:proofErr w:type="spellEnd"/>
          </w:p>
        </w:tc>
      </w:tr>
      <w:tr w:rsidR="0070428B" w:rsidRPr="00A01DEC" w14:paraId="154F8FCA" w14:textId="77777777" w:rsidTr="0070428B">
        <w:tc>
          <w:tcPr>
            <w:tcW w:w="1333" w:type="pct"/>
            <w:vAlign w:val="center"/>
          </w:tcPr>
          <w:p w14:paraId="1ED1FB2A" w14:textId="77777777" w:rsidR="0070428B" w:rsidRPr="00A01DEC" w:rsidRDefault="0070428B" w:rsidP="004231F6">
            <w:pPr>
              <w:spacing w:before="120" w:line="276" w:lineRule="auto"/>
              <w:jc w:val="center"/>
              <w:rPr>
                <w:sz w:val="22"/>
                <w:szCs w:val="22"/>
              </w:rPr>
            </w:pPr>
            <w:r w:rsidRPr="00A01DEC">
              <w:rPr>
                <w:sz w:val="22"/>
                <w:szCs w:val="22"/>
              </w:rPr>
              <w:t>CPS</w:t>
            </w:r>
          </w:p>
        </w:tc>
        <w:tc>
          <w:tcPr>
            <w:tcW w:w="571" w:type="pct"/>
            <w:vAlign w:val="center"/>
          </w:tcPr>
          <w:p w14:paraId="789D3F90" w14:textId="77777777" w:rsidR="0070428B" w:rsidRPr="00A01DEC" w:rsidRDefault="0070428B" w:rsidP="004231F6">
            <w:pPr>
              <w:spacing w:before="120" w:line="276" w:lineRule="auto"/>
              <w:jc w:val="center"/>
              <w:rPr>
                <w:sz w:val="22"/>
                <w:szCs w:val="22"/>
              </w:rPr>
            </w:pPr>
            <w:r>
              <w:rPr>
                <w:sz w:val="22"/>
                <w:szCs w:val="22"/>
              </w:rPr>
              <w:t>0</w:t>
            </w:r>
          </w:p>
        </w:tc>
        <w:tc>
          <w:tcPr>
            <w:tcW w:w="634" w:type="pct"/>
            <w:vAlign w:val="center"/>
          </w:tcPr>
          <w:p w14:paraId="439C7830" w14:textId="77777777" w:rsidR="0070428B" w:rsidRPr="00A01DEC" w:rsidRDefault="0070428B" w:rsidP="004231F6">
            <w:pPr>
              <w:spacing w:before="120" w:line="276" w:lineRule="auto"/>
              <w:jc w:val="center"/>
              <w:rPr>
                <w:sz w:val="22"/>
                <w:szCs w:val="22"/>
              </w:rPr>
            </w:pPr>
            <w:r>
              <w:rPr>
                <w:sz w:val="22"/>
                <w:szCs w:val="22"/>
              </w:rPr>
              <w:t>1</w:t>
            </w:r>
          </w:p>
        </w:tc>
        <w:tc>
          <w:tcPr>
            <w:tcW w:w="733" w:type="pct"/>
            <w:vAlign w:val="center"/>
          </w:tcPr>
          <w:p w14:paraId="64BBB376" w14:textId="77777777" w:rsidR="0070428B" w:rsidRPr="00A01DEC" w:rsidRDefault="0070428B" w:rsidP="004231F6">
            <w:pPr>
              <w:spacing w:before="120" w:line="276" w:lineRule="auto"/>
              <w:jc w:val="center"/>
              <w:rPr>
                <w:sz w:val="22"/>
                <w:szCs w:val="22"/>
              </w:rPr>
            </w:pPr>
            <w:r>
              <w:rPr>
                <w:color w:val="000000"/>
                <w:sz w:val="22"/>
                <w:szCs w:val="22"/>
              </w:rPr>
              <w:t>0.68</w:t>
            </w:r>
          </w:p>
        </w:tc>
        <w:tc>
          <w:tcPr>
            <w:tcW w:w="1096" w:type="pct"/>
            <w:vAlign w:val="center"/>
          </w:tcPr>
          <w:p w14:paraId="0FE09089" w14:textId="77777777" w:rsidR="0070428B" w:rsidRPr="00A01DEC" w:rsidRDefault="0070428B" w:rsidP="004231F6">
            <w:pPr>
              <w:spacing w:before="120" w:line="276" w:lineRule="auto"/>
              <w:jc w:val="center"/>
              <w:rPr>
                <w:sz w:val="22"/>
                <w:szCs w:val="22"/>
              </w:rPr>
            </w:pPr>
            <w:r>
              <w:rPr>
                <w:color w:val="000000"/>
                <w:sz w:val="22"/>
                <w:szCs w:val="22"/>
              </w:rPr>
              <w:t>0.0017</w:t>
            </w:r>
          </w:p>
        </w:tc>
        <w:tc>
          <w:tcPr>
            <w:tcW w:w="633" w:type="pct"/>
            <w:vAlign w:val="center"/>
          </w:tcPr>
          <w:p w14:paraId="35158301" w14:textId="77777777" w:rsidR="0070428B" w:rsidRPr="00A01DEC" w:rsidRDefault="0070428B" w:rsidP="004231F6">
            <w:pPr>
              <w:spacing w:before="120" w:line="276" w:lineRule="auto"/>
              <w:jc w:val="center"/>
              <w:rPr>
                <w:sz w:val="22"/>
                <w:szCs w:val="22"/>
              </w:rPr>
            </w:pPr>
            <w:r>
              <w:rPr>
                <w:color w:val="000000"/>
                <w:sz w:val="22"/>
                <w:szCs w:val="22"/>
              </w:rPr>
              <w:t>1.34</w:t>
            </w:r>
          </w:p>
        </w:tc>
      </w:tr>
      <w:tr w:rsidR="0070428B" w:rsidRPr="00A01DEC" w14:paraId="4E81BDB8" w14:textId="77777777" w:rsidTr="0070428B">
        <w:tc>
          <w:tcPr>
            <w:tcW w:w="1333" w:type="pct"/>
            <w:vAlign w:val="center"/>
          </w:tcPr>
          <w:p w14:paraId="284BE45E" w14:textId="77777777" w:rsidR="0070428B" w:rsidRPr="00A01DEC" w:rsidRDefault="0070428B" w:rsidP="004231F6">
            <w:pPr>
              <w:spacing w:before="120" w:line="276" w:lineRule="auto"/>
              <w:jc w:val="center"/>
              <w:rPr>
                <w:sz w:val="22"/>
                <w:szCs w:val="22"/>
              </w:rPr>
            </w:pPr>
            <w:r w:rsidRPr="00A01DEC">
              <w:rPr>
                <w:sz w:val="22"/>
                <w:szCs w:val="22"/>
              </w:rPr>
              <w:t xml:space="preserve">ALP </w:t>
            </w:r>
            <w:r>
              <w:rPr>
                <w:sz w:val="22"/>
                <w:szCs w:val="22"/>
              </w:rPr>
              <w:t>S</w:t>
            </w:r>
            <w:r w:rsidRPr="00A01DEC">
              <w:rPr>
                <w:sz w:val="22"/>
                <w:szCs w:val="22"/>
              </w:rPr>
              <w:t>ample</w:t>
            </w:r>
          </w:p>
        </w:tc>
        <w:tc>
          <w:tcPr>
            <w:tcW w:w="571" w:type="pct"/>
            <w:vAlign w:val="center"/>
          </w:tcPr>
          <w:p w14:paraId="0284B588" w14:textId="77777777" w:rsidR="0070428B" w:rsidRPr="00A01DEC" w:rsidRDefault="0070428B" w:rsidP="004231F6">
            <w:pPr>
              <w:spacing w:before="120" w:line="276" w:lineRule="auto"/>
              <w:jc w:val="center"/>
              <w:rPr>
                <w:sz w:val="22"/>
                <w:szCs w:val="22"/>
              </w:rPr>
            </w:pPr>
            <w:r>
              <w:rPr>
                <w:sz w:val="22"/>
                <w:szCs w:val="22"/>
              </w:rPr>
              <w:t>0</w:t>
            </w:r>
          </w:p>
        </w:tc>
        <w:tc>
          <w:tcPr>
            <w:tcW w:w="634" w:type="pct"/>
            <w:vAlign w:val="center"/>
          </w:tcPr>
          <w:p w14:paraId="3834CB8B" w14:textId="77777777" w:rsidR="0070428B" w:rsidRPr="00A01DEC" w:rsidRDefault="0070428B" w:rsidP="004231F6">
            <w:pPr>
              <w:spacing w:before="120" w:line="276" w:lineRule="auto"/>
              <w:jc w:val="center"/>
              <w:rPr>
                <w:sz w:val="22"/>
                <w:szCs w:val="22"/>
              </w:rPr>
            </w:pPr>
            <w:r>
              <w:rPr>
                <w:sz w:val="22"/>
                <w:szCs w:val="22"/>
              </w:rPr>
              <w:t>1</w:t>
            </w:r>
          </w:p>
        </w:tc>
        <w:tc>
          <w:tcPr>
            <w:tcW w:w="733" w:type="pct"/>
            <w:vAlign w:val="center"/>
          </w:tcPr>
          <w:p w14:paraId="5C71629F" w14:textId="77777777" w:rsidR="0070428B" w:rsidRPr="00A01DEC" w:rsidRDefault="0070428B" w:rsidP="004231F6">
            <w:pPr>
              <w:spacing w:before="120" w:line="276" w:lineRule="auto"/>
              <w:jc w:val="center"/>
              <w:rPr>
                <w:sz w:val="22"/>
                <w:szCs w:val="22"/>
              </w:rPr>
            </w:pPr>
            <w:r>
              <w:rPr>
                <w:sz w:val="22"/>
                <w:szCs w:val="22"/>
              </w:rPr>
              <w:t>0.68</w:t>
            </w:r>
          </w:p>
        </w:tc>
        <w:tc>
          <w:tcPr>
            <w:tcW w:w="1096" w:type="pct"/>
            <w:vAlign w:val="center"/>
          </w:tcPr>
          <w:p w14:paraId="04E1576A" w14:textId="77777777" w:rsidR="0070428B" w:rsidRPr="00A01DEC" w:rsidRDefault="0070428B" w:rsidP="004231F6">
            <w:pPr>
              <w:spacing w:before="120" w:line="276" w:lineRule="auto"/>
              <w:jc w:val="center"/>
              <w:rPr>
                <w:sz w:val="22"/>
                <w:szCs w:val="22"/>
              </w:rPr>
            </w:pPr>
            <w:r>
              <w:rPr>
                <w:sz w:val="22"/>
                <w:szCs w:val="22"/>
              </w:rPr>
              <w:t>0.0089</w:t>
            </w:r>
          </w:p>
        </w:tc>
        <w:tc>
          <w:tcPr>
            <w:tcW w:w="633" w:type="pct"/>
            <w:vAlign w:val="center"/>
          </w:tcPr>
          <w:p w14:paraId="53E33554" w14:textId="77777777" w:rsidR="0070428B" w:rsidRPr="00A01DEC" w:rsidRDefault="0070428B" w:rsidP="004231F6">
            <w:pPr>
              <w:spacing w:before="120" w:line="276" w:lineRule="auto"/>
              <w:jc w:val="center"/>
              <w:rPr>
                <w:sz w:val="22"/>
                <w:szCs w:val="22"/>
              </w:rPr>
            </w:pPr>
            <w:r>
              <w:rPr>
                <w:sz w:val="22"/>
                <w:szCs w:val="22"/>
              </w:rPr>
              <w:t>1.62</w:t>
            </w:r>
          </w:p>
        </w:tc>
      </w:tr>
      <w:tr w:rsidR="0070428B" w:rsidRPr="00A01DEC" w14:paraId="71E9432E" w14:textId="77777777" w:rsidTr="0070428B">
        <w:tc>
          <w:tcPr>
            <w:tcW w:w="1333" w:type="pct"/>
            <w:vAlign w:val="center"/>
          </w:tcPr>
          <w:p w14:paraId="62580C64" w14:textId="77777777" w:rsidR="0070428B" w:rsidRPr="00A01DEC" w:rsidRDefault="0070428B" w:rsidP="004231F6">
            <w:pPr>
              <w:spacing w:before="120" w:line="276" w:lineRule="auto"/>
              <w:jc w:val="center"/>
              <w:rPr>
                <w:sz w:val="22"/>
                <w:szCs w:val="22"/>
              </w:rPr>
            </w:pPr>
            <w:r w:rsidRPr="00A01DEC">
              <w:rPr>
                <w:sz w:val="22"/>
                <w:szCs w:val="22"/>
              </w:rPr>
              <w:t>Ref. Sample</w:t>
            </w:r>
          </w:p>
        </w:tc>
        <w:tc>
          <w:tcPr>
            <w:tcW w:w="571" w:type="pct"/>
            <w:vAlign w:val="center"/>
          </w:tcPr>
          <w:p w14:paraId="66E03C48" w14:textId="77777777" w:rsidR="0070428B" w:rsidRPr="00A01DEC" w:rsidRDefault="0070428B" w:rsidP="004231F6">
            <w:pPr>
              <w:spacing w:before="120" w:line="276" w:lineRule="auto"/>
              <w:jc w:val="center"/>
              <w:rPr>
                <w:sz w:val="22"/>
                <w:szCs w:val="22"/>
              </w:rPr>
            </w:pPr>
            <w:r>
              <w:rPr>
                <w:sz w:val="22"/>
                <w:szCs w:val="22"/>
              </w:rPr>
              <w:t>0</w:t>
            </w:r>
          </w:p>
        </w:tc>
        <w:tc>
          <w:tcPr>
            <w:tcW w:w="634" w:type="pct"/>
            <w:vAlign w:val="center"/>
          </w:tcPr>
          <w:p w14:paraId="43757BD6" w14:textId="77777777" w:rsidR="0070428B" w:rsidRPr="00A01DEC" w:rsidRDefault="0070428B" w:rsidP="004231F6">
            <w:pPr>
              <w:spacing w:before="120" w:line="276" w:lineRule="auto"/>
              <w:jc w:val="center"/>
              <w:rPr>
                <w:sz w:val="22"/>
                <w:szCs w:val="22"/>
              </w:rPr>
            </w:pPr>
            <w:r>
              <w:rPr>
                <w:sz w:val="22"/>
                <w:szCs w:val="22"/>
              </w:rPr>
              <w:t>1</w:t>
            </w:r>
          </w:p>
        </w:tc>
        <w:tc>
          <w:tcPr>
            <w:tcW w:w="733" w:type="pct"/>
            <w:vAlign w:val="center"/>
          </w:tcPr>
          <w:p w14:paraId="0D1C86E1" w14:textId="77777777" w:rsidR="0070428B" w:rsidRPr="00A01DEC" w:rsidRDefault="0070428B" w:rsidP="004231F6">
            <w:pPr>
              <w:spacing w:before="120" w:line="276" w:lineRule="auto"/>
              <w:jc w:val="center"/>
              <w:rPr>
                <w:sz w:val="22"/>
                <w:szCs w:val="22"/>
              </w:rPr>
            </w:pPr>
            <w:r>
              <w:rPr>
                <w:sz w:val="22"/>
                <w:szCs w:val="22"/>
              </w:rPr>
              <w:t>0.68</w:t>
            </w:r>
          </w:p>
        </w:tc>
        <w:tc>
          <w:tcPr>
            <w:tcW w:w="1096" w:type="pct"/>
            <w:vAlign w:val="center"/>
          </w:tcPr>
          <w:p w14:paraId="1A6F19D1" w14:textId="77777777" w:rsidR="0070428B" w:rsidRPr="00A01DEC" w:rsidRDefault="0070428B" w:rsidP="004231F6">
            <w:pPr>
              <w:spacing w:before="120" w:line="276" w:lineRule="auto"/>
              <w:jc w:val="center"/>
              <w:rPr>
                <w:sz w:val="22"/>
                <w:szCs w:val="22"/>
              </w:rPr>
            </w:pPr>
            <w:r>
              <w:rPr>
                <w:sz w:val="22"/>
                <w:szCs w:val="22"/>
              </w:rPr>
              <w:t>0.0115</w:t>
            </w:r>
          </w:p>
        </w:tc>
        <w:tc>
          <w:tcPr>
            <w:tcW w:w="633" w:type="pct"/>
            <w:vAlign w:val="center"/>
          </w:tcPr>
          <w:p w14:paraId="333E239E" w14:textId="77777777" w:rsidR="0070428B" w:rsidRPr="00A01DEC" w:rsidRDefault="0070428B" w:rsidP="004231F6">
            <w:pPr>
              <w:spacing w:before="120" w:line="276" w:lineRule="auto"/>
              <w:jc w:val="center"/>
              <w:rPr>
                <w:sz w:val="22"/>
                <w:szCs w:val="22"/>
              </w:rPr>
            </w:pPr>
            <w:r>
              <w:rPr>
                <w:sz w:val="22"/>
                <w:szCs w:val="22"/>
              </w:rPr>
              <w:t>1.99</w:t>
            </w:r>
          </w:p>
        </w:tc>
      </w:tr>
      <w:tr w:rsidR="0070428B" w:rsidRPr="00A01DEC" w14:paraId="0793C08E" w14:textId="77777777" w:rsidTr="0070428B">
        <w:tc>
          <w:tcPr>
            <w:tcW w:w="5000" w:type="pct"/>
            <w:gridSpan w:val="6"/>
            <w:vAlign w:val="center"/>
          </w:tcPr>
          <w:p w14:paraId="1CC3334D" w14:textId="77777777" w:rsidR="0070428B" w:rsidRPr="00A01DEC" w:rsidRDefault="0070428B" w:rsidP="004231F6">
            <w:pPr>
              <w:spacing w:before="120" w:line="276" w:lineRule="auto"/>
              <w:rPr>
                <w:b/>
                <w:sz w:val="22"/>
                <w:szCs w:val="22"/>
              </w:rPr>
            </w:pPr>
            <w:r w:rsidRPr="00A01DEC">
              <w:rPr>
                <w:b/>
                <w:sz w:val="22"/>
                <w:szCs w:val="22"/>
              </w:rPr>
              <w:t>Age</w:t>
            </w:r>
            <w:r w:rsidR="002F3BC1">
              <w:rPr>
                <w:b/>
                <w:sz w:val="22"/>
                <w:szCs w:val="22"/>
              </w:rPr>
              <w:t xml:space="preserve"> (years)</w:t>
            </w:r>
            <w:r w:rsidR="00B46459">
              <w:rPr>
                <w:b/>
                <w:sz w:val="22"/>
                <w:szCs w:val="22"/>
              </w:rPr>
              <w:t>*</w:t>
            </w:r>
          </w:p>
        </w:tc>
      </w:tr>
      <w:tr w:rsidR="0070428B" w:rsidRPr="00A01DEC" w14:paraId="78056794" w14:textId="77777777" w:rsidTr="0070428B">
        <w:tc>
          <w:tcPr>
            <w:tcW w:w="1333" w:type="pct"/>
            <w:vAlign w:val="center"/>
          </w:tcPr>
          <w:p w14:paraId="4A4EC82C" w14:textId="77777777" w:rsidR="0070428B" w:rsidRPr="00A01DEC" w:rsidRDefault="0070428B" w:rsidP="004231F6">
            <w:pPr>
              <w:spacing w:before="120" w:line="276" w:lineRule="auto"/>
              <w:jc w:val="center"/>
              <w:rPr>
                <w:sz w:val="22"/>
                <w:szCs w:val="22"/>
              </w:rPr>
            </w:pPr>
          </w:p>
        </w:tc>
        <w:tc>
          <w:tcPr>
            <w:tcW w:w="571" w:type="pct"/>
            <w:vAlign w:val="center"/>
          </w:tcPr>
          <w:p w14:paraId="4B622FDA" w14:textId="77777777" w:rsidR="0070428B" w:rsidRPr="00A01DEC" w:rsidRDefault="0070428B" w:rsidP="004231F6">
            <w:pPr>
              <w:spacing w:before="120" w:line="276" w:lineRule="auto"/>
              <w:jc w:val="center"/>
              <w:rPr>
                <w:sz w:val="22"/>
                <w:szCs w:val="22"/>
              </w:rPr>
            </w:pPr>
            <w:r>
              <w:rPr>
                <w:sz w:val="22"/>
                <w:szCs w:val="22"/>
              </w:rPr>
              <w:t>M</w:t>
            </w:r>
            <w:r w:rsidRPr="00A01DEC">
              <w:rPr>
                <w:sz w:val="22"/>
                <w:szCs w:val="22"/>
              </w:rPr>
              <w:t>in</w:t>
            </w:r>
          </w:p>
        </w:tc>
        <w:tc>
          <w:tcPr>
            <w:tcW w:w="634" w:type="pct"/>
            <w:vAlign w:val="center"/>
          </w:tcPr>
          <w:p w14:paraId="10D29F4E" w14:textId="77777777" w:rsidR="0070428B" w:rsidRPr="00A01DEC" w:rsidRDefault="0070428B" w:rsidP="004231F6">
            <w:pPr>
              <w:spacing w:before="120" w:line="276" w:lineRule="auto"/>
              <w:jc w:val="center"/>
              <w:rPr>
                <w:sz w:val="22"/>
                <w:szCs w:val="22"/>
              </w:rPr>
            </w:pPr>
            <w:r w:rsidRPr="00A01DEC">
              <w:rPr>
                <w:sz w:val="22"/>
                <w:szCs w:val="22"/>
              </w:rPr>
              <w:t>Max</w:t>
            </w:r>
          </w:p>
        </w:tc>
        <w:tc>
          <w:tcPr>
            <w:tcW w:w="733" w:type="pct"/>
            <w:vAlign w:val="center"/>
          </w:tcPr>
          <w:p w14:paraId="7B363665" w14:textId="77777777" w:rsidR="0070428B" w:rsidRPr="00A01DEC" w:rsidRDefault="0070428B" w:rsidP="004231F6">
            <w:pPr>
              <w:spacing w:before="120" w:line="276" w:lineRule="auto"/>
              <w:jc w:val="center"/>
              <w:rPr>
                <w:sz w:val="22"/>
                <w:szCs w:val="22"/>
              </w:rPr>
            </w:pPr>
            <w:r w:rsidRPr="00A01DEC">
              <w:rPr>
                <w:sz w:val="22"/>
                <w:szCs w:val="22"/>
              </w:rPr>
              <w:t>Mean</w:t>
            </w:r>
          </w:p>
        </w:tc>
        <w:tc>
          <w:tcPr>
            <w:tcW w:w="1096" w:type="pct"/>
            <w:vAlign w:val="center"/>
          </w:tcPr>
          <w:p w14:paraId="69D1B055" w14:textId="77777777" w:rsidR="0070428B" w:rsidRPr="00A01DEC" w:rsidRDefault="0070428B" w:rsidP="004231F6">
            <w:pPr>
              <w:spacing w:before="120" w:line="276" w:lineRule="auto"/>
              <w:jc w:val="center"/>
              <w:rPr>
                <w:sz w:val="22"/>
                <w:szCs w:val="22"/>
              </w:rPr>
            </w:pPr>
            <w:r w:rsidRPr="00A01DEC">
              <w:rPr>
                <w:sz w:val="22"/>
                <w:szCs w:val="22"/>
              </w:rPr>
              <w:t>Std. Err.</w:t>
            </w:r>
          </w:p>
        </w:tc>
        <w:tc>
          <w:tcPr>
            <w:tcW w:w="633" w:type="pct"/>
            <w:vAlign w:val="center"/>
          </w:tcPr>
          <w:p w14:paraId="2C669F98" w14:textId="77777777" w:rsidR="0070428B" w:rsidRPr="00A01DEC" w:rsidRDefault="0070428B" w:rsidP="004231F6">
            <w:pPr>
              <w:spacing w:before="120" w:line="276" w:lineRule="auto"/>
              <w:jc w:val="center"/>
              <w:rPr>
                <w:sz w:val="22"/>
                <w:szCs w:val="22"/>
              </w:rPr>
            </w:pPr>
            <w:proofErr w:type="spellStart"/>
            <w:r w:rsidRPr="00A01DEC">
              <w:rPr>
                <w:sz w:val="22"/>
                <w:szCs w:val="22"/>
              </w:rPr>
              <w:t>Deff</w:t>
            </w:r>
            <w:proofErr w:type="spellEnd"/>
          </w:p>
        </w:tc>
      </w:tr>
      <w:tr w:rsidR="0070428B" w:rsidRPr="00A01DEC" w14:paraId="4F8D342D" w14:textId="77777777" w:rsidTr="0070428B">
        <w:tc>
          <w:tcPr>
            <w:tcW w:w="1333" w:type="pct"/>
            <w:vAlign w:val="center"/>
          </w:tcPr>
          <w:p w14:paraId="02637F0C" w14:textId="77777777" w:rsidR="0070428B" w:rsidRPr="00A01DEC" w:rsidRDefault="0070428B" w:rsidP="004231F6">
            <w:pPr>
              <w:spacing w:before="120" w:line="276" w:lineRule="auto"/>
              <w:jc w:val="center"/>
              <w:rPr>
                <w:sz w:val="22"/>
                <w:szCs w:val="22"/>
              </w:rPr>
            </w:pPr>
            <w:r w:rsidRPr="00A01DEC">
              <w:rPr>
                <w:sz w:val="22"/>
                <w:szCs w:val="22"/>
              </w:rPr>
              <w:t>CPS</w:t>
            </w:r>
          </w:p>
        </w:tc>
        <w:tc>
          <w:tcPr>
            <w:tcW w:w="571" w:type="pct"/>
            <w:vAlign w:val="center"/>
          </w:tcPr>
          <w:p w14:paraId="3E0DA096" w14:textId="77777777" w:rsidR="0070428B" w:rsidRPr="00A01DEC" w:rsidRDefault="0070428B" w:rsidP="004231F6">
            <w:pPr>
              <w:spacing w:before="120" w:line="276" w:lineRule="auto"/>
              <w:jc w:val="center"/>
              <w:rPr>
                <w:sz w:val="22"/>
                <w:szCs w:val="22"/>
              </w:rPr>
            </w:pPr>
            <w:r w:rsidRPr="00A01DEC">
              <w:rPr>
                <w:sz w:val="22"/>
                <w:szCs w:val="22"/>
              </w:rPr>
              <w:t>18</w:t>
            </w:r>
          </w:p>
        </w:tc>
        <w:tc>
          <w:tcPr>
            <w:tcW w:w="634" w:type="pct"/>
            <w:vAlign w:val="center"/>
          </w:tcPr>
          <w:p w14:paraId="2BD6814C" w14:textId="77777777" w:rsidR="0070428B" w:rsidRPr="00A01DEC" w:rsidRDefault="0070428B" w:rsidP="004231F6">
            <w:pPr>
              <w:spacing w:before="120" w:line="276" w:lineRule="auto"/>
              <w:jc w:val="center"/>
              <w:rPr>
                <w:sz w:val="22"/>
                <w:szCs w:val="22"/>
              </w:rPr>
            </w:pPr>
            <w:r w:rsidRPr="00A01DEC">
              <w:rPr>
                <w:sz w:val="22"/>
                <w:szCs w:val="22"/>
              </w:rPr>
              <w:t>85</w:t>
            </w:r>
          </w:p>
        </w:tc>
        <w:tc>
          <w:tcPr>
            <w:tcW w:w="733" w:type="pct"/>
            <w:vAlign w:val="center"/>
          </w:tcPr>
          <w:p w14:paraId="5F2B132E" w14:textId="77777777" w:rsidR="0070428B" w:rsidRPr="00A01DEC" w:rsidRDefault="0070428B" w:rsidP="004231F6">
            <w:pPr>
              <w:spacing w:before="120" w:line="276" w:lineRule="auto"/>
              <w:jc w:val="center"/>
              <w:rPr>
                <w:sz w:val="22"/>
                <w:szCs w:val="22"/>
              </w:rPr>
            </w:pPr>
            <w:r w:rsidRPr="00A01DEC">
              <w:rPr>
                <w:color w:val="000000"/>
                <w:sz w:val="22"/>
                <w:szCs w:val="22"/>
              </w:rPr>
              <w:t>46.33</w:t>
            </w:r>
          </w:p>
        </w:tc>
        <w:tc>
          <w:tcPr>
            <w:tcW w:w="1096" w:type="pct"/>
            <w:vAlign w:val="center"/>
          </w:tcPr>
          <w:p w14:paraId="128BABFF" w14:textId="77777777" w:rsidR="0070428B" w:rsidRPr="00A01DEC" w:rsidRDefault="0070428B" w:rsidP="004231F6">
            <w:pPr>
              <w:spacing w:before="120" w:line="276" w:lineRule="auto"/>
              <w:jc w:val="center"/>
              <w:rPr>
                <w:sz w:val="22"/>
                <w:szCs w:val="22"/>
              </w:rPr>
            </w:pPr>
            <w:r w:rsidRPr="00A01DEC">
              <w:rPr>
                <w:color w:val="000000"/>
                <w:sz w:val="22"/>
                <w:szCs w:val="22"/>
              </w:rPr>
              <w:t>0.063</w:t>
            </w:r>
          </w:p>
        </w:tc>
        <w:tc>
          <w:tcPr>
            <w:tcW w:w="633" w:type="pct"/>
            <w:vAlign w:val="center"/>
          </w:tcPr>
          <w:p w14:paraId="135218C7" w14:textId="77777777" w:rsidR="0070428B" w:rsidRPr="00A01DEC" w:rsidRDefault="0070428B" w:rsidP="004231F6">
            <w:pPr>
              <w:spacing w:before="120" w:line="276" w:lineRule="auto"/>
              <w:jc w:val="center"/>
              <w:rPr>
                <w:sz w:val="22"/>
                <w:szCs w:val="22"/>
              </w:rPr>
            </w:pPr>
            <w:r w:rsidRPr="00A01DEC">
              <w:rPr>
                <w:color w:val="000000"/>
                <w:sz w:val="22"/>
                <w:szCs w:val="22"/>
              </w:rPr>
              <w:t>1.29</w:t>
            </w:r>
          </w:p>
        </w:tc>
      </w:tr>
      <w:tr w:rsidR="0070428B" w:rsidRPr="00A01DEC" w14:paraId="64E06AED" w14:textId="77777777" w:rsidTr="0070428B">
        <w:tc>
          <w:tcPr>
            <w:tcW w:w="1333" w:type="pct"/>
            <w:vAlign w:val="center"/>
          </w:tcPr>
          <w:p w14:paraId="771790CA" w14:textId="77777777" w:rsidR="0070428B" w:rsidRPr="00A01DEC" w:rsidRDefault="0070428B" w:rsidP="004231F6">
            <w:pPr>
              <w:spacing w:before="120" w:line="276" w:lineRule="auto"/>
              <w:jc w:val="center"/>
              <w:rPr>
                <w:sz w:val="22"/>
                <w:szCs w:val="22"/>
              </w:rPr>
            </w:pPr>
            <w:r w:rsidRPr="00A01DEC">
              <w:rPr>
                <w:sz w:val="22"/>
                <w:szCs w:val="22"/>
              </w:rPr>
              <w:lastRenderedPageBreak/>
              <w:t xml:space="preserve">ALP </w:t>
            </w:r>
            <w:r>
              <w:rPr>
                <w:sz w:val="22"/>
                <w:szCs w:val="22"/>
              </w:rPr>
              <w:t>S</w:t>
            </w:r>
            <w:r w:rsidRPr="00A01DEC">
              <w:rPr>
                <w:sz w:val="22"/>
                <w:szCs w:val="22"/>
              </w:rPr>
              <w:t>ample</w:t>
            </w:r>
          </w:p>
        </w:tc>
        <w:tc>
          <w:tcPr>
            <w:tcW w:w="571" w:type="pct"/>
            <w:vAlign w:val="center"/>
          </w:tcPr>
          <w:p w14:paraId="5E1A8B8B" w14:textId="77777777" w:rsidR="0070428B" w:rsidRPr="00A01DEC" w:rsidRDefault="0070428B" w:rsidP="004231F6">
            <w:pPr>
              <w:spacing w:before="120" w:line="276" w:lineRule="auto"/>
              <w:jc w:val="center"/>
              <w:rPr>
                <w:sz w:val="22"/>
                <w:szCs w:val="22"/>
              </w:rPr>
            </w:pPr>
            <w:r w:rsidRPr="00A01DEC">
              <w:rPr>
                <w:sz w:val="22"/>
                <w:szCs w:val="22"/>
              </w:rPr>
              <w:t>18</w:t>
            </w:r>
          </w:p>
        </w:tc>
        <w:tc>
          <w:tcPr>
            <w:tcW w:w="634" w:type="pct"/>
            <w:vAlign w:val="center"/>
          </w:tcPr>
          <w:p w14:paraId="3B683E92" w14:textId="77777777" w:rsidR="0070428B" w:rsidRPr="00A01DEC" w:rsidRDefault="0070428B" w:rsidP="004231F6">
            <w:pPr>
              <w:spacing w:before="120" w:line="276" w:lineRule="auto"/>
              <w:jc w:val="center"/>
              <w:rPr>
                <w:sz w:val="22"/>
                <w:szCs w:val="22"/>
              </w:rPr>
            </w:pPr>
            <w:r w:rsidRPr="00A01DEC">
              <w:rPr>
                <w:sz w:val="22"/>
                <w:szCs w:val="22"/>
              </w:rPr>
              <w:t>85</w:t>
            </w:r>
          </w:p>
        </w:tc>
        <w:tc>
          <w:tcPr>
            <w:tcW w:w="733" w:type="pct"/>
            <w:vAlign w:val="center"/>
          </w:tcPr>
          <w:p w14:paraId="2935302C" w14:textId="77777777" w:rsidR="0070428B" w:rsidRPr="00A01DEC" w:rsidRDefault="0070428B" w:rsidP="004231F6">
            <w:pPr>
              <w:spacing w:before="120" w:line="276" w:lineRule="auto"/>
              <w:jc w:val="center"/>
              <w:rPr>
                <w:sz w:val="22"/>
                <w:szCs w:val="22"/>
              </w:rPr>
            </w:pPr>
            <w:r>
              <w:rPr>
                <w:sz w:val="22"/>
                <w:szCs w:val="22"/>
              </w:rPr>
              <w:t>46.63</w:t>
            </w:r>
          </w:p>
        </w:tc>
        <w:tc>
          <w:tcPr>
            <w:tcW w:w="1096" w:type="pct"/>
            <w:vAlign w:val="center"/>
          </w:tcPr>
          <w:p w14:paraId="7885C63F" w14:textId="77777777" w:rsidR="0070428B" w:rsidRPr="00A01DEC" w:rsidRDefault="0070428B" w:rsidP="004231F6">
            <w:pPr>
              <w:spacing w:before="120" w:line="276" w:lineRule="auto"/>
              <w:jc w:val="center"/>
              <w:rPr>
                <w:sz w:val="22"/>
                <w:szCs w:val="22"/>
              </w:rPr>
            </w:pPr>
            <w:r>
              <w:rPr>
                <w:sz w:val="22"/>
                <w:szCs w:val="22"/>
              </w:rPr>
              <w:t>0.348</w:t>
            </w:r>
          </w:p>
        </w:tc>
        <w:tc>
          <w:tcPr>
            <w:tcW w:w="633" w:type="pct"/>
            <w:vAlign w:val="center"/>
          </w:tcPr>
          <w:p w14:paraId="3F135CEB" w14:textId="77777777" w:rsidR="0070428B" w:rsidRPr="00A01DEC" w:rsidRDefault="0070428B" w:rsidP="004231F6">
            <w:pPr>
              <w:spacing w:before="120" w:line="276" w:lineRule="auto"/>
              <w:jc w:val="center"/>
              <w:rPr>
                <w:sz w:val="22"/>
                <w:szCs w:val="22"/>
              </w:rPr>
            </w:pPr>
            <w:r>
              <w:rPr>
                <w:sz w:val="22"/>
                <w:szCs w:val="22"/>
              </w:rPr>
              <w:t>1.91</w:t>
            </w:r>
          </w:p>
        </w:tc>
      </w:tr>
      <w:tr w:rsidR="0070428B" w:rsidRPr="00A01DEC" w14:paraId="1D0D4BAD" w14:textId="77777777" w:rsidTr="0070428B">
        <w:tc>
          <w:tcPr>
            <w:tcW w:w="1333" w:type="pct"/>
            <w:vAlign w:val="center"/>
          </w:tcPr>
          <w:p w14:paraId="1072F1D9" w14:textId="77777777" w:rsidR="0070428B" w:rsidRPr="00A01DEC" w:rsidRDefault="0070428B" w:rsidP="004231F6">
            <w:pPr>
              <w:spacing w:before="120" w:line="276" w:lineRule="auto"/>
              <w:jc w:val="center"/>
              <w:rPr>
                <w:sz w:val="22"/>
                <w:szCs w:val="22"/>
              </w:rPr>
            </w:pPr>
            <w:r w:rsidRPr="00A01DEC">
              <w:rPr>
                <w:sz w:val="22"/>
                <w:szCs w:val="22"/>
              </w:rPr>
              <w:t>Ref. Sample</w:t>
            </w:r>
          </w:p>
        </w:tc>
        <w:tc>
          <w:tcPr>
            <w:tcW w:w="571" w:type="pct"/>
            <w:vAlign w:val="center"/>
          </w:tcPr>
          <w:p w14:paraId="24B4CCF4" w14:textId="77777777" w:rsidR="0070428B" w:rsidRPr="00A01DEC" w:rsidRDefault="0070428B" w:rsidP="004231F6">
            <w:pPr>
              <w:spacing w:before="120" w:line="276" w:lineRule="auto"/>
              <w:jc w:val="center"/>
              <w:rPr>
                <w:sz w:val="22"/>
                <w:szCs w:val="22"/>
              </w:rPr>
            </w:pPr>
            <w:r w:rsidRPr="00A01DEC">
              <w:rPr>
                <w:sz w:val="22"/>
                <w:szCs w:val="22"/>
              </w:rPr>
              <w:t>18</w:t>
            </w:r>
          </w:p>
        </w:tc>
        <w:tc>
          <w:tcPr>
            <w:tcW w:w="634" w:type="pct"/>
            <w:vAlign w:val="center"/>
          </w:tcPr>
          <w:p w14:paraId="47276C2E" w14:textId="77777777" w:rsidR="0070428B" w:rsidRPr="00A01DEC" w:rsidRDefault="0070428B" w:rsidP="004231F6">
            <w:pPr>
              <w:spacing w:before="120" w:line="276" w:lineRule="auto"/>
              <w:jc w:val="center"/>
              <w:rPr>
                <w:sz w:val="22"/>
                <w:szCs w:val="22"/>
              </w:rPr>
            </w:pPr>
            <w:r w:rsidRPr="00A01DEC">
              <w:rPr>
                <w:sz w:val="22"/>
                <w:szCs w:val="22"/>
              </w:rPr>
              <w:t>85</w:t>
            </w:r>
          </w:p>
        </w:tc>
        <w:tc>
          <w:tcPr>
            <w:tcW w:w="733" w:type="pct"/>
            <w:vAlign w:val="center"/>
          </w:tcPr>
          <w:p w14:paraId="4E6DFBC0" w14:textId="77777777" w:rsidR="0070428B" w:rsidRPr="00A01DEC" w:rsidRDefault="0070428B" w:rsidP="004231F6">
            <w:pPr>
              <w:spacing w:before="120" w:line="276" w:lineRule="auto"/>
              <w:jc w:val="center"/>
              <w:rPr>
                <w:sz w:val="22"/>
                <w:szCs w:val="22"/>
              </w:rPr>
            </w:pPr>
            <w:r>
              <w:rPr>
                <w:sz w:val="22"/>
                <w:szCs w:val="22"/>
              </w:rPr>
              <w:t>46.72</w:t>
            </w:r>
          </w:p>
        </w:tc>
        <w:tc>
          <w:tcPr>
            <w:tcW w:w="1096" w:type="pct"/>
            <w:vAlign w:val="center"/>
          </w:tcPr>
          <w:p w14:paraId="6C5FC2D3" w14:textId="77777777" w:rsidR="0070428B" w:rsidRPr="00A01DEC" w:rsidRDefault="0070428B" w:rsidP="004231F6">
            <w:pPr>
              <w:spacing w:before="120" w:line="276" w:lineRule="auto"/>
              <w:jc w:val="center"/>
              <w:rPr>
                <w:sz w:val="22"/>
                <w:szCs w:val="22"/>
              </w:rPr>
            </w:pPr>
            <w:r>
              <w:rPr>
                <w:sz w:val="22"/>
                <w:szCs w:val="22"/>
              </w:rPr>
              <w:t>0.453</w:t>
            </w:r>
          </w:p>
        </w:tc>
        <w:tc>
          <w:tcPr>
            <w:tcW w:w="633" w:type="pct"/>
            <w:vAlign w:val="center"/>
          </w:tcPr>
          <w:p w14:paraId="30C1FCD5" w14:textId="77777777" w:rsidR="0070428B" w:rsidRPr="00A01DEC" w:rsidRDefault="0070428B" w:rsidP="004231F6">
            <w:pPr>
              <w:spacing w:before="120" w:line="276" w:lineRule="auto"/>
              <w:jc w:val="center"/>
              <w:rPr>
                <w:sz w:val="22"/>
                <w:szCs w:val="22"/>
              </w:rPr>
            </w:pPr>
            <w:r>
              <w:rPr>
                <w:sz w:val="22"/>
                <w:szCs w:val="22"/>
              </w:rPr>
              <w:t>2.</w:t>
            </w:r>
            <w:r w:rsidRPr="00A01DEC">
              <w:rPr>
                <w:sz w:val="22"/>
                <w:szCs w:val="22"/>
              </w:rPr>
              <w:t>4</w:t>
            </w:r>
            <w:r>
              <w:rPr>
                <w:sz w:val="22"/>
                <w:szCs w:val="22"/>
              </w:rPr>
              <w:t>2</w:t>
            </w:r>
          </w:p>
        </w:tc>
      </w:tr>
      <w:tr w:rsidR="0070428B" w:rsidRPr="00A01DEC" w14:paraId="4AAD0DEF" w14:textId="77777777" w:rsidTr="0070428B">
        <w:tc>
          <w:tcPr>
            <w:tcW w:w="5000" w:type="pct"/>
            <w:gridSpan w:val="6"/>
            <w:vAlign w:val="center"/>
          </w:tcPr>
          <w:p w14:paraId="221CEC96" w14:textId="77777777" w:rsidR="0070428B" w:rsidRPr="00A01DEC" w:rsidRDefault="0070428B" w:rsidP="004231F6">
            <w:pPr>
              <w:spacing w:before="120" w:line="276" w:lineRule="auto"/>
              <w:rPr>
                <w:b/>
                <w:sz w:val="22"/>
                <w:szCs w:val="22"/>
              </w:rPr>
            </w:pPr>
            <w:r w:rsidRPr="00A01DEC">
              <w:rPr>
                <w:b/>
                <w:sz w:val="22"/>
                <w:szCs w:val="22"/>
              </w:rPr>
              <w:t>Education</w:t>
            </w:r>
            <w:r w:rsidR="002F3BC1">
              <w:rPr>
                <w:b/>
                <w:sz w:val="22"/>
                <w:szCs w:val="22"/>
              </w:rPr>
              <w:t xml:space="preserve"> (categories)</w:t>
            </w:r>
            <w:r w:rsidR="00B46459">
              <w:rPr>
                <w:b/>
                <w:sz w:val="22"/>
                <w:szCs w:val="22"/>
              </w:rPr>
              <w:t>**</w:t>
            </w:r>
          </w:p>
        </w:tc>
      </w:tr>
      <w:tr w:rsidR="0070428B" w:rsidRPr="00A01DEC" w14:paraId="4E57F935" w14:textId="77777777" w:rsidTr="0070428B">
        <w:tc>
          <w:tcPr>
            <w:tcW w:w="1333" w:type="pct"/>
            <w:vAlign w:val="center"/>
          </w:tcPr>
          <w:p w14:paraId="6BFC62B0" w14:textId="77777777" w:rsidR="0070428B" w:rsidRPr="00A01DEC" w:rsidRDefault="0070428B" w:rsidP="004231F6">
            <w:pPr>
              <w:spacing w:before="120" w:line="276" w:lineRule="auto"/>
              <w:jc w:val="center"/>
              <w:rPr>
                <w:sz w:val="22"/>
                <w:szCs w:val="22"/>
              </w:rPr>
            </w:pPr>
          </w:p>
        </w:tc>
        <w:tc>
          <w:tcPr>
            <w:tcW w:w="571" w:type="pct"/>
            <w:vAlign w:val="center"/>
          </w:tcPr>
          <w:p w14:paraId="4C62E41C" w14:textId="77777777" w:rsidR="0070428B" w:rsidRPr="00A01DEC" w:rsidRDefault="0070428B" w:rsidP="004231F6">
            <w:pPr>
              <w:spacing w:before="120" w:line="276" w:lineRule="auto"/>
              <w:jc w:val="center"/>
              <w:rPr>
                <w:sz w:val="22"/>
                <w:szCs w:val="22"/>
              </w:rPr>
            </w:pPr>
            <w:r>
              <w:rPr>
                <w:sz w:val="22"/>
                <w:szCs w:val="22"/>
              </w:rPr>
              <w:t>M</w:t>
            </w:r>
            <w:r w:rsidRPr="00A01DEC">
              <w:rPr>
                <w:sz w:val="22"/>
                <w:szCs w:val="22"/>
              </w:rPr>
              <w:t>in</w:t>
            </w:r>
          </w:p>
        </w:tc>
        <w:tc>
          <w:tcPr>
            <w:tcW w:w="634" w:type="pct"/>
            <w:vAlign w:val="center"/>
          </w:tcPr>
          <w:p w14:paraId="08D5EEDA" w14:textId="77777777" w:rsidR="0070428B" w:rsidRPr="00A01DEC" w:rsidRDefault="0070428B" w:rsidP="004231F6">
            <w:pPr>
              <w:spacing w:before="120" w:line="276" w:lineRule="auto"/>
              <w:jc w:val="center"/>
              <w:rPr>
                <w:sz w:val="22"/>
                <w:szCs w:val="22"/>
              </w:rPr>
            </w:pPr>
            <w:r w:rsidRPr="00A01DEC">
              <w:rPr>
                <w:sz w:val="22"/>
                <w:szCs w:val="22"/>
              </w:rPr>
              <w:t>Max</w:t>
            </w:r>
          </w:p>
        </w:tc>
        <w:tc>
          <w:tcPr>
            <w:tcW w:w="733" w:type="pct"/>
            <w:vAlign w:val="center"/>
          </w:tcPr>
          <w:p w14:paraId="1238CB29" w14:textId="77777777" w:rsidR="0070428B" w:rsidRPr="00A01DEC" w:rsidRDefault="0070428B" w:rsidP="004231F6">
            <w:pPr>
              <w:spacing w:before="120" w:line="276" w:lineRule="auto"/>
              <w:jc w:val="center"/>
              <w:rPr>
                <w:sz w:val="22"/>
                <w:szCs w:val="22"/>
              </w:rPr>
            </w:pPr>
            <w:r w:rsidRPr="00A01DEC">
              <w:rPr>
                <w:sz w:val="22"/>
                <w:szCs w:val="22"/>
              </w:rPr>
              <w:t>Mean</w:t>
            </w:r>
          </w:p>
        </w:tc>
        <w:tc>
          <w:tcPr>
            <w:tcW w:w="1096" w:type="pct"/>
            <w:vAlign w:val="center"/>
          </w:tcPr>
          <w:p w14:paraId="27D68C95" w14:textId="77777777" w:rsidR="0070428B" w:rsidRPr="00A01DEC" w:rsidRDefault="0070428B" w:rsidP="004231F6">
            <w:pPr>
              <w:spacing w:before="120" w:line="276" w:lineRule="auto"/>
              <w:jc w:val="center"/>
              <w:rPr>
                <w:sz w:val="22"/>
                <w:szCs w:val="22"/>
              </w:rPr>
            </w:pPr>
            <w:r w:rsidRPr="00A01DEC">
              <w:rPr>
                <w:sz w:val="22"/>
                <w:szCs w:val="22"/>
              </w:rPr>
              <w:t>Std. Err.</w:t>
            </w:r>
          </w:p>
        </w:tc>
        <w:tc>
          <w:tcPr>
            <w:tcW w:w="633" w:type="pct"/>
            <w:vAlign w:val="center"/>
          </w:tcPr>
          <w:p w14:paraId="6CDBFBCE" w14:textId="77777777" w:rsidR="0070428B" w:rsidRPr="00A01DEC" w:rsidRDefault="0070428B" w:rsidP="004231F6">
            <w:pPr>
              <w:spacing w:before="120" w:line="276" w:lineRule="auto"/>
              <w:jc w:val="center"/>
              <w:rPr>
                <w:sz w:val="22"/>
                <w:szCs w:val="22"/>
              </w:rPr>
            </w:pPr>
            <w:proofErr w:type="spellStart"/>
            <w:r w:rsidRPr="00A01DEC">
              <w:rPr>
                <w:sz w:val="22"/>
                <w:szCs w:val="22"/>
              </w:rPr>
              <w:t>Deff</w:t>
            </w:r>
            <w:proofErr w:type="spellEnd"/>
          </w:p>
        </w:tc>
      </w:tr>
      <w:tr w:rsidR="0070428B" w:rsidRPr="00A01DEC" w14:paraId="0A8D61C3" w14:textId="77777777" w:rsidTr="0070428B">
        <w:tc>
          <w:tcPr>
            <w:tcW w:w="1333" w:type="pct"/>
            <w:vAlign w:val="center"/>
          </w:tcPr>
          <w:p w14:paraId="20004B56" w14:textId="77777777" w:rsidR="0070428B" w:rsidRPr="00A01DEC" w:rsidRDefault="0070428B" w:rsidP="004231F6">
            <w:pPr>
              <w:spacing w:before="120" w:line="276" w:lineRule="auto"/>
              <w:jc w:val="center"/>
              <w:rPr>
                <w:sz w:val="22"/>
                <w:szCs w:val="22"/>
              </w:rPr>
            </w:pPr>
            <w:r w:rsidRPr="00A01DEC">
              <w:rPr>
                <w:sz w:val="22"/>
                <w:szCs w:val="22"/>
              </w:rPr>
              <w:t>CPS</w:t>
            </w:r>
          </w:p>
        </w:tc>
        <w:tc>
          <w:tcPr>
            <w:tcW w:w="571" w:type="pct"/>
            <w:vAlign w:val="center"/>
          </w:tcPr>
          <w:p w14:paraId="4656D6FE" w14:textId="77777777" w:rsidR="0070428B" w:rsidRPr="00A01DEC" w:rsidRDefault="0070428B" w:rsidP="004231F6">
            <w:pPr>
              <w:spacing w:before="120" w:line="276" w:lineRule="auto"/>
              <w:jc w:val="center"/>
              <w:rPr>
                <w:sz w:val="22"/>
                <w:szCs w:val="22"/>
              </w:rPr>
            </w:pPr>
            <w:r w:rsidRPr="00A01DEC">
              <w:rPr>
                <w:sz w:val="22"/>
                <w:szCs w:val="22"/>
              </w:rPr>
              <w:t>1</w:t>
            </w:r>
          </w:p>
        </w:tc>
        <w:tc>
          <w:tcPr>
            <w:tcW w:w="634" w:type="pct"/>
            <w:vAlign w:val="center"/>
          </w:tcPr>
          <w:p w14:paraId="0C82A352" w14:textId="77777777" w:rsidR="0070428B" w:rsidRPr="00A01DEC" w:rsidRDefault="0070428B" w:rsidP="004231F6">
            <w:pPr>
              <w:spacing w:before="120" w:line="276" w:lineRule="auto"/>
              <w:jc w:val="center"/>
              <w:rPr>
                <w:sz w:val="22"/>
                <w:szCs w:val="22"/>
              </w:rPr>
            </w:pPr>
            <w:r w:rsidRPr="00A01DEC">
              <w:rPr>
                <w:sz w:val="22"/>
                <w:szCs w:val="22"/>
              </w:rPr>
              <w:t>16</w:t>
            </w:r>
          </w:p>
        </w:tc>
        <w:tc>
          <w:tcPr>
            <w:tcW w:w="733" w:type="pct"/>
            <w:vAlign w:val="center"/>
          </w:tcPr>
          <w:p w14:paraId="0AC03A7D" w14:textId="77777777" w:rsidR="0070428B" w:rsidRPr="00A01DEC" w:rsidRDefault="0070428B" w:rsidP="004231F6">
            <w:pPr>
              <w:spacing w:line="276" w:lineRule="auto"/>
              <w:jc w:val="center"/>
              <w:rPr>
                <w:color w:val="000000"/>
                <w:sz w:val="22"/>
                <w:szCs w:val="22"/>
              </w:rPr>
            </w:pPr>
            <w:r w:rsidRPr="00A01DEC">
              <w:rPr>
                <w:color w:val="000000"/>
                <w:sz w:val="22"/>
                <w:szCs w:val="22"/>
              </w:rPr>
              <w:t>10.17</w:t>
            </w:r>
          </w:p>
        </w:tc>
        <w:tc>
          <w:tcPr>
            <w:tcW w:w="1096" w:type="pct"/>
            <w:vAlign w:val="center"/>
          </w:tcPr>
          <w:p w14:paraId="0B907BA5" w14:textId="77777777" w:rsidR="0070428B" w:rsidRPr="00A01DEC" w:rsidRDefault="0070428B" w:rsidP="004231F6">
            <w:pPr>
              <w:spacing w:line="276" w:lineRule="auto"/>
              <w:jc w:val="center"/>
              <w:rPr>
                <w:color w:val="000000"/>
                <w:sz w:val="22"/>
                <w:szCs w:val="22"/>
              </w:rPr>
            </w:pPr>
            <w:r>
              <w:rPr>
                <w:color w:val="000000"/>
                <w:sz w:val="22"/>
                <w:szCs w:val="22"/>
              </w:rPr>
              <w:t>0.0098</w:t>
            </w:r>
          </w:p>
        </w:tc>
        <w:tc>
          <w:tcPr>
            <w:tcW w:w="633" w:type="pct"/>
            <w:vAlign w:val="center"/>
          </w:tcPr>
          <w:p w14:paraId="40E41F31" w14:textId="77777777" w:rsidR="0070428B" w:rsidRPr="00A01DEC" w:rsidRDefault="0070428B" w:rsidP="004231F6">
            <w:pPr>
              <w:spacing w:line="276" w:lineRule="auto"/>
              <w:jc w:val="center"/>
              <w:rPr>
                <w:color w:val="000000"/>
                <w:sz w:val="22"/>
                <w:szCs w:val="22"/>
              </w:rPr>
            </w:pPr>
            <w:r>
              <w:rPr>
                <w:color w:val="000000"/>
                <w:sz w:val="22"/>
                <w:szCs w:val="22"/>
              </w:rPr>
              <w:t>1.29</w:t>
            </w:r>
          </w:p>
        </w:tc>
      </w:tr>
      <w:tr w:rsidR="0070428B" w:rsidRPr="00A01DEC" w14:paraId="17BBF99C" w14:textId="77777777" w:rsidTr="0070428B">
        <w:tc>
          <w:tcPr>
            <w:tcW w:w="1333" w:type="pct"/>
            <w:vAlign w:val="center"/>
          </w:tcPr>
          <w:p w14:paraId="6CEC29D6" w14:textId="77777777" w:rsidR="0070428B" w:rsidRPr="00A01DEC" w:rsidRDefault="0070428B" w:rsidP="004231F6">
            <w:pPr>
              <w:spacing w:before="120" w:line="276" w:lineRule="auto"/>
              <w:jc w:val="center"/>
              <w:rPr>
                <w:sz w:val="22"/>
                <w:szCs w:val="22"/>
              </w:rPr>
            </w:pPr>
            <w:r w:rsidRPr="00A01DEC">
              <w:rPr>
                <w:sz w:val="22"/>
                <w:szCs w:val="22"/>
              </w:rPr>
              <w:t xml:space="preserve">ALP </w:t>
            </w:r>
            <w:r>
              <w:rPr>
                <w:sz w:val="22"/>
                <w:szCs w:val="22"/>
              </w:rPr>
              <w:t>S</w:t>
            </w:r>
            <w:r w:rsidRPr="00A01DEC">
              <w:rPr>
                <w:sz w:val="22"/>
                <w:szCs w:val="22"/>
              </w:rPr>
              <w:t>ample</w:t>
            </w:r>
          </w:p>
        </w:tc>
        <w:tc>
          <w:tcPr>
            <w:tcW w:w="571" w:type="pct"/>
            <w:vAlign w:val="center"/>
          </w:tcPr>
          <w:p w14:paraId="3B0DF931" w14:textId="77777777" w:rsidR="0070428B" w:rsidRPr="00A01DEC" w:rsidRDefault="0070428B" w:rsidP="004231F6">
            <w:pPr>
              <w:spacing w:before="120" w:line="276" w:lineRule="auto"/>
              <w:jc w:val="center"/>
              <w:rPr>
                <w:sz w:val="22"/>
                <w:szCs w:val="22"/>
              </w:rPr>
            </w:pPr>
            <w:r w:rsidRPr="00A01DEC">
              <w:rPr>
                <w:sz w:val="22"/>
                <w:szCs w:val="22"/>
              </w:rPr>
              <w:t>1</w:t>
            </w:r>
          </w:p>
        </w:tc>
        <w:tc>
          <w:tcPr>
            <w:tcW w:w="634" w:type="pct"/>
            <w:vAlign w:val="center"/>
          </w:tcPr>
          <w:p w14:paraId="221DAFC9" w14:textId="77777777" w:rsidR="0070428B" w:rsidRPr="00A01DEC" w:rsidRDefault="0070428B" w:rsidP="004231F6">
            <w:pPr>
              <w:spacing w:before="120" w:line="276" w:lineRule="auto"/>
              <w:jc w:val="center"/>
              <w:rPr>
                <w:sz w:val="22"/>
                <w:szCs w:val="22"/>
              </w:rPr>
            </w:pPr>
            <w:r w:rsidRPr="00A01DEC">
              <w:rPr>
                <w:sz w:val="22"/>
                <w:szCs w:val="22"/>
              </w:rPr>
              <w:t>16</w:t>
            </w:r>
          </w:p>
        </w:tc>
        <w:tc>
          <w:tcPr>
            <w:tcW w:w="733" w:type="pct"/>
            <w:vAlign w:val="center"/>
          </w:tcPr>
          <w:p w14:paraId="67ED6378" w14:textId="77777777" w:rsidR="0070428B" w:rsidRPr="00A01DEC" w:rsidRDefault="0070428B" w:rsidP="004231F6">
            <w:pPr>
              <w:spacing w:before="120" w:line="276" w:lineRule="auto"/>
              <w:jc w:val="center"/>
              <w:rPr>
                <w:sz w:val="22"/>
                <w:szCs w:val="22"/>
              </w:rPr>
            </w:pPr>
            <w:r>
              <w:rPr>
                <w:sz w:val="22"/>
                <w:szCs w:val="22"/>
              </w:rPr>
              <w:t>10.42</w:t>
            </w:r>
          </w:p>
        </w:tc>
        <w:tc>
          <w:tcPr>
            <w:tcW w:w="1096" w:type="pct"/>
            <w:vAlign w:val="center"/>
          </w:tcPr>
          <w:p w14:paraId="190DEE4E" w14:textId="77777777" w:rsidR="0070428B" w:rsidRPr="00A01DEC" w:rsidRDefault="0070428B" w:rsidP="004231F6">
            <w:pPr>
              <w:spacing w:before="120" w:line="276" w:lineRule="auto"/>
              <w:jc w:val="center"/>
              <w:rPr>
                <w:sz w:val="22"/>
                <w:szCs w:val="22"/>
              </w:rPr>
            </w:pPr>
            <w:r>
              <w:rPr>
                <w:sz w:val="22"/>
                <w:szCs w:val="22"/>
              </w:rPr>
              <w:t>0.0440</w:t>
            </w:r>
          </w:p>
        </w:tc>
        <w:tc>
          <w:tcPr>
            <w:tcW w:w="633" w:type="pct"/>
            <w:vAlign w:val="center"/>
          </w:tcPr>
          <w:p w14:paraId="467BD58A" w14:textId="77777777" w:rsidR="0070428B" w:rsidRPr="00A01DEC" w:rsidRDefault="0070428B" w:rsidP="004231F6">
            <w:pPr>
              <w:spacing w:before="120" w:line="276" w:lineRule="auto"/>
              <w:jc w:val="center"/>
              <w:rPr>
                <w:sz w:val="22"/>
                <w:szCs w:val="22"/>
              </w:rPr>
            </w:pPr>
            <w:r>
              <w:rPr>
                <w:sz w:val="22"/>
                <w:szCs w:val="22"/>
              </w:rPr>
              <w:t>1.51</w:t>
            </w:r>
          </w:p>
        </w:tc>
      </w:tr>
      <w:tr w:rsidR="0070428B" w:rsidRPr="00A01DEC" w14:paraId="7CC81231" w14:textId="77777777" w:rsidTr="0070428B">
        <w:tc>
          <w:tcPr>
            <w:tcW w:w="1333" w:type="pct"/>
            <w:vAlign w:val="center"/>
          </w:tcPr>
          <w:p w14:paraId="21638D6C" w14:textId="77777777" w:rsidR="0070428B" w:rsidRPr="00A01DEC" w:rsidRDefault="0070428B" w:rsidP="004231F6">
            <w:pPr>
              <w:spacing w:before="120" w:line="276" w:lineRule="auto"/>
              <w:jc w:val="center"/>
              <w:rPr>
                <w:sz w:val="22"/>
                <w:szCs w:val="22"/>
              </w:rPr>
            </w:pPr>
            <w:r w:rsidRPr="00A01DEC">
              <w:rPr>
                <w:sz w:val="22"/>
                <w:szCs w:val="22"/>
              </w:rPr>
              <w:t>Ref. Sample</w:t>
            </w:r>
          </w:p>
        </w:tc>
        <w:tc>
          <w:tcPr>
            <w:tcW w:w="571" w:type="pct"/>
            <w:vAlign w:val="center"/>
          </w:tcPr>
          <w:p w14:paraId="0335211C" w14:textId="77777777" w:rsidR="0070428B" w:rsidRPr="00A01DEC" w:rsidRDefault="0070428B" w:rsidP="004231F6">
            <w:pPr>
              <w:spacing w:before="120" w:line="276" w:lineRule="auto"/>
              <w:jc w:val="center"/>
              <w:rPr>
                <w:sz w:val="22"/>
                <w:szCs w:val="22"/>
              </w:rPr>
            </w:pPr>
            <w:r w:rsidRPr="00A01DEC">
              <w:rPr>
                <w:sz w:val="22"/>
                <w:szCs w:val="22"/>
              </w:rPr>
              <w:t>1</w:t>
            </w:r>
          </w:p>
        </w:tc>
        <w:tc>
          <w:tcPr>
            <w:tcW w:w="634" w:type="pct"/>
            <w:vAlign w:val="center"/>
          </w:tcPr>
          <w:p w14:paraId="2843DD7B" w14:textId="77777777" w:rsidR="0070428B" w:rsidRPr="00A01DEC" w:rsidRDefault="0070428B" w:rsidP="004231F6">
            <w:pPr>
              <w:spacing w:before="120" w:line="276" w:lineRule="auto"/>
              <w:jc w:val="center"/>
              <w:rPr>
                <w:sz w:val="22"/>
                <w:szCs w:val="22"/>
              </w:rPr>
            </w:pPr>
            <w:r w:rsidRPr="00A01DEC">
              <w:rPr>
                <w:sz w:val="22"/>
                <w:szCs w:val="22"/>
              </w:rPr>
              <w:t>16</w:t>
            </w:r>
          </w:p>
        </w:tc>
        <w:tc>
          <w:tcPr>
            <w:tcW w:w="733" w:type="pct"/>
            <w:vAlign w:val="center"/>
          </w:tcPr>
          <w:p w14:paraId="4E9474E7" w14:textId="77777777" w:rsidR="0070428B" w:rsidRPr="00A01DEC" w:rsidRDefault="0070428B" w:rsidP="004231F6">
            <w:pPr>
              <w:spacing w:before="120" w:line="276" w:lineRule="auto"/>
              <w:jc w:val="center"/>
              <w:rPr>
                <w:sz w:val="22"/>
                <w:szCs w:val="22"/>
              </w:rPr>
            </w:pPr>
            <w:r w:rsidRPr="00A01DEC">
              <w:rPr>
                <w:sz w:val="22"/>
                <w:szCs w:val="22"/>
              </w:rPr>
              <w:t>10.47</w:t>
            </w:r>
          </w:p>
        </w:tc>
        <w:tc>
          <w:tcPr>
            <w:tcW w:w="1096" w:type="pct"/>
            <w:vAlign w:val="center"/>
          </w:tcPr>
          <w:p w14:paraId="30559BC2" w14:textId="77777777" w:rsidR="0070428B" w:rsidRPr="00A01DEC" w:rsidRDefault="0070428B" w:rsidP="004231F6">
            <w:pPr>
              <w:spacing w:before="120" w:line="276" w:lineRule="auto"/>
              <w:jc w:val="center"/>
              <w:rPr>
                <w:sz w:val="22"/>
                <w:szCs w:val="22"/>
              </w:rPr>
            </w:pPr>
            <w:r>
              <w:rPr>
                <w:sz w:val="22"/>
                <w:szCs w:val="22"/>
              </w:rPr>
              <w:t>0.0564</w:t>
            </w:r>
          </w:p>
        </w:tc>
        <w:tc>
          <w:tcPr>
            <w:tcW w:w="633" w:type="pct"/>
            <w:vAlign w:val="center"/>
          </w:tcPr>
          <w:p w14:paraId="5F453326" w14:textId="77777777" w:rsidR="0070428B" w:rsidRPr="00A01DEC" w:rsidRDefault="0070428B" w:rsidP="004231F6">
            <w:pPr>
              <w:spacing w:before="120" w:line="276" w:lineRule="auto"/>
              <w:jc w:val="center"/>
              <w:rPr>
                <w:sz w:val="22"/>
                <w:szCs w:val="22"/>
              </w:rPr>
            </w:pPr>
            <w:r>
              <w:rPr>
                <w:sz w:val="22"/>
                <w:szCs w:val="22"/>
              </w:rPr>
              <w:t>1.</w:t>
            </w:r>
            <w:r w:rsidRPr="00A01DEC">
              <w:rPr>
                <w:sz w:val="22"/>
                <w:szCs w:val="22"/>
              </w:rPr>
              <w:t>7</w:t>
            </w:r>
            <w:r>
              <w:rPr>
                <w:sz w:val="22"/>
                <w:szCs w:val="22"/>
              </w:rPr>
              <w:t>8</w:t>
            </w:r>
          </w:p>
        </w:tc>
      </w:tr>
      <w:tr w:rsidR="0070428B" w:rsidRPr="00A01DEC" w14:paraId="11238615" w14:textId="77777777" w:rsidTr="0070428B">
        <w:tc>
          <w:tcPr>
            <w:tcW w:w="5000" w:type="pct"/>
            <w:gridSpan w:val="6"/>
            <w:vAlign w:val="center"/>
          </w:tcPr>
          <w:p w14:paraId="226ED664" w14:textId="77777777" w:rsidR="0070428B" w:rsidRPr="00A01DEC" w:rsidRDefault="0070428B" w:rsidP="004231F6">
            <w:pPr>
              <w:spacing w:before="120" w:line="276" w:lineRule="auto"/>
              <w:rPr>
                <w:b/>
                <w:sz w:val="22"/>
                <w:szCs w:val="22"/>
              </w:rPr>
            </w:pPr>
            <w:r w:rsidRPr="00A01DEC">
              <w:rPr>
                <w:b/>
                <w:sz w:val="22"/>
                <w:szCs w:val="22"/>
              </w:rPr>
              <w:t>Household Income</w:t>
            </w:r>
            <w:r w:rsidR="002F3BC1">
              <w:rPr>
                <w:b/>
                <w:sz w:val="22"/>
                <w:szCs w:val="22"/>
              </w:rPr>
              <w:t xml:space="preserve"> (categories)</w:t>
            </w:r>
            <w:r w:rsidR="00B46459">
              <w:rPr>
                <w:b/>
                <w:sz w:val="22"/>
                <w:szCs w:val="22"/>
              </w:rPr>
              <w:t>***</w:t>
            </w:r>
          </w:p>
        </w:tc>
      </w:tr>
      <w:tr w:rsidR="0070428B" w:rsidRPr="00A01DEC" w14:paraId="15919C65" w14:textId="77777777" w:rsidTr="0070428B">
        <w:tc>
          <w:tcPr>
            <w:tcW w:w="1333" w:type="pct"/>
            <w:vAlign w:val="center"/>
          </w:tcPr>
          <w:p w14:paraId="1ADB9F9C" w14:textId="77777777" w:rsidR="0070428B" w:rsidRPr="00A01DEC" w:rsidRDefault="0070428B" w:rsidP="004231F6">
            <w:pPr>
              <w:spacing w:before="120" w:line="276" w:lineRule="auto"/>
              <w:jc w:val="center"/>
              <w:rPr>
                <w:sz w:val="22"/>
                <w:szCs w:val="22"/>
              </w:rPr>
            </w:pPr>
          </w:p>
        </w:tc>
        <w:tc>
          <w:tcPr>
            <w:tcW w:w="571" w:type="pct"/>
            <w:vAlign w:val="center"/>
          </w:tcPr>
          <w:p w14:paraId="7686DE30" w14:textId="77777777" w:rsidR="0070428B" w:rsidRPr="00A01DEC" w:rsidRDefault="0070428B" w:rsidP="004231F6">
            <w:pPr>
              <w:spacing w:before="120" w:line="276" w:lineRule="auto"/>
              <w:jc w:val="center"/>
              <w:rPr>
                <w:sz w:val="22"/>
                <w:szCs w:val="22"/>
              </w:rPr>
            </w:pPr>
            <w:r>
              <w:rPr>
                <w:sz w:val="22"/>
                <w:szCs w:val="22"/>
              </w:rPr>
              <w:t>M</w:t>
            </w:r>
            <w:r w:rsidRPr="00A01DEC">
              <w:rPr>
                <w:sz w:val="22"/>
                <w:szCs w:val="22"/>
              </w:rPr>
              <w:t>in</w:t>
            </w:r>
          </w:p>
        </w:tc>
        <w:tc>
          <w:tcPr>
            <w:tcW w:w="634" w:type="pct"/>
            <w:vAlign w:val="center"/>
          </w:tcPr>
          <w:p w14:paraId="2F06D252" w14:textId="77777777" w:rsidR="0070428B" w:rsidRPr="00A01DEC" w:rsidRDefault="0070428B" w:rsidP="004231F6">
            <w:pPr>
              <w:spacing w:before="120" w:line="276" w:lineRule="auto"/>
              <w:jc w:val="center"/>
              <w:rPr>
                <w:sz w:val="22"/>
                <w:szCs w:val="22"/>
              </w:rPr>
            </w:pPr>
            <w:r w:rsidRPr="00A01DEC">
              <w:rPr>
                <w:sz w:val="22"/>
                <w:szCs w:val="22"/>
              </w:rPr>
              <w:t>Max</w:t>
            </w:r>
          </w:p>
        </w:tc>
        <w:tc>
          <w:tcPr>
            <w:tcW w:w="733" w:type="pct"/>
            <w:vAlign w:val="center"/>
          </w:tcPr>
          <w:p w14:paraId="33BF696F" w14:textId="77777777" w:rsidR="0070428B" w:rsidRPr="00A01DEC" w:rsidRDefault="0070428B" w:rsidP="004231F6">
            <w:pPr>
              <w:spacing w:before="120" w:line="276" w:lineRule="auto"/>
              <w:jc w:val="center"/>
              <w:rPr>
                <w:sz w:val="22"/>
                <w:szCs w:val="22"/>
              </w:rPr>
            </w:pPr>
            <w:r w:rsidRPr="00A01DEC">
              <w:rPr>
                <w:sz w:val="22"/>
                <w:szCs w:val="22"/>
              </w:rPr>
              <w:t>Mean</w:t>
            </w:r>
          </w:p>
        </w:tc>
        <w:tc>
          <w:tcPr>
            <w:tcW w:w="1096" w:type="pct"/>
            <w:vAlign w:val="center"/>
          </w:tcPr>
          <w:p w14:paraId="513C9267" w14:textId="77777777" w:rsidR="0070428B" w:rsidRPr="00A01DEC" w:rsidRDefault="0070428B" w:rsidP="004231F6">
            <w:pPr>
              <w:spacing w:before="120" w:line="276" w:lineRule="auto"/>
              <w:jc w:val="center"/>
              <w:rPr>
                <w:sz w:val="22"/>
                <w:szCs w:val="22"/>
              </w:rPr>
            </w:pPr>
            <w:r w:rsidRPr="00A01DEC">
              <w:rPr>
                <w:sz w:val="22"/>
                <w:szCs w:val="22"/>
              </w:rPr>
              <w:t>Std. Err.</w:t>
            </w:r>
          </w:p>
        </w:tc>
        <w:tc>
          <w:tcPr>
            <w:tcW w:w="633" w:type="pct"/>
            <w:vAlign w:val="center"/>
          </w:tcPr>
          <w:p w14:paraId="1BC95369" w14:textId="77777777" w:rsidR="0070428B" w:rsidRPr="00A01DEC" w:rsidRDefault="0070428B" w:rsidP="004231F6">
            <w:pPr>
              <w:spacing w:before="120" w:line="276" w:lineRule="auto"/>
              <w:jc w:val="center"/>
              <w:rPr>
                <w:sz w:val="22"/>
                <w:szCs w:val="22"/>
              </w:rPr>
            </w:pPr>
            <w:proofErr w:type="spellStart"/>
            <w:r w:rsidRPr="00A01DEC">
              <w:rPr>
                <w:sz w:val="22"/>
                <w:szCs w:val="22"/>
              </w:rPr>
              <w:t>Deff</w:t>
            </w:r>
            <w:proofErr w:type="spellEnd"/>
          </w:p>
        </w:tc>
      </w:tr>
      <w:tr w:rsidR="0070428B" w:rsidRPr="00A01DEC" w14:paraId="66939C87" w14:textId="77777777" w:rsidTr="0070428B">
        <w:tc>
          <w:tcPr>
            <w:tcW w:w="1333" w:type="pct"/>
            <w:vAlign w:val="center"/>
          </w:tcPr>
          <w:p w14:paraId="0E29797B" w14:textId="77777777" w:rsidR="0070428B" w:rsidRPr="00A01DEC" w:rsidRDefault="0070428B" w:rsidP="004231F6">
            <w:pPr>
              <w:spacing w:before="120" w:line="276" w:lineRule="auto"/>
              <w:jc w:val="center"/>
              <w:rPr>
                <w:sz w:val="22"/>
                <w:szCs w:val="22"/>
              </w:rPr>
            </w:pPr>
            <w:r w:rsidRPr="00A01DEC">
              <w:rPr>
                <w:sz w:val="22"/>
                <w:szCs w:val="22"/>
              </w:rPr>
              <w:t>CPS</w:t>
            </w:r>
          </w:p>
        </w:tc>
        <w:tc>
          <w:tcPr>
            <w:tcW w:w="571" w:type="pct"/>
            <w:vAlign w:val="center"/>
          </w:tcPr>
          <w:p w14:paraId="68260C4B" w14:textId="77777777" w:rsidR="0070428B" w:rsidRPr="00A01DEC" w:rsidRDefault="0070428B" w:rsidP="004231F6">
            <w:pPr>
              <w:spacing w:before="120" w:line="276" w:lineRule="auto"/>
              <w:jc w:val="center"/>
              <w:rPr>
                <w:sz w:val="22"/>
                <w:szCs w:val="22"/>
              </w:rPr>
            </w:pPr>
            <w:r w:rsidRPr="00A01DEC">
              <w:rPr>
                <w:sz w:val="22"/>
                <w:szCs w:val="22"/>
              </w:rPr>
              <w:t>1</w:t>
            </w:r>
          </w:p>
        </w:tc>
        <w:tc>
          <w:tcPr>
            <w:tcW w:w="634" w:type="pct"/>
            <w:vAlign w:val="center"/>
          </w:tcPr>
          <w:p w14:paraId="16B28452" w14:textId="77777777" w:rsidR="0070428B" w:rsidRPr="00A01DEC" w:rsidRDefault="0070428B" w:rsidP="004231F6">
            <w:pPr>
              <w:spacing w:before="120" w:line="276" w:lineRule="auto"/>
              <w:jc w:val="center"/>
              <w:rPr>
                <w:sz w:val="22"/>
                <w:szCs w:val="22"/>
              </w:rPr>
            </w:pPr>
            <w:r w:rsidRPr="00A01DEC">
              <w:rPr>
                <w:sz w:val="22"/>
                <w:szCs w:val="22"/>
              </w:rPr>
              <w:t>15</w:t>
            </w:r>
          </w:p>
        </w:tc>
        <w:tc>
          <w:tcPr>
            <w:tcW w:w="733" w:type="pct"/>
            <w:vAlign w:val="center"/>
          </w:tcPr>
          <w:p w14:paraId="598B06EB" w14:textId="77777777" w:rsidR="0070428B" w:rsidRPr="00A01DEC" w:rsidRDefault="0070428B" w:rsidP="004231F6">
            <w:pPr>
              <w:spacing w:line="276" w:lineRule="auto"/>
              <w:jc w:val="center"/>
              <w:rPr>
                <w:color w:val="000000"/>
                <w:sz w:val="22"/>
                <w:szCs w:val="22"/>
              </w:rPr>
            </w:pPr>
            <w:r w:rsidRPr="00A01DEC">
              <w:rPr>
                <w:color w:val="000000"/>
                <w:sz w:val="22"/>
                <w:szCs w:val="22"/>
              </w:rPr>
              <w:t>10.54</w:t>
            </w:r>
          </w:p>
        </w:tc>
        <w:tc>
          <w:tcPr>
            <w:tcW w:w="1096" w:type="pct"/>
            <w:vAlign w:val="center"/>
          </w:tcPr>
          <w:p w14:paraId="45954A00" w14:textId="77777777" w:rsidR="0070428B" w:rsidRPr="00A01DEC" w:rsidRDefault="0070428B" w:rsidP="004231F6">
            <w:pPr>
              <w:spacing w:line="276" w:lineRule="auto"/>
              <w:jc w:val="center"/>
              <w:rPr>
                <w:color w:val="000000"/>
                <w:sz w:val="22"/>
                <w:szCs w:val="22"/>
              </w:rPr>
            </w:pPr>
            <w:r w:rsidRPr="00A01DEC">
              <w:rPr>
                <w:color w:val="000000"/>
                <w:sz w:val="22"/>
                <w:szCs w:val="22"/>
              </w:rPr>
              <w:t>0.014</w:t>
            </w:r>
          </w:p>
        </w:tc>
        <w:tc>
          <w:tcPr>
            <w:tcW w:w="633" w:type="pct"/>
            <w:vAlign w:val="center"/>
          </w:tcPr>
          <w:p w14:paraId="0B44B9AB" w14:textId="77777777" w:rsidR="0070428B" w:rsidRPr="00A01DEC" w:rsidRDefault="0070428B" w:rsidP="004231F6">
            <w:pPr>
              <w:spacing w:line="276" w:lineRule="auto"/>
              <w:jc w:val="center"/>
              <w:rPr>
                <w:color w:val="000000"/>
                <w:sz w:val="22"/>
                <w:szCs w:val="22"/>
              </w:rPr>
            </w:pPr>
            <w:r w:rsidRPr="00A01DEC">
              <w:rPr>
                <w:color w:val="000000"/>
                <w:sz w:val="22"/>
                <w:szCs w:val="22"/>
              </w:rPr>
              <w:t>1.29</w:t>
            </w:r>
          </w:p>
        </w:tc>
      </w:tr>
      <w:tr w:rsidR="0070428B" w:rsidRPr="00A01DEC" w14:paraId="16FB4681" w14:textId="77777777" w:rsidTr="0070428B">
        <w:tc>
          <w:tcPr>
            <w:tcW w:w="1333" w:type="pct"/>
            <w:vAlign w:val="center"/>
          </w:tcPr>
          <w:p w14:paraId="47E8C4DA" w14:textId="77777777" w:rsidR="0070428B" w:rsidRPr="00A01DEC" w:rsidRDefault="0070428B" w:rsidP="004231F6">
            <w:pPr>
              <w:spacing w:before="120" w:line="276" w:lineRule="auto"/>
              <w:jc w:val="center"/>
              <w:rPr>
                <w:sz w:val="22"/>
                <w:szCs w:val="22"/>
              </w:rPr>
            </w:pPr>
            <w:r w:rsidRPr="00A01DEC">
              <w:rPr>
                <w:sz w:val="22"/>
                <w:szCs w:val="22"/>
              </w:rPr>
              <w:t xml:space="preserve">ALP </w:t>
            </w:r>
            <w:r>
              <w:rPr>
                <w:sz w:val="22"/>
                <w:szCs w:val="22"/>
              </w:rPr>
              <w:t>S</w:t>
            </w:r>
            <w:r w:rsidRPr="00A01DEC">
              <w:rPr>
                <w:sz w:val="22"/>
                <w:szCs w:val="22"/>
              </w:rPr>
              <w:t>ample</w:t>
            </w:r>
          </w:p>
        </w:tc>
        <w:tc>
          <w:tcPr>
            <w:tcW w:w="571" w:type="pct"/>
            <w:vAlign w:val="center"/>
          </w:tcPr>
          <w:p w14:paraId="47D4C8EB" w14:textId="77777777" w:rsidR="0070428B" w:rsidRPr="00A01DEC" w:rsidRDefault="0070428B" w:rsidP="004231F6">
            <w:pPr>
              <w:spacing w:before="120" w:line="276" w:lineRule="auto"/>
              <w:jc w:val="center"/>
              <w:rPr>
                <w:sz w:val="22"/>
                <w:szCs w:val="22"/>
              </w:rPr>
            </w:pPr>
            <w:r w:rsidRPr="00A01DEC">
              <w:rPr>
                <w:sz w:val="22"/>
                <w:szCs w:val="22"/>
              </w:rPr>
              <w:t>1</w:t>
            </w:r>
          </w:p>
        </w:tc>
        <w:tc>
          <w:tcPr>
            <w:tcW w:w="634" w:type="pct"/>
            <w:vAlign w:val="center"/>
          </w:tcPr>
          <w:p w14:paraId="492CC486" w14:textId="77777777" w:rsidR="0070428B" w:rsidRPr="00A01DEC" w:rsidRDefault="0070428B" w:rsidP="004231F6">
            <w:pPr>
              <w:spacing w:before="120" w:line="276" w:lineRule="auto"/>
              <w:jc w:val="center"/>
              <w:rPr>
                <w:sz w:val="22"/>
                <w:szCs w:val="22"/>
              </w:rPr>
            </w:pPr>
            <w:r w:rsidRPr="00A01DEC">
              <w:rPr>
                <w:sz w:val="22"/>
                <w:szCs w:val="22"/>
              </w:rPr>
              <w:t>15</w:t>
            </w:r>
          </w:p>
        </w:tc>
        <w:tc>
          <w:tcPr>
            <w:tcW w:w="733" w:type="pct"/>
            <w:vAlign w:val="center"/>
          </w:tcPr>
          <w:p w14:paraId="557C2AC3" w14:textId="77777777" w:rsidR="0070428B" w:rsidRPr="00A01DEC" w:rsidRDefault="0070428B" w:rsidP="004231F6">
            <w:pPr>
              <w:spacing w:before="120" w:line="276" w:lineRule="auto"/>
              <w:jc w:val="center"/>
              <w:rPr>
                <w:sz w:val="22"/>
                <w:szCs w:val="22"/>
              </w:rPr>
            </w:pPr>
            <w:r>
              <w:rPr>
                <w:sz w:val="22"/>
                <w:szCs w:val="22"/>
              </w:rPr>
              <w:t>10.39</w:t>
            </w:r>
          </w:p>
        </w:tc>
        <w:tc>
          <w:tcPr>
            <w:tcW w:w="1096" w:type="pct"/>
            <w:vAlign w:val="center"/>
          </w:tcPr>
          <w:p w14:paraId="17814BC4" w14:textId="77777777" w:rsidR="0070428B" w:rsidRPr="00A01DEC" w:rsidRDefault="0070428B" w:rsidP="004231F6">
            <w:pPr>
              <w:spacing w:before="120" w:line="276" w:lineRule="auto"/>
              <w:jc w:val="center"/>
              <w:rPr>
                <w:sz w:val="22"/>
                <w:szCs w:val="22"/>
              </w:rPr>
            </w:pPr>
            <w:r w:rsidRPr="00A01DEC">
              <w:rPr>
                <w:sz w:val="22"/>
                <w:szCs w:val="22"/>
              </w:rPr>
              <w:t>0.080</w:t>
            </w:r>
          </w:p>
        </w:tc>
        <w:tc>
          <w:tcPr>
            <w:tcW w:w="633" w:type="pct"/>
            <w:vAlign w:val="center"/>
          </w:tcPr>
          <w:p w14:paraId="56445846" w14:textId="77777777" w:rsidR="0070428B" w:rsidRPr="00A01DEC" w:rsidRDefault="0070428B" w:rsidP="004231F6">
            <w:pPr>
              <w:spacing w:before="120" w:line="276" w:lineRule="auto"/>
              <w:jc w:val="center"/>
              <w:rPr>
                <w:sz w:val="22"/>
                <w:szCs w:val="22"/>
              </w:rPr>
            </w:pPr>
            <w:r>
              <w:rPr>
                <w:sz w:val="22"/>
                <w:szCs w:val="22"/>
              </w:rPr>
              <w:t>1.69</w:t>
            </w:r>
          </w:p>
        </w:tc>
      </w:tr>
      <w:tr w:rsidR="0070428B" w:rsidRPr="00A01DEC" w14:paraId="69CAED7F" w14:textId="77777777" w:rsidTr="0070428B">
        <w:tc>
          <w:tcPr>
            <w:tcW w:w="1333" w:type="pct"/>
            <w:vAlign w:val="center"/>
          </w:tcPr>
          <w:p w14:paraId="40CC8ADF" w14:textId="77777777" w:rsidR="0070428B" w:rsidRPr="00A01DEC" w:rsidRDefault="0070428B" w:rsidP="004231F6">
            <w:pPr>
              <w:spacing w:before="120" w:line="276" w:lineRule="auto"/>
              <w:jc w:val="center"/>
              <w:rPr>
                <w:sz w:val="22"/>
                <w:szCs w:val="22"/>
              </w:rPr>
            </w:pPr>
            <w:r w:rsidRPr="00A01DEC">
              <w:rPr>
                <w:sz w:val="22"/>
                <w:szCs w:val="22"/>
              </w:rPr>
              <w:t>Ref. Sample</w:t>
            </w:r>
          </w:p>
        </w:tc>
        <w:tc>
          <w:tcPr>
            <w:tcW w:w="571" w:type="pct"/>
            <w:vAlign w:val="center"/>
          </w:tcPr>
          <w:p w14:paraId="01F855D9" w14:textId="77777777" w:rsidR="0070428B" w:rsidRPr="00A01DEC" w:rsidRDefault="0070428B" w:rsidP="004231F6">
            <w:pPr>
              <w:spacing w:before="120" w:line="276" w:lineRule="auto"/>
              <w:jc w:val="center"/>
              <w:rPr>
                <w:sz w:val="22"/>
                <w:szCs w:val="22"/>
              </w:rPr>
            </w:pPr>
            <w:r w:rsidRPr="00A01DEC">
              <w:rPr>
                <w:sz w:val="22"/>
                <w:szCs w:val="22"/>
              </w:rPr>
              <w:t>1</w:t>
            </w:r>
          </w:p>
        </w:tc>
        <w:tc>
          <w:tcPr>
            <w:tcW w:w="634" w:type="pct"/>
            <w:vAlign w:val="center"/>
          </w:tcPr>
          <w:p w14:paraId="2F02083A" w14:textId="77777777" w:rsidR="0070428B" w:rsidRPr="00A01DEC" w:rsidRDefault="0070428B" w:rsidP="004231F6">
            <w:pPr>
              <w:spacing w:before="120" w:line="276" w:lineRule="auto"/>
              <w:jc w:val="center"/>
              <w:rPr>
                <w:sz w:val="22"/>
                <w:szCs w:val="22"/>
              </w:rPr>
            </w:pPr>
            <w:r w:rsidRPr="00A01DEC">
              <w:rPr>
                <w:sz w:val="22"/>
                <w:szCs w:val="22"/>
              </w:rPr>
              <w:t>15</w:t>
            </w:r>
          </w:p>
        </w:tc>
        <w:tc>
          <w:tcPr>
            <w:tcW w:w="733" w:type="pct"/>
            <w:vAlign w:val="center"/>
          </w:tcPr>
          <w:p w14:paraId="7C025ADB" w14:textId="77777777" w:rsidR="0070428B" w:rsidRPr="00A01DEC" w:rsidRDefault="0070428B" w:rsidP="004231F6">
            <w:pPr>
              <w:spacing w:before="120" w:line="276" w:lineRule="auto"/>
              <w:jc w:val="center"/>
              <w:rPr>
                <w:sz w:val="22"/>
                <w:szCs w:val="22"/>
              </w:rPr>
            </w:pPr>
            <w:r w:rsidRPr="00A01DEC">
              <w:rPr>
                <w:sz w:val="22"/>
                <w:szCs w:val="22"/>
              </w:rPr>
              <w:t>10.37</w:t>
            </w:r>
          </w:p>
        </w:tc>
        <w:tc>
          <w:tcPr>
            <w:tcW w:w="1096" w:type="pct"/>
            <w:vAlign w:val="center"/>
          </w:tcPr>
          <w:p w14:paraId="016486D6" w14:textId="77777777" w:rsidR="0070428B" w:rsidRPr="00A01DEC" w:rsidRDefault="0070428B" w:rsidP="004231F6">
            <w:pPr>
              <w:spacing w:before="120" w:line="276" w:lineRule="auto"/>
              <w:jc w:val="center"/>
              <w:rPr>
                <w:sz w:val="22"/>
                <w:szCs w:val="22"/>
              </w:rPr>
            </w:pPr>
            <w:r>
              <w:rPr>
                <w:sz w:val="22"/>
                <w:szCs w:val="22"/>
              </w:rPr>
              <w:t>0.1</w:t>
            </w:r>
            <w:r w:rsidRPr="00A01DEC">
              <w:rPr>
                <w:sz w:val="22"/>
                <w:szCs w:val="22"/>
              </w:rPr>
              <w:t>0</w:t>
            </w:r>
            <w:r>
              <w:rPr>
                <w:sz w:val="22"/>
                <w:szCs w:val="22"/>
              </w:rPr>
              <w:t>7</w:t>
            </w:r>
          </w:p>
        </w:tc>
        <w:tc>
          <w:tcPr>
            <w:tcW w:w="633" w:type="pct"/>
            <w:vAlign w:val="center"/>
          </w:tcPr>
          <w:p w14:paraId="08957C37" w14:textId="77777777" w:rsidR="0070428B" w:rsidRPr="00A01DEC" w:rsidRDefault="0070428B" w:rsidP="004231F6">
            <w:pPr>
              <w:spacing w:before="120" w:line="276" w:lineRule="auto"/>
              <w:jc w:val="center"/>
              <w:rPr>
                <w:sz w:val="22"/>
                <w:szCs w:val="22"/>
              </w:rPr>
            </w:pPr>
            <w:r>
              <w:rPr>
                <w:sz w:val="22"/>
                <w:szCs w:val="22"/>
              </w:rPr>
              <w:t>2.14</w:t>
            </w:r>
          </w:p>
        </w:tc>
      </w:tr>
    </w:tbl>
    <w:p w14:paraId="29060A3A" w14:textId="77777777" w:rsidR="00B46459" w:rsidRDefault="00B46459" w:rsidP="004231F6">
      <w:pPr>
        <w:jc w:val="both"/>
        <w:rPr>
          <w:sz w:val="16"/>
          <w:szCs w:val="16"/>
        </w:rPr>
      </w:pPr>
      <w:r w:rsidRPr="00B46459">
        <w:rPr>
          <w:sz w:val="16"/>
          <w:szCs w:val="16"/>
        </w:rPr>
        <w:t>Note:</w:t>
      </w:r>
    </w:p>
    <w:p w14:paraId="67C31036" w14:textId="77777777" w:rsidR="00B46459" w:rsidRPr="00B46459" w:rsidRDefault="00B46459" w:rsidP="004231F6">
      <w:pPr>
        <w:jc w:val="both"/>
        <w:rPr>
          <w:sz w:val="12"/>
          <w:szCs w:val="12"/>
        </w:rPr>
      </w:pPr>
      <w:r w:rsidRPr="00B46459">
        <w:rPr>
          <w:sz w:val="12"/>
          <w:szCs w:val="12"/>
        </w:rPr>
        <w:t xml:space="preserve">*Top-coded to match the CPS. Specifically, 80 means 80-84 and 85 </w:t>
      </w:r>
      <w:proofErr w:type="gramStart"/>
      <w:r w:rsidRPr="00B46459">
        <w:rPr>
          <w:sz w:val="12"/>
          <w:szCs w:val="12"/>
        </w:rPr>
        <w:t>means</w:t>
      </w:r>
      <w:proofErr w:type="gramEnd"/>
      <w:r w:rsidRPr="00B46459">
        <w:rPr>
          <w:sz w:val="12"/>
          <w:szCs w:val="12"/>
        </w:rPr>
        <w:t xml:space="preserve"> 85+.  </w:t>
      </w:r>
    </w:p>
    <w:p w14:paraId="4151C9D9" w14:textId="77777777" w:rsidR="00B46459" w:rsidRPr="00B46459" w:rsidRDefault="00B46459" w:rsidP="004231F6">
      <w:pPr>
        <w:jc w:val="both"/>
        <w:rPr>
          <w:sz w:val="12"/>
          <w:szCs w:val="12"/>
        </w:rPr>
      </w:pPr>
      <w:r w:rsidRPr="00B46459">
        <w:rPr>
          <w:sz w:val="12"/>
          <w:szCs w:val="12"/>
        </w:rPr>
        <w:t xml:space="preserve">**Education categories Less than 1st grade, 1;1st,2nd,3rd,or 4th grade, 2; 5th or 6th grade, 3; 7th or 8th grade, 4; 9th grade, 5; 10th grade, 6; 11th grade, 7; 12th grade NO DIPLOMA, 8; High school DIPLOMA or the equivalent (For example: GED), 9; Some college but no degree, 10; Associate degree in college Occupational/vocational program, 11; Associate degree in college Academic program, 12 ; Bachelor's degree (For example: BA,AB,BS), 13; Master's degree (For example: </w:t>
      </w:r>
      <w:proofErr w:type="spellStart"/>
      <w:r w:rsidRPr="00B46459">
        <w:rPr>
          <w:sz w:val="12"/>
          <w:szCs w:val="12"/>
        </w:rPr>
        <w:t>MA,MS,MEng,MEd,MSW,MBA</w:t>
      </w:r>
      <w:proofErr w:type="spellEnd"/>
      <w:r w:rsidRPr="00B46459">
        <w:rPr>
          <w:sz w:val="12"/>
          <w:szCs w:val="12"/>
        </w:rPr>
        <w:t xml:space="preserve">), 14; Professional School Degree (For example: MD,DDS,DVM,LLB,JD), 15 Doctorate degree (For example: </w:t>
      </w:r>
      <w:proofErr w:type="spellStart"/>
      <w:r w:rsidRPr="00B46459">
        <w:rPr>
          <w:sz w:val="12"/>
          <w:szCs w:val="12"/>
        </w:rPr>
        <w:t>PhD,EdD</w:t>
      </w:r>
      <w:proofErr w:type="spellEnd"/>
      <w:r w:rsidRPr="00B46459">
        <w:rPr>
          <w:sz w:val="12"/>
          <w:szCs w:val="12"/>
        </w:rPr>
        <w:t>), 16.</w:t>
      </w:r>
    </w:p>
    <w:p w14:paraId="79B968B0" w14:textId="77777777" w:rsidR="004231F6" w:rsidRPr="00B46459" w:rsidRDefault="00B46459" w:rsidP="004231F6">
      <w:pPr>
        <w:jc w:val="both"/>
        <w:rPr>
          <w:sz w:val="12"/>
          <w:szCs w:val="12"/>
        </w:rPr>
      </w:pPr>
      <w:r w:rsidRPr="00B46459">
        <w:rPr>
          <w:sz w:val="12"/>
          <w:szCs w:val="12"/>
        </w:rPr>
        <w:t>***Income categories: Less than $5,000, 1; $5,000 to $7,499, 2; $7,500 to $9,999, 3; $10,000 to $12,499, 4; $12,500 to $14,999, 5;$15,000 to $19,999, 6;$20,000 to $24,999, 7;$25,000 to $29,999, 8;$30,000 to $34,999, 9;$35,000 to $39,999, 10;$40,000 to $49,999, 11;$50,000 to $59,999, 12;$60,000 to $74,999, 13;$75,000 to $99,999, 14;$100,000 or more, 15</w:t>
      </w:r>
    </w:p>
    <w:p w14:paraId="58F2267D" w14:textId="77777777" w:rsidR="004231F6" w:rsidRPr="00B46459" w:rsidRDefault="004231F6" w:rsidP="004231F6">
      <w:pPr>
        <w:jc w:val="both"/>
        <w:rPr>
          <w:sz w:val="16"/>
          <w:szCs w:val="16"/>
        </w:rPr>
      </w:pPr>
    </w:p>
    <w:p w14:paraId="5CBB81AB" w14:textId="77777777" w:rsidR="004231F6" w:rsidRDefault="004231F6" w:rsidP="004231F6">
      <w:pPr>
        <w:jc w:val="both"/>
        <w:rPr>
          <w:sz w:val="22"/>
          <w:szCs w:val="22"/>
        </w:rPr>
      </w:pPr>
    </w:p>
    <w:p w14:paraId="206A6B6B" w14:textId="77777777" w:rsidR="004231F6" w:rsidRDefault="004231F6" w:rsidP="004231F6">
      <w:pPr>
        <w:jc w:val="both"/>
        <w:rPr>
          <w:sz w:val="22"/>
          <w:szCs w:val="22"/>
        </w:rPr>
      </w:pPr>
      <w:r w:rsidRPr="00651AB8">
        <w:rPr>
          <w:sz w:val="22"/>
          <w:szCs w:val="22"/>
        </w:rPr>
        <w:t xml:space="preserve">In Tables </w:t>
      </w:r>
      <w:r>
        <w:rPr>
          <w:sz w:val="22"/>
          <w:szCs w:val="22"/>
        </w:rPr>
        <w:t>B.8</w:t>
      </w:r>
      <w:r w:rsidRPr="00651AB8">
        <w:rPr>
          <w:sz w:val="22"/>
          <w:szCs w:val="22"/>
        </w:rPr>
        <w:t xml:space="preserve"> and </w:t>
      </w:r>
      <w:r>
        <w:rPr>
          <w:sz w:val="22"/>
          <w:szCs w:val="22"/>
        </w:rPr>
        <w:t>B.9</w:t>
      </w:r>
      <w:r w:rsidRPr="00651AB8">
        <w:rPr>
          <w:sz w:val="22"/>
          <w:szCs w:val="22"/>
        </w:rPr>
        <w:t xml:space="preserve">, we </w:t>
      </w:r>
      <w:r>
        <w:rPr>
          <w:sz w:val="22"/>
          <w:szCs w:val="22"/>
        </w:rPr>
        <w:t>assess the extent to which sample weights correct for over- or under-representation of strata by comparing</w:t>
      </w:r>
      <w:r w:rsidRPr="00651AB8">
        <w:rPr>
          <w:sz w:val="22"/>
          <w:szCs w:val="22"/>
        </w:rPr>
        <w:t xml:space="preserve"> weighted distributions in the reference sample with those in the CPS. For this purpose, we form strata by interacting gender, age, working status, and income. The chosen combinations are different from those used to generate sample weights because they feature 1) working status (which is not used in the weighting procedure) and 2) age and income categories based on the quartiles of the 2011 CPS age and income distributions, respectively. This approach should increase the power of the test. The results show a satisfactory alignment of the proportions across strata, once sample weights are applied. </w:t>
      </w:r>
    </w:p>
    <w:p w14:paraId="2DA7A9BC" w14:textId="77777777" w:rsidR="0070428B" w:rsidRDefault="0070428B" w:rsidP="0070428B">
      <w:pPr>
        <w:jc w:val="both"/>
        <w:rPr>
          <w:sz w:val="22"/>
          <w:szCs w:val="22"/>
        </w:rPr>
      </w:pPr>
    </w:p>
    <w:p w14:paraId="14275E2D" w14:textId="77777777" w:rsidR="0070428B" w:rsidRDefault="0070428B" w:rsidP="0070428B">
      <w:pPr>
        <w:jc w:val="both"/>
        <w:rPr>
          <w:sz w:val="22"/>
          <w:szCs w:val="22"/>
        </w:rPr>
      </w:pPr>
    </w:p>
    <w:p w14:paraId="4554A5C3" w14:textId="77777777" w:rsidR="0070428B" w:rsidRPr="00651AB8" w:rsidRDefault="0070428B" w:rsidP="0070428B">
      <w:pPr>
        <w:jc w:val="both"/>
        <w:rPr>
          <w:b/>
          <w:sz w:val="22"/>
          <w:szCs w:val="22"/>
        </w:rPr>
      </w:pPr>
      <w:r w:rsidRPr="00651AB8">
        <w:rPr>
          <w:b/>
          <w:sz w:val="22"/>
          <w:szCs w:val="22"/>
        </w:rPr>
        <w:t>Table B.</w:t>
      </w:r>
      <w:r w:rsidR="00756814">
        <w:rPr>
          <w:b/>
          <w:sz w:val="22"/>
          <w:szCs w:val="22"/>
        </w:rPr>
        <w:t>8</w:t>
      </w:r>
      <w:r w:rsidRPr="00651AB8">
        <w:rPr>
          <w:b/>
          <w:sz w:val="22"/>
          <w:szCs w:val="22"/>
        </w:rPr>
        <w:t xml:space="preserve">: </w:t>
      </w:r>
      <w:r w:rsidR="00AA50F4">
        <w:rPr>
          <w:sz w:val="22"/>
          <w:szCs w:val="22"/>
        </w:rPr>
        <w:t>Gender x Working Status x Income Distribution:</w:t>
      </w:r>
      <w:r>
        <w:rPr>
          <w:sz w:val="22"/>
          <w:szCs w:val="22"/>
        </w:rPr>
        <w:t xml:space="preserve"> CPS vs. Weighted Reference Sample</w:t>
      </w:r>
    </w:p>
    <w:tbl>
      <w:tblPr>
        <w:tblStyle w:val="TableGrid"/>
        <w:tblW w:w="0" w:type="auto"/>
        <w:tblLook w:val="04A0" w:firstRow="1" w:lastRow="0" w:firstColumn="1" w:lastColumn="0" w:noHBand="0" w:noVBand="1"/>
      </w:tblPr>
      <w:tblGrid>
        <w:gridCol w:w="999"/>
        <w:gridCol w:w="925"/>
        <w:gridCol w:w="1702"/>
        <w:gridCol w:w="1824"/>
        <w:gridCol w:w="711"/>
        <w:gridCol w:w="1830"/>
        <w:gridCol w:w="1585"/>
      </w:tblGrid>
      <w:tr w:rsidR="0070428B" w:rsidRPr="004231F6" w14:paraId="71323E84" w14:textId="77777777" w:rsidTr="0070428B">
        <w:trPr>
          <w:trHeight w:val="300"/>
        </w:trPr>
        <w:tc>
          <w:tcPr>
            <w:tcW w:w="0" w:type="auto"/>
            <w:noWrap/>
            <w:vAlign w:val="center"/>
            <w:hideMark/>
          </w:tcPr>
          <w:p w14:paraId="5B67F345" w14:textId="77777777" w:rsidR="0070428B" w:rsidRPr="00AA50F4" w:rsidRDefault="0070428B" w:rsidP="004231F6">
            <w:pPr>
              <w:widowControl/>
              <w:autoSpaceDE/>
              <w:autoSpaceDN/>
              <w:adjustRightInd/>
              <w:spacing w:line="480" w:lineRule="auto"/>
              <w:jc w:val="center"/>
              <w:rPr>
                <w:b/>
                <w:bCs/>
                <w:color w:val="000000"/>
                <w:sz w:val="22"/>
                <w:szCs w:val="22"/>
              </w:rPr>
            </w:pPr>
            <w:r w:rsidRPr="00AA50F4">
              <w:rPr>
                <w:b/>
                <w:bCs/>
                <w:color w:val="000000"/>
                <w:sz w:val="22"/>
                <w:szCs w:val="22"/>
              </w:rPr>
              <w:t>Stratum</w:t>
            </w:r>
          </w:p>
        </w:tc>
        <w:tc>
          <w:tcPr>
            <w:tcW w:w="0" w:type="auto"/>
            <w:noWrap/>
            <w:vAlign w:val="center"/>
            <w:hideMark/>
          </w:tcPr>
          <w:p w14:paraId="3DEC7835" w14:textId="77777777" w:rsidR="0070428B" w:rsidRPr="00AA50F4" w:rsidRDefault="0070428B" w:rsidP="004231F6">
            <w:pPr>
              <w:widowControl/>
              <w:autoSpaceDE/>
              <w:autoSpaceDN/>
              <w:adjustRightInd/>
              <w:spacing w:line="480" w:lineRule="auto"/>
              <w:jc w:val="center"/>
              <w:rPr>
                <w:b/>
                <w:bCs/>
                <w:color w:val="000000"/>
                <w:sz w:val="22"/>
                <w:szCs w:val="22"/>
              </w:rPr>
            </w:pPr>
            <w:r w:rsidRPr="00AA50F4">
              <w:rPr>
                <w:b/>
                <w:bCs/>
                <w:color w:val="000000"/>
                <w:sz w:val="22"/>
                <w:szCs w:val="22"/>
              </w:rPr>
              <w:t>Gender</w:t>
            </w:r>
          </w:p>
        </w:tc>
        <w:tc>
          <w:tcPr>
            <w:tcW w:w="0" w:type="auto"/>
            <w:noWrap/>
            <w:vAlign w:val="center"/>
            <w:hideMark/>
          </w:tcPr>
          <w:p w14:paraId="33CC5070" w14:textId="77777777" w:rsidR="0070428B" w:rsidRPr="00AA50F4" w:rsidRDefault="0070428B" w:rsidP="004231F6">
            <w:pPr>
              <w:widowControl/>
              <w:autoSpaceDE/>
              <w:autoSpaceDN/>
              <w:adjustRightInd/>
              <w:spacing w:line="480" w:lineRule="auto"/>
              <w:jc w:val="center"/>
              <w:rPr>
                <w:b/>
                <w:bCs/>
                <w:color w:val="000000"/>
                <w:sz w:val="22"/>
                <w:szCs w:val="22"/>
              </w:rPr>
            </w:pPr>
            <w:r w:rsidRPr="00AA50F4">
              <w:rPr>
                <w:b/>
                <w:bCs/>
                <w:color w:val="000000"/>
                <w:sz w:val="22"/>
                <w:szCs w:val="22"/>
              </w:rPr>
              <w:t>Working Status</w:t>
            </w:r>
          </w:p>
        </w:tc>
        <w:tc>
          <w:tcPr>
            <w:tcW w:w="0" w:type="auto"/>
            <w:noWrap/>
            <w:vAlign w:val="center"/>
            <w:hideMark/>
          </w:tcPr>
          <w:p w14:paraId="4036A198" w14:textId="77777777" w:rsidR="0070428B" w:rsidRPr="00AA50F4" w:rsidRDefault="0070428B" w:rsidP="004231F6">
            <w:pPr>
              <w:widowControl/>
              <w:autoSpaceDE/>
              <w:autoSpaceDN/>
              <w:adjustRightInd/>
              <w:spacing w:line="480" w:lineRule="auto"/>
              <w:jc w:val="center"/>
              <w:rPr>
                <w:b/>
                <w:bCs/>
                <w:color w:val="000000"/>
                <w:sz w:val="22"/>
                <w:szCs w:val="22"/>
              </w:rPr>
            </w:pPr>
            <w:r w:rsidRPr="00AA50F4">
              <w:rPr>
                <w:b/>
                <w:bCs/>
                <w:color w:val="000000"/>
                <w:sz w:val="22"/>
                <w:szCs w:val="22"/>
              </w:rPr>
              <w:t>Income Bracket</w:t>
            </w:r>
          </w:p>
        </w:tc>
        <w:tc>
          <w:tcPr>
            <w:tcW w:w="0" w:type="auto"/>
            <w:vAlign w:val="center"/>
          </w:tcPr>
          <w:p w14:paraId="0AE213F2" w14:textId="77777777" w:rsidR="0070428B" w:rsidRPr="004231F6" w:rsidRDefault="0070428B" w:rsidP="004231F6">
            <w:pPr>
              <w:widowControl/>
              <w:autoSpaceDE/>
              <w:autoSpaceDN/>
              <w:adjustRightInd/>
              <w:spacing w:line="480" w:lineRule="auto"/>
              <w:jc w:val="center"/>
              <w:rPr>
                <w:b/>
                <w:bCs/>
                <w:color w:val="000000"/>
                <w:sz w:val="22"/>
                <w:szCs w:val="22"/>
              </w:rPr>
            </w:pPr>
            <w:r w:rsidRPr="00AA50F4">
              <w:rPr>
                <w:b/>
                <w:bCs/>
                <w:color w:val="000000"/>
                <w:sz w:val="22"/>
                <w:szCs w:val="22"/>
              </w:rPr>
              <w:t>CPS</w:t>
            </w:r>
          </w:p>
        </w:tc>
        <w:tc>
          <w:tcPr>
            <w:tcW w:w="0" w:type="auto"/>
            <w:vAlign w:val="center"/>
          </w:tcPr>
          <w:p w14:paraId="1E23E895" w14:textId="77777777" w:rsidR="0070428B" w:rsidRPr="004231F6" w:rsidRDefault="0070428B" w:rsidP="004231F6">
            <w:pPr>
              <w:widowControl/>
              <w:autoSpaceDE/>
              <w:autoSpaceDN/>
              <w:adjustRightInd/>
              <w:spacing w:line="480" w:lineRule="auto"/>
              <w:jc w:val="center"/>
              <w:rPr>
                <w:b/>
                <w:bCs/>
                <w:color w:val="000000"/>
                <w:sz w:val="22"/>
                <w:szCs w:val="22"/>
              </w:rPr>
            </w:pPr>
            <w:r w:rsidRPr="004231F6">
              <w:rPr>
                <w:b/>
                <w:bCs/>
                <w:color w:val="000000"/>
                <w:sz w:val="22"/>
                <w:szCs w:val="22"/>
              </w:rPr>
              <w:t>Ref. Sample (</w:t>
            </w:r>
            <w:proofErr w:type="spellStart"/>
            <w:r w:rsidRPr="004231F6">
              <w:rPr>
                <w:b/>
                <w:bCs/>
                <w:color w:val="000000"/>
                <w:sz w:val="22"/>
                <w:szCs w:val="22"/>
              </w:rPr>
              <w:t>unweighted</w:t>
            </w:r>
            <w:proofErr w:type="spellEnd"/>
            <w:r w:rsidRPr="004231F6">
              <w:rPr>
                <w:b/>
                <w:bCs/>
                <w:color w:val="000000"/>
                <w:sz w:val="22"/>
                <w:szCs w:val="22"/>
              </w:rPr>
              <w:t>)</w:t>
            </w:r>
          </w:p>
        </w:tc>
        <w:tc>
          <w:tcPr>
            <w:tcW w:w="0" w:type="auto"/>
            <w:vAlign w:val="center"/>
          </w:tcPr>
          <w:p w14:paraId="629E6269" w14:textId="77777777" w:rsidR="0070428B" w:rsidRPr="004231F6" w:rsidRDefault="0070428B" w:rsidP="004231F6">
            <w:pPr>
              <w:widowControl/>
              <w:autoSpaceDE/>
              <w:autoSpaceDN/>
              <w:adjustRightInd/>
              <w:spacing w:line="480" w:lineRule="auto"/>
              <w:jc w:val="center"/>
              <w:rPr>
                <w:b/>
                <w:bCs/>
                <w:color w:val="000000"/>
                <w:sz w:val="22"/>
                <w:szCs w:val="22"/>
              </w:rPr>
            </w:pPr>
            <w:r w:rsidRPr="004231F6">
              <w:rPr>
                <w:b/>
                <w:bCs/>
                <w:color w:val="000000"/>
                <w:sz w:val="22"/>
                <w:szCs w:val="22"/>
              </w:rPr>
              <w:t>Ref. Sample (weighted)</w:t>
            </w:r>
          </w:p>
        </w:tc>
      </w:tr>
      <w:tr w:rsidR="0070428B" w:rsidRPr="004231F6" w14:paraId="201C968F" w14:textId="77777777" w:rsidTr="0070428B">
        <w:trPr>
          <w:trHeight w:val="300"/>
        </w:trPr>
        <w:tc>
          <w:tcPr>
            <w:tcW w:w="0" w:type="auto"/>
            <w:noWrap/>
            <w:hideMark/>
          </w:tcPr>
          <w:p w14:paraId="2F954F21"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w:t>
            </w:r>
          </w:p>
        </w:tc>
        <w:tc>
          <w:tcPr>
            <w:tcW w:w="0" w:type="auto"/>
            <w:noWrap/>
            <w:hideMark/>
          </w:tcPr>
          <w:p w14:paraId="0E09848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1E2DD2DC"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5EFF1504"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Less than $30,000</w:t>
            </w:r>
          </w:p>
        </w:tc>
        <w:tc>
          <w:tcPr>
            <w:tcW w:w="0" w:type="auto"/>
            <w:vAlign w:val="bottom"/>
          </w:tcPr>
          <w:p w14:paraId="7AD62526"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5.79</w:t>
            </w:r>
          </w:p>
        </w:tc>
        <w:tc>
          <w:tcPr>
            <w:tcW w:w="0" w:type="auto"/>
            <w:vAlign w:val="bottom"/>
          </w:tcPr>
          <w:p w14:paraId="045C15D3"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3.92</w:t>
            </w:r>
          </w:p>
        </w:tc>
        <w:tc>
          <w:tcPr>
            <w:tcW w:w="0" w:type="auto"/>
            <w:vAlign w:val="bottom"/>
          </w:tcPr>
          <w:p w14:paraId="5BBDEC3C"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6.11</w:t>
            </w:r>
          </w:p>
        </w:tc>
      </w:tr>
      <w:tr w:rsidR="0070428B" w:rsidRPr="004231F6" w14:paraId="0367280E" w14:textId="77777777" w:rsidTr="0070428B">
        <w:trPr>
          <w:trHeight w:val="300"/>
        </w:trPr>
        <w:tc>
          <w:tcPr>
            <w:tcW w:w="0" w:type="auto"/>
            <w:noWrap/>
            <w:hideMark/>
          </w:tcPr>
          <w:p w14:paraId="03C8C0D9"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2</w:t>
            </w:r>
          </w:p>
        </w:tc>
        <w:tc>
          <w:tcPr>
            <w:tcW w:w="0" w:type="auto"/>
            <w:noWrap/>
            <w:hideMark/>
          </w:tcPr>
          <w:p w14:paraId="479AF097"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1E0CADB2"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67703B29"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Less than $30,000</w:t>
            </w:r>
          </w:p>
        </w:tc>
        <w:tc>
          <w:tcPr>
            <w:tcW w:w="0" w:type="auto"/>
            <w:vAlign w:val="bottom"/>
          </w:tcPr>
          <w:p w14:paraId="579A8842"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5.68</w:t>
            </w:r>
          </w:p>
        </w:tc>
        <w:tc>
          <w:tcPr>
            <w:tcW w:w="0" w:type="auto"/>
            <w:vAlign w:val="bottom"/>
          </w:tcPr>
          <w:p w14:paraId="5E6A2930"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7.91</w:t>
            </w:r>
          </w:p>
        </w:tc>
        <w:tc>
          <w:tcPr>
            <w:tcW w:w="0" w:type="auto"/>
            <w:vAlign w:val="bottom"/>
          </w:tcPr>
          <w:p w14:paraId="29BAEEC8"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6.03</w:t>
            </w:r>
          </w:p>
        </w:tc>
      </w:tr>
      <w:tr w:rsidR="0070428B" w:rsidRPr="004231F6" w14:paraId="057A1F9A" w14:textId="77777777" w:rsidTr="0070428B">
        <w:trPr>
          <w:trHeight w:val="300"/>
        </w:trPr>
        <w:tc>
          <w:tcPr>
            <w:tcW w:w="0" w:type="auto"/>
            <w:noWrap/>
            <w:hideMark/>
          </w:tcPr>
          <w:p w14:paraId="277859CF"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3</w:t>
            </w:r>
          </w:p>
        </w:tc>
        <w:tc>
          <w:tcPr>
            <w:tcW w:w="0" w:type="auto"/>
            <w:noWrap/>
            <w:hideMark/>
          </w:tcPr>
          <w:p w14:paraId="4F1A20EE"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386E3649"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7725509A"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Less than $30,000</w:t>
            </w:r>
          </w:p>
        </w:tc>
        <w:tc>
          <w:tcPr>
            <w:tcW w:w="0" w:type="auto"/>
            <w:vAlign w:val="bottom"/>
          </w:tcPr>
          <w:p w14:paraId="6D922C16"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7.67</w:t>
            </w:r>
          </w:p>
        </w:tc>
        <w:tc>
          <w:tcPr>
            <w:tcW w:w="0" w:type="auto"/>
            <w:vAlign w:val="bottom"/>
          </w:tcPr>
          <w:p w14:paraId="1BB249D8"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6.81</w:t>
            </w:r>
          </w:p>
        </w:tc>
        <w:tc>
          <w:tcPr>
            <w:tcW w:w="0" w:type="auto"/>
            <w:vAlign w:val="bottom"/>
          </w:tcPr>
          <w:p w14:paraId="21C7B511"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8.21</w:t>
            </w:r>
          </w:p>
        </w:tc>
      </w:tr>
      <w:tr w:rsidR="0070428B" w:rsidRPr="004231F6" w14:paraId="7F8639D8" w14:textId="77777777" w:rsidTr="0070428B">
        <w:trPr>
          <w:trHeight w:val="300"/>
        </w:trPr>
        <w:tc>
          <w:tcPr>
            <w:tcW w:w="0" w:type="auto"/>
            <w:noWrap/>
            <w:hideMark/>
          </w:tcPr>
          <w:p w14:paraId="391B02EE"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4</w:t>
            </w:r>
          </w:p>
        </w:tc>
        <w:tc>
          <w:tcPr>
            <w:tcW w:w="0" w:type="auto"/>
            <w:noWrap/>
            <w:hideMark/>
          </w:tcPr>
          <w:p w14:paraId="5C4C2FD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71D41A9A"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710D7B6E"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Less than $30,000</w:t>
            </w:r>
          </w:p>
        </w:tc>
        <w:tc>
          <w:tcPr>
            <w:tcW w:w="0" w:type="auto"/>
            <w:vAlign w:val="bottom"/>
          </w:tcPr>
          <w:p w14:paraId="2D4523F9"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10.70</w:t>
            </w:r>
          </w:p>
        </w:tc>
        <w:tc>
          <w:tcPr>
            <w:tcW w:w="0" w:type="auto"/>
            <w:vAlign w:val="bottom"/>
          </w:tcPr>
          <w:p w14:paraId="5081C86B"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11.65</w:t>
            </w:r>
          </w:p>
        </w:tc>
        <w:tc>
          <w:tcPr>
            <w:tcW w:w="0" w:type="auto"/>
            <w:vAlign w:val="bottom"/>
          </w:tcPr>
          <w:p w14:paraId="1DF29D38"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10.5</w:t>
            </w:r>
          </w:p>
        </w:tc>
      </w:tr>
      <w:tr w:rsidR="0070428B" w:rsidRPr="004231F6" w14:paraId="7A8E2EC8" w14:textId="77777777" w:rsidTr="0070428B">
        <w:trPr>
          <w:trHeight w:val="300"/>
        </w:trPr>
        <w:tc>
          <w:tcPr>
            <w:tcW w:w="0" w:type="auto"/>
            <w:noWrap/>
            <w:hideMark/>
          </w:tcPr>
          <w:p w14:paraId="5B65FEC4"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lastRenderedPageBreak/>
              <w:t>5</w:t>
            </w:r>
          </w:p>
        </w:tc>
        <w:tc>
          <w:tcPr>
            <w:tcW w:w="0" w:type="auto"/>
            <w:noWrap/>
            <w:hideMark/>
          </w:tcPr>
          <w:p w14:paraId="72EB833C"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5016936D"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0D22958A"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$30,000-$59,999</w:t>
            </w:r>
          </w:p>
        </w:tc>
        <w:tc>
          <w:tcPr>
            <w:tcW w:w="0" w:type="auto"/>
            <w:vAlign w:val="bottom"/>
          </w:tcPr>
          <w:p w14:paraId="02CF99EA"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8.96</w:t>
            </w:r>
          </w:p>
        </w:tc>
        <w:tc>
          <w:tcPr>
            <w:tcW w:w="0" w:type="auto"/>
            <w:vAlign w:val="bottom"/>
          </w:tcPr>
          <w:p w14:paraId="7150641F"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7.42</w:t>
            </w:r>
          </w:p>
        </w:tc>
        <w:tc>
          <w:tcPr>
            <w:tcW w:w="0" w:type="auto"/>
            <w:vAlign w:val="bottom"/>
          </w:tcPr>
          <w:p w14:paraId="341DE95C"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8.56</w:t>
            </w:r>
          </w:p>
        </w:tc>
      </w:tr>
      <w:tr w:rsidR="0070428B" w:rsidRPr="004231F6" w14:paraId="65920B9B" w14:textId="77777777" w:rsidTr="0070428B">
        <w:trPr>
          <w:trHeight w:val="300"/>
        </w:trPr>
        <w:tc>
          <w:tcPr>
            <w:tcW w:w="0" w:type="auto"/>
            <w:noWrap/>
            <w:hideMark/>
          </w:tcPr>
          <w:p w14:paraId="3BA5AFFC"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6</w:t>
            </w:r>
          </w:p>
        </w:tc>
        <w:tc>
          <w:tcPr>
            <w:tcW w:w="0" w:type="auto"/>
            <w:noWrap/>
            <w:hideMark/>
          </w:tcPr>
          <w:p w14:paraId="5E5D1DCD"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354D37B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6E5F0CB8"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$30,000-$59,999</w:t>
            </w:r>
          </w:p>
        </w:tc>
        <w:tc>
          <w:tcPr>
            <w:tcW w:w="0" w:type="auto"/>
            <w:vAlign w:val="bottom"/>
          </w:tcPr>
          <w:p w14:paraId="4F77D33F"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8.24</w:t>
            </w:r>
          </w:p>
        </w:tc>
        <w:tc>
          <w:tcPr>
            <w:tcW w:w="0" w:type="auto"/>
            <w:vAlign w:val="bottom"/>
          </w:tcPr>
          <w:p w14:paraId="42F00103"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11.53</w:t>
            </w:r>
          </w:p>
        </w:tc>
        <w:tc>
          <w:tcPr>
            <w:tcW w:w="0" w:type="auto"/>
            <w:vAlign w:val="bottom"/>
          </w:tcPr>
          <w:p w14:paraId="0C63A3DD"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8.13</w:t>
            </w:r>
          </w:p>
        </w:tc>
      </w:tr>
      <w:tr w:rsidR="0070428B" w:rsidRPr="004231F6" w14:paraId="4CDBEB87" w14:textId="77777777" w:rsidTr="0070428B">
        <w:trPr>
          <w:trHeight w:val="300"/>
        </w:trPr>
        <w:tc>
          <w:tcPr>
            <w:tcW w:w="0" w:type="auto"/>
            <w:noWrap/>
            <w:hideMark/>
          </w:tcPr>
          <w:p w14:paraId="2ED42D99"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7</w:t>
            </w:r>
          </w:p>
        </w:tc>
        <w:tc>
          <w:tcPr>
            <w:tcW w:w="0" w:type="auto"/>
            <w:noWrap/>
            <w:hideMark/>
          </w:tcPr>
          <w:p w14:paraId="1CE61CD4"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42ECA71D"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0BD3E2EC"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$30,000-$59,999</w:t>
            </w:r>
          </w:p>
        </w:tc>
        <w:tc>
          <w:tcPr>
            <w:tcW w:w="0" w:type="auto"/>
            <w:vAlign w:val="bottom"/>
          </w:tcPr>
          <w:p w14:paraId="5AB533FA"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5.31</w:t>
            </w:r>
          </w:p>
        </w:tc>
        <w:tc>
          <w:tcPr>
            <w:tcW w:w="0" w:type="auto"/>
            <w:vAlign w:val="bottom"/>
          </w:tcPr>
          <w:p w14:paraId="7497D928"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4.54</w:t>
            </w:r>
          </w:p>
        </w:tc>
        <w:tc>
          <w:tcPr>
            <w:tcW w:w="0" w:type="auto"/>
            <w:vAlign w:val="bottom"/>
          </w:tcPr>
          <w:p w14:paraId="0072BD7C"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4.85</w:t>
            </w:r>
          </w:p>
        </w:tc>
      </w:tr>
      <w:tr w:rsidR="0070428B" w:rsidRPr="004231F6" w14:paraId="0608E914" w14:textId="77777777" w:rsidTr="0070428B">
        <w:trPr>
          <w:trHeight w:val="300"/>
        </w:trPr>
        <w:tc>
          <w:tcPr>
            <w:tcW w:w="0" w:type="auto"/>
            <w:noWrap/>
            <w:hideMark/>
          </w:tcPr>
          <w:p w14:paraId="2BE77DB3"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8</w:t>
            </w:r>
          </w:p>
        </w:tc>
        <w:tc>
          <w:tcPr>
            <w:tcW w:w="0" w:type="auto"/>
            <w:noWrap/>
            <w:hideMark/>
          </w:tcPr>
          <w:p w14:paraId="6ACE114B"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7E7A5F35"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37A362ED"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$30,000-$59,999</w:t>
            </w:r>
          </w:p>
        </w:tc>
        <w:tc>
          <w:tcPr>
            <w:tcW w:w="0" w:type="auto"/>
            <w:vAlign w:val="bottom"/>
          </w:tcPr>
          <w:p w14:paraId="1216DC84"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6.78</w:t>
            </w:r>
          </w:p>
        </w:tc>
        <w:tc>
          <w:tcPr>
            <w:tcW w:w="0" w:type="auto"/>
            <w:vAlign w:val="bottom"/>
          </w:tcPr>
          <w:p w14:paraId="12167332"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6.71</w:t>
            </w:r>
          </w:p>
        </w:tc>
        <w:tc>
          <w:tcPr>
            <w:tcW w:w="0" w:type="auto"/>
            <w:vAlign w:val="bottom"/>
          </w:tcPr>
          <w:p w14:paraId="024E0455"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6.74</w:t>
            </w:r>
          </w:p>
        </w:tc>
      </w:tr>
      <w:tr w:rsidR="0070428B" w:rsidRPr="004231F6" w14:paraId="1F4C99E3" w14:textId="77777777" w:rsidTr="0070428B">
        <w:trPr>
          <w:trHeight w:val="300"/>
        </w:trPr>
        <w:tc>
          <w:tcPr>
            <w:tcW w:w="0" w:type="auto"/>
            <w:noWrap/>
            <w:hideMark/>
          </w:tcPr>
          <w:p w14:paraId="1EE2609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9</w:t>
            </w:r>
          </w:p>
        </w:tc>
        <w:tc>
          <w:tcPr>
            <w:tcW w:w="0" w:type="auto"/>
            <w:noWrap/>
            <w:hideMark/>
          </w:tcPr>
          <w:p w14:paraId="6DA02D6D"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34FBA27A"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3494E588"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$60,000-$99,999</w:t>
            </w:r>
          </w:p>
        </w:tc>
        <w:tc>
          <w:tcPr>
            <w:tcW w:w="0" w:type="auto"/>
            <w:vAlign w:val="bottom"/>
          </w:tcPr>
          <w:p w14:paraId="4F36699F"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8.35</w:t>
            </w:r>
          </w:p>
        </w:tc>
        <w:tc>
          <w:tcPr>
            <w:tcW w:w="0" w:type="auto"/>
            <w:vAlign w:val="bottom"/>
          </w:tcPr>
          <w:p w14:paraId="757EE315"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7.39</w:t>
            </w:r>
          </w:p>
        </w:tc>
        <w:tc>
          <w:tcPr>
            <w:tcW w:w="0" w:type="auto"/>
            <w:vAlign w:val="bottom"/>
          </w:tcPr>
          <w:p w14:paraId="1FDA932B"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9.12</w:t>
            </w:r>
          </w:p>
        </w:tc>
      </w:tr>
      <w:tr w:rsidR="0070428B" w:rsidRPr="004231F6" w14:paraId="71DA22F2" w14:textId="77777777" w:rsidTr="0070428B">
        <w:trPr>
          <w:trHeight w:val="300"/>
        </w:trPr>
        <w:tc>
          <w:tcPr>
            <w:tcW w:w="0" w:type="auto"/>
            <w:noWrap/>
            <w:hideMark/>
          </w:tcPr>
          <w:p w14:paraId="58B854F5"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10</w:t>
            </w:r>
          </w:p>
        </w:tc>
        <w:tc>
          <w:tcPr>
            <w:tcW w:w="0" w:type="auto"/>
            <w:noWrap/>
            <w:hideMark/>
          </w:tcPr>
          <w:p w14:paraId="32A01D63"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4394256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256B8A01"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$60,000-$99,999</w:t>
            </w:r>
          </w:p>
        </w:tc>
        <w:tc>
          <w:tcPr>
            <w:tcW w:w="0" w:type="auto"/>
            <w:vAlign w:val="bottom"/>
          </w:tcPr>
          <w:p w14:paraId="299A1AF0"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7.35</w:t>
            </w:r>
          </w:p>
        </w:tc>
        <w:tc>
          <w:tcPr>
            <w:tcW w:w="0" w:type="auto"/>
            <w:vAlign w:val="bottom"/>
          </w:tcPr>
          <w:p w14:paraId="1808231C"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8.74</w:t>
            </w:r>
          </w:p>
        </w:tc>
        <w:tc>
          <w:tcPr>
            <w:tcW w:w="0" w:type="auto"/>
            <w:vAlign w:val="bottom"/>
          </w:tcPr>
          <w:p w14:paraId="0B37AC50"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7.74</w:t>
            </w:r>
          </w:p>
        </w:tc>
      </w:tr>
      <w:tr w:rsidR="0070428B" w:rsidRPr="004231F6" w14:paraId="1785D167" w14:textId="77777777" w:rsidTr="0070428B">
        <w:trPr>
          <w:trHeight w:val="300"/>
        </w:trPr>
        <w:tc>
          <w:tcPr>
            <w:tcW w:w="0" w:type="auto"/>
            <w:noWrap/>
            <w:hideMark/>
          </w:tcPr>
          <w:p w14:paraId="587B8C5B"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11</w:t>
            </w:r>
          </w:p>
        </w:tc>
        <w:tc>
          <w:tcPr>
            <w:tcW w:w="0" w:type="auto"/>
            <w:noWrap/>
            <w:hideMark/>
          </w:tcPr>
          <w:p w14:paraId="16C47560"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09D7901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2DBF55EA"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$60,000-$99,999</w:t>
            </w:r>
          </w:p>
        </w:tc>
        <w:tc>
          <w:tcPr>
            <w:tcW w:w="0" w:type="auto"/>
            <w:vAlign w:val="bottom"/>
          </w:tcPr>
          <w:p w14:paraId="204FB525"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2.85</w:t>
            </w:r>
          </w:p>
        </w:tc>
        <w:tc>
          <w:tcPr>
            <w:tcW w:w="0" w:type="auto"/>
            <w:vAlign w:val="bottom"/>
          </w:tcPr>
          <w:p w14:paraId="2CE51CB1"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2.58</w:t>
            </w:r>
          </w:p>
        </w:tc>
        <w:tc>
          <w:tcPr>
            <w:tcW w:w="0" w:type="auto"/>
            <w:vAlign w:val="bottom"/>
          </w:tcPr>
          <w:p w14:paraId="6C8A7A61"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2.08</w:t>
            </w:r>
          </w:p>
        </w:tc>
      </w:tr>
      <w:tr w:rsidR="0070428B" w:rsidRPr="004231F6" w14:paraId="1C5FEC66" w14:textId="77777777" w:rsidTr="0070428B">
        <w:trPr>
          <w:trHeight w:val="300"/>
        </w:trPr>
        <w:tc>
          <w:tcPr>
            <w:tcW w:w="0" w:type="auto"/>
            <w:noWrap/>
            <w:hideMark/>
          </w:tcPr>
          <w:p w14:paraId="03BF2122"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12</w:t>
            </w:r>
          </w:p>
        </w:tc>
        <w:tc>
          <w:tcPr>
            <w:tcW w:w="0" w:type="auto"/>
            <w:noWrap/>
            <w:hideMark/>
          </w:tcPr>
          <w:p w14:paraId="5666B81E"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3DB23B87"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79A281B5"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$60,000-$99,999</w:t>
            </w:r>
          </w:p>
        </w:tc>
        <w:tc>
          <w:tcPr>
            <w:tcW w:w="0" w:type="auto"/>
            <w:vAlign w:val="bottom"/>
          </w:tcPr>
          <w:p w14:paraId="6A56EA86"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3.72</w:t>
            </w:r>
          </w:p>
        </w:tc>
        <w:tc>
          <w:tcPr>
            <w:tcW w:w="0" w:type="auto"/>
            <w:vAlign w:val="bottom"/>
          </w:tcPr>
          <w:p w14:paraId="236FF491"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3.46</w:t>
            </w:r>
          </w:p>
        </w:tc>
        <w:tc>
          <w:tcPr>
            <w:tcW w:w="0" w:type="auto"/>
            <w:vAlign w:val="bottom"/>
          </w:tcPr>
          <w:p w14:paraId="19062902"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3.33</w:t>
            </w:r>
          </w:p>
        </w:tc>
      </w:tr>
      <w:tr w:rsidR="0070428B" w:rsidRPr="004231F6" w14:paraId="2A34CA80" w14:textId="77777777" w:rsidTr="0070428B">
        <w:trPr>
          <w:trHeight w:val="300"/>
        </w:trPr>
        <w:tc>
          <w:tcPr>
            <w:tcW w:w="0" w:type="auto"/>
            <w:noWrap/>
            <w:hideMark/>
          </w:tcPr>
          <w:p w14:paraId="26FCC126"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13</w:t>
            </w:r>
          </w:p>
        </w:tc>
        <w:tc>
          <w:tcPr>
            <w:tcW w:w="0" w:type="auto"/>
            <w:noWrap/>
            <w:hideMark/>
          </w:tcPr>
          <w:p w14:paraId="498A9C35"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65976914"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7CA71D92"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$100,000+</w:t>
            </w:r>
          </w:p>
        </w:tc>
        <w:tc>
          <w:tcPr>
            <w:tcW w:w="0" w:type="auto"/>
            <w:vAlign w:val="bottom"/>
          </w:tcPr>
          <w:p w14:paraId="32266D2A"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7.66</w:t>
            </w:r>
          </w:p>
        </w:tc>
        <w:tc>
          <w:tcPr>
            <w:tcW w:w="0" w:type="auto"/>
            <w:vAlign w:val="bottom"/>
          </w:tcPr>
          <w:p w14:paraId="0736B94E"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6.68</w:t>
            </w:r>
          </w:p>
        </w:tc>
        <w:tc>
          <w:tcPr>
            <w:tcW w:w="0" w:type="auto"/>
            <w:vAlign w:val="bottom"/>
          </w:tcPr>
          <w:p w14:paraId="596F9F08"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8.16</w:t>
            </w:r>
          </w:p>
        </w:tc>
      </w:tr>
      <w:tr w:rsidR="0070428B" w:rsidRPr="004231F6" w14:paraId="398ABDB3" w14:textId="77777777" w:rsidTr="0070428B">
        <w:trPr>
          <w:trHeight w:val="300"/>
        </w:trPr>
        <w:tc>
          <w:tcPr>
            <w:tcW w:w="0" w:type="auto"/>
            <w:noWrap/>
            <w:hideMark/>
          </w:tcPr>
          <w:p w14:paraId="46496D1C"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14</w:t>
            </w:r>
          </w:p>
        </w:tc>
        <w:tc>
          <w:tcPr>
            <w:tcW w:w="0" w:type="auto"/>
            <w:noWrap/>
            <w:hideMark/>
          </w:tcPr>
          <w:p w14:paraId="09EBB87F"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33119423"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Working</w:t>
            </w:r>
          </w:p>
        </w:tc>
        <w:tc>
          <w:tcPr>
            <w:tcW w:w="0" w:type="auto"/>
            <w:noWrap/>
            <w:hideMark/>
          </w:tcPr>
          <w:p w14:paraId="446CDECD"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$100,000+</w:t>
            </w:r>
          </w:p>
        </w:tc>
        <w:tc>
          <w:tcPr>
            <w:tcW w:w="0" w:type="auto"/>
            <w:vAlign w:val="bottom"/>
          </w:tcPr>
          <w:p w14:paraId="1FAC4161"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6.25</w:t>
            </w:r>
          </w:p>
        </w:tc>
        <w:tc>
          <w:tcPr>
            <w:tcW w:w="0" w:type="auto"/>
            <w:vAlign w:val="bottom"/>
          </w:tcPr>
          <w:p w14:paraId="2E54F716"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6.68</w:t>
            </w:r>
          </w:p>
        </w:tc>
        <w:tc>
          <w:tcPr>
            <w:tcW w:w="0" w:type="auto"/>
            <w:vAlign w:val="bottom"/>
          </w:tcPr>
          <w:p w14:paraId="0C97E076"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6.30</w:t>
            </w:r>
          </w:p>
        </w:tc>
      </w:tr>
      <w:tr w:rsidR="0070428B" w:rsidRPr="004231F6" w14:paraId="11A624EA" w14:textId="77777777" w:rsidTr="0070428B">
        <w:trPr>
          <w:trHeight w:val="300"/>
        </w:trPr>
        <w:tc>
          <w:tcPr>
            <w:tcW w:w="0" w:type="auto"/>
            <w:noWrap/>
            <w:hideMark/>
          </w:tcPr>
          <w:p w14:paraId="1A9C43A9"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15</w:t>
            </w:r>
          </w:p>
        </w:tc>
        <w:tc>
          <w:tcPr>
            <w:tcW w:w="0" w:type="auto"/>
            <w:noWrap/>
            <w:hideMark/>
          </w:tcPr>
          <w:p w14:paraId="77DC76BE"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Male</w:t>
            </w:r>
          </w:p>
        </w:tc>
        <w:tc>
          <w:tcPr>
            <w:tcW w:w="0" w:type="auto"/>
            <w:noWrap/>
            <w:hideMark/>
          </w:tcPr>
          <w:p w14:paraId="5FC45ABF"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0ADA37D1"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$100,000+</w:t>
            </w:r>
          </w:p>
        </w:tc>
        <w:tc>
          <w:tcPr>
            <w:tcW w:w="0" w:type="auto"/>
            <w:vAlign w:val="bottom"/>
          </w:tcPr>
          <w:p w14:paraId="709C0C03"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1.82</w:t>
            </w:r>
          </w:p>
        </w:tc>
        <w:tc>
          <w:tcPr>
            <w:tcW w:w="0" w:type="auto"/>
            <w:vAlign w:val="bottom"/>
          </w:tcPr>
          <w:p w14:paraId="2D85CD0C"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1.59</w:t>
            </w:r>
          </w:p>
        </w:tc>
        <w:tc>
          <w:tcPr>
            <w:tcW w:w="0" w:type="auto"/>
            <w:vAlign w:val="bottom"/>
          </w:tcPr>
          <w:p w14:paraId="011805E0"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1.33</w:t>
            </w:r>
          </w:p>
        </w:tc>
      </w:tr>
      <w:tr w:rsidR="0070428B" w:rsidRPr="004231F6" w14:paraId="208E3A86" w14:textId="77777777" w:rsidTr="0070428B">
        <w:trPr>
          <w:trHeight w:val="300"/>
        </w:trPr>
        <w:tc>
          <w:tcPr>
            <w:tcW w:w="0" w:type="auto"/>
            <w:noWrap/>
            <w:hideMark/>
          </w:tcPr>
          <w:p w14:paraId="2DE2E3E0"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16</w:t>
            </w:r>
          </w:p>
        </w:tc>
        <w:tc>
          <w:tcPr>
            <w:tcW w:w="0" w:type="auto"/>
            <w:noWrap/>
            <w:hideMark/>
          </w:tcPr>
          <w:p w14:paraId="744CD68F"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Female</w:t>
            </w:r>
          </w:p>
        </w:tc>
        <w:tc>
          <w:tcPr>
            <w:tcW w:w="0" w:type="auto"/>
            <w:noWrap/>
            <w:hideMark/>
          </w:tcPr>
          <w:p w14:paraId="42D02DC3"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Not Working</w:t>
            </w:r>
          </w:p>
        </w:tc>
        <w:tc>
          <w:tcPr>
            <w:tcW w:w="0" w:type="auto"/>
            <w:noWrap/>
            <w:hideMark/>
          </w:tcPr>
          <w:p w14:paraId="4778732C" w14:textId="77777777" w:rsidR="0070428B" w:rsidRPr="00AA50F4" w:rsidRDefault="0070428B" w:rsidP="004231F6">
            <w:pPr>
              <w:widowControl/>
              <w:autoSpaceDE/>
              <w:autoSpaceDN/>
              <w:adjustRightInd/>
              <w:spacing w:line="480" w:lineRule="auto"/>
              <w:jc w:val="center"/>
              <w:rPr>
                <w:color w:val="000000"/>
                <w:sz w:val="22"/>
                <w:szCs w:val="22"/>
              </w:rPr>
            </w:pPr>
            <w:r w:rsidRPr="00AA50F4">
              <w:rPr>
                <w:color w:val="000000"/>
                <w:sz w:val="22"/>
                <w:szCs w:val="22"/>
              </w:rPr>
              <w:t>$100,000+</w:t>
            </w:r>
          </w:p>
        </w:tc>
        <w:tc>
          <w:tcPr>
            <w:tcW w:w="0" w:type="auto"/>
            <w:vAlign w:val="bottom"/>
          </w:tcPr>
          <w:p w14:paraId="72E736F3" w14:textId="77777777" w:rsidR="0070428B" w:rsidRPr="004231F6" w:rsidRDefault="0070428B" w:rsidP="004231F6">
            <w:pPr>
              <w:widowControl/>
              <w:autoSpaceDE/>
              <w:autoSpaceDN/>
              <w:adjustRightInd/>
              <w:spacing w:line="480" w:lineRule="auto"/>
              <w:jc w:val="center"/>
              <w:rPr>
                <w:color w:val="000000"/>
                <w:sz w:val="22"/>
                <w:szCs w:val="22"/>
              </w:rPr>
            </w:pPr>
            <w:r w:rsidRPr="00AA50F4">
              <w:rPr>
                <w:color w:val="000000"/>
                <w:sz w:val="22"/>
                <w:szCs w:val="22"/>
              </w:rPr>
              <w:t>2.87</w:t>
            </w:r>
          </w:p>
        </w:tc>
        <w:tc>
          <w:tcPr>
            <w:tcW w:w="0" w:type="auto"/>
            <w:vAlign w:val="bottom"/>
          </w:tcPr>
          <w:p w14:paraId="2B33EB8F"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2.39</w:t>
            </w:r>
          </w:p>
        </w:tc>
        <w:tc>
          <w:tcPr>
            <w:tcW w:w="0" w:type="auto"/>
            <w:vAlign w:val="bottom"/>
          </w:tcPr>
          <w:p w14:paraId="01E09A5B" w14:textId="77777777" w:rsidR="0070428B" w:rsidRPr="004231F6" w:rsidRDefault="0070428B" w:rsidP="004231F6">
            <w:pPr>
              <w:widowControl/>
              <w:autoSpaceDE/>
              <w:autoSpaceDN/>
              <w:adjustRightInd/>
              <w:spacing w:line="480" w:lineRule="auto"/>
              <w:jc w:val="center"/>
              <w:rPr>
                <w:color w:val="000000"/>
                <w:sz w:val="22"/>
                <w:szCs w:val="22"/>
              </w:rPr>
            </w:pPr>
            <w:r w:rsidRPr="004231F6">
              <w:rPr>
                <w:color w:val="000000"/>
                <w:sz w:val="22"/>
                <w:szCs w:val="22"/>
              </w:rPr>
              <w:t>2.83</w:t>
            </w:r>
          </w:p>
        </w:tc>
      </w:tr>
    </w:tbl>
    <w:p w14:paraId="0B67F9A2" w14:textId="77777777" w:rsidR="0070428B" w:rsidRPr="004231F6" w:rsidRDefault="0070428B" w:rsidP="0070428B">
      <w:pPr>
        <w:jc w:val="both"/>
        <w:rPr>
          <w:sz w:val="20"/>
          <w:szCs w:val="20"/>
        </w:rPr>
      </w:pPr>
      <w:r w:rsidRPr="00651AB8">
        <w:rPr>
          <w:sz w:val="22"/>
          <w:szCs w:val="22"/>
        </w:rPr>
        <w:t xml:space="preserve"> </w:t>
      </w:r>
      <w:r w:rsidR="00AA50F4" w:rsidRPr="004231F6">
        <w:rPr>
          <w:sz w:val="20"/>
          <w:szCs w:val="20"/>
        </w:rPr>
        <w:t>In columns 5-7 we report the fraction of individuals in each stratum.</w:t>
      </w:r>
    </w:p>
    <w:p w14:paraId="2EE062E4" w14:textId="77777777" w:rsidR="004231F6" w:rsidRPr="00651AB8" w:rsidRDefault="004231F6" w:rsidP="0070428B">
      <w:pPr>
        <w:jc w:val="both"/>
        <w:rPr>
          <w:sz w:val="22"/>
          <w:szCs w:val="22"/>
        </w:rPr>
      </w:pPr>
    </w:p>
    <w:p w14:paraId="713E90A7" w14:textId="77777777" w:rsidR="0070428B" w:rsidRPr="00841EDC" w:rsidRDefault="0070428B" w:rsidP="0070428B">
      <w:pPr>
        <w:jc w:val="both"/>
        <w:rPr>
          <w:b/>
          <w:sz w:val="22"/>
          <w:szCs w:val="22"/>
        </w:rPr>
      </w:pPr>
      <w:r w:rsidRPr="00841EDC">
        <w:rPr>
          <w:b/>
          <w:sz w:val="22"/>
          <w:szCs w:val="22"/>
        </w:rPr>
        <w:t>Table B.</w:t>
      </w:r>
      <w:r w:rsidR="00756814">
        <w:rPr>
          <w:b/>
          <w:sz w:val="22"/>
          <w:szCs w:val="22"/>
        </w:rPr>
        <w:t>9</w:t>
      </w:r>
      <w:r w:rsidRPr="00841EDC">
        <w:rPr>
          <w:b/>
          <w:sz w:val="22"/>
          <w:szCs w:val="22"/>
        </w:rPr>
        <w:t xml:space="preserve">: </w:t>
      </w:r>
      <w:r w:rsidR="00AA50F4">
        <w:rPr>
          <w:sz w:val="22"/>
          <w:szCs w:val="22"/>
        </w:rPr>
        <w:t>Gender x Working Status x Age Distribution: CPS vs. Weighted Reference Sample</w:t>
      </w:r>
    </w:p>
    <w:tbl>
      <w:tblPr>
        <w:tblStyle w:val="TableGrid"/>
        <w:tblW w:w="0" w:type="auto"/>
        <w:tblLook w:val="04A0" w:firstRow="1" w:lastRow="0" w:firstColumn="1" w:lastColumn="0" w:noHBand="0" w:noVBand="1"/>
      </w:tblPr>
      <w:tblGrid>
        <w:gridCol w:w="1000"/>
        <w:gridCol w:w="925"/>
        <w:gridCol w:w="1702"/>
        <w:gridCol w:w="1261"/>
        <w:gridCol w:w="711"/>
        <w:gridCol w:w="2111"/>
        <w:gridCol w:w="1866"/>
      </w:tblGrid>
      <w:tr w:rsidR="0070428B" w:rsidRPr="004231F6" w14:paraId="09F8BA15" w14:textId="77777777" w:rsidTr="0070428B">
        <w:trPr>
          <w:trHeight w:val="300"/>
        </w:trPr>
        <w:tc>
          <w:tcPr>
            <w:tcW w:w="0" w:type="auto"/>
            <w:noWrap/>
            <w:vAlign w:val="center"/>
            <w:hideMark/>
          </w:tcPr>
          <w:p w14:paraId="08404FFB" w14:textId="77777777" w:rsidR="0070428B" w:rsidRPr="00AA50F4" w:rsidRDefault="0070428B" w:rsidP="004231F6">
            <w:pPr>
              <w:widowControl/>
              <w:autoSpaceDE/>
              <w:autoSpaceDN/>
              <w:adjustRightInd/>
              <w:spacing w:line="360" w:lineRule="auto"/>
              <w:jc w:val="center"/>
              <w:rPr>
                <w:b/>
                <w:bCs/>
                <w:color w:val="000000"/>
                <w:sz w:val="22"/>
                <w:szCs w:val="22"/>
              </w:rPr>
            </w:pPr>
            <w:r w:rsidRPr="00AA50F4">
              <w:rPr>
                <w:b/>
                <w:bCs/>
                <w:color w:val="000000"/>
                <w:sz w:val="22"/>
                <w:szCs w:val="22"/>
              </w:rPr>
              <w:t>Stratum</w:t>
            </w:r>
          </w:p>
        </w:tc>
        <w:tc>
          <w:tcPr>
            <w:tcW w:w="0" w:type="auto"/>
            <w:noWrap/>
            <w:vAlign w:val="center"/>
            <w:hideMark/>
          </w:tcPr>
          <w:p w14:paraId="264906A9" w14:textId="77777777" w:rsidR="0070428B" w:rsidRPr="00AA50F4" w:rsidRDefault="0070428B" w:rsidP="004231F6">
            <w:pPr>
              <w:widowControl/>
              <w:autoSpaceDE/>
              <w:autoSpaceDN/>
              <w:adjustRightInd/>
              <w:spacing w:line="360" w:lineRule="auto"/>
              <w:jc w:val="center"/>
              <w:rPr>
                <w:b/>
                <w:bCs/>
                <w:color w:val="000000"/>
                <w:sz w:val="22"/>
                <w:szCs w:val="22"/>
              </w:rPr>
            </w:pPr>
            <w:r w:rsidRPr="00AA50F4">
              <w:rPr>
                <w:b/>
                <w:bCs/>
                <w:color w:val="000000"/>
                <w:sz w:val="22"/>
                <w:szCs w:val="22"/>
              </w:rPr>
              <w:t>Gender</w:t>
            </w:r>
          </w:p>
        </w:tc>
        <w:tc>
          <w:tcPr>
            <w:tcW w:w="0" w:type="auto"/>
            <w:noWrap/>
            <w:vAlign w:val="center"/>
            <w:hideMark/>
          </w:tcPr>
          <w:p w14:paraId="5A9136E4" w14:textId="77777777" w:rsidR="0070428B" w:rsidRPr="00AA50F4" w:rsidRDefault="0070428B" w:rsidP="004231F6">
            <w:pPr>
              <w:widowControl/>
              <w:autoSpaceDE/>
              <w:autoSpaceDN/>
              <w:adjustRightInd/>
              <w:spacing w:line="360" w:lineRule="auto"/>
              <w:jc w:val="center"/>
              <w:rPr>
                <w:b/>
                <w:bCs/>
                <w:color w:val="000000"/>
                <w:sz w:val="22"/>
                <w:szCs w:val="22"/>
              </w:rPr>
            </w:pPr>
            <w:r w:rsidRPr="00AA50F4">
              <w:rPr>
                <w:b/>
                <w:bCs/>
                <w:color w:val="000000"/>
                <w:sz w:val="22"/>
                <w:szCs w:val="22"/>
              </w:rPr>
              <w:t>Working Status</w:t>
            </w:r>
          </w:p>
        </w:tc>
        <w:tc>
          <w:tcPr>
            <w:tcW w:w="0" w:type="auto"/>
            <w:noWrap/>
            <w:vAlign w:val="center"/>
            <w:hideMark/>
          </w:tcPr>
          <w:p w14:paraId="0FF3BD32" w14:textId="77777777" w:rsidR="0070428B" w:rsidRPr="00AA50F4" w:rsidRDefault="0070428B" w:rsidP="004231F6">
            <w:pPr>
              <w:widowControl/>
              <w:autoSpaceDE/>
              <w:autoSpaceDN/>
              <w:adjustRightInd/>
              <w:spacing w:line="360" w:lineRule="auto"/>
              <w:jc w:val="center"/>
              <w:rPr>
                <w:b/>
                <w:bCs/>
                <w:color w:val="000000"/>
                <w:sz w:val="22"/>
                <w:szCs w:val="22"/>
              </w:rPr>
            </w:pPr>
            <w:r w:rsidRPr="00AA50F4">
              <w:rPr>
                <w:b/>
                <w:bCs/>
                <w:color w:val="000000"/>
                <w:sz w:val="22"/>
                <w:szCs w:val="22"/>
              </w:rPr>
              <w:t>Age Group</w:t>
            </w:r>
          </w:p>
        </w:tc>
        <w:tc>
          <w:tcPr>
            <w:tcW w:w="0" w:type="auto"/>
            <w:vAlign w:val="center"/>
          </w:tcPr>
          <w:p w14:paraId="14ADDE04" w14:textId="77777777" w:rsidR="0070428B" w:rsidRPr="00AA50F4" w:rsidRDefault="0070428B" w:rsidP="004231F6">
            <w:pPr>
              <w:widowControl/>
              <w:autoSpaceDE/>
              <w:autoSpaceDN/>
              <w:adjustRightInd/>
              <w:spacing w:line="360" w:lineRule="auto"/>
              <w:jc w:val="center"/>
              <w:rPr>
                <w:b/>
                <w:bCs/>
                <w:color w:val="000000"/>
                <w:sz w:val="22"/>
                <w:szCs w:val="22"/>
              </w:rPr>
            </w:pPr>
            <w:r w:rsidRPr="00AA50F4">
              <w:rPr>
                <w:b/>
                <w:bCs/>
                <w:color w:val="000000"/>
                <w:sz w:val="22"/>
                <w:szCs w:val="22"/>
              </w:rPr>
              <w:t>CPS</w:t>
            </w:r>
          </w:p>
        </w:tc>
        <w:tc>
          <w:tcPr>
            <w:tcW w:w="0" w:type="auto"/>
            <w:vAlign w:val="center"/>
          </w:tcPr>
          <w:p w14:paraId="6D2AF16E" w14:textId="77777777" w:rsidR="0070428B" w:rsidRPr="004231F6" w:rsidRDefault="0070428B" w:rsidP="004231F6">
            <w:pPr>
              <w:widowControl/>
              <w:autoSpaceDE/>
              <w:autoSpaceDN/>
              <w:adjustRightInd/>
              <w:spacing w:line="360" w:lineRule="auto"/>
              <w:jc w:val="center"/>
              <w:rPr>
                <w:b/>
                <w:bCs/>
                <w:color w:val="000000"/>
                <w:sz w:val="22"/>
                <w:szCs w:val="22"/>
              </w:rPr>
            </w:pPr>
            <w:r w:rsidRPr="004231F6">
              <w:rPr>
                <w:b/>
                <w:bCs/>
                <w:color w:val="000000"/>
                <w:sz w:val="22"/>
                <w:szCs w:val="22"/>
              </w:rPr>
              <w:t>Ref. Sample (</w:t>
            </w:r>
            <w:proofErr w:type="spellStart"/>
            <w:r w:rsidRPr="004231F6">
              <w:rPr>
                <w:b/>
                <w:bCs/>
                <w:color w:val="000000"/>
                <w:sz w:val="22"/>
                <w:szCs w:val="22"/>
              </w:rPr>
              <w:t>unweighted</w:t>
            </w:r>
            <w:proofErr w:type="spellEnd"/>
            <w:r w:rsidRPr="004231F6">
              <w:rPr>
                <w:b/>
                <w:bCs/>
                <w:color w:val="000000"/>
                <w:sz w:val="22"/>
                <w:szCs w:val="22"/>
              </w:rPr>
              <w:t>)</w:t>
            </w:r>
          </w:p>
        </w:tc>
        <w:tc>
          <w:tcPr>
            <w:tcW w:w="0" w:type="auto"/>
            <w:vAlign w:val="center"/>
          </w:tcPr>
          <w:p w14:paraId="237CE8B9" w14:textId="77777777" w:rsidR="0070428B" w:rsidRPr="004231F6" w:rsidRDefault="0070428B" w:rsidP="004231F6">
            <w:pPr>
              <w:widowControl/>
              <w:autoSpaceDE/>
              <w:autoSpaceDN/>
              <w:adjustRightInd/>
              <w:spacing w:line="360" w:lineRule="auto"/>
              <w:jc w:val="center"/>
              <w:rPr>
                <w:b/>
                <w:bCs/>
                <w:color w:val="000000"/>
                <w:sz w:val="22"/>
                <w:szCs w:val="22"/>
              </w:rPr>
            </w:pPr>
            <w:r w:rsidRPr="004231F6">
              <w:rPr>
                <w:b/>
                <w:bCs/>
                <w:color w:val="000000"/>
                <w:sz w:val="22"/>
                <w:szCs w:val="22"/>
              </w:rPr>
              <w:t>Ref. Sample (weighted)</w:t>
            </w:r>
          </w:p>
        </w:tc>
      </w:tr>
      <w:tr w:rsidR="0070428B" w:rsidRPr="004231F6" w14:paraId="67DFAFED" w14:textId="77777777" w:rsidTr="0070428B">
        <w:trPr>
          <w:trHeight w:val="300"/>
        </w:trPr>
        <w:tc>
          <w:tcPr>
            <w:tcW w:w="0" w:type="auto"/>
            <w:noWrap/>
            <w:hideMark/>
          </w:tcPr>
          <w:p w14:paraId="260765F0"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w:t>
            </w:r>
          </w:p>
        </w:tc>
        <w:tc>
          <w:tcPr>
            <w:tcW w:w="0" w:type="auto"/>
            <w:noWrap/>
            <w:hideMark/>
          </w:tcPr>
          <w:p w14:paraId="04DE6568"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62E5099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07AECD24"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18-32</w:t>
            </w:r>
          </w:p>
        </w:tc>
        <w:tc>
          <w:tcPr>
            <w:tcW w:w="0" w:type="auto"/>
            <w:vAlign w:val="bottom"/>
          </w:tcPr>
          <w:p w14:paraId="58009047"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8.95</w:t>
            </w:r>
          </w:p>
        </w:tc>
        <w:tc>
          <w:tcPr>
            <w:tcW w:w="0" w:type="auto"/>
            <w:vAlign w:val="bottom"/>
          </w:tcPr>
          <w:p w14:paraId="28ABE875"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3.49</w:t>
            </w:r>
          </w:p>
        </w:tc>
        <w:tc>
          <w:tcPr>
            <w:tcW w:w="0" w:type="auto"/>
            <w:vAlign w:val="bottom"/>
          </w:tcPr>
          <w:p w14:paraId="6601A339"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10.05</w:t>
            </w:r>
          </w:p>
        </w:tc>
      </w:tr>
      <w:tr w:rsidR="0070428B" w:rsidRPr="004231F6" w14:paraId="574CC05A" w14:textId="77777777" w:rsidTr="0070428B">
        <w:trPr>
          <w:trHeight w:val="300"/>
        </w:trPr>
        <w:tc>
          <w:tcPr>
            <w:tcW w:w="0" w:type="auto"/>
            <w:noWrap/>
            <w:hideMark/>
          </w:tcPr>
          <w:p w14:paraId="0B6CF85C"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2</w:t>
            </w:r>
          </w:p>
        </w:tc>
        <w:tc>
          <w:tcPr>
            <w:tcW w:w="0" w:type="auto"/>
            <w:noWrap/>
            <w:hideMark/>
          </w:tcPr>
          <w:p w14:paraId="6E808C0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5489DC7C"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47DC745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33-44</w:t>
            </w:r>
          </w:p>
        </w:tc>
        <w:tc>
          <w:tcPr>
            <w:tcW w:w="0" w:type="auto"/>
            <w:vAlign w:val="bottom"/>
          </w:tcPr>
          <w:p w14:paraId="6F68DC2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8.09</w:t>
            </w:r>
          </w:p>
        </w:tc>
        <w:tc>
          <w:tcPr>
            <w:tcW w:w="0" w:type="auto"/>
            <w:vAlign w:val="bottom"/>
          </w:tcPr>
          <w:p w14:paraId="24D322EF"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6.68</w:t>
            </w:r>
          </w:p>
        </w:tc>
        <w:tc>
          <w:tcPr>
            <w:tcW w:w="0" w:type="auto"/>
            <w:vAlign w:val="bottom"/>
          </w:tcPr>
          <w:p w14:paraId="52EFDF0C"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7.71</w:t>
            </w:r>
          </w:p>
        </w:tc>
      </w:tr>
      <w:tr w:rsidR="0070428B" w:rsidRPr="004231F6" w14:paraId="6BE09506" w14:textId="77777777" w:rsidTr="0070428B">
        <w:trPr>
          <w:trHeight w:val="300"/>
        </w:trPr>
        <w:tc>
          <w:tcPr>
            <w:tcW w:w="0" w:type="auto"/>
            <w:noWrap/>
            <w:hideMark/>
          </w:tcPr>
          <w:p w14:paraId="367C133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w:t>
            </w:r>
          </w:p>
        </w:tc>
        <w:tc>
          <w:tcPr>
            <w:tcW w:w="0" w:type="auto"/>
            <w:noWrap/>
            <w:hideMark/>
          </w:tcPr>
          <w:p w14:paraId="50FADD22"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43023040"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4601EB5B"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45-57</w:t>
            </w:r>
          </w:p>
        </w:tc>
        <w:tc>
          <w:tcPr>
            <w:tcW w:w="0" w:type="auto"/>
            <w:vAlign w:val="bottom"/>
          </w:tcPr>
          <w:p w14:paraId="52AECF4F"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4.78</w:t>
            </w:r>
          </w:p>
        </w:tc>
        <w:tc>
          <w:tcPr>
            <w:tcW w:w="0" w:type="auto"/>
            <w:vAlign w:val="bottom"/>
          </w:tcPr>
          <w:p w14:paraId="1753EDF5"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1.13</w:t>
            </w:r>
          </w:p>
        </w:tc>
        <w:tc>
          <w:tcPr>
            <w:tcW w:w="0" w:type="auto"/>
            <w:vAlign w:val="bottom"/>
          </w:tcPr>
          <w:p w14:paraId="09DC84D5"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3.38</w:t>
            </w:r>
          </w:p>
        </w:tc>
      </w:tr>
      <w:tr w:rsidR="0070428B" w:rsidRPr="004231F6" w14:paraId="12EDB099" w14:textId="77777777" w:rsidTr="0070428B">
        <w:trPr>
          <w:trHeight w:val="300"/>
        </w:trPr>
        <w:tc>
          <w:tcPr>
            <w:tcW w:w="0" w:type="auto"/>
            <w:noWrap/>
            <w:hideMark/>
          </w:tcPr>
          <w:p w14:paraId="21C2097B"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w:t>
            </w:r>
          </w:p>
        </w:tc>
        <w:tc>
          <w:tcPr>
            <w:tcW w:w="0" w:type="auto"/>
            <w:noWrap/>
            <w:hideMark/>
          </w:tcPr>
          <w:p w14:paraId="2BF288BB"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127427A2"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0D212016"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58+</w:t>
            </w:r>
          </w:p>
        </w:tc>
        <w:tc>
          <w:tcPr>
            <w:tcW w:w="0" w:type="auto"/>
            <w:vAlign w:val="bottom"/>
          </w:tcPr>
          <w:p w14:paraId="4AD8A23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5.51</w:t>
            </w:r>
          </w:p>
        </w:tc>
        <w:tc>
          <w:tcPr>
            <w:tcW w:w="0" w:type="auto"/>
            <w:vAlign w:val="bottom"/>
          </w:tcPr>
          <w:p w14:paraId="73D4EB7A"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4.05</w:t>
            </w:r>
          </w:p>
        </w:tc>
        <w:tc>
          <w:tcPr>
            <w:tcW w:w="0" w:type="auto"/>
            <w:vAlign w:val="bottom"/>
          </w:tcPr>
          <w:p w14:paraId="4A5AA80C"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5.42</w:t>
            </w:r>
          </w:p>
        </w:tc>
      </w:tr>
      <w:tr w:rsidR="0070428B" w:rsidRPr="004231F6" w14:paraId="28D81408" w14:textId="77777777" w:rsidTr="0070428B">
        <w:trPr>
          <w:trHeight w:val="300"/>
        </w:trPr>
        <w:tc>
          <w:tcPr>
            <w:tcW w:w="0" w:type="auto"/>
            <w:noWrap/>
            <w:hideMark/>
          </w:tcPr>
          <w:p w14:paraId="439CA810"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5</w:t>
            </w:r>
          </w:p>
        </w:tc>
        <w:tc>
          <w:tcPr>
            <w:tcW w:w="0" w:type="auto"/>
            <w:noWrap/>
            <w:hideMark/>
          </w:tcPr>
          <w:p w14:paraId="6BE8366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467C8116"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3170F72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18-32</w:t>
            </w:r>
          </w:p>
        </w:tc>
        <w:tc>
          <w:tcPr>
            <w:tcW w:w="0" w:type="auto"/>
            <w:vAlign w:val="bottom"/>
          </w:tcPr>
          <w:p w14:paraId="55C60B3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8.24</w:t>
            </w:r>
          </w:p>
        </w:tc>
        <w:tc>
          <w:tcPr>
            <w:tcW w:w="0" w:type="auto"/>
            <w:vAlign w:val="bottom"/>
          </w:tcPr>
          <w:p w14:paraId="29A9802C"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5.43</w:t>
            </w:r>
          </w:p>
        </w:tc>
        <w:tc>
          <w:tcPr>
            <w:tcW w:w="0" w:type="auto"/>
            <w:vAlign w:val="bottom"/>
          </w:tcPr>
          <w:p w14:paraId="66A6D220"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7.68</w:t>
            </w:r>
          </w:p>
        </w:tc>
      </w:tr>
      <w:tr w:rsidR="0070428B" w:rsidRPr="004231F6" w14:paraId="6A59D39A" w14:textId="77777777" w:rsidTr="0070428B">
        <w:trPr>
          <w:trHeight w:val="300"/>
        </w:trPr>
        <w:tc>
          <w:tcPr>
            <w:tcW w:w="0" w:type="auto"/>
            <w:noWrap/>
            <w:hideMark/>
          </w:tcPr>
          <w:p w14:paraId="04853ACC"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6</w:t>
            </w:r>
          </w:p>
        </w:tc>
        <w:tc>
          <w:tcPr>
            <w:tcW w:w="0" w:type="auto"/>
            <w:noWrap/>
            <w:hideMark/>
          </w:tcPr>
          <w:p w14:paraId="062D46F4"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1207C3E1"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4EF23BEB"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33-44</w:t>
            </w:r>
          </w:p>
        </w:tc>
        <w:tc>
          <w:tcPr>
            <w:tcW w:w="0" w:type="auto"/>
            <w:vAlign w:val="bottom"/>
          </w:tcPr>
          <w:p w14:paraId="3DF19484"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7.05</w:t>
            </w:r>
          </w:p>
        </w:tc>
        <w:tc>
          <w:tcPr>
            <w:tcW w:w="0" w:type="auto"/>
            <w:vAlign w:val="bottom"/>
          </w:tcPr>
          <w:p w14:paraId="77DB663D"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8.74</w:t>
            </w:r>
          </w:p>
        </w:tc>
        <w:tc>
          <w:tcPr>
            <w:tcW w:w="0" w:type="auto"/>
            <w:vAlign w:val="bottom"/>
          </w:tcPr>
          <w:p w14:paraId="36EE2DA5"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6.86</w:t>
            </w:r>
          </w:p>
        </w:tc>
      </w:tr>
      <w:tr w:rsidR="0070428B" w:rsidRPr="004231F6" w14:paraId="3FFBD223" w14:textId="77777777" w:rsidTr="0070428B">
        <w:trPr>
          <w:trHeight w:val="300"/>
        </w:trPr>
        <w:tc>
          <w:tcPr>
            <w:tcW w:w="0" w:type="auto"/>
            <w:noWrap/>
            <w:hideMark/>
          </w:tcPr>
          <w:p w14:paraId="1317B1C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7</w:t>
            </w:r>
          </w:p>
        </w:tc>
        <w:tc>
          <w:tcPr>
            <w:tcW w:w="0" w:type="auto"/>
            <w:noWrap/>
            <w:hideMark/>
          </w:tcPr>
          <w:p w14:paraId="0F0C22A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5F99D760"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2BE86A00"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45-57</w:t>
            </w:r>
          </w:p>
        </w:tc>
        <w:tc>
          <w:tcPr>
            <w:tcW w:w="0" w:type="auto"/>
            <w:vAlign w:val="bottom"/>
          </w:tcPr>
          <w:p w14:paraId="0E37399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1.89</w:t>
            </w:r>
          </w:p>
        </w:tc>
        <w:tc>
          <w:tcPr>
            <w:tcW w:w="0" w:type="auto"/>
            <w:vAlign w:val="bottom"/>
          </w:tcPr>
          <w:p w14:paraId="77A973E0"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1.62</w:t>
            </w:r>
          </w:p>
        </w:tc>
        <w:tc>
          <w:tcPr>
            <w:tcW w:w="0" w:type="auto"/>
            <w:vAlign w:val="bottom"/>
          </w:tcPr>
          <w:p w14:paraId="3ACF5BA6"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2.13</w:t>
            </w:r>
          </w:p>
        </w:tc>
      </w:tr>
      <w:tr w:rsidR="0070428B" w:rsidRPr="004231F6" w14:paraId="4E110837" w14:textId="77777777" w:rsidTr="0070428B">
        <w:trPr>
          <w:trHeight w:val="300"/>
        </w:trPr>
        <w:tc>
          <w:tcPr>
            <w:tcW w:w="0" w:type="auto"/>
            <w:noWrap/>
            <w:hideMark/>
          </w:tcPr>
          <w:p w14:paraId="3AB95298"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8</w:t>
            </w:r>
          </w:p>
        </w:tc>
        <w:tc>
          <w:tcPr>
            <w:tcW w:w="0" w:type="auto"/>
            <w:noWrap/>
            <w:hideMark/>
          </w:tcPr>
          <w:p w14:paraId="72A26EC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5C81A9A7"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75565D2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58+</w:t>
            </w:r>
          </w:p>
        </w:tc>
        <w:tc>
          <w:tcPr>
            <w:tcW w:w="0" w:type="auto"/>
            <w:vAlign w:val="bottom"/>
          </w:tcPr>
          <w:p w14:paraId="0D41B50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3.32</w:t>
            </w:r>
          </w:p>
        </w:tc>
        <w:tc>
          <w:tcPr>
            <w:tcW w:w="0" w:type="auto"/>
            <w:vAlign w:val="bottom"/>
          </w:tcPr>
          <w:p w14:paraId="2CCACF8C"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3.95</w:t>
            </w:r>
          </w:p>
        </w:tc>
        <w:tc>
          <w:tcPr>
            <w:tcW w:w="0" w:type="auto"/>
            <w:vAlign w:val="bottom"/>
          </w:tcPr>
          <w:p w14:paraId="7B88E6F4"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3.29</w:t>
            </w:r>
          </w:p>
        </w:tc>
      </w:tr>
      <w:tr w:rsidR="0070428B" w:rsidRPr="004231F6" w14:paraId="55AC6A23" w14:textId="77777777" w:rsidTr="0070428B">
        <w:trPr>
          <w:trHeight w:val="300"/>
        </w:trPr>
        <w:tc>
          <w:tcPr>
            <w:tcW w:w="0" w:type="auto"/>
            <w:noWrap/>
            <w:hideMark/>
          </w:tcPr>
          <w:p w14:paraId="7E74FD4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9</w:t>
            </w:r>
          </w:p>
        </w:tc>
        <w:tc>
          <w:tcPr>
            <w:tcW w:w="0" w:type="auto"/>
            <w:noWrap/>
            <w:hideMark/>
          </w:tcPr>
          <w:p w14:paraId="6925315B"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52E3627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7845A3C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18-32</w:t>
            </w:r>
          </w:p>
        </w:tc>
        <w:tc>
          <w:tcPr>
            <w:tcW w:w="0" w:type="auto"/>
            <w:vAlign w:val="bottom"/>
          </w:tcPr>
          <w:p w14:paraId="22AA0C9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9.05</w:t>
            </w:r>
          </w:p>
        </w:tc>
        <w:tc>
          <w:tcPr>
            <w:tcW w:w="0" w:type="auto"/>
            <w:vAlign w:val="bottom"/>
          </w:tcPr>
          <w:p w14:paraId="70B21FAC"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10.94</w:t>
            </w:r>
          </w:p>
        </w:tc>
        <w:tc>
          <w:tcPr>
            <w:tcW w:w="0" w:type="auto"/>
            <w:vAlign w:val="bottom"/>
          </w:tcPr>
          <w:p w14:paraId="7C75FE5F"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10.29</w:t>
            </w:r>
          </w:p>
        </w:tc>
      </w:tr>
      <w:tr w:rsidR="0070428B" w:rsidRPr="004231F6" w14:paraId="0C81607F" w14:textId="77777777" w:rsidTr="0070428B">
        <w:trPr>
          <w:trHeight w:val="300"/>
        </w:trPr>
        <w:tc>
          <w:tcPr>
            <w:tcW w:w="0" w:type="auto"/>
            <w:noWrap/>
            <w:hideMark/>
          </w:tcPr>
          <w:p w14:paraId="5270A2A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10</w:t>
            </w:r>
          </w:p>
        </w:tc>
        <w:tc>
          <w:tcPr>
            <w:tcW w:w="0" w:type="auto"/>
            <w:noWrap/>
            <w:hideMark/>
          </w:tcPr>
          <w:p w14:paraId="461C7D4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4DFF688F"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5A5B064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33-44</w:t>
            </w:r>
          </w:p>
        </w:tc>
        <w:tc>
          <w:tcPr>
            <w:tcW w:w="0" w:type="auto"/>
            <w:vAlign w:val="bottom"/>
          </w:tcPr>
          <w:p w14:paraId="710C7A7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8.42</w:t>
            </w:r>
          </w:p>
        </w:tc>
        <w:tc>
          <w:tcPr>
            <w:tcW w:w="0" w:type="auto"/>
            <w:vAlign w:val="bottom"/>
          </w:tcPr>
          <w:p w14:paraId="06C38C5D"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13.24</w:t>
            </w:r>
          </w:p>
        </w:tc>
        <w:tc>
          <w:tcPr>
            <w:tcW w:w="0" w:type="auto"/>
            <w:vAlign w:val="bottom"/>
          </w:tcPr>
          <w:p w14:paraId="16EC90F2"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9.20</w:t>
            </w:r>
          </w:p>
        </w:tc>
      </w:tr>
      <w:tr w:rsidR="0070428B" w:rsidRPr="004231F6" w14:paraId="358260FE" w14:textId="77777777" w:rsidTr="0070428B">
        <w:trPr>
          <w:trHeight w:val="300"/>
        </w:trPr>
        <w:tc>
          <w:tcPr>
            <w:tcW w:w="0" w:type="auto"/>
            <w:noWrap/>
            <w:hideMark/>
          </w:tcPr>
          <w:p w14:paraId="5A5F8DA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11</w:t>
            </w:r>
          </w:p>
        </w:tc>
        <w:tc>
          <w:tcPr>
            <w:tcW w:w="0" w:type="auto"/>
            <w:noWrap/>
            <w:hideMark/>
          </w:tcPr>
          <w:p w14:paraId="1ECAFFC4"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6CC2B47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0492A7F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45-57</w:t>
            </w:r>
          </w:p>
        </w:tc>
        <w:tc>
          <w:tcPr>
            <w:tcW w:w="0" w:type="auto"/>
            <w:vAlign w:val="bottom"/>
          </w:tcPr>
          <w:p w14:paraId="09420A65"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2.85</w:t>
            </w:r>
          </w:p>
        </w:tc>
        <w:tc>
          <w:tcPr>
            <w:tcW w:w="0" w:type="auto"/>
            <w:vAlign w:val="bottom"/>
          </w:tcPr>
          <w:p w14:paraId="4595747F"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2.94</w:t>
            </w:r>
          </w:p>
        </w:tc>
        <w:tc>
          <w:tcPr>
            <w:tcW w:w="0" w:type="auto"/>
            <w:vAlign w:val="bottom"/>
          </w:tcPr>
          <w:p w14:paraId="11A301A2"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2.43</w:t>
            </w:r>
          </w:p>
        </w:tc>
      </w:tr>
      <w:tr w:rsidR="0070428B" w:rsidRPr="004231F6" w14:paraId="6457338A" w14:textId="77777777" w:rsidTr="0070428B">
        <w:trPr>
          <w:trHeight w:val="300"/>
        </w:trPr>
        <w:tc>
          <w:tcPr>
            <w:tcW w:w="0" w:type="auto"/>
            <w:noWrap/>
            <w:hideMark/>
          </w:tcPr>
          <w:p w14:paraId="65CFD281"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12</w:t>
            </w:r>
          </w:p>
        </w:tc>
        <w:tc>
          <w:tcPr>
            <w:tcW w:w="0" w:type="auto"/>
            <w:noWrap/>
            <w:hideMark/>
          </w:tcPr>
          <w:p w14:paraId="70CB7DB8"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49A2FA66"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0C6CECF4"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58+</w:t>
            </w:r>
          </w:p>
        </w:tc>
        <w:tc>
          <w:tcPr>
            <w:tcW w:w="0" w:type="auto"/>
            <w:vAlign w:val="bottom"/>
          </w:tcPr>
          <w:p w14:paraId="49CB1492"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4.04</w:t>
            </w:r>
          </w:p>
        </w:tc>
        <w:tc>
          <w:tcPr>
            <w:tcW w:w="0" w:type="auto"/>
            <w:vAlign w:val="bottom"/>
          </w:tcPr>
          <w:p w14:paraId="0EE10D45"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5.76</w:t>
            </w:r>
          </w:p>
        </w:tc>
        <w:tc>
          <w:tcPr>
            <w:tcW w:w="0" w:type="auto"/>
            <w:vAlign w:val="bottom"/>
          </w:tcPr>
          <w:p w14:paraId="6AC6B694"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3.99</w:t>
            </w:r>
          </w:p>
        </w:tc>
      </w:tr>
      <w:tr w:rsidR="0070428B" w:rsidRPr="004231F6" w14:paraId="5486675E" w14:textId="77777777" w:rsidTr="0070428B">
        <w:trPr>
          <w:trHeight w:val="300"/>
        </w:trPr>
        <w:tc>
          <w:tcPr>
            <w:tcW w:w="0" w:type="auto"/>
            <w:noWrap/>
            <w:hideMark/>
          </w:tcPr>
          <w:p w14:paraId="00612501"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13</w:t>
            </w:r>
          </w:p>
        </w:tc>
        <w:tc>
          <w:tcPr>
            <w:tcW w:w="0" w:type="auto"/>
            <w:noWrap/>
            <w:hideMark/>
          </w:tcPr>
          <w:p w14:paraId="29D5521C"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77BBBF3B"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78A43876"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18-32</w:t>
            </w:r>
          </w:p>
        </w:tc>
        <w:tc>
          <w:tcPr>
            <w:tcW w:w="0" w:type="auto"/>
            <w:vAlign w:val="bottom"/>
          </w:tcPr>
          <w:p w14:paraId="4F16F4C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4.51</w:t>
            </w:r>
          </w:p>
        </w:tc>
        <w:tc>
          <w:tcPr>
            <w:tcW w:w="0" w:type="auto"/>
            <w:vAlign w:val="bottom"/>
          </w:tcPr>
          <w:p w14:paraId="3EB9AED7"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5.55</w:t>
            </w:r>
          </w:p>
        </w:tc>
        <w:tc>
          <w:tcPr>
            <w:tcW w:w="0" w:type="auto"/>
            <w:vAlign w:val="bottom"/>
          </w:tcPr>
          <w:p w14:paraId="7475568D"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3.94</w:t>
            </w:r>
          </w:p>
        </w:tc>
      </w:tr>
      <w:tr w:rsidR="0070428B" w:rsidRPr="004231F6" w14:paraId="387C9378" w14:textId="77777777" w:rsidTr="0070428B">
        <w:trPr>
          <w:trHeight w:val="300"/>
        </w:trPr>
        <w:tc>
          <w:tcPr>
            <w:tcW w:w="0" w:type="auto"/>
            <w:noWrap/>
            <w:hideMark/>
          </w:tcPr>
          <w:p w14:paraId="43385CA3"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lastRenderedPageBreak/>
              <w:t>14</w:t>
            </w:r>
          </w:p>
        </w:tc>
        <w:tc>
          <w:tcPr>
            <w:tcW w:w="0" w:type="auto"/>
            <w:noWrap/>
            <w:hideMark/>
          </w:tcPr>
          <w:p w14:paraId="6446AABC"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0610E01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Working</w:t>
            </w:r>
          </w:p>
        </w:tc>
        <w:tc>
          <w:tcPr>
            <w:tcW w:w="0" w:type="auto"/>
            <w:noWrap/>
            <w:hideMark/>
          </w:tcPr>
          <w:p w14:paraId="50728F00"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33-44</w:t>
            </w:r>
          </w:p>
        </w:tc>
        <w:tc>
          <w:tcPr>
            <w:tcW w:w="0" w:type="auto"/>
            <w:vAlign w:val="bottom"/>
          </w:tcPr>
          <w:p w14:paraId="55E4E45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3.96</w:t>
            </w:r>
          </w:p>
        </w:tc>
        <w:tc>
          <w:tcPr>
            <w:tcW w:w="0" w:type="auto"/>
            <w:vAlign w:val="bottom"/>
          </w:tcPr>
          <w:p w14:paraId="4919BD2B"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6.19</w:t>
            </w:r>
          </w:p>
        </w:tc>
        <w:tc>
          <w:tcPr>
            <w:tcW w:w="0" w:type="auto"/>
            <w:vAlign w:val="bottom"/>
          </w:tcPr>
          <w:p w14:paraId="7B7AFE59"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4.43</w:t>
            </w:r>
          </w:p>
        </w:tc>
      </w:tr>
      <w:tr w:rsidR="0070428B" w:rsidRPr="004231F6" w14:paraId="1B9AF4C9" w14:textId="77777777" w:rsidTr="0070428B">
        <w:trPr>
          <w:trHeight w:val="300"/>
        </w:trPr>
        <w:tc>
          <w:tcPr>
            <w:tcW w:w="0" w:type="auto"/>
            <w:noWrap/>
            <w:hideMark/>
          </w:tcPr>
          <w:p w14:paraId="1E32353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15</w:t>
            </w:r>
          </w:p>
        </w:tc>
        <w:tc>
          <w:tcPr>
            <w:tcW w:w="0" w:type="auto"/>
            <w:noWrap/>
            <w:hideMark/>
          </w:tcPr>
          <w:p w14:paraId="07314C6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Male</w:t>
            </w:r>
          </w:p>
        </w:tc>
        <w:tc>
          <w:tcPr>
            <w:tcW w:w="0" w:type="auto"/>
            <w:noWrap/>
            <w:hideMark/>
          </w:tcPr>
          <w:p w14:paraId="094D3D87"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733E0E4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45-57</w:t>
            </w:r>
          </w:p>
        </w:tc>
        <w:tc>
          <w:tcPr>
            <w:tcW w:w="0" w:type="auto"/>
            <w:vAlign w:val="bottom"/>
          </w:tcPr>
          <w:p w14:paraId="2EB78AE6"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8.13</w:t>
            </w:r>
          </w:p>
        </w:tc>
        <w:tc>
          <w:tcPr>
            <w:tcW w:w="0" w:type="auto"/>
            <w:vAlign w:val="bottom"/>
          </w:tcPr>
          <w:p w14:paraId="525854D2"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9.81</w:t>
            </w:r>
          </w:p>
        </w:tc>
        <w:tc>
          <w:tcPr>
            <w:tcW w:w="0" w:type="auto"/>
            <w:vAlign w:val="bottom"/>
          </w:tcPr>
          <w:p w14:paraId="21BAF021"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8.52</w:t>
            </w:r>
          </w:p>
        </w:tc>
      </w:tr>
      <w:tr w:rsidR="0070428B" w:rsidRPr="004231F6" w14:paraId="62D7527E" w14:textId="77777777" w:rsidTr="0070428B">
        <w:trPr>
          <w:trHeight w:val="300"/>
        </w:trPr>
        <w:tc>
          <w:tcPr>
            <w:tcW w:w="0" w:type="auto"/>
            <w:noWrap/>
            <w:hideMark/>
          </w:tcPr>
          <w:p w14:paraId="22AD91D9"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16</w:t>
            </w:r>
          </w:p>
        </w:tc>
        <w:tc>
          <w:tcPr>
            <w:tcW w:w="0" w:type="auto"/>
            <w:noWrap/>
            <w:hideMark/>
          </w:tcPr>
          <w:p w14:paraId="77C0E89A"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Female</w:t>
            </w:r>
          </w:p>
        </w:tc>
        <w:tc>
          <w:tcPr>
            <w:tcW w:w="0" w:type="auto"/>
            <w:noWrap/>
            <w:hideMark/>
          </w:tcPr>
          <w:p w14:paraId="3EA853AE"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Not Working</w:t>
            </w:r>
          </w:p>
        </w:tc>
        <w:tc>
          <w:tcPr>
            <w:tcW w:w="0" w:type="auto"/>
            <w:noWrap/>
            <w:hideMark/>
          </w:tcPr>
          <w:p w14:paraId="5A9F1E3D"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58+</w:t>
            </w:r>
          </w:p>
        </w:tc>
        <w:tc>
          <w:tcPr>
            <w:tcW w:w="0" w:type="auto"/>
            <w:vAlign w:val="bottom"/>
          </w:tcPr>
          <w:p w14:paraId="2557F6CF" w14:textId="77777777" w:rsidR="0070428B" w:rsidRPr="00AA50F4" w:rsidRDefault="0070428B" w:rsidP="004231F6">
            <w:pPr>
              <w:widowControl/>
              <w:autoSpaceDE/>
              <w:autoSpaceDN/>
              <w:adjustRightInd/>
              <w:spacing w:line="360" w:lineRule="auto"/>
              <w:jc w:val="center"/>
              <w:rPr>
                <w:color w:val="000000"/>
                <w:sz w:val="22"/>
                <w:szCs w:val="22"/>
              </w:rPr>
            </w:pPr>
            <w:r w:rsidRPr="00AA50F4">
              <w:rPr>
                <w:color w:val="000000"/>
                <w:sz w:val="22"/>
                <w:szCs w:val="22"/>
              </w:rPr>
              <w:t>11.19</w:t>
            </w:r>
          </w:p>
        </w:tc>
        <w:tc>
          <w:tcPr>
            <w:tcW w:w="0" w:type="auto"/>
            <w:vAlign w:val="bottom"/>
          </w:tcPr>
          <w:p w14:paraId="3AA42536"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10.45</w:t>
            </w:r>
          </w:p>
        </w:tc>
        <w:tc>
          <w:tcPr>
            <w:tcW w:w="0" w:type="auto"/>
            <w:vAlign w:val="bottom"/>
          </w:tcPr>
          <w:p w14:paraId="4634636E" w14:textId="77777777" w:rsidR="0070428B" w:rsidRPr="004231F6" w:rsidRDefault="0070428B" w:rsidP="004231F6">
            <w:pPr>
              <w:widowControl/>
              <w:autoSpaceDE/>
              <w:autoSpaceDN/>
              <w:adjustRightInd/>
              <w:spacing w:line="360" w:lineRule="auto"/>
              <w:jc w:val="center"/>
              <w:rPr>
                <w:color w:val="000000"/>
                <w:sz w:val="22"/>
                <w:szCs w:val="22"/>
              </w:rPr>
            </w:pPr>
            <w:r w:rsidRPr="004231F6">
              <w:rPr>
                <w:color w:val="000000"/>
                <w:sz w:val="22"/>
                <w:szCs w:val="22"/>
              </w:rPr>
              <w:t>10.69</w:t>
            </w:r>
          </w:p>
        </w:tc>
      </w:tr>
    </w:tbl>
    <w:p w14:paraId="79849C50" w14:textId="77777777" w:rsidR="00AA50F4" w:rsidRPr="004231F6" w:rsidRDefault="00AA50F4" w:rsidP="004231F6">
      <w:pPr>
        <w:pStyle w:val="Heading2"/>
        <w:spacing w:before="0"/>
        <w:rPr>
          <w:b w:val="0"/>
          <w:sz w:val="20"/>
          <w:szCs w:val="20"/>
        </w:rPr>
      </w:pPr>
      <w:bookmarkStart w:id="36" w:name="_Toc201829394"/>
      <w:r w:rsidRPr="004231F6">
        <w:rPr>
          <w:b w:val="0"/>
          <w:sz w:val="20"/>
          <w:szCs w:val="20"/>
        </w:rPr>
        <w:t>In columns 5-7 we report the fraction of individuals in each stratum.</w:t>
      </w:r>
      <w:bookmarkEnd w:id="36"/>
    </w:p>
    <w:p w14:paraId="6F6DA285" w14:textId="77777777" w:rsidR="00AA50F4" w:rsidRDefault="00AA50F4" w:rsidP="004231F6">
      <w:pPr>
        <w:pStyle w:val="Heading2"/>
        <w:spacing w:before="0"/>
        <w:ind w:left="540" w:hanging="540"/>
        <w:rPr>
          <w:sz w:val="22"/>
          <w:szCs w:val="22"/>
        </w:rPr>
      </w:pPr>
    </w:p>
    <w:p w14:paraId="5C00B316" w14:textId="77777777" w:rsidR="009525E0" w:rsidRPr="009525E0" w:rsidRDefault="009525E0" w:rsidP="00905EA4">
      <w:pPr>
        <w:rPr>
          <w:sz w:val="22"/>
          <w:szCs w:val="22"/>
        </w:rPr>
      </w:pPr>
      <w:r w:rsidRPr="009525E0">
        <w:rPr>
          <w:b/>
          <w:sz w:val="22"/>
          <w:szCs w:val="22"/>
        </w:rPr>
        <w:t>B.5. Pre-Testing</w:t>
      </w:r>
    </w:p>
    <w:p w14:paraId="21E34D0D" w14:textId="77777777" w:rsidR="009525E0" w:rsidRDefault="009525E0" w:rsidP="00905EA4"/>
    <w:p w14:paraId="280FC171" w14:textId="77777777" w:rsidR="009525E0" w:rsidRPr="00905EA4" w:rsidRDefault="009525E0" w:rsidP="00905EA4">
      <w:pPr>
        <w:jc w:val="both"/>
      </w:pPr>
      <w:r>
        <w:t xml:space="preserve">Once the survey questionnaire has been developed, we will pre-test it using ALP respondents excluded from the </w:t>
      </w:r>
      <w:r w:rsidR="009222C5">
        <w:t>reference sample</w:t>
      </w:r>
      <w:r w:rsidRPr="009525E0">
        <w:t xml:space="preserve">. </w:t>
      </w:r>
      <w:r>
        <w:t>Specifically, we</w:t>
      </w:r>
      <w:r w:rsidRPr="009525E0">
        <w:t xml:space="preserve"> </w:t>
      </w:r>
      <w:r>
        <w:t>plan</w:t>
      </w:r>
      <w:r w:rsidRPr="009525E0">
        <w:t xml:space="preserve"> </w:t>
      </w:r>
      <w:r>
        <w:t>to pilot</w:t>
      </w:r>
      <w:r w:rsidRPr="009525E0">
        <w:t xml:space="preserve"> the questionnaire by administering</w:t>
      </w:r>
      <w:r>
        <w:t xml:space="preserve"> it to 50 respondents from the S</w:t>
      </w:r>
      <w:r w:rsidRPr="009525E0">
        <w:t xml:space="preserve">nowball </w:t>
      </w:r>
      <w:r>
        <w:t>cohort</w:t>
      </w:r>
      <w:r w:rsidRPr="009525E0">
        <w:t xml:space="preserve">. </w:t>
      </w:r>
      <w:r>
        <w:t xml:space="preserve">There are around 550 ALP respondents belonging to this cohort. </w:t>
      </w:r>
      <w:r w:rsidR="009222C5">
        <w:t>Compared to those in the reference sample, t</w:t>
      </w:r>
      <w:r>
        <w:t>heir characteristics are somewhat different.</w:t>
      </w:r>
      <w:r w:rsidR="009222C5">
        <w:t xml:space="preserve"> In particular, the Snowball cohort features more female respondents (63% versus 52% in the reference sample), younger (average age of 43.73 versus 46.72 in the reference sample), and slightly higher educated individuals (average education is 10.81 versus 10.37). We will appropriately choose the 50 respondents for pre-testing so as to mimic the composition of the reference sample as closely as possible. </w:t>
      </w:r>
      <w:r w:rsidRPr="009525E0">
        <w:t xml:space="preserve">Data from the pretest will be </w:t>
      </w:r>
      <w:r w:rsidR="009222C5">
        <w:t>used</w:t>
      </w:r>
      <w:r w:rsidRPr="009525E0">
        <w:t xml:space="preserve"> for quality checks</w:t>
      </w:r>
      <w:r w:rsidR="009222C5">
        <w:t>, which may</w:t>
      </w:r>
      <w:r w:rsidRPr="009525E0">
        <w:t xml:space="preserve"> </w:t>
      </w:r>
      <w:r w:rsidR="009222C5">
        <w:t>lead</w:t>
      </w:r>
      <w:r w:rsidRPr="009525E0">
        <w:t xml:space="preserve"> to changes in the questionnair</w:t>
      </w:r>
      <w:r w:rsidR="009222C5">
        <w:t>e. Once the final questionnaire</w:t>
      </w:r>
      <w:r w:rsidRPr="009525E0">
        <w:t xml:space="preserve"> is </w:t>
      </w:r>
      <w:r w:rsidR="009222C5">
        <w:t xml:space="preserve">ready, it will be </w:t>
      </w:r>
      <w:r w:rsidRPr="009525E0">
        <w:t xml:space="preserve">fielded to the respondents in the </w:t>
      </w:r>
      <w:r w:rsidR="009222C5">
        <w:t>reference</w:t>
      </w:r>
      <w:r w:rsidRPr="009525E0">
        <w:t xml:space="preserve"> sample.</w:t>
      </w:r>
    </w:p>
    <w:p w14:paraId="7F7CDE18" w14:textId="3F542BEA" w:rsidR="00855ABA" w:rsidRPr="00841EDC" w:rsidRDefault="00BB3586" w:rsidP="00BB3586">
      <w:pPr>
        <w:pStyle w:val="Heading2"/>
        <w:ind w:left="540" w:hanging="540"/>
        <w:rPr>
          <w:sz w:val="22"/>
          <w:szCs w:val="22"/>
        </w:rPr>
      </w:pPr>
      <w:bookmarkStart w:id="37" w:name="_Toc201829395"/>
      <w:r w:rsidRPr="00841EDC">
        <w:rPr>
          <w:sz w:val="22"/>
          <w:szCs w:val="22"/>
        </w:rPr>
        <w:t>B.</w:t>
      </w:r>
      <w:r w:rsidR="009525E0">
        <w:rPr>
          <w:sz w:val="22"/>
          <w:szCs w:val="22"/>
        </w:rPr>
        <w:t>6</w:t>
      </w:r>
      <w:r w:rsidRPr="00841EDC">
        <w:rPr>
          <w:sz w:val="22"/>
          <w:szCs w:val="22"/>
        </w:rPr>
        <w:t xml:space="preserve">.  </w:t>
      </w:r>
      <w:r w:rsidR="00855ABA" w:rsidRPr="00841EDC">
        <w:rPr>
          <w:sz w:val="22"/>
          <w:szCs w:val="22"/>
        </w:rPr>
        <w:t>Individuals Consulted on Statistical Aspects and Individuals Collecting and/or Analyzing Data</w:t>
      </w:r>
      <w:bookmarkEnd w:id="37"/>
    </w:p>
    <w:p w14:paraId="74613AF2" w14:textId="493FBA82" w:rsidR="00855ABA" w:rsidRPr="00841EDC" w:rsidRDefault="00855ABA" w:rsidP="00841EDC">
      <w:pPr>
        <w:jc w:val="both"/>
        <w:rPr>
          <w:sz w:val="22"/>
          <w:szCs w:val="22"/>
        </w:rPr>
      </w:pPr>
      <w:r w:rsidRPr="00841EDC">
        <w:rPr>
          <w:sz w:val="22"/>
          <w:szCs w:val="22"/>
        </w:rPr>
        <w:t xml:space="preserve">This study is being conducted by </w:t>
      </w:r>
      <w:r w:rsidR="00786FF5" w:rsidRPr="00841EDC">
        <w:rPr>
          <w:sz w:val="22"/>
          <w:szCs w:val="22"/>
        </w:rPr>
        <w:t xml:space="preserve">the </w:t>
      </w:r>
      <w:r w:rsidRPr="00841EDC">
        <w:rPr>
          <w:sz w:val="22"/>
          <w:szCs w:val="22"/>
        </w:rPr>
        <w:t xml:space="preserve">contractor, The RAND Corporation, under contract to the U.S. Department of Labor.  The RAND Principal Investigator is Dr. </w:t>
      </w:r>
      <w:r w:rsidR="004D5817" w:rsidRPr="00841EDC">
        <w:rPr>
          <w:sz w:val="22"/>
          <w:szCs w:val="22"/>
        </w:rPr>
        <w:t>Angela Hung</w:t>
      </w:r>
      <w:r w:rsidRPr="00841EDC">
        <w:rPr>
          <w:sz w:val="22"/>
          <w:szCs w:val="22"/>
        </w:rPr>
        <w:t xml:space="preserve">. </w:t>
      </w:r>
      <w:r w:rsidR="00834382">
        <w:rPr>
          <w:sz w:val="22"/>
          <w:szCs w:val="22"/>
        </w:rPr>
        <w:t xml:space="preserve">Ms. Noreen Clancy will oversee the collection of focus group data. Dr. Lauren Fleishman and </w:t>
      </w:r>
      <w:r w:rsidRPr="00841EDC">
        <w:rPr>
          <w:sz w:val="22"/>
          <w:szCs w:val="22"/>
        </w:rPr>
        <w:t xml:space="preserve">Dr. </w:t>
      </w:r>
      <w:r w:rsidR="00615D4E" w:rsidRPr="00841EDC">
        <w:rPr>
          <w:sz w:val="22"/>
          <w:szCs w:val="22"/>
        </w:rPr>
        <w:t>Jerem</w:t>
      </w:r>
      <w:r w:rsidR="00665512" w:rsidRPr="00841EDC">
        <w:rPr>
          <w:sz w:val="22"/>
          <w:szCs w:val="22"/>
        </w:rPr>
        <w:t>y</w:t>
      </w:r>
      <w:r w:rsidR="004D5817" w:rsidRPr="00841EDC">
        <w:rPr>
          <w:sz w:val="22"/>
          <w:szCs w:val="22"/>
        </w:rPr>
        <w:t xml:space="preserve"> Burke</w:t>
      </w:r>
      <w:r w:rsidRPr="00841EDC">
        <w:rPr>
          <w:sz w:val="22"/>
          <w:szCs w:val="22"/>
        </w:rPr>
        <w:t xml:space="preserve"> will oversee the design and analysis of the</w:t>
      </w:r>
      <w:r w:rsidR="00834382">
        <w:rPr>
          <w:sz w:val="22"/>
          <w:szCs w:val="22"/>
        </w:rPr>
        <w:t xml:space="preserve"> survey and</w:t>
      </w:r>
      <w:r w:rsidRPr="00841EDC">
        <w:rPr>
          <w:sz w:val="22"/>
          <w:szCs w:val="22"/>
        </w:rPr>
        <w:t xml:space="preserve"> </w:t>
      </w:r>
      <w:r w:rsidR="004D5817" w:rsidRPr="00841EDC">
        <w:rPr>
          <w:sz w:val="22"/>
          <w:szCs w:val="22"/>
        </w:rPr>
        <w:t>experiments</w:t>
      </w:r>
      <w:r w:rsidRPr="00841EDC">
        <w:rPr>
          <w:sz w:val="22"/>
          <w:szCs w:val="22"/>
        </w:rPr>
        <w:t xml:space="preserve">. </w:t>
      </w:r>
    </w:p>
    <w:p w14:paraId="511F5C69" w14:textId="77777777" w:rsidR="00665512" w:rsidRPr="00841EDC" w:rsidRDefault="00665512" w:rsidP="00855ABA">
      <w:pPr>
        <w:rPr>
          <w:sz w:val="22"/>
          <w:szCs w:val="22"/>
        </w:rPr>
      </w:pPr>
    </w:p>
    <w:p w14:paraId="3B2903C8" w14:textId="77777777" w:rsidR="00665512" w:rsidRPr="00841EDC" w:rsidRDefault="00665512" w:rsidP="00855ABA">
      <w:pPr>
        <w:rPr>
          <w:sz w:val="22"/>
          <w:szCs w:val="22"/>
        </w:rPr>
      </w:pPr>
      <w:r w:rsidRPr="00841EDC">
        <w:rPr>
          <w:sz w:val="22"/>
          <w:szCs w:val="22"/>
        </w:rPr>
        <w:t>Individuals consulted on Statistical Aspects:</w:t>
      </w:r>
    </w:p>
    <w:p w14:paraId="2F82EF1E" w14:textId="77777777" w:rsidR="00665512" w:rsidRPr="00841EDC" w:rsidRDefault="00665512" w:rsidP="00855ABA">
      <w:pPr>
        <w:rPr>
          <w:sz w:val="22"/>
          <w:szCs w:val="22"/>
        </w:rPr>
      </w:pPr>
    </w:p>
    <w:p w14:paraId="4D1C151C" w14:textId="77777777" w:rsidR="00665512" w:rsidRPr="00841EDC" w:rsidRDefault="00665512" w:rsidP="00855ABA">
      <w:pPr>
        <w:rPr>
          <w:sz w:val="22"/>
          <w:szCs w:val="22"/>
        </w:rPr>
      </w:pPr>
      <w:r w:rsidRPr="00841EDC">
        <w:rPr>
          <w:sz w:val="22"/>
          <w:szCs w:val="22"/>
        </w:rPr>
        <w:t>Dr. Erik Meijer, Econometrician, RAND</w:t>
      </w:r>
    </w:p>
    <w:p w14:paraId="4962AA63" w14:textId="77777777" w:rsidR="00665512" w:rsidRPr="00841EDC" w:rsidRDefault="00665512" w:rsidP="00855ABA">
      <w:pPr>
        <w:rPr>
          <w:sz w:val="22"/>
          <w:szCs w:val="22"/>
        </w:rPr>
      </w:pPr>
      <w:r w:rsidRPr="00841EDC">
        <w:rPr>
          <w:sz w:val="22"/>
          <w:szCs w:val="22"/>
        </w:rPr>
        <w:t>Dr. Arie Kapteyn, Econometrician, RAND</w:t>
      </w:r>
    </w:p>
    <w:p w14:paraId="692F8249" w14:textId="77777777" w:rsidR="00665512" w:rsidRPr="00841EDC" w:rsidRDefault="00EF5A9F" w:rsidP="00855ABA">
      <w:pPr>
        <w:rPr>
          <w:sz w:val="22"/>
          <w:szCs w:val="22"/>
          <w:lang w:val="it-IT"/>
        </w:rPr>
      </w:pPr>
      <w:r w:rsidRPr="00841EDC">
        <w:rPr>
          <w:sz w:val="22"/>
          <w:szCs w:val="22"/>
          <w:lang w:val="it-IT"/>
        </w:rPr>
        <w:t>Dr. Marco Angrisani, Quantitative Economist, RAND</w:t>
      </w:r>
    </w:p>
    <w:p w14:paraId="5EA6210E" w14:textId="77777777" w:rsidR="00855ABA" w:rsidRPr="00841EDC" w:rsidRDefault="00855ABA" w:rsidP="00855ABA">
      <w:pPr>
        <w:ind w:left="720"/>
        <w:rPr>
          <w:sz w:val="22"/>
          <w:szCs w:val="22"/>
          <w:lang w:val="it-IT"/>
        </w:rPr>
      </w:pPr>
    </w:p>
    <w:p w14:paraId="264EFD90" w14:textId="77777777" w:rsidR="00855ABA" w:rsidRPr="00841EDC" w:rsidRDefault="00855ABA" w:rsidP="004D5817">
      <w:pPr>
        <w:pStyle w:val="Heading2"/>
        <w:rPr>
          <w:sz w:val="22"/>
          <w:szCs w:val="22"/>
        </w:rPr>
      </w:pPr>
      <w:bookmarkStart w:id="38" w:name="_Toc201829396"/>
      <w:r w:rsidRPr="00841EDC">
        <w:rPr>
          <w:sz w:val="22"/>
          <w:szCs w:val="22"/>
        </w:rPr>
        <w:t>Contact information:</w:t>
      </w:r>
      <w:bookmarkEnd w:id="38"/>
      <w:r w:rsidRPr="00841EDC">
        <w:rPr>
          <w:sz w:val="22"/>
          <w:szCs w:val="22"/>
        </w:rPr>
        <w:t xml:space="preserve"> </w:t>
      </w:r>
    </w:p>
    <w:p w14:paraId="3F62513C" w14:textId="77777777" w:rsidR="00855ABA" w:rsidRPr="00841EDC" w:rsidRDefault="00855ABA" w:rsidP="00855ABA">
      <w:pPr>
        <w:rPr>
          <w:sz w:val="22"/>
          <w:szCs w:val="22"/>
        </w:rPr>
      </w:pPr>
    </w:p>
    <w:p w14:paraId="39D32F0F" w14:textId="77777777" w:rsidR="00855ABA" w:rsidRPr="00841EDC" w:rsidRDefault="00855ABA" w:rsidP="00855ABA">
      <w:pPr>
        <w:rPr>
          <w:sz w:val="22"/>
          <w:szCs w:val="22"/>
          <w:u w:val="single"/>
        </w:rPr>
      </w:pPr>
      <w:r w:rsidRPr="00841EDC">
        <w:rPr>
          <w:sz w:val="22"/>
          <w:szCs w:val="22"/>
          <w:u w:val="single"/>
        </w:rPr>
        <w:t>The RAND Corporation:</w:t>
      </w:r>
    </w:p>
    <w:p w14:paraId="75C11821" w14:textId="77777777" w:rsidR="00855ABA" w:rsidRPr="00841EDC" w:rsidRDefault="00855ABA" w:rsidP="00855ABA">
      <w:pPr>
        <w:rPr>
          <w:sz w:val="22"/>
          <w:szCs w:val="22"/>
        </w:rPr>
      </w:pPr>
    </w:p>
    <w:p w14:paraId="0BC7A759" w14:textId="77777777" w:rsidR="00855ABA" w:rsidRPr="00841EDC" w:rsidRDefault="00855ABA" w:rsidP="00855ABA">
      <w:pPr>
        <w:rPr>
          <w:sz w:val="22"/>
          <w:szCs w:val="22"/>
        </w:rPr>
      </w:pPr>
      <w:r w:rsidRPr="00841EDC">
        <w:rPr>
          <w:sz w:val="22"/>
          <w:szCs w:val="22"/>
        </w:rPr>
        <w:t xml:space="preserve">Principal Investigator: </w:t>
      </w:r>
      <w:r w:rsidR="004D5817" w:rsidRPr="00841EDC">
        <w:rPr>
          <w:sz w:val="22"/>
          <w:szCs w:val="22"/>
        </w:rPr>
        <w:t>Angela Hung, PhD</w:t>
      </w:r>
    </w:p>
    <w:p w14:paraId="056BB077" w14:textId="77777777" w:rsidR="00855ABA" w:rsidRPr="00841EDC" w:rsidRDefault="00855ABA" w:rsidP="00855ABA">
      <w:pPr>
        <w:rPr>
          <w:sz w:val="22"/>
          <w:szCs w:val="22"/>
        </w:rPr>
      </w:pPr>
      <w:r w:rsidRPr="00841EDC">
        <w:rPr>
          <w:sz w:val="22"/>
          <w:szCs w:val="22"/>
        </w:rPr>
        <w:t xml:space="preserve">Senior </w:t>
      </w:r>
      <w:r w:rsidR="004D5817" w:rsidRPr="00841EDC">
        <w:rPr>
          <w:sz w:val="22"/>
          <w:szCs w:val="22"/>
        </w:rPr>
        <w:t>Economist</w:t>
      </w:r>
      <w:r w:rsidRPr="00841EDC">
        <w:rPr>
          <w:sz w:val="22"/>
          <w:szCs w:val="22"/>
        </w:rPr>
        <w:t xml:space="preserve"> and Director, </w:t>
      </w:r>
      <w:r w:rsidR="004D5817" w:rsidRPr="00841EDC">
        <w:rPr>
          <w:sz w:val="22"/>
          <w:szCs w:val="22"/>
        </w:rPr>
        <w:t>Center for Financial and Economic Decision Making</w:t>
      </w:r>
    </w:p>
    <w:p w14:paraId="0F5D8260" w14:textId="77777777" w:rsidR="00855ABA" w:rsidRPr="00841EDC" w:rsidRDefault="00855ABA" w:rsidP="00855ABA">
      <w:pPr>
        <w:rPr>
          <w:sz w:val="22"/>
          <w:szCs w:val="22"/>
        </w:rPr>
      </w:pPr>
      <w:r w:rsidRPr="00841EDC">
        <w:rPr>
          <w:sz w:val="22"/>
          <w:szCs w:val="22"/>
        </w:rPr>
        <w:t>RAND Corporation</w:t>
      </w:r>
    </w:p>
    <w:p w14:paraId="115F58BF" w14:textId="77777777" w:rsidR="00855ABA" w:rsidRPr="00841EDC" w:rsidRDefault="004D5817" w:rsidP="00855ABA">
      <w:pPr>
        <w:rPr>
          <w:sz w:val="22"/>
          <w:szCs w:val="22"/>
        </w:rPr>
      </w:pPr>
      <w:r w:rsidRPr="00841EDC">
        <w:rPr>
          <w:sz w:val="22"/>
          <w:szCs w:val="22"/>
        </w:rPr>
        <w:t>1776 Main Street</w:t>
      </w:r>
    </w:p>
    <w:p w14:paraId="11DC4FE3" w14:textId="77777777" w:rsidR="004D5817" w:rsidRPr="00841EDC" w:rsidRDefault="004D5817" w:rsidP="00855ABA">
      <w:pPr>
        <w:rPr>
          <w:sz w:val="22"/>
          <w:szCs w:val="22"/>
        </w:rPr>
      </w:pPr>
      <w:r w:rsidRPr="00841EDC">
        <w:rPr>
          <w:sz w:val="22"/>
          <w:szCs w:val="22"/>
        </w:rPr>
        <w:t>P.O. Box 2138</w:t>
      </w:r>
    </w:p>
    <w:p w14:paraId="4BF1694B" w14:textId="77777777" w:rsidR="00855ABA" w:rsidRPr="00811EDC" w:rsidRDefault="00EF5A9F" w:rsidP="00855ABA">
      <w:pPr>
        <w:rPr>
          <w:sz w:val="22"/>
          <w:szCs w:val="22"/>
          <w:lang w:val="it-IT"/>
        </w:rPr>
      </w:pPr>
      <w:r w:rsidRPr="00905EA4">
        <w:rPr>
          <w:sz w:val="22"/>
          <w:szCs w:val="22"/>
          <w:lang w:val="it-IT"/>
        </w:rPr>
        <w:t>Santa Monica, CA 90407-2138</w:t>
      </w:r>
    </w:p>
    <w:p w14:paraId="07613412" w14:textId="77777777" w:rsidR="00855ABA" w:rsidRPr="00811EDC" w:rsidRDefault="00EF5A9F" w:rsidP="00855ABA">
      <w:pPr>
        <w:rPr>
          <w:sz w:val="22"/>
          <w:szCs w:val="22"/>
          <w:lang w:val="it-IT"/>
        </w:rPr>
      </w:pPr>
      <w:r w:rsidRPr="00905EA4">
        <w:rPr>
          <w:sz w:val="22"/>
          <w:szCs w:val="22"/>
          <w:lang w:val="it-IT"/>
        </w:rPr>
        <w:t>Office: 310-393-0411 x6081</w:t>
      </w:r>
    </w:p>
    <w:p w14:paraId="37175781" w14:textId="77777777" w:rsidR="00855ABA" w:rsidRPr="00811EDC" w:rsidRDefault="00EF5A9F" w:rsidP="00855ABA">
      <w:pPr>
        <w:rPr>
          <w:sz w:val="22"/>
          <w:szCs w:val="22"/>
          <w:lang w:val="it-IT"/>
        </w:rPr>
      </w:pPr>
      <w:r w:rsidRPr="00905EA4">
        <w:rPr>
          <w:sz w:val="22"/>
          <w:szCs w:val="22"/>
          <w:lang w:val="it-IT"/>
        </w:rPr>
        <w:t>Fax: 310-393-4818</w:t>
      </w:r>
    </w:p>
    <w:p w14:paraId="1584B5D9" w14:textId="77777777" w:rsidR="00855ABA" w:rsidRPr="00841EDC" w:rsidRDefault="00855ABA" w:rsidP="00855ABA">
      <w:pPr>
        <w:rPr>
          <w:sz w:val="22"/>
          <w:szCs w:val="22"/>
        </w:rPr>
      </w:pPr>
      <w:r w:rsidRPr="00841EDC">
        <w:rPr>
          <w:sz w:val="22"/>
          <w:szCs w:val="22"/>
        </w:rPr>
        <w:t xml:space="preserve">Email: </w:t>
      </w:r>
      <w:hyperlink r:id="rId21" w:history="1">
        <w:r w:rsidR="004D5817" w:rsidRPr="00841EDC">
          <w:rPr>
            <w:rStyle w:val="Hyperlink"/>
            <w:sz w:val="22"/>
            <w:szCs w:val="22"/>
          </w:rPr>
          <w:t>ahung@rand.org</w:t>
        </w:r>
      </w:hyperlink>
    </w:p>
    <w:p w14:paraId="1F411256" w14:textId="77777777" w:rsidR="00855ABA" w:rsidRPr="00841EDC" w:rsidRDefault="00855ABA" w:rsidP="00855ABA">
      <w:pPr>
        <w:rPr>
          <w:sz w:val="22"/>
          <w:szCs w:val="22"/>
        </w:rPr>
      </w:pPr>
    </w:p>
    <w:p w14:paraId="1E69322E" w14:textId="77777777" w:rsidR="00855ABA" w:rsidRPr="00841EDC" w:rsidRDefault="00855ABA" w:rsidP="00855ABA">
      <w:pPr>
        <w:rPr>
          <w:sz w:val="22"/>
          <w:szCs w:val="22"/>
        </w:rPr>
      </w:pPr>
    </w:p>
    <w:p w14:paraId="44B6C662" w14:textId="77777777" w:rsidR="00855ABA" w:rsidRPr="00841EDC" w:rsidRDefault="00855ABA" w:rsidP="00855ABA">
      <w:pPr>
        <w:rPr>
          <w:sz w:val="22"/>
          <w:szCs w:val="22"/>
          <w:u w:val="single"/>
        </w:rPr>
      </w:pPr>
      <w:r w:rsidRPr="00841EDC">
        <w:rPr>
          <w:sz w:val="22"/>
          <w:szCs w:val="22"/>
          <w:u w:val="single"/>
        </w:rPr>
        <w:lastRenderedPageBreak/>
        <w:t>Department of Labor:</w:t>
      </w:r>
    </w:p>
    <w:p w14:paraId="32E575DE" w14:textId="77777777" w:rsidR="00855ABA" w:rsidRDefault="00855ABA" w:rsidP="00855ABA">
      <w:pPr>
        <w:rPr>
          <w:sz w:val="22"/>
          <w:szCs w:val="22"/>
        </w:rPr>
      </w:pPr>
      <w:proofErr w:type="spellStart"/>
      <w:r w:rsidRPr="00841EDC">
        <w:rPr>
          <w:sz w:val="22"/>
          <w:szCs w:val="22"/>
        </w:rPr>
        <w:t>Anja</w:t>
      </w:r>
      <w:proofErr w:type="spellEnd"/>
      <w:r w:rsidRPr="00841EDC">
        <w:rPr>
          <w:sz w:val="22"/>
          <w:szCs w:val="22"/>
        </w:rPr>
        <w:t xml:space="preserve"> </w:t>
      </w:r>
      <w:proofErr w:type="spellStart"/>
      <w:r w:rsidRPr="00841EDC">
        <w:rPr>
          <w:sz w:val="22"/>
          <w:szCs w:val="22"/>
        </w:rPr>
        <w:t>Decressin</w:t>
      </w:r>
      <w:proofErr w:type="spellEnd"/>
      <w:r w:rsidRPr="00841EDC">
        <w:rPr>
          <w:sz w:val="22"/>
          <w:szCs w:val="22"/>
        </w:rPr>
        <w:t>, Ph.D.</w:t>
      </w:r>
      <w:r w:rsidR="00355D13" w:rsidRPr="00841EDC">
        <w:rPr>
          <w:sz w:val="22"/>
          <w:szCs w:val="22"/>
        </w:rPr>
        <w:t xml:space="preserve"> </w:t>
      </w:r>
    </w:p>
    <w:p w14:paraId="27E79E71" w14:textId="77777777" w:rsidR="00B46459" w:rsidRPr="00841EDC" w:rsidRDefault="00B46459" w:rsidP="00855ABA">
      <w:pPr>
        <w:rPr>
          <w:sz w:val="22"/>
          <w:szCs w:val="22"/>
        </w:rPr>
      </w:pPr>
      <w:r>
        <w:rPr>
          <w:sz w:val="22"/>
          <w:szCs w:val="22"/>
        </w:rPr>
        <w:t xml:space="preserve">Keith </w:t>
      </w:r>
      <w:proofErr w:type="spellStart"/>
      <w:r>
        <w:rPr>
          <w:sz w:val="22"/>
          <w:szCs w:val="22"/>
        </w:rPr>
        <w:t>Bergstresser</w:t>
      </w:r>
      <w:proofErr w:type="spellEnd"/>
      <w:r>
        <w:rPr>
          <w:sz w:val="22"/>
          <w:szCs w:val="22"/>
        </w:rPr>
        <w:t xml:space="preserve">, </w:t>
      </w:r>
      <w:proofErr w:type="spellStart"/>
      <w:r>
        <w:rPr>
          <w:sz w:val="22"/>
          <w:szCs w:val="22"/>
        </w:rPr>
        <w:t>Ph.D</w:t>
      </w:r>
      <w:proofErr w:type="spellEnd"/>
    </w:p>
    <w:p w14:paraId="7BB611E4" w14:textId="77777777" w:rsidR="00855ABA" w:rsidRPr="00841EDC" w:rsidRDefault="00855ABA" w:rsidP="00855ABA">
      <w:pPr>
        <w:rPr>
          <w:sz w:val="22"/>
          <w:szCs w:val="22"/>
        </w:rPr>
      </w:pPr>
      <w:r w:rsidRPr="00841EDC">
        <w:rPr>
          <w:sz w:val="22"/>
          <w:szCs w:val="22"/>
        </w:rPr>
        <w:t>Department of Labor</w:t>
      </w:r>
    </w:p>
    <w:p w14:paraId="12D9448D" w14:textId="77777777" w:rsidR="00855ABA" w:rsidRPr="00841EDC" w:rsidRDefault="00855ABA" w:rsidP="00855ABA">
      <w:pPr>
        <w:rPr>
          <w:sz w:val="22"/>
          <w:szCs w:val="22"/>
        </w:rPr>
      </w:pPr>
      <w:r w:rsidRPr="00841EDC">
        <w:rPr>
          <w:sz w:val="22"/>
          <w:szCs w:val="22"/>
        </w:rPr>
        <w:t>Employee Benefits Security Administration, N5718</w:t>
      </w:r>
    </w:p>
    <w:p w14:paraId="34279E47" w14:textId="77777777" w:rsidR="00855ABA" w:rsidRPr="00841EDC" w:rsidRDefault="00855ABA" w:rsidP="00855ABA">
      <w:pPr>
        <w:rPr>
          <w:sz w:val="22"/>
          <w:szCs w:val="22"/>
        </w:rPr>
      </w:pPr>
      <w:r w:rsidRPr="00841EDC">
        <w:rPr>
          <w:sz w:val="22"/>
          <w:szCs w:val="22"/>
        </w:rPr>
        <w:t>200 Constitution Ave., NW</w:t>
      </w:r>
    </w:p>
    <w:p w14:paraId="6EEFE773" w14:textId="77777777" w:rsidR="00855ABA" w:rsidRPr="00841EDC" w:rsidRDefault="00855ABA" w:rsidP="00855ABA">
      <w:pPr>
        <w:rPr>
          <w:sz w:val="22"/>
          <w:szCs w:val="22"/>
        </w:rPr>
      </w:pPr>
      <w:r w:rsidRPr="00841EDC">
        <w:rPr>
          <w:sz w:val="22"/>
          <w:szCs w:val="22"/>
        </w:rPr>
        <w:t>Washington, DC 20210</w:t>
      </w:r>
    </w:p>
    <w:p w14:paraId="048F28EF" w14:textId="77777777" w:rsidR="00855ABA" w:rsidRPr="00841EDC" w:rsidRDefault="00855ABA" w:rsidP="00855ABA">
      <w:pPr>
        <w:rPr>
          <w:sz w:val="22"/>
          <w:szCs w:val="22"/>
        </w:rPr>
      </w:pPr>
      <w:r w:rsidRPr="00841EDC">
        <w:rPr>
          <w:sz w:val="22"/>
          <w:szCs w:val="22"/>
        </w:rPr>
        <w:t>Phone: (202) 693-8417</w:t>
      </w:r>
    </w:p>
    <w:p w14:paraId="0321F992" w14:textId="77777777" w:rsidR="00855ABA" w:rsidRPr="00841EDC" w:rsidRDefault="00F12B4C" w:rsidP="00855ABA">
      <w:pPr>
        <w:rPr>
          <w:sz w:val="22"/>
          <w:szCs w:val="22"/>
        </w:rPr>
      </w:pPr>
      <w:hyperlink r:id="rId22" w:history="1">
        <w:r w:rsidR="00855ABA" w:rsidRPr="00841EDC">
          <w:rPr>
            <w:rStyle w:val="Hyperlink"/>
            <w:sz w:val="22"/>
            <w:szCs w:val="22"/>
          </w:rPr>
          <w:t>Decressin.Anja@dol.gov</w:t>
        </w:r>
      </w:hyperlink>
    </w:p>
    <w:p w14:paraId="497017FA" w14:textId="77777777" w:rsidR="00855ABA" w:rsidRPr="00841EDC" w:rsidRDefault="00855ABA" w:rsidP="00855ABA">
      <w:pPr>
        <w:rPr>
          <w:sz w:val="22"/>
          <w:szCs w:val="22"/>
        </w:rPr>
      </w:pPr>
    </w:p>
    <w:p w14:paraId="6C54A5AA" w14:textId="77777777" w:rsidR="00A361DA" w:rsidRPr="00841EDC" w:rsidRDefault="00EF5A9F" w:rsidP="00855ABA">
      <w:pPr>
        <w:rPr>
          <w:sz w:val="22"/>
          <w:szCs w:val="22"/>
        </w:rPr>
      </w:pPr>
      <w:r w:rsidRPr="00841EDC">
        <w:rPr>
          <w:b/>
          <w:sz w:val="22"/>
          <w:szCs w:val="22"/>
        </w:rPr>
        <w:t>References</w:t>
      </w:r>
    </w:p>
    <w:p w14:paraId="0664656B" w14:textId="77777777" w:rsidR="00A361DA" w:rsidRPr="00841EDC" w:rsidRDefault="00A361DA" w:rsidP="00855ABA">
      <w:pPr>
        <w:rPr>
          <w:sz w:val="22"/>
          <w:szCs w:val="22"/>
        </w:rPr>
      </w:pPr>
    </w:p>
    <w:p w14:paraId="54937AAF" w14:textId="77777777" w:rsidR="008F58F7" w:rsidRPr="00841EDC" w:rsidRDefault="008F58F7" w:rsidP="00757CC4">
      <w:pPr>
        <w:ind w:left="360" w:hanging="360"/>
        <w:contextualSpacing/>
        <w:jc w:val="both"/>
        <w:rPr>
          <w:sz w:val="22"/>
          <w:szCs w:val="22"/>
        </w:rPr>
      </w:pPr>
      <w:proofErr w:type="gramStart"/>
      <w:r w:rsidRPr="00841EDC">
        <w:rPr>
          <w:sz w:val="22"/>
          <w:szCs w:val="22"/>
        </w:rPr>
        <w:t>AAPOR (2011).</w:t>
      </w:r>
      <w:proofErr w:type="gramEnd"/>
      <w:r w:rsidRPr="00841EDC">
        <w:rPr>
          <w:sz w:val="22"/>
          <w:szCs w:val="22"/>
        </w:rPr>
        <w:t xml:space="preserve"> </w:t>
      </w:r>
      <w:r w:rsidRPr="00841EDC">
        <w:rPr>
          <w:i/>
          <w:sz w:val="22"/>
          <w:szCs w:val="22"/>
        </w:rPr>
        <w:t>Standard definitions: Final depositions of case codes and outcome rates for surveys</w:t>
      </w:r>
      <w:r w:rsidRPr="00841EDC">
        <w:rPr>
          <w:sz w:val="22"/>
          <w:szCs w:val="22"/>
        </w:rPr>
        <w:t xml:space="preserve"> (7th ed.). </w:t>
      </w:r>
      <w:proofErr w:type="gramStart"/>
      <w:r w:rsidRPr="00841EDC">
        <w:rPr>
          <w:sz w:val="22"/>
          <w:szCs w:val="22"/>
        </w:rPr>
        <w:t>The American Association for Public Opinion Research.</w:t>
      </w:r>
      <w:proofErr w:type="gramEnd"/>
    </w:p>
    <w:p w14:paraId="38D669FC" w14:textId="77777777" w:rsidR="00A361DA" w:rsidRPr="00757CC4" w:rsidRDefault="00A361DA" w:rsidP="00757CC4">
      <w:pPr>
        <w:ind w:left="360" w:hanging="360"/>
        <w:contextualSpacing/>
        <w:jc w:val="both"/>
        <w:rPr>
          <w:sz w:val="22"/>
          <w:szCs w:val="22"/>
        </w:rPr>
      </w:pPr>
      <w:proofErr w:type="spellStart"/>
      <w:r w:rsidRPr="00757CC4">
        <w:rPr>
          <w:sz w:val="22"/>
          <w:szCs w:val="22"/>
        </w:rPr>
        <w:t>Alwin</w:t>
      </w:r>
      <w:proofErr w:type="spellEnd"/>
      <w:r w:rsidRPr="00757CC4">
        <w:rPr>
          <w:sz w:val="22"/>
          <w:szCs w:val="22"/>
        </w:rPr>
        <w:t xml:space="preserve">, D.F. (2007), </w:t>
      </w:r>
      <w:r w:rsidRPr="00757CC4">
        <w:rPr>
          <w:i/>
          <w:sz w:val="22"/>
          <w:szCs w:val="22"/>
        </w:rPr>
        <w:t>Margins of Error. A study of Reliability in Survey Measurement</w:t>
      </w:r>
      <w:r w:rsidRPr="00757CC4">
        <w:rPr>
          <w:sz w:val="22"/>
          <w:szCs w:val="22"/>
        </w:rPr>
        <w:t>, New Jersey: Wiley.</w:t>
      </w:r>
    </w:p>
    <w:p w14:paraId="14ACBD4B" w14:textId="77777777" w:rsidR="00A361DA" w:rsidRPr="00757CC4" w:rsidRDefault="00A361DA" w:rsidP="00757CC4">
      <w:pPr>
        <w:ind w:left="360" w:hanging="360"/>
        <w:contextualSpacing/>
        <w:jc w:val="both"/>
        <w:rPr>
          <w:sz w:val="22"/>
          <w:szCs w:val="22"/>
        </w:rPr>
      </w:pPr>
      <w:r w:rsidRPr="00757CC4">
        <w:rPr>
          <w:sz w:val="22"/>
          <w:szCs w:val="22"/>
        </w:rPr>
        <w:t xml:space="preserve">Andersen, S., G. Harrison, M. Lau, and E. </w:t>
      </w:r>
      <w:proofErr w:type="spellStart"/>
      <w:r w:rsidRPr="00757CC4">
        <w:rPr>
          <w:sz w:val="22"/>
          <w:szCs w:val="22"/>
        </w:rPr>
        <w:t>Rutstroem</w:t>
      </w:r>
      <w:proofErr w:type="spellEnd"/>
      <w:r w:rsidRPr="00757CC4">
        <w:rPr>
          <w:sz w:val="22"/>
          <w:szCs w:val="22"/>
        </w:rPr>
        <w:t xml:space="preserve"> (2008), Eliciting risk and time preferences, </w:t>
      </w:r>
      <w:proofErr w:type="spellStart"/>
      <w:r w:rsidRPr="00757CC4">
        <w:rPr>
          <w:i/>
          <w:iCs/>
          <w:sz w:val="22"/>
          <w:szCs w:val="22"/>
        </w:rPr>
        <w:t>Econometrica</w:t>
      </w:r>
      <w:proofErr w:type="spellEnd"/>
      <w:r w:rsidRPr="00757CC4">
        <w:rPr>
          <w:i/>
          <w:iCs/>
          <w:sz w:val="22"/>
          <w:szCs w:val="22"/>
        </w:rPr>
        <w:t>,</w:t>
      </w:r>
      <w:r w:rsidRPr="00757CC4">
        <w:rPr>
          <w:sz w:val="22"/>
          <w:szCs w:val="22"/>
        </w:rPr>
        <w:t xml:space="preserve"> 76(3), pp. 583-618.</w:t>
      </w:r>
    </w:p>
    <w:p w14:paraId="41E6AA6E" w14:textId="77777777" w:rsidR="00A361DA" w:rsidRPr="00757CC4" w:rsidRDefault="00A361DA" w:rsidP="00757CC4">
      <w:pPr>
        <w:shd w:val="clear" w:color="auto" w:fill="FFFFFF"/>
        <w:ind w:left="360" w:hanging="360"/>
        <w:contextualSpacing/>
        <w:jc w:val="both"/>
        <w:outlineLvl w:val="1"/>
        <w:rPr>
          <w:rStyle w:val="name"/>
          <w:sz w:val="22"/>
          <w:szCs w:val="22"/>
        </w:rPr>
      </w:pPr>
      <w:proofErr w:type="spellStart"/>
      <w:r w:rsidRPr="00757CC4">
        <w:rPr>
          <w:sz w:val="22"/>
          <w:szCs w:val="22"/>
        </w:rPr>
        <w:t>Avendano</w:t>
      </w:r>
      <w:proofErr w:type="spellEnd"/>
      <w:r w:rsidRPr="00757CC4">
        <w:rPr>
          <w:sz w:val="22"/>
          <w:szCs w:val="22"/>
        </w:rPr>
        <w:t xml:space="preserve">, M., A. </w:t>
      </w:r>
      <w:proofErr w:type="spellStart"/>
      <w:r w:rsidRPr="00757CC4">
        <w:rPr>
          <w:sz w:val="22"/>
          <w:szCs w:val="22"/>
        </w:rPr>
        <w:t>Scherpenzeel</w:t>
      </w:r>
      <w:proofErr w:type="spellEnd"/>
      <w:r w:rsidRPr="00757CC4">
        <w:rPr>
          <w:sz w:val="22"/>
          <w:szCs w:val="22"/>
        </w:rPr>
        <w:t xml:space="preserve">, and J.P. </w:t>
      </w:r>
      <w:proofErr w:type="spellStart"/>
      <w:r w:rsidRPr="00757CC4">
        <w:rPr>
          <w:sz w:val="22"/>
          <w:szCs w:val="22"/>
        </w:rPr>
        <w:t>Mackenbach</w:t>
      </w:r>
      <w:proofErr w:type="spellEnd"/>
      <w:r w:rsidRPr="00757CC4">
        <w:rPr>
          <w:sz w:val="22"/>
          <w:szCs w:val="22"/>
        </w:rPr>
        <w:t xml:space="preserve"> (2011), Can Biomarkers be Collected in an Internet Survey? A Pilot Study in the LISS Panel, In: Das, M., P. Ester, and L. </w:t>
      </w:r>
      <w:proofErr w:type="spellStart"/>
      <w:r w:rsidRPr="00757CC4">
        <w:rPr>
          <w:sz w:val="22"/>
          <w:szCs w:val="22"/>
        </w:rPr>
        <w:t>Kaczmirek</w:t>
      </w:r>
      <w:proofErr w:type="spellEnd"/>
      <w:r w:rsidRPr="00757CC4">
        <w:rPr>
          <w:sz w:val="22"/>
          <w:szCs w:val="22"/>
        </w:rPr>
        <w:t xml:space="preserve"> (Eds.), </w:t>
      </w:r>
      <w:r w:rsidRPr="00757CC4">
        <w:rPr>
          <w:i/>
          <w:sz w:val="22"/>
          <w:szCs w:val="22"/>
        </w:rPr>
        <w:t>Social and Behavioral Research and the Internet: Advances in Applied Methods and Research Strategies</w:t>
      </w:r>
      <w:r w:rsidRPr="00757CC4">
        <w:rPr>
          <w:sz w:val="22"/>
          <w:szCs w:val="22"/>
        </w:rPr>
        <w:t>. Boca Raton: Taylor &amp; Francis.</w:t>
      </w:r>
    </w:p>
    <w:p w14:paraId="4925230A" w14:textId="77777777" w:rsidR="00A361DA" w:rsidRPr="00757CC4" w:rsidRDefault="00A361DA" w:rsidP="00757CC4">
      <w:pPr>
        <w:ind w:left="360" w:hanging="360"/>
        <w:contextualSpacing/>
        <w:jc w:val="both"/>
        <w:rPr>
          <w:sz w:val="22"/>
          <w:szCs w:val="22"/>
        </w:rPr>
      </w:pPr>
      <w:proofErr w:type="spellStart"/>
      <w:r w:rsidRPr="00757CC4">
        <w:rPr>
          <w:sz w:val="22"/>
          <w:szCs w:val="22"/>
        </w:rPr>
        <w:t>Bellemare</w:t>
      </w:r>
      <w:proofErr w:type="spellEnd"/>
      <w:r w:rsidRPr="00757CC4">
        <w:rPr>
          <w:sz w:val="22"/>
          <w:szCs w:val="22"/>
        </w:rPr>
        <w:t xml:space="preserve">, C. and S. </w:t>
      </w:r>
      <w:proofErr w:type="spellStart"/>
      <w:r w:rsidRPr="00757CC4">
        <w:rPr>
          <w:color w:val="000000"/>
          <w:sz w:val="22"/>
          <w:szCs w:val="22"/>
        </w:rPr>
        <w:t>Kröger</w:t>
      </w:r>
      <w:proofErr w:type="spellEnd"/>
      <w:r w:rsidRPr="00757CC4">
        <w:rPr>
          <w:sz w:val="22"/>
          <w:szCs w:val="22"/>
        </w:rPr>
        <w:t xml:space="preserve"> (2007), </w:t>
      </w:r>
      <w:proofErr w:type="gramStart"/>
      <w:r w:rsidRPr="00757CC4">
        <w:rPr>
          <w:sz w:val="22"/>
          <w:szCs w:val="22"/>
        </w:rPr>
        <w:t>On</w:t>
      </w:r>
      <w:proofErr w:type="gramEnd"/>
      <w:r w:rsidRPr="00757CC4">
        <w:rPr>
          <w:sz w:val="22"/>
          <w:szCs w:val="22"/>
        </w:rPr>
        <w:t xml:space="preserve"> representative social capital, </w:t>
      </w:r>
      <w:r w:rsidRPr="00757CC4">
        <w:rPr>
          <w:i/>
          <w:iCs/>
          <w:sz w:val="22"/>
          <w:szCs w:val="22"/>
        </w:rPr>
        <w:t>European Economic Review</w:t>
      </w:r>
      <w:r w:rsidRPr="00757CC4">
        <w:rPr>
          <w:sz w:val="22"/>
          <w:szCs w:val="22"/>
        </w:rPr>
        <w:t>, 51, pp. 183–202.</w:t>
      </w:r>
    </w:p>
    <w:p w14:paraId="30BE11BF" w14:textId="77777777" w:rsidR="00A361DA" w:rsidRPr="00757CC4" w:rsidRDefault="00A361DA" w:rsidP="00757CC4">
      <w:pPr>
        <w:pStyle w:val="Heading1"/>
        <w:ind w:left="360" w:hanging="360"/>
        <w:contextualSpacing/>
        <w:jc w:val="both"/>
        <w:rPr>
          <w:b w:val="0"/>
          <w:sz w:val="22"/>
          <w:szCs w:val="22"/>
        </w:rPr>
      </w:pPr>
      <w:bookmarkStart w:id="39" w:name="_Toc201829397"/>
      <w:proofErr w:type="spellStart"/>
      <w:r w:rsidRPr="00757CC4">
        <w:rPr>
          <w:b w:val="0"/>
          <w:sz w:val="22"/>
          <w:szCs w:val="22"/>
          <w:lang w:eastAsia="zh-CN"/>
        </w:rPr>
        <w:t>Bellemare</w:t>
      </w:r>
      <w:proofErr w:type="spellEnd"/>
      <w:r w:rsidRPr="00757CC4">
        <w:rPr>
          <w:b w:val="0"/>
          <w:sz w:val="22"/>
          <w:szCs w:val="22"/>
          <w:lang w:eastAsia="zh-CN"/>
        </w:rPr>
        <w:t xml:space="preserve">, C., S. </w:t>
      </w:r>
      <w:proofErr w:type="spellStart"/>
      <w:r w:rsidRPr="00757CC4">
        <w:rPr>
          <w:b w:val="0"/>
          <w:sz w:val="22"/>
          <w:szCs w:val="22"/>
          <w:lang w:eastAsia="zh-CN"/>
        </w:rPr>
        <w:t>Kröger</w:t>
      </w:r>
      <w:proofErr w:type="spellEnd"/>
      <w:r w:rsidRPr="00757CC4">
        <w:rPr>
          <w:b w:val="0"/>
          <w:sz w:val="22"/>
          <w:szCs w:val="22"/>
          <w:lang w:eastAsia="zh-CN"/>
        </w:rPr>
        <w:t xml:space="preserve">, and A. van </w:t>
      </w:r>
      <w:proofErr w:type="spellStart"/>
      <w:r w:rsidRPr="00757CC4">
        <w:rPr>
          <w:b w:val="0"/>
          <w:sz w:val="22"/>
          <w:szCs w:val="22"/>
          <w:lang w:eastAsia="zh-CN"/>
        </w:rPr>
        <w:t>Soest</w:t>
      </w:r>
      <w:proofErr w:type="spellEnd"/>
      <w:r w:rsidRPr="00757CC4">
        <w:rPr>
          <w:b w:val="0"/>
          <w:sz w:val="22"/>
          <w:szCs w:val="22"/>
          <w:lang w:eastAsia="zh-CN"/>
        </w:rPr>
        <w:t xml:space="preserve"> (2008), Measuring inequity aversion in a het</w:t>
      </w:r>
      <w:r w:rsidRPr="00757CC4">
        <w:rPr>
          <w:b w:val="0"/>
          <w:bCs w:val="0"/>
          <w:sz w:val="22"/>
          <w:szCs w:val="22"/>
        </w:rPr>
        <w:t>ero</w:t>
      </w:r>
      <w:r w:rsidRPr="00757CC4">
        <w:rPr>
          <w:b w:val="0"/>
          <w:sz w:val="22"/>
          <w:szCs w:val="22"/>
          <w:lang w:eastAsia="zh-CN"/>
        </w:rPr>
        <w:t xml:space="preserve">geneous population using experimental decisions and subjective probabilities, </w:t>
      </w:r>
      <w:proofErr w:type="spellStart"/>
      <w:r w:rsidRPr="00757CC4">
        <w:rPr>
          <w:b w:val="0"/>
          <w:i/>
          <w:iCs/>
          <w:sz w:val="22"/>
          <w:szCs w:val="22"/>
          <w:lang w:eastAsia="zh-CN"/>
        </w:rPr>
        <w:t>Econometrica</w:t>
      </w:r>
      <w:proofErr w:type="spellEnd"/>
      <w:r w:rsidRPr="00757CC4">
        <w:rPr>
          <w:b w:val="0"/>
          <w:i/>
          <w:iCs/>
          <w:sz w:val="22"/>
          <w:szCs w:val="22"/>
          <w:lang w:eastAsia="zh-CN"/>
        </w:rPr>
        <w:t>,</w:t>
      </w:r>
      <w:r w:rsidRPr="00757CC4">
        <w:rPr>
          <w:b w:val="0"/>
          <w:sz w:val="22"/>
          <w:szCs w:val="22"/>
          <w:lang w:eastAsia="zh-CN"/>
        </w:rPr>
        <w:t xml:space="preserve"> 76(4), pp. 815-839.</w:t>
      </w:r>
      <w:bookmarkEnd w:id="39"/>
    </w:p>
    <w:p w14:paraId="06BBA16F" w14:textId="77777777" w:rsidR="00A361DA" w:rsidRPr="00757CC4" w:rsidRDefault="00A361DA" w:rsidP="00757CC4">
      <w:pPr>
        <w:ind w:left="360" w:hanging="360"/>
        <w:contextualSpacing/>
        <w:jc w:val="both"/>
        <w:rPr>
          <w:sz w:val="22"/>
          <w:szCs w:val="22"/>
        </w:rPr>
      </w:pPr>
      <w:proofErr w:type="spellStart"/>
      <w:r w:rsidRPr="00757CC4">
        <w:rPr>
          <w:sz w:val="22"/>
          <w:szCs w:val="22"/>
        </w:rPr>
        <w:t>Bennink</w:t>
      </w:r>
      <w:proofErr w:type="spellEnd"/>
      <w:r w:rsidRPr="00757CC4">
        <w:rPr>
          <w:sz w:val="22"/>
          <w:szCs w:val="22"/>
        </w:rPr>
        <w:t xml:space="preserve">, M., G. Moors, and J. </w:t>
      </w:r>
      <w:proofErr w:type="spellStart"/>
      <w:r w:rsidRPr="00757CC4">
        <w:rPr>
          <w:sz w:val="22"/>
          <w:szCs w:val="22"/>
        </w:rPr>
        <w:t>Gelissen</w:t>
      </w:r>
      <w:proofErr w:type="spellEnd"/>
      <w:r w:rsidRPr="00757CC4">
        <w:rPr>
          <w:sz w:val="22"/>
          <w:szCs w:val="22"/>
        </w:rPr>
        <w:t xml:space="preserve"> (2011), Exploring Response Differences between Face-to-face and Web surveys: A Qualitative Comparative Analysis of the Dutch ‘European Values Survey 2008’, Working paper, Department of Methodology and Statistics, School of Social and Behavioral Sciences, Tilburg University.</w:t>
      </w:r>
    </w:p>
    <w:p w14:paraId="672CD904" w14:textId="77777777" w:rsidR="00A361DA" w:rsidRPr="00757CC4" w:rsidRDefault="00A361DA" w:rsidP="00757CC4">
      <w:pPr>
        <w:ind w:left="360" w:hanging="360"/>
        <w:contextualSpacing/>
        <w:jc w:val="both"/>
        <w:rPr>
          <w:sz w:val="22"/>
          <w:szCs w:val="22"/>
        </w:rPr>
      </w:pPr>
      <w:r w:rsidRPr="00757CC4">
        <w:rPr>
          <w:sz w:val="22"/>
          <w:szCs w:val="22"/>
        </w:rPr>
        <w:t xml:space="preserve">Berthoud, R. and J. </w:t>
      </w:r>
      <w:proofErr w:type="spellStart"/>
      <w:r w:rsidRPr="00757CC4">
        <w:rPr>
          <w:sz w:val="22"/>
          <w:szCs w:val="22"/>
        </w:rPr>
        <w:t>Gershuny</w:t>
      </w:r>
      <w:proofErr w:type="spellEnd"/>
      <w:r w:rsidRPr="00757CC4">
        <w:rPr>
          <w:sz w:val="22"/>
          <w:szCs w:val="22"/>
        </w:rPr>
        <w:t xml:space="preserve"> (2000), </w:t>
      </w:r>
      <w:r w:rsidRPr="00757CC4">
        <w:rPr>
          <w:i/>
          <w:sz w:val="22"/>
          <w:szCs w:val="22"/>
        </w:rPr>
        <w:t>Seven Years in the Lives of British Families. Evidence on the Dynamics of Social Change from the British Household Panel Survey</w:t>
      </w:r>
      <w:r w:rsidRPr="00757CC4">
        <w:rPr>
          <w:sz w:val="22"/>
          <w:szCs w:val="22"/>
        </w:rPr>
        <w:t>, Bristol: The Policy Press.</w:t>
      </w:r>
    </w:p>
    <w:p w14:paraId="3E8E6969" w14:textId="77777777" w:rsidR="008F58F7" w:rsidRPr="00757CC4" w:rsidRDefault="008F58F7" w:rsidP="00757CC4">
      <w:pPr>
        <w:ind w:left="360" w:hanging="360"/>
        <w:contextualSpacing/>
        <w:jc w:val="both"/>
        <w:rPr>
          <w:sz w:val="22"/>
          <w:szCs w:val="22"/>
        </w:rPr>
      </w:pPr>
      <w:proofErr w:type="spellStart"/>
      <w:proofErr w:type="gramStart"/>
      <w:r w:rsidRPr="00757CC4">
        <w:rPr>
          <w:sz w:val="22"/>
          <w:szCs w:val="22"/>
        </w:rPr>
        <w:t>Callegaro</w:t>
      </w:r>
      <w:proofErr w:type="spellEnd"/>
      <w:r w:rsidRPr="00757CC4">
        <w:rPr>
          <w:sz w:val="22"/>
          <w:szCs w:val="22"/>
        </w:rPr>
        <w:t xml:space="preserve">, M., &amp; </w:t>
      </w:r>
      <w:proofErr w:type="spellStart"/>
      <w:r w:rsidRPr="00757CC4">
        <w:rPr>
          <w:sz w:val="22"/>
          <w:szCs w:val="22"/>
        </w:rPr>
        <w:t>DiSogra</w:t>
      </w:r>
      <w:proofErr w:type="spellEnd"/>
      <w:r w:rsidRPr="00757CC4">
        <w:rPr>
          <w:sz w:val="22"/>
          <w:szCs w:val="22"/>
        </w:rPr>
        <w:t>, C. (2008).</w:t>
      </w:r>
      <w:proofErr w:type="gramEnd"/>
      <w:r w:rsidRPr="00757CC4">
        <w:rPr>
          <w:sz w:val="22"/>
          <w:szCs w:val="22"/>
        </w:rPr>
        <w:t xml:space="preserve"> Computing response metrics for online panels. </w:t>
      </w:r>
      <w:r w:rsidRPr="00757CC4">
        <w:rPr>
          <w:i/>
          <w:sz w:val="22"/>
          <w:szCs w:val="22"/>
        </w:rPr>
        <w:t>Public Opinion Quarterly</w:t>
      </w:r>
      <w:r w:rsidRPr="00757CC4">
        <w:rPr>
          <w:sz w:val="22"/>
          <w:szCs w:val="22"/>
        </w:rPr>
        <w:t xml:space="preserve">, </w:t>
      </w:r>
      <w:r w:rsidRPr="00757CC4">
        <w:rPr>
          <w:i/>
          <w:sz w:val="22"/>
          <w:szCs w:val="22"/>
        </w:rPr>
        <w:t>72</w:t>
      </w:r>
      <w:r w:rsidRPr="00757CC4">
        <w:rPr>
          <w:sz w:val="22"/>
          <w:szCs w:val="22"/>
        </w:rPr>
        <w:t>, 1008-1032.</w:t>
      </w:r>
    </w:p>
    <w:p w14:paraId="786EBDC1" w14:textId="77777777" w:rsidR="00A361DA" w:rsidRPr="00757CC4" w:rsidRDefault="00A361DA" w:rsidP="00757CC4">
      <w:pPr>
        <w:pStyle w:val="NormalWeb"/>
        <w:spacing w:before="0" w:beforeAutospacing="0" w:after="0" w:afterAutospacing="0"/>
        <w:ind w:left="360" w:hanging="360"/>
        <w:contextualSpacing/>
        <w:jc w:val="both"/>
        <w:rPr>
          <w:bCs/>
          <w:sz w:val="22"/>
          <w:szCs w:val="22"/>
        </w:rPr>
      </w:pPr>
      <w:r w:rsidRPr="00757CC4">
        <w:rPr>
          <w:bCs/>
          <w:sz w:val="22"/>
          <w:szCs w:val="22"/>
        </w:rPr>
        <w:t xml:space="preserve">Carmines, E.G. and R.A. Zeller (1994), Reliability and validity assessment, In: Lewis-Beck, E. (Ed.), </w:t>
      </w:r>
      <w:proofErr w:type="gramStart"/>
      <w:r w:rsidRPr="00757CC4">
        <w:rPr>
          <w:bCs/>
          <w:i/>
          <w:sz w:val="22"/>
          <w:szCs w:val="22"/>
        </w:rPr>
        <w:t>Basic</w:t>
      </w:r>
      <w:proofErr w:type="gramEnd"/>
      <w:r w:rsidRPr="00757CC4">
        <w:rPr>
          <w:bCs/>
          <w:i/>
          <w:sz w:val="22"/>
          <w:szCs w:val="22"/>
        </w:rPr>
        <w:t xml:space="preserve"> measurement</w:t>
      </w:r>
      <w:r w:rsidRPr="00757CC4">
        <w:rPr>
          <w:bCs/>
          <w:sz w:val="22"/>
          <w:szCs w:val="22"/>
        </w:rPr>
        <w:t>, London: Sage.</w:t>
      </w:r>
    </w:p>
    <w:p w14:paraId="4B72826F" w14:textId="77777777" w:rsidR="00A361DA" w:rsidRPr="00757CC4" w:rsidRDefault="00A361DA" w:rsidP="00757CC4">
      <w:pPr>
        <w:pStyle w:val="NormalWeb"/>
        <w:spacing w:before="0" w:beforeAutospacing="0" w:after="0" w:afterAutospacing="0"/>
        <w:ind w:left="360" w:hanging="360"/>
        <w:contextualSpacing/>
        <w:jc w:val="both"/>
        <w:rPr>
          <w:sz w:val="22"/>
          <w:szCs w:val="22"/>
        </w:rPr>
      </w:pPr>
      <w:r w:rsidRPr="00757CC4">
        <w:rPr>
          <w:bCs/>
          <w:sz w:val="22"/>
          <w:szCs w:val="22"/>
        </w:rPr>
        <w:t xml:space="preserve">Chang, L. and J.A. </w:t>
      </w:r>
      <w:proofErr w:type="spellStart"/>
      <w:r w:rsidRPr="00757CC4">
        <w:rPr>
          <w:bCs/>
          <w:sz w:val="22"/>
          <w:szCs w:val="22"/>
        </w:rPr>
        <w:t>Krosnick</w:t>
      </w:r>
      <w:proofErr w:type="spellEnd"/>
      <w:r w:rsidRPr="00757CC4">
        <w:rPr>
          <w:bCs/>
          <w:sz w:val="22"/>
          <w:szCs w:val="22"/>
        </w:rPr>
        <w:t xml:space="preserve"> (2009), </w:t>
      </w:r>
      <w:r w:rsidRPr="00757CC4">
        <w:rPr>
          <w:sz w:val="22"/>
          <w:szCs w:val="22"/>
        </w:rPr>
        <w:t xml:space="preserve">National surveys via RDD telephone interviewing versus the Internet: Comparing sample representativeness and response quality, </w:t>
      </w:r>
      <w:r w:rsidRPr="00757CC4">
        <w:rPr>
          <w:i/>
          <w:sz w:val="22"/>
          <w:szCs w:val="22"/>
        </w:rPr>
        <w:t>Public Opinion Quarterly</w:t>
      </w:r>
      <w:r w:rsidRPr="00757CC4">
        <w:rPr>
          <w:sz w:val="22"/>
          <w:szCs w:val="22"/>
        </w:rPr>
        <w:t xml:space="preserve">, 73, pp. 641-678. </w:t>
      </w:r>
    </w:p>
    <w:p w14:paraId="0302B6C4" w14:textId="77777777" w:rsidR="00A361DA" w:rsidRPr="00757CC4" w:rsidRDefault="00A361DA" w:rsidP="00757CC4">
      <w:pPr>
        <w:ind w:left="360" w:hanging="360"/>
        <w:contextualSpacing/>
        <w:jc w:val="both"/>
        <w:rPr>
          <w:sz w:val="22"/>
          <w:szCs w:val="22"/>
        </w:rPr>
      </w:pPr>
      <w:proofErr w:type="spellStart"/>
      <w:proofErr w:type="gramStart"/>
      <w:r w:rsidRPr="00757CC4">
        <w:rPr>
          <w:sz w:val="22"/>
          <w:szCs w:val="22"/>
        </w:rPr>
        <w:t>Couper</w:t>
      </w:r>
      <w:proofErr w:type="spellEnd"/>
      <w:r w:rsidRPr="00757CC4">
        <w:rPr>
          <w:sz w:val="22"/>
          <w:szCs w:val="22"/>
        </w:rPr>
        <w:t xml:space="preserve">, M.P. (2008), </w:t>
      </w:r>
      <w:r w:rsidRPr="00757CC4">
        <w:rPr>
          <w:i/>
          <w:sz w:val="22"/>
          <w:szCs w:val="22"/>
        </w:rPr>
        <w:t>Designing Effective Web Surveys</w:t>
      </w:r>
      <w:r w:rsidRPr="00757CC4">
        <w:rPr>
          <w:sz w:val="22"/>
          <w:szCs w:val="22"/>
        </w:rPr>
        <w:t>.</w:t>
      </w:r>
      <w:proofErr w:type="gramEnd"/>
      <w:r w:rsidRPr="00757CC4">
        <w:rPr>
          <w:sz w:val="22"/>
          <w:szCs w:val="22"/>
        </w:rPr>
        <w:t xml:space="preserve"> Cambridge: Cambridge University Press.</w:t>
      </w:r>
    </w:p>
    <w:p w14:paraId="1A2A39E6" w14:textId="77777777" w:rsidR="00A361DA" w:rsidRPr="00757CC4" w:rsidRDefault="00A361DA" w:rsidP="00757CC4">
      <w:pPr>
        <w:ind w:left="360" w:hanging="360"/>
        <w:contextualSpacing/>
        <w:jc w:val="both"/>
        <w:rPr>
          <w:i/>
          <w:sz w:val="22"/>
          <w:szCs w:val="22"/>
        </w:rPr>
      </w:pPr>
      <w:proofErr w:type="spellStart"/>
      <w:r w:rsidRPr="00757CC4">
        <w:rPr>
          <w:sz w:val="22"/>
          <w:szCs w:val="22"/>
        </w:rPr>
        <w:t>Couper</w:t>
      </w:r>
      <w:proofErr w:type="spellEnd"/>
      <w:r w:rsidRPr="00757CC4">
        <w:rPr>
          <w:sz w:val="22"/>
          <w:szCs w:val="22"/>
        </w:rPr>
        <w:t xml:space="preserve">, M. P. 2000, Web Surveys: A Review of Issues and Approaches, </w:t>
      </w:r>
      <w:r w:rsidRPr="00757CC4">
        <w:rPr>
          <w:i/>
          <w:sz w:val="22"/>
          <w:szCs w:val="22"/>
        </w:rPr>
        <w:t>Public Opinion Quarterly</w:t>
      </w:r>
      <w:r w:rsidRPr="00757CC4">
        <w:rPr>
          <w:sz w:val="22"/>
          <w:szCs w:val="22"/>
        </w:rPr>
        <w:t>, 64, pp. 464–94.</w:t>
      </w:r>
    </w:p>
    <w:p w14:paraId="60FBE4FA" w14:textId="77777777" w:rsidR="00A361DA" w:rsidRPr="00757CC4" w:rsidRDefault="00A361DA" w:rsidP="00757CC4">
      <w:pPr>
        <w:ind w:left="360" w:hanging="360"/>
        <w:contextualSpacing/>
        <w:jc w:val="both"/>
        <w:rPr>
          <w:sz w:val="22"/>
          <w:szCs w:val="22"/>
        </w:rPr>
      </w:pPr>
      <w:proofErr w:type="spellStart"/>
      <w:r w:rsidRPr="00757CC4">
        <w:rPr>
          <w:sz w:val="22"/>
          <w:szCs w:val="22"/>
        </w:rPr>
        <w:t>Couper</w:t>
      </w:r>
      <w:proofErr w:type="spellEnd"/>
      <w:r w:rsidRPr="00757CC4">
        <w:rPr>
          <w:sz w:val="22"/>
          <w:szCs w:val="22"/>
        </w:rPr>
        <w:t xml:space="preserve">, M. P., F.G. Conrad, and R. </w:t>
      </w:r>
      <w:proofErr w:type="spellStart"/>
      <w:r w:rsidRPr="00757CC4">
        <w:rPr>
          <w:sz w:val="22"/>
          <w:szCs w:val="22"/>
        </w:rPr>
        <w:t>Tourangeau</w:t>
      </w:r>
      <w:proofErr w:type="spellEnd"/>
      <w:r w:rsidRPr="00757CC4">
        <w:rPr>
          <w:sz w:val="22"/>
          <w:szCs w:val="22"/>
        </w:rPr>
        <w:t xml:space="preserve"> (2007), Visual context effects in Web surveys, </w:t>
      </w:r>
      <w:r w:rsidRPr="00757CC4">
        <w:rPr>
          <w:i/>
          <w:sz w:val="22"/>
          <w:szCs w:val="22"/>
        </w:rPr>
        <w:t>Public Opinion Quarterly</w:t>
      </w:r>
      <w:r w:rsidRPr="00757CC4">
        <w:rPr>
          <w:sz w:val="22"/>
          <w:szCs w:val="22"/>
        </w:rPr>
        <w:t>, 71, pp. 623–634.</w:t>
      </w:r>
    </w:p>
    <w:p w14:paraId="3A8C330C" w14:textId="77777777" w:rsidR="00A361DA" w:rsidRPr="00757CC4" w:rsidRDefault="00A361DA" w:rsidP="00757CC4">
      <w:pPr>
        <w:pStyle w:val="Reference"/>
        <w:spacing w:line="240" w:lineRule="auto"/>
        <w:ind w:left="360" w:hanging="360"/>
        <w:contextualSpacing/>
        <w:jc w:val="both"/>
        <w:rPr>
          <w:sz w:val="22"/>
          <w:szCs w:val="22"/>
        </w:rPr>
      </w:pPr>
      <w:proofErr w:type="spellStart"/>
      <w:r w:rsidRPr="00757CC4">
        <w:rPr>
          <w:sz w:val="22"/>
          <w:szCs w:val="22"/>
        </w:rPr>
        <w:t>Couper</w:t>
      </w:r>
      <w:proofErr w:type="spellEnd"/>
      <w:r w:rsidRPr="00757CC4">
        <w:rPr>
          <w:sz w:val="22"/>
          <w:szCs w:val="22"/>
        </w:rPr>
        <w:t xml:space="preserve">, M.P., A. Kapteyn, M. </w:t>
      </w:r>
      <w:proofErr w:type="spellStart"/>
      <w:r w:rsidRPr="00757CC4">
        <w:rPr>
          <w:sz w:val="22"/>
          <w:szCs w:val="22"/>
        </w:rPr>
        <w:t>Schonlau</w:t>
      </w:r>
      <w:proofErr w:type="spellEnd"/>
      <w:r w:rsidRPr="00757CC4">
        <w:rPr>
          <w:sz w:val="22"/>
          <w:szCs w:val="22"/>
        </w:rPr>
        <w:t xml:space="preserve">, and J. Winter (2007), </w:t>
      </w:r>
      <w:proofErr w:type="spellStart"/>
      <w:r w:rsidRPr="00757CC4">
        <w:rPr>
          <w:sz w:val="22"/>
          <w:szCs w:val="22"/>
        </w:rPr>
        <w:t>Noncoverage</w:t>
      </w:r>
      <w:proofErr w:type="spellEnd"/>
      <w:r w:rsidRPr="00757CC4">
        <w:rPr>
          <w:sz w:val="22"/>
          <w:szCs w:val="22"/>
        </w:rPr>
        <w:t xml:space="preserve"> and Nonresponse in an Internet Survey, </w:t>
      </w:r>
      <w:hyperlink r:id="rId23" w:history="1">
        <w:r w:rsidRPr="00757CC4">
          <w:rPr>
            <w:i/>
            <w:sz w:val="22"/>
            <w:szCs w:val="22"/>
          </w:rPr>
          <w:t>Social Science Research</w:t>
        </w:r>
      </w:hyperlink>
      <w:r w:rsidRPr="00757CC4">
        <w:rPr>
          <w:sz w:val="22"/>
          <w:szCs w:val="22"/>
        </w:rPr>
        <w:t>, 36(1), pp. 131-148.</w:t>
      </w:r>
    </w:p>
    <w:p w14:paraId="2F8F203D" w14:textId="77777777" w:rsidR="00A361DA" w:rsidRPr="00757CC4" w:rsidRDefault="00A361DA" w:rsidP="00757CC4">
      <w:pPr>
        <w:ind w:left="360" w:hanging="360"/>
        <w:contextualSpacing/>
        <w:jc w:val="both"/>
        <w:rPr>
          <w:sz w:val="22"/>
          <w:szCs w:val="22"/>
        </w:rPr>
      </w:pPr>
      <w:proofErr w:type="spellStart"/>
      <w:r w:rsidRPr="00757CC4">
        <w:rPr>
          <w:color w:val="000000"/>
          <w:sz w:val="22"/>
          <w:szCs w:val="22"/>
        </w:rPr>
        <w:t>Couper</w:t>
      </w:r>
      <w:proofErr w:type="spellEnd"/>
      <w:r w:rsidRPr="00757CC4">
        <w:rPr>
          <w:color w:val="000000"/>
          <w:sz w:val="22"/>
          <w:szCs w:val="22"/>
        </w:rPr>
        <w:t xml:space="preserve">, M.P. and M.B. </w:t>
      </w:r>
      <w:proofErr w:type="spellStart"/>
      <w:r w:rsidRPr="00757CC4">
        <w:rPr>
          <w:color w:val="000000"/>
          <w:sz w:val="22"/>
          <w:szCs w:val="22"/>
        </w:rPr>
        <w:t>Ofstedal</w:t>
      </w:r>
      <w:proofErr w:type="spellEnd"/>
      <w:r w:rsidRPr="00757CC4">
        <w:rPr>
          <w:color w:val="000000"/>
          <w:sz w:val="22"/>
          <w:szCs w:val="22"/>
        </w:rPr>
        <w:t xml:space="preserve"> (2009), Keeping in Contact with Mobile Sample Members. </w:t>
      </w:r>
      <w:r w:rsidRPr="00757CC4">
        <w:rPr>
          <w:sz w:val="22"/>
          <w:szCs w:val="22"/>
        </w:rPr>
        <w:t xml:space="preserve">In: Lynn, P. (Ed.) </w:t>
      </w:r>
      <w:r w:rsidRPr="00757CC4">
        <w:rPr>
          <w:i/>
          <w:sz w:val="22"/>
          <w:szCs w:val="22"/>
        </w:rPr>
        <w:t>Methodology of Longitudinal Surveys</w:t>
      </w:r>
      <w:proofErr w:type="gramStart"/>
      <w:r w:rsidRPr="00757CC4">
        <w:rPr>
          <w:sz w:val="22"/>
          <w:szCs w:val="22"/>
        </w:rPr>
        <w:t xml:space="preserve">,  </w:t>
      </w:r>
      <w:proofErr w:type="spellStart"/>
      <w:r w:rsidRPr="00757CC4">
        <w:rPr>
          <w:sz w:val="22"/>
          <w:szCs w:val="22"/>
        </w:rPr>
        <w:t>Chichester</w:t>
      </w:r>
      <w:proofErr w:type="spellEnd"/>
      <w:proofErr w:type="gramEnd"/>
      <w:r w:rsidRPr="00757CC4">
        <w:rPr>
          <w:sz w:val="22"/>
          <w:szCs w:val="22"/>
        </w:rPr>
        <w:t>: John Wiley &amp; Sons.</w:t>
      </w:r>
    </w:p>
    <w:p w14:paraId="20D48593" w14:textId="77777777" w:rsidR="00A361DA" w:rsidRPr="00757CC4" w:rsidRDefault="00A361DA" w:rsidP="00757CC4">
      <w:pPr>
        <w:ind w:left="360" w:hanging="360"/>
        <w:contextualSpacing/>
        <w:jc w:val="both"/>
        <w:rPr>
          <w:sz w:val="22"/>
          <w:szCs w:val="22"/>
        </w:rPr>
      </w:pPr>
      <w:proofErr w:type="spellStart"/>
      <w:proofErr w:type="gramStart"/>
      <w:r w:rsidRPr="00757CC4">
        <w:rPr>
          <w:sz w:val="22"/>
          <w:szCs w:val="22"/>
        </w:rPr>
        <w:t>Couper</w:t>
      </w:r>
      <w:proofErr w:type="spellEnd"/>
      <w:r w:rsidRPr="00757CC4">
        <w:rPr>
          <w:sz w:val="22"/>
          <w:szCs w:val="22"/>
        </w:rPr>
        <w:t xml:space="preserve">, M. P., M.W. </w:t>
      </w:r>
      <w:proofErr w:type="spellStart"/>
      <w:r w:rsidRPr="00757CC4">
        <w:rPr>
          <w:sz w:val="22"/>
          <w:szCs w:val="22"/>
        </w:rPr>
        <w:t>Traugott</w:t>
      </w:r>
      <w:proofErr w:type="spellEnd"/>
      <w:r w:rsidRPr="00757CC4">
        <w:rPr>
          <w:sz w:val="22"/>
          <w:szCs w:val="22"/>
        </w:rPr>
        <w:t xml:space="preserve">, and M.J. Lamias (2001), Web survey design and administration, </w:t>
      </w:r>
      <w:r w:rsidRPr="00757CC4">
        <w:rPr>
          <w:i/>
          <w:sz w:val="22"/>
          <w:szCs w:val="22"/>
        </w:rPr>
        <w:t>Public Opinion Quarterly</w:t>
      </w:r>
      <w:r w:rsidRPr="00757CC4">
        <w:rPr>
          <w:sz w:val="22"/>
          <w:szCs w:val="22"/>
        </w:rPr>
        <w:t>, 65, pp. 230–253.</w:t>
      </w:r>
      <w:proofErr w:type="gramEnd"/>
    </w:p>
    <w:p w14:paraId="141521D6" w14:textId="77777777" w:rsidR="00A361DA" w:rsidRPr="00757CC4" w:rsidRDefault="00A361DA" w:rsidP="00757CC4">
      <w:pPr>
        <w:ind w:left="360" w:hanging="360"/>
        <w:contextualSpacing/>
        <w:jc w:val="both"/>
        <w:rPr>
          <w:sz w:val="22"/>
          <w:szCs w:val="22"/>
        </w:rPr>
      </w:pPr>
      <w:proofErr w:type="spellStart"/>
      <w:r w:rsidRPr="00757CC4">
        <w:rPr>
          <w:sz w:val="22"/>
          <w:szCs w:val="22"/>
        </w:rPr>
        <w:lastRenderedPageBreak/>
        <w:t>Couper</w:t>
      </w:r>
      <w:proofErr w:type="spellEnd"/>
      <w:r w:rsidRPr="00757CC4">
        <w:rPr>
          <w:sz w:val="22"/>
          <w:szCs w:val="22"/>
        </w:rPr>
        <w:t xml:space="preserve">, M. P., R. </w:t>
      </w:r>
      <w:proofErr w:type="spellStart"/>
      <w:r w:rsidRPr="00757CC4">
        <w:rPr>
          <w:sz w:val="22"/>
          <w:szCs w:val="22"/>
        </w:rPr>
        <w:t>Tourangeau</w:t>
      </w:r>
      <w:proofErr w:type="spellEnd"/>
      <w:r w:rsidRPr="00757CC4">
        <w:rPr>
          <w:sz w:val="22"/>
          <w:szCs w:val="22"/>
        </w:rPr>
        <w:t xml:space="preserve">, and K. Kenyon (2004), Picture this! Exploring visual effects in Web surveys, </w:t>
      </w:r>
      <w:r w:rsidRPr="00757CC4">
        <w:rPr>
          <w:i/>
          <w:sz w:val="22"/>
          <w:szCs w:val="22"/>
        </w:rPr>
        <w:t>Public Opinion Quarterly</w:t>
      </w:r>
      <w:r w:rsidRPr="00757CC4">
        <w:rPr>
          <w:sz w:val="22"/>
          <w:szCs w:val="22"/>
        </w:rPr>
        <w:t>, 68, pp. 255–266.</w:t>
      </w:r>
    </w:p>
    <w:p w14:paraId="09BFC285" w14:textId="77777777" w:rsidR="00810502" w:rsidRPr="00841EDC" w:rsidRDefault="00810502" w:rsidP="00757CC4">
      <w:pPr>
        <w:ind w:left="360" w:hanging="360"/>
        <w:contextualSpacing/>
        <w:jc w:val="both"/>
        <w:rPr>
          <w:sz w:val="22"/>
          <w:szCs w:val="22"/>
        </w:rPr>
      </w:pPr>
      <w:r w:rsidRPr="00841EDC">
        <w:rPr>
          <w:color w:val="000000"/>
          <w:sz w:val="22"/>
          <w:szCs w:val="22"/>
        </w:rPr>
        <w:t xml:space="preserve">Curtin, R. T. (2002). </w:t>
      </w:r>
      <w:proofErr w:type="gramStart"/>
      <w:r w:rsidRPr="00841EDC">
        <w:rPr>
          <w:color w:val="000000"/>
          <w:sz w:val="22"/>
          <w:szCs w:val="22"/>
        </w:rPr>
        <w:t>Surveys of consumers.</w:t>
      </w:r>
      <w:proofErr w:type="gramEnd"/>
      <w:r w:rsidRPr="00841EDC">
        <w:rPr>
          <w:color w:val="000000"/>
          <w:sz w:val="22"/>
          <w:szCs w:val="22"/>
        </w:rPr>
        <w:t xml:space="preserve"> Retrieved January 25, 2012, from</w:t>
      </w:r>
      <w:r w:rsidR="00361944">
        <w:rPr>
          <w:color w:val="000000"/>
          <w:sz w:val="22"/>
          <w:szCs w:val="22"/>
        </w:rPr>
        <w:tab/>
        <w:t xml:space="preserve"> </w:t>
      </w:r>
      <w:r w:rsidRPr="00841EDC">
        <w:rPr>
          <w:color w:val="000000"/>
          <w:sz w:val="22"/>
          <w:szCs w:val="22"/>
        </w:rPr>
        <w:t>http://www.sca.isr.umich.edu/</w:t>
      </w:r>
    </w:p>
    <w:p w14:paraId="1C962F80" w14:textId="77777777" w:rsidR="00A361DA" w:rsidRPr="00757CC4" w:rsidRDefault="00A361DA" w:rsidP="00757CC4">
      <w:pPr>
        <w:ind w:left="360" w:hanging="360"/>
        <w:contextualSpacing/>
        <w:jc w:val="both"/>
        <w:rPr>
          <w:sz w:val="22"/>
          <w:szCs w:val="22"/>
        </w:rPr>
      </w:pPr>
      <w:r w:rsidRPr="00757CC4">
        <w:rPr>
          <w:sz w:val="22"/>
          <w:szCs w:val="22"/>
        </w:rPr>
        <w:t xml:space="preserve">Das, M. and A. van </w:t>
      </w:r>
      <w:proofErr w:type="spellStart"/>
      <w:r w:rsidRPr="00757CC4">
        <w:rPr>
          <w:sz w:val="22"/>
          <w:szCs w:val="22"/>
        </w:rPr>
        <w:t>Soest</w:t>
      </w:r>
      <w:proofErr w:type="spellEnd"/>
      <w:r w:rsidRPr="00757CC4">
        <w:rPr>
          <w:sz w:val="22"/>
          <w:szCs w:val="22"/>
        </w:rPr>
        <w:t xml:space="preserve"> (1999), A Panel Data Model for Subjective Information on Household Income Growth, </w:t>
      </w:r>
      <w:r w:rsidRPr="00757CC4">
        <w:rPr>
          <w:i/>
          <w:sz w:val="22"/>
          <w:szCs w:val="22"/>
        </w:rPr>
        <w:t>Journal of Economic Behavior and Organization</w:t>
      </w:r>
      <w:r w:rsidRPr="00757CC4">
        <w:rPr>
          <w:sz w:val="22"/>
          <w:szCs w:val="22"/>
        </w:rPr>
        <w:t>, 40, pp. 409–426.</w:t>
      </w:r>
    </w:p>
    <w:p w14:paraId="48A90A68" w14:textId="77777777" w:rsidR="00A361DA" w:rsidRPr="00757CC4" w:rsidRDefault="00A361DA" w:rsidP="00757CC4">
      <w:pPr>
        <w:ind w:left="360" w:hanging="360"/>
        <w:contextualSpacing/>
        <w:jc w:val="both"/>
        <w:rPr>
          <w:sz w:val="22"/>
          <w:szCs w:val="22"/>
        </w:rPr>
      </w:pPr>
      <w:r w:rsidRPr="00757CC4">
        <w:rPr>
          <w:sz w:val="22"/>
          <w:szCs w:val="22"/>
        </w:rPr>
        <w:t xml:space="preserve">Das, M., J. </w:t>
      </w:r>
      <w:proofErr w:type="spellStart"/>
      <w:r w:rsidRPr="00757CC4">
        <w:rPr>
          <w:sz w:val="22"/>
          <w:szCs w:val="22"/>
        </w:rPr>
        <w:t>Dominitz</w:t>
      </w:r>
      <w:proofErr w:type="spellEnd"/>
      <w:r w:rsidRPr="00757CC4">
        <w:rPr>
          <w:sz w:val="22"/>
          <w:szCs w:val="22"/>
        </w:rPr>
        <w:t xml:space="preserve">, and A. van </w:t>
      </w:r>
      <w:proofErr w:type="spellStart"/>
      <w:r w:rsidRPr="00757CC4">
        <w:rPr>
          <w:sz w:val="22"/>
          <w:szCs w:val="22"/>
        </w:rPr>
        <w:t>Soest</w:t>
      </w:r>
      <w:proofErr w:type="spellEnd"/>
      <w:r w:rsidRPr="00757CC4">
        <w:rPr>
          <w:sz w:val="22"/>
          <w:szCs w:val="22"/>
        </w:rPr>
        <w:t xml:space="preserve"> (1999), Comparing Predictions and Outcomes: Theory and Application to Income Changes, </w:t>
      </w:r>
      <w:r w:rsidRPr="00757CC4">
        <w:rPr>
          <w:i/>
          <w:sz w:val="22"/>
          <w:szCs w:val="22"/>
        </w:rPr>
        <w:t>Journal of the American Statistical Association</w:t>
      </w:r>
      <w:r w:rsidRPr="00757CC4">
        <w:rPr>
          <w:sz w:val="22"/>
          <w:szCs w:val="22"/>
        </w:rPr>
        <w:t>, 94, pp. 75–85.</w:t>
      </w:r>
    </w:p>
    <w:p w14:paraId="18010782" w14:textId="77777777" w:rsidR="00A361DA" w:rsidRPr="00757CC4" w:rsidRDefault="00A361DA" w:rsidP="00757CC4">
      <w:pPr>
        <w:ind w:left="360" w:hanging="360"/>
        <w:contextualSpacing/>
        <w:jc w:val="both"/>
        <w:rPr>
          <w:sz w:val="22"/>
          <w:szCs w:val="22"/>
        </w:rPr>
      </w:pPr>
      <w:r w:rsidRPr="00757CC4">
        <w:rPr>
          <w:sz w:val="22"/>
          <w:szCs w:val="22"/>
        </w:rPr>
        <w:t xml:space="preserve">De </w:t>
      </w:r>
      <w:proofErr w:type="spellStart"/>
      <w:r w:rsidRPr="00757CC4">
        <w:rPr>
          <w:sz w:val="22"/>
          <w:szCs w:val="22"/>
        </w:rPr>
        <w:t>Leeuw</w:t>
      </w:r>
      <w:proofErr w:type="spellEnd"/>
      <w:r w:rsidRPr="00757CC4">
        <w:rPr>
          <w:sz w:val="22"/>
          <w:szCs w:val="22"/>
        </w:rPr>
        <w:t xml:space="preserve">, E. (2005), To Mix or Not to Mix Data Collection Modes in Surveys, </w:t>
      </w:r>
      <w:r w:rsidRPr="00757CC4">
        <w:rPr>
          <w:i/>
          <w:sz w:val="22"/>
          <w:szCs w:val="22"/>
        </w:rPr>
        <w:t>Journal of Official Statistics</w:t>
      </w:r>
      <w:r w:rsidRPr="00757CC4">
        <w:rPr>
          <w:sz w:val="22"/>
          <w:szCs w:val="22"/>
        </w:rPr>
        <w:t>, 21 (2), pp. 233-255.</w:t>
      </w:r>
    </w:p>
    <w:p w14:paraId="7A89C3E4" w14:textId="77777777" w:rsidR="00A361DA" w:rsidRPr="00757CC4" w:rsidRDefault="00A361DA" w:rsidP="00757CC4">
      <w:pPr>
        <w:ind w:left="360" w:hanging="360"/>
        <w:contextualSpacing/>
        <w:jc w:val="both"/>
        <w:rPr>
          <w:sz w:val="22"/>
          <w:szCs w:val="22"/>
        </w:rPr>
      </w:pPr>
      <w:r w:rsidRPr="00757CC4">
        <w:rPr>
          <w:sz w:val="22"/>
          <w:szCs w:val="22"/>
        </w:rPr>
        <w:t xml:space="preserve">De </w:t>
      </w:r>
      <w:proofErr w:type="spellStart"/>
      <w:r w:rsidRPr="00757CC4">
        <w:rPr>
          <w:sz w:val="22"/>
          <w:szCs w:val="22"/>
        </w:rPr>
        <w:t>Leeuw</w:t>
      </w:r>
      <w:proofErr w:type="spellEnd"/>
      <w:r w:rsidRPr="00757CC4">
        <w:rPr>
          <w:sz w:val="22"/>
          <w:szCs w:val="22"/>
        </w:rPr>
        <w:t xml:space="preserve">, E. and J. </w:t>
      </w:r>
      <w:proofErr w:type="spellStart"/>
      <w:r w:rsidRPr="00757CC4">
        <w:rPr>
          <w:sz w:val="22"/>
          <w:szCs w:val="22"/>
        </w:rPr>
        <w:t>Hox</w:t>
      </w:r>
      <w:proofErr w:type="spellEnd"/>
      <w:r w:rsidRPr="00757CC4">
        <w:rPr>
          <w:sz w:val="22"/>
          <w:szCs w:val="22"/>
        </w:rPr>
        <w:t xml:space="preserve"> (2011), Internet Surveys as Part of a Mixed-Mode Design, In: Das, M., P. Ester, and L. </w:t>
      </w:r>
      <w:proofErr w:type="spellStart"/>
      <w:r w:rsidRPr="00757CC4">
        <w:rPr>
          <w:sz w:val="22"/>
          <w:szCs w:val="22"/>
        </w:rPr>
        <w:t>Kaczmirek</w:t>
      </w:r>
      <w:proofErr w:type="spellEnd"/>
      <w:r w:rsidRPr="00757CC4">
        <w:rPr>
          <w:sz w:val="22"/>
          <w:szCs w:val="22"/>
        </w:rPr>
        <w:t xml:space="preserve"> (Eds.), </w:t>
      </w:r>
      <w:r w:rsidRPr="00757CC4">
        <w:rPr>
          <w:i/>
          <w:sz w:val="22"/>
          <w:szCs w:val="22"/>
        </w:rPr>
        <w:t>Social and Behavioral Research and the Internet: Advances in Applied Methods and Research Strategies</w:t>
      </w:r>
      <w:r w:rsidRPr="00757CC4">
        <w:rPr>
          <w:sz w:val="22"/>
          <w:szCs w:val="22"/>
        </w:rPr>
        <w:t>. Boca Raton: Taylor &amp; Francis.</w:t>
      </w:r>
    </w:p>
    <w:p w14:paraId="122CEE7A" w14:textId="77777777" w:rsidR="00A361DA" w:rsidRPr="00757CC4" w:rsidRDefault="00A361DA" w:rsidP="00757CC4">
      <w:pPr>
        <w:ind w:left="360" w:hanging="360"/>
        <w:contextualSpacing/>
        <w:jc w:val="both"/>
        <w:rPr>
          <w:sz w:val="22"/>
          <w:szCs w:val="22"/>
        </w:rPr>
      </w:pPr>
      <w:r w:rsidRPr="00757CC4">
        <w:rPr>
          <w:sz w:val="22"/>
          <w:szCs w:val="22"/>
        </w:rPr>
        <w:t xml:space="preserve">De </w:t>
      </w:r>
      <w:proofErr w:type="spellStart"/>
      <w:r w:rsidRPr="00757CC4">
        <w:rPr>
          <w:sz w:val="22"/>
          <w:szCs w:val="22"/>
        </w:rPr>
        <w:t>Leeuw</w:t>
      </w:r>
      <w:proofErr w:type="spellEnd"/>
      <w:r w:rsidRPr="00757CC4">
        <w:rPr>
          <w:sz w:val="22"/>
          <w:szCs w:val="22"/>
        </w:rPr>
        <w:t xml:space="preserve">, E., J. </w:t>
      </w:r>
      <w:proofErr w:type="spellStart"/>
      <w:r w:rsidRPr="00757CC4">
        <w:rPr>
          <w:sz w:val="22"/>
          <w:szCs w:val="22"/>
        </w:rPr>
        <w:t>Hox</w:t>
      </w:r>
      <w:proofErr w:type="spellEnd"/>
      <w:r w:rsidRPr="00757CC4">
        <w:rPr>
          <w:sz w:val="22"/>
          <w:szCs w:val="22"/>
        </w:rPr>
        <w:t xml:space="preserve">, and A.C. </w:t>
      </w:r>
      <w:proofErr w:type="spellStart"/>
      <w:r w:rsidRPr="00757CC4">
        <w:rPr>
          <w:sz w:val="22"/>
          <w:szCs w:val="22"/>
        </w:rPr>
        <w:t>Scherpenzeel</w:t>
      </w:r>
      <w:proofErr w:type="spellEnd"/>
      <w:r w:rsidRPr="00757CC4">
        <w:rPr>
          <w:sz w:val="22"/>
          <w:szCs w:val="22"/>
        </w:rPr>
        <w:t xml:space="preserve"> (2010a), Emulating Interviewers in an Online Survey: Experimental Manipulation of ‘Do-Not-Know’ over the Phone and on the Web,</w:t>
      </w:r>
      <w:r w:rsidRPr="00757CC4">
        <w:rPr>
          <w:i/>
          <w:sz w:val="22"/>
          <w:szCs w:val="22"/>
        </w:rPr>
        <w:t xml:space="preserve"> JSM Proceedings, Survey Research Methods Section</w:t>
      </w:r>
      <w:r w:rsidRPr="00757CC4">
        <w:rPr>
          <w:sz w:val="22"/>
          <w:szCs w:val="22"/>
        </w:rPr>
        <w:t xml:space="preserve">, pp. 6305-6314. Alexandria, VA: American Statistical Association.  </w:t>
      </w:r>
    </w:p>
    <w:p w14:paraId="60C5807B" w14:textId="77777777" w:rsidR="00A361DA" w:rsidRPr="00757CC4" w:rsidRDefault="00A361DA" w:rsidP="00757CC4">
      <w:pPr>
        <w:ind w:left="360" w:hanging="360"/>
        <w:contextualSpacing/>
        <w:jc w:val="both"/>
        <w:rPr>
          <w:sz w:val="22"/>
          <w:szCs w:val="22"/>
        </w:rPr>
      </w:pPr>
      <w:proofErr w:type="gramStart"/>
      <w:r w:rsidRPr="00757CC4">
        <w:rPr>
          <w:sz w:val="22"/>
          <w:szCs w:val="22"/>
        </w:rPr>
        <w:t xml:space="preserve">De </w:t>
      </w:r>
      <w:proofErr w:type="spellStart"/>
      <w:r w:rsidRPr="00757CC4">
        <w:rPr>
          <w:sz w:val="22"/>
          <w:szCs w:val="22"/>
        </w:rPr>
        <w:t>Leeuw</w:t>
      </w:r>
      <w:proofErr w:type="spellEnd"/>
      <w:r w:rsidRPr="00757CC4">
        <w:rPr>
          <w:sz w:val="22"/>
          <w:szCs w:val="22"/>
        </w:rPr>
        <w:t xml:space="preserve">, E., J. </w:t>
      </w:r>
      <w:proofErr w:type="spellStart"/>
      <w:r w:rsidRPr="00757CC4">
        <w:rPr>
          <w:sz w:val="22"/>
          <w:szCs w:val="22"/>
        </w:rPr>
        <w:t>Hox</w:t>
      </w:r>
      <w:proofErr w:type="spellEnd"/>
      <w:r w:rsidRPr="00757CC4">
        <w:rPr>
          <w:sz w:val="22"/>
          <w:szCs w:val="22"/>
        </w:rPr>
        <w:t xml:space="preserve">, and A.C. </w:t>
      </w:r>
      <w:proofErr w:type="spellStart"/>
      <w:r w:rsidRPr="00757CC4">
        <w:rPr>
          <w:sz w:val="22"/>
          <w:szCs w:val="22"/>
        </w:rPr>
        <w:t>Scherpenzeel</w:t>
      </w:r>
      <w:proofErr w:type="spellEnd"/>
      <w:r w:rsidRPr="00757CC4">
        <w:rPr>
          <w:sz w:val="22"/>
          <w:szCs w:val="22"/>
        </w:rPr>
        <w:t xml:space="preserve"> (2010b), Mode Effect or Question Wording?</w:t>
      </w:r>
      <w:proofErr w:type="gramEnd"/>
      <w:r w:rsidRPr="00757CC4">
        <w:rPr>
          <w:sz w:val="22"/>
          <w:szCs w:val="22"/>
        </w:rPr>
        <w:t xml:space="preserve"> Measurement Error in Mixed Mode Surveys, </w:t>
      </w:r>
      <w:r w:rsidRPr="00757CC4">
        <w:rPr>
          <w:i/>
          <w:sz w:val="22"/>
          <w:szCs w:val="22"/>
        </w:rPr>
        <w:t>JSM Proceedings, Survey Research Methods Section, pp. 5959-5967</w:t>
      </w:r>
      <w:r w:rsidRPr="00757CC4">
        <w:rPr>
          <w:sz w:val="22"/>
          <w:szCs w:val="22"/>
        </w:rPr>
        <w:t xml:space="preserve">. Alexandria, VA: American Statistical Association.  </w:t>
      </w:r>
    </w:p>
    <w:p w14:paraId="13DED770" w14:textId="77777777" w:rsidR="00A361DA" w:rsidRPr="00757CC4" w:rsidRDefault="00A361DA" w:rsidP="00757CC4">
      <w:pPr>
        <w:ind w:left="360" w:hanging="360"/>
        <w:contextualSpacing/>
        <w:jc w:val="both"/>
        <w:rPr>
          <w:sz w:val="22"/>
          <w:szCs w:val="22"/>
          <w:lang w:eastAsia="zh-CN"/>
        </w:rPr>
      </w:pPr>
      <w:proofErr w:type="spellStart"/>
      <w:r w:rsidRPr="00757CC4">
        <w:rPr>
          <w:sz w:val="22"/>
          <w:szCs w:val="22"/>
          <w:lang w:eastAsia="zh-CN"/>
        </w:rPr>
        <w:t>Dillman</w:t>
      </w:r>
      <w:proofErr w:type="spellEnd"/>
      <w:r w:rsidRPr="00757CC4">
        <w:rPr>
          <w:sz w:val="22"/>
          <w:szCs w:val="22"/>
          <w:lang w:eastAsia="zh-CN"/>
        </w:rPr>
        <w:t xml:space="preserve">, D.A., G. Phelps, R. </w:t>
      </w:r>
      <w:proofErr w:type="spellStart"/>
      <w:r w:rsidRPr="00757CC4">
        <w:rPr>
          <w:sz w:val="22"/>
          <w:szCs w:val="22"/>
          <w:lang w:eastAsia="zh-CN"/>
        </w:rPr>
        <w:t>Tortora</w:t>
      </w:r>
      <w:proofErr w:type="spellEnd"/>
      <w:r w:rsidRPr="00757CC4">
        <w:rPr>
          <w:sz w:val="22"/>
          <w:szCs w:val="22"/>
          <w:lang w:eastAsia="zh-CN"/>
        </w:rPr>
        <w:t xml:space="preserve">, K. Swift, J. </w:t>
      </w:r>
      <w:proofErr w:type="spellStart"/>
      <w:r w:rsidRPr="00757CC4">
        <w:rPr>
          <w:sz w:val="22"/>
          <w:szCs w:val="22"/>
          <w:lang w:eastAsia="zh-CN"/>
        </w:rPr>
        <w:t>Kohrell</w:t>
      </w:r>
      <w:proofErr w:type="spellEnd"/>
      <w:r w:rsidRPr="00757CC4">
        <w:rPr>
          <w:sz w:val="22"/>
          <w:szCs w:val="22"/>
          <w:lang w:eastAsia="zh-CN"/>
        </w:rPr>
        <w:t xml:space="preserve">, J. </w:t>
      </w:r>
      <w:proofErr w:type="spellStart"/>
      <w:r w:rsidRPr="00757CC4">
        <w:rPr>
          <w:sz w:val="22"/>
          <w:szCs w:val="22"/>
          <w:lang w:eastAsia="zh-CN"/>
        </w:rPr>
        <w:t>Berck</w:t>
      </w:r>
      <w:proofErr w:type="spellEnd"/>
      <w:r w:rsidRPr="00757CC4">
        <w:rPr>
          <w:sz w:val="22"/>
          <w:szCs w:val="22"/>
          <w:lang w:eastAsia="zh-CN"/>
        </w:rPr>
        <w:t xml:space="preserve">, and B.L. Messer (2009), Response rate and measurement differences in mixed-mode surveys using mail, telephone, interactive voice response (IVR) and the Internet, </w:t>
      </w:r>
      <w:r w:rsidRPr="00757CC4">
        <w:rPr>
          <w:i/>
          <w:sz w:val="22"/>
          <w:szCs w:val="22"/>
          <w:lang w:eastAsia="zh-CN"/>
        </w:rPr>
        <w:t>Social Science Research</w:t>
      </w:r>
      <w:r w:rsidRPr="00757CC4">
        <w:rPr>
          <w:sz w:val="22"/>
          <w:szCs w:val="22"/>
          <w:lang w:eastAsia="zh-CN"/>
        </w:rPr>
        <w:t>, 38(1), pp. 1-18.</w:t>
      </w:r>
    </w:p>
    <w:p w14:paraId="66FB949D" w14:textId="77777777" w:rsidR="008F58F7" w:rsidRPr="00757CC4" w:rsidRDefault="008F58F7" w:rsidP="00757CC4">
      <w:pPr>
        <w:ind w:left="360" w:hanging="360"/>
        <w:contextualSpacing/>
        <w:jc w:val="both"/>
        <w:rPr>
          <w:sz w:val="22"/>
          <w:szCs w:val="22"/>
        </w:rPr>
      </w:pPr>
      <w:proofErr w:type="spellStart"/>
      <w:r w:rsidRPr="00757CC4">
        <w:rPr>
          <w:sz w:val="22"/>
          <w:szCs w:val="22"/>
        </w:rPr>
        <w:t>DiSogra</w:t>
      </w:r>
      <w:proofErr w:type="spellEnd"/>
      <w:r w:rsidRPr="00757CC4">
        <w:rPr>
          <w:sz w:val="22"/>
          <w:szCs w:val="22"/>
        </w:rPr>
        <w:t xml:space="preserve">, C. (2010). </w:t>
      </w:r>
      <w:r w:rsidRPr="00841EDC">
        <w:rPr>
          <w:bCs/>
          <w:sz w:val="22"/>
          <w:szCs w:val="22"/>
        </w:rPr>
        <w:t xml:space="preserve">Update: Address-based sampling nets success for </w:t>
      </w:r>
      <w:proofErr w:type="spellStart"/>
      <w:r w:rsidRPr="00841EDC">
        <w:rPr>
          <w:bCs/>
          <w:sz w:val="22"/>
          <w:szCs w:val="22"/>
        </w:rPr>
        <w:t>KnowledgePanel</w:t>
      </w:r>
      <w:proofErr w:type="spellEnd"/>
      <w:r w:rsidRPr="00841EDC">
        <w:rPr>
          <w:bCs/>
          <w:sz w:val="22"/>
          <w:szCs w:val="22"/>
        </w:rPr>
        <w:t>® recruitment and sample representation. Retrieved January 25, 2012, from</w:t>
      </w:r>
      <w:r w:rsidR="00361944">
        <w:rPr>
          <w:bCs/>
          <w:sz w:val="22"/>
          <w:szCs w:val="22"/>
        </w:rPr>
        <w:tab/>
      </w:r>
      <w:r w:rsidRPr="00841EDC">
        <w:rPr>
          <w:bCs/>
          <w:sz w:val="22"/>
          <w:szCs w:val="22"/>
        </w:rPr>
        <w:t xml:space="preserve"> </w:t>
      </w:r>
      <w:hyperlink r:id="rId24" w:history="1">
        <w:r w:rsidRPr="00841EDC">
          <w:rPr>
            <w:rStyle w:val="Hyperlink"/>
            <w:sz w:val="22"/>
            <w:szCs w:val="22"/>
          </w:rPr>
          <w:t>http://knowledgenetworks.com/accuracy/spring2010/disogra-spring10.html</w:t>
        </w:r>
      </w:hyperlink>
    </w:p>
    <w:p w14:paraId="5C813C53" w14:textId="77777777" w:rsidR="008F58F7" w:rsidRPr="00841EDC" w:rsidRDefault="008F58F7" w:rsidP="00757CC4">
      <w:pPr>
        <w:ind w:left="360" w:hanging="360"/>
        <w:contextualSpacing/>
        <w:jc w:val="both"/>
        <w:rPr>
          <w:color w:val="000000"/>
          <w:sz w:val="22"/>
          <w:szCs w:val="22"/>
        </w:rPr>
      </w:pPr>
      <w:r w:rsidRPr="00841EDC">
        <w:rPr>
          <w:color w:val="000000"/>
          <w:sz w:val="22"/>
          <w:szCs w:val="22"/>
        </w:rPr>
        <w:t xml:space="preserve">Dixon, J. &amp; Tucker, C. (2010). Survey nonresponse. In P. Marsden &amp; J. Wright, </w:t>
      </w:r>
      <w:r w:rsidRPr="00841EDC">
        <w:rPr>
          <w:i/>
          <w:color w:val="000000"/>
          <w:sz w:val="22"/>
          <w:szCs w:val="22"/>
        </w:rPr>
        <w:t>Handbook of survey research</w:t>
      </w:r>
      <w:r w:rsidRPr="00841EDC">
        <w:rPr>
          <w:color w:val="000000"/>
          <w:sz w:val="22"/>
          <w:szCs w:val="22"/>
        </w:rPr>
        <w:t xml:space="preserve"> (2nd ed.; pp. 593-630). </w:t>
      </w:r>
      <w:r w:rsidRPr="00841EDC">
        <w:rPr>
          <w:color w:val="141413"/>
          <w:sz w:val="22"/>
          <w:szCs w:val="22"/>
        </w:rPr>
        <w:t>Bingley, UK: Emerald Group Publishing Limited.</w:t>
      </w:r>
    </w:p>
    <w:p w14:paraId="64F42E91" w14:textId="77777777" w:rsidR="00A361DA" w:rsidRPr="00757CC4" w:rsidRDefault="00A361DA" w:rsidP="00757CC4">
      <w:pPr>
        <w:ind w:left="360" w:hanging="360"/>
        <w:contextualSpacing/>
        <w:jc w:val="both"/>
        <w:rPr>
          <w:sz w:val="22"/>
          <w:szCs w:val="22"/>
        </w:rPr>
      </w:pPr>
      <w:r w:rsidRPr="00757CC4">
        <w:rPr>
          <w:sz w:val="22"/>
          <w:szCs w:val="22"/>
          <w:lang w:eastAsia="zh-CN"/>
        </w:rPr>
        <w:t xml:space="preserve">Duffy, B., K. Smith, G. </w:t>
      </w:r>
      <w:proofErr w:type="spellStart"/>
      <w:r w:rsidRPr="00757CC4">
        <w:rPr>
          <w:sz w:val="22"/>
          <w:szCs w:val="22"/>
          <w:lang w:eastAsia="zh-CN"/>
        </w:rPr>
        <w:t>Terhanian</w:t>
      </w:r>
      <w:proofErr w:type="spellEnd"/>
      <w:r w:rsidRPr="00757CC4">
        <w:rPr>
          <w:sz w:val="22"/>
          <w:szCs w:val="22"/>
          <w:lang w:eastAsia="zh-CN"/>
        </w:rPr>
        <w:t xml:space="preserve">, and J. Bremer (2005), Comparing data from online and face-to-face surveys, </w:t>
      </w:r>
      <w:r w:rsidRPr="00757CC4">
        <w:rPr>
          <w:i/>
          <w:iCs/>
          <w:sz w:val="22"/>
          <w:szCs w:val="22"/>
          <w:lang w:eastAsia="zh-CN"/>
        </w:rPr>
        <w:t xml:space="preserve">International Journal of Market Research, </w:t>
      </w:r>
      <w:r w:rsidRPr="00757CC4">
        <w:rPr>
          <w:iCs/>
          <w:sz w:val="22"/>
          <w:szCs w:val="22"/>
          <w:lang w:eastAsia="zh-CN"/>
        </w:rPr>
        <w:t>47</w:t>
      </w:r>
      <w:r w:rsidRPr="00757CC4">
        <w:rPr>
          <w:sz w:val="22"/>
          <w:szCs w:val="22"/>
          <w:lang w:eastAsia="zh-CN"/>
        </w:rPr>
        <w:t>, pp. 615–639.</w:t>
      </w:r>
    </w:p>
    <w:p w14:paraId="06AB5888" w14:textId="77777777" w:rsidR="00A361DA" w:rsidRPr="00757CC4" w:rsidRDefault="00A361DA" w:rsidP="00757CC4">
      <w:pPr>
        <w:ind w:left="360" w:hanging="360"/>
        <w:contextualSpacing/>
        <w:jc w:val="both"/>
        <w:rPr>
          <w:sz w:val="22"/>
          <w:szCs w:val="22"/>
        </w:rPr>
      </w:pPr>
      <w:r w:rsidRPr="00757CC4">
        <w:rPr>
          <w:sz w:val="22"/>
          <w:szCs w:val="22"/>
        </w:rPr>
        <w:t xml:space="preserve">Duncan, G.J. and G. </w:t>
      </w:r>
      <w:proofErr w:type="spellStart"/>
      <w:r w:rsidRPr="00757CC4">
        <w:rPr>
          <w:sz w:val="22"/>
          <w:szCs w:val="22"/>
        </w:rPr>
        <w:t>Kalton</w:t>
      </w:r>
      <w:proofErr w:type="spellEnd"/>
      <w:r w:rsidRPr="00757CC4">
        <w:rPr>
          <w:sz w:val="22"/>
          <w:szCs w:val="22"/>
        </w:rPr>
        <w:t xml:space="preserve"> (1987), Issues of Design and Analysis of Surveys Across Time, </w:t>
      </w:r>
      <w:r w:rsidRPr="00757CC4">
        <w:rPr>
          <w:i/>
          <w:sz w:val="22"/>
          <w:szCs w:val="22"/>
        </w:rPr>
        <w:t>International Statistical Review</w:t>
      </w:r>
      <w:r w:rsidRPr="00757CC4">
        <w:rPr>
          <w:sz w:val="22"/>
          <w:szCs w:val="22"/>
        </w:rPr>
        <w:t>, 55, pp. 97-117.</w:t>
      </w:r>
    </w:p>
    <w:p w14:paraId="76700370" w14:textId="77777777" w:rsidR="00A361DA" w:rsidRPr="00757CC4" w:rsidRDefault="00A361DA" w:rsidP="00757CC4">
      <w:pPr>
        <w:ind w:left="360" w:hanging="360"/>
        <w:contextualSpacing/>
        <w:jc w:val="both"/>
        <w:rPr>
          <w:color w:val="000000"/>
          <w:sz w:val="22"/>
          <w:szCs w:val="22"/>
        </w:rPr>
      </w:pPr>
      <w:proofErr w:type="spellStart"/>
      <w:r w:rsidRPr="00757CC4">
        <w:rPr>
          <w:color w:val="000000"/>
          <w:sz w:val="22"/>
          <w:szCs w:val="22"/>
        </w:rPr>
        <w:t>Göritz</w:t>
      </w:r>
      <w:proofErr w:type="spellEnd"/>
      <w:r w:rsidRPr="00757CC4">
        <w:rPr>
          <w:color w:val="000000"/>
          <w:sz w:val="22"/>
          <w:szCs w:val="22"/>
        </w:rPr>
        <w:t xml:space="preserve">, A.S. (2006), Incentives in Web Studies: Methodological Issues and a Review, </w:t>
      </w:r>
      <w:r w:rsidRPr="00757CC4">
        <w:rPr>
          <w:i/>
          <w:color w:val="000000"/>
          <w:sz w:val="22"/>
          <w:szCs w:val="22"/>
        </w:rPr>
        <w:t>International Journal of Internet Science</w:t>
      </w:r>
      <w:r w:rsidRPr="00757CC4">
        <w:rPr>
          <w:color w:val="000000"/>
          <w:sz w:val="22"/>
          <w:szCs w:val="22"/>
        </w:rPr>
        <w:t>, 1, pp. 58-70.</w:t>
      </w:r>
    </w:p>
    <w:p w14:paraId="4240DC12" w14:textId="77777777" w:rsidR="00A361DA" w:rsidRPr="00757CC4" w:rsidRDefault="00A361DA" w:rsidP="00757CC4">
      <w:pPr>
        <w:ind w:left="360" w:hanging="360"/>
        <w:contextualSpacing/>
        <w:jc w:val="both"/>
        <w:rPr>
          <w:sz w:val="22"/>
          <w:szCs w:val="22"/>
        </w:rPr>
      </w:pPr>
      <w:r w:rsidRPr="00757CC4">
        <w:rPr>
          <w:sz w:val="22"/>
          <w:szCs w:val="22"/>
        </w:rPr>
        <w:t xml:space="preserve">Groves, R.M., F.J. Fowler, M.P. </w:t>
      </w:r>
      <w:proofErr w:type="spellStart"/>
      <w:r w:rsidRPr="00757CC4">
        <w:rPr>
          <w:sz w:val="22"/>
          <w:szCs w:val="22"/>
        </w:rPr>
        <w:t>Couper</w:t>
      </w:r>
      <w:proofErr w:type="spellEnd"/>
      <w:r w:rsidRPr="00757CC4">
        <w:rPr>
          <w:sz w:val="22"/>
          <w:szCs w:val="22"/>
        </w:rPr>
        <w:t xml:space="preserve">, J.M. </w:t>
      </w:r>
      <w:proofErr w:type="spellStart"/>
      <w:r w:rsidRPr="00757CC4">
        <w:rPr>
          <w:sz w:val="22"/>
          <w:szCs w:val="22"/>
        </w:rPr>
        <w:t>Lepkowski</w:t>
      </w:r>
      <w:proofErr w:type="spellEnd"/>
      <w:r w:rsidRPr="00757CC4">
        <w:rPr>
          <w:sz w:val="22"/>
          <w:szCs w:val="22"/>
        </w:rPr>
        <w:t xml:space="preserve">, E. Singer, and R. </w:t>
      </w:r>
      <w:proofErr w:type="spellStart"/>
      <w:r w:rsidRPr="00757CC4">
        <w:rPr>
          <w:sz w:val="22"/>
          <w:szCs w:val="22"/>
        </w:rPr>
        <w:t>Tourangeau</w:t>
      </w:r>
      <w:proofErr w:type="spellEnd"/>
      <w:r w:rsidRPr="00757CC4">
        <w:rPr>
          <w:sz w:val="22"/>
          <w:szCs w:val="22"/>
        </w:rPr>
        <w:t xml:space="preserve"> (2004), </w:t>
      </w:r>
      <w:r w:rsidRPr="00757CC4">
        <w:rPr>
          <w:i/>
          <w:sz w:val="22"/>
          <w:szCs w:val="22"/>
        </w:rPr>
        <w:t>Survey Methodology</w:t>
      </w:r>
      <w:r w:rsidRPr="00757CC4">
        <w:rPr>
          <w:sz w:val="22"/>
          <w:szCs w:val="22"/>
        </w:rPr>
        <w:t>, New York: John Wiley &amp; Sons.</w:t>
      </w:r>
    </w:p>
    <w:p w14:paraId="4D476618" w14:textId="77777777" w:rsidR="00A361DA" w:rsidRPr="00757CC4" w:rsidRDefault="00A361DA" w:rsidP="00757CC4">
      <w:pPr>
        <w:ind w:left="360" w:hanging="360"/>
        <w:contextualSpacing/>
        <w:jc w:val="both"/>
        <w:rPr>
          <w:sz w:val="22"/>
          <w:szCs w:val="22"/>
        </w:rPr>
      </w:pPr>
      <w:r w:rsidRPr="00757CC4">
        <w:rPr>
          <w:sz w:val="22"/>
          <w:szCs w:val="22"/>
        </w:rPr>
        <w:t xml:space="preserve">Harris, T. J., Owen, C. G., Victor, C. R., Adams, R., Cook, D. G., 2009. What factors are associated with physical activity in older people, assessed objectively by </w:t>
      </w:r>
      <w:proofErr w:type="spellStart"/>
      <w:r w:rsidRPr="00757CC4">
        <w:rPr>
          <w:sz w:val="22"/>
          <w:szCs w:val="22"/>
        </w:rPr>
        <w:t>accelerometry</w:t>
      </w:r>
      <w:proofErr w:type="spellEnd"/>
      <w:r w:rsidRPr="00757CC4">
        <w:rPr>
          <w:sz w:val="22"/>
          <w:szCs w:val="22"/>
        </w:rPr>
        <w:t xml:space="preserve">? </w:t>
      </w:r>
      <w:r w:rsidRPr="00757CC4">
        <w:rPr>
          <w:i/>
          <w:sz w:val="22"/>
          <w:szCs w:val="22"/>
        </w:rPr>
        <w:t>Br J Sports Med</w:t>
      </w:r>
      <w:r w:rsidRPr="00757CC4">
        <w:rPr>
          <w:sz w:val="22"/>
          <w:szCs w:val="22"/>
        </w:rPr>
        <w:t xml:space="preserve">, </w:t>
      </w:r>
      <w:r w:rsidRPr="00757CC4">
        <w:rPr>
          <w:i/>
          <w:sz w:val="22"/>
          <w:szCs w:val="22"/>
        </w:rPr>
        <w:t>43</w:t>
      </w:r>
      <w:r w:rsidRPr="00757CC4">
        <w:rPr>
          <w:sz w:val="22"/>
          <w:szCs w:val="22"/>
        </w:rPr>
        <w:t>, 442-450.</w:t>
      </w:r>
    </w:p>
    <w:p w14:paraId="47249277" w14:textId="77777777" w:rsidR="00A361DA" w:rsidRPr="00757CC4" w:rsidRDefault="00A361DA" w:rsidP="00757CC4">
      <w:pPr>
        <w:ind w:left="360" w:hanging="360"/>
        <w:contextualSpacing/>
        <w:jc w:val="both"/>
        <w:rPr>
          <w:sz w:val="22"/>
          <w:szCs w:val="22"/>
        </w:rPr>
      </w:pPr>
      <w:r w:rsidRPr="00757CC4">
        <w:rPr>
          <w:sz w:val="22"/>
          <w:szCs w:val="22"/>
        </w:rPr>
        <w:t xml:space="preserve">Harrison, G., M. Lau and M. Williams (2002), Estimating individual discount rates in Denmark: A field experiment, </w:t>
      </w:r>
      <w:r w:rsidRPr="00757CC4">
        <w:rPr>
          <w:i/>
          <w:iCs/>
          <w:sz w:val="22"/>
          <w:szCs w:val="22"/>
        </w:rPr>
        <w:t>American Economic Review</w:t>
      </w:r>
      <w:r w:rsidRPr="00757CC4">
        <w:rPr>
          <w:sz w:val="22"/>
          <w:szCs w:val="22"/>
        </w:rPr>
        <w:t>, 92(5), pp. 1606–1617.</w:t>
      </w:r>
    </w:p>
    <w:p w14:paraId="6113C0B6" w14:textId="77777777" w:rsidR="00A361DA" w:rsidRPr="00757CC4" w:rsidRDefault="00A361DA" w:rsidP="00757CC4">
      <w:pPr>
        <w:ind w:left="360" w:hanging="360"/>
        <w:contextualSpacing/>
        <w:jc w:val="both"/>
        <w:rPr>
          <w:sz w:val="22"/>
          <w:szCs w:val="22"/>
        </w:rPr>
      </w:pPr>
      <w:r w:rsidRPr="00757CC4">
        <w:rPr>
          <w:sz w:val="22"/>
          <w:szCs w:val="22"/>
        </w:rPr>
        <w:t>Hill, D.H. (2002), Wealth Dynamics: Reducing Noise in Panel Data, Working paper, University of Michigan.</w:t>
      </w:r>
    </w:p>
    <w:p w14:paraId="4DD4EC05" w14:textId="77777777" w:rsidR="00A361DA" w:rsidRPr="00757CC4" w:rsidRDefault="00A361DA" w:rsidP="00757CC4">
      <w:pPr>
        <w:ind w:left="360" w:hanging="360"/>
        <w:contextualSpacing/>
        <w:jc w:val="both"/>
        <w:rPr>
          <w:sz w:val="22"/>
          <w:szCs w:val="22"/>
        </w:rPr>
      </w:pPr>
      <w:r w:rsidRPr="00757CC4">
        <w:rPr>
          <w:sz w:val="22"/>
          <w:szCs w:val="22"/>
        </w:rPr>
        <w:t>Hill, D., M. Perry, and R.J. Willis (2004), Do Internet Surveys Alter Estimates of Uncertainty and Optimism about Survival Chances? Working paper, University of Michigan.</w:t>
      </w:r>
    </w:p>
    <w:p w14:paraId="7C6F56DA" w14:textId="77777777" w:rsidR="00A361DA" w:rsidRPr="00757CC4" w:rsidRDefault="00A361DA" w:rsidP="00757CC4">
      <w:pPr>
        <w:ind w:left="360" w:hanging="360"/>
        <w:contextualSpacing/>
        <w:jc w:val="both"/>
        <w:rPr>
          <w:sz w:val="22"/>
          <w:szCs w:val="22"/>
        </w:rPr>
      </w:pPr>
      <w:proofErr w:type="spellStart"/>
      <w:r w:rsidRPr="00757CC4">
        <w:rPr>
          <w:sz w:val="22"/>
          <w:szCs w:val="22"/>
        </w:rPr>
        <w:t>Hoogendoorn</w:t>
      </w:r>
      <w:proofErr w:type="spellEnd"/>
      <w:r w:rsidRPr="00757CC4">
        <w:rPr>
          <w:sz w:val="22"/>
          <w:szCs w:val="22"/>
        </w:rPr>
        <w:t xml:space="preserve">, A.W. (2004), A Questionnaire Design for Dependent Interviewing that Addresses the Problem of Cognitive Satisficing, </w:t>
      </w:r>
      <w:r w:rsidRPr="00757CC4">
        <w:rPr>
          <w:i/>
          <w:sz w:val="22"/>
          <w:szCs w:val="22"/>
        </w:rPr>
        <w:t>Journal of Official Statistics</w:t>
      </w:r>
      <w:r w:rsidRPr="00757CC4">
        <w:rPr>
          <w:sz w:val="22"/>
          <w:szCs w:val="22"/>
        </w:rPr>
        <w:t>, 20, pp. 219-232.</w:t>
      </w:r>
    </w:p>
    <w:p w14:paraId="5663DDA2" w14:textId="77777777" w:rsidR="00A361DA" w:rsidRPr="00757CC4" w:rsidRDefault="00A361DA" w:rsidP="00757CC4">
      <w:pPr>
        <w:ind w:left="360" w:hanging="360"/>
        <w:contextualSpacing/>
        <w:jc w:val="both"/>
        <w:rPr>
          <w:sz w:val="22"/>
          <w:szCs w:val="22"/>
        </w:rPr>
      </w:pPr>
      <w:proofErr w:type="spellStart"/>
      <w:r w:rsidRPr="00757CC4">
        <w:rPr>
          <w:sz w:val="22"/>
          <w:szCs w:val="22"/>
        </w:rPr>
        <w:t>Hoogendoorn</w:t>
      </w:r>
      <w:proofErr w:type="spellEnd"/>
      <w:r w:rsidRPr="00757CC4">
        <w:rPr>
          <w:sz w:val="22"/>
          <w:szCs w:val="22"/>
        </w:rPr>
        <w:t xml:space="preserve">, A.W. and J. </w:t>
      </w:r>
      <w:proofErr w:type="spellStart"/>
      <w:r w:rsidRPr="00757CC4">
        <w:rPr>
          <w:sz w:val="22"/>
          <w:szCs w:val="22"/>
        </w:rPr>
        <w:t>Daalmans</w:t>
      </w:r>
      <w:proofErr w:type="spellEnd"/>
      <w:r w:rsidRPr="00757CC4">
        <w:rPr>
          <w:sz w:val="22"/>
          <w:szCs w:val="22"/>
        </w:rPr>
        <w:t xml:space="preserve"> (2009), Nonresponse in the Recruitment of an Internet Panel Based on Probability Sampling, </w:t>
      </w:r>
      <w:r w:rsidRPr="00757CC4">
        <w:rPr>
          <w:i/>
          <w:sz w:val="22"/>
          <w:szCs w:val="22"/>
        </w:rPr>
        <w:t>Survey Research Methods</w:t>
      </w:r>
      <w:r w:rsidRPr="00757CC4">
        <w:rPr>
          <w:sz w:val="22"/>
          <w:szCs w:val="22"/>
        </w:rPr>
        <w:t>, 3, pp. 59-72.</w:t>
      </w:r>
    </w:p>
    <w:p w14:paraId="503A742E" w14:textId="77777777" w:rsidR="00A361DA" w:rsidRPr="00757CC4" w:rsidRDefault="00A361DA" w:rsidP="00757CC4">
      <w:pPr>
        <w:ind w:left="360" w:hanging="360"/>
        <w:contextualSpacing/>
        <w:jc w:val="both"/>
        <w:rPr>
          <w:sz w:val="22"/>
          <w:szCs w:val="22"/>
        </w:rPr>
      </w:pPr>
      <w:r w:rsidRPr="00757CC4">
        <w:rPr>
          <w:sz w:val="22"/>
          <w:szCs w:val="22"/>
        </w:rPr>
        <w:t>Hurd, M. and A. Kapteyn (2004), The Quality of Subjective Probability Data: Telephone versus Internet, Working paper, RAND.</w:t>
      </w:r>
    </w:p>
    <w:p w14:paraId="6D87EADD" w14:textId="77777777" w:rsidR="00A361DA" w:rsidRPr="00757CC4" w:rsidRDefault="00A361DA" w:rsidP="00757CC4">
      <w:pPr>
        <w:ind w:left="360" w:hanging="360"/>
        <w:contextualSpacing/>
        <w:jc w:val="both"/>
        <w:rPr>
          <w:sz w:val="22"/>
          <w:szCs w:val="22"/>
        </w:rPr>
      </w:pPr>
      <w:proofErr w:type="spellStart"/>
      <w:r w:rsidRPr="00757CC4">
        <w:rPr>
          <w:sz w:val="22"/>
          <w:szCs w:val="22"/>
        </w:rPr>
        <w:lastRenderedPageBreak/>
        <w:t>Jäckle</w:t>
      </w:r>
      <w:proofErr w:type="spellEnd"/>
      <w:r w:rsidRPr="00757CC4">
        <w:rPr>
          <w:sz w:val="22"/>
          <w:szCs w:val="22"/>
        </w:rPr>
        <w:t xml:space="preserve">, A. (2009), Dependent Interviewing: A Framework and Application to Current Research, In: Lynn, P. (Ed.), </w:t>
      </w:r>
      <w:r w:rsidRPr="00757CC4">
        <w:rPr>
          <w:i/>
          <w:sz w:val="22"/>
          <w:szCs w:val="22"/>
        </w:rPr>
        <w:t>Methodology of Longitudinal Surveys</w:t>
      </w:r>
      <w:r w:rsidRPr="00757CC4">
        <w:rPr>
          <w:sz w:val="22"/>
          <w:szCs w:val="22"/>
        </w:rPr>
        <w:t xml:space="preserve">, </w:t>
      </w:r>
      <w:proofErr w:type="spellStart"/>
      <w:r w:rsidRPr="00757CC4">
        <w:rPr>
          <w:sz w:val="22"/>
          <w:szCs w:val="22"/>
        </w:rPr>
        <w:t>Chichester</w:t>
      </w:r>
      <w:proofErr w:type="spellEnd"/>
      <w:r w:rsidRPr="00757CC4">
        <w:rPr>
          <w:sz w:val="22"/>
          <w:szCs w:val="22"/>
        </w:rPr>
        <w:t>: John Wiley &amp; Sons.</w:t>
      </w:r>
    </w:p>
    <w:p w14:paraId="124A1E8B" w14:textId="77777777" w:rsidR="00A361DA" w:rsidRPr="00757CC4" w:rsidRDefault="00A361DA" w:rsidP="00757CC4">
      <w:pPr>
        <w:ind w:left="360" w:hanging="360"/>
        <w:contextualSpacing/>
        <w:jc w:val="both"/>
        <w:rPr>
          <w:sz w:val="22"/>
          <w:szCs w:val="22"/>
        </w:rPr>
      </w:pPr>
      <w:proofErr w:type="spellStart"/>
      <w:r w:rsidRPr="00757CC4">
        <w:rPr>
          <w:sz w:val="22"/>
          <w:szCs w:val="22"/>
        </w:rPr>
        <w:t>Jäckle</w:t>
      </w:r>
      <w:proofErr w:type="spellEnd"/>
      <w:r w:rsidRPr="00757CC4">
        <w:rPr>
          <w:sz w:val="22"/>
          <w:szCs w:val="22"/>
        </w:rPr>
        <w:t xml:space="preserve">, A. (2008), Dependent Interviewing: Effects on Respondent Burden and Efficiency, </w:t>
      </w:r>
      <w:r w:rsidRPr="00757CC4">
        <w:rPr>
          <w:i/>
          <w:sz w:val="22"/>
          <w:szCs w:val="22"/>
        </w:rPr>
        <w:t>Journal of Official Statistics</w:t>
      </w:r>
      <w:r w:rsidRPr="00757CC4">
        <w:rPr>
          <w:sz w:val="22"/>
          <w:szCs w:val="22"/>
        </w:rPr>
        <w:t>, 24, pp. 411-430.</w:t>
      </w:r>
    </w:p>
    <w:p w14:paraId="40827085" w14:textId="77777777" w:rsidR="00A361DA" w:rsidRPr="00757CC4" w:rsidRDefault="00A361DA" w:rsidP="00757CC4">
      <w:pPr>
        <w:ind w:left="360" w:hanging="360"/>
        <w:contextualSpacing/>
        <w:jc w:val="both"/>
        <w:rPr>
          <w:sz w:val="22"/>
          <w:szCs w:val="22"/>
        </w:rPr>
      </w:pPr>
      <w:proofErr w:type="spellStart"/>
      <w:r w:rsidRPr="00757CC4">
        <w:rPr>
          <w:sz w:val="22"/>
          <w:szCs w:val="22"/>
        </w:rPr>
        <w:t>Jäckle</w:t>
      </w:r>
      <w:proofErr w:type="spellEnd"/>
      <w:r w:rsidRPr="00757CC4">
        <w:rPr>
          <w:sz w:val="22"/>
          <w:szCs w:val="22"/>
        </w:rPr>
        <w:t xml:space="preserve">, A. and P. Lynn (2007), Dependent Interviewing and Seam Effects in Work History Data, </w:t>
      </w:r>
      <w:r w:rsidRPr="00757CC4">
        <w:rPr>
          <w:i/>
          <w:sz w:val="22"/>
          <w:szCs w:val="22"/>
        </w:rPr>
        <w:t>Journal of Official Statistics</w:t>
      </w:r>
      <w:r w:rsidRPr="00757CC4">
        <w:rPr>
          <w:sz w:val="22"/>
          <w:szCs w:val="22"/>
        </w:rPr>
        <w:t xml:space="preserve">, 23, pp. 529-551. </w:t>
      </w:r>
    </w:p>
    <w:p w14:paraId="672376BB" w14:textId="77777777" w:rsidR="00A361DA" w:rsidRPr="00757CC4" w:rsidRDefault="00A361DA" w:rsidP="00757CC4">
      <w:pPr>
        <w:ind w:left="360" w:hanging="360"/>
        <w:contextualSpacing/>
        <w:jc w:val="both"/>
        <w:rPr>
          <w:sz w:val="22"/>
          <w:szCs w:val="22"/>
          <w:lang w:eastAsia="zh-CN"/>
        </w:rPr>
      </w:pPr>
      <w:proofErr w:type="spellStart"/>
      <w:r w:rsidRPr="00757CC4">
        <w:rPr>
          <w:sz w:val="22"/>
          <w:szCs w:val="22"/>
          <w:lang w:eastAsia="zh-CN"/>
        </w:rPr>
        <w:t>Kahneman</w:t>
      </w:r>
      <w:proofErr w:type="spellEnd"/>
      <w:r w:rsidRPr="00757CC4">
        <w:rPr>
          <w:sz w:val="22"/>
          <w:szCs w:val="22"/>
          <w:lang w:eastAsia="zh-CN"/>
        </w:rPr>
        <w:t xml:space="preserve">, D., A.B. Krueger, D.A. </w:t>
      </w:r>
      <w:proofErr w:type="spellStart"/>
      <w:r w:rsidRPr="00757CC4">
        <w:rPr>
          <w:sz w:val="22"/>
          <w:szCs w:val="22"/>
          <w:lang w:eastAsia="zh-CN"/>
        </w:rPr>
        <w:t>Schkade</w:t>
      </w:r>
      <w:proofErr w:type="spellEnd"/>
      <w:r w:rsidRPr="00757CC4">
        <w:rPr>
          <w:sz w:val="22"/>
          <w:szCs w:val="22"/>
          <w:lang w:eastAsia="zh-CN"/>
        </w:rPr>
        <w:t xml:space="preserve">, N. Schwarz, and A.A. Stone (2004), A Survey Method for Characterizing Daily Life Experience: The Day Reconstruction Method, </w:t>
      </w:r>
      <w:r w:rsidRPr="00757CC4">
        <w:rPr>
          <w:i/>
          <w:sz w:val="22"/>
          <w:szCs w:val="22"/>
          <w:lang w:eastAsia="zh-CN"/>
        </w:rPr>
        <w:t>Science</w:t>
      </w:r>
      <w:r w:rsidRPr="00757CC4">
        <w:rPr>
          <w:sz w:val="22"/>
          <w:szCs w:val="22"/>
          <w:lang w:eastAsia="zh-CN"/>
        </w:rPr>
        <w:t xml:space="preserve">, </w:t>
      </w:r>
      <w:r w:rsidRPr="00757CC4">
        <w:rPr>
          <w:sz w:val="22"/>
          <w:szCs w:val="22"/>
        </w:rPr>
        <w:t>306, pp. 1776-1780.</w:t>
      </w:r>
    </w:p>
    <w:p w14:paraId="568ECAA9" w14:textId="77777777" w:rsidR="00A361DA" w:rsidRPr="00757CC4" w:rsidRDefault="00A361DA" w:rsidP="00757CC4">
      <w:pPr>
        <w:ind w:left="360" w:hanging="360"/>
        <w:contextualSpacing/>
        <w:jc w:val="both"/>
        <w:rPr>
          <w:sz w:val="22"/>
          <w:szCs w:val="22"/>
        </w:rPr>
      </w:pPr>
      <w:proofErr w:type="spellStart"/>
      <w:r w:rsidRPr="00757CC4">
        <w:rPr>
          <w:sz w:val="22"/>
          <w:szCs w:val="22"/>
        </w:rPr>
        <w:t>Kalton</w:t>
      </w:r>
      <w:proofErr w:type="spellEnd"/>
      <w:r w:rsidRPr="00757CC4">
        <w:rPr>
          <w:sz w:val="22"/>
          <w:szCs w:val="22"/>
        </w:rPr>
        <w:t xml:space="preserve">, G. and C.F. </w:t>
      </w:r>
      <w:proofErr w:type="spellStart"/>
      <w:r w:rsidRPr="00757CC4">
        <w:rPr>
          <w:sz w:val="22"/>
          <w:szCs w:val="22"/>
        </w:rPr>
        <w:t>Citro</w:t>
      </w:r>
      <w:proofErr w:type="spellEnd"/>
      <w:r w:rsidRPr="00757CC4">
        <w:rPr>
          <w:sz w:val="22"/>
          <w:szCs w:val="22"/>
        </w:rPr>
        <w:t xml:space="preserve"> (1993), Panel Surveys: Adding the Fourth Dimension, </w:t>
      </w:r>
      <w:r w:rsidRPr="00757CC4">
        <w:rPr>
          <w:i/>
          <w:sz w:val="22"/>
          <w:szCs w:val="22"/>
        </w:rPr>
        <w:t>Survey Methodology</w:t>
      </w:r>
      <w:r w:rsidRPr="00757CC4">
        <w:rPr>
          <w:sz w:val="22"/>
          <w:szCs w:val="22"/>
        </w:rPr>
        <w:t>, 19, pp. 205-215.</w:t>
      </w:r>
    </w:p>
    <w:p w14:paraId="3F01905C" w14:textId="77777777" w:rsidR="00A361DA" w:rsidRPr="00757CC4" w:rsidRDefault="00A361DA" w:rsidP="00757CC4">
      <w:pPr>
        <w:pStyle w:val="BodyText"/>
        <w:spacing w:after="0"/>
        <w:ind w:left="360" w:hanging="360"/>
        <w:contextualSpacing/>
        <w:jc w:val="both"/>
        <w:rPr>
          <w:i/>
          <w:sz w:val="22"/>
          <w:szCs w:val="22"/>
        </w:rPr>
      </w:pPr>
      <w:r w:rsidRPr="00757CC4">
        <w:rPr>
          <w:sz w:val="22"/>
          <w:szCs w:val="22"/>
          <w:lang w:eastAsia="zh-CN"/>
        </w:rPr>
        <w:t xml:space="preserve">Kapteyn, A. and J.Y. </w:t>
      </w:r>
      <w:proofErr w:type="spellStart"/>
      <w:r w:rsidRPr="00757CC4">
        <w:rPr>
          <w:sz w:val="22"/>
          <w:szCs w:val="22"/>
          <w:lang w:eastAsia="zh-CN"/>
        </w:rPr>
        <w:t>Ypma</w:t>
      </w:r>
      <w:proofErr w:type="spellEnd"/>
      <w:r w:rsidRPr="00757CC4">
        <w:rPr>
          <w:sz w:val="22"/>
          <w:szCs w:val="22"/>
          <w:lang w:eastAsia="zh-CN"/>
        </w:rPr>
        <w:t xml:space="preserve"> (2007), </w:t>
      </w:r>
      <w:r w:rsidRPr="00757CC4">
        <w:rPr>
          <w:rStyle w:val="Emphasis"/>
          <w:i w:val="0"/>
          <w:iCs w:val="0"/>
          <w:sz w:val="22"/>
          <w:szCs w:val="22"/>
        </w:rPr>
        <w:t>Measurement Error and Misclassification: A Comparison of Survey and Administrative Data,</w:t>
      </w:r>
      <w:r w:rsidRPr="00757CC4">
        <w:rPr>
          <w:sz w:val="22"/>
          <w:szCs w:val="22"/>
        </w:rPr>
        <w:t xml:space="preserve"> </w:t>
      </w:r>
      <w:r w:rsidRPr="00757CC4">
        <w:rPr>
          <w:i/>
          <w:sz w:val="22"/>
          <w:szCs w:val="22"/>
        </w:rPr>
        <w:t>Journal of Labor Economics,</w:t>
      </w:r>
      <w:r w:rsidRPr="00757CC4">
        <w:rPr>
          <w:sz w:val="22"/>
          <w:szCs w:val="22"/>
        </w:rPr>
        <w:t xml:space="preserve"> 25 (3), pp. 513-551.</w:t>
      </w:r>
    </w:p>
    <w:p w14:paraId="3A0BE088" w14:textId="77777777" w:rsidR="00A361DA" w:rsidRPr="00757CC4" w:rsidRDefault="00A361DA" w:rsidP="00757CC4">
      <w:pPr>
        <w:ind w:left="360" w:hanging="360"/>
        <w:contextualSpacing/>
        <w:jc w:val="both"/>
        <w:rPr>
          <w:bCs/>
          <w:sz w:val="22"/>
          <w:szCs w:val="22"/>
        </w:rPr>
      </w:pPr>
      <w:r w:rsidRPr="00757CC4">
        <w:rPr>
          <w:sz w:val="22"/>
          <w:szCs w:val="22"/>
          <w:lang w:eastAsia="zh-CN"/>
        </w:rPr>
        <w:t xml:space="preserve">Kapteyn, A., J.P. Smith, and A. van </w:t>
      </w:r>
      <w:proofErr w:type="spellStart"/>
      <w:r w:rsidRPr="00757CC4">
        <w:rPr>
          <w:sz w:val="22"/>
          <w:szCs w:val="22"/>
          <w:lang w:eastAsia="zh-CN"/>
        </w:rPr>
        <w:t>Soest</w:t>
      </w:r>
      <w:proofErr w:type="spellEnd"/>
      <w:r w:rsidRPr="00757CC4">
        <w:rPr>
          <w:sz w:val="22"/>
          <w:szCs w:val="22"/>
          <w:lang w:eastAsia="zh-CN"/>
        </w:rPr>
        <w:t xml:space="preserve"> (2007), Vignettes and self-reports of work disability in the US and The Netherlands, </w:t>
      </w:r>
      <w:r w:rsidRPr="00757CC4">
        <w:rPr>
          <w:i/>
          <w:iCs/>
          <w:sz w:val="22"/>
          <w:szCs w:val="22"/>
          <w:lang w:eastAsia="zh-CN"/>
        </w:rPr>
        <w:t>American Economic Review,</w:t>
      </w:r>
      <w:r w:rsidRPr="00757CC4">
        <w:rPr>
          <w:sz w:val="22"/>
          <w:szCs w:val="22"/>
          <w:lang w:eastAsia="zh-CN"/>
        </w:rPr>
        <w:t xml:space="preserve"> 97 (1), pp. 461-473.</w:t>
      </w:r>
    </w:p>
    <w:p w14:paraId="74B18357" w14:textId="77777777" w:rsidR="00A361DA" w:rsidRPr="00757CC4" w:rsidRDefault="00A361DA" w:rsidP="00757CC4">
      <w:pPr>
        <w:ind w:left="360" w:hanging="360"/>
        <w:contextualSpacing/>
        <w:jc w:val="both"/>
        <w:rPr>
          <w:sz w:val="22"/>
          <w:szCs w:val="22"/>
        </w:rPr>
      </w:pPr>
      <w:proofErr w:type="spellStart"/>
      <w:r w:rsidRPr="00757CC4">
        <w:rPr>
          <w:sz w:val="22"/>
          <w:szCs w:val="22"/>
        </w:rPr>
        <w:t>Knauper</w:t>
      </w:r>
      <w:proofErr w:type="spellEnd"/>
      <w:r w:rsidRPr="00757CC4">
        <w:rPr>
          <w:sz w:val="22"/>
          <w:szCs w:val="22"/>
        </w:rPr>
        <w:t xml:space="preserve">, B. (1999), The Impact of Age and Education on Response Order Effects in Attitude Measurement, </w:t>
      </w:r>
      <w:r w:rsidRPr="00757CC4">
        <w:rPr>
          <w:i/>
          <w:sz w:val="22"/>
          <w:szCs w:val="22"/>
        </w:rPr>
        <w:t>Public Opinion Quarterly</w:t>
      </w:r>
      <w:r w:rsidRPr="00757CC4">
        <w:rPr>
          <w:sz w:val="22"/>
          <w:szCs w:val="22"/>
        </w:rPr>
        <w:t>, 63, pp. 347-370.</w:t>
      </w:r>
    </w:p>
    <w:p w14:paraId="59089AD0" w14:textId="77777777" w:rsidR="00A361DA" w:rsidRPr="00757CC4" w:rsidRDefault="00A361DA" w:rsidP="00757CC4">
      <w:pPr>
        <w:ind w:left="360" w:hanging="360"/>
        <w:contextualSpacing/>
        <w:jc w:val="both"/>
        <w:rPr>
          <w:sz w:val="22"/>
          <w:szCs w:val="22"/>
        </w:rPr>
      </w:pPr>
      <w:r w:rsidRPr="00757CC4">
        <w:rPr>
          <w:sz w:val="22"/>
          <w:szCs w:val="22"/>
        </w:rPr>
        <w:t xml:space="preserve">Laurie, H., R. Smith, and L. Scott (1999), Strategies for Reducing Nonresponse in a Longitudinal Panel Survey, </w:t>
      </w:r>
      <w:r w:rsidRPr="00757CC4">
        <w:rPr>
          <w:i/>
          <w:sz w:val="22"/>
          <w:szCs w:val="22"/>
        </w:rPr>
        <w:t>Journal of Official Statistics</w:t>
      </w:r>
      <w:r w:rsidRPr="00757CC4">
        <w:rPr>
          <w:sz w:val="22"/>
          <w:szCs w:val="22"/>
        </w:rPr>
        <w:t>, 15, pp. 269-282.</w:t>
      </w:r>
    </w:p>
    <w:p w14:paraId="3A28014B" w14:textId="77777777" w:rsidR="00A361DA" w:rsidRPr="00757CC4" w:rsidRDefault="00A361DA" w:rsidP="00757CC4">
      <w:pPr>
        <w:ind w:left="360" w:hanging="360"/>
        <w:contextualSpacing/>
        <w:jc w:val="both"/>
        <w:rPr>
          <w:sz w:val="22"/>
          <w:szCs w:val="22"/>
        </w:rPr>
      </w:pPr>
      <w:proofErr w:type="spellStart"/>
      <w:r w:rsidRPr="00757CC4">
        <w:rPr>
          <w:sz w:val="22"/>
          <w:szCs w:val="22"/>
          <w:lang w:eastAsia="zh-CN"/>
        </w:rPr>
        <w:t>Loosveldt</w:t>
      </w:r>
      <w:proofErr w:type="spellEnd"/>
      <w:r w:rsidRPr="00757CC4">
        <w:rPr>
          <w:sz w:val="22"/>
          <w:szCs w:val="22"/>
          <w:lang w:eastAsia="zh-CN"/>
        </w:rPr>
        <w:t xml:space="preserve">, G. and N. </w:t>
      </w:r>
      <w:proofErr w:type="spellStart"/>
      <w:r w:rsidRPr="00757CC4">
        <w:rPr>
          <w:sz w:val="22"/>
          <w:szCs w:val="22"/>
          <w:lang w:eastAsia="zh-CN"/>
        </w:rPr>
        <w:t>Sonck</w:t>
      </w:r>
      <w:proofErr w:type="spellEnd"/>
      <w:r w:rsidRPr="00757CC4">
        <w:rPr>
          <w:sz w:val="22"/>
          <w:szCs w:val="22"/>
          <w:lang w:eastAsia="zh-CN"/>
        </w:rPr>
        <w:t xml:space="preserve"> (2008), An evaluation of the weighting procedures for an online access panel survey, </w:t>
      </w:r>
      <w:r w:rsidRPr="00757CC4">
        <w:rPr>
          <w:i/>
          <w:iCs/>
          <w:sz w:val="22"/>
          <w:szCs w:val="22"/>
          <w:lang w:eastAsia="zh-CN"/>
        </w:rPr>
        <w:t>Survey Research Methods</w:t>
      </w:r>
      <w:r w:rsidRPr="00757CC4">
        <w:rPr>
          <w:sz w:val="22"/>
          <w:szCs w:val="22"/>
          <w:lang w:eastAsia="zh-CN"/>
        </w:rPr>
        <w:t xml:space="preserve">, </w:t>
      </w:r>
      <w:r w:rsidRPr="00757CC4">
        <w:rPr>
          <w:iCs/>
          <w:sz w:val="22"/>
          <w:szCs w:val="22"/>
          <w:lang w:eastAsia="zh-CN"/>
        </w:rPr>
        <w:t>2</w:t>
      </w:r>
      <w:r w:rsidRPr="00757CC4">
        <w:rPr>
          <w:sz w:val="22"/>
          <w:szCs w:val="22"/>
          <w:lang w:eastAsia="zh-CN"/>
        </w:rPr>
        <w:t>, pp. 93–105.</w:t>
      </w:r>
    </w:p>
    <w:p w14:paraId="2BC66B05" w14:textId="77777777" w:rsidR="00A361DA" w:rsidRPr="00757CC4" w:rsidRDefault="00A361DA" w:rsidP="00757CC4">
      <w:pPr>
        <w:ind w:left="360" w:hanging="360"/>
        <w:contextualSpacing/>
        <w:jc w:val="both"/>
        <w:rPr>
          <w:sz w:val="22"/>
          <w:szCs w:val="22"/>
        </w:rPr>
      </w:pPr>
      <w:r w:rsidRPr="00757CC4">
        <w:rPr>
          <w:sz w:val="22"/>
          <w:szCs w:val="22"/>
        </w:rPr>
        <w:t xml:space="preserve">Lynn, P. (2009), Methods for Longitudinal Surveys, In: Lynn, P (Ed.), </w:t>
      </w:r>
      <w:r w:rsidRPr="00757CC4">
        <w:rPr>
          <w:i/>
          <w:sz w:val="22"/>
          <w:szCs w:val="22"/>
        </w:rPr>
        <w:t>Methodology of Longitudinal Surveys</w:t>
      </w:r>
      <w:r w:rsidRPr="00757CC4">
        <w:rPr>
          <w:sz w:val="22"/>
          <w:szCs w:val="22"/>
        </w:rPr>
        <w:t xml:space="preserve">, </w:t>
      </w:r>
      <w:proofErr w:type="spellStart"/>
      <w:r w:rsidRPr="00757CC4">
        <w:rPr>
          <w:sz w:val="22"/>
          <w:szCs w:val="22"/>
        </w:rPr>
        <w:t>Chichester</w:t>
      </w:r>
      <w:proofErr w:type="spellEnd"/>
      <w:r w:rsidRPr="00757CC4">
        <w:rPr>
          <w:sz w:val="22"/>
          <w:szCs w:val="22"/>
        </w:rPr>
        <w:t>: John Wiley &amp; Sons.</w:t>
      </w:r>
    </w:p>
    <w:p w14:paraId="7604714F" w14:textId="77777777" w:rsidR="00A361DA" w:rsidRPr="00757CC4" w:rsidRDefault="00A361DA" w:rsidP="00757CC4">
      <w:pPr>
        <w:ind w:left="360" w:hanging="360"/>
        <w:contextualSpacing/>
        <w:jc w:val="both"/>
        <w:rPr>
          <w:sz w:val="22"/>
          <w:szCs w:val="22"/>
        </w:rPr>
      </w:pPr>
      <w:r w:rsidRPr="00757CC4">
        <w:rPr>
          <w:sz w:val="22"/>
          <w:szCs w:val="22"/>
        </w:rPr>
        <w:t xml:space="preserve">Lynn, P., A. </w:t>
      </w:r>
      <w:proofErr w:type="spellStart"/>
      <w:r w:rsidRPr="00757CC4">
        <w:rPr>
          <w:sz w:val="22"/>
          <w:szCs w:val="22"/>
        </w:rPr>
        <w:t>Jäckle</w:t>
      </w:r>
      <w:proofErr w:type="spellEnd"/>
      <w:r w:rsidRPr="00757CC4">
        <w:rPr>
          <w:sz w:val="22"/>
          <w:szCs w:val="22"/>
        </w:rPr>
        <w:t xml:space="preserve">, S.P. Jenkins, and E. </w:t>
      </w:r>
      <w:proofErr w:type="spellStart"/>
      <w:r w:rsidRPr="00757CC4">
        <w:rPr>
          <w:sz w:val="22"/>
          <w:szCs w:val="22"/>
        </w:rPr>
        <w:t>Sala</w:t>
      </w:r>
      <w:proofErr w:type="spellEnd"/>
      <w:r w:rsidRPr="00757CC4">
        <w:rPr>
          <w:sz w:val="22"/>
          <w:szCs w:val="22"/>
        </w:rPr>
        <w:t xml:space="preserve">, E. (2006), The Effects of Dependent Interviewing on Responses to Questions on Income Sources, </w:t>
      </w:r>
      <w:r w:rsidRPr="00757CC4">
        <w:rPr>
          <w:i/>
          <w:sz w:val="22"/>
          <w:szCs w:val="22"/>
        </w:rPr>
        <w:t>Journal of Official Statistics</w:t>
      </w:r>
      <w:r w:rsidRPr="00757CC4">
        <w:rPr>
          <w:sz w:val="22"/>
          <w:szCs w:val="22"/>
        </w:rPr>
        <w:t xml:space="preserve">, 22, pp. 357-384. </w:t>
      </w:r>
    </w:p>
    <w:p w14:paraId="237BE361" w14:textId="77777777" w:rsidR="00A361DA" w:rsidRPr="00757CC4" w:rsidRDefault="00A361DA" w:rsidP="00757CC4">
      <w:pPr>
        <w:ind w:left="360" w:hanging="360"/>
        <w:contextualSpacing/>
        <w:jc w:val="both"/>
        <w:rPr>
          <w:sz w:val="22"/>
          <w:szCs w:val="22"/>
        </w:rPr>
      </w:pPr>
      <w:r w:rsidRPr="00757CC4">
        <w:rPr>
          <w:sz w:val="22"/>
          <w:szCs w:val="22"/>
        </w:rPr>
        <w:t xml:space="preserve">Lynn, P. and E. </w:t>
      </w:r>
      <w:proofErr w:type="spellStart"/>
      <w:r w:rsidRPr="00757CC4">
        <w:rPr>
          <w:sz w:val="22"/>
          <w:szCs w:val="22"/>
        </w:rPr>
        <w:t>Sala</w:t>
      </w:r>
      <w:proofErr w:type="spellEnd"/>
      <w:r w:rsidRPr="00757CC4">
        <w:rPr>
          <w:sz w:val="22"/>
          <w:szCs w:val="22"/>
        </w:rPr>
        <w:t xml:space="preserve"> (2006), Measuring Change in Employment Characteristics: The Effects of Dependent Interviewing, </w:t>
      </w:r>
      <w:r w:rsidRPr="00757CC4">
        <w:rPr>
          <w:i/>
          <w:sz w:val="22"/>
          <w:szCs w:val="22"/>
        </w:rPr>
        <w:t>International Journal of Public Opinion Research</w:t>
      </w:r>
      <w:r w:rsidRPr="00757CC4">
        <w:rPr>
          <w:sz w:val="22"/>
          <w:szCs w:val="22"/>
        </w:rPr>
        <w:t>, 18, pp. 500-509.</w:t>
      </w:r>
    </w:p>
    <w:p w14:paraId="62CEC77E" w14:textId="77777777" w:rsidR="00A361DA" w:rsidRPr="00757CC4" w:rsidRDefault="00A361DA" w:rsidP="00757CC4">
      <w:pPr>
        <w:ind w:left="360" w:hanging="360"/>
        <w:contextualSpacing/>
        <w:jc w:val="both"/>
        <w:rPr>
          <w:sz w:val="22"/>
          <w:szCs w:val="22"/>
        </w:rPr>
      </w:pPr>
      <w:proofErr w:type="spellStart"/>
      <w:r w:rsidRPr="00757CC4">
        <w:rPr>
          <w:sz w:val="22"/>
          <w:szCs w:val="22"/>
        </w:rPr>
        <w:t>Manski</w:t>
      </w:r>
      <w:proofErr w:type="spellEnd"/>
      <w:r w:rsidRPr="00757CC4">
        <w:rPr>
          <w:sz w:val="22"/>
          <w:szCs w:val="22"/>
        </w:rPr>
        <w:t xml:space="preserve">, C. F. (1990), The Use of Intentions Data to Predict Behavior: A Best-Case Analysis, </w:t>
      </w:r>
      <w:r w:rsidRPr="00757CC4">
        <w:rPr>
          <w:i/>
          <w:sz w:val="22"/>
          <w:szCs w:val="22"/>
        </w:rPr>
        <w:t>Journal of the American Statistical Association</w:t>
      </w:r>
      <w:r w:rsidRPr="00757CC4">
        <w:rPr>
          <w:sz w:val="22"/>
          <w:szCs w:val="22"/>
        </w:rPr>
        <w:t>, 85, pp. 934–940.</w:t>
      </w:r>
    </w:p>
    <w:p w14:paraId="31C82303" w14:textId="77777777" w:rsidR="00A361DA" w:rsidRPr="00757CC4" w:rsidRDefault="00A361DA" w:rsidP="00757CC4">
      <w:pPr>
        <w:ind w:left="360" w:hanging="360"/>
        <w:contextualSpacing/>
        <w:jc w:val="both"/>
        <w:rPr>
          <w:sz w:val="22"/>
          <w:szCs w:val="22"/>
        </w:rPr>
      </w:pPr>
      <w:proofErr w:type="spellStart"/>
      <w:r w:rsidRPr="00757CC4">
        <w:rPr>
          <w:sz w:val="22"/>
          <w:szCs w:val="22"/>
        </w:rPr>
        <w:t>Mathiowetz</w:t>
      </w:r>
      <w:proofErr w:type="spellEnd"/>
      <w:r w:rsidRPr="00757CC4">
        <w:rPr>
          <w:sz w:val="22"/>
          <w:szCs w:val="22"/>
        </w:rPr>
        <w:t xml:space="preserve">, N.A. and T.J. Lair (1994), Getting Better? Changes or Errors in the Measurement of Functional Limitations, </w:t>
      </w:r>
      <w:r w:rsidRPr="00757CC4">
        <w:rPr>
          <w:i/>
          <w:sz w:val="22"/>
          <w:szCs w:val="22"/>
        </w:rPr>
        <w:t>Journal of Economic &amp; Social Measurement</w:t>
      </w:r>
      <w:r w:rsidRPr="00757CC4">
        <w:rPr>
          <w:sz w:val="22"/>
          <w:szCs w:val="22"/>
        </w:rPr>
        <w:t>, 20, pp. 237-262.</w:t>
      </w:r>
    </w:p>
    <w:p w14:paraId="65F3F5B1" w14:textId="77777777" w:rsidR="00A361DA" w:rsidRPr="00757CC4" w:rsidRDefault="00A361DA" w:rsidP="00757CC4">
      <w:pPr>
        <w:ind w:left="360" w:hanging="360"/>
        <w:contextualSpacing/>
        <w:jc w:val="both"/>
        <w:rPr>
          <w:sz w:val="22"/>
          <w:szCs w:val="22"/>
        </w:rPr>
      </w:pPr>
      <w:proofErr w:type="spellStart"/>
      <w:r w:rsidRPr="00757CC4">
        <w:rPr>
          <w:sz w:val="22"/>
          <w:szCs w:val="22"/>
        </w:rPr>
        <w:t>Mathiowetz</w:t>
      </w:r>
      <w:proofErr w:type="spellEnd"/>
      <w:r w:rsidRPr="00757CC4">
        <w:rPr>
          <w:sz w:val="22"/>
          <w:szCs w:val="22"/>
        </w:rPr>
        <w:t xml:space="preserve">, N.A. and K.A. </w:t>
      </w:r>
      <w:proofErr w:type="spellStart"/>
      <w:r w:rsidRPr="00757CC4">
        <w:rPr>
          <w:sz w:val="22"/>
          <w:szCs w:val="22"/>
        </w:rPr>
        <w:t>McGonagle</w:t>
      </w:r>
      <w:proofErr w:type="spellEnd"/>
      <w:r w:rsidRPr="00757CC4">
        <w:rPr>
          <w:sz w:val="22"/>
          <w:szCs w:val="22"/>
        </w:rPr>
        <w:t xml:space="preserve"> (2000), An Assessment of the Current State of Dependent Interviewing in Household Surveys, </w:t>
      </w:r>
      <w:r w:rsidRPr="00757CC4">
        <w:rPr>
          <w:i/>
          <w:sz w:val="22"/>
          <w:szCs w:val="22"/>
        </w:rPr>
        <w:t>Journal of Official Statistics</w:t>
      </w:r>
      <w:r w:rsidRPr="00757CC4">
        <w:rPr>
          <w:sz w:val="22"/>
          <w:szCs w:val="22"/>
        </w:rPr>
        <w:t>, 16, pp. 401-418.</w:t>
      </w:r>
    </w:p>
    <w:p w14:paraId="5B256BB4" w14:textId="77777777" w:rsidR="00A361DA" w:rsidRPr="00757CC4" w:rsidRDefault="00A361DA" w:rsidP="00757CC4">
      <w:pPr>
        <w:ind w:left="360" w:hanging="360"/>
        <w:contextualSpacing/>
        <w:jc w:val="both"/>
        <w:rPr>
          <w:sz w:val="22"/>
          <w:szCs w:val="22"/>
        </w:rPr>
      </w:pPr>
      <w:proofErr w:type="spellStart"/>
      <w:r w:rsidRPr="00757CC4">
        <w:rPr>
          <w:sz w:val="22"/>
          <w:szCs w:val="22"/>
        </w:rPr>
        <w:t>Meurs</w:t>
      </w:r>
      <w:proofErr w:type="spellEnd"/>
      <w:r w:rsidRPr="00757CC4">
        <w:rPr>
          <w:sz w:val="22"/>
          <w:szCs w:val="22"/>
        </w:rPr>
        <w:t xml:space="preserve">, H., L. van </w:t>
      </w:r>
      <w:proofErr w:type="spellStart"/>
      <w:r w:rsidRPr="00757CC4">
        <w:rPr>
          <w:sz w:val="22"/>
          <w:szCs w:val="22"/>
        </w:rPr>
        <w:t>Wissen</w:t>
      </w:r>
      <w:proofErr w:type="spellEnd"/>
      <w:r w:rsidRPr="00757CC4">
        <w:rPr>
          <w:sz w:val="22"/>
          <w:szCs w:val="22"/>
        </w:rPr>
        <w:t xml:space="preserve">, and J. </w:t>
      </w:r>
      <w:proofErr w:type="spellStart"/>
      <w:r w:rsidRPr="00757CC4">
        <w:rPr>
          <w:sz w:val="22"/>
          <w:szCs w:val="22"/>
        </w:rPr>
        <w:t>Visser</w:t>
      </w:r>
      <w:proofErr w:type="spellEnd"/>
      <w:r w:rsidRPr="00757CC4">
        <w:rPr>
          <w:sz w:val="22"/>
          <w:szCs w:val="22"/>
        </w:rPr>
        <w:t xml:space="preserve"> (1989), Measurement Biases in Panel Data, </w:t>
      </w:r>
      <w:r w:rsidRPr="00757CC4">
        <w:rPr>
          <w:i/>
          <w:sz w:val="22"/>
          <w:szCs w:val="22"/>
        </w:rPr>
        <w:t>Transportation</w:t>
      </w:r>
      <w:r w:rsidRPr="00757CC4">
        <w:rPr>
          <w:sz w:val="22"/>
          <w:szCs w:val="22"/>
        </w:rPr>
        <w:t>, 16, pp. 175-194.</w:t>
      </w:r>
    </w:p>
    <w:p w14:paraId="45A1C184" w14:textId="77777777" w:rsidR="00A361DA" w:rsidRPr="00757CC4" w:rsidRDefault="00A361DA" w:rsidP="00757CC4">
      <w:pPr>
        <w:pStyle w:val="References"/>
        <w:spacing w:after="0" w:line="240" w:lineRule="auto"/>
        <w:ind w:left="360" w:hanging="360"/>
        <w:contextualSpacing/>
        <w:jc w:val="both"/>
        <w:rPr>
          <w:rFonts w:ascii="Times New Roman" w:hAnsi="Times New Roman"/>
          <w:szCs w:val="22"/>
        </w:rPr>
      </w:pPr>
      <w:r w:rsidRPr="00757CC4">
        <w:rPr>
          <w:rFonts w:ascii="Times New Roman" w:hAnsi="Times New Roman"/>
          <w:szCs w:val="22"/>
        </w:rPr>
        <w:t xml:space="preserve">Mack, S., V. Huggins, D. </w:t>
      </w:r>
      <w:proofErr w:type="spellStart"/>
      <w:r w:rsidRPr="00757CC4">
        <w:rPr>
          <w:rFonts w:ascii="Times New Roman" w:hAnsi="Times New Roman"/>
          <w:szCs w:val="22"/>
        </w:rPr>
        <w:t>Keathley</w:t>
      </w:r>
      <w:proofErr w:type="spellEnd"/>
      <w:r w:rsidRPr="00757CC4">
        <w:rPr>
          <w:rFonts w:ascii="Times New Roman" w:hAnsi="Times New Roman"/>
          <w:szCs w:val="22"/>
        </w:rPr>
        <w:t xml:space="preserve">, and M. </w:t>
      </w:r>
      <w:proofErr w:type="spellStart"/>
      <w:r w:rsidRPr="00757CC4">
        <w:rPr>
          <w:rFonts w:ascii="Times New Roman" w:hAnsi="Times New Roman"/>
          <w:szCs w:val="22"/>
        </w:rPr>
        <w:t>Sunduckchi</w:t>
      </w:r>
      <w:proofErr w:type="spellEnd"/>
      <w:r w:rsidRPr="00757CC4">
        <w:rPr>
          <w:rFonts w:ascii="Times New Roman" w:hAnsi="Times New Roman"/>
          <w:szCs w:val="22"/>
        </w:rPr>
        <w:t xml:space="preserve"> (1998), Do Monetary Incentives Improve Response Rates in the Survey of Income and Program Participation? </w:t>
      </w:r>
      <w:proofErr w:type="gramStart"/>
      <w:r w:rsidRPr="00757CC4">
        <w:rPr>
          <w:rFonts w:ascii="Times New Roman" w:hAnsi="Times New Roman"/>
          <w:i/>
          <w:iCs/>
          <w:szCs w:val="22"/>
        </w:rPr>
        <w:t>Proceedings of the Section of Survey Research Methods</w:t>
      </w:r>
      <w:r w:rsidRPr="00757CC4">
        <w:rPr>
          <w:rFonts w:ascii="Times New Roman" w:hAnsi="Times New Roman"/>
          <w:szCs w:val="22"/>
        </w:rPr>
        <w:t>, American Statistical Association.</w:t>
      </w:r>
      <w:proofErr w:type="gramEnd"/>
    </w:p>
    <w:p w14:paraId="6989B8B9" w14:textId="77777777" w:rsidR="00A361DA" w:rsidRPr="00757CC4" w:rsidRDefault="00A361DA" w:rsidP="00757CC4">
      <w:pPr>
        <w:ind w:left="360" w:hanging="360"/>
        <w:contextualSpacing/>
        <w:jc w:val="both"/>
        <w:rPr>
          <w:sz w:val="22"/>
          <w:szCs w:val="22"/>
          <w:lang w:eastAsia="zh-CN"/>
        </w:rPr>
      </w:pPr>
      <w:proofErr w:type="spellStart"/>
      <w:r w:rsidRPr="00757CC4">
        <w:rPr>
          <w:sz w:val="22"/>
          <w:szCs w:val="22"/>
          <w:lang w:eastAsia="zh-CN"/>
        </w:rPr>
        <w:t>Malhotra</w:t>
      </w:r>
      <w:proofErr w:type="spellEnd"/>
      <w:r w:rsidRPr="00757CC4">
        <w:rPr>
          <w:sz w:val="22"/>
          <w:szCs w:val="22"/>
          <w:lang w:eastAsia="zh-CN"/>
        </w:rPr>
        <w:t xml:space="preserve">, N. and J.A. </w:t>
      </w:r>
      <w:proofErr w:type="spellStart"/>
      <w:r w:rsidRPr="00757CC4">
        <w:rPr>
          <w:sz w:val="22"/>
          <w:szCs w:val="22"/>
          <w:lang w:eastAsia="zh-CN"/>
        </w:rPr>
        <w:t>Krosnick</w:t>
      </w:r>
      <w:proofErr w:type="spellEnd"/>
      <w:r w:rsidRPr="00757CC4">
        <w:rPr>
          <w:sz w:val="22"/>
          <w:szCs w:val="22"/>
          <w:lang w:eastAsia="zh-CN"/>
        </w:rPr>
        <w:t xml:space="preserve"> (2007), The effect of survey mode and sampling on inferences about political attitudes and behavior: Comparing the 2000 and 2004 ANES to Internet surveys with non-probability samples, </w:t>
      </w:r>
      <w:r w:rsidRPr="00757CC4">
        <w:rPr>
          <w:i/>
          <w:iCs/>
          <w:sz w:val="22"/>
          <w:szCs w:val="22"/>
          <w:lang w:eastAsia="zh-CN"/>
        </w:rPr>
        <w:t>Political Analysis</w:t>
      </w:r>
      <w:r w:rsidRPr="00757CC4">
        <w:rPr>
          <w:sz w:val="22"/>
          <w:szCs w:val="22"/>
          <w:lang w:eastAsia="zh-CN"/>
        </w:rPr>
        <w:t xml:space="preserve">, </w:t>
      </w:r>
      <w:r w:rsidRPr="00757CC4">
        <w:rPr>
          <w:iCs/>
          <w:sz w:val="22"/>
          <w:szCs w:val="22"/>
          <w:lang w:eastAsia="zh-CN"/>
        </w:rPr>
        <w:t>15</w:t>
      </w:r>
      <w:r w:rsidRPr="00757CC4">
        <w:rPr>
          <w:sz w:val="22"/>
          <w:szCs w:val="22"/>
          <w:lang w:eastAsia="zh-CN"/>
        </w:rPr>
        <w:t>, pp. 286–323.</w:t>
      </w:r>
    </w:p>
    <w:p w14:paraId="63806DE4" w14:textId="77777777" w:rsidR="00A361DA" w:rsidRPr="00757CC4" w:rsidRDefault="00A361DA" w:rsidP="00757CC4">
      <w:pPr>
        <w:ind w:left="360" w:hanging="360"/>
        <w:contextualSpacing/>
        <w:jc w:val="both"/>
        <w:rPr>
          <w:color w:val="000000"/>
          <w:sz w:val="22"/>
          <w:szCs w:val="22"/>
        </w:rPr>
      </w:pPr>
      <w:r w:rsidRPr="00757CC4">
        <w:rPr>
          <w:color w:val="000000"/>
          <w:sz w:val="22"/>
          <w:szCs w:val="22"/>
        </w:rPr>
        <w:t xml:space="preserve">Millar, M.M. and D.A. </w:t>
      </w:r>
      <w:proofErr w:type="spellStart"/>
      <w:r w:rsidRPr="00757CC4">
        <w:rPr>
          <w:color w:val="000000"/>
          <w:sz w:val="22"/>
          <w:szCs w:val="22"/>
        </w:rPr>
        <w:t>Dillman</w:t>
      </w:r>
      <w:proofErr w:type="spellEnd"/>
      <w:r w:rsidRPr="00757CC4">
        <w:rPr>
          <w:color w:val="000000"/>
          <w:sz w:val="22"/>
          <w:szCs w:val="22"/>
        </w:rPr>
        <w:t xml:space="preserve"> (2011), Improving Response to Web and Mixed-Mode Surveys, </w:t>
      </w:r>
      <w:r w:rsidRPr="00757CC4">
        <w:rPr>
          <w:i/>
          <w:color w:val="000000"/>
          <w:sz w:val="22"/>
          <w:szCs w:val="22"/>
        </w:rPr>
        <w:t>Public Opinion Quarterly</w:t>
      </w:r>
      <w:r w:rsidRPr="00757CC4">
        <w:rPr>
          <w:color w:val="000000"/>
          <w:sz w:val="22"/>
          <w:szCs w:val="22"/>
        </w:rPr>
        <w:t>, 75 (2), pp. 249-269.</w:t>
      </w:r>
    </w:p>
    <w:p w14:paraId="5104B81E" w14:textId="77777777" w:rsidR="00A361DA" w:rsidRPr="00757CC4" w:rsidRDefault="00A361DA" w:rsidP="00757CC4">
      <w:pPr>
        <w:ind w:left="360" w:hanging="360"/>
        <w:contextualSpacing/>
        <w:jc w:val="both"/>
        <w:rPr>
          <w:sz w:val="22"/>
          <w:szCs w:val="22"/>
          <w:lang w:eastAsia="nl-NL"/>
        </w:rPr>
      </w:pPr>
      <w:proofErr w:type="spellStart"/>
      <w:r w:rsidRPr="00757CC4">
        <w:rPr>
          <w:sz w:val="22"/>
          <w:szCs w:val="22"/>
          <w:lang w:eastAsia="nl-NL"/>
        </w:rPr>
        <w:t>Oosterveld</w:t>
      </w:r>
      <w:proofErr w:type="spellEnd"/>
      <w:r w:rsidRPr="00757CC4">
        <w:rPr>
          <w:sz w:val="22"/>
          <w:szCs w:val="22"/>
          <w:lang w:eastAsia="nl-NL"/>
        </w:rPr>
        <w:t xml:space="preserve">, P. and P. </w:t>
      </w:r>
      <w:proofErr w:type="spellStart"/>
      <w:r w:rsidRPr="00757CC4">
        <w:rPr>
          <w:sz w:val="22"/>
          <w:szCs w:val="22"/>
          <w:lang w:eastAsia="nl-NL"/>
        </w:rPr>
        <w:t>Willems</w:t>
      </w:r>
      <w:proofErr w:type="spellEnd"/>
      <w:r w:rsidRPr="00757CC4">
        <w:rPr>
          <w:sz w:val="22"/>
          <w:szCs w:val="22"/>
          <w:lang w:eastAsia="nl-NL"/>
        </w:rPr>
        <w:t xml:space="preserve"> (2003), Two modalities, one answer? Combining Internet and CATI surveys effectively in market research, In: Fellows, D.S. (Ed.), </w:t>
      </w:r>
      <w:proofErr w:type="spellStart"/>
      <w:r w:rsidRPr="00757CC4">
        <w:rPr>
          <w:i/>
          <w:sz w:val="22"/>
          <w:szCs w:val="22"/>
          <w:lang w:eastAsia="nl-NL"/>
        </w:rPr>
        <w:t>Technovate</w:t>
      </w:r>
      <w:proofErr w:type="spellEnd"/>
      <w:r w:rsidRPr="00757CC4">
        <w:rPr>
          <w:i/>
          <w:sz w:val="22"/>
          <w:szCs w:val="22"/>
          <w:lang w:eastAsia="nl-NL"/>
        </w:rPr>
        <w:t>,</w:t>
      </w:r>
      <w:r w:rsidRPr="00757CC4">
        <w:rPr>
          <w:sz w:val="22"/>
          <w:szCs w:val="22"/>
          <w:lang w:eastAsia="nl-NL"/>
        </w:rPr>
        <w:t xml:space="preserve"> Amsterdam: ESOMAR.</w:t>
      </w:r>
    </w:p>
    <w:p w14:paraId="3D182D24" w14:textId="77777777" w:rsidR="00A361DA" w:rsidRDefault="00A361DA" w:rsidP="00757CC4">
      <w:pPr>
        <w:ind w:left="360" w:hanging="360"/>
        <w:contextualSpacing/>
        <w:jc w:val="both"/>
        <w:rPr>
          <w:sz w:val="22"/>
          <w:szCs w:val="22"/>
          <w:lang w:eastAsia="nl-NL"/>
        </w:rPr>
      </w:pPr>
      <w:r w:rsidRPr="00757CC4">
        <w:rPr>
          <w:sz w:val="22"/>
          <w:szCs w:val="22"/>
          <w:lang w:eastAsia="nl-NL"/>
        </w:rPr>
        <w:t xml:space="preserve">Revilla, M.A. and W.E. Saris (2010), Comparison of Surveys Using Different Modes of Data Collection: European Social Survey versus LISS Panel, Working Paper, Research and Expertise Centre for Survey Methodology (RECSM), </w:t>
      </w:r>
      <w:proofErr w:type="spellStart"/>
      <w:r w:rsidRPr="00757CC4">
        <w:rPr>
          <w:sz w:val="22"/>
          <w:szCs w:val="22"/>
          <w:lang w:eastAsia="nl-NL"/>
        </w:rPr>
        <w:t>Universitat</w:t>
      </w:r>
      <w:proofErr w:type="spellEnd"/>
      <w:r w:rsidRPr="00757CC4">
        <w:rPr>
          <w:sz w:val="22"/>
          <w:szCs w:val="22"/>
          <w:lang w:eastAsia="nl-NL"/>
        </w:rPr>
        <w:t xml:space="preserve"> </w:t>
      </w:r>
      <w:proofErr w:type="spellStart"/>
      <w:r w:rsidRPr="00757CC4">
        <w:rPr>
          <w:sz w:val="22"/>
          <w:szCs w:val="22"/>
          <w:lang w:eastAsia="nl-NL"/>
        </w:rPr>
        <w:t>Pompeu</w:t>
      </w:r>
      <w:proofErr w:type="spellEnd"/>
      <w:r w:rsidRPr="00757CC4">
        <w:rPr>
          <w:sz w:val="22"/>
          <w:szCs w:val="22"/>
          <w:lang w:eastAsia="nl-NL"/>
        </w:rPr>
        <w:t xml:space="preserve"> </w:t>
      </w:r>
      <w:proofErr w:type="spellStart"/>
      <w:r w:rsidRPr="00757CC4">
        <w:rPr>
          <w:sz w:val="22"/>
          <w:szCs w:val="22"/>
          <w:lang w:eastAsia="nl-NL"/>
        </w:rPr>
        <w:t>Fabra</w:t>
      </w:r>
      <w:proofErr w:type="spellEnd"/>
      <w:r w:rsidRPr="00757CC4">
        <w:rPr>
          <w:sz w:val="22"/>
          <w:szCs w:val="22"/>
          <w:lang w:eastAsia="nl-NL"/>
        </w:rPr>
        <w:t>, Spain.</w:t>
      </w:r>
    </w:p>
    <w:p w14:paraId="63889A8A" w14:textId="77777777" w:rsidR="00B46459" w:rsidRPr="00757CC4" w:rsidRDefault="00B46459" w:rsidP="00757CC4">
      <w:pPr>
        <w:ind w:left="360" w:hanging="360"/>
        <w:contextualSpacing/>
        <w:jc w:val="both"/>
        <w:rPr>
          <w:sz w:val="22"/>
          <w:szCs w:val="22"/>
          <w:lang w:eastAsia="nl-NL"/>
        </w:rPr>
      </w:pPr>
      <w:proofErr w:type="spellStart"/>
      <w:r w:rsidRPr="00B46459">
        <w:rPr>
          <w:sz w:val="22"/>
          <w:szCs w:val="22"/>
          <w:lang w:eastAsia="nl-NL"/>
        </w:rPr>
        <w:t>Sakshaugh</w:t>
      </w:r>
      <w:proofErr w:type="spellEnd"/>
      <w:r w:rsidRPr="00B46459">
        <w:rPr>
          <w:sz w:val="22"/>
          <w:szCs w:val="22"/>
          <w:lang w:eastAsia="nl-NL"/>
        </w:rPr>
        <w:t xml:space="preserve">, J., </w:t>
      </w:r>
      <w:proofErr w:type="spellStart"/>
      <w:r w:rsidRPr="00B46459">
        <w:rPr>
          <w:sz w:val="22"/>
          <w:szCs w:val="22"/>
          <w:lang w:eastAsia="nl-NL"/>
        </w:rPr>
        <w:t>Tourangeau</w:t>
      </w:r>
      <w:proofErr w:type="spellEnd"/>
      <w:r w:rsidRPr="00B46459">
        <w:rPr>
          <w:sz w:val="22"/>
          <w:szCs w:val="22"/>
          <w:lang w:eastAsia="nl-NL"/>
        </w:rPr>
        <w:t xml:space="preserve">, R., </w:t>
      </w:r>
      <w:proofErr w:type="spellStart"/>
      <w:r w:rsidRPr="00B46459">
        <w:rPr>
          <w:sz w:val="22"/>
          <w:szCs w:val="22"/>
          <w:lang w:eastAsia="nl-NL"/>
        </w:rPr>
        <w:t>Krosnick</w:t>
      </w:r>
      <w:proofErr w:type="spellEnd"/>
      <w:r w:rsidRPr="00B46459">
        <w:rPr>
          <w:sz w:val="22"/>
          <w:szCs w:val="22"/>
          <w:lang w:eastAsia="nl-NL"/>
        </w:rPr>
        <w:t xml:space="preserve">, J.A., Ackermann, A., </w:t>
      </w:r>
      <w:proofErr w:type="spellStart"/>
      <w:r w:rsidRPr="00B46459">
        <w:rPr>
          <w:sz w:val="22"/>
          <w:szCs w:val="22"/>
          <w:lang w:eastAsia="nl-NL"/>
        </w:rPr>
        <w:t>Marka</w:t>
      </w:r>
      <w:proofErr w:type="spellEnd"/>
      <w:r w:rsidRPr="00B46459">
        <w:rPr>
          <w:sz w:val="22"/>
          <w:szCs w:val="22"/>
          <w:lang w:eastAsia="nl-NL"/>
        </w:rPr>
        <w:t xml:space="preserve">, A., </w:t>
      </w:r>
      <w:proofErr w:type="spellStart"/>
      <w:r w:rsidRPr="00B46459">
        <w:rPr>
          <w:sz w:val="22"/>
          <w:szCs w:val="22"/>
          <w:lang w:eastAsia="nl-NL"/>
        </w:rPr>
        <w:t>DeBell</w:t>
      </w:r>
      <w:proofErr w:type="spellEnd"/>
      <w:r w:rsidRPr="00B46459">
        <w:rPr>
          <w:sz w:val="22"/>
          <w:szCs w:val="22"/>
          <w:lang w:eastAsia="nl-NL"/>
        </w:rPr>
        <w:t xml:space="preserve">, M., et al. (2009). </w:t>
      </w:r>
      <w:proofErr w:type="gramStart"/>
      <w:r w:rsidRPr="00B46459">
        <w:rPr>
          <w:sz w:val="22"/>
          <w:szCs w:val="22"/>
          <w:lang w:eastAsia="nl-NL"/>
        </w:rPr>
        <w:t>Dispositions and outcome rates in the "Face-to-Face Recruited Internet Survey Platform" (the FFRISP).</w:t>
      </w:r>
      <w:proofErr w:type="gramEnd"/>
      <w:r w:rsidRPr="00B46459">
        <w:rPr>
          <w:sz w:val="22"/>
          <w:szCs w:val="22"/>
          <w:lang w:eastAsia="nl-NL"/>
        </w:rPr>
        <w:t xml:space="preserve"> Paper presented at the 64th Annual conference of the American Association for Public </w:t>
      </w:r>
      <w:r w:rsidRPr="00B46459">
        <w:rPr>
          <w:sz w:val="22"/>
          <w:szCs w:val="22"/>
          <w:lang w:eastAsia="nl-NL"/>
        </w:rPr>
        <w:lastRenderedPageBreak/>
        <w:t>Opinion Research (AAPOR), Hollywood, FL.</w:t>
      </w:r>
    </w:p>
    <w:p w14:paraId="0A9D7F85" w14:textId="77777777" w:rsidR="00A361DA" w:rsidRPr="00757CC4" w:rsidRDefault="00A361DA" w:rsidP="00757CC4">
      <w:pPr>
        <w:ind w:left="360" w:hanging="360"/>
        <w:contextualSpacing/>
        <w:jc w:val="both"/>
        <w:rPr>
          <w:sz w:val="22"/>
          <w:szCs w:val="22"/>
          <w:lang w:eastAsia="nl-NL"/>
        </w:rPr>
      </w:pPr>
      <w:r w:rsidRPr="00757CC4">
        <w:rPr>
          <w:sz w:val="22"/>
          <w:szCs w:val="22"/>
          <w:lang w:eastAsia="nl-NL"/>
        </w:rPr>
        <w:t xml:space="preserve">Saris W.E. and I. </w:t>
      </w:r>
      <w:proofErr w:type="spellStart"/>
      <w:r w:rsidRPr="00757CC4">
        <w:rPr>
          <w:sz w:val="22"/>
          <w:szCs w:val="22"/>
          <w:lang w:eastAsia="nl-NL"/>
        </w:rPr>
        <w:t>Gallhofer</w:t>
      </w:r>
      <w:proofErr w:type="spellEnd"/>
      <w:r w:rsidRPr="00757CC4">
        <w:rPr>
          <w:sz w:val="22"/>
          <w:szCs w:val="22"/>
          <w:lang w:eastAsia="nl-NL"/>
        </w:rPr>
        <w:t xml:space="preserve"> (2007), </w:t>
      </w:r>
      <w:r w:rsidRPr="00B46459">
        <w:rPr>
          <w:sz w:val="22"/>
          <w:szCs w:val="22"/>
          <w:lang w:eastAsia="nl-NL"/>
        </w:rPr>
        <w:t>Design, Evaluation, and Analysis of Questionnaires for Survey Research</w:t>
      </w:r>
      <w:r w:rsidRPr="00757CC4">
        <w:rPr>
          <w:sz w:val="22"/>
          <w:szCs w:val="22"/>
          <w:lang w:eastAsia="nl-NL"/>
        </w:rPr>
        <w:t>, New York: Wiley.</w:t>
      </w:r>
    </w:p>
    <w:p w14:paraId="5731CD8F" w14:textId="77777777" w:rsidR="00A361DA" w:rsidRPr="00757CC4" w:rsidRDefault="00A361DA" w:rsidP="00757CC4">
      <w:pPr>
        <w:ind w:left="360" w:hanging="360"/>
        <w:contextualSpacing/>
        <w:jc w:val="both"/>
        <w:rPr>
          <w:sz w:val="22"/>
          <w:szCs w:val="22"/>
          <w:lang w:eastAsia="nl-NL"/>
        </w:rPr>
      </w:pPr>
      <w:proofErr w:type="spellStart"/>
      <w:r w:rsidRPr="00757CC4">
        <w:rPr>
          <w:sz w:val="22"/>
          <w:szCs w:val="22"/>
          <w:lang w:eastAsia="nl-NL"/>
        </w:rPr>
        <w:t>Scherpenzeel</w:t>
      </w:r>
      <w:proofErr w:type="spellEnd"/>
      <w:r w:rsidRPr="00757CC4">
        <w:rPr>
          <w:sz w:val="22"/>
          <w:szCs w:val="22"/>
          <w:lang w:eastAsia="nl-NL"/>
        </w:rPr>
        <w:t xml:space="preserve">, A.C. (2009a), Recruiting a probability sample for an online panel: effects of contact mode, incentives and information, Working paper, </w:t>
      </w:r>
      <w:proofErr w:type="spellStart"/>
      <w:r w:rsidRPr="00757CC4">
        <w:rPr>
          <w:sz w:val="22"/>
          <w:szCs w:val="22"/>
          <w:lang w:eastAsia="nl-NL"/>
        </w:rPr>
        <w:t>CentERdata</w:t>
      </w:r>
      <w:proofErr w:type="spellEnd"/>
      <w:r w:rsidRPr="00757CC4">
        <w:rPr>
          <w:sz w:val="22"/>
          <w:szCs w:val="22"/>
          <w:lang w:eastAsia="nl-NL"/>
        </w:rPr>
        <w:t xml:space="preserve">, Tilburg University (resubmitted to Public Opinion Quarterly). </w:t>
      </w:r>
    </w:p>
    <w:p w14:paraId="2CA7C24A" w14:textId="77777777" w:rsidR="00A361DA" w:rsidRPr="00757CC4" w:rsidRDefault="00A361DA" w:rsidP="00757CC4">
      <w:pPr>
        <w:ind w:left="360" w:hanging="360"/>
        <w:contextualSpacing/>
        <w:jc w:val="both"/>
        <w:rPr>
          <w:sz w:val="22"/>
          <w:szCs w:val="22"/>
          <w:lang w:eastAsia="nl-NL"/>
        </w:rPr>
      </w:pPr>
      <w:proofErr w:type="spellStart"/>
      <w:r w:rsidRPr="00757CC4">
        <w:rPr>
          <w:sz w:val="22"/>
          <w:szCs w:val="22"/>
          <w:lang w:eastAsia="nl-NL"/>
        </w:rPr>
        <w:t>Scherpenzeel</w:t>
      </w:r>
      <w:proofErr w:type="spellEnd"/>
      <w:r w:rsidRPr="00757CC4">
        <w:rPr>
          <w:sz w:val="22"/>
          <w:szCs w:val="22"/>
          <w:lang w:eastAsia="nl-NL"/>
        </w:rPr>
        <w:t xml:space="preserve">, A.C. (2009b), Online interviews and data quality: A </w:t>
      </w:r>
      <w:proofErr w:type="spellStart"/>
      <w:r w:rsidRPr="00757CC4">
        <w:rPr>
          <w:sz w:val="22"/>
          <w:szCs w:val="22"/>
          <w:lang w:eastAsia="nl-NL"/>
        </w:rPr>
        <w:t>multitrait-multimethod</w:t>
      </w:r>
      <w:proofErr w:type="spellEnd"/>
      <w:r w:rsidRPr="00757CC4">
        <w:rPr>
          <w:sz w:val="22"/>
          <w:szCs w:val="22"/>
          <w:lang w:eastAsia="nl-NL"/>
        </w:rPr>
        <w:t xml:space="preserve"> study, Working paper, </w:t>
      </w:r>
      <w:proofErr w:type="spellStart"/>
      <w:r w:rsidRPr="00757CC4">
        <w:rPr>
          <w:sz w:val="22"/>
          <w:szCs w:val="22"/>
          <w:lang w:eastAsia="nl-NL"/>
        </w:rPr>
        <w:t>CentERdata</w:t>
      </w:r>
      <w:proofErr w:type="spellEnd"/>
      <w:r w:rsidRPr="00757CC4">
        <w:rPr>
          <w:sz w:val="22"/>
          <w:szCs w:val="22"/>
          <w:lang w:eastAsia="nl-NL"/>
        </w:rPr>
        <w:t>, Tilburg University.</w:t>
      </w:r>
    </w:p>
    <w:p w14:paraId="3AD55478" w14:textId="77777777" w:rsidR="00A361DA" w:rsidRPr="00757CC4" w:rsidRDefault="00A361DA" w:rsidP="00757CC4">
      <w:pPr>
        <w:pStyle w:val="PlainText"/>
        <w:ind w:left="360" w:hanging="360"/>
        <w:contextualSpacing/>
        <w:jc w:val="both"/>
        <w:rPr>
          <w:rFonts w:ascii="Times New Roman" w:hAnsi="Times New Roman"/>
          <w:sz w:val="22"/>
          <w:szCs w:val="22"/>
          <w:lang w:val="en-US"/>
        </w:rPr>
      </w:pPr>
      <w:proofErr w:type="spellStart"/>
      <w:r w:rsidRPr="00B46459">
        <w:rPr>
          <w:rFonts w:ascii="Times New Roman" w:eastAsia="Times New Roman" w:hAnsi="Times New Roman"/>
          <w:sz w:val="22"/>
          <w:szCs w:val="22"/>
          <w:lang w:val="en-US" w:eastAsia="nl-NL" w:bidi="ar-SA"/>
        </w:rPr>
        <w:t>Scherpenzeel</w:t>
      </w:r>
      <w:proofErr w:type="spellEnd"/>
      <w:r w:rsidRPr="00B46459">
        <w:rPr>
          <w:rFonts w:ascii="Times New Roman" w:eastAsia="Times New Roman" w:hAnsi="Times New Roman"/>
          <w:sz w:val="22"/>
          <w:szCs w:val="22"/>
          <w:lang w:val="en-US" w:eastAsia="nl-NL" w:bidi="ar-SA"/>
        </w:rPr>
        <w:t>, A.C. and M. Das (2011), True Longitudinal and Probability-Based Internet Panels:</w:t>
      </w:r>
      <w:r w:rsidRPr="00757CC4">
        <w:rPr>
          <w:rFonts w:ascii="Times New Roman" w:hAnsi="Times New Roman"/>
          <w:sz w:val="22"/>
          <w:szCs w:val="22"/>
          <w:lang w:val="en-US"/>
        </w:rPr>
        <w:t xml:space="preserve"> Evidence from the Netherlands, In: Das, M., P. Ester, and L. </w:t>
      </w:r>
      <w:proofErr w:type="spellStart"/>
      <w:r w:rsidRPr="00757CC4">
        <w:rPr>
          <w:rFonts w:ascii="Times New Roman" w:hAnsi="Times New Roman"/>
          <w:sz w:val="22"/>
          <w:szCs w:val="22"/>
          <w:lang w:val="en-US"/>
        </w:rPr>
        <w:t>Kaczmirek</w:t>
      </w:r>
      <w:proofErr w:type="spellEnd"/>
      <w:r w:rsidRPr="00757CC4">
        <w:rPr>
          <w:rFonts w:ascii="Times New Roman" w:hAnsi="Times New Roman"/>
          <w:sz w:val="22"/>
          <w:szCs w:val="22"/>
          <w:lang w:val="en-US"/>
        </w:rPr>
        <w:t xml:space="preserve"> (Eds.), </w:t>
      </w:r>
      <w:r w:rsidRPr="00757CC4">
        <w:rPr>
          <w:rFonts w:ascii="Times New Roman" w:hAnsi="Times New Roman"/>
          <w:i/>
          <w:sz w:val="22"/>
          <w:szCs w:val="22"/>
          <w:lang w:val="en-US"/>
        </w:rPr>
        <w:t>Social and Behavioral Research and the Internet: Advances in Applied Methods and Research Strategies</w:t>
      </w:r>
      <w:r w:rsidRPr="00757CC4">
        <w:rPr>
          <w:rFonts w:ascii="Times New Roman" w:hAnsi="Times New Roman"/>
          <w:sz w:val="22"/>
          <w:szCs w:val="22"/>
          <w:lang w:val="en-US"/>
        </w:rPr>
        <w:t>. Boca Raton: Taylor &amp; Francis.</w:t>
      </w:r>
    </w:p>
    <w:p w14:paraId="2516534A" w14:textId="77777777" w:rsidR="00A361DA" w:rsidRPr="00757CC4" w:rsidRDefault="00A361DA" w:rsidP="00757CC4">
      <w:pPr>
        <w:pStyle w:val="Reference"/>
        <w:spacing w:line="240" w:lineRule="auto"/>
        <w:ind w:left="360" w:hanging="360"/>
        <w:contextualSpacing/>
        <w:jc w:val="both"/>
        <w:rPr>
          <w:sz w:val="22"/>
          <w:szCs w:val="22"/>
        </w:rPr>
      </w:pPr>
      <w:proofErr w:type="spellStart"/>
      <w:r w:rsidRPr="00757CC4">
        <w:rPr>
          <w:sz w:val="22"/>
          <w:szCs w:val="22"/>
        </w:rPr>
        <w:t>Schonlau</w:t>
      </w:r>
      <w:proofErr w:type="spellEnd"/>
      <w:r w:rsidRPr="00757CC4">
        <w:rPr>
          <w:sz w:val="22"/>
          <w:szCs w:val="22"/>
        </w:rPr>
        <w:t xml:space="preserve">, M., A. van </w:t>
      </w:r>
      <w:proofErr w:type="spellStart"/>
      <w:r w:rsidRPr="00757CC4">
        <w:rPr>
          <w:sz w:val="22"/>
          <w:szCs w:val="22"/>
        </w:rPr>
        <w:t>Soest</w:t>
      </w:r>
      <w:proofErr w:type="spellEnd"/>
      <w:r w:rsidRPr="00757CC4">
        <w:rPr>
          <w:sz w:val="22"/>
          <w:szCs w:val="22"/>
        </w:rPr>
        <w:t xml:space="preserve">, A. Kapteyn, and M. </w:t>
      </w:r>
      <w:proofErr w:type="spellStart"/>
      <w:r w:rsidRPr="00757CC4">
        <w:rPr>
          <w:sz w:val="22"/>
          <w:szCs w:val="22"/>
        </w:rPr>
        <w:t>Couper</w:t>
      </w:r>
      <w:proofErr w:type="spellEnd"/>
      <w:r w:rsidRPr="00757CC4">
        <w:rPr>
          <w:sz w:val="22"/>
          <w:szCs w:val="22"/>
        </w:rPr>
        <w:t xml:space="preserve"> (2009), Selection Bias in Web Surveys and the Use of Propensity Scores, </w:t>
      </w:r>
      <w:r w:rsidRPr="00757CC4">
        <w:rPr>
          <w:i/>
          <w:iCs/>
          <w:sz w:val="22"/>
          <w:szCs w:val="22"/>
        </w:rPr>
        <w:t>Sociological Methods and Research</w:t>
      </w:r>
      <w:r w:rsidRPr="00757CC4">
        <w:rPr>
          <w:iCs/>
          <w:sz w:val="22"/>
          <w:szCs w:val="22"/>
        </w:rPr>
        <w:t>, 37, pp.</w:t>
      </w:r>
      <w:r w:rsidRPr="00757CC4">
        <w:rPr>
          <w:sz w:val="22"/>
          <w:szCs w:val="22"/>
        </w:rPr>
        <w:t xml:space="preserve"> 291-318.</w:t>
      </w:r>
    </w:p>
    <w:p w14:paraId="64861399" w14:textId="77777777" w:rsidR="00A361DA" w:rsidRPr="00757CC4" w:rsidRDefault="00A361DA" w:rsidP="00757CC4">
      <w:pPr>
        <w:pStyle w:val="References"/>
        <w:spacing w:after="0" w:line="240" w:lineRule="auto"/>
        <w:ind w:left="360" w:hanging="360"/>
        <w:contextualSpacing/>
        <w:jc w:val="both"/>
        <w:rPr>
          <w:rFonts w:ascii="Times New Roman" w:hAnsi="Times New Roman"/>
          <w:szCs w:val="22"/>
        </w:rPr>
      </w:pPr>
      <w:proofErr w:type="spellStart"/>
      <w:r w:rsidRPr="00757CC4">
        <w:rPr>
          <w:rFonts w:ascii="Times New Roman" w:hAnsi="Times New Roman"/>
          <w:szCs w:val="22"/>
        </w:rPr>
        <w:t>Sikkel</w:t>
      </w:r>
      <w:proofErr w:type="spellEnd"/>
      <w:r w:rsidRPr="00757CC4">
        <w:rPr>
          <w:rFonts w:ascii="Times New Roman" w:hAnsi="Times New Roman"/>
          <w:szCs w:val="22"/>
        </w:rPr>
        <w:t xml:space="preserve">, D. and A.W. </w:t>
      </w:r>
      <w:proofErr w:type="spellStart"/>
      <w:r w:rsidRPr="00757CC4">
        <w:rPr>
          <w:rFonts w:ascii="Times New Roman" w:hAnsi="Times New Roman"/>
          <w:szCs w:val="22"/>
        </w:rPr>
        <w:t>Hoogendoorn</w:t>
      </w:r>
      <w:proofErr w:type="spellEnd"/>
      <w:r w:rsidRPr="00757CC4">
        <w:rPr>
          <w:rFonts w:ascii="Times New Roman" w:hAnsi="Times New Roman"/>
          <w:szCs w:val="22"/>
        </w:rPr>
        <w:t xml:space="preserve"> (2008), Panel surveys. In: De </w:t>
      </w:r>
      <w:proofErr w:type="spellStart"/>
      <w:r w:rsidRPr="00757CC4">
        <w:rPr>
          <w:rFonts w:ascii="Times New Roman" w:hAnsi="Times New Roman"/>
          <w:szCs w:val="22"/>
        </w:rPr>
        <w:t>Leeuw</w:t>
      </w:r>
      <w:proofErr w:type="spellEnd"/>
      <w:r w:rsidRPr="00757CC4">
        <w:rPr>
          <w:rFonts w:ascii="Times New Roman" w:hAnsi="Times New Roman"/>
          <w:szCs w:val="22"/>
        </w:rPr>
        <w:t xml:space="preserve">, E.D., J.J. </w:t>
      </w:r>
      <w:proofErr w:type="spellStart"/>
      <w:r w:rsidRPr="00757CC4">
        <w:rPr>
          <w:rFonts w:ascii="Times New Roman" w:hAnsi="Times New Roman"/>
          <w:szCs w:val="22"/>
        </w:rPr>
        <w:t>Hox</w:t>
      </w:r>
      <w:proofErr w:type="spellEnd"/>
      <w:r w:rsidRPr="00757CC4">
        <w:rPr>
          <w:rFonts w:ascii="Times New Roman" w:hAnsi="Times New Roman"/>
          <w:szCs w:val="22"/>
        </w:rPr>
        <w:t xml:space="preserve">, and D.A. </w:t>
      </w:r>
      <w:proofErr w:type="spellStart"/>
      <w:r w:rsidRPr="00757CC4">
        <w:rPr>
          <w:rFonts w:ascii="Times New Roman" w:hAnsi="Times New Roman"/>
          <w:szCs w:val="22"/>
        </w:rPr>
        <w:t>Dillman</w:t>
      </w:r>
      <w:proofErr w:type="spellEnd"/>
      <w:r w:rsidRPr="00757CC4">
        <w:rPr>
          <w:rFonts w:ascii="Times New Roman" w:hAnsi="Times New Roman"/>
          <w:szCs w:val="22"/>
        </w:rPr>
        <w:t xml:space="preserve"> (Eds.), </w:t>
      </w:r>
      <w:r w:rsidRPr="00757CC4">
        <w:rPr>
          <w:rFonts w:ascii="Times New Roman" w:hAnsi="Times New Roman"/>
          <w:i/>
          <w:szCs w:val="22"/>
        </w:rPr>
        <w:t>International handbook of survey methodology</w:t>
      </w:r>
      <w:r w:rsidRPr="00757CC4">
        <w:rPr>
          <w:rFonts w:ascii="Times New Roman" w:hAnsi="Times New Roman"/>
          <w:szCs w:val="22"/>
        </w:rPr>
        <w:t>, European Association of Methodology Series. New York: Lawrence Erlbaum Associates.</w:t>
      </w:r>
    </w:p>
    <w:p w14:paraId="06AACCFF" w14:textId="77777777" w:rsidR="00A361DA" w:rsidRPr="00757CC4" w:rsidRDefault="00A361DA" w:rsidP="00757CC4">
      <w:pPr>
        <w:pStyle w:val="References"/>
        <w:spacing w:after="0" w:line="240" w:lineRule="auto"/>
        <w:ind w:left="360" w:hanging="360"/>
        <w:contextualSpacing/>
        <w:jc w:val="both"/>
        <w:rPr>
          <w:rFonts w:ascii="Times New Roman" w:hAnsi="Times New Roman"/>
          <w:szCs w:val="22"/>
        </w:rPr>
      </w:pPr>
      <w:r w:rsidRPr="00757CC4">
        <w:rPr>
          <w:rFonts w:ascii="Times New Roman" w:hAnsi="Times New Roman"/>
          <w:szCs w:val="22"/>
        </w:rPr>
        <w:t xml:space="preserve">Singer, E. and R.A. </w:t>
      </w:r>
      <w:proofErr w:type="spellStart"/>
      <w:r w:rsidRPr="00757CC4">
        <w:rPr>
          <w:rFonts w:ascii="Times New Roman" w:hAnsi="Times New Roman"/>
          <w:szCs w:val="22"/>
        </w:rPr>
        <w:t>Kulka</w:t>
      </w:r>
      <w:proofErr w:type="spellEnd"/>
      <w:r w:rsidRPr="00757CC4">
        <w:rPr>
          <w:rFonts w:ascii="Times New Roman" w:hAnsi="Times New Roman"/>
          <w:szCs w:val="22"/>
        </w:rPr>
        <w:t xml:space="preserve"> (2002), Paying Respondents for Survey participation. In: M. </w:t>
      </w:r>
      <w:proofErr w:type="spellStart"/>
      <w:r w:rsidRPr="00757CC4">
        <w:rPr>
          <w:rFonts w:ascii="Times New Roman" w:hAnsi="Times New Roman"/>
          <w:szCs w:val="22"/>
        </w:rPr>
        <w:t>Ver</w:t>
      </w:r>
      <w:proofErr w:type="spellEnd"/>
      <w:r w:rsidRPr="00757CC4">
        <w:rPr>
          <w:rFonts w:ascii="Times New Roman" w:hAnsi="Times New Roman"/>
          <w:szCs w:val="22"/>
        </w:rPr>
        <w:t xml:space="preserve"> </w:t>
      </w:r>
      <w:proofErr w:type="spellStart"/>
      <w:r w:rsidRPr="00757CC4">
        <w:rPr>
          <w:rFonts w:ascii="Times New Roman" w:hAnsi="Times New Roman"/>
          <w:szCs w:val="22"/>
        </w:rPr>
        <w:t>Ploeg</w:t>
      </w:r>
      <w:proofErr w:type="spellEnd"/>
      <w:r w:rsidRPr="00757CC4">
        <w:rPr>
          <w:rFonts w:ascii="Times New Roman" w:hAnsi="Times New Roman"/>
          <w:szCs w:val="22"/>
        </w:rPr>
        <w:t xml:space="preserve">, R.A. Moffitt, and C.F. </w:t>
      </w:r>
      <w:proofErr w:type="spellStart"/>
      <w:r w:rsidRPr="00757CC4">
        <w:rPr>
          <w:rFonts w:ascii="Times New Roman" w:hAnsi="Times New Roman"/>
          <w:szCs w:val="22"/>
        </w:rPr>
        <w:t>Citro</w:t>
      </w:r>
      <w:proofErr w:type="spellEnd"/>
      <w:r w:rsidRPr="00757CC4">
        <w:rPr>
          <w:rFonts w:ascii="Times New Roman" w:hAnsi="Times New Roman"/>
          <w:szCs w:val="22"/>
        </w:rPr>
        <w:t xml:space="preserve"> (eds.), </w:t>
      </w:r>
      <w:r w:rsidRPr="00757CC4">
        <w:rPr>
          <w:rFonts w:ascii="Times New Roman" w:hAnsi="Times New Roman"/>
          <w:i/>
          <w:iCs/>
          <w:szCs w:val="22"/>
        </w:rPr>
        <w:t>Studies of Welfare Populations: Data Collection and Research Issues,</w:t>
      </w:r>
      <w:r w:rsidRPr="00757CC4">
        <w:rPr>
          <w:rFonts w:ascii="Times New Roman" w:hAnsi="Times New Roman"/>
          <w:szCs w:val="22"/>
        </w:rPr>
        <w:t xml:space="preserve"> Committee on National Statistics, National Research Council. </w:t>
      </w:r>
    </w:p>
    <w:p w14:paraId="61870224" w14:textId="77777777" w:rsidR="00A361DA" w:rsidRPr="00757CC4" w:rsidRDefault="00A361DA" w:rsidP="00757CC4">
      <w:pPr>
        <w:pStyle w:val="References"/>
        <w:spacing w:after="0" w:line="240" w:lineRule="auto"/>
        <w:ind w:left="360" w:hanging="360"/>
        <w:contextualSpacing/>
        <w:jc w:val="both"/>
        <w:rPr>
          <w:rFonts w:ascii="Times New Roman" w:hAnsi="Times New Roman"/>
          <w:szCs w:val="22"/>
        </w:rPr>
      </w:pPr>
      <w:proofErr w:type="spellStart"/>
      <w:proofErr w:type="gramStart"/>
      <w:r w:rsidRPr="00757CC4">
        <w:rPr>
          <w:rFonts w:ascii="Times New Roman" w:hAnsi="Times New Roman"/>
          <w:szCs w:val="22"/>
        </w:rPr>
        <w:t>Stiglitz</w:t>
      </w:r>
      <w:proofErr w:type="spellEnd"/>
      <w:r w:rsidRPr="00757CC4">
        <w:rPr>
          <w:rFonts w:ascii="Times New Roman" w:hAnsi="Times New Roman"/>
          <w:szCs w:val="22"/>
        </w:rPr>
        <w:t xml:space="preserve">, J., A. </w:t>
      </w:r>
      <w:proofErr w:type="spellStart"/>
      <w:r w:rsidRPr="00757CC4">
        <w:rPr>
          <w:rFonts w:ascii="Times New Roman" w:hAnsi="Times New Roman"/>
          <w:szCs w:val="22"/>
        </w:rPr>
        <w:t>Sen</w:t>
      </w:r>
      <w:proofErr w:type="spellEnd"/>
      <w:r w:rsidRPr="00757CC4">
        <w:rPr>
          <w:rFonts w:ascii="Times New Roman" w:hAnsi="Times New Roman"/>
          <w:szCs w:val="22"/>
        </w:rPr>
        <w:t>, and J.-P.</w:t>
      </w:r>
      <w:proofErr w:type="gramEnd"/>
      <w:r w:rsidRPr="00757CC4">
        <w:rPr>
          <w:rFonts w:ascii="Times New Roman" w:hAnsi="Times New Roman"/>
          <w:szCs w:val="22"/>
        </w:rPr>
        <w:t xml:space="preserve"> </w:t>
      </w:r>
      <w:proofErr w:type="spellStart"/>
      <w:r w:rsidRPr="00757CC4">
        <w:rPr>
          <w:rFonts w:ascii="Times New Roman" w:hAnsi="Times New Roman"/>
          <w:szCs w:val="22"/>
        </w:rPr>
        <w:t>Fitoussi</w:t>
      </w:r>
      <w:proofErr w:type="spellEnd"/>
      <w:r w:rsidRPr="00757CC4">
        <w:rPr>
          <w:rFonts w:ascii="Times New Roman" w:hAnsi="Times New Roman"/>
          <w:szCs w:val="22"/>
        </w:rPr>
        <w:t xml:space="preserve"> (2009), </w:t>
      </w:r>
      <w:r w:rsidRPr="00757CC4">
        <w:rPr>
          <w:rFonts w:ascii="Times New Roman" w:hAnsi="Times New Roman"/>
          <w:i/>
          <w:szCs w:val="22"/>
        </w:rPr>
        <w:t>Report of the Commission on the Measurement of Economic Performance and Social Progress</w:t>
      </w:r>
      <w:r w:rsidRPr="00757CC4">
        <w:rPr>
          <w:rFonts w:ascii="Times New Roman" w:hAnsi="Times New Roman"/>
          <w:szCs w:val="22"/>
        </w:rPr>
        <w:t>, Commission on the Measurement of Economic Performance and Social Progress, Paris.</w:t>
      </w:r>
    </w:p>
    <w:p w14:paraId="1369FF10" w14:textId="77777777" w:rsidR="00A361DA" w:rsidRPr="00757CC4" w:rsidRDefault="00A361DA" w:rsidP="00757CC4">
      <w:pPr>
        <w:ind w:left="360" w:hanging="360"/>
        <w:contextualSpacing/>
        <w:jc w:val="both"/>
        <w:rPr>
          <w:sz w:val="22"/>
          <w:szCs w:val="22"/>
          <w:lang w:eastAsia="zh-CN"/>
        </w:rPr>
      </w:pPr>
      <w:r w:rsidRPr="00757CC4">
        <w:rPr>
          <w:sz w:val="22"/>
          <w:szCs w:val="22"/>
          <w:lang w:eastAsia="zh-CN"/>
        </w:rPr>
        <w:t xml:space="preserve">Taylor, H. (2000). Does Internet research work? Comparing online survey results with telephone surveys, </w:t>
      </w:r>
      <w:r w:rsidRPr="00757CC4">
        <w:rPr>
          <w:i/>
          <w:iCs/>
          <w:sz w:val="22"/>
          <w:szCs w:val="22"/>
          <w:lang w:eastAsia="zh-CN"/>
        </w:rPr>
        <w:t xml:space="preserve">International Journal of Market Research, </w:t>
      </w:r>
      <w:r w:rsidRPr="00757CC4">
        <w:rPr>
          <w:iCs/>
          <w:sz w:val="22"/>
          <w:szCs w:val="22"/>
          <w:lang w:eastAsia="zh-CN"/>
        </w:rPr>
        <w:t>42</w:t>
      </w:r>
      <w:r w:rsidRPr="00757CC4">
        <w:rPr>
          <w:sz w:val="22"/>
          <w:szCs w:val="22"/>
          <w:lang w:eastAsia="zh-CN"/>
        </w:rPr>
        <w:t>(1), pp. 51–63.</w:t>
      </w:r>
    </w:p>
    <w:p w14:paraId="646AD670" w14:textId="77777777" w:rsidR="00A361DA" w:rsidRPr="00757CC4" w:rsidRDefault="00A361DA" w:rsidP="00757CC4">
      <w:pPr>
        <w:pStyle w:val="References"/>
        <w:spacing w:after="0" w:line="240" w:lineRule="auto"/>
        <w:ind w:left="360" w:hanging="360"/>
        <w:contextualSpacing/>
        <w:jc w:val="both"/>
        <w:rPr>
          <w:rFonts w:ascii="Times New Roman" w:hAnsi="Times New Roman"/>
          <w:szCs w:val="22"/>
        </w:rPr>
      </w:pPr>
      <w:proofErr w:type="spellStart"/>
      <w:r w:rsidRPr="00757CC4">
        <w:rPr>
          <w:rFonts w:ascii="Times New Roman" w:hAnsi="Times New Roman"/>
          <w:szCs w:val="22"/>
        </w:rPr>
        <w:t>Toepoel</w:t>
      </w:r>
      <w:proofErr w:type="spellEnd"/>
      <w:r w:rsidRPr="00757CC4">
        <w:rPr>
          <w:rFonts w:ascii="Times New Roman" w:hAnsi="Times New Roman"/>
          <w:szCs w:val="22"/>
        </w:rPr>
        <w:t xml:space="preserve">, V. and D.A. </w:t>
      </w:r>
      <w:proofErr w:type="spellStart"/>
      <w:r w:rsidRPr="00757CC4">
        <w:rPr>
          <w:rFonts w:ascii="Times New Roman" w:hAnsi="Times New Roman"/>
          <w:szCs w:val="22"/>
        </w:rPr>
        <w:t>Dillman</w:t>
      </w:r>
      <w:proofErr w:type="spellEnd"/>
      <w:r w:rsidRPr="00757CC4">
        <w:rPr>
          <w:rFonts w:ascii="Times New Roman" w:hAnsi="Times New Roman"/>
          <w:szCs w:val="22"/>
        </w:rPr>
        <w:t xml:space="preserve"> (2011), How visual design affects the interpretability of survey questions, In: Das, M., P. Ester, and L. </w:t>
      </w:r>
      <w:proofErr w:type="spellStart"/>
      <w:r w:rsidRPr="00757CC4">
        <w:rPr>
          <w:rFonts w:ascii="Times New Roman" w:hAnsi="Times New Roman"/>
          <w:szCs w:val="22"/>
        </w:rPr>
        <w:t>Kaczmirek</w:t>
      </w:r>
      <w:proofErr w:type="spellEnd"/>
      <w:r w:rsidRPr="00757CC4">
        <w:rPr>
          <w:rFonts w:ascii="Times New Roman" w:hAnsi="Times New Roman"/>
          <w:szCs w:val="22"/>
        </w:rPr>
        <w:t xml:space="preserve"> (Eds.), </w:t>
      </w:r>
      <w:r w:rsidRPr="00757CC4">
        <w:rPr>
          <w:rFonts w:ascii="Times New Roman" w:hAnsi="Times New Roman"/>
          <w:i/>
          <w:szCs w:val="22"/>
        </w:rPr>
        <w:t>Social and Behavioral Research and the Internet: Advances in Applied Methods and Research Strategies</w:t>
      </w:r>
      <w:r w:rsidRPr="00757CC4">
        <w:rPr>
          <w:rFonts w:ascii="Times New Roman" w:hAnsi="Times New Roman"/>
          <w:szCs w:val="22"/>
        </w:rPr>
        <w:t>. Boca Raton: Taylor &amp; Francis.</w:t>
      </w:r>
    </w:p>
    <w:p w14:paraId="71B1676B" w14:textId="77777777" w:rsidR="00A361DA" w:rsidRPr="00757CC4" w:rsidRDefault="00A361DA" w:rsidP="00757CC4">
      <w:pPr>
        <w:ind w:left="360" w:hanging="360"/>
        <w:contextualSpacing/>
        <w:jc w:val="both"/>
        <w:rPr>
          <w:sz w:val="22"/>
          <w:szCs w:val="22"/>
        </w:rPr>
      </w:pPr>
      <w:proofErr w:type="spellStart"/>
      <w:proofErr w:type="gramStart"/>
      <w:r w:rsidRPr="00757CC4">
        <w:rPr>
          <w:sz w:val="22"/>
          <w:szCs w:val="22"/>
        </w:rPr>
        <w:t>Toepoel</w:t>
      </w:r>
      <w:proofErr w:type="spellEnd"/>
      <w:r w:rsidRPr="00757CC4">
        <w:rPr>
          <w:sz w:val="22"/>
          <w:szCs w:val="22"/>
        </w:rPr>
        <w:t xml:space="preserve">, V., M. Das, and A. van </w:t>
      </w:r>
      <w:proofErr w:type="spellStart"/>
      <w:r w:rsidRPr="00757CC4">
        <w:rPr>
          <w:sz w:val="22"/>
          <w:szCs w:val="22"/>
        </w:rPr>
        <w:t>Soest</w:t>
      </w:r>
      <w:proofErr w:type="spellEnd"/>
      <w:r w:rsidRPr="00757CC4">
        <w:rPr>
          <w:sz w:val="22"/>
          <w:szCs w:val="22"/>
        </w:rPr>
        <w:t xml:space="preserve"> (2008).</w:t>
      </w:r>
      <w:proofErr w:type="gramEnd"/>
      <w:r w:rsidRPr="00757CC4">
        <w:rPr>
          <w:sz w:val="22"/>
          <w:szCs w:val="22"/>
        </w:rPr>
        <w:t xml:space="preserve"> Effects of design in web surveys: Comparing trained and fresh respondents, </w:t>
      </w:r>
      <w:r w:rsidRPr="00757CC4">
        <w:rPr>
          <w:i/>
          <w:sz w:val="22"/>
          <w:szCs w:val="22"/>
        </w:rPr>
        <w:t>Public Opinion Quarterly</w:t>
      </w:r>
      <w:r w:rsidRPr="00757CC4">
        <w:rPr>
          <w:sz w:val="22"/>
          <w:szCs w:val="22"/>
        </w:rPr>
        <w:t>, 72(5), pp. 985-1007.</w:t>
      </w:r>
    </w:p>
    <w:p w14:paraId="3DD960D1" w14:textId="77777777" w:rsidR="00A361DA" w:rsidRPr="00757CC4" w:rsidRDefault="00A361DA" w:rsidP="00757CC4">
      <w:pPr>
        <w:ind w:left="360" w:hanging="360"/>
        <w:contextualSpacing/>
        <w:jc w:val="both"/>
        <w:rPr>
          <w:sz w:val="22"/>
          <w:szCs w:val="22"/>
        </w:rPr>
      </w:pPr>
      <w:proofErr w:type="spellStart"/>
      <w:r w:rsidRPr="00757CC4">
        <w:rPr>
          <w:sz w:val="22"/>
          <w:szCs w:val="22"/>
        </w:rPr>
        <w:t>Toepoel</w:t>
      </w:r>
      <w:proofErr w:type="spellEnd"/>
      <w:r w:rsidRPr="00757CC4">
        <w:rPr>
          <w:sz w:val="22"/>
          <w:szCs w:val="22"/>
        </w:rPr>
        <w:t xml:space="preserve">, V., M. Das, and A. van </w:t>
      </w:r>
      <w:proofErr w:type="spellStart"/>
      <w:r w:rsidRPr="00757CC4">
        <w:rPr>
          <w:sz w:val="22"/>
          <w:szCs w:val="22"/>
        </w:rPr>
        <w:t>Soest</w:t>
      </w:r>
      <w:proofErr w:type="spellEnd"/>
      <w:r w:rsidRPr="00757CC4">
        <w:rPr>
          <w:sz w:val="22"/>
          <w:szCs w:val="22"/>
        </w:rPr>
        <w:t xml:space="preserve"> (2009), Relating Question Type to Panel Conditioning: A Comparison between Trained and Fresh Respondents, </w:t>
      </w:r>
      <w:r w:rsidRPr="00757CC4">
        <w:rPr>
          <w:i/>
          <w:sz w:val="22"/>
          <w:szCs w:val="22"/>
        </w:rPr>
        <w:t>Survey Research Methods</w:t>
      </w:r>
      <w:r w:rsidRPr="00757CC4">
        <w:rPr>
          <w:sz w:val="22"/>
          <w:szCs w:val="22"/>
        </w:rPr>
        <w:t>, 3(2), pp. 73-80.</w:t>
      </w:r>
    </w:p>
    <w:p w14:paraId="57640FF6" w14:textId="77777777" w:rsidR="00A361DA" w:rsidRPr="00757CC4" w:rsidRDefault="00A361DA" w:rsidP="00757CC4">
      <w:pPr>
        <w:ind w:left="360" w:hanging="360"/>
        <w:contextualSpacing/>
        <w:jc w:val="both"/>
        <w:rPr>
          <w:sz w:val="22"/>
          <w:szCs w:val="22"/>
        </w:rPr>
      </w:pPr>
      <w:proofErr w:type="spellStart"/>
      <w:r w:rsidRPr="00757CC4">
        <w:rPr>
          <w:sz w:val="22"/>
          <w:szCs w:val="22"/>
        </w:rPr>
        <w:t>Troiano</w:t>
      </w:r>
      <w:proofErr w:type="spellEnd"/>
      <w:r w:rsidRPr="00757CC4">
        <w:rPr>
          <w:sz w:val="22"/>
          <w:szCs w:val="22"/>
        </w:rPr>
        <w:t xml:space="preserve">, R. P., </w:t>
      </w:r>
      <w:proofErr w:type="spellStart"/>
      <w:r w:rsidRPr="00757CC4">
        <w:rPr>
          <w:sz w:val="22"/>
          <w:szCs w:val="22"/>
        </w:rPr>
        <w:t>Berrigan</w:t>
      </w:r>
      <w:proofErr w:type="spellEnd"/>
      <w:r w:rsidRPr="00757CC4">
        <w:rPr>
          <w:sz w:val="22"/>
          <w:szCs w:val="22"/>
        </w:rPr>
        <w:t xml:space="preserve">, D., Dodd, K. W., Masse, L. C., </w:t>
      </w:r>
      <w:proofErr w:type="spellStart"/>
      <w:r w:rsidRPr="00757CC4">
        <w:rPr>
          <w:sz w:val="22"/>
          <w:szCs w:val="22"/>
        </w:rPr>
        <w:t>Tilert</w:t>
      </w:r>
      <w:proofErr w:type="spellEnd"/>
      <w:r w:rsidRPr="00757CC4">
        <w:rPr>
          <w:sz w:val="22"/>
          <w:szCs w:val="22"/>
        </w:rPr>
        <w:t xml:space="preserve">, T., McDowell, M. 2008. Physical activity in the United States measured by accelerometer. </w:t>
      </w:r>
      <w:r w:rsidRPr="00757CC4">
        <w:rPr>
          <w:i/>
          <w:iCs/>
          <w:sz w:val="22"/>
          <w:szCs w:val="22"/>
        </w:rPr>
        <w:t xml:space="preserve">Med </w:t>
      </w:r>
      <w:proofErr w:type="spellStart"/>
      <w:r w:rsidRPr="00757CC4">
        <w:rPr>
          <w:i/>
          <w:iCs/>
          <w:sz w:val="22"/>
          <w:szCs w:val="22"/>
        </w:rPr>
        <w:t>Sci</w:t>
      </w:r>
      <w:proofErr w:type="spellEnd"/>
      <w:r w:rsidRPr="00757CC4">
        <w:rPr>
          <w:i/>
          <w:iCs/>
          <w:sz w:val="22"/>
          <w:szCs w:val="22"/>
        </w:rPr>
        <w:t xml:space="preserve"> Sports </w:t>
      </w:r>
      <w:proofErr w:type="spellStart"/>
      <w:r w:rsidRPr="00757CC4">
        <w:rPr>
          <w:i/>
          <w:iCs/>
          <w:sz w:val="22"/>
          <w:szCs w:val="22"/>
        </w:rPr>
        <w:t>Exerc</w:t>
      </w:r>
      <w:proofErr w:type="spellEnd"/>
      <w:r w:rsidRPr="00757CC4">
        <w:rPr>
          <w:i/>
          <w:iCs/>
          <w:sz w:val="22"/>
          <w:szCs w:val="22"/>
        </w:rPr>
        <w:t>, 40</w:t>
      </w:r>
      <w:r w:rsidRPr="00757CC4">
        <w:rPr>
          <w:sz w:val="22"/>
          <w:szCs w:val="22"/>
        </w:rPr>
        <w:t xml:space="preserve">, 181-188 </w:t>
      </w:r>
    </w:p>
    <w:p w14:paraId="34C528A2" w14:textId="77777777" w:rsidR="008F58F7" w:rsidRPr="00841EDC" w:rsidRDefault="008F58F7" w:rsidP="00757CC4">
      <w:pPr>
        <w:ind w:left="360" w:hanging="360"/>
        <w:contextualSpacing/>
        <w:jc w:val="both"/>
        <w:rPr>
          <w:color w:val="000000"/>
          <w:sz w:val="22"/>
          <w:szCs w:val="22"/>
        </w:rPr>
      </w:pPr>
      <w:proofErr w:type="gramStart"/>
      <w:r w:rsidRPr="00757CC4">
        <w:rPr>
          <w:sz w:val="22"/>
          <w:szCs w:val="22"/>
        </w:rPr>
        <w:t>US Census Bureau (2011).</w:t>
      </w:r>
      <w:proofErr w:type="gramEnd"/>
      <w:r w:rsidRPr="00841EDC">
        <w:rPr>
          <w:sz w:val="22"/>
          <w:szCs w:val="22"/>
        </w:rPr>
        <w:t xml:space="preserve"> </w:t>
      </w:r>
      <w:proofErr w:type="spellStart"/>
      <w:r w:rsidRPr="00841EDC">
        <w:rPr>
          <w:i/>
          <w:color w:val="000000"/>
          <w:sz w:val="22"/>
          <w:szCs w:val="22"/>
        </w:rPr>
        <w:t>Intercensal</w:t>
      </w:r>
      <w:proofErr w:type="spellEnd"/>
      <w:r w:rsidRPr="00841EDC">
        <w:rPr>
          <w:i/>
          <w:color w:val="000000"/>
          <w:sz w:val="22"/>
          <w:szCs w:val="22"/>
        </w:rPr>
        <w:t xml:space="preserve"> estimates of the resident population by single year of age, sex, race, and </w:t>
      </w:r>
      <w:proofErr w:type="spellStart"/>
      <w:proofErr w:type="gramStart"/>
      <w:r w:rsidRPr="00841EDC">
        <w:rPr>
          <w:i/>
          <w:color w:val="000000"/>
          <w:sz w:val="22"/>
          <w:szCs w:val="22"/>
        </w:rPr>
        <w:t>hispanic</w:t>
      </w:r>
      <w:proofErr w:type="spellEnd"/>
      <w:proofErr w:type="gramEnd"/>
      <w:r w:rsidRPr="00841EDC">
        <w:rPr>
          <w:i/>
          <w:color w:val="000000"/>
          <w:sz w:val="22"/>
          <w:szCs w:val="22"/>
        </w:rPr>
        <w:t xml:space="preserve"> origin for the United States: April 1, 2000 to July 1, 2010</w:t>
      </w:r>
      <w:r w:rsidRPr="00841EDC">
        <w:rPr>
          <w:color w:val="000000"/>
          <w:sz w:val="22"/>
          <w:szCs w:val="22"/>
        </w:rPr>
        <w:t xml:space="preserve"> (Release date September 2011). Retrieved January 25, 2012, from</w:t>
      </w:r>
      <w:r w:rsidR="00361944">
        <w:rPr>
          <w:color w:val="000000"/>
          <w:sz w:val="22"/>
          <w:szCs w:val="22"/>
        </w:rPr>
        <w:tab/>
      </w:r>
      <w:r w:rsidRPr="00841EDC">
        <w:rPr>
          <w:color w:val="000000"/>
          <w:sz w:val="22"/>
          <w:szCs w:val="22"/>
        </w:rPr>
        <w:t xml:space="preserve"> http://www.census.gov/popest/data/intercensal/national/nat2010.html</w:t>
      </w:r>
    </w:p>
    <w:p w14:paraId="0AB4A7A5" w14:textId="77777777" w:rsidR="00A361DA" w:rsidRPr="00757CC4" w:rsidRDefault="00A361DA" w:rsidP="00757CC4">
      <w:pPr>
        <w:ind w:left="360" w:hanging="360"/>
        <w:contextualSpacing/>
        <w:jc w:val="both"/>
        <w:rPr>
          <w:sz w:val="22"/>
          <w:szCs w:val="22"/>
        </w:rPr>
      </w:pPr>
      <w:r w:rsidRPr="00757CC4">
        <w:rPr>
          <w:sz w:val="22"/>
          <w:szCs w:val="22"/>
        </w:rPr>
        <w:t xml:space="preserve">Van der </w:t>
      </w:r>
      <w:proofErr w:type="spellStart"/>
      <w:r w:rsidRPr="00757CC4">
        <w:rPr>
          <w:sz w:val="22"/>
          <w:szCs w:val="22"/>
        </w:rPr>
        <w:t>Sar</w:t>
      </w:r>
      <w:proofErr w:type="spellEnd"/>
      <w:r w:rsidRPr="00757CC4">
        <w:rPr>
          <w:sz w:val="22"/>
          <w:szCs w:val="22"/>
        </w:rPr>
        <w:t xml:space="preserve">, R., E.P.M. </w:t>
      </w:r>
      <w:proofErr w:type="spellStart"/>
      <w:r w:rsidRPr="00757CC4">
        <w:rPr>
          <w:sz w:val="22"/>
          <w:szCs w:val="22"/>
        </w:rPr>
        <w:t>Brouwers</w:t>
      </w:r>
      <w:proofErr w:type="spellEnd"/>
      <w:r w:rsidRPr="00757CC4">
        <w:rPr>
          <w:sz w:val="22"/>
          <w:szCs w:val="22"/>
        </w:rPr>
        <w:t xml:space="preserve">, I.A.M. van de </w:t>
      </w:r>
      <w:proofErr w:type="spellStart"/>
      <w:r w:rsidRPr="00757CC4">
        <w:rPr>
          <w:sz w:val="22"/>
          <w:szCs w:val="22"/>
        </w:rPr>
        <w:t>Goor</w:t>
      </w:r>
      <w:proofErr w:type="spellEnd"/>
      <w:r w:rsidRPr="00757CC4">
        <w:rPr>
          <w:sz w:val="22"/>
          <w:szCs w:val="22"/>
        </w:rPr>
        <w:t xml:space="preserve">, H.F.L. </w:t>
      </w:r>
      <w:proofErr w:type="spellStart"/>
      <w:r w:rsidRPr="00757CC4">
        <w:rPr>
          <w:sz w:val="22"/>
          <w:szCs w:val="22"/>
        </w:rPr>
        <w:t>Garretsen</w:t>
      </w:r>
      <w:proofErr w:type="spellEnd"/>
      <w:r w:rsidRPr="00757CC4">
        <w:rPr>
          <w:sz w:val="22"/>
          <w:szCs w:val="22"/>
        </w:rPr>
        <w:t xml:space="preserve"> (2010), The opinion of adolescents and adults on Dutch restrictive and educational alcohol policy measures, </w:t>
      </w:r>
      <w:r w:rsidRPr="00757CC4">
        <w:rPr>
          <w:i/>
          <w:sz w:val="22"/>
          <w:szCs w:val="22"/>
        </w:rPr>
        <w:t>Health Policy</w:t>
      </w:r>
      <w:r w:rsidRPr="00757CC4">
        <w:rPr>
          <w:sz w:val="22"/>
          <w:szCs w:val="22"/>
        </w:rPr>
        <w:t>, 99 (1), pp. 10-16.</w:t>
      </w:r>
    </w:p>
    <w:p w14:paraId="4F9021C8" w14:textId="77777777" w:rsidR="00A361DA" w:rsidRPr="00757CC4" w:rsidRDefault="00A361DA" w:rsidP="00757CC4">
      <w:pPr>
        <w:pStyle w:val="PlainText"/>
        <w:ind w:left="360" w:hanging="360"/>
        <w:contextualSpacing/>
        <w:jc w:val="both"/>
        <w:rPr>
          <w:rFonts w:ascii="Times New Roman" w:hAnsi="Times New Roman"/>
          <w:sz w:val="22"/>
          <w:szCs w:val="22"/>
          <w:lang w:val="en-US"/>
        </w:rPr>
      </w:pPr>
      <w:r w:rsidRPr="00757CC4">
        <w:rPr>
          <w:rFonts w:ascii="Times New Roman" w:hAnsi="Times New Roman"/>
          <w:sz w:val="22"/>
          <w:szCs w:val="22"/>
          <w:lang w:val="en-US"/>
        </w:rPr>
        <w:t xml:space="preserve">Van </w:t>
      </w:r>
      <w:proofErr w:type="spellStart"/>
      <w:r w:rsidRPr="00757CC4">
        <w:rPr>
          <w:rFonts w:ascii="Times New Roman" w:hAnsi="Times New Roman"/>
          <w:sz w:val="22"/>
          <w:szCs w:val="22"/>
          <w:lang w:val="en-US"/>
        </w:rPr>
        <w:t>Soest</w:t>
      </w:r>
      <w:proofErr w:type="spellEnd"/>
      <w:r w:rsidRPr="00757CC4">
        <w:rPr>
          <w:rFonts w:ascii="Times New Roman" w:hAnsi="Times New Roman"/>
          <w:sz w:val="22"/>
          <w:szCs w:val="22"/>
          <w:lang w:val="en-US"/>
        </w:rPr>
        <w:t xml:space="preserve">, A. and A. Kapteyn (2011), Mode and Context Effects in Measuring Household Assets, In: Das, M., P. Ester, and L. </w:t>
      </w:r>
      <w:proofErr w:type="spellStart"/>
      <w:r w:rsidRPr="00757CC4">
        <w:rPr>
          <w:rFonts w:ascii="Times New Roman" w:hAnsi="Times New Roman"/>
          <w:sz w:val="22"/>
          <w:szCs w:val="22"/>
          <w:lang w:val="en-US"/>
        </w:rPr>
        <w:t>Kaczmirek</w:t>
      </w:r>
      <w:proofErr w:type="spellEnd"/>
      <w:r w:rsidRPr="00757CC4">
        <w:rPr>
          <w:rFonts w:ascii="Times New Roman" w:hAnsi="Times New Roman"/>
          <w:sz w:val="22"/>
          <w:szCs w:val="22"/>
          <w:lang w:val="en-US"/>
        </w:rPr>
        <w:t xml:space="preserve"> (Eds.), </w:t>
      </w:r>
      <w:r w:rsidRPr="00757CC4">
        <w:rPr>
          <w:rFonts w:ascii="Times New Roman" w:hAnsi="Times New Roman"/>
          <w:i/>
          <w:sz w:val="22"/>
          <w:szCs w:val="22"/>
          <w:lang w:val="en-US"/>
        </w:rPr>
        <w:t>Social and Behavioral Research and the Internet: Advances in Applied Methods and Research Strategies</w:t>
      </w:r>
      <w:r w:rsidRPr="00757CC4">
        <w:rPr>
          <w:rFonts w:ascii="Times New Roman" w:hAnsi="Times New Roman"/>
          <w:sz w:val="22"/>
          <w:szCs w:val="22"/>
          <w:lang w:val="en-US"/>
        </w:rPr>
        <w:t>. Boca Raton: Taylor &amp; Francis.</w:t>
      </w:r>
    </w:p>
    <w:p w14:paraId="676CE260" w14:textId="77777777" w:rsidR="00A361DA" w:rsidRPr="00757CC4" w:rsidRDefault="00A361DA" w:rsidP="00757CC4">
      <w:pPr>
        <w:ind w:left="360" w:hanging="360"/>
        <w:contextualSpacing/>
        <w:jc w:val="both"/>
        <w:rPr>
          <w:sz w:val="22"/>
          <w:szCs w:val="22"/>
        </w:rPr>
      </w:pPr>
      <w:r w:rsidRPr="00757CC4">
        <w:rPr>
          <w:sz w:val="22"/>
          <w:szCs w:val="22"/>
        </w:rPr>
        <w:t xml:space="preserve">Van </w:t>
      </w:r>
      <w:proofErr w:type="spellStart"/>
      <w:r w:rsidRPr="00757CC4">
        <w:rPr>
          <w:sz w:val="22"/>
          <w:szCs w:val="22"/>
        </w:rPr>
        <w:t>Wilsem</w:t>
      </w:r>
      <w:proofErr w:type="spellEnd"/>
      <w:r w:rsidRPr="00757CC4">
        <w:rPr>
          <w:sz w:val="22"/>
          <w:szCs w:val="22"/>
        </w:rPr>
        <w:t xml:space="preserve">, J. and M. </w:t>
      </w:r>
      <w:proofErr w:type="spellStart"/>
      <w:r w:rsidRPr="00757CC4">
        <w:rPr>
          <w:sz w:val="22"/>
          <w:szCs w:val="22"/>
        </w:rPr>
        <w:t>Heemskerk</w:t>
      </w:r>
      <w:proofErr w:type="spellEnd"/>
      <w:r w:rsidRPr="00757CC4">
        <w:rPr>
          <w:sz w:val="22"/>
          <w:szCs w:val="22"/>
        </w:rPr>
        <w:t xml:space="preserve"> (2011). </w:t>
      </w:r>
      <w:proofErr w:type="gramStart"/>
      <w:r w:rsidRPr="00757CC4">
        <w:rPr>
          <w:sz w:val="22"/>
          <w:szCs w:val="22"/>
        </w:rPr>
        <w:t>Socially desirable crime rates?</w:t>
      </w:r>
      <w:proofErr w:type="gramEnd"/>
      <w:r w:rsidRPr="00757CC4">
        <w:rPr>
          <w:sz w:val="22"/>
          <w:szCs w:val="22"/>
        </w:rPr>
        <w:t xml:space="preserve"> A Dutch study on socially desirable responding and its impact on the self-report of violent victimization, Working paper, Leiden University.</w:t>
      </w:r>
    </w:p>
    <w:p w14:paraId="57356C38" w14:textId="77777777" w:rsidR="00A361DA" w:rsidRPr="00757CC4" w:rsidRDefault="00A361DA" w:rsidP="00757CC4">
      <w:pPr>
        <w:ind w:left="360" w:hanging="360"/>
        <w:contextualSpacing/>
        <w:jc w:val="both"/>
        <w:rPr>
          <w:sz w:val="22"/>
          <w:szCs w:val="22"/>
          <w:lang w:eastAsia="zh-CN"/>
        </w:rPr>
      </w:pPr>
      <w:proofErr w:type="spellStart"/>
      <w:r w:rsidRPr="00757CC4">
        <w:rPr>
          <w:sz w:val="22"/>
          <w:szCs w:val="22"/>
          <w:lang w:eastAsia="zh-CN"/>
        </w:rPr>
        <w:t>Vehovar</w:t>
      </w:r>
      <w:proofErr w:type="spellEnd"/>
      <w:r w:rsidRPr="00757CC4">
        <w:rPr>
          <w:sz w:val="22"/>
          <w:szCs w:val="22"/>
          <w:lang w:eastAsia="zh-CN"/>
        </w:rPr>
        <w:t xml:space="preserve">, V., Z. </w:t>
      </w:r>
      <w:proofErr w:type="spellStart"/>
      <w:r w:rsidRPr="00757CC4">
        <w:rPr>
          <w:sz w:val="22"/>
          <w:szCs w:val="22"/>
          <w:lang w:eastAsia="zh-CN"/>
        </w:rPr>
        <w:t>Batagelj</w:t>
      </w:r>
      <w:proofErr w:type="spellEnd"/>
      <w:r w:rsidRPr="00757CC4">
        <w:rPr>
          <w:sz w:val="22"/>
          <w:szCs w:val="22"/>
          <w:lang w:eastAsia="zh-CN"/>
        </w:rPr>
        <w:t xml:space="preserve">, and K. </w:t>
      </w:r>
      <w:proofErr w:type="spellStart"/>
      <w:r w:rsidRPr="00757CC4">
        <w:rPr>
          <w:sz w:val="22"/>
          <w:szCs w:val="22"/>
          <w:lang w:eastAsia="zh-CN"/>
        </w:rPr>
        <w:t>Lozar</w:t>
      </w:r>
      <w:proofErr w:type="spellEnd"/>
      <w:r w:rsidRPr="00757CC4">
        <w:rPr>
          <w:sz w:val="22"/>
          <w:szCs w:val="22"/>
          <w:lang w:eastAsia="zh-CN"/>
        </w:rPr>
        <w:t xml:space="preserve"> </w:t>
      </w:r>
      <w:proofErr w:type="spellStart"/>
      <w:r w:rsidRPr="00757CC4">
        <w:rPr>
          <w:sz w:val="22"/>
          <w:szCs w:val="22"/>
          <w:lang w:eastAsia="zh-CN"/>
        </w:rPr>
        <w:t>Manfreda</w:t>
      </w:r>
      <w:proofErr w:type="spellEnd"/>
      <w:r w:rsidRPr="00757CC4">
        <w:rPr>
          <w:sz w:val="22"/>
          <w:szCs w:val="22"/>
          <w:lang w:eastAsia="zh-CN"/>
        </w:rPr>
        <w:t xml:space="preserve"> (1999), Web surveys: Can the weighting solve the problem? </w:t>
      </w:r>
      <w:r w:rsidRPr="00757CC4">
        <w:rPr>
          <w:i/>
          <w:iCs/>
          <w:sz w:val="22"/>
          <w:szCs w:val="22"/>
          <w:lang w:eastAsia="zh-CN"/>
        </w:rPr>
        <w:t xml:space="preserve">Proceedings of the Survey Research Methods Section, </w:t>
      </w:r>
      <w:r w:rsidRPr="00757CC4">
        <w:rPr>
          <w:iCs/>
          <w:sz w:val="22"/>
          <w:szCs w:val="22"/>
          <w:lang w:eastAsia="zh-CN"/>
        </w:rPr>
        <w:t>American Statistical Association</w:t>
      </w:r>
      <w:r w:rsidRPr="00757CC4">
        <w:rPr>
          <w:sz w:val="22"/>
          <w:szCs w:val="22"/>
          <w:lang w:eastAsia="zh-CN"/>
        </w:rPr>
        <w:t>, pp. 962–967.</w:t>
      </w:r>
    </w:p>
    <w:p w14:paraId="37857709" w14:textId="77777777" w:rsidR="00A361DA" w:rsidRPr="00757CC4" w:rsidRDefault="00A361DA" w:rsidP="00757CC4">
      <w:pPr>
        <w:ind w:left="360" w:hanging="360"/>
        <w:contextualSpacing/>
        <w:jc w:val="both"/>
        <w:rPr>
          <w:color w:val="000000"/>
          <w:sz w:val="22"/>
          <w:szCs w:val="22"/>
        </w:rPr>
      </w:pPr>
      <w:r w:rsidRPr="00757CC4">
        <w:rPr>
          <w:color w:val="000000"/>
          <w:sz w:val="22"/>
          <w:szCs w:val="22"/>
        </w:rPr>
        <w:lastRenderedPageBreak/>
        <w:t xml:space="preserve">Von </w:t>
      </w:r>
      <w:proofErr w:type="spellStart"/>
      <w:r w:rsidRPr="00757CC4">
        <w:rPr>
          <w:color w:val="000000"/>
          <w:sz w:val="22"/>
          <w:szCs w:val="22"/>
        </w:rPr>
        <w:t>Gaudecker</w:t>
      </w:r>
      <w:proofErr w:type="spellEnd"/>
      <w:r w:rsidRPr="00757CC4">
        <w:rPr>
          <w:color w:val="000000"/>
          <w:sz w:val="22"/>
          <w:szCs w:val="22"/>
        </w:rPr>
        <w:t xml:space="preserve">, H-M., A. van </w:t>
      </w:r>
      <w:proofErr w:type="spellStart"/>
      <w:r w:rsidRPr="00757CC4">
        <w:rPr>
          <w:color w:val="000000"/>
          <w:sz w:val="22"/>
          <w:szCs w:val="22"/>
        </w:rPr>
        <w:t>Soest</w:t>
      </w:r>
      <w:proofErr w:type="spellEnd"/>
      <w:r w:rsidRPr="00757CC4">
        <w:rPr>
          <w:color w:val="000000"/>
          <w:sz w:val="22"/>
          <w:szCs w:val="22"/>
        </w:rPr>
        <w:t xml:space="preserve">, and E. </w:t>
      </w:r>
      <w:proofErr w:type="spellStart"/>
      <w:r w:rsidRPr="00757CC4">
        <w:rPr>
          <w:color w:val="000000"/>
          <w:sz w:val="22"/>
          <w:szCs w:val="22"/>
        </w:rPr>
        <w:t>Wengström</w:t>
      </w:r>
      <w:proofErr w:type="spellEnd"/>
      <w:r w:rsidRPr="00757CC4">
        <w:rPr>
          <w:color w:val="000000"/>
          <w:sz w:val="22"/>
          <w:szCs w:val="22"/>
        </w:rPr>
        <w:t xml:space="preserve"> (2011), Heterogeneity in Risky Choice Behavior in a Broad Population, </w:t>
      </w:r>
      <w:r w:rsidRPr="00757CC4">
        <w:rPr>
          <w:i/>
          <w:color w:val="000000"/>
          <w:sz w:val="22"/>
          <w:szCs w:val="22"/>
        </w:rPr>
        <w:t>American Economic Review</w:t>
      </w:r>
      <w:r w:rsidRPr="00757CC4">
        <w:rPr>
          <w:color w:val="000000"/>
          <w:sz w:val="22"/>
          <w:szCs w:val="22"/>
        </w:rPr>
        <w:t>, 101(2), pp. 664–694.</w:t>
      </w:r>
    </w:p>
    <w:p w14:paraId="1634742E" w14:textId="77777777" w:rsidR="00A361DA" w:rsidRPr="00757CC4" w:rsidRDefault="00A361DA" w:rsidP="00757CC4">
      <w:pPr>
        <w:ind w:left="360" w:hanging="360"/>
        <w:contextualSpacing/>
        <w:jc w:val="both"/>
        <w:rPr>
          <w:sz w:val="22"/>
          <w:szCs w:val="22"/>
        </w:rPr>
      </w:pPr>
      <w:proofErr w:type="spellStart"/>
      <w:proofErr w:type="gramStart"/>
      <w:r w:rsidRPr="00757CC4">
        <w:rPr>
          <w:sz w:val="22"/>
          <w:szCs w:val="22"/>
        </w:rPr>
        <w:t>Voortman</w:t>
      </w:r>
      <w:proofErr w:type="spellEnd"/>
      <w:r w:rsidRPr="00757CC4">
        <w:rPr>
          <w:sz w:val="22"/>
          <w:szCs w:val="22"/>
        </w:rPr>
        <w:t xml:space="preserve">, H. (2009), </w:t>
      </w:r>
      <w:r w:rsidRPr="00757CC4">
        <w:rPr>
          <w:i/>
          <w:sz w:val="22"/>
          <w:szCs w:val="22"/>
        </w:rPr>
        <w:t>Political Trust; a Matter of Personality Factors or Satisfaction with Government Performance?</w:t>
      </w:r>
      <w:proofErr w:type="gramEnd"/>
      <w:r w:rsidRPr="00757CC4">
        <w:rPr>
          <w:i/>
          <w:sz w:val="22"/>
          <w:szCs w:val="22"/>
        </w:rPr>
        <w:t xml:space="preserve"> A study on the influence of personality traits, moods and satisfaction with government performance on political trust</w:t>
      </w:r>
      <w:r w:rsidRPr="00757CC4">
        <w:rPr>
          <w:sz w:val="22"/>
          <w:szCs w:val="22"/>
        </w:rPr>
        <w:t xml:space="preserve">, PhD Thesis, University of </w:t>
      </w:r>
      <w:proofErr w:type="spellStart"/>
      <w:r w:rsidRPr="00757CC4">
        <w:rPr>
          <w:sz w:val="22"/>
          <w:szCs w:val="22"/>
        </w:rPr>
        <w:t>Twente</w:t>
      </w:r>
      <w:proofErr w:type="spellEnd"/>
      <w:r w:rsidRPr="00757CC4">
        <w:rPr>
          <w:sz w:val="22"/>
          <w:szCs w:val="22"/>
        </w:rPr>
        <w:t xml:space="preserve">, </w:t>
      </w:r>
      <w:proofErr w:type="spellStart"/>
      <w:r w:rsidRPr="00757CC4">
        <w:rPr>
          <w:sz w:val="22"/>
          <w:szCs w:val="22"/>
        </w:rPr>
        <w:t>Enschede</w:t>
      </w:r>
      <w:proofErr w:type="spellEnd"/>
      <w:r w:rsidRPr="00757CC4">
        <w:rPr>
          <w:sz w:val="22"/>
          <w:szCs w:val="22"/>
        </w:rPr>
        <w:t>.</w:t>
      </w:r>
    </w:p>
    <w:p w14:paraId="7559CF5E" w14:textId="77777777" w:rsidR="00A361DA" w:rsidRPr="00757CC4" w:rsidRDefault="00A361DA" w:rsidP="00757CC4">
      <w:pPr>
        <w:ind w:left="360" w:hanging="360"/>
        <w:contextualSpacing/>
        <w:jc w:val="both"/>
        <w:rPr>
          <w:sz w:val="22"/>
          <w:szCs w:val="22"/>
          <w:lang w:eastAsia="nl-NL"/>
        </w:rPr>
      </w:pPr>
      <w:proofErr w:type="gramStart"/>
      <w:r w:rsidRPr="00757CC4">
        <w:rPr>
          <w:sz w:val="22"/>
          <w:szCs w:val="22"/>
          <w:lang w:eastAsia="nl-NL"/>
        </w:rPr>
        <w:t xml:space="preserve">Yeager, D.S., J.A. </w:t>
      </w:r>
      <w:proofErr w:type="spellStart"/>
      <w:r w:rsidRPr="00757CC4">
        <w:rPr>
          <w:sz w:val="22"/>
          <w:szCs w:val="22"/>
          <w:lang w:eastAsia="nl-NL"/>
        </w:rPr>
        <w:t>Krosnick</w:t>
      </w:r>
      <w:proofErr w:type="spellEnd"/>
      <w:r w:rsidRPr="00757CC4">
        <w:rPr>
          <w:sz w:val="22"/>
          <w:szCs w:val="22"/>
          <w:lang w:eastAsia="nl-NL"/>
        </w:rPr>
        <w:t xml:space="preserve">, L. Chang, H.S. </w:t>
      </w:r>
      <w:proofErr w:type="spellStart"/>
      <w:r w:rsidRPr="00757CC4">
        <w:rPr>
          <w:sz w:val="22"/>
          <w:szCs w:val="22"/>
          <w:lang w:eastAsia="nl-NL"/>
        </w:rPr>
        <w:t>Javitz</w:t>
      </w:r>
      <w:proofErr w:type="spellEnd"/>
      <w:r w:rsidRPr="00757CC4">
        <w:rPr>
          <w:sz w:val="22"/>
          <w:szCs w:val="22"/>
          <w:lang w:eastAsia="nl-NL"/>
        </w:rPr>
        <w:t xml:space="preserve">, M.S. </w:t>
      </w:r>
      <w:proofErr w:type="spellStart"/>
      <w:r w:rsidRPr="00757CC4">
        <w:rPr>
          <w:sz w:val="22"/>
          <w:szCs w:val="22"/>
          <w:lang w:eastAsia="nl-NL"/>
        </w:rPr>
        <w:t>Levindusky</w:t>
      </w:r>
      <w:proofErr w:type="spellEnd"/>
      <w:r w:rsidRPr="00757CC4">
        <w:rPr>
          <w:sz w:val="22"/>
          <w:szCs w:val="22"/>
          <w:lang w:eastAsia="nl-NL"/>
        </w:rPr>
        <w:t xml:space="preserve">, A. </w:t>
      </w:r>
      <w:proofErr w:type="spellStart"/>
      <w:r w:rsidRPr="00757CC4">
        <w:rPr>
          <w:sz w:val="22"/>
          <w:szCs w:val="22"/>
          <w:lang w:eastAsia="nl-NL"/>
        </w:rPr>
        <w:t>Simpser</w:t>
      </w:r>
      <w:proofErr w:type="spellEnd"/>
      <w:r w:rsidRPr="00757CC4">
        <w:rPr>
          <w:sz w:val="22"/>
          <w:szCs w:val="22"/>
          <w:lang w:eastAsia="nl-NL"/>
        </w:rPr>
        <w:t>, and R. Wang (2009), Comparing the Accuracy of RDD Telephone Surveys and Internet Surveys Conducted with Probability and Non-Probability Samples, Working paper, Stanford University.</w:t>
      </w:r>
      <w:proofErr w:type="gramEnd"/>
    </w:p>
    <w:p w14:paraId="11752E01" w14:textId="77777777" w:rsidR="008F58F7" w:rsidRPr="00841EDC" w:rsidRDefault="008F58F7" w:rsidP="00757CC4">
      <w:pPr>
        <w:ind w:left="360" w:hanging="360"/>
        <w:contextualSpacing/>
        <w:jc w:val="both"/>
        <w:rPr>
          <w:color w:val="000000"/>
          <w:sz w:val="22"/>
          <w:szCs w:val="22"/>
        </w:rPr>
      </w:pPr>
      <w:r w:rsidRPr="00841EDC">
        <w:rPr>
          <w:color w:val="000000"/>
          <w:sz w:val="22"/>
          <w:szCs w:val="22"/>
        </w:rPr>
        <w:t xml:space="preserve">Yeager, D. S., Larson, S. B., </w:t>
      </w:r>
      <w:proofErr w:type="spellStart"/>
      <w:r w:rsidRPr="00841EDC">
        <w:rPr>
          <w:color w:val="000000"/>
          <w:sz w:val="22"/>
          <w:szCs w:val="22"/>
        </w:rPr>
        <w:t>Krosnick</w:t>
      </w:r>
      <w:proofErr w:type="spellEnd"/>
      <w:r w:rsidRPr="00841EDC">
        <w:rPr>
          <w:color w:val="000000"/>
          <w:sz w:val="22"/>
          <w:szCs w:val="22"/>
        </w:rPr>
        <w:t xml:space="preserve">, J. A., &amp; </w:t>
      </w:r>
      <w:proofErr w:type="spellStart"/>
      <w:r w:rsidRPr="00841EDC">
        <w:rPr>
          <w:color w:val="000000"/>
          <w:sz w:val="22"/>
          <w:szCs w:val="22"/>
        </w:rPr>
        <w:t>Tompson</w:t>
      </w:r>
      <w:proofErr w:type="spellEnd"/>
      <w:r w:rsidRPr="00841EDC">
        <w:rPr>
          <w:color w:val="000000"/>
          <w:sz w:val="22"/>
          <w:szCs w:val="22"/>
        </w:rPr>
        <w:t xml:space="preserve">, T. (2011). Measuring Americans’ issue priorities: A new version of the most important problem question reveals more concern about global warming and the environment. </w:t>
      </w:r>
      <w:r w:rsidRPr="00841EDC">
        <w:rPr>
          <w:i/>
          <w:color w:val="000000"/>
          <w:sz w:val="22"/>
          <w:szCs w:val="22"/>
        </w:rPr>
        <w:t>Public Opinion Quarterly</w:t>
      </w:r>
      <w:r w:rsidRPr="00841EDC">
        <w:rPr>
          <w:color w:val="000000"/>
          <w:sz w:val="22"/>
          <w:szCs w:val="22"/>
        </w:rPr>
        <w:t xml:space="preserve">, </w:t>
      </w:r>
      <w:r w:rsidRPr="00841EDC">
        <w:rPr>
          <w:i/>
          <w:color w:val="000000"/>
          <w:sz w:val="22"/>
          <w:szCs w:val="22"/>
        </w:rPr>
        <w:t>75</w:t>
      </w:r>
      <w:r w:rsidRPr="00841EDC">
        <w:rPr>
          <w:color w:val="000000"/>
          <w:sz w:val="22"/>
          <w:szCs w:val="22"/>
        </w:rPr>
        <w:t>, 125-138.</w:t>
      </w:r>
    </w:p>
    <w:p w14:paraId="5772A2B8" w14:textId="77777777" w:rsidR="00855ABA" w:rsidRPr="00757CC4" w:rsidRDefault="00855ABA" w:rsidP="00757CC4">
      <w:pPr>
        <w:ind w:left="360" w:hanging="360"/>
        <w:jc w:val="both"/>
        <w:rPr>
          <w:sz w:val="22"/>
          <w:szCs w:val="22"/>
        </w:rPr>
      </w:pPr>
    </w:p>
    <w:sectPr w:rsidR="00855ABA" w:rsidRPr="00757CC4" w:rsidSect="00855ABA">
      <w:endnotePr>
        <w:numFmt w:val="decimal"/>
      </w:endnotePr>
      <w:pgSz w:w="12240" w:h="15840"/>
      <w:pgMar w:top="1440" w:right="1440" w:bottom="1260" w:left="1440" w:header="1440" w:footer="110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55BCB" w14:textId="77777777" w:rsidR="00F51576" w:rsidRDefault="00F51576">
      <w:r>
        <w:separator/>
      </w:r>
    </w:p>
  </w:endnote>
  <w:endnote w:type="continuationSeparator" w:id="0">
    <w:p w14:paraId="72BD2031" w14:textId="77777777" w:rsidR="00F51576" w:rsidRDefault="00F5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EDD7" w14:textId="77777777" w:rsidR="00F51576" w:rsidRDefault="00F51576"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40ACC" w14:textId="77777777" w:rsidR="00F51576" w:rsidRDefault="00F51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D7BDD" w14:textId="77777777" w:rsidR="00F51576" w:rsidRDefault="00F51576"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B4C">
      <w:rPr>
        <w:rStyle w:val="PageNumber"/>
        <w:noProof/>
      </w:rPr>
      <w:t>2</w:t>
    </w:r>
    <w:r>
      <w:rPr>
        <w:rStyle w:val="PageNumber"/>
      </w:rPr>
      <w:fldChar w:fldCharType="end"/>
    </w:r>
  </w:p>
  <w:p w14:paraId="3EC59B36" w14:textId="77777777" w:rsidR="00F51576" w:rsidRDefault="00F51576">
    <w:pPr>
      <w:spacing w:line="240" w:lineRule="exact"/>
    </w:pPr>
  </w:p>
  <w:p w14:paraId="3DE03CDC" w14:textId="77777777" w:rsidR="00F51576" w:rsidRDefault="00F515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4CB0A" w14:textId="77777777" w:rsidR="00F51576" w:rsidRDefault="00F51576">
      <w:r>
        <w:separator/>
      </w:r>
    </w:p>
  </w:footnote>
  <w:footnote w:type="continuationSeparator" w:id="0">
    <w:p w14:paraId="1FF227E6" w14:textId="77777777" w:rsidR="00F51576" w:rsidRDefault="00F51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40A44EC4"/>
    <w:lvl w:ilvl="0" w:tplc="115C5EC8">
      <w:numFmt w:val="none"/>
      <w:lvlText w:val=""/>
      <w:lvlJc w:val="left"/>
      <w:pPr>
        <w:tabs>
          <w:tab w:val="num" w:pos="360"/>
        </w:tabs>
      </w:pPr>
    </w:lvl>
    <w:lvl w:ilvl="1" w:tplc="ADAC1B62">
      <w:numFmt w:val="decimal"/>
      <w:lvlText w:val=""/>
      <w:lvlJc w:val="left"/>
    </w:lvl>
    <w:lvl w:ilvl="2" w:tplc="C71C28C4">
      <w:numFmt w:val="decimal"/>
      <w:lvlText w:val=""/>
      <w:lvlJc w:val="left"/>
    </w:lvl>
    <w:lvl w:ilvl="3" w:tplc="6BECAA82">
      <w:numFmt w:val="decimal"/>
      <w:lvlText w:val=""/>
      <w:lvlJc w:val="left"/>
    </w:lvl>
    <w:lvl w:ilvl="4" w:tplc="B9DE1FA0">
      <w:numFmt w:val="decimal"/>
      <w:lvlText w:val=""/>
      <w:lvlJc w:val="left"/>
    </w:lvl>
    <w:lvl w:ilvl="5" w:tplc="C66A5C08">
      <w:numFmt w:val="decimal"/>
      <w:lvlText w:val=""/>
      <w:lvlJc w:val="left"/>
    </w:lvl>
    <w:lvl w:ilvl="6" w:tplc="2508E5E2">
      <w:numFmt w:val="decimal"/>
      <w:lvlText w:val=""/>
      <w:lvlJc w:val="left"/>
    </w:lvl>
    <w:lvl w:ilvl="7" w:tplc="B6661DEC">
      <w:numFmt w:val="decimal"/>
      <w:lvlText w:val=""/>
      <w:lvlJc w:val="left"/>
    </w:lvl>
    <w:lvl w:ilvl="8" w:tplc="6B1C8098">
      <w:numFmt w:val="decimal"/>
      <w:lvlText w:val=""/>
      <w:lvlJc w:val="left"/>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4666B42"/>
    <w:multiLevelType w:val="multilevel"/>
    <w:tmpl w:val="9CFE2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DF4ABB"/>
    <w:multiLevelType w:val="hybridMultilevel"/>
    <w:tmpl w:val="31282CCC"/>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9832390"/>
    <w:multiLevelType w:val="hybridMultilevel"/>
    <w:tmpl w:val="7FB8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0157970"/>
    <w:multiLevelType w:val="hybridMultilevel"/>
    <w:tmpl w:val="110A24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F2341D"/>
    <w:multiLevelType w:val="hybridMultilevel"/>
    <w:tmpl w:val="16504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057882"/>
    <w:multiLevelType w:val="multilevel"/>
    <w:tmpl w:val="BA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AEA07DC"/>
    <w:multiLevelType w:val="hybridMultilevel"/>
    <w:tmpl w:val="79BA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7F645A"/>
    <w:multiLevelType w:val="hybridMultilevel"/>
    <w:tmpl w:val="5A2A6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806072"/>
    <w:multiLevelType w:val="hybridMultilevel"/>
    <w:tmpl w:val="946EDACC"/>
    <w:lvl w:ilvl="0" w:tplc="3124E36C">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2E1516F5"/>
    <w:multiLevelType w:val="hybridMultilevel"/>
    <w:tmpl w:val="E69C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F38BF"/>
    <w:multiLevelType w:val="hybridMultilevel"/>
    <w:tmpl w:val="6F6CFEB6"/>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Aria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Arial"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Arial"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27A40ED"/>
    <w:multiLevelType w:val="hybridMultilevel"/>
    <w:tmpl w:val="132A9382"/>
    <w:lvl w:ilvl="0" w:tplc="230C02D0">
      <w:start w:val="1"/>
      <w:numFmt w:val="decimal"/>
      <w:lvlText w:val="B.%1."/>
      <w:lvlJc w:val="left"/>
      <w:pPr>
        <w:tabs>
          <w:tab w:val="num" w:pos="360"/>
        </w:tabs>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89022F4"/>
    <w:multiLevelType w:val="hybridMultilevel"/>
    <w:tmpl w:val="B3F69792"/>
    <w:lvl w:ilvl="0" w:tplc="04090019">
      <w:start w:val="1"/>
      <w:numFmt w:val="lowerLetter"/>
      <w:lvlText w:val="%1."/>
      <w:lvlJc w:val="left"/>
      <w:pPr>
        <w:tabs>
          <w:tab w:val="num" w:pos="72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520749"/>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03E454B"/>
    <w:multiLevelType w:val="multilevel"/>
    <w:tmpl w:val="208E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BA1D16"/>
    <w:multiLevelType w:val="hybridMultilevel"/>
    <w:tmpl w:val="F81CD9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6253DC4"/>
    <w:multiLevelType w:val="hybridMultilevel"/>
    <w:tmpl w:val="212850F8"/>
    <w:lvl w:ilvl="0" w:tplc="396C4A18">
      <w:start w:val="1"/>
      <w:numFmt w:val="decimal"/>
      <w:lvlText w:val="B.%1."/>
      <w:lvlJc w:val="left"/>
      <w:pPr>
        <w:ind w:left="720" w:hanging="360"/>
      </w:pPr>
      <w:rPr>
        <w:rFonts w:ascii="Times New Roman" w:hAnsi="Times New Roman"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CE202B"/>
    <w:multiLevelType w:val="multilevel"/>
    <w:tmpl w:val="7214D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4A1D7109"/>
    <w:multiLevelType w:val="hybridMultilevel"/>
    <w:tmpl w:val="7DC42674"/>
    <w:lvl w:ilvl="0" w:tplc="6E565238">
      <w:start w:val="1"/>
      <w:numFmt w:val="decimal"/>
      <w:lvlText w:val="A.%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37443"/>
    <w:multiLevelType w:val="hybridMultilevel"/>
    <w:tmpl w:val="222C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4FB21B1E"/>
    <w:multiLevelType w:val="multilevel"/>
    <w:tmpl w:val="152C9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588125EC"/>
    <w:multiLevelType w:val="hybridMultilevel"/>
    <w:tmpl w:val="5914E49E"/>
    <w:lvl w:ilvl="0" w:tplc="9D5E8A02">
      <w:start w:val="1"/>
      <w:numFmt w:val="decimal"/>
      <w:lvlText w:val="(%1)"/>
      <w:lvlJc w:val="left"/>
      <w:pPr>
        <w:tabs>
          <w:tab w:val="num" w:pos="1080"/>
        </w:tabs>
        <w:ind w:left="1080" w:hanging="360"/>
      </w:pPr>
      <w:rPr>
        <w:rFonts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8DB022B"/>
    <w:multiLevelType w:val="multilevel"/>
    <w:tmpl w:val="B7F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DF1290E"/>
    <w:multiLevelType w:val="hybridMultilevel"/>
    <w:tmpl w:val="7E5AD6AA"/>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0C15D3"/>
    <w:multiLevelType w:val="hybridMultilevel"/>
    <w:tmpl w:val="CEF2BD4C"/>
    <w:lvl w:ilvl="0" w:tplc="9C7E18B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F0C17FF"/>
    <w:multiLevelType w:val="multilevel"/>
    <w:tmpl w:val="A188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70268D"/>
    <w:multiLevelType w:val="hybridMultilevel"/>
    <w:tmpl w:val="8B0CC900"/>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Wingdings"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Wingdings"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39">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69233997"/>
    <w:multiLevelType w:val="hybridMultilevel"/>
    <w:tmpl w:val="EC507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B9036B"/>
    <w:multiLevelType w:val="hybridMultilevel"/>
    <w:tmpl w:val="BC5CBF94"/>
    <w:lvl w:ilvl="0" w:tplc="BB5C3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2C124C3"/>
    <w:multiLevelType w:val="hybridMultilevel"/>
    <w:tmpl w:val="2BC6C3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8FE04FC"/>
    <w:multiLevelType w:val="multilevel"/>
    <w:tmpl w:val="BB74C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79B974A1"/>
    <w:multiLevelType w:val="hybridMultilevel"/>
    <w:tmpl w:val="BE96FD58"/>
    <w:lvl w:ilvl="0" w:tplc="8A4C17FE">
      <w:start w:val="1"/>
      <w:numFmt w:val="bullet"/>
      <w:lvlText w:val=""/>
      <w:lvlJc w:val="left"/>
      <w:pPr>
        <w:tabs>
          <w:tab w:val="num" w:pos="2160"/>
        </w:tabs>
        <w:ind w:left="2160" w:hanging="360"/>
      </w:pPr>
      <w:rPr>
        <w:rFonts w:ascii="Symbol" w:hAnsi="Symbol" w:hint="default"/>
      </w:rPr>
    </w:lvl>
    <w:lvl w:ilvl="1" w:tplc="D294FE5C">
      <w:start w:val="1"/>
      <w:numFmt w:val="decimal"/>
      <w:lvlText w:val="%2."/>
      <w:lvlJc w:val="left"/>
      <w:pPr>
        <w:tabs>
          <w:tab w:val="num" w:pos="2880"/>
        </w:tabs>
        <w:ind w:left="2880" w:hanging="360"/>
      </w:pPr>
      <w:rPr>
        <w:rFonts w:hint="default"/>
        <w:b w:val="0"/>
      </w:rPr>
    </w:lvl>
    <w:lvl w:ilvl="2" w:tplc="9A903106">
      <w:start w:val="1"/>
      <w:numFmt w:val="bullet"/>
      <w:lvlText w:val=""/>
      <w:lvlJc w:val="left"/>
      <w:pPr>
        <w:tabs>
          <w:tab w:val="num" w:pos="3600"/>
        </w:tabs>
        <w:ind w:left="3600" w:hanging="360"/>
      </w:pPr>
      <w:rPr>
        <w:rFonts w:ascii="Symbol" w:hAnsi="Symbol" w:hint="default"/>
      </w:rPr>
    </w:lvl>
    <w:lvl w:ilvl="3" w:tplc="2EC218F4" w:tentative="1">
      <w:start w:val="1"/>
      <w:numFmt w:val="bullet"/>
      <w:lvlText w:val=""/>
      <w:lvlJc w:val="left"/>
      <w:pPr>
        <w:tabs>
          <w:tab w:val="num" w:pos="4320"/>
        </w:tabs>
        <w:ind w:left="4320" w:hanging="360"/>
      </w:pPr>
      <w:rPr>
        <w:rFonts w:ascii="Symbol" w:hAnsi="Symbol" w:hint="default"/>
      </w:rPr>
    </w:lvl>
    <w:lvl w:ilvl="4" w:tplc="C156A218" w:tentative="1">
      <w:start w:val="1"/>
      <w:numFmt w:val="bullet"/>
      <w:lvlText w:val="o"/>
      <w:lvlJc w:val="left"/>
      <w:pPr>
        <w:tabs>
          <w:tab w:val="num" w:pos="5040"/>
        </w:tabs>
        <w:ind w:left="5040" w:hanging="360"/>
      </w:pPr>
      <w:rPr>
        <w:rFonts w:ascii="Courier New" w:hAnsi="Courier New" w:cs="Wingdings" w:hint="default"/>
      </w:rPr>
    </w:lvl>
    <w:lvl w:ilvl="5" w:tplc="DCF8C034" w:tentative="1">
      <w:start w:val="1"/>
      <w:numFmt w:val="bullet"/>
      <w:lvlText w:val=""/>
      <w:lvlJc w:val="left"/>
      <w:pPr>
        <w:tabs>
          <w:tab w:val="num" w:pos="5760"/>
        </w:tabs>
        <w:ind w:left="5760" w:hanging="360"/>
      </w:pPr>
      <w:rPr>
        <w:rFonts w:ascii="Wingdings" w:hAnsi="Wingdings" w:hint="default"/>
      </w:rPr>
    </w:lvl>
    <w:lvl w:ilvl="6" w:tplc="3C76C688" w:tentative="1">
      <w:start w:val="1"/>
      <w:numFmt w:val="bullet"/>
      <w:lvlText w:val=""/>
      <w:lvlJc w:val="left"/>
      <w:pPr>
        <w:tabs>
          <w:tab w:val="num" w:pos="6480"/>
        </w:tabs>
        <w:ind w:left="6480" w:hanging="360"/>
      </w:pPr>
      <w:rPr>
        <w:rFonts w:ascii="Symbol" w:hAnsi="Symbol" w:hint="default"/>
      </w:rPr>
    </w:lvl>
    <w:lvl w:ilvl="7" w:tplc="0B96E72C" w:tentative="1">
      <w:start w:val="1"/>
      <w:numFmt w:val="bullet"/>
      <w:lvlText w:val="o"/>
      <w:lvlJc w:val="left"/>
      <w:pPr>
        <w:tabs>
          <w:tab w:val="num" w:pos="7200"/>
        </w:tabs>
        <w:ind w:left="7200" w:hanging="360"/>
      </w:pPr>
      <w:rPr>
        <w:rFonts w:ascii="Courier New" w:hAnsi="Courier New" w:cs="Wingdings" w:hint="default"/>
      </w:rPr>
    </w:lvl>
    <w:lvl w:ilvl="8" w:tplc="458C5C9C" w:tentative="1">
      <w:start w:val="1"/>
      <w:numFmt w:val="bullet"/>
      <w:lvlText w:val=""/>
      <w:lvlJc w:val="left"/>
      <w:pPr>
        <w:tabs>
          <w:tab w:val="num" w:pos="7920"/>
        </w:tabs>
        <w:ind w:left="7920" w:hanging="360"/>
      </w:pPr>
      <w:rPr>
        <w:rFonts w:ascii="Wingdings" w:hAnsi="Wingdings" w:hint="default"/>
      </w:rPr>
    </w:lvl>
  </w:abstractNum>
  <w:num w:numId="1">
    <w:abstractNumId w:val="25"/>
  </w:num>
  <w:num w:numId="2">
    <w:abstractNumId w:val="26"/>
  </w:num>
  <w:num w:numId="3">
    <w:abstractNumId w:val="7"/>
  </w:num>
  <w:num w:numId="4">
    <w:abstractNumId w:val="2"/>
  </w:num>
  <w:num w:numId="5">
    <w:abstractNumId w:val="38"/>
  </w:num>
  <w:num w:numId="6">
    <w:abstractNumId w:val="34"/>
  </w:num>
  <w:num w:numId="7">
    <w:abstractNumId w:val="36"/>
  </w:num>
  <w:num w:numId="8">
    <w:abstractNumId w:val="46"/>
  </w:num>
  <w:num w:numId="9">
    <w:abstractNumId w:val="44"/>
  </w:num>
  <w:num w:numId="10">
    <w:abstractNumId w:val="6"/>
  </w:num>
  <w:num w:numId="11">
    <w:abstractNumId w:val="18"/>
  </w:num>
  <w:num w:numId="12">
    <w:abstractNumId w:val="42"/>
  </w:num>
  <w:num w:numId="13">
    <w:abstractNumId w:val="39"/>
  </w:num>
  <w:num w:numId="14">
    <w:abstractNumId w:val="32"/>
  </w:num>
  <w:num w:numId="15">
    <w:abstractNumId w:val="8"/>
  </w:num>
  <w:num w:numId="16">
    <w:abstractNumId w:val="33"/>
  </w:num>
  <w:num w:numId="17">
    <w:abstractNumId w:val="28"/>
  </w:num>
  <w:num w:numId="18">
    <w:abstractNumId w:val="9"/>
  </w:num>
  <w:num w:numId="19">
    <w:abstractNumId w:val="4"/>
  </w:num>
  <w:num w:numId="20">
    <w:abstractNumId w:val="0"/>
  </w:num>
  <w:num w:numId="21">
    <w:abstractNumId w:val="40"/>
  </w:num>
  <w:num w:numId="22">
    <w:abstractNumId w:val="35"/>
  </w:num>
  <w:num w:numId="23">
    <w:abstractNumId w:val="13"/>
  </w:num>
  <w:num w:numId="24">
    <w:abstractNumId w:val="12"/>
  </w:num>
  <w:num w:numId="25">
    <w:abstractNumId w:val="10"/>
  </w:num>
  <w:num w:numId="26">
    <w:abstractNumId w:val="41"/>
  </w:num>
  <w:num w:numId="27">
    <w:abstractNumId w:val="16"/>
  </w:num>
  <w:num w:numId="28">
    <w:abstractNumId w:val="43"/>
  </w:num>
  <w:num w:numId="29">
    <w:abstractNumId w:val="17"/>
  </w:num>
  <w:num w:numId="30">
    <w:abstractNumId w:val="20"/>
  </w:num>
  <w:num w:numId="31">
    <w:abstractNumId w:val="30"/>
  </w:num>
  <w:num w:numId="32">
    <w:abstractNumId w:val="14"/>
  </w:num>
  <w:num w:numId="33">
    <w:abstractNumId w:val="23"/>
  </w:num>
  <w:num w:numId="34">
    <w:abstractNumId w:val="3"/>
  </w:num>
  <w:num w:numId="35">
    <w:abstractNumId w:val="31"/>
  </w:num>
  <w:num w:numId="36">
    <w:abstractNumId w:val="37"/>
  </w:num>
  <w:num w:numId="37">
    <w:abstractNumId w:val="21"/>
  </w:num>
  <w:num w:numId="38">
    <w:abstractNumId w:val="19"/>
  </w:num>
  <w:num w:numId="39">
    <w:abstractNumId w:val="29"/>
  </w:num>
  <w:num w:numId="40">
    <w:abstractNumId w:val="45"/>
  </w:num>
  <w:num w:numId="41">
    <w:abstractNumId w:val="11"/>
  </w:num>
  <w:num w:numId="42">
    <w:abstractNumId w:val="24"/>
  </w:num>
  <w:num w:numId="43">
    <w:abstractNumId w:val="1"/>
  </w:num>
  <w:num w:numId="44">
    <w:abstractNumId w:val="15"/>
  </w:num>
  <w:num w:numId="45">
    <w:abstractNumId w:val="5"/>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86"/>
    <w:rsid w:val="00056C80"/>
    <w:rsid w:val="00080288"/>
    <w:rsid w:val="000834C8"/>
    <w:rsid w:val="000D43BD"/>
    <w:rsid w:val="000E0FC3"/>
    <w:rsid w:val="000F0089"/>
    <w:rsid w:val="000F09C6"/>
    <w:rsid w:val="00113C1E"/>
    <w:rsid w:val="001168E9"/>
    <w:rsid w:val="00150C4B"/>
    <w:rsid w:val="00162190"/>
    <w:rsid w:val="001654CF"/>
    <w:rsid w:val="00194FE8"/>
    <w:rsid w:val="0019690A"/>
    <w:rsid w:val="001D02E7"/>
    <w:rsid w:val="001D3C51"/>
    <w:rsid w:val="001E2854"/>
    <w:rsid w:val="001E36CC"/>
    <w:rsid w:val="001F17FC"/>
    <w:rsid w:val="001F661B"/>
    <w:rsid w:val="00200DA9"/>
    <w:rsid w:val="00200E76"/>
    <w:rsid w:val="00215FD1"/>
    <w:rsid w:val="00224113"/>
    <w:rsid w:val="002307A2"/>
    <w:rsid w:val="0025753F"/>
    <w:rsid w:val="002607D3"/>
    <w:rsid w:val="00262163"/>
    <w:rsid w:val="00265649"/>
    <w:rsid w:val="00266435"/>
    <w:rsid w:val="00276A6A"/>
    <w:rsid w:val="00280E69"/>
    <w:rsid w:val="002850F4"/>
    <w:rsid w:val="00287B82"/>
    <w:rsid w:val="002A2A88"/>
    <w:rsid w:val="002A4230"/>
    <w:rsid w:val="002A54D3"/>
    <w:rsid w:val="002A7B02"/>
    <w:rsid w:val="002B62C7"/>
    <w:rsid w:val="002C0059"/>
    <w:rsid w:val="002D2100"/>
    <w:rsid w:val="002D243E"/>
    <w:rsid w:val="002E21B7"/>
    <w:rsid w:val="002E528D"/>
    <w:rsid w:val="002F3BC1"/>
    <w:rsid w:val="00303A67"/>
    <w:rsid w:val="00303D8B"/>
    <w:rsid w:val="003056FF"/>
    <w:rsid w:val="00325B1A"/>
    <w:rsid w:val="00333C2C"/>
    <w:rsid w:val="003349C6"/>
    <w:rsid w:val="00351304"/>
    <w:rsid w:val="00355D13"/>
    <w:rsid w:val="00361944"/>
    <w:rsid w:val="003863BC"/>
    <w:rsid w:val="0039023E"/>
    <w:rsid w:val="003B3BB0"/>
    <w:rsid w:val="003C2710"/>
    <w:rsid w:val="003C31C2"/>
    <w:rsid w:val="003F7821"/>
    <w:rsid w:val="004019D9"/>
    <w:rsid w:val="004122BB"/>
    <w:rsid w:val="004231F6"/>
    <w:rsid w:val="00435E6F"/>
    <w:rsid w:val="00436F24"/>
    <w:rsid w:val="0043752D"/>
    <w:rsid w:val="00444B8E"/>
    <w:rsid w:val="00462978"/>
    <w:rsid w:val="0047668B"/>
    <w:rsid w:val="0048246C"/>
    <w:rsid w:val="00484A84"/>
    <w:rsid w:val="00491F32"/>
    <w:rsid w:val="00492221"/>
    <w:rsid w:val="00495789"/>
    <w:rsid w:val="004979C9"/>
    <w:rsid w:val="004B7491"/>
    <w:rsid w:val="004D5817"/>
    <w:rsid w:val="004F0B2E"/>
    <w:rsid w:val="00500749"/>
    <w:rsid w:val="00503E4B"/>
    <w:rsid w:val="00535BA4"/>
    <w:rsid w:val="005400D0"/>
    <w:rsid w:val="0054690F"/>
    <w:rsid w:val="00551CC0"/>
    <w:rsid w:val="0058013B"/>
    <w:rsid w:val="005A35A8"/>
    <w:rsid w:val="005B3541"/>
    <w:rsid w:val="00607AA6"/>
    <w:rsid w:val="006157D1"/>
    <w:rsid w:val="00615D4E"/>
    <w:rsid w:val="006201B2"/>
    <w:rsid w:val="006229D4"/>
    <w:rsid w:val="006250C2"/>
    <w:rsid w:val="006311CF"/>
    <w:rsid w:val="00651367"/>
    <w:rsid w:val="00651AB8"/>
    <w:rsid w:val="0065610C"/>
    <w:rsid w:val="00665512"/>
    <w:rsid w:val="00681A3F"/>
    <w:rsid w:val="00694A38"/>
    <w:rsid w:val="006A0C80"/>
    <w:rsid w:val="006B180D"/>
    <w:rsid w:val="006B3D5F"/>
    <w:rsid w:val="006B5897"/>
    <w:rsid w:val="006C7C87"/>
    <w:rsid w:val="006F701D"/>
    <w:rsid w:val="0070428B"/>
    <w:rsid w:val="0070491F"/>
    <w:rsid w:val="0071310B"/>
    <w:rsid w:val="00713690"/>
    <w:rsid w:val="00714940"/>
    <w:rsid w:val="00724585"/>
    <w:rsid w:val="00726E65"/>
    <w:rsid w:val="0073347C"/>
    <w:rsid w:val="00735423"/>
    <w:rsid w:val="00741A16"/>
    <w:rsid w:val="00742439"/>
    <w:rsid w:val="007472B1"/>
    <w:rsid w:val="00756814"/>
    <w:rsid w:val="00757CC4"/>
    <w:rsid w:val="007662DD"/>
    <w:rsid w:val="007743E9"/>
    <w:rsid w:val="00775A2C"/>
    <w:rsid w:val="00775A38"/>
    <w:rsid w:val="00786FF5"/>
    <w:rsid w:val="00787178"/>
    <w:rsid w:val="007B3F39"/>
    <w:rsid w:val="007C45C0"/>
    <w:rsid w:val="007E0C1F"/>
    <w:rsid w:val="007E58E7"/>
    <w:rsid w:val="00810502"/>
    <w:rsid w:val="00811EDC"/>
    <w:rsid w:val="008216FC"/>
    <w:rsid w:val="00823568"/>
    <w:rsid w:val="00834382"/>
    <w:rsid w:val="00834E9C"/>
    <w:rsid w:val="00841EDC"/>
    <w:rsid w:val="008446E2"/>
    <w:rsid w:val="008448DF"/>
    <w:rsid w:val="00855ABA"/>
    <w:rsid w:val="008A0026"/>
    <w:rsid w:val="008A3E4E"/>
    <w:rsid w:val="008A6584"/>
    <w:rsid w:val="008B099A"/>
    <w:rsid w:val="008B267C"/>
    <w:rsid w:val="008B7373"/>
    <w:rsid w:val="008C1A2B"/>
    <w:rsid w:val="008D5A6D"/>
    <w:rsid w:val="008E0ABA"/>
    <w:rsid w:val="008F1FBB"/>
    <w:rsid w:val="008F4F21"/>
    <w:rsid w:val="008F58F7"/>
    <w:rsid w:val="00905EA4"/>
    <w:rsid w:val="009222C5"/>
    <w:rsid w:val="0093505F"/>
    <w:rsid w:val="009431B8"/>
    <w:rsid w:val="00945886"/>
    <w:rsid w:val="009525E0"/>
    <w:rsid w:val="0095530F"/>
    <w:rsid w:val="00957239"/>
    <w:rsid w:val="00960184"/>
    <w:rsid w:val="009619BA"/>
    <w:rsid w:val="00961B04"/>
    <w:rsid w:val="00971DA9"/>
    <w:rsid w:val="009722EB"/>
    <w:rsid w:val="00974E9F"/>
    <w:rsid w:val="00976CF9"/>
    <w:rsid w:val="009774C9"/>
    <w:rsid w:val="00986489"/>
    <w:rsid w:val="00987D8A"/>
    <w:rsid w:val="009B1FEA"/>
    <w:rsid w:val="009C01E8"/>
    <w:rsid w:val="009C3CA0"/>
    <w:rsid w:val="009E1684"/>
    <w:rsid w:val="00A01DEC"/>
    <w:rsid w:val="00A04E40"/>
    <w:rsid w:val="00A07615"/>
    <w:rsid w:val="00A078E6"/>
    <w:rsid w:val="00A2521D"/>
    <w:rsid w:val="00A30213"/>
    <w:rsid w:val="00A361DA"/>
    <w:rsid w:val="00A44951"/>
    <w:rsid w:val="00A4515B"/>
    <w:rsid w:val="00A6160C"/>
    <w:rsid w:val="00A75041"/>
    <w:rsid w:val="00A87B48"/>
    <w:rsid w:val="00AA50F4"/>
    <w:rsid w:val="00AA6E68"/>
    <w:rsid w:val="00AB5FE9"/>
    <w:rsid w:val="00AB7AD4"/>
    <w:rsid w:val="00AD2557"/>
    <w:rsid w:val="00AD63C6"/>
    <w:rsid w:val="00B20584"/>
    <w:rsid w:val="00B46459"/>
    <w:rsid w:val="00B47E31"/>
    <w:rsid w:val="00B51B33"/>
    <w:rsid w:val="00B5400A"/>
    <w:rsid w:val="00B61A68"/>
    <w:rsid w:val="00B77EB7"/>
    <w:rsid w:val="00B9792C"/>
    <w:rsid w:val="00BA4145"/>
    <w:rsid w:val="00BA6F0D"/>
    <w:rsid w:val="00BB3586"/>
    <w:rsid w:val="00BB381E"/>
    <w:rsid w:val="00BB6056"/>
    <w:rsid w:val="00BD304F"/>
    <w:rsid w:val="00BE74F8"/>
    <w:rsid w:val="00BF032C"/>
    <w:rsid w:val="00C0660A"/>
    <w:rsid w:val="00C1002C"/>
    <w:rsid w:val="00C1594A"/>
    <w:rsid w:val="00C27503"/>
    <w:rsid w:val="00C44626"/>
    <w:rsid w:val="00C65F86"/>
    <w:rsid w:val="00C831AE"/>
    <w:rsid w:val="00C84EFE"/>
    <w:rsid w:val="00C946C7"/>
    <w:rsid w:val="00C952EF"/>
    <w:rsid w:val="00C957B6"/>
    <w:rsid w:val="00C96AF2"/>
    <w:rsid w:val="00CA2745"/>
    <w:rsid w:val="00CA3489"/>
    <w:rsid w:val="00CC15D9"/>
    <w:rsid w:val="00CD227A"/>
    <w:rsid w:val="00CE079F"/>
    <w:rsid w:val="00CE2E47"/>
    <w:rsid w:val="00CE5563"/>
    <w:rsid w:val="00CF6E06"/>
    <w:rsid w:val="00D21D82"/>
    <w:rsid w:val="00D24D7A"/>
    <w:rsid w:val="00D276B7"/>
    <w:rsid w:val="00D46BD8"/>
    <w:rsid w:val="00D56D93"/>
    <w:rsid w:val="00D5707C"/>
    <w:rsid w:val="00D57CFB"/>
    <w:rsid w:val="00D606F3"/>
    <w:rsid w:val="00D61A74"/>
    <w:rsid w:val="00D875EF"/>
    <w:rsid w:val="00D94524"/>
    <w:rsid w:val="00DC1B17"/>
    <w:rsid w:val="00DC3259"/>
    <w:rsid w:val="00DD0A7C"/>
    <w:rsid w:val="00DD5B0D"/>
    <w:rsid w:val="00DE0563"/>
    <w:rsid w:val="00DE4D98"/>
    <w:rsid w:val="00DE5432"/>
    <w:rsid w:val="00DF4F83"/>
    <w:rsid w:val="00E041C7"/>
    <w:rsid w:val="00E07F17"/>
    <w:rsid w:val="00E2165B"/>
    <w:rsid w:val="00E235A1"/>
    <w:rsid w:val="00E24C2B"/>
    <w:rsid w:val="00E5115A"/>
    <w:rsid w:val="00E736E0"/>
    <w:rsid w:val="00E77087"/>
    <w:rsid w:val="00E83315"/>
    <w:rsid w:val="00E9268D"/>
    <w:rsid w:val="00E93D43"/>
    <w:rsid w:val="00EA031F"/>
    <w:rsid w:val="00EA7F48"/>
    <w:rsid w:val="00EB744D"/>
    <w:rsid w:val="00EF5A9F"/>
    <w:rsid w:val="00EF7386"/>
    <w:rsid w:val="00F1268A"/>
    <w:rsid w:val="00F12B4C"/>
    <w:rsid w:val="00F1668F"/>
    <w:rsid w:val="00F51576"/>
    <w:rsid w:val="00F54575"/>
    <w:rsid w:val="00F56400"/>
    <w:rsid w:val="00F647F5"/>
    <w:rsid w:val="00F6763B"/>
    <w:rsid w:val="00F87A2B"/>
    <w:rsid w:val="00FC1911"/>
    <w:rsid w:val="00FC3E53"/>
    <w:rsid w:val="00FC6253"/>
    <w:rsid w:val="00FD5C52"/>
    <w:rsid w:val="00FD6DB2"/>
    <w:rsid w:val="00FD7C32"/>
    <w:rsid w:val="00FF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14F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013B"/>
    <w:pPr>
      <w:widowControl w:val="0"/>
      <w:autoSpaceDE w:val="0"/>
      <w:autoSpaceDN w:val="0"/>
      <w:adjustRightInd w:val="0"/>
    </w:pPr>
  </w:style>
  <w:style w:type="paragraph" w:styleId="Heading1">
    <w:name w:val="heading 1"/>
    <w:basedOn w:val="Normal"/>
    <w:next w:val="Normal"/>
    <w:qFormat/>
    <w:rsid w:val="00A87B48"/>
    <w:pPr>
      <w:keepNext/>
      <w:outlineLvl w:val="0"/>
    </w:pPr>
    <w:rPr>
      <w:b/>
      <w:bCs/>
      <w:sz w:val="28"/>
    </w:rPr>
  </w:style>
  <w:style w:type="paragraph" w:styleId="Heading2">
    <w:name w:val="heading 2"/>
    <w:basedOn w:val="Normal"/>
    <w:next w:val="Normal"/>
    <w:link w:val="Heading2Char"/>
    <w:uiPriority w:val="9"/>
    <w:qFormat/>
    <w:rsid w:val="00A87B48"/>
    <w:pPr>
      <w:keepNext/>
      <w:spacing w:before="240" w:after="60"/>
      <w:outlineLvl w:val="1"/>
    </w:pPr>
    <w:rPr>
      <w:b/>
      <w:szCs w:val="28"/>
    </w:rPr>
  </w:style>
  <w:style w:type="paragraph" w:styleId="Heading3">
    <w:name w:val="heading 3"/>
    <w:basedOn w:val="Heading2"/>
    <w:next w:val="Normal"/>
    <w:qFormat/>
    <w:rsid w:val="00BB3586"/>
    <w:pPr>
      <w:ind w:left="720"/>
      <w:outlineLvl w:val="2"/>
    </w:pPr>
    <w:rPr>
      <w:szCs w:val="26"/>
    </w:rPr>
  </w:style>
  <w:style w:type="paragraph" w:styleId="Heading4">
    <w:name w:val="heading 4"/>
    <w:basedOn w:val="Heading3"/>
    <w:next w:val="Normal"/>
    <w:qFormat/>
    <w:rsid w:val="00BB3586"/>
    <w:pPr>
      <w:widowControl/>
      <w:tabs>
        <w:tab w:val="num" w:pos="864"/>
      </w:tabs>
      <w:autoSpaceDE/>
      <w:autoSpaceDN/>
      <w:adjustRightInd/>
      <w:ind w:left="1728" w:hanging="864"/>
      <w:outlineLvl w:val="3"/>
    </w:pPr>
    <w:rPr>
      <w:bCs/>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rsid w:val="0058013B"/>
    <w:pPr>
      <w:ind w:left="720"/>
    </w:pPr>
    <w:rPr>
      <w:rFonts w:ascii="Baskerville Old Face" w:hAnsi="Baskerville Old Face"/>
    </w:rPr>
  </w:style>
  <w:style w:type="table" w:styleId="TableGrid">
    <w:name w:val="Table Grid"/>
    <w:basedOn w:val="TableNormal"/>
    <w:uiPriority w:val="59"/>
    <w:rsid w:val="005801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1844A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style>
  <w:style w:type="paragraph" w:styleId="Footer">
    <w:name w:val="footer"/>
    <w:basedOn w:val="Normal"/>
    <w:rsid w:val="003D0646"/>
    <w:pPr>
      <w:widowControl/>
      <w:tabs>
        <w:tab w:val="center" w:pos="4320"/>
        <w:tab w:val="right" w:pos="8640"/>
      </w:tabs>
      <w:autoSpaceDE/>
      <w:autoSpaceDN/>
      <w:adjustRightInd/>
    </w:pPr>
  </w:style>
  <w:style w:type="character" w:styleId="PageNumber">
    <w:name w:val="page number"/>
    <w:basedOn w:val="DefaultParagraphFont"/>
    <w:rsid w:val="003D0646"/>
  </w:style>
  <w:style w:type="paragraph" w:styleId="Header">
    <w:name w:val="header"/>
    <w:basedOn w:val="Normal"/>
    <w:rsid w:val="003D0646"/>
    <w:pPr>
      <w:widowControl/>
      <w:tabs>
        <w:tab w:val="center" w:pos="4320"/>
        <w:tab w:val="right" w:pos="8640"/>
      </w:tabs>
      <w:autoSpaceDE/>
      <w:autoSpaceDN/>
      <w:adjustRightInd/>
    </w:pPr>
  </w:style>
  <w:style w:type="paragraph" w:styleId="ListBullet">
    <w:name w:val="List Bullet"/>
    <w:basedOn w:val="Normal"/>
    <w:rsid w:val="003D0646"/>
    <w:pPr>
      <w:widowControl/>
      <w:numPr>
        <w:numId w:val="20"/>
      </w:numPr>
      <w:autoSpaceDE/>
      <w:autoSpaceDN/>
      <w:adjustRightInd/>
    </w:pPr>
  </w:style>
  <w:style w:type="paragraph" w:customStyle="1" w:styleId="Style1">
    <w:name w:val="Style 1"/>
    <w:basedOn w:val="Normal"/>
    <w:rsid w:val="003D0646"/>
    <w:pPr>
      <w:adjustRightInd/>
      <w:jc w:val="both"/>
    </w:pPr>
    <w:rPr>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Cs w:val="20"/>
    </w:rPr>
  </w:style>
  <w:style w:type="paragraph" w:styleId="BodyText">
    <w:name w:val="Body Text"/>
    <w:basedOn w:val="Normal"/>
    <w:rsid w:val="003D0646"/>
    <w:pPr>
      <w:widowControl/>
      <w:autoSpaceDE/>
      <w:autoSpaceDN/>
      <w:adjustRightInd/>
      <w:spacing w:after="120"/>
    </w:pPr>
  </w:style>
  <w:style w:type="paragraph" w:customStyle="1" w:styleId="Level1">
    <w:name w:val="Level 1"/>
    <w:rsid w:val="003D0646"/>
    <w:pPr>
      <w:autoSpaceDE w:val="0"/>
      <w:autoSpaceDN w:val="0"/>
      <w:adjustRightInd w:val="0"/>
      <w:ind w:left="720"/>
    </w:pPr>
  </w:style>
  <w:style w:type="paragraph" w:styleId="BalloonText">
    <w:name w:val="Balloon Text"/>
    <w:basedOn w:val="Normal"/>
    <w:link w:val="BalloonTextChar"/>
    <w:uiPriority w:val="99"/>
    <w:semiHidden/>
    <w:unhideWhenUsed/>
    <w:rsid w:val="00317BD2"/>
    <w:rPr>
      <w:rFonts w:ascii="Tahoma" w:hAnsi="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Cs w:val="20"/>
    </w:rPr>
  </w:style>
  <w:style w:type="paragraph" w:styleId="TOC3">
    <w:name w:val="toc 3"/>
    <w:basedOn w:val="Normal"/>
    <w:next w:val="Normal"/>
    <w:autoRedefine/>
    <w:uiPriority w:val="39"/>
    <w:unhideWhenUsed/>
    <w:rsid w:val="00BB3586"/>
    <w:pPr>
      <w:spacing w:after="100"/>
      <w:ind w:left="400"/>
    </w:pPr>
  </w:style>
  <w:style w:type="character" w:styleId="FollowedHyperlink">
    <w:name w:val="FollowedHyperlink"/>
    <w:basedOn w:val="DefaultParagraphFont"/>
    <w:uiPriority w:val="99"/>
    <w:semiHidden/>
    <w:unhideWhenUsed/>
    <w:rsid w:val="004D5817"/>
    <w:rPr>
      <w:color w:val="800080" w:themeColor="followedHyperlink"/>
      <w:u w:val="single"/>
    </w:rPr>
  </w:style>
  <w:style w:type="paragraph" w:styleId="NormalWeb">
    <w:name w:val="Normal (Web)"/>
    <w:basedOn w:val="Normal"/>
    <w:unhideWhenUsed/>
    <w:rsid w:val="00615D4E"/>
    <w:pPr>
      <w:widowControl/>
      <w:autoSpaceDE/>
      <w:autoSpaceDN/>
      <w:adjustRightInd/>
      <w:spacing w:before="100" w:beforeAutospacing="1" w:after="100" w:afterAutospacing="1"/>
    </w:pPr>
  </w:style>
  <w:style w:type="character" w:customStyle="1" w:styleId="Heading2Char">
    <w:name w:val="Heading 2 Char"/>
    <w:basedOn w:val="DefaultParagraphFont"/>
    <w:link w:val="Heading2"/>
    <w:uiPriority w:val="9"/>
    <w:rsid w:val="00AB5FE9"/>
    <w:rPr>
      <w:b/>
      <w:sz w:val="24"/>
      <w:szCs w:val="28"/>
    </w:rPr>
  </w:style>
  <w:style w:type="paragraph" w:styleId="Revision">
    <w:name w:val="Revision"/>
    <w:hidden/>
    <w:uiPriority w:val="99"/>
    <w:semiHidden/>
    <w:rsid w:val="009431B8"/>
  </w:style>
  <w:style w:type="paragraph" w:styleId="PlainText">
    <w:name w:val="Plain Text"/>
    <w:basedOn w:val="Normal"/>
    <w:link w:val="PlainTextChar"/>
    <w:semiHidden/>
    <w:rsid w:val="00A361DA"/>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semiHidden/>
    <w:rsid w:val="00A361DA"/>
    <w:rPr>
      <w:rFonts w:ascii="Consolas" w:eastAsia="SimSun" w:hAnsi="Consolas"/>
      <w:sz w:val="21"/>
      <w:szCs w:val="21"/>
      <w:lang w:val="nl-NL" w:eastAsia="zh-CN" w:bidi="en-US"/>
    </w:rPr>
  </w:style>
  <w:style w:type="character" w:styleId="Emphasis">
    <w:name w:val="Emphasis"/>
    <w:basedOn w:val="DefaultParagraphFont"/>
    <w:qFormat/>
    <w:rsid w:val="00A361DA"/>
    <w:rPr>
      <w:rFonts w:cs="Times New Roman"/>
      <w:i/>
      <w:iCs/>
    </w:rPr>
  </w:style>
  <w:style w:type="paragraph" w:customStyle="1" w:styleId="References">
    <w:name w:val="References"/>
    <w:basedOn w:val="Normal"/>
    <w:rsid w:val="00A361DA"/>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A361DA"/>
    <w:rPr>
      <w:rFonts w:cs="Times New Roman"/>
    </w:rPr>
  </w:style>
  <w:style w:type="paragraph" w:customStyle="1" w:styleId="Reference">
    <w:name w:val="Reference"/>
    <w:basedOn w:val="Normal"/>
    <w:rsid w:val="00A361DA"/>
    <w:pPr>
      <w:widowControl/>
      <w:autoSpaceDE/>
      <w:autoSpaceDN/>
      <w:adjustRightInd/>
      <w:spacing w:line="480" w:lineRule="auto"/>
      <w:ind w:left="720" w:hanging="720"/>
    </w:pPr>
    <w:rPr>
      <w:lang w:eastAsia="ja-JP" w:bidi="en-US"/>
    </w:rPr>
  </w:style>
  <w:style w:type="character" w:styleId="PlaceholderText">
    <w:name w:val="Placeholder Text"/>
    <w:basedOn w:val="DefaultParagraphFont"/>
    <w:uiPriority w:val="99"/>
    <w:semiHidden/>
    <w:rsid w:val="007472B1"/>
    <w:rPr>
      <w:color w:val="808080"/>
    </w:rPr>
  </w:style>
  <w:style w:type="paragraph" w:customStyle="1" w:styleId="MTDisplayEquation">
    <w:name w:val="MTDisplayEquation"/>
    <w:basedOn w:val="Normal"/>
    <w:next w:val="Normal"/>
    <w:rsid w:val="003F7821"/>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semiHidden/>
    <w:unhideWhenUsed/>
    <w:rsid w:val="00401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Cs w:val="20"/>
    </w:rPr>
  </w:style>
  <w:style w:type="character" w:customStyle="1" w:styleId="HTMLPreformattedChar">
    <w:name w:val="HTML Preformatted Char"/>
    <w:basedOn w:val="DefaultParagraphFont"/>
    <w:link w:val="HTMLPreformatted"/>
    <w:uiPriority w:val="99"/>
    <w:semiHidden/>
    <w:rsid w:val="004019D9"/>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8013B"/>
    <w:pPr>
      <w:widowControl w:val="0"/>
      <w:autoSpaceDE w:val="0"/>
      <w:autoSpaceDN w:val="0"/>
      <w:adjustRightInd w:val="0"/>
    </w:pPr>
  </w:style>
  <w:style w:type="paragraph" w:styleId="Heading1">
    <w:name w:val="heading 1"/>
    <w:basedOn w:val="Normal"/>
    <w:next w:val="Normal"/>
    <w:qFormat/>
    <w:rsid w:val="00A87B48"/>
    <w:pPr>
      <w:keepNext/>
      <w:outlineLvl w:val="0"/>
    </w:pPr>
    <w:rPr>
      <w:b/>
      <w:bCs/>
      <w:sz w:val="28"/>
    </w:rPr>
  </w:style>
  <w:style w:type="paragraph" w:styleId="Heading2">
    <w:name w:val="heading 2"/>
    <w:basedOn w:val="Normal"/>
    <w:next w:val="Normal"/>
    <w:link w:val="Heading2Char"/>
    <w:uiPriority w:val="9"/>
    <w:qFormat/>
    <w:rsid w:val="00A87B48"/>
    <w:pPr>
      <w:keepNext/>
      <w:spacing w:before="240" w:after="60"/>
      <w:outlineLvl w:val="1"/>
    </w:pPr>
    <w:rPr>
      <w:b/>
      <w:szCs w:val="28"/>
    </w:rPr>
  </w:style>
  <w:style w:type="paragraph" w:styleId="Heading3">
    <w:name w:val="heading 3"/>
    <w:basedOn w:val="Heading2"/>
    <w:next w:val="Normal"/>
    <w:qFormat/>
    <w:rsid w:val="00BB3586"/>
    <w:pPr>
      <w:ind w:left="720"/>
      <w:outlineLvl w:val="2"/>
    </w:pPr>
    <w:rPr>
      <w:szCs w:val="26"/>
    </w:rPr>
  </w:style>
  <w:style w:type="paragraph" w:styleId="Heading4">
    <w:name w:val="heading 4"/>
    <w:basedOn w:val="Heading3"/>
    <w:next w:val="Normal"/>
    <w:qFormat/>
    <w:rsid w:val="00BB3586"/>
    <w:pPr>
      <w:widowControl/>
      <w:tabs>
        <w:tab w:val="num" w:pos="864"/>
      </w:tabs>
      <w:autoSpaceDE/>
      <w:autoSpaceDN/>
      <w:adjustRightInd/>
      <w:ind w:left="1728" w:hanging="864"/>
      <w:outlineLvl w:val="3"/>
    </w:pPr>
    <w:rPr>
      <w:bCs/>
      <w:szCs w:val="28"/>
    </w:rPr>
  </w:style>
  <w:style w:type="paragraph" w:styleId="Heading5">
    <w:name w:val="heading 5"/>
    <w:basedOn w:val="Normal"/>
    <w:next w:val="Normal"/>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qFormat/>
    <w:rsid w:val="003D0646"/>
    <w:pPr>
      <w:widowControl/>
      <w:tabs>
        <w:tab w:val="num" w:pos="1296"/>
      </w:tabs>
      <w:autoSpaceDE/>
      <w:autoSpaceDN/>
      <w:adjustRightInd/>
      <w:spacing w:before="240" w:after="60"/>
      <w:ind w:left="1296" w:hanging="1296"/>
      <w:outlineLvl w:val="6"/>
    </w:pPr>
  </w:style>
  <w:style w:type="paragraph" w:styleId="Heading8">
    <w:name w:val="heading 8"/>
    <w:basedOn w:val="Normal"/>
    <w:next w:val="Normal"/>
    <w:qFormat/>
    <w:rsid w:val="003D0646"/>
    <w:pPr>
      <w:widowControl/>
      <w:tabs>
        <w:tab w:val="num" w:pos="1440"/>
      </w:tabs>
      <w:autoSpaceDE/>
      <w:autoSpaceDN/>
      <w:adjustRightInd/>
      <w:spacing w:before="240" w:after="60"/>
      <w:ind w:left="1440" w:hanging="1440"/>
      <w:outlineLvl w:val="7"/>
    </w:pPr>
    <w:rPr>
      <w:i/>
      <w:iCs/>
    </w:rPr>
  </w:style>
  <w:style w:type="paragraph" w:styleId="Heading9">
    <w:name w:val="heading 9"/>
    <w:basedOn w:val="Normal"/>
    <w:next w:val="Normal"/>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rsid w:val="0058013B"/>
    <w:pPr>
      <w:ind w:left="720"/>
    </w:pPr>
    <w:rPr>
      <w:rFonts w:ascii="Baskerville Old Face" w:hAnsi="Baskerville Old Face"/>
    </w:rPr>
  </w:style>
  <w:style w:type="table" w:styleId="TableGrid">
    <w:name w:val="Table Grid"/>
    <w:basedOn w:val="TableNormal"/>
    <w:uiPriority w:val="59"/>
    <w:rsid w:val="0058013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1844A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style>
  <w:style w:type="paragraph" w:styleId="Footer">
    <w:name w:val="footer"/>
    <w:basedOn w:val="Normal"/>
    <w:rsid w:val="003D0646"/>
    <w:pPr>
      <w:widowControl/>
      <w:tabs>
        <w:tab w:val="center" w:pos="4320"/>
        <w:tab w:val="right" w:pos="8640"/>
      </w:tabs>
      <w:autoSpaceDE/>
      <w:autoSpaceDN/>
      <w:adjustRightInd/>
    </w:pPr>
  </w:style>
  <w:style w:type="character" w:styleId="PageNumber">
    <w:name w:val="page number"/>
    <w:basedOn w:val="DefaultParagraphFont"/>
    <w:rsid w:val="003D0646"/>
  </w:style>
  <w:style w:type="paragraph" w:styleId="Header">
    <w:name w:val="header"/>
    <w:basedOn w:val="Normal"/>
    <w:rsid w:val="003D0646"/>
    <w:pPr>
      <w:widowControl/>
      <w:tabs>
        <w:tab w:val="center" w:pos="4320"/>
        <w:tab w:val="right" w:pos="8640"/>
      </w:tabs>
      <w:autoSpaceDE/>
      <w:autoSpaceDN/>
      <w:adjustRightInd/>
    </w:pPr>
  </w:style>
  <w:style w:type="paragraph" w:styleId="ListBullet">
    <w:name w:val="List Bullet"/>
    <w:basedOn w:val="Normal"/>
    <w:rsid w:val="003D0646"/>
    <w:pPr>
      <w:widowControl/>
      <w:numPr>
        <w:numId w:val="20"/>
      </w:numPr>
      <w:autoSpaceDE/>
      <w:autoSpaceDN/>
      <w:adjustRightInd/>
    </w:pPr>
  </w:style>
  <w:style w:type="paragraph" w:customStyle="1" w:styleId="Style1">
    <w:name w:val="Style 1"/>
    <w:basedOn w:val="Normal"/>
    <w:rsid w:val="003D0646"/>
    <w:pPr>
      <w:adjustRightInd/>
      <w:jc w:val="both"/>
    </w:pPr>
    <w:rPr>
      <w:lang w:eastAsia="en-GB"/>
    </w:rPr>
  </w:style>
  <w:style w:type="paragraph" w:styleId="BodyTextIndent3">
    <w:name w:val="Body Text Indent 3"/>
    <w:basedOn w:val="Normal"/>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Cs w:val="20"/>
    </w:rPr>
  </w:style>
  <w:style w:type="paragraph" w:styleId="BodyText">
    <w:name w:val="Body Text"/>
    <w:basedOn w:val="Normal"/>
    <w:rsid w:val="003D0646"/>
    <w:pPr>
      <w:widowControl/>
      <w:autoSpaceDE/>
      <w:autoSpaceDN/>
      <w:adjustRightInd/>
      <w:spacing w:after="120"/>
    </w:pPr>
  </w:style>
  <w:style w:type="paragraph" w:customStyle="1" w:styleId="Level1">
    <w:name w:val="Level 1"/>
    <w:rsid w:val="003D0646"/>
    <w:pPr>
      <w:autoSpaceDE w:val="0"/>
      <w:autoSpaceDN w:val="0"/>
      <w:adjustRightInd w:val="0"/>
      <w:ind w:left="720"/>
    </w:pPr>
  </w:style>
  <w:style w:type="paragraph" w:styleId="BalloonText">
    <w:name w:val="Balloon Text"/>
    <w:basedOn w:val="Normal"/>
    <w:link w:val="BalloonTextChar"/>
    <w:uiPriority w:val="99"/>
    <w:semiHidden/>
    <w:unhideWhenUsed/>
    <w:rsid w:val="00317BD2"/>
    <w:rPr>
      <w:rFonts w:ascii="Tahoma" w:hAnsi="Tahoma"/>
      <w:sz w:val="16"/>
      <w:szCs w:val="16"/>
    </w:rPr>
  </w:style>
  <w:style w:type="character" w:customStyle="1" w:styleId="BalloonTextChar">
    <w:name w:val="Balloon Text Char"/>
    <w:link w:val="BalloonText"/>
    <w:uiPriority w:val="99"/>
    <w:semiHidden/>
    <w:rsid w:val="00317BD2"/>
    <w:rPr>
      <w:rFonts w:ascii="Tahoma" w:hAnsi="Tahoma" w:cs="Tahoma"/>
      <w:sz w:val="16"/>
      <w:szCs w:val="16"/>
    </w:rPr>
  </w:style>
  <w:style w:type="character" w:styleId="CommentReference">
    <w:name w:val="annotation reference"/>
    <w:uiPriority w:val="99"/>
    <w:semiHidden/>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semiHidden/>
    <w:unhideWhenUsed/>
    <w:rsid w:val="005C22A4"/>
    <w:rPr>
      <w:b/>
      <w:bCs/>
    </w:rPr>
  </w:style>
  <w:style w:type="character" w:customStyle="1" w:styleId="CommentSubjectChar">
    <w:name w:val="Comment Subject Char"/>
    <w:link w:val="CommentSubject"/>
    <w:uiPriority w:val="99"/>
    <w:semiHidden/>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Cs w:val="20"/>
    </w:rPr>
  </w:style>
  <w:style w:type="paragraph" w:styleId="TOC3">
    <w:name w:val="toc 3"/>
    <w:basedOn w:val="Normal"/>
    <w:next w:val="Normal"/>
    <w:autoRedefine/>
    <w:uiPriority w:val="39"/>
    <w:unhideWhenUsed/>
    <w:rsid w:val="00BB3586"/>
    <w:pPr>
      <w:spacing w:after="100"/>
      <w:ind w:left="400"/>
    </w:pPr>
  </w:style>
  <w:style w:type="character" w:styleId="FollowedHyperlink">
    <w:name w:val="FollowedHyperlink"/>
    <w:basedOn w:val="DefaultParagraphFont"/>
    <w:uiPriority w:val="99"/>
    <w:semiHidden/>
    <w:unhideWhenUsed/>
    <w:rsid w:val="004D5817"/>
    <w:rPr>
      <w:color w:val="800080" w:themeColor="followedHyperlink"/>
      <w:u w:val="single"/>
    </w:rPr>
  </w:style>
  <w:style w:type="paragraph" w:styleId="NormalWeb">
    <w:name w:val="Normal (Web)"/>
    <w:basedOn w:val="Normal"/>
    <w:unhideWhenUsed/>
    <w:rsid w:val="00615D4E"/>
    <w:pPr>
      <w:widowControl/>
      <w:autoSpaceDE/>
      <w:autoSpaceDN/>
      <w:adjustRightInd/>
      <w:spacing w:before="100" w:beforeAutospacing="1" w:after="100" w:afterAutospacing="1"/>
    </w:pPr>
  </w:style>
  <w:style w:type="character" w:customStyle="1" w:styleId="Heading2Char">
    <w:name w:val="Heading 2 Char"/>
    <w:basedOn w:val="DefaultParagraphFont"/>
    <w:link w:val="Heading2"/>
    <w:uiPriority w:val="9"/>
    <w:rsid w:val="00AB5FE9"/>
    <w:rPr>
      <w:b/>
      <w:sz w:val="24"/>
      <w:szCs w:val="28"/>
    </w:rPr>
  </w:style>
  <w:style w:type="paragraph" w:styleId="Revision">
    <w:name w:val="Revision"/>
    <w:hidden/>
    <w:uiPriority w:val="99"/>
    <w:semiHidden/>
    <w:rsid w:val="009431B8"/>
  </w:style>
  <w:style w:type="paragraph" w:styleId="PlainText">
    <w:name w:val="Plain Text"/>
    <w:basedOn w:val="Normal"/>
    <w:link w:val="PlainTextChar"/>
    <w:semiHidden/>
    <w:rsid w:val="00A361DA"/>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semiHidden/>
    <w:rsid w:val="00A361DA"/>
    <w:rPr>
      <w:rFonts w:ascii="Consolas" w:eastAsia="SimSun" w:hAnsi="Consolas"/>
      <w:sz w:val="21"/>
      <w:szCs w:val="21"/>
      <w:lang w:val="nl-NL" w:eastAsia="zh-CN" w:bidi="en-US"/>
    </w:rPr>
  </w:style>
  <w:style w:type="character" w:styleId="Emphasis">
    <w:name w:val="Emphasis"/>
    <w:basedOn w:val="DefaultParagraphFont"/>
    <w:qFormat/>
    <w:rsid w:val="00A361DA"/>
    <w:rPr>
      <w:rFonts w:cs="Times New Roman"/>
      <w:i/>
      <w:iCs/>
    </w:rPr>
  </w:style>
  <w:style w:type="paragraph" w:customStyle="1" w:styleId="References">
    <w:name w:val="References"/>
    <w:basedOn w:val="Normal"/>
    <w:rsid w:val="00A361DA"/>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A361DA"/>
    <w:rPr>
      <w:rFonts w:cs="Times New Roman"/>
    </w:rPr>
  </w:style>
  <w:style w:type="paragraph" w:customStyle="1" w:styleId="Reference">
    <w:name w:val="Reference"/>
    <w:basedOn w:val="Normal"/>
    <w:rsid w:val="00A361DA"/>
    <w:pPr>
      <w:widowControl/>
      <w:autoSpaceDE/>
      <w:autoSpaceDN/>
      <w:adjustRightInd/>
      <w:spacing w:line="480" w:lineRule="auto"/>
      <w:ind w:left="720" w:hanging="720"/>
    </w:pPr>
    <w:rPr>
      <w:lang w:eastAsia="ja-JP" w:bidi="en-US"/>
    </w:rPr>
  </w:style>
  <w:style w:type="character" w:styleId="PlaceholderText">
    <w:name w:val="Placeholder Text"/>
    <w:basedOn w:val="DefaultParagraphFont"/>
    <w:uiPriority w:val="99"/>
    <w:semiHidden/>
    <w:rsid w:val="007472B1"/>
    <w:rPr>
      <w:color w:val="808080"/>
    </w:rPr>
  </w:style>
  <w:style w:type="paragraph" w:customStyle="1" w:styleId="MTDisplayEquation">
    <w:name w:val="MTDisplayEquation"/>
    <w:basedOn w:val="Normal"/>
    <w:next w:val="Normal"/>
    <w:rsid w:val="003F7821"/>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semiHidden/>
    <w:unhideWhenUsed/>
    <w:rsid w:val="00401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Cs w:val="20"/>
    </w:rPr>
  </w:style>
  <w:style w:type="character" w:customStyle="1" w:styleId="HTMLPreformattedChar">
    <w:name w:val="HTML Preformatted Char"/>
    <w:basedOn w:val="DefaultParagraphFont"/>
    <w:link w:val="HTMLPreformatted"/>
    <w:uiPriority w:val="99"/>
    <w:semiHidden/>
    <w:rsid w:val="004019D9"/>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2028">
      <w:bodyDiv w:val="1"/>
      <w:marLeft w:val="0"/>
      <w:marRight w:val="0"/>
      <w:marTop w:val="0"/>
      <w:marBottom w:val="0"/>
      <w:divBdr>
        <w:top w:val="none" w:sz="0" w:space="0" w:color="auto"/>
        <w:left w:val="none" w:sz="0" w:space="0" w:color="auto"/>
        <w:bottom w:val="none" w:sz="0" w:space="0" w:color="auto"/>
        <w:right w:val="none" w:sz="0" w:space="0" w:color="auto"/>
      </w:divBdr>
    </w:div>
    <w:div w:id="881283893">
      <w:bodyDiv w:val="1"/>
      <w:marLeft w:val="0"/>
      <w:marRight w:val="0"/>
      <w:marTop w:val="0"/>
      <w:marBottom w:val="0"/>
      <w:divBdr>
        <w:top w:val="none" w:sz="0" w:space="0" w:color="auto"/>
        <w:left w:val="none" w:sz="0" w:space="0" w:color="auto"/>
        <w:bottom w:val="none" w:sz="0" w:space="0" w:color="auto"/>
        <w:right w:val="none" w:sz="0" w:space="0" w:color="auto"/>
      </w:divBdr>
    </w:div>
    <w:div w:id="958801474">
      <w:bodyDiv w:val="1"/>
      <w:marLeft w:val="0"/>
      <w:marRight w:val="0"/>
      <w:marTop w:val="0"/>
      <w:marBottom w:val="0"/>
      <w:divBdr>
        <w:top w:val="none" w:sz="0" w:space="0" w:color="auto"/>
        <w:left w:val="none" w:sz="0" w:space="0" w:color="auto"/>
        <w:bottom w:val="none" w:sz="0" w:space="0" w:color="auto"/>
        <w:right w:val="none" w:sz="0" w:space="0" w:color="auto"/>
      </w:divBdr>
    </w:div>
    <w:div w:id="1571161745">
      <w:bodyDiv w:val="1"/>
      <w:marLeft w:val="0"/>
      <w:marRight w:val="0"/>
      <w:marTop w:val="0"/>
      <w:marBottom w:val="0"/>
      <w:divBdr>
        <w:top w:val="none" w:sz="0" w:space="0" w:color="auto"/>
        <w:left w:val="none" w:sz="0" w:space="0" w:color="auto"/>
        <w:bottom w:val="none" w:sz="0" w:space="0" w:color="auto"/>
        <w:right w:val="none" w:sz="0" w:space="0" w:color="auto"/>
      </w:divBdr>
    </w:div>
    <w:div w:id="1784379232">
      <w:bodyDiv w:val="1"/>
      <w:marLeft w:val="0"/>
      <w:marRight w:val="0"/>
      <w:marTop w:val="0"/>
      <w:marBottom w:val="0"/>
      <w:divBdr>
        <w:top w:val="none" w:sz="0" w:space="0" w:color="auto"/>
        <w:left w:val="none" w:sz="0" w:space="0" w:color="auto"/>
        <w:bottom w:val="none" w:sz="0" w:space="0" w:color="auto"/>
        <w:right w:val="none" w:sz="0" w:space="0" w:color="auto"/>
      </w:divBdr>
    </w:div>
    <w:div w:id="21354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hung@rand.org" TargetMode="External"/><Relationship Id="rId7" Type="http://schemas.openxmlformats.org/officeDocument/2006/relationships/footnotes" Target="footnotes.xml"/><Relationship Id="rId12" Type="http://schemas.openxmlformats.org/officeDocument/2006/relationships/hyperlink" Target="http://www.webtv.com/pc/"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micdata.rand.org/alp/index.php/Panel_Attrition_And_Response_Rates" TargetMode="External"/><Relationship Id="rId24" Type="http://schemas.openxmlformats.org/officeDocument/2006/relationships/hyperlink" Target="http://knowledgenetworks.com/accuracy/spring2010/disogra-spring10.html"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www.sciencedirect.com/science/journal/0049089X" TargetMode="External"/><Relationship Id="rId10" Type="http://schemas.openxmlformats.org/officeDocument/2006/relationships/footer" Target="foot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mailto:Decressin.Anj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6B57-3269-4BE3-8853-47A012C5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11314</Words>
  <Characters>63060</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74226</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Bergstresser, Keith - EBSA</cp:lastModifiedBy>
  <cp:revision>3</cp:revision>
  <cp:lastPrinted>2011-03-07T18:20:00Z</cp:lastPrinted>
  <dcterms:created xsi:type="dcterms:W3CDTF">2012-07-31T17:59:00Z</dcterms:created>
  <dcterms:modified xsi:type="dcterms:W3CDTF">2013-01-23T18:59:00Z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TWinEqns">
    <vt:bool>true</vt:bool>
  </property>
</Properties>
</file>