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B8B9" w14:textId="21B657DB" w:rsidR="006A4C26" w:rsidRPr="00036775" w:rsidRDefault="006A4C26" w:rsidP="00942D12">
      <w:pPr>
        <w:pStyle w:val="NoSpacing"/>
        <w:spacing w:line="276" w:lineRule="auto"/>
        <w:jc w:val="center"/>
        <w:rPr>
          <w:rFonts w:asciiTheme="minorHAnsi" w:hAnsiTheme="minorHAnsi"/>
          <w:b/>
          <w:sz w:val="32"/>
          <w:szCs w:val="32"/>
        </w:rPr>
      </w:pPr>
      <w:r w:rsidRPr="00036775">
        <w:rPr>
          <w:rFonts w:asciiTheme="minorHAnsi" w:hAnsiTheme="minorHAnsi"/>
          <w:b/>
          <w:sz w:val="32"/>
          <w:szCs w:val="32"/>
        </w:rPr>
        <w:t>Supporting Statement A</w:t>
      </w:r>
    </w:p>
    <w:p w14:paraId="5E0B6234" w14:textId="77777777" w:rsidR="000F11A9" w:rsidRPr="00036775" w:rsidRDefault="000F11A9" w:rsidP="001A3579">
      <w:pPr>
        <w:pStyle w:val="NoSpacing"/>
        <w:spacing w:line="276" w:lineRule="auto"/>
        <w:jc w:val="center"/>
        <w:rPr>
          <w:rFonts w:asciiTheme="minorHAnsi" w:hAnsiTheme="minorHAnsi"/>
          <w:b/>
          <w:sz w:val="32"/>
          <w:szCs w:val="32"/>
        </w:rPr>
      </w:pPr>
      <w:r w:rsidRPr="00036775">
        <w:rPr>
          <w:rFonts w:asciiTheme="minorHAnsi" w:hAnsiTheme="minorHAnsi"/>
          <w:b/>
          <w:sz w:val="32"/>
          <w:szCs w:val="32"/>
        </w:rPr>
        <w:t xml:space="preserve">A Survey of Direct Recreational Uses </w:t>
      </w:r>
    </w:p>
    <w:p w14:paraId="75C34C4A" w14:textId="77777777" w:rsidR="00E31FBC" w:rsidRPr="00036775" w:rsidRDefault="000F11A9" w:rsidP="001A3579">
      <w:pPr>
        <w:pStyle w:val="NoSpacing"/>
        <w:spacing w:line="276" w:lineRule="auto"/>
        <w:jc w:val="center"/>
        <w:rPr>
          <w:rFonts w:asciiTheme="minorHAnsi" w:hAnsiTheme="minorHAnsi"/>
          <w:b/>
          <w:sz w:val="32"/>
          <w:szCs w:val="32"/>
        </w:rPr>
      </w:pPr>
      <w:r w:rsidRPr="00036775">
        <w:rPr>
          <w:rFonts w:asciiTheme="minorHAnsi" w:hAnsiTheme="minorHAnsi"/>
          <w:b/>
          <w:sz w:val="32"/>
          <w:szCs w:val="32"/>
        </w:rPr>
        <w:t xml:space="preserve">Along The </w:t>
      </w:r>
      <w:r w:rsidR="00E31FBC" w:rsidRPr="00036775">
        <w:rPr>
          <w:rFonts w:asciiTheme="minorHAnsi" w:hAnsiTheme="minorHAnsi"/>
          <w:b/>
          <w:sz w:val="32"/>
          <w:szCs w:val="32"/>
        </w:rPr>
        <w:t xml:space="preserve">Colorado River </w:t>
      </w:r>
    </w:p>
    <w:p w14:paraId="6052A632" w14:textId="77777777" w:rsidR="006A4C26" w:rsidRPr="00F008DB" w:rsidRDefault="006A4C26" w:rsidP="001A3579">
      <w:pPr>
        <w:pStyle w:val="NoSpacing"/>
        <w:spacing w:line="276" w:lineRule="auto"/>
        <w:jc w:val="center"/>
        <w:rPr>
          <w:rFonts w:asciiTheme="minorHAnsi" w:hAnsiTheme="minorHAnsi"/>
          <w:b/>
          <w:sz w:val="32"/>
          <w:szCs w:val="24"/>
        </w:rPr>
      </w:pPr>
      <w:r w:rsidRPr="00F008DB">
        <w:rPr>
          <w:rFonts w:asciiTheme="minorHAnsi" w:hAnsiTheme="minorHAnsi"/>
          <w:b/>
          <w:sz w:val="32"/>
          <w:szCs w:val="24"/>
        </w:rPr>
        <w:t xml:space="preserve">OMB Control Number </w:t>
      </w:r>
      <w:r w:rsidR="00E31FBC" w:rsidRPr="00F008DB">
        <w:rPr>
          <w:rFonts w:asciiTheme="minorHAnsi" w:hAnsiTheme="minorHAnsi"/>
          <w:b/>
          <w:sz w:val="32"/>
          <w:szCs w:val="24"/>
        </w:rPr>
        <w:t>1024</w:t>
      </w:r>
      <w:r w:rsidRPr="00F008DB">
        <w:rPr>
          <w:rFonts w:asciiTheme="minorHAnsi" w:hAnsiTheme="minorHAnsi"/>
          <w:b/>
          <w:sz w:val="32"/>
          <w:szCs w:val="24"/>
        </w:rPr>
        <w:t>-</w:t>
      </w:r>
      <w:r w:rsidR="00E31FBC" w:rsidRPr="00F008DB">
        <w:rPr>
          <w:rFonts w:asciiTheme="minorHAnsi" w:hAnsiTheme="minorHAnsi"/>
          <w:b/>
          <w:sz w:val="32"/>
          <w:szCs w:val="24"/>
        </w:rPr>
        <w:t>NEW</w:t>
      </w:r>
    </w:p>
    <w:p w14:paraId="5DBEBAFB" w14:textId="77777777" w:rsidR="0097517D" w:rsidRPr="00036775" w:rsidRDefault="0097517D" w:rsidP="001A3579">
      <w:pPr>
        <w:pStyle w:val="NoSpacing"/>
        <w:spacing w:line="276" w:lineRule="auto"/>
        <w:rPr>
          <w:rFonts w:asciiTheme="minorHAnsi" w:hAnsiTheme="minorHAnsi"/>
        </w:rPr>
      </w:pPr>
    </w:p>
    <w:p w14:paraId="791821D2" w14:textId="77777777" w:rsidR="006A4C26" w:rsidRPr="00036775" w:rsidRDefault="006A4C26" w:rsidP="001A3579">
      <w:pPr>
        <w:pStyle w:val="NoSpacing"/>
        <w:spacing w:line="276" w:lineRule="auto"/>
        <w:rPr>
          <w:rFonts w:asciiTheme="minorHAnsi" w:hAnsiTheme="minorHAnsi"/>
        </w:rPr>
      </w:pPr>
      <w:r w:rsidRPr="00036775">
        <w:rPr>
          <w:rFonts w:asciiTheme="minorHAnsi" w:hAnsiTheme="minorHAnsi"/>
          <w:b/>
        </w:rPr>
        <w:t>Terms of Clearance</w:t>
      </w:r>
      <w:r w:rsidRPr="00036775">
        <w:rPr>
          <w:rFonts w:asciiTheme="minorHAnsi" w:hAnsiTheme="minorHAnsi"/>
        </w:rPr>
        <w:t>.  None.  This is a new collection.</w:t>
      </w:r>
    </w:p>
    <w:p w14:paraId="2DD6720C" w14:textId="77777777" w:rsidR="007B5129" w:rsidRPr="00036775" w:rsidRDefault="007B5129" w:rsidP="001A3579">
      <w:pPr>
        <w:pStyle w:val="NoSpacing"/>
        <w:spacing w:line="276" w:lineRule="auto"/>
        <w:rPr>
          <w:rFonts w:asciiTheme="minorHAnsi" w:hAnsiTheme="minorHAnsi"/>
        </w:rPr>
      </w:pPr>
    </w:p>
    <w:p w14:paraId="16E1FA79" w14:textId="77777777" w:rsidR="00E31FBC" w:rsidRPr="00036775" w:rsidRDefault="00E31FBC" w:rsidP="001A3579">
      <w:pPr>
        <w:pStyle w:val="NoSpacing"/>
        <w:spacing w:line="276" w:lineRule="auto"/>
        <w:rPr>
          <w:rFonts w:asciiTheme="minorHAnsi" w:hAnsiTheme="minorHAnsi"/>
          <w:b/>
        </w:rPr>
      </w:pPr>
      <w:r w:rsidRPr="00036775">
        <w:rPr>
          <w:rFonts w:asciiTheme="minorHAnsi" w:hAnsiTheme="minorHAnsi"/>
          <w:b/>
        </w:rPr>
        <w:t xml:space="preserve">General Instructions </w:t>
      </w:r>
    </w:p>
    <w:p w14:paraId="7652ABB3" w14:textId="77777777" w:rsidR="007B5129" w:rsidRPr="00036775" w:rsidRDefault="007B5129" w:rsidP="001A3579">
      <w:pPr>
        <w:pStyle w:val="NoSpacing"/>
        <w:spacing w:line="276" w:lineRule="auto"/>
        <w:rPr>
          <w:rFonts w:asciiTheme="minorHAnsi" w:hAnsiTheme="minorHAnsi"/>
        </w:rPr>
      </w:pPr>
    </w:p>
    <w:p w14:paraId="5C91F7A0" w14:textId="77777777" w:rsidR="00E31FBC" w:rsidRPr="00036775" w:rsidRDefault="00E31FBC" w:rsidP="0097517D">
      <w:pPr>
        <w:pStyle w:val="NoSpacing"/>
        <w:pBdr>
          <w:bottom w:val="single" w:sz="4" w:space="1" w:color="auto"/>
        </w:pBdr>
        <w:spacing w:line="276" w:lineRule="auto"/>
        <w:rPr>
          <w:rFonts w:asciiTheme="minorHAnsi" w:hAnsiTheme="minorHAnsi"/>
          <w:b/>
        </w:rPr>
      </w:pPr>
      <w:r w:rsidRPr="00036775">
        <w:rPr>
          <w:rFonts w:asciiTheme="minorHAnsi" w:hAnsiTheme="minorHAnsi"/>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6D589DE" w14:textId="77777777" w:rsidR="0097517D" w:rsidRPr="00036775" w:rsidRDefault="0097517D" w:rsidP="0097517D">
      <w:pPr>
        <w:pStyle w:val="NoSpacing"/>
        <w:spacing w:line="276" w:lineRule="auto"/>
        <w:rPr>
          <w:rFonts w:asciiTheme="minorHAnsi" w:hAnsiTheme="minorHAnsi"/>
          <w:b/>
        </w:rPr>
      </w:pPr>
    </w:p>
    <w:p w14:paraId="2916F433" w14:textId="77777777" w:rsidR="00E31FBC" w:rsidRPr="00036775" w:rsidRDefault="00E31FBC" w:rsidP="0097517D">
      <w:pPr>
        <w:pStyle w:val="NoSpacing"/>
        <w:spacing w:line="276" w:lineRule="auto"/>
        <w:rPr>
          <w:rFonts w:asciiTheme="minorHAnsi" w:hAnsiTheme="minorHAnsi"/>
          <w:b/>
          <w:sz w:val="24"/>
        </w:rPr>
      </w:pPr>
      <w:r w:rsidRPr="00036775">
        <w:rPr>
          <w:rFonts w:asciiTheme="minorHAnsi" w:hAnsiTheme="minorHAnsi"/>
          <w:b/>
          <w:sz w:val="24"/>
        </w:rPr>
        <w:t>Specific Instructions</w:t>
      </w:r>
    </w:p>
    <w:p w14:paraId="70A3073D" w14:textId="77777777" w:rsidR="00E31FBC" w:rsidRPr="00036775" w:rsidRDefault="00E31FBC" w:rsidP="001A3579">
      <w:pPr>
        <w:pStyle w:val="NoSpacing"/>
        <w:spacing w:line="276" w:lineRule="auto"/>
        <w:rPr>
          <w:rFonts w:asciiTheme="minorHAnsi" w:hAnsiTheme="minorHAnsi"/>
        </w:rPr>
      </w:pPr>
    </w:p>
    <w:p w14:paraId="3959B0A3" w14:textId="77777777" w:rsidR="00532CDE" w:rsidRPr="00036775" w:rsidRDefault="00532CDE" w:rsidP="001A3579">
      <w:pPr>
        <w:pStyle w:val="NoSpacing"/>
        <w:spacing w:line="276" w:lineRule="auto"/>
        <w:rPr>
          <w:rFonts w:asciiTheme="minorHAnsi" w:hAnsiTheme="minorHAnsi"/>
          <w:b/>
        </w:rPr>
      </w:pPr>
      <w:r w:rsidRPr="00036775">
        <w:rPr>
          <w:rFonts w:asciiTheme="minorHAnsi" w:hAnsiTheme="minorHAnsi"/>
          <w:b/>
        </w:rPr>
        <w:t>Justification</w:t>
      </w:r>
    </w:p>
    <w:p w14:paraId="40DA3242" w14:textId="77777777" w:rsidR="006A4C26" w:rsidRPr="00036775" w:rsidRDefault="006A4C26" w:rsidP="001A3579">
      <w:pPr>
        <w:pStyle w:val="NoSpacing"/>
        <w:spacing w:line="276" w:lineRule="auto"/>
        <w:rPr>
          <w:rFonts w:asciiTheme="minorHAnsi" w:hAnsiTheme="minorHAnsi"/>
        </w:rPr>
      </w:pPr>
    </w:p>
    <w:p w14:paraId="0DC6EE0A" w14:textId="77777777" w:rsidR="00E31FBC" w:rsidRPr="00036775" w:rsidRDefault="00E31FBC" w:rsidP="001A3579">
      <w:pPr>
        <w:pStyle w:val="NoSpacing"/>
        <w:numPr>
          <w:ilvl w:val="0"/>
          <w:numId w:val="20"/>
        </w:numPr>
        <w:spacing w:line="276" w:lineRule="auto"/>
        <w:ind w:left="360"/>
        <w:rPr>
          <w:rFonts w:asciiTheme="minorHAnsi" w:hAnsiTheme="minorHAnsi"/>
          <w:b/>
        </w:rPr>
      </w:pPr>
      <w:r w:rsidRPr="00036775">
        <w:rPr>
          <w:rFonts w:asciiTheme="minorHAnsi" w:hAnsiTheme="minorHAnsi"/>
          <w:b/>
        </w:rPr>
        <w:t>Explain the circumstances that make the collection of information necessary.  Identify any legal or administrative requirements that necessitate the collection.</w:t>
      </w:r>
    </w:p>
    <w:p w14:paraId="23A6A3DE" w14:textId="77777777" w:rsidR="00C1055A" w:rsidRPr="00036775" w:rsidRDefault="00C1055A" w:rsidP="001A3579">
      <w:pPr>
        <w:pStyle w:val="NoSpacing"/>
        <w:spacing w:line="276" w:lineRule="auto"/>
        <w:rPr>
          <w:rFonts w:asciiTheme="minorHAnsi" w:hAnsiTheme="minorHAnsi"/>
        </w:rPr>
      </w:pPr>
    </w:p>
    <w:p w14:paraId="4AE931E5" w14:textId="77777777" w:rsidR="00E331A6" w:rsidRDefault="004C7564" w:rsidP="00BF33B4">
      <w:pPr>
        <w:pStyle w:val="NoSpacing"/>
        <w:spacing w:line="360" w:lineRule="auto"/>
        <w:rPr>
          <w:rFonts w:asciiTheme="minorHAnsi" w:hAnsiTheme="minorHAnsi"/>
        </w:rPr>
      </w:pPr>
      <w:r w:rsidRPr="00036775">
        <w:rPr>
          <w:rFonts w:asciiTheme="minorHAnsi" w:hAnsiTheme="minorHAnsi"/>
        </w:rPr>
        <w:t xml:space="preserve">The National Park Service (NPS) and the </w:t>
      </w:r>
      <w:r w:rsidR="009F71B1" w:rsidRPr="00036775">
        <w:rPr>
          <w:rFonts w:asciiTheme="minorHAnsi" w:hAnsiTheme="minorHAnsi"/>
        </w:rPr>
        <w:t xml:space="preserve">U.S. Geological Survey’s Grand Canyon Monitoring and Research Center </w:t>
      </w:r>
      <w:r w:rsidR="00A40F34" w:rsidRPr="00036775">
        <w:rPr>
          <w:rFonts w:asciiTheme="minorHAnsi" w:hAnsiTheme="minorHAnsi"/>
        </w:rPr>
        <w:t>requested</w:t>
      </w:r>
      <w:r w:rsidR="006E4625" w:rsidRPr="00036775">
        <w:rPr>
          <w:rFonts w:asciiTheme="minorHAnsi" w:hAnsiTheme="minorHAnsi"/>
        </w:rPr>
        <w:t xml:space="preserve"> </w:t>
      </w:r>
      <w:r w:rsidR="009240D4" w:rsidRPr="00036775">
        <w:rPr>
          <w:rFonts w:asciiTheme="minorHAnsi" w:hAnsiTheme="minorHAnsi"/>
        </w:rPr>
        <w:t xml:space="preserve">the University of Montana </w:t>
      </w:r>
      <w:r w:rsidR="006E4625" w:rsidRPr="00036775">
        <w:rPr>
          <w:rFonts w:asciiTheme="minorHAnsi" w:hAnsiTheme="minorHAnsi"/>
        </w:rPr>
        <w:t>to conduct</w:t>
      </w:r>
      <w:r w:rsidR="009F71B1" w:rsidRPr="00036775">
        <w:rPr>
          <w:rFonts w:asciiTheme="minorHAnsi" w:hAnsiTheme="minorHAnsi"/>
        </w:rPr>
        <w:t xml:space="preserve"> this</w:t>
      </w:r>
      <w:r w:rsidR="00A40F34" w:rsidRPr="00036775">
        <w:rPr>
          <w:rFonts w:asciiTheme="minorHAnsi" w:hAnsiTheme="minorHAnsi"/>
        </w:rPr>
        <w:t xml:space="preserve"> study to understand the social and economic impact</w:t>
      </w:r>
      <w:r w:rsidR="000E10A0" w:rsidRPr="00036775">
        <w:rPr>
          <w:rFonts w:asciiTheme="minorHAnsi" w:hAnsiTheme="minorHAnsi"/>
        </w:rPr>
        <w:t>s</w:t>
      </w:r>
      <w:r w:rsidR="00A40F34" w:rsidRPr="00036775">
        <w:rPr>
          <w:rFonts w:asciiTheme="minorHAnsi" w:hAnsiTheme="minorHAnsi"/>
        </w:rPr>
        <w:t xml:space="preserve"> of water levels </w:t>
      </w:r>
      <w:r w:rsidR="00D946F6" w:rsidRPr="00036775">
        <w:rPr>
          <w:rFonts w:asciiTheme="minorHAnsi" w:hAnsiTheme="minorHAnsi"/>
        </w:rPr>
        <w:t>on</w:t>
      </w:r>
      <w:r w:rsidR="00A40F34" w:rsidRPr="00036775">
        <w:rPr>
          <w:rFonts w:asciiTheme="minorHAnsi" w:hAnsiTheme="minorHAnsi"/>
        </w:rPr>
        <w:t xml:space="preserve"> recreation uses </w:t>
      </w:r>
      <w:r w:rsidR="00D946F6" w:rsidRPr="00036775">
        <w:rPr>
          <w:rFonts w:asciiTheme="minorHAnsi" w:hAnsiTheme="minorHAnsi"/>
        </w:rPr>
        <w:t>of the</w:t>
      </w:r>
      <w:r w:rsidR="00A40F34" w:rsidRPr="00036775">
        <w:rPr>
          <w:rFonts w:asciiTheme="minorHAnsi" w:hAnsiTheme="minorHAnsi"/>
        </w:rPr>
        <w:t xml:space="preserve"> Colorado River, specifically</w:t>
      </w:r>
      <w:r w:rsidR="000E10A0" w:rsidRPr="00036775">
        <w:rPr>
          <w:rFonts w:asciiTheme="minorHAnsi" w:hAnsiTheme="minorHAnsi"/>
        </w:rPr>
        <w:t xml:space="preserve"> the areas</w:t>
      </w:r>
      <w:r w:rsidR="00A40F34" w:rsidRPr="00036775">
        <w:rPr>
          <w:rFonts w:asciiTheme="minorHAnsi" w:hAnsiTheme="minorHAnsi"/>
        </w:rPr>
        <w:t xml:space="preserve"> </w:t>
      </w:r>
      <w:r w:rsidR="006D3DBE" w:rsidRPr="00036775">
        <w:rPr>
          <w:rFonts w:asciiTheme="minorHAnsi" w:hAnsiTheme="minorHAnsi"/>
        </w:rPr>
        <w:t>from Glen Canyon Dam to the head of Lake Mead</w:t>
      </w:r>
      <w:r w:rsidR="00073FE6" w:rsidRPr="00036775">
        <w:rPr>
          <w:rFonts w:asciiTheme="minorHAnsi" w:hAnsiTheme="minorHAnsi"/>
        </w:rPr>
        <w:t>.</w:t>
      </w:r>
      <w:r w:rsidR="0070348A" w:rsidRPr="00036775">
        <w:rPr>
          <w:rFonts w:asciiTheme="minorHAnsi" w:hAnsiTheme="minorHAnsi"/>
        </w:rPr>
        <w:t xml:space="preserve"> </w:t>
      </w:r>
      <w:r w:rsidR="00073FE6" w:rsidRPr="00036775">
        <w:rPr>
          <w:rFonts w:asciiTheme="minorHAnsi" w:hAnsiTheme="minorHAnsi"/>
        </w:rPr>
        <w:t xml:space="preserve"> </w:t>
      </w:r>
      <w:r w:rsidR="00A3467C" w:rsidRPr="00036775">
        <w:rPr>
          <w:rFonts w:asciiTheme="minorHAnsi" w:hAnsiTheme="minorHAnsi"/>
        </w:rPr>
        <w:t>T</w:t>
      </w:r>
      <w:r w:rsidR="00D17F1E" w:rsidRPr="00036775">
        <w:rPr>
          <w:rFonts w:asciiTheme="minorHAnsi" w:hAnsiTheme="minorHAnsi"/>
        </w:rPr>
        <w:t>his area</w:t>
      </w:r>
      <w:r w:rsidR="00A3467C" w:rsidRPr="00036775">
        <w:rPr>
          <w:rFonts w:asciiTheme="minorHAnsi" w:hAnsiTheme="minorHAnsi"/>
        </w:rPr>
        <w:t xml:space="preserve"> is a nationally</w:t>
      </w:r>
      <w:r w:rsidR="005D03BA" w:rsidRPr="00036775">
        <w:rPr>
          <w:rFonts w:asciiTheme="minorHAnsi" w:hAnsiTheme="minorHAnsi"/>
        </w:rPr>
        <w:t xml:space="preserve"> </w:t>
      </w:r>
      <w:r w:rsidR="00A3467C" w:rsidRPr="00036775">
        <w:rPr>
          <w:rFonts w:asciiTheme="minorHAnsi" w:hAnsiTheme="minorHAnsi"/>
        </w:rPr>
        <w:t>important</w:t>
      </w:r>
      <w:r w:rsidR="00073FE6" w:rsidRPr="00036775">
        <w:rPr>
          <w:rFonts w:asciiTheme="minorHAnsi" w:hAnsiTheme="minorHAnsi"/>
        </w:rPr>
        <w:t xml:space="preserve"> recreation and conservation resource</w:t>
      </w:r>
      <w:r w:rsidR="0070348A" w:rsidRPr="00036775">
        <w:rPr>
          <w:rFonts w:asciiTheme="minorHAnsi" w:hAnsiTheme="minorHAnsi"/>
        </w:rPr>
        <w:t xml:space="preserve"> and </w:t>
      </w:r>
      <w:r w:rsidR="00A3467C" w:rsidRPr="00036775">
        <w:rPr>
          <w:rFonts w:asciiTheme="minorHAnsi" w:hAnsiTheme="minorHAnsi"/>
        </w:rPr>
        <w:t xml:space="preserve">is </w:t>
      </w:r>
      <w:r w:rsidR="0070348A" w:rsidRPr="00036775">
        <w:rPr>
          <w:rFonts w:asciiTheme="minorHAnsi" w:hAnsiTheme="minorHAnsi"/>
        </w:rPr>
        <w:t xml:space="preserve">considered to have significant water-related visitor use. </w:t>
      </w:r>
      <w:r w:rsidR="00D946F6" w:rsidRPr="00036775">
        <w:rPr>
          <w:rFonts w:asciiTheme="minorHAnsi" w:hAnsiTheme="minorHAnsi"/>
        </w:rPr>
        <w:t>The over 200 mile long stretch of free flowing river from Lee’s Ferry (10 m</w:t>
      </w:r>
      <w:r w:rsidR="009F71B1" w:rsidRPr="00036775">
        <w:rPr>
          <w:rFonts w:asciiTheme="minorHAnsi" w:hAnsiTheme="minorHAnsi"/>
        </w:rPr>
        <w:t>iles below Glen Canyon Dam) to t</w:t>
      </w:r>
      <w:r w:rsidR="00D946F6" w:rsidRPr="00036775">
        <w:rPr>
          <w:rFonts w:asciiTheme="minorHAnsi" w:hAnsiTheme="minorHAnsi"/>
        </w:rPr>
        <w:t xml:space="preserve">he head of Lake Mead is likely the highest profile whitewater flat trip in the country.  </w:t>
      </w:r>
      <w:r w:rsidR="00E331A6" w:rsidRPr="00E331A6">
        <w:rPr>
          <w:rFonts w:asciiTheme="minorHAnsi" w:hAnsiTheme="minorHAnsi"/>
        </w:rPr>
        <w:t xml:space="preserve">The Colorado River is a highly regulated river system whose water and water flows is fully allocated, and the results of the proposed study will be used to provide information to agency managers concerning the relationship between river water flows, recreational use and trip values.  </w:t>
      </w:r>
    </w:p>
    <w:p w14:paraId="6F2C0B82" w14:textId="77777777" w:rsidR="00E331A6" w:rsidRDefault="00E331A6" w:rsidP="00BF33B4">
      <w:pPr>
        <w:pStyle w:val="NoSpacing"/>
        <w:spacing w:line="360" w:lineRule="auto"/>
        <w:rPr>
          <w:rFonts w:asciiTheme="minorHAnsi" w:hAnsiTheme="minorHAnsi"/>
        </w:rPr>
      </w:pPr>
    </w:p>
    <w:p w14:paraId="07C27AF5" w14:textId="77777777" w:rsidR="00E03C3D" w:rsidRPr="00036775" w:rsidRDefault="0070348A" w:rsidP="00BF33B4">
      <w:pPr>
        <w:pStyle w:val="NoSpacing"/>
        <w:spacing w:line="360" w:lineRule="auto"/>
        <w:rPr>
          <w:rFonts w:asciiTheme="minorHAnsi" w:hAnsiTheme="minorHAnsi"/>
        </w:rPr>
      </w:pPr>
      <w:r w:rsidRPr="00036775">
        <w:rPr>
          <w:rFonts w:asciiTheme="minorHAnsi" w:hAnsiTheme="minorHAnsi"/>
        </w:rPr>
        <w:t xml:space="preserve">The </w:t>
      </w:r>
      <w:r w:rsidR="00846B63" w:rsidRPr="00036775">
        <w:rPr>
          <w:rFonts w:asciiTheme="minorHAnsi" w:hAnsiTheme="minorHAnsi"/>
        </w:rPr>
        <w:t>quality of visitor trips</w:t>
      </w:r>
      <w:r w:rsidRPr="00036775">
        <w:rPr>
          <w:rFonts w:asciiTheme="minorHAnsi" w:hAnsiTheme="minorHAnsi"/>
        </w:rPr>
        <w:t>,</w:t>
      </w:r>
      <w:r w:rsidR="00846B63" w:rsidRPr="00036775">
        <w:rPr>
          <w:rFonts w:asciiTheme="minorHAnsi" w:hAnsiTheme="minorHAnsi"/>
        </w:rPr>
        <w:t xml:space="preserve"> </w:t>
      </w:r>
      <w:r w:rsidRPr="00036775">
        <w:rPr>
          <w:rFonts w:asciiTheme="minorHAnsi" w:hAnsiTheme="minorHAnsi"/>
        </w:rPr>
        <w:t xml:space="preserve">values, and uses </w:t>
      </w:r>
      <w:r w:rsidR="00846B63" w:rsidRPr="00036775">
        <w:rPr>
          <w:rFonts w:asciiTheme="minorHAnsi" w:hAnsiTheme="minorHAnsi"/>
        </w:rPr>
        <w:t>directly tied to</w:t>
      </w:r>
      <w:r w:rsidR="00E331A6">
        <w:rPr>
          <w:rFonts w:asciiTheme="minorHAnsi" w:hAnsiTheme="minorHAnsi"/>
        </w:rPr>
        <w:t xml:space="preserve"> water</w:t>
      </w:r>
      <w:r w:rsidR="00846B63" w:rsidRPr="00036775">
        <w:rPr>
          <w:rFonts w:asciiTheme="minorHAnsi" w:hAnsiTheme="minorHAnsi"/>
        </w:rPr>
        <w:t xml:space="preserve"> levels</w:t>
      </w:r>
      <w:r w:rsidRPr="00036775">
        <w:rPr>
          <w:rFonts w:asciiTheme="minorHAnsi" w:hAnsiTheme="minorHAnsi"/>
        </w:rPr>
        <w:t xml:space="preserve"> </w:t>
      </w:r>
      <w:r w:rsidR="004C7564" w:rsidRPr="00036775">
        <w:rPr>
          <w:rFonts w:asciiTheme="minorHAnsi" w:hAnsiTheme="minorHAnsi"/>
        </w:rPr>
        <w:t>in this area</w:t>
      </w:r>
      <w:r w:rsidRPr="00036775">
        <w:rPr>
          <w:rFonts w:asciiTheme="minorHAnsi" w:hAnsiTheme="minorHAnsi"/>
        </w:rPr>
        <w:t xml:space="preserve"> </w:t>
      </w:r>
      <w:r w:rsidR="00AE7B0B" w:rsidRPr="00036775">
        <w:rPr>
          <w:rFonts w:asciiTheme="minorHAnsi" w:hAnsiTheme="minorHAnsi"/>
        </w:rPr>
        <w:t xml:space="preserve">have not been </w:t>
      </w:r>
      <w:r w:rsidR="0036196A" w:rsidRPr="00036775">
        <w:rPr>
          <w:rFonts w:asciiTheme="minorHAnsi" w:hAnsiTheme="minorHAnsi"/>
        </w:rPr>
        <w:t xml:space="preserve">comprehensively </w:t>
      </w:r>
      <w:r w:rsidR="00AE7B0B" w:rsidRPr="00036775">
        <w:rPr>
          <w:rFonts w:asciiTheme="minorHAnsi" w:hAnsiTheme="minorHAnsi"/>
        </w:rPr>
        <w:t xml:space="preserve">studied since </w:t>
      </w:r>
      <w:r w:rsidR="00E331A6">
        <w:rPr>
          <w:rFonts w:asciiTheme="minorHAnsi" w:hAnsiTheme="minorHAnsi"/>
        </w:rPr>
        <w:t xml:space="preserve">1994.  </w:t>
      </w:r>
      <w:r w:rsidR="00927622" w:rsidRPr="00036775">
        <w:rPr>
          <w:rFonts w:asciiTheme="minorHAnsi" w:hAnsiTheme="minorHAnsi"/>
        </w:rPr>
        <w:t xml:space="preserve">We are requesting approval to administer two </w:t>
      </w:r>
      <w:r w:rsidR="00E331A6">
        <w:rPr>
          <w:rFonts w:asciiTheme="minorHAnsi" w:hAnsiTheme="minorHAnsi"/>
        </w:rPr>
        <w:t>survey</w:t>
      </w:r>
      <w:r w:rsidR="009604E4">
        <w:rPr>
          <w:rFonts w:asciiTheme="minorHAnsi" w:hAnsiTheme="minorHAnsi"/>
        </w:rPr>
        <w:t>s</w:t>
      </w:r>
      <w:r w:rsidR="00E331A6">
        <w:rPr>
          <w:rFonts w:asciiTheme="minorHAnsi" w:hAnsiTheme="minorHAnsi"/>
        </w:rPr>
        <w:t xml:space="preserve"> (</w:t>
      </w:r>
      <w:r w:rsidR="00927622" w:rsidRPr="00036775">
        <w:rPr>
          <w:rFonts w:asciiTheme="minorHAnsi" w:hAnsiTheme="minorHAnsi"/>
        </w:rPr>
        <w:t xml:space="preserve">CV and </w:t>
      </w:r>
      <w:r w:rsidR="00927622" w:rsidRPr="00036775">
        <w:rPr>
          <w:rFonts w:asciiTheme="minorHAnsi" w:hAnsiTheme="minorHAnsi"/>
        </w:rPr>
        <w:lastRenderedPageBreak/>
        <w:t>conjoint)</w:t>
      </w:r>
      <w:r w:rsidR="00E331A6">
        <w:rPr>
          <w:rFonts w:asciiTheme="minorHAnsi" w:hAnsiTheme="minorHAnsi"/>
        </w:rPr>
        <w:t xml:space="preserve"> to two user groups (anglers and whitewater floaters) recreating in the </w:t>
      </w:r>
      <w:r w:rsidR="00E331A6" w:rsidRPr="00036775">
        <w:rPr>
          <w:rFonts w:asciiTheme="minorHAnsi" w:hAnsiTheme="minorHAnsi"/>
        </w:rPr>
        <w:t>areas from Glen Canyon Dam to the head of Lake Mead</w:t>
      </w:r>
      <w:r w:rsidR="00927622" w:rsidRPr="00036775">
        <w:rPr>
          <w:rFonts w:asciiTheme="minorHAnsi" w:hAnsiTheme="minorHAnsi"/>
        </w:rPr>
        <w:t xml:space="preserve">. </w:t>
      </w:r>
      <w:r w:rsidR="00E331A6">
        <w:rPr>
          <w:rFonts w:asciiTheme="minorHAnsi" w:hAnsiTheme="minorHAnsi"/>
        </w:rPr>
        <w:t xml:space="preserve"> </w:t>
      </w:r>
      <w:r w:rsidR="0094416F" w:rsidRPr="00036775">
        <w:rPr>
          <w:rFonts w:asciiTheme="minorHAnsi" w:hAnsiTheme="minorHAnsi"/>
        </w:rPr>
        <w:t>Given the substantial changes in river flow management and trout abundance and distribution</w:t>
      </w:r>
      <w:r w:rsidR="009604E4">
        <w:rPr>
          <w:rFonts w:asciiTheme="minorHAnsi" w:hAnsiTheme="minorHAnsi"/>
        </w:rPr>
        <w:t>,</w:t>
      </w:r>
      <w:r w:rsidR="0094416F" w:rsidRPr="00036775">
        <w:rPr>
          <w:rFonts w:asciiTheme="minorHAnsi" w:hAnsiTheme="minorHAnsi"/>
        </w:rPr>
        <w:t xml:space="preserve"> this proposed study will provide estimates </w:t>
      </w:r>
      <w:r w:rsidR="00E03C3D" w:rsidRPr="00036775">
        <w:rPr>
          <w:rFonts w:asciiTheme="minorHAnsi" w:hAnsiTheme="minorHAnsi"/>
        </w:rPr>
        <w:t>concerning the impact of water levels</w:t>
      </w:r>
      <w:r w:rsidR="00CD57E3" w:rsidRPr="00036775">
        <w:rPr>
          <w:rFonts w:asciiTheme="minorHAnsi" w:hAnsiTheme="minorHAnsi"/>
        </w:rPr>
        <w:t xml:space="preserve"> on </w:t>
      </w:r>
      <w:r w:rsidR="00E03C3D" w:rsidRPr="00036775">
        <w:rPr>
          <w:rFonts w:asciiTheme="minorHAnsi" w:hAnsiTheme="minorHAnsi"/>
        </w:rPr>
        <w:t xml:space="preserve">recreational visitor trip valuation and recreational use of </w:t>
      </w:r>
      <w:r w:rsidR="00CD57E3" w:rsidRPr="00036775">
        <w:rPr>
          <w:rFonts w:asciiTheme="minorHAnsi" w:hAnsiTheme="minorHAnsi"/>
        </w:rPr>
        <w:t>the Colorado River</w:t>
      </w:r>
      <w:r w:rsidR="00846B63" w:rsidRPr="00036775">
        <w:rPr>
          <w:rFonts w:asciiTheme="minorHAnsi" w:hAnsiTheme="minorHAnsi"/>
        </w:rPr>
        <w:t xml:space="preserve">. </w:t>
      </w:r>
      <w:r w:rsidR="00E331A6">
        <w:rPr>
          <w:rFonts w:asciiTheme="minorHAnsi" w:hAnsiTheme="minorHAnsi"/>
        </w:rPr>
        <w:t>The</w:t>
      </w:r>
      <w:r w:rsidR="00E03C3D" w:rsidRPr="00036775">
        <w:rPr>
          <w:rFonts w:asciiTheme="minorHAnsi" w:hAnsiTheme="minorHAnsi"/>
        </w:rPr>
        <w:t xml:space="preserve"> survey will be used to </w:t>
      </w:r>
      <w:r w:rsidR="00484AEE" w:rsidRPr="00036775">
        <w:rPr>
          <w:rFonts w:asciiTheme="minorHAnsi" w:hAnsiTheme="minorHAnsi"/>
        </w:rPr>
        <w:t>provide e</w:t>
      </w:r>
      <w:r w:rsidR="00251128" w:rsidRPr="00036775">
        <w:rPr>
          <w:rFonts w:asciiTheme="minorHAnsi" w:hAnsiTheme="minorHAnsi"/>
        </w:rPr>
        <w:t xml:space="preserve">mpirical data </w:t>
      </w:r>
      <w:r w:rsidR="00E331A6">
        <w:rPr>
          <w:rFonts w:asciiTheme="minorHAnsi" w:hAnsiTheme="minorHAnsi"/>
        </w:rPr>
        <w:t>that will help managers and planners</w:t>
      </w:r>
      <w:r w:rsidR="00484AEE" w:rsidRPr="00036775">
        <w:rPr>
          <w:rFonts w:asciiTheme="minorHAnsi" w:hAnsiTheme="minorHAnsi"/>
        </w:rPr>
        <w:t xml:space="preserve"> understand the impacts of </w:t>
      </w:r>
      <w:r w:rsidR="00D17F1E" w:rsidRPr="00036775">
        <w:rPr>
          <w:rFonts w:asciiTheme="minorHAnsi" w:hAnsiTheme="minorHAnsi"/>
        </w:rPr>
        <w:t xml:space="preserve">water </w:t>
      </w:r>
      <w:r w:rsidR="00484AEE" w:rsidRPr="00036775">
        <w:rPr>
          <w:rFonts w:asciiTheme="minorHAnsi" w:hAnsiTheme="minorHAnsi"/>
        </w:rPr>
        <w:t>levels on visitor expenditures. The information will also be used to understand the costs and benefits of selected alternative management scenarios for Colorado River water.</w:t>
      </w:r>
    </w:p>
    <w:p w14:paraId="4AF3BEE1" w14:textId="77777777" w:rsidR="008163CE" w:rsidRPr="00036775" w:rsidRDefault="008163CE" w:rsidP="00BF33B4">
      <w:pPr>
        <w:pStyle w:val="NoSpacing"/>
        <w:spacing w:line="360" w:lineRule="auto"/>
        <w:rPr>
          <w:rFonts w:asciiTheme="minorHAnsi" w:hAnsiTheme="minorHAnsi"/>
        </w:rPr>
      </w:pPr>
    </w:p>
    <w:p w14:paraId="03EE8839" w14:textId="77777777" w:rsidR="008163CE" w:rsidRPr="00036775" w:rsidRDefault="00492D8E" w:rsidP="008163CE">
      <w:pPr>
        <w:pStyle w:val="NoSpacing"/>
        <w:spacing w:line="360" w:lineRule="auto"/>
        <w:rPr>
          <w:rFonts w:asciiTheme="minorHAnsi" w:hAnsiTheme="minorHAnsi"/>
        </w:rPr>
      </w:pPr>
      <w:r>
        <w:rPr>
          <w:rFonts w:asciiTheme="minorHAnsi" w:hAnsiTheme="minorHAnsi"/>
        </w:rPr>
        <w:t>T</w:t>
      </w:r>
      <w:r w:rsidR="008163CE" w:rsidRPr="00036775">
        <w:rPr>
          <w:rFonts w:asciiTheme="minorHAnsi" w:hAnsiTheme="minorHAnsi"/>
        </w:rPr>
        <w:t xml:space="preserve">his study </w:t>
      </w:r>
      <w:r>
        <w:rPr>
          <w:rFonts w:asciiTheme="minorHAnsi" w:hAnsiTheme="minorHAnsi"/>
        </w:rPr>
        <w:t>is</w:t>
      </w:r>
      <w:r w:rsidR="008163CE" w:rsidRPr="00036775">
        <w:rPr>
          <w:rFonts w:asciiTheme="minorHAnsi" w:hAnsiTheme="minorHAnsi"/>
        </w:rPr>
        <w:t xml:space="preserve"> needed </w:t>
      </w:r>
      <w:r>
        <w:rPr>
          <w:rFonts w:asciiTheme="minorHAnsi" w:hAnsiTheme="minorHAnsi"/>
        </w:rPr>
        <w:t>to assist the</w:t>
      </w:r>
      <w:r w:rsidR="008163CE" w:rsidRPr="00036775">
        <w:rPr>
          <w:rFonts w:asciiTheme="minorHAnsi" w:hAnsiTheme="minorHAnsi"/>
        </w:rPr>
        <w:t xml:space="preserve"> NPS and USGS managers</w:t>
      </w:r>
      <w:r>
        <w:rPr>
          <w:rFonts w:asciiTheme="minorHAnsi" w:hAnsiTheme="minorHAnsi"/>
        </w:rPr>
        <w:t xml:space="preserve"> with their</w:t>
      </w:r>
      <w:r w:rsidR="008163CE" w:rsidRPr="00036775">
        <w:rPr>
          <w:rFonts w:asciiTheme="minorHAnsi" w:hAnsiTheme="minorHAnsi"/>
        </w:rPr>
        <w:t xml:space="preserve"> understand</w:t>
      </w:r>
      <w:r>
        <w:rPr>
          <w:rFonts w:asciiTheme="minorHAnsi" w:hAnsiTheme="minorHAnsi"/>
        </w:rPr>
        <w:t>ing of</w:t>
      </w:r>
      <w:r w:rsidR="008163CE" w:rsidRPr="00036775">
        <w:rPr>
          <w:rFonts w:asciiTheme="minorHAnsi" w:hAnsiTheme="minorHAnsi"/>
        </w:rPr>
        <w:t xml:space="preserve"> how alternative water management strategies </w:t>
      </w:r>
      <w:r>
        <w:rPr>
          <w:rFonts w:asciiTheme="minorHAnsi" w:hAnsiTheme="minorHAnsi"/>
        </w:rPr>
        <w:t>could</w:t>
      </w:r>
      <w:r w:rsidR="008163CE" w:rsidRPr="00036775">
        <w:rPr>
          <w:rFonts w:asciiTheme="minorHAnsi" w:hAnsiTheme="minorHAnsi"/>
        </w:rPr>
        <w:t xml:space="preserve"> </w:t>
      </w:r>
      <w:r>
        <w:rPr>
          <w:rFonts w:asciiTheme="minorHAnsi" w:hAnsiTheme="minorHAnsi"/>
        </w:rPr>
        <w:t>a</w:t>
      </w:r>
      <w:r w:rsidR="008163CE" w:rsidRPr="00036775">
        <w:rPr>
          <w:rFonts w:asciiTheme="minorHAnsi" w:hAnsiTheme="minorHAnsi"/>
        </w:rPr>
        <w:t>ffect recreational use</w:t>
      </w:r>
      <w:r>
        <w:rPr>
          <w:rFonts w:asciiTheme="minorHAnsi" w:hAnsiTheme="minorHAnsi"/>
        </w:rPr>
        <w:t>s</w:t>
      </w:r>
      <w:r w:rsidR="008163CE" w:rsidRPr="00036775">
        <w:rPr>
          <w:rFonts w:asciiTheme="minorHAnsi" w:hAnsiTheme="minorHAnsi"/>
        </w:rPr>
        <w:t xml:space="preserve"> and values</w:t>
      </w:r>
      <w:r>
        <w:rPr>
          <w:rFonts w:asciiTheme="minorHAnsi" w:hAnsiTheme="minorHAnsi"/>
        </w:rPr>
        <w:t>.</w:t>
      </w:r>
      <w:r w:rsidR="008163CE" w:rsidRPr="00036775">
        <w:rPr>
          <w:rFonts w:asciiTheme="minorHAnsi" w:hAnsiTheme="minorHAnsi"/>
        </w:rPr>
        <w:t xml:space="preserve">  </w:t>
      </w:r>
    </w:p>
    <w:p w14:paraId="70EC94F2" w14:textId="77777777" w:rsidR="002E6B22" w:rsidRPr="00036775" w:rsidRDefault="002E6B22" w:rsidP="001A3579">
      <w:pPr>
        <w:pStyle w:val="NoSpacing"/>
        <w:spacing w:line="276" w:lineRule="auto"/>
        <w:rPr>
          <w:rFonts w:asciiTheme="minorHAnsi" w:hAnsiTheme="minorHAnsi"/>
          <w:b/>
          <w:u w:val="single"/>
        </w:rPr>
      </w:pPr>
    </w:p>
    <w:p w14:paraId="3F1B087E" w14:textId="77777777" w:rsidR="00251128" w:rsidRPr="00036775" w:rsidRDefault="005F7471" w:rsidP="001A3579">
      <w:pPr>
        <w:pStyle w:val="NoSpacing"/>
        <w:spacing w:line="276" w:lineRule="auto"/>
        <w:rPr>
          <w:rFonts w:asciiTheme="minorHAnsi" w:hAnsiTheme="minorHAnsi"/>
          <w:u w:val="single"/>
        </w:rPr>
      </w:pPr>
      <w:r w:rsidRPr="00036775">
        <w:rPr>
          <w:rFonts w:asciiTheme="minorHAnsi" w:hAnsiTheme="minorHAnsi"/>
          <w:b/>
          <w:u w:val="single"/>
        </w:rPr>
        <w:t>Legal Justification</w:t>
      </w:r>
      <w:r w:rsidRPr="00036775">
        <w:rPr>
          <w:rFonts w:asciiTheme="minorHAnsi" w:hAnsiTheme="minorHAnsi"/>
          <w:u w:val="single"/>
        </w:rPr>
        <w:t xml:space="preserve">: </w:t>
      </w:r>
    </w:p>
    <w:p w14:paraId="0B2197ED" w14:textId="77777777" w:rsidR="00251128" w:rsidRPr="00036775" w:rsidRDefault="005F7471" w:rsidP="00F227BB">
      <w:pPr>
        <w:pStyle w:val="NoSpacing"/>
        <w:numPr>
          <w:ilvl w:val="0"/>
          <w:numId w:val="35"/>
        </w:numPr>
        <w:spacing w:line="276" w:lineRule="auto"/>
        <w:ind w:left="540"/>
        <w:rPr>
          <w:rFonts w:asciiTheme="minorHAnsi" w:hAnsiTheme="minorHAnsi"/>
          <w:i/>
          <w:u w:val="single"/>
        </w:rPr>
      </w:pPr>
      <w:r w:rsidRPr="00036775">
        <w:rPr>
          <w:rFonts w:asciiTheme="minorHAnsi" w:hAnsiTheme="minorHAnsi"/>
          <w:u w:val="single"/>
        </w:rPr>
        <w:t xml:space="preserve">The National Park Service Act of 1916, </w:t>
      </w:r>
      <w:r w:rsidR="00251128" w:rsidRPr="00036775">
        <w:rPr>
          <w:rFonts w:asciiTheme="minorHAnsi" w:hAnsiTheme="minorHAnsi"/>
          <w:u w:val="single"/>
        </w:rPr>
        <w:t>(</w:t>
      </w:r>
      <w:r w:rsidRPr="00036775">
        <w:rPr>
          <w:rFonts w:asciiTheme="minorHAnsi" w:hAnsiTheme="minorHAnsi"/>
          <w:u w:val="single"/>
        </w:rPr>
        <w:t>38 Stat 535, 16 USC 1, et seq.</w:t>
      </w:r>
      <w:r w:rsidR="00B15F5E" w:rsidRPr="00036775">
        <w:rPr>
          <w:rFonts w:asciiTheme="minorHAnsi" w:hAnsiTheme="minorHAnsi"/>
          <w:u w:val="single"/>
        </w:rPr>
        <w:t>)</w:t>
      </w:r>
      <w:r w:rsidR="00251128" w:rsidRPr="00036775">
        <w:rPr>
          <w:rFonts w:asciiTheme="minorHAnsi" w:hAnsiTheme="minorHAnsi"/>
          <w:u w:val="single"/>
        </w:rPr>
        <w:t xml:space="preserve"> </w:t>
      </w:r>
      <w:r w:rsidR="00B15F5E" w:rsidRPr="00036775">
        <w:rPr>
          <w:rFonts w:asciiTheme="minorHAnsi" w:hAnsiTheme="minorHAnsi"/>
          <w:u w:val="single"/>
        </w:rPr>
        <w:t>r</w:t>
      </w:r>
      <w:r w:rsidRPr="00036775">
        <w:rPr>
          <w:rFonts w:asciiTheme="minorHAnsi" w:hAnsiTheme="minorHAnsi"/>
          <w:i/>
          <w:u w:val="single"/>
        </w:rPr>
        <w:t xml:space="preserve">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  </w:t>
      </w:r>
    </w:p>
    <w:p w14:paraId="22CE23E2" w14:textId="77777777" w:rsidR="00BF33B4" w:rsidRPr="00036775" w:rsidRDefault="00BF33B4" w:rsidP="00F227BB">
      <w:pPr>
        <w:pStyle w:val="NoSpacing"/>
        <w:spacing w:line="276" w:lineRule="auto"/>
        <w:ind w:left="540"/>
        <w:rPr>
          <w:rFonts w:asciiTheme="minorHAnsi" w:hAnsiTheme="minorHAnsi"/>
          <w:i/>
          <w:u w:val="single"/>
        </w:rPr>
      </w:pPr>
    </w:p>
    <w:p w14:paraId="59436533" w14:textId="77777777" w:rsidR="005F7471" w:rsidRPr="00036775" w:rsidRDefault="005F7471" w:rsidP="00F227BB">
      <w:pPr>
        <w:pStyle w:val="NoSpacing"/>
        <w:numPr>
          <w:ilvl w:val="0"/>
          <w:numId w:val="35"/>
        </w:numPr>
        <w:spacing w:line="276" w:lineRule="auto"/>
        <w:ind w:left="540"/>
        <w:rPr>
          <w:rFonts w:asciiTheme="minorHAnsi" w:hAnsiTheme="minorHAnsi"/>
          <w:u w:val="single"/>
        </w:rPr>
      </w:pPr>
      <w:r w:rsidRPr="00036775">
        <w:rPr>
          <w:rFonts w:asciiTheme="minorHAnsi" w:hAnsiTheme="minorHAnsi"/>
          <w:u w:val="single"/>
        </w:rPr>
        <w:t>National</w:t>
      </w:r>
      <w:r w:rsidR="00CC64DE" w:rsidRPr="00036775">
        <w:rPr>
          <w:rFonts w:asciiTheme="minorHAnsi" w:hAnsiTheme="minorHAnsi"/>
          <w:u w:val="single"/>
        </w:rPr>
        <w:t xml:space="preserve"> Environmental Policy Act, 1969, (</w:t>
      </w:r>
      <w:r w:rsidR="00CC64DE" w:rsidRPr="00036775">
        <w:rPr>
          <w:rFonts w:asciiTheme="minorHAnsi" w:hAnsiTheme="minorHAnsi" w:cs="Arial"/>
          <w:shd w:val="clear" w:color="auto" w:fill="FFFFFF"/>
        </w:rPr>
        <w:t>42 U.S.C. § 4321</w:t>
      </w:r>
      <w:r w:rsidR="00CC64DE" w:rsidRPr="00036775">
        <w:rPr>
          <w:rFonts w:asciiTheme="minorHAnsi" w:hAnsiTheme="minorHAnsi" w:cs="Arial"/>
          <w:color w:val="666666"/>
          <w:shd w:val="clear" w:color="auto" w:fill="FFFFFF"/>
        </w:rPr>
        <w:t>)</w:t>
      </w:r>
      <w:r w:rsidR="00251128" w:rsidRPr="00036775">
        <w:rPr>
          <w:rFonts w:asciiTheme="minorHAnsi" w:hAnsiTheme="minorHAnsi"/>
          <w:u w:val="single"/>
        </w:rPr>
        <w:t xml:space="preserve"> </w:t>
      </w:r>
      <w:r w:rsidR="00BC44B0">
        <w:rPr>
          <w:rFonts w:asciiTheme="minorHAnsi" w:hAnsiTheme="minorHAnsi"/>
          <w:i/>
          <w:u w:val="single"/>
        </w:rPr>
        <w:t>r</w:t>
      </w:r>
      <w:r w:rsidRPr="00036775">
        <w:rPr>
          <w:rFonts w:asciiTheme="minorHAnsi" w:hAnsiTheme="minorHAnsi"/>
          <w:i/>
          <w:u w:val="single"/>
        </w:rPr>
        <w:t>equire visitor use data in impact assessment of development on users and resources as p</w:t>
      </w:r>
      <w:r w:rsidRPr="00036775">
        <w:rPr>
          <w:rFonts w:asciiTheme="minorHAnsi" w:hAnsiTheme="minorHAnsi"/>
          <w:u w:val="single"/>
        </w:rPr>
        <w:t>art of each park's general management plan</w:t>
      </w:r>
      <w:r w:rsidR="00B15F5E" w:rsidRPr="00036775">
        <w:rPr>
          <w:rFonts w:asciiTheme="minorHAnsi" w:hAnsiTheme="minorHAnsi"/>
          <w:u w:val="single"/>
        </w:rPr>
        <w:t>.</w:t>
      </w:r>
    </w:p>
    <w:p w14:paraId="098E360A" w14:textId="77777777" w:rsidR="00BF33B4" w:rsidRPr="00036775" w:rsidRDefault="00BF33B4" w:rsidP="00F227BB">
      <w:pPr>
        <w:pStyle w:val="NoSpacing"/>
        <w:spacing w:line="276" w:lineRule="auto"/>
        <w:ind w:left="540"/>
        <w:rPr>
          <w:rFonts w:asciiTheme="minorHAnsi" w:hAnsiTheme="minorHAnsi"/>
          <w:u w:val="single"/>
        </w:rPr>
      </w:pPr>
    </w:p>
    <w:p w14:paraId="2FBBCF50" w14:textId="77777777" w:rsidR="00B15F5E" w:rsidRPr="00036775" w:rsidRDefault="00B15F5E" w:rsidP="00F227BB">
      <w:pPr>
        <w:pStyle w:val="NoSpacing"/>
        <w:numPr>
          <w:ilvl w:val="0"/>
          <w:numId w:val="35"/>
        </w:numPr>
        <w:spacing w:line="276" w:lineRule="auto"/>
        <w:ind w:left="540"/>
        <w:jc w:val="both"/>
        <w:rPr>
          <w:rFonts w:asciiTheme="minorHAnsi" w:hAnsiTheme="minorHAnsi"/>
          <w:u w:val="single"/>
        </w:rPr>
      </w:pPr>
      <w:r w:rsidRPr="00036775">
        <w:rPr>
          <w:rFonts w:asciiTheme="minorHAnsi" w:hAnsiTheme="minorHAnsi"/>
          <w:u w:val="single"/>
        </w:rPr>
        <w:t>The Grand Canyon Protection Act, 1992</w:t>
      </w:r>
      <w:r w:rsidRPr="00036775">
        <w:rPr>
          <w:rFonts w:asciiTheme="minorHAnsi" w:hAnsiTheme="minorHAnsi"/>
          <w:i/>
          <w:u w:val="single"/>
        </w:rPr>
        <w:t xml:space="preserve"> (1805(b))</w:t>
      </w:r>
      <w:r w:rsidRPr="00036775">
        <w:rPr>
          <w:rFonts w:asciiTheme="minorHAnsi" w:hAnsiTheme="minorHAnsi"/>
          <w:u w:val="single"/>
        </w:rPr>
        <w:t>.</w:t>
      </w:r>
      <w:r w:rsidRPr="00036775">
        <w:rPr>
          <w:rFonts w:asciiTheme="minorHAnsi" w:hAnsiTheme="minorHAnsi"/>
        </w:rPr>
        <w:t xml:space="preserve">  </w:t>
      </w:r>
      <w:r w:rsidR="00BC44B0">
        <w:rPr>
          <w:rFonts w:asciiTheme="minorHAnsi" w:hAnsiTheme="minorHAnsi"/>
          <w:i/>
          <w:u w:val="single"/>
        </w:rPr>
        <w:t>l</w:t>
      </w:r>
      <w:r w:rsidRPr="00036775">
        <w:rPr>
          <w:rFonts w:asciiTheme="minorHAnsi" w:hAnsiTheme="minorHAnsi"/>
          <w:i/>
          <w:u w:val="single"/>
        </w:rPr>
        <w:t>ong-term monitoring of Glen Canyon Dam shall include any necessary research and studies to determine the effect of the Secretary's actions under section 1804(c) on the natural, recreational, and cultural resources of Grand Canyon National Park and Glen Canyon National Recreation Area.</w:t>
      </w:r>
    </w:p>
    <w:p w14:paraId="530CF3F2" w14:textId="77777777" w:rsidR="00C21DF3" w:rsidRPr="00036775" w:rsidRDefault="00C21DF3">
      <w:pPr>
        <w:spacing w:after="0" w:line="240" w:lineRule="auto"/>
        <w:rPr>
          <w:rFonts w:asciiTheme="minorHAnsi" w:hAnsiTheme="minorHAnsi"/>
          <w:b/>
        </w:rPr>
      </w:pPr>
    </w:p>
    <w:p w14:paraId="32F77A7C" w14:textId="77777777" w:rsidR="009A7F73" w:rsidRPr="00036775" w:rsidRDefault="00C1055A" w:rsidP="001A3579">
      <w:pPr>
        <w:pStyle w:val="NoSpacing"/>
        <w:spacing w:line="276" w:lineRule="auto"/>
        <w:ind w:left="450" w:hanging="540"/>
        <w:rPr>
          <w:rFonts w:asciiTheme="minorHAnsi" w:hAnsiTheme="minorHAnsi"/>
          <w:b/>
        </w:rPr>
      </w:pPr>
      <w:r w:rsidRPr="00036775">
        <w:rPr>
          <w:rFonts w:asciiTheme="minorHAnsi" w:hAnsiTheme="minorHAnsi"/>
          <w:b/>
        </w:rPr>
        <w:t xml:space="preserve">2. </w:t>
      </w:r>
      <w:r w:rsidRPr="00036775">
        <w:rPr>
          <w:rFonts w:asciiTheme="minorHAnsi" w:hAnsiTheme="minorHAnsi"/>
          <w:b/>
        </w:rPr>
        <w:tab/>
      </w:r>
      <w:r w:rsidR="001A3579" w:rsidRPr="00036775">
        <w:rPr>
          <w:rFonts w:asciiTheme="minorHAnsi" w:hAnsiTheme="minorHAnsi" w:cs="Calibri"/>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B22AC47" w14:textId="77777777" w:rsidR="00484AEE" w:rsidRPr="00036775" w:rsidRDefault="00484AEE" w:rsidP="005756A6">
      <w:pPr>
        <w:pStyle w:val="NoSpacing"/>
        <w:spacing w:line="276" w:lineRule="auto"/>
        <w:rPr>
          <w:rFonts w:asciiTheme="minorHAnsi" w:hAnsiTheme="minorHAnsi"/>
        </w:rPr>
      </w:pPr>
    </w:p>
    <w:p w14:paraId="5C3819B3" w14:textId="77777777" w:rsidR="001333F9" w:rsidRDefault="00866F37" w:rsidP="004C7564">
      <w:pPr>
        <w:pStyle w:val="NoSpacing"/>
        <w:spacing w:line="360" w:lineRule="auto"/>
        <w:rPr>
          <w:rFonts w:asciiTheme="minorHAnsi" w:hAnsiTheme="minorHAnsi"/>
        </w:rPr>
      </w:pPr>
      <w:r w:rsidRPr="00036775">
        <w:rPr>
          <w:rFonts w:asciiTheme="minorHAnsi" w:hAnsiTheme="minorHAnsi"/>
        </w:rPr>
        <w:t>The</w:t>
      </w:r>
      <w:r w:rsidR="00A40F34" w:rsidRPr="00036775">
        <w:rPr>
          <w:rFonts w:asciiTheme="minorHAnsi" w:hAnsiTheme="minorHAnsi"/>
        </w:rPr>
        <w:t xml:space="preserve"> survey instruments </w:t>
      </w:r>
      <w:r w:rsidRPr="00036775">
        <w:rPr>
          <w:rFonts w:asciiTheme="minorHAnsi" w:hAnsiTheme="minorHAnsi"/>
        </w:rPr>
        <w:t xml:space="preserve">are </w:t>
      </w:r>
      <w:r w:rsidR="00A40F34" w:rsidRPr="00036775">
        <w:rPr>
          <w:rFonts w:asciiTheme="minorHAnsi" w:hAnsiTheme="minorHAnsi"/>
        </w:rPr>
        <w:t>designed to collect information from two user groups participating in water-based recreation along the Colorado River from Glen Canyon Dam to Lake Mead.</w:t>
      </w:r>
      <w:r w:rsidR="006C6D91" w:rsidRPr="00036775">
        <w:rPr>
          <w:rFonts w:asciiTheme="minorHAnsi" w:hAnsiTheme="minorHAnsi"/>
        </w:rPr>
        <w:t xml:space="preserve">  </w:t>
      </w:r>
      <w:r w:rsidR="00B759BD" w:rsidRPr="00036775">
        <w:rPr>
          <w:rFonts w:asciiTheme="minorHAnsi" w:hAnsiTheme="minorHAnsi"/>
        </w:rPr>
        <w:t xml:space="preserve">Each year, </w:t>
      </w:r>
      <w:r w:rsidR="00B759BD">
        <w:rPr>
          <w:rFonts w:asciiTheme="minorHAnsi" w:hAnsiTheme="minorHAnsi"/>
        </w:rPr>
        <w:t>t</w:t>
      </w:r>
      <w:r w:rsidR="00B759BD" w:rsidRPr="00036775">
        <w:rPr>
          <w:rFonts w:asciiTheme="minorHAnsi" w:hAnsiTheme="minorHAnsi"/>
        </w:rPr>
        <w:t xml:space="preserve">he Arizona Fish and Game Department (AZFGD) conducts </w:t>
      </w:r>
      <w:r w:rsidR="00B759BD">
        <w:rPr>
          <w:rFonts w:asciiTheme="minorHAnsi" w:hAnsiTheme="minorHAnsi"/>
        </w:rPr>
        <w:t>a</w:t>
      </w:r>
      <w:r w:rsidR="00B759BD" w:rsidRPr="00036775">
        <w:rPr>
          <w:rFonts w:asciiTheme="minorHAnsi" w:hAnsiTheme="minorHAnsi"/>
        </w:rPr>
        <w:t xml:space="preserve"> </w:t>
      </w:r>
      <w:r w:rsidR="00B759BD">
        <w:rPr>
          <w:rFonts w:asciiTheme="minorHAnsi" w:hAnsiTheme="minorHAnsi"/>
        </w:rPr>
        <w:t xml:space="preserve">creel </w:t>
      </w:r>
      <w:r w:rsidR="00B759BD" w:rsidRPr="00036775">
        <w:rPr>
          <w:rFonts w:asciiTheme="minorHAnsi" w:hAnsiTheme="minorHAnsi"/>
        </w:rPr>
        <w:t>survey of anglers fishing between Lees Ferry to Glen Canyon Dam river. This survey</w:t>
      </w:r>
      <w:r w:rsidR="001333F9">
        <w:rPr>
          <w:rFonts w:asciiTheme="minorHAnsi" w:hAnsiTheme="minorHAnsi"/>
        </w:rPr>
        <w:t xml:space="preserve">, in part, </w:t>
      </w:r>
      <w:r w:rsidR="00B759BD" w:rsidRPr="00036775">
        <w:rPr>
          <w:rFonts w:asciiTheme="minorHAnsi" w:hAnsiTheme="minorHAnsi"/>
        </w:rPr>
        <w:t>collect</w:t>
      </w:r>
      <w:r w:rsidR="001333F9">
        <w:rPr>
          <w:rFonts w:asciiTheme="minorHAnsi" w:hAnsiTheme="minorHAnsi"/>
        </w:rPr>
        <w:t>s</w:t>
      </w:r>
      <w:r w:rsidR="00B759BD" w:rsidRPr="00036775">
        <w:rPr>
          <w:rFonts w:asciiTheme="minorHAnsi" w:hAnsiTheme="minorHAnsi"/>
        </w:rPr>
        <w:t xml:space="preserve"> contact information, selected demographics, </w:t>
      </w:r>
      <w:r w:rsidR="001333F9">
        <w:rPr>
          <w:rFonts w:asciiTheme="minorHAnsi" w:hAnsiTheme="minorHAnsi"/>
        </w:rPr>
        <w:t xml:space="preserve">and </w:t>
      </w:r>
      <w:r w:rsidR="00B759BD" w:rsidRPr="00036775">
        <w:rPr>
          <w:rFonts w:asciiTheme="minorHAnsi" w:hAnsiTheme="minorHAnsi"/>
        </w:rPr>
        <w:lastRenderedPageBreak/>
        <w:t xml:space="preserve">trip characteristics. </w:t>
      </w:r>
      <w:r w:rsidR="009604E4">
        <w:rPr>
          <w:rFonts w:asciiTheme="minorHAnsi" w:hAnsiTheme="minorHAnsi"/>
        </w:rPr>
        <w:t>We will use this list of names and contact information to randomly select the respondents for this collection.</w:t>
      </w:r>
      <w:r w:rsidR="0094416F" w:rsidRPr="00036775">
        <w:rPr>
          <w:rFonts w:asciiTheme="minorHAnsi" w:hAnsiTheme="minorHAnsi"/>
        </w:rPr>
        <w:t xml:space="preserve">  </w:t>
      </w:r>
    </w:p>
    <w:p w14:paraId="6F3ED62B" w14:textId="77777777" w:rsidR="001333F9" w:rsidRDefault="001333F9" w:rsidP="004C7564">
      <w:pPr>
        <w:pStyle w:val="NoSpacing"/>
        <w:spacing w:line="360" w:lineRule="auto"/>
        <w:rPr>
          <w:rFonts w:asciiTheme="minorHAnsi" w:hAnsiTheme="minorHAnsi"/>
        </w:rPr>
      </w:pPr>
    </w:p>
    <w:p w14:paraId="58AB3046" w14:textId="2CF1E5E0" w:rsidR="004C7564" w:rsidRDefault="0094416F" w:rsidP="004C7564">
      <w:pPr>
        <w:pStyle w:val="NoSpacing"/>
        <w:spacing w:line="360" w:lineRule="auto"/>
        <w:rPr>
          <w:rFonts w:asciiTheme="minorHAnsi" w:hAnsiTheme="minorHAnsi"/>
        </w:rPr>
      </w:pPr>
      <w:r w:rsidRPr="00036775">
        <w:rPr>
          <w:rFonts w:asciiTheme="minorHAnsi" w:hAnsiTheme="minorHAnsi"/>
        </w:rPr>
        <w:t xml:space="preserve">The </w:t>
      </w:r>
      <w:r w:rsidR="007B64C6" w:rsidRPr="00036775">
        <w:rPr>
          <w:rFonts w:asciiTheme="minorHAnsi" w:hAnsiTheme="minorHAnsi"/>
        </w:rPr>
        <w:t xml:space="preserve">names of </w:t>
      </w:r>
      <w:r w:rsidRPr="00036775">
        <w:rPr>
          <w:rFonts w:asciiTheme="minorHAnsi" w:hAnsiTheme="minorHAnsi"/>
        </w:rPr>
        <w:t>whitewater floater</w:t>
      </w:r>
      <w:r w:rsidR="005D03BA" w:rsidRPr="00036775">
        <w:rPr>
          <w:rFonts w:asciiTheme="minorHAnsi" w:hAnsiTheme="minorHAnsi"/>
        </w:rPr>
        <w:t>s</w:t>
      </w:r>
      <w:r w:rsidRPr="00036775">
        <w:rPr>
          <w:rFonts w:asciiTheme="minorHAnsi" w:hAnsiTheme="minorHAnsi"/>
        </w:rPr>
        <w:t xml:space="preserve"> will be </w:t>
      </w:r>
      <w:r w:rsidR="007B64C6" w:rsidRPr="00036775">
        <w:rPr>
          <w:rFonts w:asciiTheme="minorHAnsi" w:hAnsiTheme="minorHAnsi"/>
        </w:rPr>
        <w:t xml:space="preserve">randomly selected </w:t>
      </w:r>
      <w:r w:rsidRPr="00036775">
        <w:rPr>
          <w:rFonts w:asciiTheme="minorHAnsi" w:hAnsiTheme="minorHAnsi"/>
        </w:rPr>
        <w:t xml:space="preserve">from </w:t>
      </w:r>
      <w:r w:rsidR="007B64C6" w:rsidRPr="00036775">
        <w:rPr>
          <w:rFonts w:asciiTheme="minorHAnsi" w:hAnsiTheme="minorHAnsi"/>
        </w:rPr>
        <w:t xml:space="preserve">NPS </w:t>
      </w:r>
      <w:r w:rsidRPr="00036775">
        <w:rPr>
          <w:rFonts w:asciiTheme="minorHAnsi" w:hAnsiTheme="minorHAnsi"/>
        </w:rPr>
        <w:t>visitor logs</w:t>
      </w:r>
      <w:r w:rsidRPr="00036775" w:rsidDel="0094416F">
        <w:rPr>
          <w:rFonts w:asciiTheme="minorHAnsi" w:hAnsiTheme="minorHAnsi"/>
        </w:rPr>
        <w:t xml:space="preserve"> </w:t>
      </w:r>
      <w:r w:rsidR="00967B27" w:rsidRPr="00036775">
        <w:rPr>
          <w:rFonts w:asciiTheme="minorHAnsi" w:hAnsiTheme="minorHAnsi"/>
        </w:rPr>
        <w:t>of participants in whitewater float trips over the previous 12 months</w:t>
      </w:r>
      <w:r w:rsidR="006C6D91" w:rsidRPr="00036775">
        <w:rPr>
          <w:rFonts w:asciiTheme="minorHAnsi" w:hAnsiTheme="minorHAnsi"/>
        </w:rPr>
        <w:t xml:space="preserve">.  </w:t>
      </w:r>
      <w:r w:rsidR="00074825">
        <w:rPr>
          <w:rFonts w:asciiTheme="minorHAnsi" w:hAnsiTheme="minorHAnsi"/>
        </w:rPr>
        <w:t xml:space="preserve">A 12 month period of visitation is chosen in order to 1) capture potentially differing floater population segments in different times of the year (for example, winter vs. summer), and 2) minimize potential recall bias associated with sampling visitors from previous years.  </w:t>
      </w:r>
      <w:r w:rsidR="00A91FEE">
        <w:rPr>
          <w:rFonts w:asciiTheme="minorHAnsi" w:hAnsiTheme="minorHAnsi"/>
        </w:rPr>
        <w:t xml:space="preserve">Additionally, while precipitation and reservoir levels vary significantly from year to year, the streamflow from Glen Canyon Dam releases has been generally, consistent from 2012 through the present in terms of average daily flow levels. </w:t>
      </w:r>
      <w:r w:rsidR="006102E9">
        <w:rPr>
          <w:rFonts w:asciiTheme="minorHAnsi" w:hAnsiTheme="minorHAnsi"/>
        </w:rPr>
        <w:t xml:space="preserve">The choice of a 12 month period for our pool of potential respondents is further discussed in Supporting Statement B. </w:t>
      </w:r>
      <w:r w:rsidR="00074825">
        <w:rPr>
          <w:rFonts w:asciiTheme="minorHAnsi" w:hAnsiTheme="minorHAnsi"/>
        </w:rPr>
        <w:t xml:space="preserve"> </w:t>
      </w:r>
      <w:r w:rsidR="0097024E" w:rsidRPr="00036775">
        <w:rPr>
          <w:rFonts w:asciiTheme="minorHAnsi" w:hAnsiTheme="minorHAnsi"/>
        </w:rPr>
        <w:t xml:space="preserve">One-half of visitors </w:t>
      </w:r>
      <w:r w:rsidRPr="00036775">
        <w:rPr>
          <w:rFonts w:asciiTheme="minorHAnsi" w:hAnsiTheme="minorHAnsi"/>
        </w:rPr>
        <w:t xml:space="preserve">for each survey </w:t>
      </w:r>
      <w:r w:rsidR="0097024E" w:rsidRPr="00036775">
        <w:rPr>
          <w:rFonts w:asciiTheme="minorHAnsi" w:hAnsiTheme="minorHAnsi"/>
        </w:rPr>
        <w:t xml:space="preserve">will receive a survey containing contingent valuation (CV) questions with trip and flow valuation questions.  The other half will receive a version of the survey using the </w:t>
      </w:r>
      <w:r w:rsidR="007B64C6" w:rsidRPr="00036775">
        <w:rPr>
          <w:rFonts w:asciiTheme="minorHAnsi" w:hAnsiTheme="minorHAnsi"/>
        </w:rPr>
        <w:t xml:space="preserve">conjoint or </w:t>
      </w:r>
      <w:r w:rsidR="0097024E" w:rsidRPr="00036775">
        <w:rPr>
          <w:rFonts w:asciiTheme="minorHAnsi" w:hAnsiTheme="minorHAnsi"/>
        </w:rPr>
        <w:t>“Choice” question format.</w:t>
      </w:r>
      <w:r w:rsidR="006C6D91" w:rsidRPr="00036775">
        <w:rPr>
          <w:rFonts w:asciiTheme="minorHAnsi" w:hAnsiTheme="minorHAnsi"/>
        </w:rPr>
        <w:t xml:space="preserve"> </w:t>
      </w:r>
      <w:r w:rsidR="007B64C6" w:rsidRPr="00036775">
        <w:rPr>
          <w:rFonts w:asciiTheme="minorHAnsi" w:hAnsiTheme="minorHAnsi"/>
        </w:rPr>
        <w:t>A</w:t>
      </w:r>
      <w:r w:rsidR="006C6D91" w:rsidRPr="00036775">
        <w:rPr>
          <w:rFonts w:asciiTheme="minorHAnsi" w:hAnsiTheme="minorHAnsi"/>
        </w:rPr>
        <w:t xml:space="preserve"> description of the both surveys </w:t>
      </w:r>
      <w:r w:rsidR="007B64C6" w:rsidRPr="00036775">
        <w:rPr>
          <w:rFonts w:asciiTheme="minorHAnsi" w:hAnsiTheme="minorHAnsi"/>
        </w:rPr>
        <w:t xml:space="preserve">is outlined below </w:t>
      </w:r>
      <w:r w:rsidR="006C6D91" w:rsidRPr="00036775">
        <w:rPr>
          <w:rFonts w:asciiTheme="minorHAnsi" w:hAnsiTheme="minorHAnsi"/>
        </w:rPr>
        <w:t>and the justification</w:t>
      </w:r>
      <w:r w:rsidR="007B64C6" w:rsidRPr="00036775">
        <w:rPr>
          <w:rFonts w:asciiTheme="minorHAnsi" w:hAnsiTheme="minorHAnsi"/>
        </w:rPr>
        <w:t>s</w:t>
      </w:r>
      <w:r w:rsidR="006C6D91" w:rsidRPr="00036775">
        <w:rPr>
          <w:rFonts w:asciiTheme="minorHAnsi" w:hAnsiTheme="minorHAnsi"/>
        </w:rPr>
        <w:t xml:space="preserve"> for the questions </w:t>
      </w:r>
      <w:r w:rsidR="007B64C6" w:rsidRPr="00036775">
        <w:rPr>
          <w:rFonts w:asciiTheme="minorHAnsi" w:hAnsiTheme="minorHAnsi"/>
        </w:rPr>
        <w:t xml:space="preserve">are highlighted in shaded boxes on the survey instruments. </w:t>
      </w:r>
      <w:r w:rsidR="006C6D91" w:rsidRPr="00036775">
        <w:rPr>
          <w:rFonts w:asciiTheme="minorHAnsi" w:hAnsiTheme="minorHAnsi"/>
        </w:rPr>
        <w:t xml:space="preserve"> </w:t>
      </w:r>
    </w:p>
    <w:p w14:paraId="33D41093" w14:textId="77777777" w:rsidR="00D52387" w:rsidRDefault="00D52387" w:rsidP="004C7564">
      <w:pPr>
        <w:pStyle w:val="NoSpacing"/>
        <w:spacing w:line="360" w:lineRule="auto"/>
        <w:rPr>
          <w:rFonts w:asciiTheme="minorHAnsi" w:hAnsiTheme="minorHAnsi"/>
        </w:rPr>
      </w:pPr>
    </w:p>
    <w:p w14:paraId="565E5ED9" w14:textId="4FE7960E" w:rsidR="00D52387" w:rsidRPr="00036775" w:rsidRDefault="00D52387" w:rsidP="004C7564">
      <w:pPr>
        <w:pStyle w:val="NoSpacing"/>
        <w:spacing w:line="360" w:lineRule="auto"/>
        <w:rPr>
          <w:rFonts w:asciiTheme="minorHAnsi" w:hAnsiTheme="minorHAnsi"/>
        </w:rPr>
      </w:pPr>
      <w:r w:rsidRPr="00D52387">
        <w:rPr>
          <w:rFonts w:asciiTheme="minorHAnsi" w:hAnsiTheme="minorHAnsi"/>
        </w:rPr>
        <w:t>The current proposed survey will not be used in the LTEMP process due to incompatible timelines.</w:t>
      </w:r>
    </w:p>
    <w:p w14:paraId="3A67C2A0" w14:textId="77777777" w:rsidR="00CD44CA" w:rsidRPr="00036775" w:rsidRDefault="00CD44CA" w:rsidP="004C7564">
      <w:pPr>
        <w:pStyle w:val="NoSpacing"/>
        <w:spacing w:line="360" w:lineRule="auto"/>
        <w:rPr>
          <w:rFonts w:asciiTheme="minorHAnsi" w:hAnsiTheme="minorHAnsi"/>
        </w:rPr>
      </w:pPr>
    </w:p>
    <w:p w14:paraId="39A23BC2" w14:textId="77777777" w:rsidR="004C7564" w:rsidRPr="00036775" w:rsidRDefault="004C7564" w:rsidP="00F227BB">
      <w:pPr>
        <w:pStyle w:val="NoSpacing"/>
        <w:spacing w:line="360" w:lineRule="auto"/>
        <w:ind w:left="180"/>
        <w:rPr>
          <w:rFonts w:asciiTheme="minorHAnsi" w:hAnsiTheme="minorHAnsi"/>
          <w:u w:val="single"/>
        </w:rPr>
      </w:pPr>
      <w:r w:rsidRPr="00036775">
        <w:rPr>
          <w:rFonts w:asciiTheme="minorHAnsi" w:hAnsiTheme="minorHAnsi"/>
          <w:u w:val="single"/>
        </w:rPr>
        <w:t>1: White Water Floater</w:t>
      </w:r>
      <w:r w:rsidR="00C21DF3" w:rsidRPr="00036775">
        <w:rPr>
          <w:rFonts w:asciiTheme="minorHAnsi" w:hAnsiTheme="minorHAnsi"/>
          <w:u w:val="single"/>
        </w:rPr>
        <w:t xml:space="preserve"> Survey</w:t>
      </w:r>
    </w:p>
    <w:p w14:paraId="1FDB4DD5" w14:textId="77777777" w:rsidR="00866F37" w:rsidRPr="00036775" w:rsidRDefault="004C7564" w:rsidP="00F227BB">
      <w:pPr>
        <w:pStyle w:val="NoSpacing"/>
        <w:spacing w:line="360" w:lineRule="auto"/>
        <w:ind w:left="180"/>
        <w:rPr>
          <w:rFonts w:asciiTheme="minorHAnsi" w:hAnsiTheme="minorHAnsi"/>
        </w:rPr>
      </w:pPr>
      <w:r w:rsidRPr="00036775">
        <w:rPr>
          <w:rFonts w:asciiTheme="minorHAnsi" w:hAnsiTheme="minorHAnsi"/>
        </w:rPr>
        <w:t>This will be a survey of recreationists</w:t>
      </w:r>
      <w:r w:rsidR="007B64C6" w:rsidRPr="00036775">
        <w:rPr>
          <w:rFonts w:asciiTheme="minorHAnsi" w:hAnsiTheme="minorHAnsi"/>
        </w:rPr>
        <w:t xml:space="preserve"> that</w:t>
      </w:r>
      <w:r w:rsidRPr="00036775">
        <w:rPr>
          <w:rFonts w:asciiTheme="minorHAnsi" w:hAnsiTheme="minorHAnsi"/>
        </w:rPr>
        <w:t xml:space="preserve"> </w:t>
      </w:r>
      <w:r w:rsidRPr="00036775">
        <w:rPr>
          <w:rFonts w:asciiTheme="minorHAnsi" w:hAnsiTheme="minorHAnsi"/>
          <w:i/>
        </w:rPr>
        <w:t>float</w:t>
      </w:r>
      <w:r w:rsidR="007B64C6" w:rsidRPr="00036775">
        <w:rPr>
          <w:rFonts w:asciiTheme="minorHAnsi" w:hAnsiTheme="minorHAnsi"/>
          <w:i/>
        </w:rPr>
        <w:t>ed</w:t>
      </w:r>
      <w:r w:rsidRPr="00036775">
        <w:rPr>
          <w:rFonts w:asciiTheme="minorHAnsi" w:hAnsiTheme="minorHAnsi"/>
        </w:rPr>
        <w:t xml:space="preserve"> the stretch of the Colorado River from Lee’s Ferry downstream to the head of Lake Mead</w:t>
      </w:r>
      <w:r w:rsidR="007B64C6" w:rsidRPr="00036775">
        <w:rPr>
          <w:rFonts w:asciiTheme="minorHAnsi" w:hAnsiTheme="minorHAnsi"/>
        </w:rPr>
        <w:t xml:space="preserve"> within the last 12 months</w:t>
      </w:r>
      <w:r w:rsidRPr="00036775">
        <w:rPr>
          <w:rFonts w:asciiTheme="minorHAnsi" w:hAnsiTheme="minorHAnsi"/>
        </w:rPr>
        <w:t xml:space="preserve">. </w:t>
      </w:r>
      <w:r w:rsidR="001710DD" w:rsidRPr="00036775">
        <w:rPr>
          <w:rFonts w:asciiTheme="minorHAnsi" w:hAnsiTheme="minorHAnsi"/>
        </w:rPr>
        <w:t>A mail-back questionnaire</w:t>
      </w:r>
      <w:r w:rsidRPr="00036775">
        <w:rPr>
          <w:rFonts w:asciiTheme="minorHAnsi" w:hAnsiTheme="minorHAnsi"/>
        </w:rPr>
        <w:t xml:space="preserve"> will </w:t>
      </w:r>
      <w:r w:rsidR="001710DD" w:rsidRPr="00036775">
        <w:rPr>
          <w:rFonts w:asciiTheme="minorHAnsi" w:hAnsiTheme="minorHAnsi"/>
        </w:rPr>
        <w:t xml:space="preserve">be used to </w:t>
      </w:r>
      <w:r w:rsidRPr="00036775">
        <w:rPr>
          <w:rFonts w:asciiTheme="minorHAnsi" w:hAnsiTheme="minorHAnsi"/>
        </w:rPr>
        <w:t xml:space="preserve">gather information </w:t>
      </w:r>
      <w:r w:rsidR="00A36473" w:rsidRPr="00036775">
        <w:rPr>
          <w:rFonts w:asciiTheme="minorHAnsi" w:hAnsiTheme="minorHAnsi"/>
        </w:rPr>
        <w:t>about</w:t>
      </w:r>
      <w:r w:rsidRPr="00036775">
        <w:rPr>
          <w:rFonts w:asciiTheme="minorHAnsi" w:hAnsiTheme="minorHAnsi"/>
        </w:rPr>
        <w:t xml:space="preserve">: trip characteristics, trip expenditures, and the relationship between river flow levels and the values floaters place on their trips.  The valuation questions in </w:t>
      </w:r>
      <w:r w:rsidR="00A36473" w:rsidRPr="00036775">
        <w:rPr>
          <w:rFonts w:asciiTheme="minorHAnsi" w:hAnsiTheme="minorHAnsi"/>
        </w:rPr>
        <w:t xml:space="preserve">this </w:t>
      </w:r>
      <w:r w:rsidRPr="00036775">
        <w:rPr>
          <w:rFonts w:asciiTheme="minorHAnsi" w:hAnsiTheme="minorHAnsi"/>
        </w:rPr>
        <w:t>survey will be presented in two alternate survey versions</w:t>
      </w:r>
      <w:r w:rsidR="00391393" w:rsidRPr="00036775">
        <w:rPr>
          <w:rFonts w:asciiTheme="minorHAnsi" w:hAnsiTheme="minorHAnsi"/>
        </w:rPr>
        <w:t>: 1)</w:t>
      </w:r>
      <w:r w:rsidR="00BA1A5B" w:rsidRPr="00036775">
        <w:rPr>
          <w:rFonts w:asciiTheme="minorHAnsi" w:hAnsiTheme="minorHAnsi"/>
        </w:rPr>
        <w:t xml:space="preserve"> Contingent Valuation (CV)</w:t>
      </w:r>
      <w:r w:rsidR="00391393" w:rsidRPr="00036775">
        <w:rPr>
          <w:rFonts w:asciiTheme="minorHAnsi" w:hAnsiTheme="minorHAnsi"/>
        </w:rPr>
        <w:t xml:space="preserve"> Survey and 2)</w:t>
      </w:r>
      <w:r w:rsidR="00BA1A5B" w:rsidRPr="00036775">
        <w:rPr>
          <w:rFonts w:asciiTheme="minorHAnsi" w:hAnsiTheme="minorHAnsi"/>
        </w:rPr>
        <w:t xml:space="preserve"> </w:t>
      </w:r>
      <w:r w:rsidR="00391393" w:rsidRPr="00036775">
        <w:rPr>
          <w:rFonts w:asciiTheme="minorHAnsi" w:hAnsiTheme="minorHAnsi"/>
        </w:rPr>
        <w:t xml:space="preserve">Conjoint Survey. </w:t>
      </w:r>
      <w:r w:rsidR="009240D4" w:rsidRPr="00036775">
        <w:rPr>
          <w:rFonts w:asciiTheme="minorHAnsi" w:hAnsiTheme="minorHAnsi"/>
        </w:rPr>
        <w:t>Fifty percent of potential respondents will be randomly selected to receive each version of the survey</w:t>
      </w:r>
      <w:r w:rsidRPr="00036775">
        <w:rPr>
          <w:rFonts w:asciiTheme="minorHAnsi" w:hAnsiTheme="minorHAnsi"/>
        </w:rPr>
        <w:t xml:space="preserve">. </w:t>
      </w:r>
    </w:p>
    <w:p w14:paraId="3B459B60" w14:textId="77777777" w:rsidR="00866F37" w:rsidRPr="00036775" w:rsidRDefault="00866F37" w:rsidP="00F227BB">
      <w:pPr>
        <w:pStyle w:val="NoSpacing"/>
        <w:spacing w:line="360" w:lineRule="auto"/>
        <w:ind w:left="180"/>
        <w:rPr>
          <w:rFonts w:asciiTheme="minorHAnsi" w:hAnsiTheme="minorHAnsi"/>
        </w:rPr>
      </w:pPr>
    </w:p>
    <w:p w14:paraId="78669826" w14:textId="77777777" w:rsidR="004C7564" w:rsidRPr="00036775" w:rsidRDefault="004C7564" w:rsidP="00F227BB">
      <w:pPr>
        <w:pStyle w:val="NoSpacing"/>
        <w:spacing w:line="360" w:lineRule="auto"/>
        <w:ind w:left="180"/>
        <w:rPr>
          <w:rFonts w:asciiTheme="minorHAnsi" w:hAnsiTheme="minorHAnsi"/>
          <w:u w:val="single"/>
        </w:rPr>
      </w:pPr>
      <w:r w:rsidRPr="00036775">
        <w:rPr>
          <w:rFonts w:asciiTheme="minorHAnsi" w:hAnsiTheme="minorHAnsi"/>
        </w:rPr>
        <w:t>2:</w:t>
      </w:r>
      <w:r w:rsidRPr="00036775">
        <w:rPr>
          <w:rFonts w:asciiTheme="minorHAnsi" w:hAnsiTheme="minorHAnsi"/>
          <w:u w:val="single"/>
        </w:rPr>
        <w:t xml:space="preserve"> Angler </w:t>
      </w:r>
      <w:r w:rsidR="00C21DF3" w:rsidRPr="00036775">
        <w:rPr>
          <w:rFonts w:asciiTheme="minorHAnsi" w:hAnsiTheme="minorHAnsi"/>
          <w:u w:val="single"/>
        </w:rPr>
        <w:t>Survey</w:t>
      </w:r>
    </w:p>
    <w:p w14:paraId="12E7E7B0" w14:textId="77777777" w:rsidR="00866F37" w:rsidRPr="00036775" w:rsidRDefault="004C7564" w:rsidP="00F227BB">
      <w:pPr>
        <w:pStyle w:val="NoSpacing"/>
        <w:spacing w:line="360" w:lineRule="auto"/>
        <w:ind w:left="180"/>
        <w:rPr>
          <w:rFonts w:asciiTheme="minorHAnsi" w:hAnsiTheme="minorHAnsi"/>
        </w:rPr>
      </w:pPr>
      <w:r w:rsidRPr="00036775">
        <w:rPr>
          <w:rFonts w:asciiTheme="minorHAnsi" w:hAnsiTheme="minorHAnsi"/>
        </w:rPr>
        <w:t xml:space="preserve">This will be a survey of recreationists </w:t>
      </w:r>
      <w:r w:rsidRPr="00036775">
        <w:rPr>
          <w:rFonts w:asciiTheme="minorHAnsi" w:hAnsiTheme="minorHAnsi"/>
          <w:i/>
        </w:rPr>
        <w:t>fishing</w:t>
      </w:r>
      <w:r w:rsidRPr="00036775">
        <w:rPr>
          <w:rFonts w:asciiTheme="minorHAnsi" w:hAnsiTheme="minorHAnsi"/>
        </w:rPr>
        <w:t xml:space="preserve"> the stretch of the Colorado River from the base of Glen Canyon Dam downstream to just below Lee</w:t>
      </w:r>
      <w:r w:rsidR="007B64C6" w:rsidRPr="00036775">
        <w:rPr>
          <w:rFonts w:asciiTheme="minorHAnsi" w:hAnsiTheme="minorHAnsi"/>
        </w:rPr>
        <w:t>’</w:t>
      </w:r>
      <w:r w:rsidRPr="00036775">
        <w:rPr>
          <w:rFonts w:asciiTheme="minorHAnsi" w:hAnsiTheme="minorHAnsi"/>
        </w:rPr>
        <w:t xml:space="preserve">s Ferry. We will gather information </w:t>
      </w:r>
      <w:r w:rsidR="00A36473" w:rsidRPr="00036775">
        <w:rPr>
          <w:rFonts w:asciiTheme="minorHAnsi" w:hAnsiTheme="minorHAnsi"/>
        </w:rPr>
        <w:t>about</w:t>
      </w:r>
      <w:r w:rsidRPr="00036775">
        <w:rPr>
          <w:rFonts w:asciiTheme="minorHAnsi" w:hAnsiTheme="minorHAnsi"/>
        </w:rPr>
        <w:t xml:space="preserve">: trip characteristics, trip expenditures, and the relationship between river flow levels and the values anglers place on their trips.  </w:t>
      </w:r>
      <w:r w:rsidR="00BA1A5B" w:rsidRPr="00036775">
        <w:rPr>
          <w:rFonts w:asciiTheme="minorHAnsi" w:hAnsiTheme="minorHAnsi"/>
        </w:rPr>
        <w:t xml:space="preserve">The valuation questions in this survey will be presented in two alternate </w:t>
      </w:r>
      <w:r w:rsidR="00BA1A5B" w:rsidRPr="00036775">
        <w:rPr>
          <w:rFonts w:asciiTheme="minorHAnsi" w:hAnsiTheme="minorHAnsi"/>
        </w:rPr>
        <w:lastRenderedPageBreak/>
        <w:t xml:space="preserve">versions: 1) Contingent Valuation (CV) Survey and 2) Conjoint Survey. </w:t>
      </w:r>
      <w:r w:rsidR="009240D4" w:rsidRPr="00036775">
        <w:rPr>
          <w:rFonts w:asciiTheme="minorHAnsi" w:hAnsiTheme="minorHAnsi"/>
        </w:rPr>
        <w:t>Fifty percent of potential respondents will be randomly selected to receive each version of the survey.</w:t>
      </w:r>
    </w:p>
    <w:p w14:paraId="65B00468" w14:textId="77777777" w:rsidR="009240D4" w:rsidRPr="00036775" w:rsidRDefault="009240D4" w:rsidP="00A36473">
      <w:pPr>
        <w:pStyle w:val="NoSpacing"/>
        <w:spacing w:line="360" w:lineRule="auto"/>
        <w:ind w:left="360"/>
        <w:rPr>
          <w:rFonts w:asciiTheme="minorHAnsi" w:hAnsiTheme="minorHAnsi" w:cstheme="minorHAnsi"/>
          <w:spacing w:val="-2"/>
        </w:rPr>
      </w:pPr>
    </w:p>
    <w:p w14:paraId="2CA5EFD6" w14:textId="77777777" w:rsidR="00251128" w:rsidRPr="00036775" w:rsidRDefault="00C21DF3" w:rsidP="0075409A">
      <w:pPr>
        <w:pStyle w:val="NoSpacing"/>
        <w:spacing w:line="360" w:lineRule="auto"/>
        <w:rPr>
          <w:rFonts w:asciiTheme="minorHAnsi" w:hAnsiTheme="minorHAnsi"/>
        </w:rPr>
      </w:pPr>
      <w:r w:rsidRPr="00036775">
        <w:rPr>
          <w:rFonts w:asciiTheme="minorHAnsi" w:hAnsiTheme="minorHAnsi" w:cstheme="minorHAnsi"/>
          <w:spacing w:val="-2"/>
        </w:rPr>
        <w:t>Re</w:t>
      </w:r>
      <w:r w:rsidRPr="00036775">
        <w:rPr>
          <w:rFonts w:asciiTheme="minorHAnsi" w:hAnsiTheme="minorHAnsi" w:cstheme="minorHAnsi"/>
        </w:rPr>
        <w:t>s</w:t>
      </w:r>
      <w:r w:rsidRPr="00036775">
        <w:rPr>
          <w:rFonts w:asciiTheme="minorHAnsi" w:hAnsiTheme="minorHAnsi" w:cstheme="minorHAnsi"/>
          <w:spacing w:val="1"/>
        </w:rPr>
        <w:t>e</w:t>
      </w:r>
      <w:r w:rsidRPr="00036775">
        <w:rPr>
          <w:rFonts w:asciiTheme="minorHAnsi" w:hAnsiTheme="minorHAnsi" w:cstheme="minorHAnsi"/>
        </w:rPr>
        <w:t>a</w:t>
      </w:r>
      <w:r w:rsidRPr="00036775">
        <w:rPr>
          <w:rFonts w:asciiTheme="minorHAnsi" w:hAnsiTheme="minorHAnsi" w:cstheme="minorHAnsi"/>
          <w:spacing w:val="-1"/>
        </w:rPr>
        <w:t>r</w:t>
      </w:r>
      <w:r w:rsidRPr="00036775">
        <w:rPr>
          <w:rFonts w:asciiTheme="minorHAnsi" w:hAnsiTheme="minorHAnsi" w:cstheme="minorHAnsi"/>
        </w:rPr>
        <w:t>ch</w:t>
      </w:r>
      <w:r w:rsidRPr="00036775">
        <w:rPr>
          <w:rFonts w:asciiTheme="minorHAnsi" w:hAnsiTheme="minorHAnsi" w:cstheme="minorHAnsi"/>
          <w:spacing w:val="-2"/>
        </w:rPr>
        <w:t>e</w:t>
      </w:r>
      <w:r w:rsidRPr="00036775">
        <w:rPr>
          <w:rFonts w:asciiTheme="minorHAnsi" w:hAnsiTheme="minorHAnsi" w:cstheme="minorHAnsi"/>
          <w:spacing w:val="1"/>
        </w:rPr>
        <w:t>r</w:t>
      </w:r>
      <w:r w:rsidRPr="00036775">
        <w:rPr>
          <w:rFonts w:asciiTheme="minorHAnsi" w:hAnsiTheme="minorHAnsi" w:cstheme="minorHAnsi"/>
        </w:rPr>
        <w:t xml:space="preserve">s </w:t>
      </w:r>
      <w:r w:rsidRPr="00036775">
        <w:rPr>
          <w:rFonts w:asciiTheme="minorHAnsi" w:hAnsiTheme="minorHAnsi" w:cstheme="minorHAnsi"/>
          <w:spacing w:val="-2"/>
        </w:rPr>
        <w:t xml:space="preserve">from </w:t>
      </w:r>
      <w:r w:rsidRPr="00036775">
        <w:rPr>
          <w:rFonts w:asciiTheme="minorHAnsi" w:hAnsiTheme="minorHAnsi" w:cstheme="minorHAnsi"/>
          <w:spacing w:val="1"/>
        </w:rPr>
        <w:t>t</w:t>
      </w:r>
      <w:r w:rsidRPr="00036775">
        <w:rPr>
          <w:rFonts w:asciiTheme="minorHAnsi" w:hAnsiTheme="minorHAnsi" w:cstheme="minorHAnsi"/>
        </w:rPr>
        <w:t>he U</w:t>
      </w:r>
      <w:r w:rsidRPr="00036775">
        <w:rPr>
          <w:rFonts w:asciiTheme="minorHAnsi" w:hAnsiTheme="minorHAnsi" w:cstheme="minorHAnsi"/>
          <w:spacing w:val="-3"/>
        </w:rPr>
        <w:t>n</w:t>
      </w:r>
      <w:r w:rsidRPr="00036775">
        <w:rPr>
          <w:rFonts w:asciiTheme="minorHAnsi" w:hAnsiTheme="minorHAnsi" w:cstheme="minorHAnsi"/>
          <w:spacing w:val="1"/>
        </w:rPr>
        <w:t>i</w:t>
      </w:r>
      <w:r w:rsidRPr="00036775">
        <w:rPr>
          <w:rFonts w:asciiTheme="minorHAnsi" w:hAnsiTheme="minorHAnsi" w:cstheme="minorHAnsi"/>
          <w:spacing w:val="-2"/>
        </w:rPr>
        <w:t>v</w:t>
      </w:r>
      <w:r w:rsidRPr="00036775">
        <w:rPr>
          <w:rFonts w:asciiTheme="minorHAnsi" w:hAnsiTheme="minorHAnsi" w:cstheme="minorHAnsi"/>
        </w:rPr>
        <w:t>e</w:t>
      </w:r>
      <w:r w:rsidRPr="00036775">
        <w:rPr>
          <w:rFonts w:asciiTheme="minorHAnsi" w:hAnsiTheme="minorHAnsi" w:cstheme="minorHAnsi"/>
          <w:spacing w:val="1"/>
        </w:rPr>
        <w:t>r</w:t>
      </w:r>
      <w:r w:rsidRPr="00036775">
        <w:rPr>
          <w:rFonts w:asciiTheme="minorHAnsi" w:hAnsiTheme="minorHAnsi" w:cstheme="minorHAnsi"/>
        </w:rPr>
        <w:t>s</w:t>
      </w:r>
      <w:r w:rsidRPr="00036775">
        <w:rPr>
          <w:rFonts w:asciiTheme="minorHAnsi" w:hAnsiTheme="minorHAnsi" w:cstheme="minorHAnsi"/>
          <w:spacing w:val="-1"/>
        </w:rPr>
        <w:t>i</w:t>
      </w:r>
      <w:r w:rsidRPr="00036775">
        <w:rPr>
          <w:rFonts w:asciiTheme="minorHAnsi" w:hAnsiTheme="minorHAnsi" w:cstheme="minorHAnsi"/>
          <w:spacing w:val="1"/>
        </w:rPr>
        <w:t>t</w:t>
      </w:r>
      <w:r w:rsidRPr="00036775">
        <w:rPr>
          <w:rFonts w:asciiTheme="minorHAnsi" w:hAnsiTheme="minorHAnsi" w:cstheme="minorHAnsi"/>
        </w:rPr>
        <w:t>y</w:t>
      </w:r>
      <w:r w:rsidRPr="00036775">
        <w:rPr>
          <w:rFonts w:asciiTheme="minorHAnsi" w:hAnsiTheme="minorHAnsi" w:cstheme="minorHAnsi"/>
          <w:spacing w:val="-2"/>
        </w:rPr>
        <w:t xml:space="preserve"> </w:t>
      </w:r>
      <w:r w:rsidRPr="00036775">
        <w:rPr>
          <w:rFonts w:asciiTheme="minorHAnsi" w:hAnsiTheme="minorHAnsi" w:cstheme="minorHAnsi"/>
        </w:rPr>
        <w:t>of</w:t>
      </w:r>
      <w:r w:rsidRPr="00036775">
        <w:rPr>
          <w:rFonts w:asciiTheme="minorHAnsi" w:hAnsiTheme="minorHAnsi" w:cstheme="minorHAnsi"/>
          <w:spacing w:val="1"/>
        </w:rPr>
        <w:t xml:space="preserve"> </w:t>
      </w:r>
      <w:r w:rsidRPr="00036775">
        <w:rPr>
          <w:rFonts w:asciiTheme="minorHAnsi" w:hAnsiTheme="minorHAnsi" w:cstheme="minorHAnsi"/>
        </w:rPr>
        <w:t>M</w:t>
      </w:r>
      <w:r w:rsidRPr="00036775">
        <w:rPr>
          <w:rFonts w:asciiTheme="minorHAnsi" w:hAnsiTheme="minorHAnsi" w:cstheme="minorHAnsi"/>
          <w:spacing w:val="-2"/>
        </w:rPr>
        <w:t>o</w:t>
      </w:r>
      <w:r w:rsidRPr="00036775">
        <w:rPr>
          <w:rFonts w:asciiTheme="minorHAnsi" w:hAnsiTheme="minorHAnsi" w:cstheme="minorHAnsi"/>
        </w:rPr>
        <w:t>n</w:t>
      </w:r>
      <w:r w:rsidRPr="00036775">
        <w:rPr>
          <w:rFonts w:asciiTheme="minorHAnsi" w:hAnsiTheme="minorHAnsi" w:cstheme="minorHAnsi"/>
          <w:spacing w:val="1"/>
        </w:rPr>
        <w:t>t</w:t>
      </w:r>
      <w:r w:rsidRPr="00036775">
        <w:rPr>
          <w:rFonts w:asciiTheme="minorHAnsi" w:hAnsiTheme="minorHAnsi" w:cstheme="minorHAnsi"/>
          <w:spacing w:val="-2"/>
        </w:rPr>
        <w:t>a</w:t>
      </w:r>
      <w:r w:rsidRPr="00036775">
        <w:rPr>
          <w:rFonts w:asciiTheme="minorHAnsi" w:hAnsiTheme="minorHAnsi" w:cstheme="minorHAnsi"/>
        </w:rPr>
        <w:t xml:space="preserve">na, </w:t>
      </w:r>
      <w:r w:rsidRPr="00036775">
        <w:rPr>
          <w:rFonts w:asciiTheme="minorHAnsi" w:hAnsiTheme="minorHAnsi" w:cstheme="minorHAnsi"/>
          <w:spacing w:val="-2"/>
        </w:rPr>
        <w:t>M</w:t>
      </w:r>
      <w:r w:rsidRPr="00036775">
        <w:rPr>
          <w:rFonts w:asciiTheme="minorHAnsi" w:hAnsiTheme="minorHAnsi" w:cstheme="minorHAnsi"/>
          <w:spacing w:val="1"/>
        </w:rPr>
        <w:t>i</w:t>
      </w:r>
      <w:r w:rsidRPr="00036775">
        <w:rPr>
          <w:rFonts w:asciiTheme="minorHAnsi" w:hAnsiTheme="minorHAnsi" w:cstheme="minorHAnsi"/>
          <w:spacing w:val="-2"/>
        </w:rPr>
        <w:t>s</w:t>
      </w:r>
      <w:r w:rsidRPr="00036775">
        <w:rPr>
          <w:rFonts w:asciiTheme="minorHAnsi" w:hAnsiTheme="minorHAnsi" w:cstheme="minorHAnsi"/>
        </w:rPr>
        <w:t>so</w:t>
      </w:r>
      <w:r w:rsidRPr="00036775">
        <w:rPr>
          <w:rFonts w:asciiTheme="minorHAnsi" w:hAnsiTheme="minorHAnsi" w:cstheme="minorHAnsi"/>
          <w:spacing w:val="-2"/>
        </w:rPr>
        <w:t>u</w:t>
      </w:r>
      <w:r w:rsidRPr="00036775">
        <w:rPr>
          <w:rFonts w:asciiTheme="minorHAnsi" w:hAnsiTheme="minorHAnsi" w:cstheme="minorHAnsi"/>
          <w:spacing w:val="1"/>
        </w:rPr>
        <w:t>l</w:t>
      </w:r>
      <w:r w:rsidRPr="00036775">
        <w:rPr>
          <w:rFonts w:asciiTheme="minorHAnsi" w:hAnsiTheme="minorHAnsi" w:cstheme="minorHAnsi"/>
        </w:rPr>
        <w:t xml:space="preserve">a, </w:t>
      </w:r>
      <w:r w:rsidRPr="00036775">
        <w:rPr>
          <w:rFonts w:asciiTheme="minorHAnsi" w:hAnsiTheme="minorHAnsi" w:cstheme="minorHAnsi"/>
          <w:spacing w:val="-2"/>
        </w:rPr>
        <w:t>M</w:t>
      </w:r>
      <w:r w:rsidRPr="00036775">
        <w:rPr>
          <w:rFonts w:asciiTheme="minorHAnsi" w:hAnsiTheme="minorHAnsi" w:cstheme="minorHAnsi"/>
        </w:rPr>
        <w:t>T</w:t>
      </w:r>
      <w:r w:rsidRPr="00036775">
        <w:rPr>
          <w:rFonts w:asciiTheme="minorHAnsi" w:hAnsiTheme="minorHAnsi"/>
        </w:rPr>
        <w:t xml:space="preserve"> will administer </w:t>
      </w:r>
      <w:r w:rsidR="00A36473" w:rsidRPr="00036775">
        <w:rPr>
          <w:rFonts w:asciiTheme="minorHAnsi" w:hAnsiTheme="minorHAnsi"/>
        </w:rPr>
        <w:t>and</w:t>
      </w:r>
      <w:r w:rsidRPr="00036775">
        <w:rPr>
          <w:rFonts w:asciiTheme="minorHAnsi" w:hAnsiTheme="minorHAnsi"/>
        </w:rPr>
        <w:t xml:space="preserve"> collect the </w:t>
      </w:r>
      <w:r w:rsidR="00A36473" w:rsidRPr="00036775">
        <w:rPr>
          <w:rFonts w:asciiTheme="minorHAnsi" w:hAnsiTheme="minorHAnsi"/>
        </w:rPr>
        <w:t>surveys associat</w:t>
      </w:r>
      <w:r w:rsidR="005E4A21" w:rsidRPr="00036775">
        <w:rPr>
          <w:rFonts w:asciiTheme="minorHAnsi" w:hAnsiTheme="minorHAnsi"/>
        </w:rPr>
        <w:t>ed</w:t>
      </w:r>
      <w:r w:rsidR="00A36473" w:rsidRPr="00036775">
        <w:rPr>
          <w:rFonts w:asciiTheme="minorHAnsi" w:hAnsiTheme="minorHAnsi"/>
        </w:rPr>
        <w:t xml:space="preserve"> with this submission</w:t>
      </w:r>
      <w:r w:rsidRPr="00036775">
        <w:rPr>
          <w:rFonts w:asciiTheme="minorHAnsi" w:hAnsiTheme="minorHAnsi"/>
        </w:rPr>
        <w:t xml:space="preserve">. The results will be used to demonstrate the relationship between river water flows, recreational use, and trip values.  </w:t>
      </w:r>
      <w:r w:rsidR="00BA1A5B" w:rsidRPr="00036775">
        <w:rPr>
          <w:rFonts w:asciiTheme="minorHAnsi" w:hAnsiTheme="minorHAnsi"/>
        </w:rPr>
        <w:t>The study results will be published by USGS</w:t>
      </w:r>
      <w:r w:rsidR="001710DD" w:rsidRPr="00036775">
        <w:rPr>
          <w:rFonts w:asciiTheme="minorHAnsi" w:hAnsiTheme="minorHAnsi"/>
        </w:rPr>
        <w:t xml:space="preserve"> and </w:t>
      </w:r>
      <w:r w:rsidR="00BA1A5B" w:rsidRPr="00036775">
        <w:rPr>
          <w:rFonts w:asciiTheme="minorHAnsi" w:hAnsiTheme="minorHAnsi"/>
        </w:rPr>
        <w:t xml:space="preserve">NPS in the form of a final comprehensive technical report available for use by Federal and State policy makers and the general public.  Aspects of the study will also be submitted for publication in at least one peer reviewed publication, in order to highlight the contribution this study makes to the greater body of research on the relationship between water levels and recreational use and values. </w:t>
      </w:r>
    </w:p>
    <w:p w14:paraId="74EEA75A" w14:textId="77777777" w:rsidR="00902CE7" w:rsidRPr="00036775" w:rsidRDefault="00902CE7" w:rsidP="001A3579">
      <w:pPr>
        <w:pStyle w:val="NoSpacing"/>
        <w:spacing w:line="276" w:lineRule="auto"/>
        <w:rPr>
          <w:rFonts w:asciiTheme="minorHAnsi" w:hAnsiTheme="minorHAnsi"/>
        </w:rPr>
      </w:pPr>
    </w:p>
    <w:p w14:paraId="029713E5" w14:textId="77777777" w:rsidR="009A7F73" w:rsidRPr="00036775" w:rsidRDefault="009A7F73" w:rsidP="001A3579">
      <w:pPr>
        <w:pStyle w:val="NoSpacing"/>
        <w:spacing w:line="276" w:lineRule="auto"/>
        <w:ind w:left="360" w:hanging="360"/>
        <w:rPr>
          <w:rFonts w:asciiTheme="minorHAnsi" w:hAnsiTheme="minorHAnsi"/>
        </w:rPr>
      </w:pPr>
      <w:r w:rsidRPr="00036775">
        <w:rPr>
          <w:rFonts w:asciiTheme="minorHAnsi" w:hAnsiTheme="minorHAnsi"/>
        </w:rPr>
        <w:t xml:space="preserve">3. </w:t>
      </w:r>
      <w:r w:rsidR="007B5129" w:rsidRPr="00036775">
        <w:rPr>
          <w:rFonts w:asciiTheme="minorHAnsi" w:hAnsiTheme="minorHAnsi"/>
        </w:rPr>
        <w:tab/>
      </w:r>
      <w:r w:rsidR="007B5129" w:rsidRPr="00036775">
        <w:rPr>
          <w:rFonts w:asciiTheme="minorHAnsi" w:hAnsiTheme="minorHAnsi"/>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E2F6C1" w14:textId="77777777" w:rsidR="007B5129" w:rsidRPr="00036775" w:rsidRDefault="007B5129" w:rsidP="001A3579">
      <w:pPr>
        <w:pStyle w:val="NoSpacing"/>
        <w:spacing w:line="276" w:lineRule="auto"/>
        <w:rPr>
          <w:rFonts w:asciiTheme="minorHAnsi" w:hAnsiTheme="minorHAnsi"/>
        </w:rPr>
      </w:pPr>
    </w:p>
    <w:p w14:paraId="36213DA8" w14:textId="77777777" w:rsidR="0047289E" w:rsidRPr="00036775" w:rsidRDefault="004C7564" w:rsidP="00BF33B4">
      <w:pPr>
        <w:pStyle w:val="NoSpacing"/>
        <w:spacing w:line="360" w:lineRule="auto"/>
        <w:rPr>
          <w:rFonts w:asciiTheme="minorHAnsi" w:hAnsiTheme="minorHAnsi"/>
        </w:rPr>
      </w:pPr>
      <w:r w:rsidRPr="00036775">
        <w:rPr>
          <w:rFonts w:asciiTheme="minorHAnsi" w:hAnsiTheme="minorHAnsi"/>
        </w:rPr>
        <w:t xml:space="preserve">This </w:t>
      </w:r>
      <w:r w:rsidR="00A36473" w:rsidRPr="00036775">
        <w:rPr>
          <w:rFonts w:asciiTheme="minorHAnsi" w:hAnsiTheme="minorHAnsi"/>
        </w:rPr>
        <w:t xml:space="preserve">data collection will not use </w:t>
      </w:r>
      <w:r w:rsidRPr="00036775">
        <w:rPr>
          <w:rFonts w:asciiTheme="minorHAnsi" w:hAnsiTheme="minorHAnsi"/>
        </w:rPr>
        <w:t xml:space="preserve">electronic </w:t>
      </w:r>
      <w:r w:rsidR="00A36473" w:rsidRPr="00036775">
        <w:rPr>
          <w:rFonts w:asciiTheme="minorHAnsi" w:hAnsiTheme="minorHAnsi"/>
        </w:rPr>
        <w:t>techniques</w:t>
      </w:r>
      <w:r w:rsidRPr="00036775">
        <w:rPr>
          <w:rFonts w:asciiTheme="minorHAnsi" w:hAnsiTheme="minorHAnsi"/>
        </w:rPr>
        <w:t xml:space="preserve">. </w:t>
      </w:r>
    </w:p>
    <w:p w14:paraId="34472408" w14:textId="77777777" w:rsidR="00BF33B4" w:rsidRPr="00036775" w:rsidRDefault="00BF33B4" w:rsidP="001A3579">
      <w:pPr>
        <w:pStyle w:val="NoSpacing"/>
        <w:spacing w:line="276" w:lineRule="auto"/>
        <w:ind w:left="360" w:hanging="360"/>
        <w:rPr>
          <w:rFonts w:asciiTheme="minorHAnsi" w:hAnsiTheme="minorHAnsi"/>
          <w:b/>
        </w:rPr>
      </w:pPr>
    </w:p>
    <w:p w14:paraId="283E241E" w14:textId="77777777" w:rsidR="009A7F73" w:rsidRPr="00036775" w:rsidRDefault="007B5129" w:rsidP="001A3579">
      <w:pPr>
        <w:pStyle w:val="NoSpacing"/>
        <w:spacing w:line="276" w:lineRule="auto"/>
        <w:ind w:left="360" w:hanging="360"/>
        <w:rPr>
          <w:rFonts w:asciiTheme="minorHAnsi" w:hAnsiTheme="minorHAnsi"/>
          <w:b/>
        </w:rPr>
      </w:pPr>
      <w:r w:rsidRPr="00036775">
        <w:rPr>
          <w:rFonts w:asciiTheme="minorHAnsi" w:hAnsiTheme="minorHAnsi"/>
          <w:b/>
        </w:rPr>
        <w:t>4.</w:t>
      </w:r>
      <w:r w:rsidRPr="00036775">
        <w:rPr>
          <w:rFonts w:asciiTheme="minorHAnsi" w:hAnsiTheme="minorHAnsi"/>
          <w:b/>
        </w:rPr>
        <w:tab/>
      </w:r>
      <w:r w:rsidR="009A7F73" w:rsidRPr="00036775">
        <w:rPr>
          <w:rFonts w:asciiTheme="minorHAnsi" w:hAnsiTheme="minorHAnsi"/>
          <w:b/>
        </w:rPr>
        <w:t xml:space="preserve">Describe efforts to identify duplication. Show specifically why any similar information already available cannot be used or modified for use for the purposes described in Item 2 above. </w:t>
      </w:r>
    </w:p>
    <w:p w14:paraId="72FC6B3C" w14:textId="77777777" w:rsidR="00312BC7" w:rsidRPr="00036775" w:rsidRDefault="00312BC7" w:rsidP="001A3579">
      <w:pPr>
        <w:pStyle w:val="NoSpacing"/>
        <w:spacing w:line="276" w:lineRule="auto"/>
        <w:rPr>
          <w:rFonts w:asciiTheme="minorHAnsi" w:hAnsiTheme="minorHAnsi"/>
        </w:rPr>
      </w:pPr>
    </w:p>
    <w:p w14:paraId="58AAE2EB" w14:textId="77777777" w:rsidR="00CD57E3" w:rsidRDefault="00BA67C8" w:rsidP="00BF33B4">
      <w:pPr>
        <w:pStyle w:val="NoSpacing"/>
        <w:spacing w:line="360" w:lineRule="auto"/>
        <w:rPr>
          <w:rFonts w:asciiTheme="minorHAnsi" w:hAnsiTheme="minorHAnsi"/>
        </w:rPr>
      </w:pPr>
      <w:r w:rsidRPr="00036775">
        <w:rPr>
          <w:rFonts w:asciiTheme="minorHAnsi" w:hAnsiTheme="minorHAnsi"/>
        </w:rPr>
        <w:t xml:space="preserve">There </w:t>
      </w:r>
      <w:r w:rsidR="004C7564" w:rsidRPr="00036775">
        <w:rPr>
          <w:rFonts w:asciiTheme="minorHAnsi" w:hAnsiTheme="minorHAnsi"/>
        </w:rPr>
        <w:t xml:space="preserve">is </w:t>
      </w:r>
      <w:r w:rsidRPr="00036775">
        <w:rPr>
          <w:rFonts w:asciiTheme="minorHAnsi" w:hAnsiTheme="minorHAnsi"/>
        </w:rPr>
        <w:t>no</w:t>
      </w:r>
      <w:r w:rsidR="004C7564" w:rsidRPr="00036775">
        <w:rPr>
          <w:rFonts w:asciiTheme="minorHAnsi" w:hAnsiTheme="minorHAnsi"/>
        </w:rPr>
        <w:t xml:space="preserve"> known</w:t>
      </w:r>
      <w:r w:rsidRPr="00036775">
        <w:rPr>
          <w:rFonts w:asciiTheme="minorHAnsi" w:hAnsiTheme="minorHAnsi"/>
        </w:rPr>
        <w:t xml:space="preserve"> duplication</w:t>
      </w:r>
      <w:r w:rsidR="004C7564" w:rsidRPr="00036775">
        <w:rPr>
          <w:rFonts w:asciiTheme="minorHAnsi" w:hAnsiTheme="minorHAnsi"/>
        </w:rPr>
        <w:t xml:space="preserve"> of efforts. </w:t>
      </w:r>
      <w:r w:rsidR="009A7F73" w:rsidRPr="00036775">
        <w:rPr>
          <w:rFonts w:asciiTheme="minorHAnsi" w:hAnsiTheme="minorHAnsi"/>
        </w:rPr>
        <w:t xml:space="preserve"> A thorough review of previous survey efforts in </w:t>
      </w:r>
      <w:r w:rsidR="00A36473" w:rsidRPr="00036775">
        <w:rPr>
          <w:rFonts w:asciiTheme="minorHAnsi" w:hAnsiTheme="minorHAnsi"/>
        </w:rPr>
        <w:t xml:space="preserve">this </w:t>
      </w:r>
      <w:r w:rsidR="00BA0A9A" w:rsidRPr="00036775">
        <w:rPr>
          <w:rFonts w:asciiTheme="minorHAnsi" w:hAnsiTheme="minorHAnsi"/>
        </w:rPr>
        <w:t>river corridor</w:t>
      </w:r>
      <w:r w:rsidR="00312BC7" w:rsidRPr="00036775">
        <w:rPr>
          <w:rFonts w:asciiTheme="minorHAnsi" w:hAnsiTheme="minorHAnsi"/>
        </w:rPr>
        <w:t xml:space="preserve"> as well as </w:t>
      </w:r>
      <w:r w:rsidR="004C7564" w:rsidRPr="00036775">
        <w:rPr>
          <w:rFonts w:asciiTheme="minorHAnsi" w:hAnsiTheme="minorHAnsi"/>
        </w:rPr>
        <w:t>a</w:t>
      </w:r>
      <w:r w:rsidR="00312BC7" w:rsidRPr="00036775">
        <w:rPr>
          <w:rFonts w:asciiTheme="minorHAnsi" w:hAnsiTheme="minorHAnsi"/>
        </w:rPr>
        <w:t xml:space="preserve"> comprehensive analysis of existing data gaps was conducted by the principal investigator to define the scope </w:t>
      </w:r>
      <w:r w:rsidR="004C7564" w:rsidRPr="00036775">
        <w:rPr>
          <w:rFonts w:asciiTheme="minorHAnsi" w:hAnsiTheme="minorHAnsi"/>
        </w:rPr>
        <w:t>of</w:t>
      </w:r>
      <w:r w:rsidR="00312BC7" w:rsidRPr="00036775">
        <w:rPr>
          <w:rFonts w:asciiTheme="minorHAnsi" w:hAnsiTheme="minorHAnsi"/>
        </w:rPr>
        <w:t xml:space="preserve"> </w:t>
      </w:r>
      <w:r w:rsidR="004C7564" w:rsidRPr="00036775">
        <w:rPr>
          <w:rFonts w:asciiTheme="minorHAnsi" w:hAnsiTheme="minorHAnsi"/>
        </w:rPr>
        <w:t>this collection</w:t>
      </w:r>
      <w:r w:rsidR="00634FFD" w:rsidRPr="00036775">
        <w:rPr>
          <w:rFonts w:asciiTheme="minorHAnsi" w:hAnsiTheme="minorHAnsi"/>
        </w:rPr>
        <w:t>.</w:t>
      </w:r>
    </w:p>
    <w:p w14:paraId="796F7D52" w14:textId="77777777" w:rsidR="00942D12" w:rsidRDefault="00942D12" w:rsidP="00BF33B4">
      <w:pPr>
        <w:pStyle w:val="NoSpacing"/>
        <w:spacing w:line="360" w:lineRule="auto"/>
        <w:rPr>
          <w:rFonts w:asciiTheme="minorHAnsi" w:hAnsiTheme="minorHAnsi"/>
        </w:rPr>
      </w:pPr>
    </w:p>
    <w:p w14:paraId="41874060" w14:textId="0AE7CB50" w:rsidR="00942D12" w:rsidRPr="00036775" w:rsidRDefault="00942D12" w:rsidP="00BF33B4">
      <w:pPr>
        <w:pStyle w:val="NoSpacing"/>
        <w:spacing w:line="360" w:lineRule="auto"/>
        <w:rPr>
          <w:rFonts w:asciiTheme="minorHAnsi" w:hAnsiTheme="minorHAnsi"/>
        </w:rPr>
      </w:pPr>
      <w:r w:rsidRPr="00942D12">
        <w:rPr>
          <w:rFonts w:asciiTheme="minorHAnsi" w:hAnsiTheme="minorHAnsi"/>
        </w:rPr>
        <w:t>The Proposed Glen Canyon Angler and Grand Canyon Whitewater boater surveys are designed to only examine direct use values associated with angling and whitewater floating in the target river stretches.  This is distinct from the total value (passive use value) survey of national households being conducted to inform the LTEMP process.  There is no overlap in target population, or value component examined between the two surveys.  No aspect of non-use (passive use) value will be addressed in the current proposed angler and whitewater surveys.</w:t>
      </w:r>
    </w:p>
    <w:p w14:paraId="2ED0309B" w14:textId="77777777" w:rsidR="00BF33B4" w:rsidRPr="00036775" w:rsidRDefault="00BF33B4" w:rsidP="001A3579">
      <w:pPr>
        <w:pStyle w:val="NoSpacing"/>
        <w:spacing w:line="276" w:lineRule="auto"/>
        <w:ind w:left="450" w:hanging="450"/>
        <w:rPr>
          <w:rFonts w:asciiTheme="minorHAnsi" w:hAnsiTheme="minorHAnsi"/>
          <w:b/>
        </w:rPr>
      </w:pPr>
    </w:p>
    <w:p w14:paraId="03E57EFB" w14:textId="77777777" w:rsidR="005F397E" w:rsidRPr="00036775" w:rsidRDefault="009A7F73" w:rsidP="001A3579">
      <w:pPr>
        <w:pStyle w:val="NoSpacing"/>
        <w:spacing w:line="276" w:lineRule="auto"/>
        <w:ind w:left="450" w:hanging="450"/>
        <w:rPr>
          <w:rFonts w:asciiTheme="minorHAnsi" w:hAnsiTheme="minorHAnsi"/>
          <w:b/>
        </w:rPr>
      </w:pPr>
      <w:r w:rsidRPr="00036775">
        <w:rPr>
          <w:rFonts w:asciiTheme="minorHAnsi" w:hAnsiTheme="minorHAnsi"/>
          <w:b/>
        </w:rPr>
        <w:lastRenderedPageBreak/>
        <w:t xml:space="preserve">5. </w:t>
      </w:r>
      <w:r w:rsidR="007B5129" w:rsidRPr="00036775">
        <w:rPr>
          <w:rFonts w:asciiTheme="minorHAnsi" w:hAnsiTheme="minorHAnsi"/>
          <w:b/>
        </w:rPr>
        <w:tab/>
        <w:t>If the collection of information impacts small businesses or other small entities, describe any methods used to minimize burden.</w:t>
      </w:r>
    </w:p>
    <w:p w14:paraId="16452067" w14:textId="77777777" w:rsidR="007B5129" w:rsidRPr="00036775" w:rsidRDefault="007B5129" w:rsidP="001A3579">
      <w:pPr>
        <w:pStyle w:val="NoSpacing"/>
        <w:spacing w:line="276" w:lineRule="auto"/>
        <w:ind w:left="450" w:hanging="450"/>
        <w:rPr>
          <w:rFonts w:asciiTheme="minorHAnsi" w:hAnsiTheme="minorHAnsi"/>
          <w:b/>
        </w:rPr>
      </w:pPr>
    </w:p>
    <w:p w14:paraId="74F8D240" w14:textId="77777777" w:rsidR="00507408" w:rsidRPr="00036775" w:rsidRDefault="009A7F73" w:rsidP="001A3579">
      <w:pPr>
        <w:pStyle w:val="NoSpacing"/>
        <w:spacing w:line="276" w:lineRule="auto"/>
        <w:rPr>
          <w:rFonts w:asciiTheme="minorHAnsi" w:hAnsiTheme="minorHAnsi"/>
        </w:rPr>
      </w:pPr>
      <w:r w:rsidRPr="00036775">
        <w:rPr>
          <w:rFonts w:asciiTheme="minorHAnsi" w:hAnsiTheme="minorHAnsi"/>
        </w:rPr>
        <w:t>Th</w:t>
      </w:r>
      <w:r w:rsidR="00BA67C8" w:rsidRPr="00036775">
        <w:rPr>
          <w:rFonts w:asciiTheme="minorHAnsi" w:hAnsiTheme="minorHAnsi"/>
        </w:rPr>
        <w:t>is</w:t>
      </w:r>
      <w:r w:rsidRPr="00036775">
        <w:rPr>
          <w:rFonts w:asciiTheme="minorHAnsi" w:hAnsiTheme="minorHAnsi"/>
        </w:rPr>
        <w:t xml:space="preserve"> data collection will not impact small businesses or other small entities. </w:t>
      </w:r>
    </w:p>
    <w:p w14:paraId="08A6E25B" w14:textId="77777777" w:rsidR="00507408" w:rsidRPr="00036775" w:rsidRDefault="00507408" w:rsidP="001A3579">
      <w:pPr>
        <w:pStyle w:val="NoSpacing"/>
        <w:spacing w:line="276" w:lineRule="auto"/>
        <w:rPr>
          <w:rFonts w:asciiTheme="minorHAnsi" w:hAnsiTheme="minorHAnsi"/>
        </w:rPr>
      </w:pPr>
    </w:p>
    <w:p w14:paraId="05466F57" w14:textId="77777777" w:rsidR="007B5129" w:rsidRPr="00036775" w:rsidRDefault="007B5129" w:rsidP="001A3579">
      <w:pPr>
        <w:pStyle w:val="NoSpacing"/>
        <w:spacing w:line="276" w:lineRule="auto"/>
        <w:ind w:left="360" w:hanging="360"/>
        <w:rPr>
          <w:rFonts w:asciiTheme="minorHAnsi" w:hAnsiTheme="minorHAnsi"/>
        </w:rPr>
      </w:pPr>
      <w:r w:rsidRPr="00036775">
        <w:rPr>
          <w:rFonts w:asciiTheme="minorHAnsi" w:hAnsiTheme="minorHAnsi"/>
        </w:rPr>
        <w:t>6.</w:t>
      </w:r>
      <w:r w:rsidRPr="00036775">
        <w:rPr>
          <w:rFonts w:asciiTheme="minorHAnsi" w:hAnsiTheme="minorHAnsi"/>
        </w:rPr>
        <w:tab/>
      </w:r>
      <w:r w:rsidRPr="00036775">
        <w:rPr>
          <w:rFonts w:asciiTheme="minorHAnsi" w:hAnsiTheme="minorHAnsi"/>
          <w:b/>
        </w:rPr>
        <w:t>Describe the consequence to Federal program or policy activities if the collection is not conducted or is conducted less frequently, as well as any technical or legal obstacles to reducing burden.</w:t>
      </w:r>
    </w:p>
    <w:p w14:paraId="7A2A0B82" w14:textId="77777777" w:rsidR="009A7F73" w:rsidRPr="00036775" w:rsidRDefault="009A7F73" w:rsidP="001A3579">
      <w:pPr>
        <w:pStyle w:val="NoSpacing"/>
        <w:spacing w:line="276" w:lineRule="auto"/>
        <w:rPr>
          <w:rFonts w:asciiTheme="minorHAnsi" w:hAnsiTheme="minorHAnsi"/>
        </w:rPr>
      </w:pPr>
    </w:p>
    <w:p w14:paraId="3A086F31" w14:textId="77777777" w:rsidR="00BA0134" w:rsidRPr="00036775" w:rsidRDefault="00F70444" w:rsidP="00BF33B4">
      <w:pPr>
        <w:pStyle w:val="NoSpacing"/>
        <w:spacing w:line="360" w:lineRule="auto"/>
        <w:rPr>
          <w:rFonts w:asciiTheme="minorHAnsi" w:hAnsiTheme="minorHAnsi"/>
        </w:rPr>
      </w:pPr>
      <w:r w:rsidRPr="00036775">
        <w:rPr>
          <w:rFonts w:asciiTheme="minorHAnsi" w:hAnsiTheme="minorHAnsi"/>
        </w:rPr>
        <w:t>I</w:t>
      </w:r>
      <w:r w:rsidR="00507408" w:rsidRPr="00036775">
        <w:rPr>
          <w:rFonts w:asciiTheme="minorHAnsi" w:hAnsiTheme="minorHAnsi"/>
        </w:rPr>
        <w:t>nformation on the relationships between the use levels, expenditures,</w:t>
      </w:r>
      <w:r w:rsidR="00BA0134" w:rsidRPr="00036775">
        <w:rPr>
          <w:rFonts w:asciiTheme="minorHAnsi" w:hAnsiTheme="minorHAnsi"/>
        </w:rPr>
        <w:t xml:space="preserve"> </w:t>
      </w:r>
      <w:r w:rsidR="00507408" w:rsidRPr="00036775">
        <w:rPr>
          <w:rFonts w:asciiTheme="minorHAnsi" w:hAnsiTheme="minorHAnsi"/>
        </w:rPr>
        <w:t xml:space="preserve">and net economic values </w:t>
      </w:r>
      <w:r w:rsidRPr="00036775">
        <w:rPr>
          <w:rFonts w:asciiTheme="minorHAnsi" w:hAnsiTheme="minorHAnsi"/>
        </w:rPr>
        <w:t xml:space="preserve">within the Colorado River corridor downstream of Glen Canyon Dam to Lake Mead, is </w:t>
      </w:r>
      <w:r w:rsidR="00507408" w:rsidRPr="00036775">
        <w:rPr>
          <w:rFonts w:asciiTheme="minorHAnsi" w:hAnsiTheme="minorHAnsi"/>
        </w:rPr>
        <w:t>more than 25 years old</w:t>
      </w:r>
      <w:r w:rsidR="00A36473" w:rsidRPr="00036775">
        <w:rPr>
          <w:rFonts w:asciiTheme="minorHAnsi" w:hAnsiTheme="minorHAnsi"/>
        </w:rPr>
        <w:t>.</w:t>
      </w:r>
      <w:r w:rsidR="0098285A" w:rsidRPr="00036775">
        <w:rPr>
          <w:rFonts w:asciiTheme="minorHAnsi" w:hAnsiTheme="minorHAnsi"/>
        </w:rPr>
        <w:t xml:space="preserve"> </w:t>
      </w:r>
      <w:r w:rsidR="00784BE0" w:rsidRPr="00036775">
        <w:rPr>
          <w:rFonts w:asciiTheme="minorHAnsi" w:hAnsiTheme="minorHAnsi"/>
        </w:rPr>
        <w:t xml:space="preserve">If the proposed study is not conducted, </w:t>
      </w:r>
      <w:r w:rsidR="003B0B31" w:rsidRPr="00036775">
        <w:rPr>
          <w:rFonts w:asciiTheme="minorHAnsi" w:hAnsiTheme="minorHAnsi"/>
        </w:rPr>
        <w:t>agencies</w:t>
      </w:r>
      <w:r w:rsidR="00784BE0" w:rsidRPr="00036775">
        <w:rPr>
          <w:rFonts w:asciiTheme="minorHAnsi" w:hAnsiTheme="minorHAnsi"/>
        </w:rPr>
        <w:t xml:space="preserve"> will be forced </w:t>
      </w:r>
      <w:r w:rsidR="00507408" w:rsidRPr="00036775">
        <w:rPr>
          <w:rFonts w:asciiTheme="minorHAnsi" w:hAnsiTheme="minorHAnsi"/>
        </w:rPr>
        <w:t>to make management decision</w:t>
      </w:r>
      <w:r w:rsidR="00B15F5E" w:rsidRPr="00036775">
        <w:rPr>
          <w:rFonts w:asciiTheme="minorHAnsi" w:hAnsiTheme="minorHAnsi"/>
        </w:rPr>
        <w:t>s</w:t>
      </w:r>
      <w:r w:rsidR="00507408" w:rsidRPr="00036775">
        <w:rPr>
          <w:rFonts w:asciiTheme="minorHAnsi" w:hAnsiTheme="minorHAnsi"/>
        </w:rPr>
        <w:t xml:space="preserve"> based </w:t>
      </w:r>
      <w:r w:rsidR="000528C5" w:rsidRPr="00036775">
        <w:rPr>
          <w:rFonts w:asciiTheme="minorHAnsi" w:hAnsiTheme="minorHAnsi"/>
        </w:rPr>
        <w:t xml:space="preserve">on </w:t>
      </w:r>
      <w:r w:rsidR="00784BE0" w:rsidRPr="00036775">
        <w:rPr>
          <w:rFonts w:asciiTheme="minorHAnsi" w:hAnsiTheme="minorHAnsi"/>
        </w:rPr>
        <w:t xml:space="preserve">extremely outdated information </w:t>
      </w:r>
      <w:r w:rsidR="00507408" w:rsidRPr="00036775">
        <w:rPr>
          <w:rFonts w:asciiTheme="minorHAnsi" w:hAnsiTheme="minorHAnsi"/>
        </w:rPr>
        <w:t>concerning</w:t>
      </w:r>
      <w:r w:rsidR="00784BE0" w:rsidRPr="00036775">
        <w:rPr>
          <w:rFonts w:asciiTheme="minorHAnsi" w:hAnsiTheme="minorHAnsi"/>
        </w:rPr>
        <w:t xml:space="preserve"> regional spending, and visitor use and enjoyment.  </w:t>
      </w:r>
    </w:p>
    <w:p w14:paraId="709E731B" w14:textId="77777777" w:rsidR="0098285A" w:rsidRPr="00036775" w:rsidRDefault="0098285A" w:rsidP="00BF33B4">
      <w:pPr>
        <w:pStyle w:val="NoSpacing"/>
        <w:spacing w:line="360" w:lineRule="auto"/>
        <w:rPr>
          <w:rFonts w:asciiTheme="minorHAnsi" w:hAnsiTheme="minorHAnsi"/>
        </w:rPr>
      </w:pPr>
    </w:p>
    <w:p w14:paraId="09B2B784" w14:textId="77777777" w:rsidR="00240E83" w:rsidRPr="00036775" w:rsidRDefault="00240E83" w:rsidP="001A3579">
      <w:pPr>
        <w:pStyle w:val="NoSpacing"/>
        <w:tabs>
          <w:tab w:val="left" w:pos="270"/>
        </w:tabs>
        <w:spacing w:line="276" w:lineRule="auto"/>
        <w:ind w:left="360" w:hanging="360"/>
        <w:rPr>
          <w:rFonts w:asciiTheme="minorHAnsi" w:hAnsiTheme="minorHAnsi"/>
          <w:b/>
        </w:rPr>
      </w:pPr>
      <w:r w:rsidRPr="00036775">
        <w:rPr>
          <w:rFonts w:asciiTheme="minorHAnsi" w:hAnsiTheme="minorHAnsi"/>
          <w:b/>
        </w:rPr>
        <w:t>7.</w:t>
      </w:r>
      <w:r w:rsidR="00C1055A" w:rsidRPr="00036775">
        <w:rPr>
          <w:rFonts w:asciiTheme="minorHAnsi" w:hAnsiTheme="minorHAnsi"/>
          <w:b/>
        </w:rPr>
        <w:tab/>
      </w:r>
      <w:r w:rsidRPr="00036775">
        <w:rPr>
          <w:rFonts w:asciiTheme="minorHAnsi" w:hAnsiTheme="minorHAnsi"/>
          <w:b/>
        </w:rPr>
        <w:t>Explain any special circumstances that would cause an information collection to be conducted in a manner:</w:t>
      </w:r>
    </w:p>
    <w:p w14:paraId="2836FB3A" w14:textId="77777777" w:rsidR="00240E83"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respondents to report information to the agency more often than quarterly;</w:t>
      </w:r>
    </w:p>
    <w:p w14:paraId="6050A35B" w14:textId="77777777" w:rsidR="00240E83"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respondents to prepare a written response to a collection of information in fewer than 30 days after receipt of it;</w:t>
      </w:r>
    </w:p>
    <w:p w14:paraId="1097B83F" w14:textId="77777777" w:rsidR="00240E83"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respondents to submit more than an original and two copies of any document;</w:t>
      </w:r>
    </w:p>
    <w:p w14:paraId="278408BA" w14:textId="77777777" w:rsidR="00240E83"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respondents to retain records, other than health, medical, government contract, grant-in-aid, or tax records, for more than three years;</w:t>
      </w:r>
    </w:p>
    <w:p w14:paraId="0F4F981F" w14:textId="77777777" w:rsidR="007B5129"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in connection with a statistical survey that is not designed to produce valid and reliable results that can be generalized to the universe of study;</w:t>
      </w:r>
    </w:p>
    <w:p w14:paraId="7B8B9AD9" w14:textId="77777777" w:rsidR="007B5129"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the use of a statistical data classification that has not been reviewed and approved by OMB;</w:t>
      </w:r>
    </w:p>
    <w:p w14:paraId="35C082E0" w14:textId="77777777" w:rsidR="007B5129"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5699195" w14:textId="77777777" w:rsidR="00240E83" w:rsidRPr="00036775" w:rsidRDefault="00240E83" w:rsidP="001A3579">
      <w:pPr>
        <w:pStyle w:val="NoSpacing"/>
        <w:numPr>
          <w:ilvl w:val="0"/>
          <w:numId w:val="23"/>
        </w:numPr>
        <w:spacing w:line="276" w:lineRule="auto"/>
        <w:rPr>
          <w:rFonts w:asciiTheme="minorHAnsi" w:hAnsiTheme="minorHAnsi"/>
          <w:b/>
        </w:rPr>
      </w:pPr>
      <w:r w:rsidRPr="00036775">
        <w:rPr>
          <w:rFonts w:asciiTheme="minorHAnsi" w:hAnsiTheme="minorHAnsi"/>
          <w:b/>
        </w:rPr>
        <w:t>requiring respondents to submit proprietary trade secrets, or other confidential information, unless the agency can demonstrate that it has instituted procedures to protect the information's confidentiality to the extent permitted by law.</w:t>
      </w:r>
    </w:p>
    <w:p w14:paraId="2E02E289" w14:textId="77777777" w:rsidR="00240E83" w:rsidRPr="00036775" w:rsidRDefault="00240E83" w:rsidP="001A3579">
      <w:pPr>
        <w:pStyle w:val="NoSpacing"/>
        <w:spacing w:line="276" w:lineRule="auto"/>
        <w:rPr>
          <w:rFonts w:asciiTheme="minorHAnsi" w:hAnsiTheme="minorHAnsi"/>
        </w:rPr>
      </w:pPr>
    </w:p>
    <w:p w14:paraId="3FB980B4" w14:textId="77777777" w:rsidR="00757DE5" w:rsidRPr="00036775" w:rsidRDefault="00F70444" w:rsidP="00BF33B4">
      <w:pPr>
        <w:pStyle w:val="NoSpacing"/>
        <w:spacing w:line="360" w:lineRule="auto"/>
        <w:rPr>
          <w:rFonts w:asciiTheme="minorHAnsi" w:hAnsiTheme="minorHAnsi"/>
        </w:rPr>
      </w:pPr>
      <w:r w:rsidRPr="00036775">
        <w:rPr>
          <w:rFonts w:asciiTheme="minorHAnsi" w:hAnsiTheme="minorHAnsi"/>
        </w:rPr>
        <w:t>F</w:t>
      </w:r>
      <w:r w:rsidR="006A65E0" w:rsidRPr="00036775">
        <w:rPr>
          <w:rFonts w:asciiTheme="minorHAnsi" w:hAnsiTheme="minorHAnsi"/>
        </w:rPr>
        <w:t>ollowing the Dillman Method (2007)</w:t>
      </w:r>
      <w:r w:rsidR="00FD66FF" w:rsidRPr="00036775">
        <w:rPr>
          <w:rStyle w:val="FootnoteReference"/>
          <w:rFonts w:asciiTheme="minorHAnsi" w:hAnsiTheme="minorHAnsi"/>
        </w:rPr>
        <w:footnoteReference w:id="1"/>
      </w:r>
      <w:r w:rsidR="006A65E0" w:rsidRPr="00036775">
        <w:rPr>
          <w:rFonts w:asciiTheme="minorHAnsi" w:hAnsiTheme="minorHAnsi"/>
        </w:rPr>
        <w:t xml:space="preserve">, </w:t>
      </w:r>
      <w:r w:rsidR="004C7564" w:rsidRPr="00036775">
        <w:rPr>
          <w:rFonts w:asciiTheme="minorHAnsi" w:hAnsiTheme="minorHAnsi"/>
        </w:rPr>
        <w:t>we</w:t>
      </w:r>
      <w:r w:rsidR="00BA0134" w:rsidRPr="00036775">
        <w:rPr>
          <w:rFonts w:asciiTheme="minorHAnsi" w:hAnsiTheme="minorHAnsi"/>
        </w:rPr>
        <w:t xml:space="preserve"> </w:t>
      </w:r>
      <w:r w:rsidR="006A65E0" w:rsidRPr="00036775">
        <w:rPr>
          <w:rFonts w:asciiTheme="minorHAnsi" w:hAnsiTheme="minorHAnsi"/>
        </w:rPr>
        <w:t>will ask respondents to respond to the survey within 2 weeks of receipt</w:t>
      </w:r>
      <w:r w:rsidR="00757DE5" w:rsidRPr="00036775">
        <w:rPr>
          <w:rFonts w:asciiTheme="minorHAnsi" w:hAnsiTheme="minorHAnsi"/>
        </w:rPr>
        <w:t xml:space="preserve">. </w:t>
      </w:r>
    </w:p>
    <w:p w14:paraId="4A8B588D" w14:textId="77777777" w:rsidR="005756A6" w:rsidRPr="00036775" w:rsidRDefault="005756A6" w:rsidP="001A3579">
      <w:pPr>
        <w:pStyle w:val="NoSpacing"/>
        <w:spacing w:line="276" w:lineRule="auto"/>
        <w:rPr>
          <w:rFonts w:asciiTheme="minorHAnsi" w:hAnsiTheme="minorHAnsi"/>
        </w:rPr>
      </w:pPr>
    </w:p>
    <w:p w14:paraId="5ED0E6EC" w14:textId="77777777" w:rsidR="007B5129" w:rsidRPr="00036775" w:rsidRDefault="009A7F73" w:rsidP="001A3579">
      <w:pPr>
        <w:pStyle w:val="NoSpacing"/>
        <w:spacing w:line="276" w:lineRule="auto"/>
        <w:ind w:left="360" w:hanging="360"/>
        <w:rPr>
          <w:rFonts w:asciiTheme="minorHAnsi" w:hAnsiTheme="minorHAnsi"/>
        </w:rPr>
      </w:pPr>
      <w:r w:rsidRPr="00036775">
        <w:rPr>
          <w:rFonts w:asciiTheme="minorHAnsi" w:hAnsiTheme="minorHAnsi"/>
          <w:b/>
        </w:rPr>
        <w:lastRenderedPageBreak/>
        <w:t xml:space="preserve">8. </w:t>
      </w:r>
      <w:r w:rsidR="007B5129" w:rsidRPr="00036775">
        <w:rPr>
          <w:rFonts w:asciiTheme="minorHAnsi" w:hAnsiTheme="minorHAnsi"/>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7B5129" w:rsidRPr="00036775">
        <w:rPr>
          <w:rFonts w:asciiTheme="minorHAnsi" w:hAnsiTheme="minorHAnsi"/>
        </w:rPr>
        <w:t>.</w:t>
      </w:r>
    </w:p>
    <w:p w14:paraId="0F37D370" w14:textId="77777777" w:rsidR="00563B11" w:rsidRPr="00036775" w:rsidRDefault="00563B11" w:rsidP="001A3579">
      <w:pPr>
        <w:pStyle w:val="NoSpacing"/>
        <w:spacing w:line="276" w:lineRule="auto"/>
        <w:ind w:left="360" w:hanging="360"/>
        <w:rPr>
          <w:rFonts w:asciiTheme="minorHAnsi" w:hAnsiTheme="minorHAnsi"/>
        </w:rPr>
      </w:pPr>
    </w:p>
    <w:p w14:paraId="6BB73226" w14:textId="77777777" w:rsidR="007B5129" w:rsidRPr="00036775" w:rsidRDefault="007B5129" w:rsidP="001A3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Calibri"/>
          <w:b/>
        </w:rPr>
      </w:pPr>
      <w:r w:rsidRPr="00036775">
        <w:rPr>
          <w:rFonts w:asciiTheme="minorHAnsi" w:hAnsiTheme="minorHAnsi" w:cs="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0BBA10" w14:textId="77777777" w:rsidR="007B5129" w:rsidRPr="00036775" w:rsidRDefault="007B5129" w:rsidP="001A3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Calibri"/>
          <w:b/>
        </w:rPr>
      </w:pPr>
      <w:r w:rsidRPr="00036775">
        <w:rPr>
          <w:rFonts w:asciiTheme="minorHAnsi" w:hAnsiTheme="minorHAnsi" w:cs="Calibri"/>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2EDE522" w14:textId="77777777" w:rsidR="00757DE5" w:rsidRPr="00036775" w:rsidRDefault="009A7F73" w:rsidP="001710DD">
      <w:pPr>
        <w:pStyle w:val="NoSpacing"/>
        <w:spacing w:line="360" w:lineRule="auto"/>
        <w:rPr>
          <w:rFonts w:asciiTheme="minorHAnsi" w:hAnsiTheme="minorHAnsi"/>
        </w:rPr>
      </w:pPr>
      <w:r w:rsidRPr="00036775">
        <w:rPr>
          <w:rFonts w:asciiTheme="minorHAnsi" w:hAnsiTheme="minorHAnsi"/>
        </w:rPr>
        <w:t xml:space="preserve">A notice was published in the </w:t>
      </w:r>
      <w:r w:rsidRPr="00036775">
        <w:rPr>
          <w:rFonts w:asciiTheme="minorHAnsi" w:hAnsiTheme="minorHAnsi"/>
          <w:i/>
          <w:iCs/>
        </w:rPr>
        <w:t>Federal Register</w:t>
      </w:r>
      <w:r w:rsidRPr="00036775">
        <w:rPr>
          <w:rFonts w:asciiTheme="minorHAnsi" w:hAnsiTheme="minorHAnsi"/>
        </w:rPr>
        <w:t xml:space="preserve"> on </w:t>
      </w:r>
      <w:r w:rsidR="0098285A" w:rsidRPr="00036775">
        <w:rPr>
          <w:rFonts w:asciiTheme="minorHAnsi" w:hAnsiTheme="minorHAnsi"/>
          <w:color w:val="000000"/>
        </w:rPr>
        <w:t>August 26, 2014</w:t>
      </w:r>
      <w:r w:rsidRPr="00036775">
        <w:rPr>
          <w:rFonts w:asciiTheme="minorHAnsi" w:hAnsiTheme="minorHAnsi"/>
          <w:color w:val="000000"/>
        </w:rPr>
        <w:t xml:space="preserve"> (</w:t>
      </w:r>
      <w:r w:rsidR="0098285A" w:rsidRPr="00036775">
        <w:rPr>
          <w:rFonts w:asciiTheme="minorHAnsi" w:hAnsiTheme="minorHAnsi"/>
          <w:color w:val="000000"/>
        </w:rPr>
        <w:t xml:space="preserve">79 </w:t>
      </w:r>
      <w:r w:rsidR="00757DE5" w:rsidRPr="00036775">
        <w:rPr>
          <w:rFonts w:asciiTheme="minorHAnsi" w:hAnsiTheme="minorHAnsi"/>
          <w:color w:val="000000"/>
        </w:rPr>
        <w:t>FR</w:t>
      </w:r>
      <w:r w:rsidRPr="00036775">
        <w:rPr>
          <w:rFonts w:asciiTheme="minorHAnsi" w:hAnsiTheme="minorHAnsi"/>
          <w:color w:val="000000"/>
        </w:rPr>
        <w:t xml:space="preserve"> </w:t>
      </w:r>
      <w:r w:rsidR="0098285A" w:rsidRPr="00036775">
        <w:rPr>
          <w:rFonts w:asciiTheme="minorHAnsi" w:hAnsiTheme="minorHAnsi"/>
          <w:color w:val="000000"/>
        </w:rPr>
        <w:t>50940</w:t>
      </w:r>
      <w:r w:rsidRPr="00036775">
        <w:rPr>
          <w:rFonts w:asciiTheme="minorHAnsi" w:hAnsiTheme="minorHAnsi"/>
          <w:color w:val="000000"/>
        </w:rPr>
        <w:t>)</w:t>
      </w:r>
      <w:r w:rsidR="00757DE5" w:rsidRPr="00036775">
        <w:rPr>
          <w:rFonts w:asciiTheme="minorHAnsi" w:hAnsiTheme="minorHAnsi"/>
        </w:rPr>
        <w:t xml:space="preserve"> </w:t>
      </w:r>
      <w:r w:rsidR="00757DE5" w:rsidRPr="00036775">
        <w:rPr>
          <w:rFonts w:asciiTheme="minorHAnsi" w:hAnsiTheme="minorHAnsi"/>
          <w:color w:val="000000"/>
        </w:rPr>
        <w:t xml:space="preserve">stating that we intended to request OMB approval of </w:t>
      </w:r>
      <w:r w:rsidR="001710DD" w:rsidRPr="00036775">
        <w:rPr>
          <w:rFonts w:asciiTheme="minorHAnsi" w:hAnsiTheme="minorHAnsi"/>
          <w:color w:val="000000"/>
        </w:rPr>
        <w:t>an</w:t>
      </w:r>
      <w:r w:rsidR="00757DE5" w:rsidRPr="00036775">
        <w:rPr>
          <w:rFonts w:asciiTheme="minorHAnsi" w:hAnsiTheme="minorHAnsi"/>
          <w:color w:val="000000"/>
        </w:rPr>
        <w:t xml:space="preserve"> information collection </w:t>
      </w:r>
      <w:r w:rsidR="001710DD" w:rsidRPr="00036775">
        <w:rPr>
          <w:rFonts w:asciiTheme="minorHAnsi" w:hAnsiTheme="minorHAnsi"/>
          <w:color w:val="000000"/>
        </w:rPr>
        <w:t xml:space="preserve">titled: </w:t>
      </w:r>
      <w:r w:rsidR="001710DD" w:rsidRPr="00036775">
        <w:rPr>
          <w:rFonts w:asciiTheme="minorHAnsi" w:hAnsiTheme="minorHAnsi"/>
          <w:i/>
          <w:color w:val="000000"/>
        </w:rPr>
        <w:t xml:space="preserve">A Survey of Direct Recreational Uses </w:t>
      </w:r>
      <w:r w:rsidR="0075409A" w:rsidRPr="00036775">
        <w:rPr>
          <w:rFonts w:asciiTheme="minorHAnsi" w:hAnsiTheme="minorHAnsi"/>
          <w:i/>
          <w:color w:val="000000"/>
        </w:rPr>
        <w:t>a</w:t>
      </w:r>
      <w:r w:rsidR="001710DD" w:rsidRPr="00036775">
        <w:rPr>
          <w:rFonts w:asciiTheme="minorHAnsi" w:hAnsiTheme="minorHAnsi"/>
          <w:i/>
          <w:color w:val="000000"/>
        </w:rPr>
        <w:t xml:space="preserve">long </w:t>
      </w:r>
      <w:r w:rsidR="0075409A" w:rsidRPr="00036775">
        <w:rPr>
          <w:rFonts w:asciiTheme="minorHAnsi" w:hAnsiTheme="minorHAnsi"/>
          <w:i/>
          <w:color w:val="000000"/>
        </w:rPr>
        <w:t>t</w:t>
      </w:r>
      <w:r w:rsidR="001710DD" w:rsidRPr="00036775">
        <w:rPr>
          <w:rFonts w:asciiTheme="minorHAnsi" w:hAnsiTheme="minorHAnsi"/>
          <w:i/>
          <w:color w:val="000000"/>
        </w:rPr>
        <w:t>he Colorado River</w:t>
      </w:r>
      <w:r w:rsidR="00757DE5" w:rsidRPr="00036775">
        <w:rPr>
          <w:rFonts w:asciiTheme="minorHAnsi" w:hAnsiTheme="minorHAnsi"/>
          <w:color w:val="000000"/>
        </w:rPr>
        <w:t xml:space="preserve">. In this notice, we solicited public comment for 60 days ending </w:t>
      </w:r>
      <w:r w:rsidR="0098285A" w:rsidRPr="00036775">
        <w:rPr>
          <w:rFonts w:asciiTheme="minorHAnsi" w:hAnsiTheme="minorHAnsi"/>
          <w:color w:val="000000"/>
        </w:rPr>
        <w:t>October 27, 2014</w:t>
      </w:r>
      <w:r w:rsidR="00757DE5" w:rsidRPr="00036775">
        <w:rPr>
          <w:rFonts w:asciiTheme="minorHAnsi" w:hAnsiTheme="minorHAnsi"/>
          <w:color w:val="000000"/>
        </w:rPr>
        <w:t xml:space="preserve">. </w:t>
      </w:r>
    </w:p>
    <w:p w14:paraId="0EE898E5" w14:textId="77777777" w:rsidR="00942D12" w:rsidRDefault="00942D12" w:rsidP="00942D12">
      <w:pPr>
        <w:pStyle w:val="NoSpacing"/>
        <w:spacing w:line="360" w:lineRule="auto"/>
        <w:rPr>
          <w:rFonts w:asciiTheme="minorHAnsi" w:hAnsiTheme="minorHAnsi"/>
        </w:rPr>
      </w:pPr>
    </w:p>
    <w:p w14:paraId="1AFAF170" w14:textId="77777777" w:rsidR="00942D12" w:rsidRPr="00942D12" w:rsidRDefault="00942D12" w:rsidP="00942D12">
      <w:pPr>
        <w:pStyle w:val="NoSpacing"/>
        <w:spacing w:line="360" w:lineRule="auto"/>
        <w:rPr>
          <w:rFonts w:asciiTheme="minorHAnsi" w:hAnsiTheme="minorHAnsi"/>
        </w:rPr>
      </w:pPr>
      <w:r w:rsidRPr="00942D12">
        <w:rPr>
          <w:rFonts w:asciiTheme="minorHAnsi" w:hAnsiTheme="minorHAnsi"/>
        </w:rPr>
        <w:t>As a result of the Federal Register notice we received four comment letters.  The specific comments and our responses on how we considered the comments (in italics) are detailed in Attachment A to this Supporting Statement.</w:t>
      </w:r>
    </w:p>
    <w:p w14:paraId="280D03EC" w14:textId="77777777" w:rsidR="00942D12" w:rsidRPr="00942D12" w:rsidRDefault="00942D12" w:rsidP="00942D12">
      <w:pPr>
        <w:pStyle w:val="NoSpacing"/>
        <w:spacing w:line="360" w:lineRule="auto"/>
        <w:rPr>
          <w:rFonts w:asciiTheme="minorHAnsi" w:hAnsiTheme="minorHAnsi"/>
        </w:rPr>
      </w:pPr>
    </w:p>
    <w:p w14:paraId="2909AA79" w14:textId="5B8E7315" w:rsidR="005756A6" w:rsidRDefault="00942D12" w:rsidP="00BF33B4">
      <w:pPr>
        <w:pStyle w:val="NoSpacing"/>
        <w:spacing w:line="360" w:lineRule="auto"/>
        <w:rPr>
          <w:rFonts w:asciiTheme="minorHAnsi" w:hAnsiTheme="minorHAnsi"/>
        </w:rPr>
      </w:pPr>
      <w:r w:rsidRPr="00942D12">
        <w:rPr>
          <w:rFonts w:asciiTheme="minorHAnsi" w:hAnsiTheme="minorHAnsi"/>
        </w:rPr>
        <w:t>In addition to comments received from the 60-day FR notice, the individuals listed below</w:t>
      </w:r>
      <w:r w:rsidR="00B80743">
        <w:rPr>
          <w:rFonts w:asciiTheme="minorHAnsi" w:hAnsiTheme="minorHAnsi"/>
        </w:rPr>
        <w:t xml:space="preserve"> </w:t>
      </w:r>
      <w:r w:rsidR="00757DE5" w:rsidRPr="00036775">
        <w:rPr>
          <w:rFonts w:asciiTheme="minorHAnsi" w:hAnsiTheme="minorHAnsi"/>
        </w:rPr>
        <w:t>provided editorial suggestions and feedback concerning the clarity of the procedure</w:t>
      </w:r>
      <w:r w:rsidR="006E4625" w:rsidRPr="00036775">
        <w:rPr>
          <w:rFonts w:asciiTheme="minorHAnsi" w:hAnsiTheme="minorHAnsi"/>
        </w:rPr>
        <w:t>s</w:t>
      </w:r>
      <w:r w:rsidR="00757DE5" w:rsidRPr="00036775">
        <w:rPr>
          <w:rFonts w:asciiTheme="minorHAnsi" w:hAnsiTheme="minorHAnsi"/>
        </w:rPr>
        <w:t xml:space="preserve"> and approximate length of time it would take to complete </w:t>
      </w:r>
      <w:r w:rsidR="0047631F" w:rsidRPr="00036775">
        <w:rPr>
          <w:rFonts w:asciiTheme="minorHAnsi" w:hAnsiTheme="minorHAnsi"/>
        </w:rPr>
        <w:t xml:space="preserve">this </w:t>
      </w:r>
      <w:r w:rsidR="00757DE5" w:rsidRPr="00036775">
        <w:rPr>
          <w:rFonts w:asciiTheme="minorHAnsi" w:hAnsiTheme="minorHAnsi"/>
        </w:rPr>
        <w:t xml:space="preserve">process, based on their previous experiences with surveys similar to this. We incorporated their suggested edits to improve the final instrument. The </w:t>
      </w:r>
      <w:r w:rsidR="006B12B4" w:rsidRPr="00036775">
        <w:rPr>
          <w:rFonts w:asciiTheme="minorHAnsi" w:hAnsiTheme="minorHAnsi"/>
        </w:rPr>
        <w:t>reviewers provided comments that indicated that the</w:t>
      </w:r>
      <w:r w:rsidR="00757DE5" w:rsidRPr="00036775">
        <w:rPr>
          <w:rFonts w:asciiTheme="minorHAnsi" w:hAnsiTheme="minorHAnsi"/>
        </w:rPr>
        <w:t xml:space="preserve"> instrument</w:t>
      </w:r>
      <w:r w:rsidR="006B12B4" w:rsidRPr="00036775">
        <w:rPr>
          <w:rFonts w:asciiTheme="minorHAnsi" w:hAnsiTheme="minorHAnsi"/>
        </w:rPr>
        <w:t>s</w:t>
      </w:r>
      <w:r w:rsidR="00757DE5" w:rsidRPr="00036775">
        <w:rPr>
          <w:rFonts w:asciiTheme="minorHAnsi" w:hAnsiTheme="minorHAnsi"/>
        </w:rPr>
        <w:t xml:space="preserve"> w</w:t>
      </w:r>
      <w:r w:rsidR="006B12B4" w:rsidRPr="00036775">
        <w:rPr>
          <w:rFonts w:asciiTheme="minorHAnsi" w:hAnsiTheme="minorHAnsi"/>
        </w:rPr>
        <w:t>ere</w:t>
      </w:r>
      <w:r w:rsidR="00757DE5" w:rsidRPr="00036775">
        <w:rPr>
          <w:rFonts w:asciiTheme="minorHAnsi" w:hAnsiTheme="minorHAnsi"/>
        </w:rPr>
        <w:t xml:space="preserve"> straightforward and that the instructions were very helpful. The </w:t>
      </w:r>
      <w:r w:rsidR="006B12B4" w:rsidRPr="00036775">
        <w:rPr>
          <w:rFonts w:asciiTheme="minorHAnsi" w:hAnsiTheme="minorHAnsi"/>
        </w:rPr>
        <w:t>reviewer</w:t>
      </w:r>
      <w:r w:rsidR="0047631F" w:rsidRPr="00036775">
        <w:rPr>
          <w:rFonts w:asciiTheme="minorHAnsi" w:hAnsiTheme="minorHAnsi"/>
        </w:rPr>
        <w:t>s</w:t>
      </w:r>
      <w:r w:rsidR="00757DE5" w:rsidRPr="00036775">
        <w:rPr>
          <w:rFonts w:asciiTheme="minorHAnsi" w:hAnsiTheme="minorHAnsi"/>
        </w:rPr>
        <w:t xml:space="preserve"> concurred with our estimated burden time </w:t>
      </w:r>
      <w:r w:rsidR="006B12B4" w:rsidRPr="00036775">
        <w:rPr>
          <w:rFonts w:asciiTheme="minorHAnsi" w:hAnsiTheme="minorHAnsi"/>
        </w:rPr>
        <w:t>to complete</w:t>
      </w:r>
      <w:r w:rsidR="00757DE5" w:rsidRPr="00036775">
        <w:rPr>
          <w:rFonts w:asciiTheme="minorHAnsi" w:hAnsiTheme="minorHAnsi"/>
        </w:rPr>
        <w:t xml:space="preserve"> </w:t>
      </w:r>
      <w:r w:rsidR="006B12B4" w:rsidRPr="00036775">
        <w:rPr>
          <w:rFonts w:asciiTheme="minorHAnsi" w:hAnsiTheme="minorHAnsi"/>
        </w:rPr>
        <w:t>each version of the survey instruments.</w:t>
      </w:r>
      <w:r w:rsidR="00757DE5" w:rsidRPr="00036775">
        <w:rPr>
          <w:rFonts w:asciiTheme="minorHAnsi" w:hAnsiTheme="minorHAnsi"/>
        </w:rPr>
        <w:t xml:space="preserve"> </w:t>
      </w:r>
      <w:r w:rsidR="006B12B4" w:rsidRPr="00036775">
        <w:rPr>
          <w:rFonts w:asciiTheme="minorHAnsi" w:hAnsiTheme="minorHAnsi"/>
        </w:rPr>
        <w:t xml:space="preserve"> </w:t>
      </w:r>
    </w:p>
    <w:p w14:paraId="524201D9" w14:textId="494DCB1B" w:rsidR="00942D12" w:rsidRDefault="00942D12" w:rsidP="00BF33B4">
      <w:pPr>
        <w:pStyle w:val="NoSpacing"/>
        <w:spacing w:line="360" w:lineRule="auto"/>
        <w:rPr>
          <w:rFonts w:asciiTheme="minorHAnsi" w:hAnsiTheme="minorHAnsi"/>
        </w:rPr>
      </w:pPr>
      <w:r>
        <w:rPr>
          <w:rFonts w:asciiTheme="minorHAnsi" w:hAnsiTheme="minorHAnsi"/>
        </w:rPr>
        <w:br/>
      </w:r>
    </w:p>
    <w:p w14:paraId="4875AC84" w14:textId="77777777" w:rsidR="00942D12" w:rsidRPr="00036775" w:rsidRDefault="00942D12" w:rsidP="00BF33B4">
      <w:pPr>
        <w:pStyle w:val="NoSpacing"/>
        <w:spacing w:line="360" w:lineRule="auto"/>
        <w:rPr>
          <w:rFonts w:asciiTheme="minorHAnsi" w:hAnsiTheme="minorHAnsi"/>
        </w:rPr>
      </w:pPr>
    </w:p>
    <w:p w14:paraId="72DDB52D" w14:textId="77777777" w:rsidR="00C511A4" w:rsidRPr="00F227BB" w:rsidRDefault="00C511A4" w:rsidP="001A3579">
      <w:pPr>
        <w:pStyle w:val="NoSpacing"/>
        <w:spacing w:line="276" w:lineRule="auto"/>
        <w:rPr>
          <w:rFonts w:asciiTheme="minorHAnsi" w:hAnsiTheme="minorHAnsi"/>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148"/>
      </w:tblGrid>
      <w:tr w:rsidR="00C35D72" w:rsidRPr="00036775" w14:paraId="54A82923" w14:textId="77777777" w:rsidTr="00F227BB">
        <w:tc>
          <w:tcPr>
            <w:tcW w:w="4428" w:type="dxa"/>
          </w:tcPr>
          <w:p w14:paraId="3E7C7BA7" w14:textId="77777777" w:rsidR="00C35D72" w:rsidRPr="00036775" w:rsidRDefault="00C35D72" w:rsidP="001A3579">
            <w:pPr>
              <w:pStyle w:val="NoSpacing"/>
              <w:spacing w:line="276" w:lineRule="auto"/>
              <w:rPr>
                <w:rFonts w:asciiTheme="minorHAnsi" w:hAnsiTheme="minorHAnsi"/>
                <w:b/>
              </w:rPr>
            </w:pPr>
            <w:r w:rsidRPr="00036775">
              <w:rPr>
                <w:rFonts w:asciiTheme="minorHAnsi" w:hAnsiTheme="minorHAnsi"/>
                <w:b/>
              </w:rPr>
              <w:lastRenderedPageBreak/>
              <w:t>Peer reviewer comments</w:t>
            </w:r>
          </w:p>
        </w:tc>
        <w:tc>
          <w:tcPr>
            <w:tcW w:w="5148" w:type="dxa"/>
          </w:tcPr>
          <w:p w14:paraId="48A09CB2" w14:textId="77777777" w:rsidR="00C35D72" w:rsidRPr="00036775" w:rsidRDefault="00C35D72" w:rsidP="001A3579">
            <w:pPr>
              <w:pStyle w:val="NoSpacing"/>
              <w:spacing w:line="276" w:lineRule="auto"/>
              <w:rPr>
                <w:rFonts w:asciiTheme="minorHAnsi" w:hAnsiTheme="minorHAnsi"/>
                <w:b/>
              </w:rPr>
            </w:pPr>
            <w:r w:rsidRPr="00036775">
              <w:rPr>
                <w:rFonts w:asciiTheme="minorHAnsi" w:hAnsiTheme="minorHAnsi"/>
                <w:b/>
              </w:rPr>
              <w:t xml:space="preserve">Actions taken </w:t>
            </w:r>
          </w:p>
        </w:tc>
      </w:tr>
      <w:tr w:rsidR="00C35D72" w:rsidRPr="00036775" w14:paraId="560E47E4" w14:textId="77777777" w:rsidTr="001333F9">
        <w:trPr>
          <w:trHeight w:val="611"/>
        </w:trPr>
        <w:tc>
          <w:tcPr>
            <w:tcW w:w="4428" w:type="dxa"/>
          </w:tcPr>
          <w:p w14:paraId="523F00B3" w14:textId="77777777" w:rsidR="00C35D72" w:rsidRPr="00036775" w:rsidRDefault="00C35D72" w:rsidP="001A3579">
            <w:pPr>
              <w:pStyle w:val="NoSpacing"/>
              <w:spacing w:line="276" w:lineRule="auto"/>
              <w:rPr>
                <w:rFonts w:asciiTheme="minorHAnsi" w:hAnsiTheme="minorHAnsi"/>
              </w:rPr>
            </w:pPr>
            <w:r w:rsidRPr="00036775">
              <w:rPr>
                <w:rFonts w:asciiTheme="minorHAnsi" w:hAnsiTheme="minorHAnsi"/>
              </w:rPr>
              <w:t xml:space="preserve">The length of the survey is burdensome. </w:t>
            </w:r>
          </w:p>
          <w:p w14:paraId="560ABCD3" w14:textId="77777777" w:rsidR="00C35D72" w:rsidRPr="00036775" w:rsidRDefault="00C35D72" w:rsidP="001A3579">
            <w:pPr>
              <w:pStyle w:val="NoSpacing"/>
              <w:spacing w:line="276" w:lineRule="auto"/>
              <w:rPr>
                <w:rFonts w:asciiTheme="minorHAnsi" w:hAnsiTheme="minorHAnsi"/>
              </w:rPr>
            </w:pPr>
          </w:p>
        </w:tc>
        <w:tc>
          <w:tcPr>
            <w:tcW w:w="5148" w:type="dxa"/>
          </w:tcPr>
          <w:p w14:paraId="74FAD6C5" w14:textId="77777777" w:rsidR="00C35D72" w:rsidRPr="00036775" w:rsidRDefault="00C35D72" w:rsidP="001333F9">
            <w:pPr>
              <w:pStyle w:val="NoSpacing"/>
              <w:numPr>
                <w:ilvl w:val="0"/>
                <w:numId w:val="39"/>
              </w:numPr>
              <w:spacing w:line="276" w:lineRule="auto"/>
              <w:ind w:left="342"/>
              <w:rPr>
                <w:rFonts w:asciiTheme="minorHAnsi" w:hAnsiTheme="minorHAnsi"/>
              </w:rPr>
            </w:pPr>
            <w:r w:rsidRPr="00036775">
              <w:rPr>
                <w:rFonts w:asciiTheme="minorHAnsi" w:hAnsiTheme="minorHAnsi"/>
                <w:color w:val="000000"/>
              </w:rPr>
              <w:t xml:space="preserve">Deleted questions of a lesser priority throughout the survey. </w:t>
            </w:r>
          </w:p>
        </w:tc>
      </w:tr>
      <w:tr w:rsidR="00C35D72" w:rsidRPr="00036775" w14:paraId="52B78588" w14:textId="77777777" w:rsidTr="001333F9">
        <w:trPr>
          <w:trHeight w:val="962"/>
        </w:trPr>
        <w:tc>
          <w:tcPr>
            <w:tcW w:w="4428" w:type="dxa"/>
          </w:tcPr>
          <w:p w14:paraId="7CE8C746" w14:textId="77777777" w:rsidR="00C35D72" w:rsidRPr="00036775" w:rsidRDefault="00B12261" w:rsidP="001A3579">
            <w:pPr>
              <w:pStyle w:val="NoSpacing"/>
              <w:spacing w:line="276" w:lineRule="auto"/>
              <w:rPr>
                <w:rFonts w:asciiTheme="minorHAnsi" w:hAnsiTheme="minorHAnsi"/>
              </w:rPr>
            </w:pPr>
            <w:r w:rsidRPr="00036775">
              <w:rPr>
                <w:rFonts w:asciiTheme="minorHAnsi" w:hAnsiTheme="minorHAnsi"/>
              </w:rPr>
              <w:t>Care should be taken to not present statements that could be viewed as potentially biasing subsequent responses</w:t>
            </w:r>
            <w:r w:rsidR="000528C5" w:rsidRPr="00036775">
              <w:rPr>
                <w:rFonts w:asciiTheme="minorHAnsi" w:hAnsiTheme="minorHAnsi"/>
              </w:rPr>
              <w:t>.</w:t>
            </w:r>
          </w:p>
        </w:tc>
        <w:tc>
          <w:tcPr>
            <w:tcW w:w="5148" w:type="dxa"/>
          </w:tcPr>
          <w:p w14:paraId="0931B348" w14:textId="77777777" w:rsidR="00C35D72" w:rsidRPr="00036775" w:rsidRDefault="00C35D72" w:rsidP="00755AB4">
            <w:pPr>
              <w:pStyle w:val="NoSpacing"/>
              <w:numPr>
                <w:ilvl w:val="0"/>
                <w:numId w:val="39"/>
              </w:numPr>
              <w:spacing w:line="276" w:lineRule="auto"/>
              <w:ind w:left="342"/>
              <w:rPr>
                <w:rFonts w:asciiTheme="minorHAnsi" w:hAnsiTheme="minorHAnsi"/>
              </w:rPr>
            </w:pPr>
            <w:r w:rsidRPr="00036775">
              <w:rPr>
                <w:rFonts w:asciiTheme="minorHAnsi" w:hAnsiTheme="minorHAnsi"/>
              </w:rPr>
              <w:t xml:space="preserve">Reworded survey </w:t>
            </w:r>
            <w:r w:rsidR="00B12261" w:rsidRPr="00036775">
              <w:rPr>
                <w:rFonts w:asciiTheme="minorHAnsi" w:hAnsiTheme="minorHAnsi"/>
              </w:rPr>
              <w:t>text</w:t>
            </w:r>
            <w:r w:rsidRPr="00036775">
              <w:rPr>
                <w:rFonts w:asciiTheme="minorHAnsi" w:hAnsiTheme="minorHAnsi"/>
              </w:rPr>
              <w:t xml:space="preserve"> viewed as </w:t>
            </w:r>
            <w:r w:rsidR="00B12261" w:rsidRPr="00036775">
              <w:rPr>
                <w:rFonts w:asciiTheme="minorHAnsi" w:hAnsiTheme="minorHAnsi"/>
              </w:rPr>
              <w:t>potentially biasing.</w:t>
            </w:r>
          </w:p>
        </w:tc>
      </w:tr>
      <w:tr w:rsidR="00C35D72" w:rsidRPr="00036775" w14:paraId="647B2532" w14:textId="77777777" w:rsidTr="00F227BB">
        <w:trPr>
          <w:trHeight w:val="935"/>
        </w:trPr>
        <w:tc>
          <w:tcPr>
            <w:tcW w:w="4428" w:type="dxa"/>
          </w:tcPr>
          <w:p w14:paraId="658A8AF8" w14:textId="77777777" w:rsidR="00C35D72" w:rsidRPr="00036775" w:rsidRDefault="00B12261" w:rsidP="001A3579">
            <w:pPr>
              <w:pStyle w:val="NoSpacing"/>
              <w:spacing w:line="276" w:lineRule="auto"/>
              <w:rPr>
                <w:rFonts w:asciiTheme="minorHAnsi" w:hAnsiTheme="minorHAnsi"/>
              </w:rPr>
            </w:pPr>
            <w:r w:rsidRPr="00036775">
              <w:rPr>
                <w:rFonts w:asciiTheme="minorHAnsi" w:hAnsiTheme="minorHAnsi"/>
              </w:rPr>
              <w:t>Number of choice question occasions may exceed respondent willingness to participate.</w:t>
            </w:r>
          </w:p>
        </w:tc>
        <w:tc>
          <w:tcPr>
            <w:tcW w:w="5148" w:type="dxa"/>
          </w:tcPr>
          <w:p w14:paraId="0F0240C3" w14:textId="77777777" w:rsidR="00C35D72" w:rsidRPr="00036775" w:rsidRDefault="00B12261" w:rsidP="00755AB4">
            <w:pPr>
              <w:pStyle w:val="NoSpacing"/>
              <w:numPr>
                <w:ilvl w:val="0"/>
                <w:numId w:val="39"/>
              </w:numPr>
              <w:spacing w:line="276" w:lineRule="auto"/>
              <w:ind w:left="342"/>
              <w:rPr>
                <w:rFonts w:asciiTheme="minorHAnsi" w:hAnsiTheme="minorHAnsi"/>
              </w:rPr>
            </w:pPr>
            <w:r w:rsidRPr="00036775">
              <w:rPr>
                <w:rFonts w:asciiTheme="minorHAnsi" w:hAnsiTheme="minorHAnsi"/>
              </w:rPr>
              <w:t>Reviewed similar examples of choice survey administration, reduced number of choice occasions where possible.</w:t>
            </w:r>
          </w:p>
        </w:tc>
      </w:tr>
    </w:tbl>
    <w:p w14:paraId="634EDD62" w14:textId="77777777" w:rsidR="00F227BB" w:rsidRDefault="00F227BB" w:rsidP="006B12B4">
      <w:pPr>
        <w:pStyle w:val="NoSpacing"/>
        <w:spacing w:line="276" w:lineRule="auto"/>
        <w:rPr>
          <w:rFonts w:asciiTheme="minorHAnsi" w:hAnsiTheme="minorHAnsi"/>
          <w:b/>
        </w:rPr>
      </w:pPr>
    </w:p>
    <w:p w14:paraId="638FD9DB" w14:textId="77777777" w:rsidR="006B12B4" w:rsidRDefault="006B12B4" w:rsidP="006B12B4">
      <w:pPr>
        <w:pStyle w:val="NoSpacing"/>
        <w:spacing w:line="276" w:lineRule="auto"/>
        <w:rPr>
          <w:rFonts w:asciiTheme="minorHAnsi" w:hAnsiTheme="minorHAnsi"/>
          <w:b/>
        </w:rPr>
      </w:pPr>
      <w:r w:rsidRPr="00036775">
        <w:rPr>
          <w:rFonts w:asciiTheme="minorHAnsi" w:hAnsiTheme="minorHAnsi"/>
          <w:b/>
        </w:rPr>
        <w:t>Peer Reviewers</w:t>
      </w:r>
    </w:p>
    <w:p w14:paraId="20A59DEC" w14:textId="77777777" w:rsidR="00FC0C5C" w:rsidRPr="00036775" w:rsidRDefault="00FC0C5C" w:rsidP="006B12B4">
      <w:pPr>
        <w:pStyle w:val="NoSpacing"/>
        <w:spacing w:line="276" w:lineRule="auto"/>
        <w:rPr>
          <w:rFonts w:asciiTheme="minorHAnsi" w:hAnsiTheme="minorHAnsi"/>
        </w:rPr>
      </w:pPr>
    </w:p>
    <w:tbl>
      <w:tblPr>
        <w:tblW w:w="9540" w:type="dxa"/>
        <w:tblInd w:w="18" w:type="dxa"/>
        <w:tblLook w:val="00A0" w:firstRow="1" w:lastRow="0" w:firstColumn="1" w:lastColumn="0" w:noHBand="0" w:noVBand="0"/>
      </w:tblPr>
      <w:tblGrid>
        <w:gridCol w:w="9540"/>
      </w:tblGrid>
      <w:tr w:rsidR="00F227BB" w:rsidRPr="00036775" w14:paraId="753DDD7B" w14:textId="77777777" w:rsidTr="00FC0C5C">
        <w:trPr>
          <w:trHeight w:val="981"/>
        </w:trPr>
        <w:tc>
          <w:tcPr>
            <w:tcW w:w="9540" w:type="dxa"/>
          </w:tcPr>
          <w:p w14:paraId="0CA827C7" w14:textId="77777777" w:rsidR="00F227BB" w:rsidRPr="00036775" w:rsidRDefault="00F227BB" w:rsidP="00F227BB">
            <w:pPr>
              <w:pStyle w:val="NoSpacing"/>
              <w:numPr>
                <w:ilvl w:val="0"/>
                <w:numId w:val="46"/>
              </w:numPr>
              <w:spacing w:line="276" w:lineRule="auto"/>
              <w:rPr>
                <w:rFonts w:asciiTheme="minorHAnsi" w:hAnsiTheme="minorHAnsi"/>
              </w:rPr>
            </w:pPr>
            <w:r w:rsidRPr="00036775">
              <w:rPr>
                <w:rFonts w:asciiTheme="minorHAnsi" w:hAnsiTheme="minorHAnsi"/>
              </w:rPr>
              <w:t>Dr. David Harpman</w:t>
            </w:r>
            <w:r>
              <w:rPr>
                <w:rFonts w:asciiTheme="minorHAnsi" w:hAnsiTheme="minorHAnsi"/>
              </w:rPr>
              <w:t xml:space="preserve">, </w:t>
            </w:r>
            <w:r w:rsidRPr="00036775">
              <w:rPr>
                <w:rFonts w:asciiTheme="minorHAnsi" w:hAnsiTheme="minorHAnsi"/>
              </w:rPr>
              <w:t>U.S. Bureau of Reclamation</w:t>
            </w:r>
          </w:p>
          <w:p w14:paraId="2A0AA3E2" w14:textId="77777777" w:rsidR="00F227BB" w:rsidRPr="00036775" w:rsidRDefault="00F227BB" w:rsidP="00F227BB">
            <w:pPr>
              <w:pStyle w:val="NoSpacing"/>
              <w:spacing w:line="276" w:lineRule="auto"/>
              <w:ind w:left="702"/>
              <w:rPr>
                <w:rFonts w:asciiTheme="minorHAnsi" w:hAnsiTheme="minorHAnsi"/>
              </w:rPr>
            </w:pPr>
            <w:r w:rsidRPr="00036775">
              <w:rPr>
                <w:rFonts w:asciiTheme="minorHAnsi" w:hAnsiTheme="minorHAnsi"/>
              </w:rPr>
              <w:t>Denver, CO</w:t>
            </w:r>
          </w:p>
        </w:tc>
      </w:tr>
      <w:tr w:rsidR="00F227BB" w:rsidRPr="00036775" w14:paraId="3F400EEF" w14:textId="77777777" w:rsidTr="00FC0C5C">
        <w:trPr>
          <w:trHeight w:val="810"/>
        </w:trPr>
        <w:tc>
          <w:tcPr>
            <w:tcW w:w="9540" w:type="dxa"/>
          </w:tcPr>
          <w:p w14:paraId="6166A35B" w14:textId="77777777" w:rsidR="00F227BB" w:rsidRPr="00036775" w:rsidRDefault="00F227BB" w:rsidP="00F227BB">
            <w:pPr>
              <w:pStyle w:val="NoSpacing"/>
              <w:numPr>
                <w:ilvl w:val="0"/>
                <w:numId w:val="46"/>
              </w:numPr>
              <w:spacing w:line="276" w:lineRule="auto"/>
              <w:rPr>
                <w:rFonts w:asciiTheme="minorHAnsi" w:hAnsiTheme="minorHAnsi"/>
              </w:rPr>
            </w:pPr>
            <w:r w:rsidRPr="00036775">
              <w:rPr>
                <w:rFonts w:asciiTheme="minorHAnsi" w:hAnsiTheme="minorHAnsi"/>
              </w:rPr>
              <w:t>Margo Selig</w:t>
            </w:r>
            <w:r>
              <w:rPr>
                <w:rFonts w:asciiTheme="minorHAnsi" w:hAnsiTheme="minorHAnsi"/>
              </w:rPr>
              <w:t>,</w:t>
            </w:r>
            <w:r w:rsidRPr="00036775">
              <w:rPr>
                <w:rFonts w:asciiTheme="minorHAnsi" w:hAnsiTheme="minorHAnsi"/>
              </w:rPr>
              <w:t>U.S. Bureau of Reclamation</w:t>
            </w:r>
          </w:p>
          <w:p w14:paraId="3995B4A6" w14:textId="77777777" w:rsidR="00F227BB" w:rsidRPr="00036775" w:rsidRDefault="00F227BB" w:rsidP="00F227BB">
            <w:pPr>
              <w:pStyle w:val="NoSpacing"/>
              <w:spacing w:line="276" w:lineRule="auto"/>
              <w:ind w:left="702"/>
              <w:rPr>
                <w:rFonts w:asciiTheme="minorHAnsi" w:hAnsiTheme="minorHAnsi"/>
              </w:rPr>
            </w:pPr>
            <w:r w:rsidRPr="00036775">
              <w:rPr>
                <w:rFonts w:asciiTheme="minorHAnsi" w:hAnsiTheme="minorHAnsi"/>
              </w:rPr>
              <w:t>Boulder City, NV</w:t>
            </w:r>
            <w:r w:rsidRPr="00036775" w:rsidDel="004C7564">
              <w:rPr>
                <w:rFonts w:asciiTheme="minorHAnsi" w:hAnsiTheme="minorHAnsi"/>
              </w:rPr>
              <w:t xml:space="preserve"> </w:t>
            </w:r>
          </w:p>
        </w:tc>
      </w:tr>
      <w:tr w:rsidR="00F227BB" w:rsidRPr="00036775" w14:paraId="20F6212A" w14:textId="77777777" w:rsidTr="00FC0C5C">
        <w:trPr>
          <w:trHeight w:val="810"/>
        </w:trPr>
        <w:tc>
          <w:tcPr>
            <w:tcW w:w="9540" w:type="dxa"/>
          </w:tcPr>
          <w:p w14:paraId="1789BD5F" w14:textId="77777777" w:rsidR="00F227BB" w:rsidRPr="00036775" w:rsidRDefault="00F227BB" w:rsidP="00F227BB">
            <w:pPr>
              <w:pStyle w:val="NoSpacing"/>
              <w:numPr>
                <w:ilvl w:val="0"/>
                <w:numId w:val="46"/>
              </w:numPr>
              <w:spacing w:line="276" w:lineRule="auto"/>
              <w:rPr>
                <w:rFonts w:asciiTheme="minorHAnsi" w:hAnsiTheme="minorHAnsi"/>
              </w:rPr>
            </w:pPr>
            <w:r w:rsidRPr="00036775">
              <w:rPr>
                <w:rFonts w:asciiTheme="minorHAnsi" w:hAnsiTheme="minorHAnsi"/>
              </w:rPr>
              <w:t>Brooke Miller-Levy</w:t>
            </w:r>
            <w:r>
              <w:rPr>
                <w:rFonts w:asciiTheme="minorHAnsi" w:hAnsiTheme="minorHAnsi"/>
              </w:rPr>
              <w:t xml:space="preserve">, </w:t>
            </w:r>
            <w:r w:rsidRPr="00036775">
              <w:rPr>
                <w:rFonts w:asciiTheme="minorHAnsi" w:hAnsiTheme="minorHAnsi"/>
              </w:rPr>
              <w:t>U.S. Bureau of Reclamation</w:t>
            </w:r>
          </w:p>
          <w:p w14:paraId="1A32911F" w14:textId="77777777" w:rsidR="00F227BB" w:rsidRPr="00036775" w:rsidRDefault="00F227BB" w:rsidP="00F227BB">
            <w:pPr>
              <w:pStyle w:val="NoSpacing"/>
              <w:spacing w:line="276" w:lineRule="auto"/>
              <w:ind w:left="702"/>
              <w:rPr>
                <w:rFonts w:asciiTheme="minorHAnsi" w:hAnsiTheme="minorHAnsi"/>
              </w:rPr>
            </w:pPr>
            <w:r w:rsidRPr="00036775">
              <w:rPr>
                <w:rFonts w:asciiTheme="minorHAnsi" w:hAnsiTheme="minorHAnsi"/>
              </w:rPr>
              <w:t>Salt Lake City, UT</w:t>
            </w:r>
          </w:p>
        </w:tc>
      </w:tr>
    </w:tbl>
    <w:p w14:paraId="65681865" w14:textId="77777777" w:rsidR="00942D12" w:rsidRDefault="00942D12" w:rsidP="001A3579">
      <w:pPr>
        <w:pStyle w:val="NoSpacing"/>
        <w:tabs>
          <w:tab w:val="left" w:pos="90"/>
        </w:tabs>
        <w:spacing w:line="276" w:lineRule="auto"/>
        <w:ind w:left="360" w:hanging="360"/>
        <w:rPr>
          <w:rFonts w:asciiTheme="minorHAnsi" w:hAnsiTheme="minorHAnsi"/>
          <w:b/>
        </w:rPr>
      </w:pPr>
    </w:p>
    <w:p w14:paraId="1D630600" w14:textId="77777777" w:rsidR="009A7F73" w:rsidRPr="00036775" w:rsidRDefault="009A7F73" w:rsidP="001A3579">
      <w:pPr>
        <w:pStyle w:val="NoSpacing"/>
        <w:tabs>
          <w:tab w:val="left" w:pos="90"/>
        </w:tabs>
        <w:spacing w:line="276" w:lineRule="auto"/>
        <w:ind w:left="360" w:hanging="360"/>
        <w:rPr>
          <w:rFonts w:asciiTheme="minorHAnsi" w:hAnsiTheme="minorHAnsi"/>
          <w:b/>
        </w:rPr>
      </w:pPr>
      <w:r w:rsidRPr="00036775">
        <w:rPr>
          <w:rFonts w:asciiTheme="minorHAnsi" w:hAnsiTheme="minorHAnsi"/>
          <w:b/>
        </w:rPr>
        <w:t>9</w:t>
      </w:r>
      <w:r w:rsidR="007B5129" w:rsidRPr="00036775">
        <w:rPr>
          <w:rFonts w:asciiTheme="minorHAnsi" w:hAnsiTheme="minorHAnsi"/>
          <w:b/>
        </w:rPr>
        <w:t>.</w:t>
      </w:r>
      <w:r w:rsidR="007B5129" w:rsidRPr="00036775">
        <w:rPr>
          <w:rFonts w:asciiTheme="minorHAnsi" w:hAnsiTheme="minorHAnsi"/>
          <w:b/>
        </w:rPr>
        <w:tab/>
        <w:t>Explain any decision to provide any payment or gift to respondents, other than remuneration of contractors or grantees.</w:t>
      </w:r>
    </w:p>
    <w:p w14:paraId="7AE9FB3F" w14:textId="77777777" w:rsidR="00C1055A" w:rsidRPr="00036775" w:rsidRDefault="00C1055A" w:rsidP="001A3579">
      <w:pPr>
        <w:pStyle w:val="NoSpacing"/>
        <w:spacing w:line="276" w:lineRule="auto"/>
        <w:rPr>
          <w:rFonts w:asciiTheme="minorHAnsi" w:hAnsiTheme="minorHAnsi"/>
        </w:rPr>
      </w:pPr>
    </w:p>
    <w:p w14:paraId="7D58AA80" w14:textId="77777777" w:rsidR="009A7F73" w:rsidRPr="00036775" w:rsidRDefault="009A7F73" w:rsidP="001A3579">
      <w:pPr>
        <w:pStyle w:val="NoSpacing"/>
        <w:spacing w:line="276" w:lineRule="auto"/>
        <w:rPr>
          <w:rFonts w:asciiTheme="minorHAnsi" w:hAnsiTheme="minorHAnsi"/>
        </w:rPr>
      </w:pPr>
      <w:r w:rsidRPr="00036775">
        <w:rPr>
          <w:rFonts w:asciiTheme="minorHAnsi" w:hAnsiTheme="minorHAnsi"/>
        </w:rPr>
        <w:t xml:space="preserve">No payments or gifts will be provided to respondents. </w:t>
      </w:r>
    </w:p>
    <w:p w14:paraId="4D91F233" w14:textId="77777777" w:rsidR="001710DD" w:rsidRPr="00036775" w:rsidRDefault="001710DD" w:rsidP="001A3579">
      <w:pPr>
        <w:pStyle w:val="NoSpacing"/>
        <w:spacing w:line="276" w:lineRule="auto"/>
        <w:rPr>
          <w:rFonts w:asciiTheme="minorHAnsi" w:hAnsiTheme="minorHAnsi"/>
        </w:rPr>
      </w:pPr>
    </w:p>
    <w:p w14:paraId="7305788C" w14:textId="77777777" w:rsidR="009A7F73" w:rsidRPr="00036775" w:rsidRDefault="007B5129" w:rsidP="001A3579">
      <w:pPr>
        <w:pStyle w:val="NoSpacing"/>
        <w:tabs>
          <w:tab w:val="left" w:pos="90"/>
        </w:tabs>
        <w:spacing w:line="276" w:lineRule="auto"/>
        <w:ind w:left="360" w:hanging="360"/>
        <w:rPr>
          <w:rFonts w:asciiTheme="minorHAnsi" w:hAnsiTheme="minorHAnsi"/>
        </w:rPr>
      </w:pPr>
      <w:r w:rsidRPr="00036775">
        <w:rPr>
          <w:rFonts w:asciiTheme="minorHAnsi" w:hAnsiTheme="minorHAnsi"/>
          <w:b/>
        </w:rPr>
        <w:t>10.</w:t>
      </w:r>
      <w:r w:rsidRPr="00036775">
        <w:rPr>
          <w:rFonts w:asciiTheme="minorHAnsi" w:hAnsiTheme="minorHAnsi"/>
          <w:b/>
        </w:rPr>
        <w:tab/>
      </w:r>
      <w:r w:rsidR="009A7F73" w:rsidRPr="00036775">
        <w:rPr>
          <w:rFonts w:asciiTheme="minorHAnsi" w:hAnsiTheme="minorHAnsi"/>
          <w:b/>
        </w:rPr>
        <w:t>Describe any assurance of confidentiality provided to respondents and the basis for the assurance in statute, regulation, or agency policy</w:t>
      </w:r>
      <w:r w:rsidR="009A7F73" w:rsidRPr="00036775">
        <w:rPr>
          <w:rFonts w:asciiTheme="minorHAnsi" w:hAnsiTheme="minorHAnsi"/>
        </w:rPr>
        <w:t xml:space="preserve">. </w:t>
      </w:r>
    </w:p>
    <w:p w14:paraId="33EE93E3" w14:textId="77777777" w:rsidR="00953F2F" w:rsidRPr="00036775" w:rsidRDefault="00953F2F" w:rsidP="001A3579">
      <w:pPr>
        <w:pStyle w:val="NoSpacing"/>
        <w:spacing w:line="276" w:lineRule="auto"/>
        <w:rPr>
          <w:rFonts w:asciiTheme="minorHAnsi" w:eastAsia="Calibri" w:hAnsiTheme="minorHAnsi" w:cs="Calibri"/>
        </w:rPr>
      </w:pPr>
    </w:p>
    <w:p w14:paraId="62AC3D36" w14:textId="77777777" w:rsidR="007B5129" w:rsidRPr="00036775" w:rsidRDefault="00953F2F" w:rsidP="001A3579">
      <w:pPr>
        <w:pStyle w:val="NoSpacing"/>
        <w:spacing w:line="276" w:lineRule="auto"/>
        <w:rPr>
          <w:rFonts w:asciiTheme="minorHAnsi" w:hAnsiTheme="minorHAnsi" w:cstheme="minorHAnsi"/>
          <w:color w:val="000000"/>
        </w:rPr>
      </w:pPr>
      <w:r w:rsidRPr="00036775">
        <w:rPr>
          <w:rFonts w:asciiTheme="minorHAnsi" w:eastAsia="Calibri" w:hAnsiTheme="minorHAnsi" w:cs="Calibri"/>
        </w:rPr>
        <w:t xml:space="preserve">We will not provide any assurances of confidentiality.  </w:t>
      </w:r>
      <w:r w:rsidRPr="00036775">
        <w:rPr>
          <w:rFonts w:asciiTheme="minorHAnsi" w:hAnsiTheme="minorHAnsi" w:cstheme="minorHAnsi"/>
        </w:rPr>
        <w:t xml:space="preserve">Names and contact information (e.g., street address) will be maintained for follow-up purposes only.   </w:t>
      </w:r>
      <w:r w:rsidRPr="00036775">
        <w:rPr>
          <w:rFonts w:asciiTheme="minorHAnsi" w:hAnsiTheme="minorHAnsi" w:cstheme="minorHAnsi"/>
          <w:color w:val="000000"/>
        </w:rPr>
        <w:t xml:space="preserve">Respondent names or addresses will not appear in any of our reports or findings. </w:t>
      </w:r>
    </w:p>
    <w:p w14:paraId="04B520FB" w14:textId="77777777" w:rsidR="00953F2F" w:rsidRPr="00036775" w:rsidRDefault="00953F2F" w:rsidP="001A3579">
      <w:pPr>
        <w:pStyle w:val="NoSpacing"/>
        <w:spacing w:line="276" w:lineRule="auto"/>
        <w:rPr>
          <w:rFonts w:asciiTheme="minorHAnsi" w:hAnsiTheme="minorHAnsi"/>
        </w:rPr>
      </w:pPr>
    </w:p>
    <w:p w14:paraId="33BEE0ED" w14:textId="77777777" w:rsidR="000C5B65" w:rsidRPr="00036775" w:rsidRDefault="00953F2F" w:rsidP="00A36473">
      <w:pPr>
        <w:rPr>
          <w:rFonts w:asciiTheme="minorHAnsi" w:eastAsia="Calibri" w:hAnsiTheme="minorHAnsi" w:cs="Calibri"/>
        </w:rPr>
      </w:pPr>
      <w:r w:rsidRPr="00036775">
        <w:rPr>
          <w:rFonts w:asciiTheme="minorHAnsi" w:hAnsiTheme="minorHAnsi" w:cstheme="minorHAnsi"/>
          <w:color w:val="000000"/>
        </w:rPr>
        <w:t xml:space="preserve">The use of the names provided by the National Park Service is </w:t>
      </w:r>
      <w:r w:rsidRPr="00036775">
        <w:rPr>
          <w:rFonts w:asciiTheme="minorHAnsi" w:eastAsia="Calibri" w:hAnsiTheme="minorHAnsi" w:cs="Calibri"/>
        </w:rPr>
        <w:t>covered by the National Park Service System of Records Notice (SORN) Special Use Permits-Interior, NPS-1.  All names and identifying information are protected by the Privacy Act of 1974.</w:t>
      </w:r>
      <w:r w:rsidR="007271F0" w:rsidRPr="00036775">
        <w:rPr>
          <w:rFonts w:asciiTheme="minorHAnsi" w:eastAsia="Calibri" w:hAnsiTheme="minorHAnsi" w:cs="Calibri"/>
        </w:rPr>
        <w:t xml:space="preserve"> </w:t>
      </w:r>
      <w:r w:rsidR="000C5B65" w:rsidRPr="00036775">
        <w:rPr>
          <w:rFonts w:asciiTheme="minorHAnsi" w:hAnsiTheme="minorHAnsi" w:cstheme="minorHAnsi"/>
          <w:color w:val="000000"/>
        </w:rPr>
        <w:t>All responses will be anonymous and the respondent’s names will never be associated with their responses. The database containing all contact information will be completely destroyed at the conclusion of this information collection.</w:t>
      </w:r>
    </w:p>
    <w:p w14:paraId="657CCFBA" w14:textId="77777777" w:rsidR="00942D12" w:rsidRDefault="00942D12" w:rsidP="005955D7">
      <w:pPr>
        <w:pStyle w:val="NoSpacing"/>
        <w:spacing w:line="276" w:lineRule="auto"/>
        <w:ind w:left="360" w:hanging="360"/>
        <w:rPr>
          <w:rFonts w:asciiTheme="minorHAnsi" w:hAnsiTheme="minorHAnsi"/>
          <w:b/>
        </w:rPr>
      </w:pPr>
    </w:p>
    <w:p w14:paraId="3CC7B03A" w14:textId="77777777" w:rsidR="009A7F73" w:rsidRPr="00036775" w:rsidRDefault="00C1055A" w:rsidP="005955D7">
      <w:pPr>
        <w:pStyle w:val="NoSpacing"/>
        <w:spacing w:line="276" w:lineRule="auto"/>
        <w:ind w:left="360" w:hanging="360"/>
        <w:rPr>
          <w:rFonts w:asciiTheme="minorHAnsi" w:hAnsiTheme="minorHAnsi"/>
          <w:b/>
        </w:rPr>
      </w:pPr>
      <w:r w:rsidRPr="00036775">
        <w:rPr>
          <w:rFonts w:asciiTheme="minorHAnsi" w:hAnsiTheme="minorHAnsi"/>
          <w:b/>
        </w:rPr>
        <w:lastRenderedPageBreak/>
        <w:t>11.</w:t>
      </w:r>
      <w:r w:rsidR="005955D7" w:rsidRPr="00036775">
        <w:rPr>
          <w:rFonts w:asciiTheme="minorHAnsi" w:hAnsiTheme="minorHAnsi"/>
          <w:b/>
        </w:rPr>
        <w:t xml:space="preserve">  </w:t>
      </w:r>
      <w:r w:rsidR="009A7F73" w:rsidRPr="00036775">
        <w:rPr>
          <w:rFonts w:asciiTheme="minorHAnsi" w:hAnsiTheme="minorHAnsi"/>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3C06986" w14:textId="77777777" w:rsidR="00C1055A" w:rsidRPr="00036775" w:rsidRDefault="00C1055A" w:rsidP="001A3579">
      <w:pPr>
        <w:pStyle w:val="NoSpacing"/>
        <w:spacing w:line="276" w:lineRule="auto"/>
        <w:rPr>
          <w:rFonts w:asciiTheme="minorHAnsi" w:hAnsiTheme="minorHAnsi"/>
        </w:rPr>
      </w:pPr>
    </w:p>
    <w:p w14:paraId="179D2C53" w14:textId="77777777" w:rsidR="00C1055A" w:rsidRPr="00036775" w:rsidRDefault="009A7F73" w:rsidP="001A3579">
      <w:pPr>
        <w:pStyle w:val="NoSpacing"/>
        <w:spacing w:line="276" w:lineRule="auto"/>
        <w:rPr>
          <w:rFonts w:asciiTheme="minorHAnsi" w:hAnsiTheme="minorHAnsi"/>
        </w:rPr>
      </w:pPr>
      <w:r w:rsidRPr="00036775">
        <w:rPr>
          <w:rFonts w:asciiTheme="minorHAnsi" w:hAnsiTheme="minorHAnsi"/>
        </w:rPr>
        <w:t>No quest</w:t>
      </w:r>
      <w:r w:rsidR="00240E83" w:rsidRPr="00036775">
        <w:rPr>
          <w:rFonts w:asciiTheme="minorHAnsi" w:hAnsiTheme="minorHAnsi"/>
        </w:rPr>
        <w:t>i</w:t>
      </w:r>
      <w:r w:rsidRPr="00036775">
        <w:rPr>
          <w:rFonts w:asciiTheme="minorHAnsi" w:hAnsiTheme="minorHAnsi"/>
        </w:rPr>
        <w:t xml:space="preserve">ons of a sensitive nature will be asked. </w:t>
      </w:r>
    </w:p>
    <w:p w14:paraId="03BA1C2F" w14:textId="77777777" w:rsidR="006B12B4" w:rsidRPr="00036775" w:rsidRDefault="006B12B4" w:rsidP="001A3579">
      <w:pPr>
        <w:pStyle w:val="NoSpacing"/>
        <w:spacing w:line="276" w:lineRule="auto"/>
        <w:rPr>
          <w:rFonts w:asciiTheme="minorHAnsi" w:hAnsiTheme="minorHAnsi"/>
        </w:rPr>
      </w:pPr>
    </w:p>
    <w:p w14:paraId="15D7FB1D" w14:textId="77777777" w:rsidR="00C1055A" w:rsidRPr="00036775" w:rsidRDefault="00C1055A" w:rsidP="001A3579">
      <w:pPr>
        <w:pStyle w:val="NoSpacing"/>
        <w:spacing w:line="276" w:lineRule="auto"/>
        <w:rPr>
          <w:rFonts w:asciiTheme="minorHAnsi" w:hAnsiTheme="minorHAnsi"/>
          <w:b/>
        </w:rPr>
      </w:pPr>
      <w:r w:rsidRPr="00036775">
        <w:rPr>
          <w:rFonts w:asciiTheme="minorHAnsi" w:hAnsiTheme="minorHAnsi"/>
          <w:b/>
        </w:rPr>
        <w:t>12.</w:t>
      </w:r>
      <w:r w:rsidR="008365AC" w:rsidRPr="00036775">
        <w:rPr>
          <w:rFonts w:asciiTheme="minorHAnsi" w:hAnsiTheme="minorHAnsi"/>
          <w:b/>
        </w:rPr>
        <w:tab/>
      </w:r>
      <w:r w:rsidRPr="00036775">
        <w:rPr>
          <w:rFonts w:asciiTheme="minorHAnsi" w:hAnsiTheme="minorHAnsi"/>
          <w:b/>
        </w:rPr>
        <w:t>Provide estimates of the hour burden of the collection of information.  The statement should:</w:t>
      </w:r>
    </w:p>
    <w:p w14:paraId="19C93851" w14:textId="77777777" w:rsidR="00C1055A" w:rsidRPr="00036775" w:rsidRDefault="00C1055A" w:rsidP="001A3579">
      <w:pPr>
        <w:pStyle w:val="NoSpacing"/>
        <w:numPr>
          <w:ilvl w:val="0"/>
          <w:numId w:val="24"/>
        </w:numPr>
        <w:spacing w:line="276" w:lineRule="auto"/>
        <w:rPr>
          <w:rFonts w:asciiTheme="minorHAnsi" w:hAnsiTheme="minorHAnsi"/>
          <w:b/>
        </w:rPr>
      </w:pPr>
      <w:r w:rsidRPr="00036775">
        <w:rPr>
          <w:rFonts w:asciiTheme="minorHAnsi" w:hAnsiTheme="minorHAnsi"/>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82386B" w14:textId="77777777" w:rsidR="00C1055A" w:rsidRPr="00036775" w:rsidRDefault="00C1055A" w:rsidP="001A3579">
      <w:pPr>
        <w:pStyle w:val="NoSpacing"/>
        <w:numPr>
          <w:ilvl w:val="0"/>
          <w:numId w:val="24"/>
        </w:numPr>
        <w:spacing w:line="276" w:lineRule="auto"/>
        <w:rPr>
          <w:rFonts w:asciiTheme="minorHAnsi" w:hAnsiTheme="minorHAnsi"/>
          <w:b/>
        </w:rPr>
      </w:pPr>
      <w:r w:rsidRPr="00036775">
        <w:rPr>
          <w:rFonts w:asciiTheme="minorHAnsi" w:hAnsiTheme="minorHAnsi"/>
          <w:b/>
        </w:rPr>
        <w:t>If this request for approval covers more than one form, provide separate hour burden estimates for each form and aggregate the hour burdens.</w:t>
      </w:r>
    </w:p>
    <w:p w14:paraId="39BB352B" w14:textId="77777777" w:rsidR="00C1055A" w:rsidRPr="00036775" w:rsidRDefault="00C1055A" w:rsidP="001A3579">
      <w:pPr>
        <w:pStyle w:val="NoSpacing"/>
        <w:numPr>
          <w:ilvl w:val="0"/>
          <w:numId w:val="24"/>
        </w:numPr>
        <w:spacing w:line="276" w:lineRule="auto"/>
        <w:rPr>
          <w:rFonts w:asciiTheme="minorHAnsi" w:hAnsiTheme="minorHAnsi"/>
          <w:b/>
        </w:rPr>
      </w:pPr>
      <w:r w:rsidRPr="00036775">
        <w:rPr>
          <w:rFonts w:asciiTheme="minorHAnsi" w:hAnsiTheme="minorHAnsi"/>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5DF3735C" w14:textId="77777777" w:rsidR="00C1055A" w:rsidRPr="00036775" w:rsidRDefault="00C1055A" w:rsidP="001A3579">
      <w:pPr>
        <w:pStyle w:val="NoSpacing"/>
        <w:spacing w:line="276" w:lineRule="auto"/>
        <w:rPr>
          <w:rFonts w:asciiTheme="minorHAnsi" w:hAnsiTheme="minorHAnsi"/>
        </w:rPr>
      </w:pPr>
    </w:p>
    <w:p w14:paraId="5F9D67DD" w14:textId="52E2C2B4" w:rsidR="00931E27" w:rsidRPr="00036775" w:rsidRDefault="00431CE6" w:rsidP="00631979">
      <w:pPr>
        <w:spacing w:after="0" w:line="360" w:lineRule="auto"/>
        <w:rPr>
          <w:rFonts w:asciiTheme="minorHAnsi" w:hAnsiTheme="minorHAnsi"/>
        </w:rPr>
      </w:pPr>
      <w:r w:rsidRPr="00036775">
        <w:rPr>
          <w:rFonts w:asciiTheme="minorHAnsi" w:hAnsiTheme="minorHAnsi"/>
        </w:rPr>
        <w:t xml:space="preserve">This collection will involve two mail-back survey instruments. </w:t>
      </w:r>
      <w:r w:rsidRPr="00036775">
        <w:rPr>
          <w:rFonts w:asciiTheme="minorHAnsi" w:hAnsiTheme="minorHAnsi" w:cs="Calibri"/>
        </w:rPr>
        <w:t>We assume that respondents will spend 20 minutes completing either survey; this includes the time to read all correspondences and instructions included within the survey package.</w:t>
      </w:r>
      <w:r w:rsidR="001E68C6" w:rsidRPr="00036775">
        <w:rPr>
          <w:rFonts w:asciiTheme="minorHAnsi" w:hAnsiTheme="minorHAnsi" w:cs="Calibri"/>
        </w:rPr>
        <w:t xml:space="preserve"> </w:t>
      </w:r>
      <w:r w:rsidRPr="00036775">
        <w:rPr>
          <w:rFonts w:asciiTheme="minorHAnsi" w:hAnsiTheme="minorHAnsi" w:cs="Calibri"/>
        </w:rPr>
        <w:t>We estimate</w:t>
      </w:r>
      <w:r w:rsidR="008E2524" w:rsidRPr="00036775">
        <w:rPr>
          <w:rFonts w:asciiTheme="minorHAnsi" w:hAnsiTheme="minorHAnsi" w:cs="Calibri"/>
        </w:rPr>
        <w:t xml:space="preserve"> that there will be total 2,3</w:t>
      </w:r>
      <w:r w:rsidR="001333F9">
        <w:rPr>
          <w:rFonts w:asciiTheme="minorHAnsi" w:hAnsiTheme="minorHAnsi" w:cs="Calibri"/>
        </w:rPr>
        <w:t>40</w:t>
      </w:r>
      <w:r w:rsidR="008E2524" w:rsidRPr="00036775">
        <w:rPr>
          <w:rFonts w:asciiTheme="minorHAnsi" w:hAnsiTheme="minorHAnsi" w:cs="Calibri"/>
        </w:rPr>
        <w:t xml:space="preserve"> respondents</w:t>
      </w:r>
      <w:r w:rsidR="00074825">
        <w:rPr>
          <w:rFonts w:asciiTheme="minorHAnsi" w:hAnsiTheme="minorHAnsi" w:cs="Calibri"/>
        </w:rPr>
        <w:t xml:space="preserve"> from the total sample of 3,600 potential respondents (65% response rate)</w:t>
      </w:r>
      <w:r w:rsidR="008E2524" w:rsidRPr="00036775">
        <w:rPr>
          <w:rFonts w:asciiTheme="minorHAnsi" w:hAnsiTheme="minorHAnsi" w:cs="Calibri"/>
        </w:rPr>
        <w:t xml:space="preserve">, and </w:t>
      </w:r>
      <w:r w:rsidRPr="00036775">
        <w:rPr>
          <w:rFonts w:asciiTheme="minorHAnsi" w:hAnsiTheme="minorHAnsi" w:cs="Calibri"/>
        </w:rPr>
        <w:t xml:space="preserve">the </w:t>
      </w:r>
      <w:r w:rsidR="008E2524" w:rsidRPr="00036775">
        <w:rPr>
          <w:rFonts w:asciiTheme="minorHAnsi" w:hAnsiTheme="minorHAnsi" w:cs="Calibri"/>
        </w:rPr>
        <w:t xml:space="preserve">total annual </w:t>
      </w:r>
      <w:r w:rsidRPr="00036775">
        <w:rPr>
          <w:rFonts w:asciiTheme="minorHAnsi" w:hAnsiTheme="minorHAnsi" w:cs="Calibri"/>
        </w:rPr>
        <w:t>burden</w:t>
      </w:r>
      <w:r w:rsidR="00E774EE" w:rsidRPr="00036775">
        <w:rPr>
          <w:rFonts w:asciiTheme="minorHAnsi" w:hAnsiTheme="minorHAnsi" w:cs="Calibri"/>
        </w:rPr>
        <w:t xml:space="preserve"> for </w:t>
      </w:r>
      <w:r w:rsidRPr="00036775">
        <w:rPr>
          <w:rFonts w:asciiTheme="minorHAnsi" w:hAnsiTheme="minorHAnsi" w:cs="Calibri"/>
        </w:rPr>
        <w:t xml:space="preserve">collection </w:t>
      </w:r>
      <w:r w:rsidR="008E2524" w:rsidRPr="00036775">
        <w:rPr>
          <w:rFonts w:asciiTheme="minorHAnsi" w:hAnsiTheme="minorHAnsi" w:cs="Calibri"/>
        </w:rPr>
        <w:t xml:space="preserve">will </w:t>
      </w:r>
      <w:r w:rsidRPr="00036775">
        <w:rPr>
          <w:rFonts w:asciiTheme="minorHAnsi" w:hAnsiTheme="minorHAnsi" w:cs="Calibri"/>
        </w:rPr>
        <w:t xml:space="preserve">be </w:t>
      </w:r>
      <w:r w:rsidR="001333F9">
        <w:rPr>
          <w:rFonts w:asciiTheme="minorHAnsi" w:hAnsiTheme="minorHAnsi" w:cs="Calibri"/>
        </w:rPr>
        <w:t>780</w:t>
      </w:r>
      <w:r w:rsidRPr="00036775">
        <w:rPr>
          <w:rFonts w:asciiTheme="minorHAnsi" w:hAnsiTheme="minorHAnsi" w:cs="Calibri"/>
        </w:rPr>
        <w:t xml:space="preserve"> hours (Table 1). </w:t>
      </w:r>
      <w:r w:rsidR="00931E27" w:rsidRPr="00036775">
        <w:rPr>
          <w:rFonts w:asciiTheme="minorHAnsi" w:hAnsiTheme="minorHAnsi"/>
        </w:rPr>
        <w:t xml:space="preserve">Our estimate is based upon our experience with similar collections. </w:t>
      </w:r>
      <w:r w:rsidR="00074825">
        <w:rPr>
          <w:rFonts w:asciiTheme="minorHAnsi" w:hAnsiTheme="minorHAnsi"/>
        </w:rPr>
        <w:t xml:space="preserve">Surveys of interested user groups generally have significantly higher response rates than </w:t>
      </w:r>
      <w:r w:rsidR="00CA4F25">
        <w:rPr>
          <w:rFonts w:asciiTheme="minorHAnsi" w:hAnsiTheme="minorHAnsi"/>
        </w:rPr>
        <w:t>general household surveys.  For example, a 2011 survey of Great Salt Lake waterfowl hunters  (Duffield, Neher, and Patterson 2011) had a 65% overall response rate.</w:t>
      </w:r>
    </w:p>
    <w:p w14:paraId="34A66227" w14:textId="77777777" w:rsidR="00931E27" w:rsidRPr="00036775" w:rsidRDefault="00931E27" w:rsidP="00BF33B4">
      <w:pPr>
        <w:pStyle w:val="NoSpacing"/>
        <w:spacing w:line="360" w:lineRule="auto"/>
        <w:rPr>
          <w:rFonts w:asciiTheme="minorHAnsi" w:hAnsiTheme="minorHAnsi"/>
        </w:rPr>
      </w:pPr>
    </w:p>
    <w:p w14:paraId="6E1035FA" w14:textId="77777777" w:rsidR="00931E27" w:rsidRPr="00036775" w:rsidRDefault="00257662" w:rsidP="00931E27">
      <w:pPr>
        <w:pStyle w:val="NoSpacing"/>
        <w:spacing w:line="360" w:lineRule="auto"/>
        <w:rPr>
          <w:rFonts w:asciiTheme="minorHAnsi" w:hAnsiTheme="minorHAnsi"/>
        </w:rPr>
      </w:pPr>
      <w:r w:rsidRPr="00036775">
        <w:rPr>
          <w:rFonts w:asciiTheme="minorHAnsi" w:hAnsiTheme="minorHAnsi"/>
          <w:u w:val="single"/>
        </w:rPr>
        <w:t>White</w:t>
      </w:r>
      <w:r w:rsidR="008C1F8B" w:rsidRPr="00036775">
        <w:rPr>
          <w:rFonts w:asciiTheme="minorHAnsi" w:hAnsiTheme="minorHAnsi"/>
          <w:u w:val="single"/>
        </w:rPr>
        <w:t xml:space="preserve"> </w:t>
      </w:r>
      <w:r w:rsidR="00631979" w:rsidRPr="00036775">
        <w:rPr>
          <w:rFonts w:asciiTheme="minorHAnsi" w:hAnsiTheme="minorHAnsi"/>
          <w:u w:val="single"/>
        </w:rPr>
        <w:t>W</w:t>
      </w:r>
      <w:r w:rsidRPr="00036775">
        <w:rPr>
          <w:rFonts w:asciiTheme="minorHAnsi" w:hAnsiTheme="minorHAnsi"/>
          <w:u w:val="single"/>
        </w:rPr>
        <w:t xml:space="preserve">ater </w:t>
      </w:r>
      <w:r w:rsidR="00931E27" w:rsidRPr="00036775">
        <w:rPr>
          <w:rFonts w:asciiTheme="minorHAnsi" w:hAnsiTheme="minorHAnsi"/>
          <w:u w:val="single"/>
        </w:rPr>
        <w:t>Floater Survey</w:t>
      </w:r>
      <w:r w:rsidR="00931E27" w:rsidRPr="00036775">
        <w:rPr>
          <w:rFonts w:asciiTheme="minorHAnsi" w:hAnsiTheme="minorHAnsi"/>
        </w:rPr>
        <w:t xml:space="preserve">: </w:t>
      </w:r>
      <w:r w:rsidR="000C7F92" w:rsidRPr="00036775">
        <w:rPr>
          <w:rFonts w:asciiTheme="minorHAnsi" w:hAnsiTheme="minorHAnsi"/>
        </w:rPr>
        <w:t xml:space="preserve"> We will mail 2,850 surveys to a random sample of visitors </w:t>
      </w:r>
      <w:r w:rsidRPr="00036775">
        <w:rPr>
          <w:rFonts w:asciiTheme="minorHAnsi" w:hAnsiTheme="minorHAnsi"/>
        </w:rPr>
        <w:t xml:space="preserve">from </w:t>
      </w:r>
      <w:r w:rsidR="00431CE6" w:rsidRPr="00036775">
        <w:rPr>
          <w:rFonts w:asciiTheme="minorHAnsi" w:hAnsiTheme="minorHAnsi"/>
        </w:rPr>
        <w:t xml:space="preserve">a visitor </w:t>
      </w:r>
      <w:r w:rsidRPr="00036775">
        <w:rPr>
          <w:rFonts w:asciiTheme="minorHAnsi" w:hAnsiTheme="minorHAnsi"/>
        </w:rPr>
        <w:t>list</w:t>
      </w:r>
      <w:r w:rsidR="00431CE6" w:rsidRPr="00036775">
        <w:rPr>
          <w:rFonts w:asciiTheme="minorHAnsi" w:hAnsiTheme="minorHAnsi"/>
        </w:rPr>
        <w:t xml:space="preserve"> of</w:t>
      </w:r>
      <w:r w:rsidRPr="00036775">
        <w:rPr>
          <w:rFonts w:asciiTheme="minorHAnsi" w:hAnsiTheme="minorHAnsi"/>
        </w:rPr>
        <w:t xml:space="preserve"> </w:t>
      </w:r>
      <w:r w:rsidR="000C7F92" w:rsidRPr="00036775">
        <w:rPr>
          <w:rFonts w:asciiTheme="minorHAnsi" w:hAnsiTheme="minorHAnsi"/>
        </w:rPr>
        <w:t xml:space="preserve">whitewater floaters </w:t>
      </w:r>
      <w:r w:rsidRPr="00036775">
        <w:rPr>
          <w:rFonts w:asciiTheme="minorHAnsi" w:hAnsiTheme="minorHAnsi"/>
        </w:rPr>
        <w:t xml:space="preserve">supplied by </w:t>
      </w:r>
      <w:r w:rsidR="00F70444" w:rsidRPr="00036775">
        <w:rPr>
          <w:rFonts w:asciiTheme="minorHAnsi" w:hAnsiTheme="minorHAnsi"/>
        </w:rPr>
        <w:t xml:space="preserve">the </w:t>
      </w:r>
      <w:r w:rsidRPr="00036775">
        <w:rPr>
          <w:rFonts w:asciiTheme="minorHAnsi" w:hAnsiTheme="minorHAnsi"/>
        </w:rPr>
        <w:t>N</w:t>
      </w:r>
      <w:r w:rsidR="00A95AD6" w:rsidRPr="00036775">
        <w:rPr>
          <w:rFonts w:asciiTheme="minorHAnsi" w:hAnsiTheme="minorHAnsi"/>
        </w:rPr>
        <w:t>PS</w:t>
      </w:r>
      <w:r w:rsidRPr="00036775">
        <w:rPr>
          <w:rFonts w:asciiTheme="minorHAnsi" w:hAnsiTheme="minorHAnsi"/>
        </w:rPr>
        <w:t xml:space="preserve">. </w:t>
      </w:r>
      <w:r w:rsidR="00431CE6" w:rsidRPr="00036775">
        <w:rPr>
          <w:rFonts w:asciiTheme="minorHAnsi" w:hAnsiTheme="minorHAnsi"/>
        </w:rPr>
        <w:t>We</w:t>
      </w:r>
      <w:r w:rsidR="00931E27" w:rsidRPr="00036775">
        <w:rPr>
          <w:rFonts w:asciiTheme="minorHAnsi" w:hAnsiTheme="minorHAnsi"/>
        </w:rPr>
        <w:t xml:space="preserve"> expect</w:t>
      </w:r>
      <w:r w:rsidR="00431CE6" w:rsidRPr="00036775">
        <w:rPr>
          <w:rFonts w:asciiTheme="minorHAnsi" w:hAnsiTheme="minorHAnsi"/>
        </w:rPr>
        <w:t xml:space="preserve"> to receive a </w:t>
      </w:r>
      <w:r w:rsidR="0075409A" w:rsidRPr="00036775">
        <w:rPr>
          <w:rFonts w:asciiTheme="minorHAnsi" w:hAnsiTheme="minorHAnsi"/>
        </w:rPr>
        <w:t>65</w:t>
      </w:r>
      <w:r w:rsidR="00431CE6" w:rsidRPr="00036775">
        <w:rPr>
          <w:rFonts w:asciiTheme="minorHAnsi" w:hAnsiTheme="minorHAnsi"/>
        </w:rPr>
        <w:t>% (n=</w:t>
      </w:r>
      <w:r w:rsidR="00931E27" w:rsidRPr="00036775">
        <w:rPr>
          <w:rFonts w:asciiTheme="minorHAnsi" w:hAnsiTheme="minorHAnsi"/>
        </w:rPr>
        <w:t>1,852</w:t>
      </w:r>
      <w:r w:rsidR="00431CE6" w:rsidRPr="00036775">
        <w:rPr>
          <w:rFonts w:asciiTheme="minorHAnsi" w:hAnsiTheme="minorHAnsi"/>
        </w:rPr>
        <w:t xml:space="preserve">) response rate for this survey. </w:t>
      </w:r>
    </w:p>
    <w:p w14:paraId="7EF3A06B" w14:textId="77777777" w:rsidR="00631979" w:rsidRPr="00036775" w:rsidRDefault="00631979" w:rsidP="00DD125F">
      <w:pPr>
        <w:pStyle w:val="NoSpacing"/>
        <w:spacing w:line="360" w:lineRule="auto"/>
        <w:rPr>
          <w:rFonts w:asciiTheme="minorHAnsi" w:hAnsiTheme="minorHAnsi"/>
          <w:u w:val="single"/>
        </w:rPr>
      </w:pPr>
    </w:p>
    <w:p w14:paraId="635E1896" w14:textId="77777777" w:rsidR="00634979" w:rsidRPr="00036775" w:rsidRDefault="00931E27" w:rsidP="00DD125F">
      <w:pPr>
        <w:pStyle w:val="NoSpacing"/>
        <w:spacing w:line="360" w:lineRule="auto"/>
        <w:rPr>
          <w:rFonts w:asciiTheme="minorHAnsi" w:hAnsiTheme="minorHAnsi"/>
        </w:rPr>
      </w:pPr>
      <w:r w:rsidRPr="00036775">
        <w:rPr>
          <w:rFonts w:asciiTheme="minorHAnsi" w:hAnsiTheme="minorHAnsi"/>
          <w:u w:val="single"/>
        </w:rPr>
        <w:lastRenderedPageBreak/>
        <w:t>A</w:t>
      </w:r>
      <w:r w:rsidR="00176FEE" w:rsidRPr="00036775">
        <w:rPr>
          <w:rFonts w:asciiTheme="minorHAnsi" w:hAnsiTheme="minorHAnsi"/>
          <w:u w:val="single"/>
        </w:rPr>
        <w:t>ngler</w:t>
      </w:r>
      <w:r w:rsidR="00631979" w:rsidRPr="00036775">
        <w:rPr>
          <w:rFonts w:asciiTheme="minorHAnsi" w:hAnsiTheme="minorHAnsi"/>
          <w:u w:val="single"/>
        </w:rPr>
        <w:t xml:space="preserve"> Survey</w:t>
      </w:r>
      <w:r w:rsidRPr="00036775">
        <w:rPr>
          <w:rFonts w:asciiTheme="minorHAnsi" w:hAnsiTheme="minorHAnsi"/>
        </w:rPr>
        <w:t xml:space="preserve">: </w:t>
      </w:r>
      <w:r w:rsidR="007271F0" w:rsidRPr="00036775">
        <w:rPr>
          <w:rFonts w:asciiTheme="minorHAnsi" w:hAnsiTheme="minorHAnsi"/>
          <w:color w:val="000000"/>
          <w:sz w:val="23"/>
          <w:szCs w:val="23"/>
          <w:shd w:val="clear" w:color="auto" w:fill="FFFFFF"/>
        </w:rPr>
        <w:t xml:space="preserve">We </w:t>
      </w:r>
      <w:r w:rsidR="00631979" w:rsidRPr="00036775">
        <w:rPr>
          <w:rFonts w:asciiTheme="minorHAnsi" w:hAnsiTheme="minorHAnsi"/>
          <w:color w:val="000000"/>
          <w:sz w:val="23"/>
          <w:szCs w:val="23"/>
          <w:shd w:val="clear" w:color="auto" w:fill="FFFFFF"/>
        </w:rPr>
        <w:t xml:space="preserve">will </w:t>
      </w:r>
      <w:r w:rsidR="007271F0" w:rsidRPr="00036775">
        <w:rPr>
          <w:rFonts w:asciiTheme="minorHAnsi" w:hAnsiTheme="minorHAnsi"/>
          <w:color w:val="000000"/>
          <w:sz w:val="23"/>
          <w:szCs w:val="23"/>
          <w:shd w:val="clear" w:color="auto" w:fill="FFFFFF"/>
        </w:rPr>
        <w:t>mail 750 surveys to a random sample of adult anglers (18 years and older)</w:t>
      </w:r>
      <w:r w:rsidR="001333F9">
        <w:rPr>
          <w:rFonts w:asciiTheme="minorHAnsi" w:hAnsiTheme="minorHAnsi"/>
          <w:color w:val="000000"/>
          <w:sz w:val="23"/>
          <w:szCs w:val="23"/>
          <w:shd w:val="clear" w:color="auto" w:fill="FFFFFF"/>
        </w:rPr>
        <w:t xml:space="preserve"> taken from</w:t>
      </w:r>
      <w:r w:rsidR="0075409A" w:rsidRPr="00036775">
        <w:rPr>
          <w:rFonts w:asciiTheme="minorHAnsi" w:hAnsiTheme="minorHAnsi"/>
          <w:color w:val="000000"/>
          <w:sz w:val="23"/>
          <w:szCs w:val="23"/>
          <w:shd w:val="clear" w:color="auto" w:fill="FFFFFF"/>
        </w:rPr>
        <w:t xml:space="preserve"> th</w:t>
      </w:r>
      <w:r w:rsidR="00631979" w:rsidRPr="00036775">
        <w:rPr>
          <w:rFonts w:asciiTheme="minorHAnsi" w:hAnsiTheme="minorHAnsi"/>
          <w:color w:val="000000"/>
          <w:sz w:val="23"/>
          <w:szCs w:val="23"/>
          <w:shd w:val="clear" w:color="auto" w:fill="FFFFFF"/>
        </w:rPr>
        <w:t>e</w:t>
      </w:r>
      <w:r w:rsidR="0075409A" w:rsidRPr="00036775">
        <w:rPr>
          <w:rFonts w:asciiTheme="minorHAnsi" w:hAnsiTheme="minorHAnsi"/>
          <w:color w:val="000000"/>
          <w:sz w:val="23"/>
          <w:szCs w:val="23"/>
          <w:shd w:val="clear" w:color="auto" w:fill="FFFFFF"/>
        </w:rPr>
        <w:t xml:space="preserve"> </w:t>
      </w:r>
      <w:r w:rsidR="001333F9">
        <w:rPr>
          <w:rFonts w:asciiTheme="minorHAnsi" w:hAnsiTheme="minorHAnsi"/>
          <w:color w:val="000000"/>
          <w:sz w:val="23"/>
          <w:szCs w:val="23"/>
          <w:shd w:val="clear" w:color="auto" w:fill="FFFFFF"/>
        </w:rPr>
        <w:t xml:space="preserve">AZFGD creel survey </w:t>
      </w:r>
      <w:r w:rsidR="0075409A" w:rsidRPr="00036775">
        <w:rPr>
          <w:rFonts w:asciiTheme="minorHAnsi" w:hAnsiTheme="minorHAnsi"/>
          <w:color w:val="000000"/>
          <w:sz w:val="23"/>
          <w:szCs w:val="23"/>
          <w:shd w:val="clear" w:color="auto" w:fill="FFFFFF"/>
        </w:rPr>
        <w:t xml:space="preserve">list.  </w:t>
      </w:r>
      <w:r w:rsidR="007271F0" w:rsidRPr="00036775">
        <w:rPr>
          <w:rFonts w:asciiTheme="minorHAnsi" w:hAnsiTheme="minorHAnsi"/>
          <w:color w:val="000000"/>
          <w:sz w:val="23"/>
          <w:szCs w:val="23"/>
          <w:shd w:val="clear" w:color="auto" w:fill="FFFFFF"/>
        </w:rPr>
        <w:t>We expect that 65% (n=4</w:t>
      </w:r>
      <w:r w:rsidR="0075409A" w:rsidRPr="00036775">
        <w:rPr>
          <w:rFonts w:asciiTheme="minorHAnsi" w:hAnsiTheme="minorHAnsi"/>
          <w:color w:val="000000"/>
          <w:sz w:val="23"/>
          <w:szCs w:val="23"/>
          <w:shd w:val="clear" w:color="auto" w:fill="FFFFFF"/>
        </w:rPr>
        <w:t>88</w:t>
      </w:r>
      <w:r w:rsidR="007271F0" w:rsidRPr="00036775">
        <w:rPr>
          <w:rFonts w:asciiTheme="minorHAnsi" w:hAnsiTheme="minorHAnsi"/>
          <w:color w:val="000000"/>
          <w:sz w:val="23"/>
          <w:szCs w:val="23"/>
          <w:shd w:val="clear" w:color="auto" w:fill="FFFFFF"/>
        </w:rPr>
        <w:t>) will return the completed survey.</w:t>
      </w:r>
    </w:p>
    <w:p w14:paraId="003A0823" w14:textId="77777777" w:rsidR="00942D12" w:rsidRDefault="00942D12" w:rsidP="00562C46">
      <w:pPr>
        <w:pStyle w:val="NoSpacing"/>
        <w:spacing w:line="360" w:lineRule="auto"/>
        <w:rPr>
          <w:rFonts w:asciiTheme="minorHAnsi" w:hAnsiTheme="minorHAnsi"/>
        </w:rPr>
      </w:pPr>
    </w:p>
    <w:p w14:paraId="2BE22C1A" w14:textId="73447F03" w:rsidR="00631979" w:rsidRPr="00036775" w:rsidRDefault="00D52387" w:rsidP="00562C46">
      <w:pPr>
        <w:pStyle w:val="NoSpacing"/>
        <w:spacing w:line="360" w:lineRule="auto"/>
        <w:rPr>
          <w:rFonts w:asciiTheme="minorHAnsi" w:hAnsiTheme="minorHAnsi"/>
        </w:rPr>
      </w:pPr>
      <w:r w:rsidRPr="00D52387">
        <w:rPr>
          <w:rFonts w:asciiTheme="minorHAnsi" w:hAnsiTheme="minorHAnsi"/>
        </w:rPr>
        <w:t>We estimate the total dollar value of the burden hours to be $</w:t>
      </w:r>
      <w:r>
        <w:rPr>
          <w:rFonts w:asciiTheme="minorHAnsi" w:hAnsiTheme="minorHAnsi"/>
        </w:rPr>
        <w:t>26,122</w:t>
      </w:r>
      <w:r w:rsidRPr="00D52387">
        <w:rPr>
          <w:rFonts w:asciiTheme="minorHAnsi" w:hAnsiTheme="minorHAnsi"/>
        </w:rPr>
        <w:t xml:space="preserve">. We multiplied the estimated burden hours by $33.49 (for individuals or households).  This wage figure includes a benefits multiplier and is based on the National Compensation Survey: Occupational Wages in the United States published by the Bureau of Labor Statistics Occupation and Wages, (BLS news release USDL-15-1132 for Employer Costs for Employee Compensation— March 2015 at - http://www.bls.gov/news.release/pdf/ecec.pdf, dated June 10, 2015).  </w:t>
      </w:r>
    </w:p>
    <w:p w14:paraId="3D6E4DB8" w14:textId="77777777" w:rsidR="00D52387" w:rsidRDefault="00D52387" w:rsidP="00562C46">
      <w:pPr>
        <w:pStyle w:val="NoSpacing"/>
        <w:spacing w:line="360" w:lineRule="auto"/>
        <w:rPr>
          <w:rFonts w:asciiTheme="minorHAnsi" w:hAnsiTheme="minorHAnsi"/>
        </w:rPr>
      </w:pPr>
    </w:p>
    <w:p w14:paraId="2E755E41" w14:textId="77777777" w:rsidR="00E774EE" w:rsidRPr="00036775" w:rsidRDefault="00E774EE">
      <w:pPr>
        <w:spacing w:after="0" w:line="240" w:lineRule="auto"/>
        <w:rPr>
          <w:rFonts w:asciiTheme="minorHAnsi" w:hAnsiTheme="minorHAnsi"/>
        </w:rPr>
      </w:pPr>
    </w:p>
    <w:tbl>
      <w:tblPr>
        <w:tblStyle w:val="TableGrid"/>
        <w:tblW w:w="9918" w:type="dxa"/>
        <w:tblLayout w:type="fixed"/>
        <w:tblLook w:val="04A0" w:firstRow="1" w:lastRow="0" w:firstColumn="1" w:lastColumn="0" w:noHBand="0" w:noVBand="1"/>
      </w:tblPr>
      <w:tblGrid>
        <w:gridCol w:w="2538"/>
        <w:gridCol w:w="990"/>
        <w:gridCol w:w="1080"/>
        <w:gridCol w:w="1440"/>
        <w:gridCol w:w="1170"/>
        <w:gridCol w:w="1350"/>
        <w:gridCol w:w="1350"/>
      </w:tblGrid>
      <w:tr w:rsidR="002D676A" w:rsidRPr="00036775" w14:paraId="0E5B478D" w14:textId="77777777" w:rsidTr="00942D12">
        <w:trPr>
          <w:trHeight w:val="306"/>
        </w:trPr>
        <w:tc>
          <w:tcPr>
            <w:tcW w:w="9918" w:type="dxa"/>
            <w:gridSpan w:val="7"/>
            <w:shd w:val="clear" w:color="auto" w:fill="D9D9D9" w:themeFill="background1" w:themeFillShade="D9"/>
          </w:tcPr>
          <w:p w14:paraId="67ADB73B" w14:textId="77777777" w:rsidR="002D676A" w:rsidRPr="00036775" w:rsidRDefault="002D676A" w:rsidP="00900800">
            <w:pPr>
              <w:pStyle w:val="NoSpacing"/>
              <w:spacing w:line="276" w:lineRule="auto"/>
              <w:jc w:val="center"/>
              <w:rPr>
                <w:rFonts w:asciiTheme="minorHAnsi" w:hAnsiTheme="minorHAnsi"/>
                <w:b/>
              </w:rPr>
            </w:pPr>
            <w:r w:rsidRPr="00036775">
              <w:rPr>
                <w:rFonts w:asciiTheme="minorHAnsi" w:hAnsiTheme="minorHAnsi"/>
                <w:b/>
              </w:rPr>
              <w:t>Individuals and Households</w:t>
            </w:r>
          </w:p>
        </w:tc>
      </w:tr>
      <w:tr w:rsidR="00F10EFE" w:rsidRPr="00036775" w14:paraId="65D0D299" w14:textId="77777777" w:rsidTr="00942D12">
        <w:trPr>
          <w:trHeight w:val="1250"/>
        </w:trPr>
        <w:tc>
          <w:tcPr>
            <w:tcW w:w="2538" w:type="dxa"/>
            <w:vAlign w:val="center"/>
          </w:tcPr>
          <w:p w14:paraId="5ED49C06" w14:textId="77777777" w:rsidR="00F10EFE" w:rsidRPr="00036775" w:rsidRDefault="00F10EFE" w:rsidP="00917BB8">
            <w:pPr>
              <w:pStyle w:val="NoSpacing"/>
              <w:spacing w:line="276" w:lineRule="auto"/>
              <w:jc w:val="center"/>
              <w:rPr>
                <w:rFonts w:asciiTheme="minorHAnsi" w:hAnsiTheme="minorHAnsi"/>
              </w:rPr>
            </w:pPr>
            <w:r w:rsidRPr="00036775">
              <w:rPr>
                <w:rFonts w:asciiTheme="minorHAnsi" w:hAnsiTheme="minorHAnsi"/>
                <w:b/>
              </w:rPr>
              <w:t>Activity</w:t>
            </w:r>
          </w:p>
        </w:tc>
        <w:tc>
          <w:tcPr>
            <w:tcW w:w="990" w:type="dxa"/>
          </w:tcPr>
          <w:p w14:paraId="1D728E0A" w14:textId="77777777" w:rsidR="00F10EFE" w:rsidRPr="00036775" w:rsidRDefault="00F10EFE" w:rsidP="00562C46">
            <w:pPr>
              <w:pStyle w:val="NoSpacing"/>
              <w:spacing w:line="276" w:lineRule="auto"/>
              <w:jc w:val="center"/>
              <w:rPr>
                <w:rFonts w:asciiTheme="minorHAnsi" w:hAnsiTheme="minorHAnsi"/>
                <w:sz w:val="20"/>
                <w:szCs w:val="20"/>
              </w:rPr>
            </w:pPr>
            <w:r w:rsidRPr="00036775">
              <w:rPr>
                <w:rFonts w:asciiTheme="minorHAnsi" w:hAnsiTheme="minorHAnsi"/>
                <w:sz w:val="20"/>
                <w:szCs w:val="20"/>
              </w:rPr>
              <w:t>Annual Number of Contacts</w:t>
            </w:r>
          </w:p>
        </w:tc>
        <w:tc>
          <w:tcPr>
            <w:tcW w:w="1080" w:type="dxa"/>
          </w:tcPr>
          <w:p w14:paraId="4EBFD2C6" w14:textId="77777777" w:rsidR="00F10EFE" w:rsidRPr="00036775" w:rsidRDefault="00F10EFE" w:rsidP="00F10EFE">
            <w:pPr>
              <w:pStyle w:val="NoSpacing"/>
              <w:spacing w:line="276" w:lineRule="auto"/>
              <w:jc w:val="center"/>
              <w:rPr>
                <w:rFonts w:asciiTheme="minorHAnsi" w:hAnsiTheme="minorHAnsi"/>
                <w:sz w:val="20"/>
                <w:szCs w:val="20"/>
              </w:rPr>
            </w:pPr>
            <w:r w:rsidRPr="00036775">
              <w:rPr>
                <w:rFonts w:asciiTheme="minorHAnsi" w:hAnsiTheme="minorHAnsi"/>
                <w:sz w:val="20"/>
                <w:szCs w:val="20"/>
              </w:rPr>
              <w:t>Annual Number of Responses</w:t>
            </w:r>
          </w:p>
        </w:tc>
        <w:tc>
          <w:tcPr>
            <w:tcW w:w="1440" w:type="dxa"/>
          </w:tcPr>
          <w:p w14:paraId="3005D829" w14:textId="77777777" w:rsidR="00F10EFE"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Estimated Completion time per Response</w:t>
            </w:r>
          </w:p>
          <w:p w14:paraId="6B427BC0" w14:textId="77777777" w:rsidR="00036775" w:rsidRPr="00036775" w:rsidRDefault="00036775" w:rsidP="00917BB8">
            <w:pPr>
              <w:pStyle w:val="NoSpacing"/>
              <w:spacing w:line="276" w:lineRule="auto"/>
              <w:jc w:val="center"/>
              <w:rPr>
                <w:rFonts w:asciiTheme="minorHAnsi" w:hAnsiTheme="minorHAnsi"/>
                <w:sz w:val="20"/>
                <w:szCs w:val="20"/>
              </w:rPr>
            </w:pPr>
            <w:r>
              <w:rPr>
                <w:rFonts w:asciiTheme="minorHAnsi" w:hAnsiTheme="minorHAnsi"/>
                <w:sz w:val="20"/>
                <w:szCs w:val="20"/>
              </w:rPr>
              <w:t>(minutes)</w:t>
            </w:r>
          </w:p>
        </w:tc>
        <w:tc>
          <w:tcPr>
            <w:tcW w:w="1170" w:type="dxa"/>
          </w:tcPr>
          <w:p w14:paraId="7092734D" w14:textId="77777777" w:rsid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 xml:space="preserve">Total Annual Burden </w:t>
            </w:r>
          </w:p>
          <w:p w14:paraId="3D5E493C" w14:textId="77777777" w:rsidR="00036775" w:rsidRDefault="00036775" w:rsidP="00917BB8">
            <w:pPr>
              <w:pStyle w:val="NoSpacing"/>
              <w:spacing w:line="276" w:lineRule="auto"/>
              <w:jc w:val="center"/>
              <w:rPr>
                <w:rFonts w:asciiTheme="minorHAnsi" w:hAnsiTheme="minorHAnsi"/>
                <w:sz w:val="20"/>
                <w:szCs w:val="20"/>
              </w:rPr>
            </w:pPr>
          </w:p>
          <w:p w14:paraId="652C4ACD" w14:textId="77777777" w:rsidR="00F10EFE" w:rsidRPr="00036775" w:rsidRDefault="00036775" w:rsidP="00917BB8">
            <w:pPr>
              <w:pStyle w:val="NoSpacing"/>
              <w:spacing w:line="276" w:lineRule="auto"/>
              <w:jc w:val="center"/>
              <w:rPr>
                <w:rFonts w:asciiTheme="minorHAnsi" w:hAnsiTheme="minorHAnsi"/>
                <w:sz w:val="20"/>
                <w:szCs w:val="20"/>
              </w:rPr>
            </w:pPr>
            <w:r>
              <w:rPr>
                <w:rFonts w:asciiTheme="minorHAnsi" w:hAnsiTheme="minorHAnsi"/>
                <w:sz w:val="20"/>
                <w:szCs w:val="20"/>
              </w:rPr>
              <w:t>(</w:t>
            </w:r>
            <w:r w:rsidR="00F10EFE" w:rsidRPr="00036775">
              <w:rPr>
                <w:rFonts w:asciiTheme="minorHAnsi" w:hAnsiTheme="minorHAnsi"/>
                <w:sz w:val="20"/>
                <w:szCs w:val="20"/>
              </w:rPr>
              <w:t>Hours</w:t>
            </w:r>
            <w:r>
              <w:rPr>
                <w:rFonts w:asciiTheme="minorHAnsi" w:hAnsiTheme="minorHAnsi"/>
                <w:sz w:val="20"/>
                <w:szCs w:val="20"/>
              </w:rPr>
              <w:t>)</w:t>
            </w:r>
          </w:p>
        </w:tc>
        <w:tc>
          <w:tcPr>
            <w:tcW w:w="1350" w:type="dxa"/>
          </w:tcPr>
          <w:p w14:paraId="6F3E89AA" w14:textId="77777777" w:rsidR="00F10EFE" w:rsidRP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Dollar Value of Burden Hour  Including Benefits</w:t>
            </w:r>
          </w:p>
        </w:tc>
        <w:tc>
          <w:tcPr>
            <w:tcW w:w="1350" w:type="dxa"/>
          </w:tcPr>
          <w:p w14:paraId="4D342DE0" w14:textId="77777777" w:rsidR="00F10EFE" w:rsidRP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Total Dollar Value of Annual Burden Hours*</w:t>
            </w:r>
          </w:p>
        </w:tc>
      </w:tr>
      <w:tr w:rsidR="00F10EFE" w:rsidRPr="00036775" w14:paraId="2B8885BC" w14:textId="77777777" w:rsidTr="00942D12">
        <w:trPr>
          <w:trHeight w:val="20"/>
        </w:trPr>
        <w:tc>
          <w:tcPr>
            <w:tcW w:w="2538" w:type="dxa"/>
            <w:tcBorders>
              <w:bottom w:val="nil"/>
            </w:tcBorders>
          </w:tcPr>
          <w:p w14:paraId="172C2AD3" w14:textId="77777777" w:rsidR="00F10EFE" w:rsidRPr="00036775" w:rsidRDefault="00F10EFE" w:rsidP="00917BB8">
            <w:pPr>
              <w:pStyle w:val="NoSpacing"/>
              <w:spacing w:line="276" w:lineRule="auto"/>
              <w:rPr>
                <w:rFonts w:asciiTheme="minorHAnsi" w:hAnsiTheme="minorHAnsi"/>
                <w:b/>
                <w:sz w:val="20"/>
                <w:szCs w:val="20"/>
              </w:rPr>
            </w:pPr>
            <w:r w:rsidRPr="00036775">
              <w:rPr>
                <w:rFonts w:asciiTheme="minorHAnsi" w:hAnsiTheme="minorHAnsi"/>
                <w:b/>
                <w:sz w:val="20"/>
                <w:szCs w:val="20"/>
              </w:rPr>
              <w:t>Completing Survey (total)</w:t>
            </w:r>
          </w:p>
          <w:p w14:paraId="1473A211" w14:textId="77777777" w:rsidR="00F10EFE" w:rsidRPr="00036775" w:rsidRDefault="00F10EFE" w:rsidP="00917BB8">
            <w:pPr>
              <w:pStyle w:val="NoSpacing"/>
              <w:tabs>
                <w:tab w:val="left" w:pos="421"/>
              </w:tabs>
              <w:ind w:left="270"/>
              <w:rPr>
                <w:rFonts w:asciiTheme="minorHAnsi" w:hAnsiTheme="minorHAnsi"/>
                <w:i/>
                <w:sz w:val="20"/>
                <w:szCs w:val="20"/>
              </w:rPr>
            </w:pPr>
            <w:r w:rsidRPr="00036775">
              <w:rPr>
                <w:rFonts w:asciiTheme="minorHAnsi" w:hAnsiTheme="minorHAnsi"/>
                <w:i/>
                <w:sz w:val="20"/>
                <w:szCs w:val="20"/>
              </w:rPr>
              <w:t>White Water Floaters</w:t>
            </w:r>
          </w:p>
          <w:p w14:paraId="331D2F9B" w14:textId="77777777" w:rsidR="00F10EFE" w:rsidRPr="00036775" w:rsidRDefault="00F10EFE" w:rsidP="00917BB8">
            <w:pPr>
              <w:pStyle w:val="NoSpacing"/>
              <w:tabs>
                <w:tab w:val="left" w:pos="421"/>
              </w:tabs>
              <w:ind w:left="270"/>
              <w:rPr>
                <w:rFonts w:asciiTheme="minorHAnsi" w:hAnsiTheme="minorHAnsi"/>
                <w:i/>
                <w:sz w:val="20"/>
                <w:szCs w:val="20"/>
              </w:rPr>
            </w:pPr>
            <w:r w:rsidRPr="00036775">
              <w:rPr>
                <w:rFonts w:asciiTheme="minorHAnsi" w:hAnsiTheme="minorHAnsi"/>
                <w:i/>
                <w:sz w:val="20"/>
                <w:szCs w:val="20"/>
              </w:rPr>
              <w:t>Glen Canyon Anglers</w:t>
            </w:r>
          </w:p>
          <w:p w14:paraId="01B82774" w14:textId="77777777" w:rsidR="00F10EFE" w:rsidRPr="00036775" w:rsidRDefault="00F10EFE" w:rsidP="00917BB8">
            <w:pPr>
              <w:pStyle w:val="NoSpacing"/>
              <w:tabs>
                <w:tab w:val="left" w:pos="421"/>
              </w:tabs>
              <w:spacing w:line="276" w:lineRule="auto"/>
              <w:rPr>
                <w:rFonts w:asciiTheme="minorHAnsi" w:hAnsiTheme="minorHAnsi"/>
                <w:sz w:val="20"/>
                <w:szCs w:val="20"/>
              </w:rPr>
            </w:pPr>
          </w:p>
        </w:tc>
        <w:tc>
          <w:tcPr>
            <w:tcW w:w="990" w:type="dxa"/>
            <w:tcBorders>
              <w:bottom w:val="nil"/>
            </w:tcBorders>
          </w:tcPr>
          <w:p w14:paraId="10CE2DF6" w14:textId="77777777" w:rsidR="00F10EFE" w:rsidRPr="00036775" w:rsidRDefault="00F10EFE" w:rsidP="00917BB8">
            <w:pPr>
              <w:pStyle w:val="NoSpacing"/>
              <w:spacing w:line="276" w:lineRule="auto"/>
              <w:jc w:val="center"/>
              <w:rPr>
                <w:rFonts w:asciiTheme="minorHAnsi" w:hAnsiTheme="minorHAnsi"/>
                <w:sz w:val="20"/>
                <w:szCs w:val="20"/>
              </w:rPr>
            </w:pPr>
          </w:p>
          <w:p w14:paraId="50C5FF46" w14:textId="77777777" w:rsidR="00F10EFE" w:rsidRP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2,850</w:t>
            </w:r>
          </w:p>
          <w:p w14:paraId="56DF0728" w14:textId="77777777" w:rsidR="00F10EFE" w:rsidRPr="00036775" w:rsidRDefault="008E2524" w:rsidP="00F10EFE">
            <w:pPr>
              <w:pStyle w:val="NoSpacing"/>
              <w:spacing w:line="276" w:lineRule="auto"/>
              <w:jc w:val="center"/>
              <w:rPr>
                <w:rFonts w:asciiTheme="minorHAnsi" w:hAnsiTheme="minorHAnsi"/>
                <w:sz w:val="20"/>
                <w:szCs w:val="20"/>
              </w:rPr>
            </w:pPr>
            <w:r w:rsidRPr="00036775">
              <w:rPr>
                <w:rFonts w:asciiTheme="minorHAnsi" w:hAnsiTheme="minorHAnsi"/>
                <w:sz w:val="20"/>
                <w:szCs w:val="20"/>
              </w:rPr>
              <w:t xml:space="preserve">    </w:t>
            </w:r>
            <w:r w:rsidR="00D00A17" w:rsidRPr="00036775">
              <w:rPr>
                <w:rFonts w:asciiTheme="minorHAnsi" w:hAnsiTheme="minorHAnsi"/>
                <w:sz w:val="20"/>
                <w:szCs w:val="20"/>
              </w:rPr>
              <w:t>750</w:t>
            </w:r>
          </w:p>
        </w:tc>
        <w:tc>
          <w:tcPr>
            <w:tcW w:w="1080" w:type="dxa"/>
            <w:tcBorders>
              <w:bottom w:val="nil"/>
            </w:tcBorders>
          </w:tcPr>
          <w:p w14:paraId="4522647F" w14:textId="77777777" w:rsidR="00F10EFE" w:rsidRPr="00036775" w:rsidRDefault="00F10EFE" w:rsidP="00917BB8">
            <w:pPr>
              <w:pStyle w:val="NoSpacing"/>
              <w:spacing w:line="276" w:lineRule="auto"/>
              <w:jc w:val="center"/>
              <w:rPr>
                <w:rFonts w:asciiTheme="minorHAnsi" w:hAnsiTheme="minorHAnsi"/>
                <w:sz w:val="20"/>
                <w:szCs w:val="20"/>
              </w:rPr>
            </w:pPr>
          </w:p>
          <w:p w14:paraId="5376233E" w14:textId="77777777" w:rsidR="00F10EFE" w:rsidRPr="00036775" w:rsidRDefault="00F10EFE" w:rsidP="00F10EFE">
            <w:pPr>
              <w:pStyle w:val="NoSpacing"/>
              <w:spacing w:line="276" w:lineRule="auto"/>
              <w:jc w:val="center"/>
              <w:rPr>
                <w:rFonts w:asciiTheme="minorHAnsi" w:hAnsiTheme="minorHAnsi"/>
                <w:sz w:val="20"/>
                <w:szCs w:val="20"/>
              </w:rPr>
            </w:pPr>
            <w:r w:rsidRPr="00036775">
              <w:rPr>
                <w:rFonts w:asciiTheme="minorHAnsi" w:hAnsiTheme="minorHAnsi"/>
                <w:sz w:val="20"/>
                <w:szCs w:val="20"/>
              </w:rPr>
              <w:t>1,852</w:t>
            </w:r>
          </w:p>
          <w:p w14:paraId="7632E9D2" w14:textId="77777777" w:rsidR="00F10EFE" w:rsidRPr="00036775" w:rsidRDefault="00F10EFE" w:rsidP="00F10EFE">
            <w:pPr>
              <w:pStyle w:val="NoSpacing"/>
              <w:spacing w:line="276" w:lineRule="auto"/>
              <w:jc w:val="center"/>
              <w:rPr>
                <w:rFonts w:asciiTheme="minorHAnsi" w:hAnsiTheme="minorHAnsi"/>
                <w:sz w:val="20"/>
                <w:szCs w:val="20"/>
              </w:rPr>
            </w:pPr>
            <w:r w:rsidRPr="00036775">
              <w:rPr>
                <w:rFonts w:asciiTheme="minorHAnsi" w:hAnsiTheme="minorHAnsi"/>
                <w:sz w:val="20"/>
                <w:szCs w:val="20"/>
              </w:rPr>
              <w:t>4</w:t>
            </w:r>
            <w:r w:rsidR="00631979" w:rsidRPr="00036775">
              <w:rPr>
                <w:rFonts w:asciiTheme="minorHAnsi" w:hAnsiTheme="minorHAnsi"/>
                <w:sz w:val="20"/>
                <w:szCs w:val="20"/>
              </w:rPr>
              <w:t>88</w:t>
            </w:r>
          </w:p>
          <w:p w14:paraId="1A411780" w14:textId="77777777" w:rsidR="00F10EFE" w:rsidRPr="00036775" w:rsidRDefault="00F10EFE" w:rsidP="00917BB8">
            <w:pPr>
              <w:pStyle w:val="NoSpacing"/>
              <w:spacing w:line="276" w:lineRule="auto"/>
              <w:jc w:val="center"/>
              <w:rPr>
                <w:rFonts w:asciiTheme="minorHAnsi" w:hAnsiTheme="minorHAnsi"/>
                <w:sz w:val="20"/>
                <w:szCs w:val="20"/>
              </w:rPr>
            </w:pPr>
          </w:p>
        </w:tc>
        <w:tc>
          <w:tcPr>
            <w:tcW w:w="1440" w:type="dxa"/>
            <w:tcBorders>
              <w:bottom w:val="nil"/>
            </w:tcBorders>
          </w:tcPr>
          <w:p w14:paraId="4E2F46DE" w14:textId="77777777" w:rsidR="00F10EFE" w:rsidRPr="00036775" w:rsidRDefault="00F10EFE" w:rsidP="00606DE0">
            <w:pPr>
              <w:pStyle w:val="NoSpacing"/>
              <w:spacing w:line="276" w:lineRule="auto"/>
              <w:jc w:val="center"/>
              <w:rPr>
                <w:rFonts w:asciiTheme="minorHAnsi" w:hAnsiTheme="minorHAnsi"/>
                <w:sz w:val="20"/>
                <w:szCs w:val="20"/>
              </w:rPr>
            </w:pPr>
          </w:p>
          <w:p w14:paraId="06BE836D" w14:textId="77777777" w:rsidR="00F10EFE" w:rsidRPr="00036775" w:rsidRDefault="00F10EFE" w:rsidP="00606DE0">
            <w:pPr>
              <w:pStyle w:val="NoSpacing"/>
              <w:spacing w:line="276" w:lineRule="auto"/>
              <w:jc w:val="center"/>
              <w:rPr>
                <w:rFonts w:asciiTheme="minorHAnsi" w:hAnsiTheme="minorHAnsi"/>
                <w:sz w:val="20"/>
                <w:szCs w:val="20"/>
              </w:rPr>
            </w:pPr>
            <w:r w:rsidRPr="00036775">
              <w:rPr>
                <w:rFonts w:asciiTheme="minorHAnsi" w:hAnsiTheme="minorHAnsi"/>
                <w:sz w:val="20"/>
                <w:szCs w:val="20"/>
              </w:rPr>
              <w:t xml:space="preserve">20 </w:t>
            </w:r>
          </w:p>
          <w:p w14:paraId="55C498BB" w14:textId="77777777" w:rsidR="00F10EFE" w:rsidRPr="00036775" w:rsidRDefault="00F10EFE" w:rsidP="00606DE0">
            <w:pPr>
              <w:pStyle w:val="NoSpacing"/>
              <w:spacing w:line="276" w:lineRule="auto"/>
              <w:jc w:val="center"/>
              <w:rPr>
                <w:rFonts w:asciiTheme="minorHAnsi" w:hAnsiTheme="minorHAnsi"/>
                <w:sz w:val="20"/>
                <w:szCs w:val="20"/>
              </w:rPr>
            </w:pPr>
            <w:r w:rsidRPr="00036775">
              <w:rPr>
                <w:rFonts w:asciiTheme="minorHAnsi" w:hAnsiTheme="minorHAnsi"/>
                <w:sz w:val="20"/>
                <w:szCs w:val="20"/>
              </w:rPr>
              <w:t xml:space="preserve">20 </w:t>
            </w:r>
          </w:p>
          <w:p w14:paraId="7224173F" w14:textId="77777777" w:rsidR="00F10EFE" w:rsidRPr="00036775" w:rsidRDefault="00F10EFE" w:rsidP="00606DE0">
            <w:pPr>
              <w:pStyle w:val="NoSpacing"/>
              <w:spacing w:line="276" w:lineRule="auto"/>
              <w:jc w:val="center"/>
              <w:rPr>
                <w:rFonts w:asciiTheme="minorHAnsi" w:hAnsiTheme="minorHAnsi"/>
                <w:sz w:val="20"/>
                <w:szCs w:val="20"/>
              </w:rPr>
            </w:pPr>
          </w:p>
        </w:tc>
        <w:tc>
          <w:tcPr>
            <w:tcW w:w="1170" w:type="dxa"/>
            <w:tcBorders>
              <w:bottom w:val="nil"/>
            </w:tcBorders>
          </w:tcPr>
          <w:p w14:paraId="6D9CB981" w14:textId="77777777" w:rsidR="00F10EFE" w:rsidRPr="00036775" w:rsidRDefault="00F10EFE" w:rsidP="00917BB8">
            <w:pPr>
              <w:pStyle w:val="NoSpacing"/>
              <w:spacing w:line="276" w:lineRule="auto"/>
              <w:jc w:val="center"/>
              <w:rPr>
                <w:rFonts w:asciiTheme="minorHAnsi" w:hAnsiTheme="minorHAnsi"/>
                <w:sz w:val="20"/>
                <w:szCs w:val="20"/>
              </w:rPr>
            </w:pPr>
          </w:p>
          <w:p w14:paraId="3085802D" w14:textId="77777777" w:rsidR="00F10EFE" w:rsidRP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61</w:t>
            </w:r>
            <w:r w:rsidR="00717FEC" w:rsidRPr="00036775">
              <w:rPr>
                <w:rFonts w:asciiTheme="minorHAnsi" w:hAnsiTheme="minorHAnsi"/>
                <w:sz w:val="20"/>
                <w:szCs w:val="20"/>
              </w:rPr>
              <w:t>7</w:t>
            </w:r>
          </w:p>
          <w:p w14:paraId="0C9310FF" w14:textId="77777777" w:rsidR="00F10EFE" w:rsidRPr="00036775" w:rsidRDefault="00717FEC"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1</w:t>
            </w:r>
            <w:r w:rsidR="00631979" w:rsidRPr="00036775">
              <w:rPr>
                <w:rFonts w:asciiTheme="minorHAnsi" w:hAnsiTheme="minorHAnsi"/>
                <w:sz w:val="20"/>
                <w:szCs w:val="20"/>
              </w:rPr>
              <w:t>63</w:t>
            </w:r>
          </w:p>
          <w:p w14:paraId="00FFC787" w14:textId="77777777" w:rsidR="00F10EFE" w:rsidRPr="00036775" w:rsidRDefault="00F10EFE" w:rsidP="00917BB8">
            <w:pPr>
              <w:pStyle w:val="NoSpacing"/>
              <w:spacing w:line="276" w:lineRule="auto"/>
              <w:jc w:val="center"/>
              <w:rPr>
                <w:rFonts w:asciiTheme="minorHAnsi" w:hAnsiTheme="minorHAnsi"/>
                <w:sz w:val="20"/>
                <w:szCs w:val="20"/>
              </w:rPr>
            </w:pPr>
          </w:p>
        </w:tc>
        <w:tc>
          <w:tcPr>
            <w:tcW w:w="1350" w:type="dxa"/>
            <w:tcBorders>
              <w:bottom w:val="nil"/>
            </w:tcBorders>
          </w:tcPr>
          <w:p w14:paraId="6F96450E" w14:textId="77777777" w:rsidR="00F10EFE" w:rsidRPr="00036775" w:rsidRDefault="00F10EFE" w:rsidP="00917BB8">
            <w:pPr>
              <w:pStyle w:val="NoSpacing"/>
              <w:jc w:val="center"/>
              <w:rPr>
                <w:rFonts w:asciiTheme="minorHAnsi" w:hAnsiTheme="minorHAnsi"/>
                <w:sz w:val="20"/>
                <w:szCs w:val="20"/>
              </w:rPr>
            </w:pPr>
          </w:p>
          <w:p w14:paraId="72E42112" w14:textId="074A4228" w:rsidR="00F10EFE" w:rsidRPr="00036775" w:rsidRDefault="00F10EFE" w:rsidP="00917BB8">
            <w:pPr>
              <w:spacing w:after="0"/>
              <w:jc w:val="center"/>
              <w:rPr>
                <w:rFonts w:asciiTheme="minorHAnsi" w:hAnsiTheme="minorHAnsi"/>
                <w:sz w:val="20"/>
                <w:szCs w:val="20"/>
              </w:rPr>
            </w:pPr>
            <w:r w:rsidRPr="00036775">
              <w:rPr>
                <w:rFonts w:asciiTheme="minorHAnsi" w:hAnsiTheme="minorHAnsi"/>
                <w:sz w:val="20"/>
                <w:szCs w:val="20"/>
              </w:rPr>
              <w:t>$</w:t>
            </w:r>
            <w:r w:rsidR="00D52387">
              <w:rPr>
                <w:rFonts w:asciiTheme="minorHAnsi" w:hAnsiTheme="minorHAnsi"/>
                <w:sz w:val="20"/>
                <w:szCs w:val="20"/>
              </w:rPr>
              <w:t>33.49</w:t>
            </w:r>
          </w:p>
          <w:p w14:paraId="34D5A600" w14:textId="46D8BDB1" w:rsidR="00F10EFE" w:rsidRPr="00036775" w:rsidRDefault="00F10EFE" w:rsidP="00D52387">
            <w:pPr>
              <w:spacing w:after="0"/>
              <w:jc w:val="center"/>
              <w:rPr>
                <w:rFonts w:asciiTheme="minorHAnsi" w:hAnsiTheme="minorHAnsi"/>
                <w:sz w:val="20"/>
                <w:szCs w:val="20"/>
              </w:rPr>
            </w:pPr>
            <w:r w:rsidRPr="00036775">
              <w:rPr>
                <w:rFonts w:asciiTheme="minorHAnsi" w:hAnsiTheme="minorHAnsi"/>
                <w:sz w:val="20"/>
                <w:szCs w:val="20"/>
              </w:rPr>
              <w:t>$</w:t>
            </w:r>
            <w:r w:rsidR="00D52387">
              <w:rPr>
                <w:rFonts w:asciiTheme="minorHAnsi" w:hAnsiTheme="minorHAnsi"/>
                <w:sz w:val="20"/>
                <w:szCs w:val="20"/>
              </w:rPr>
              <w:t>33.49</w:t>
            </w:r>
          </w:p>
        </w:tc>
        <w:tc>
          <w:tcPr>
            <w:tcW w:w="1350" w:type="dxa"/>
            <w:tcBorders>
              <w:bottom w:val="nil"/>
            </w:tcBorders>
          </w:tcPr>
          <w:p w14:paraId="034E2E96" w14:textId="77777777" w:rsidR="00F10EFE" w:rsidRPr="00036775" w:rsidRDefault="00F10EFE" w:rsidP="00917BB8">
            <w:pPr>
              <w:pStyle w:val="NoSpacing"/>
              <w:spacing w:line="276" w:lineRule="auto"/>
              <w:jc w:val="center"/>
              <w:rPr>
                <w:rFonts w:asciiTheme="minorHAnsi" w:hAnsiTheme="minorHAnsi"/>
                <w:sz w:val="20"/>
                <w:szCs w:val="20"/>
              </w:rPr>
            </w:pPr>
          </w:p>
          <w:p w14:paraId="695DE923" w14:textId="7558B2A3" w:rsidR="00F10EFE" w:rsidRPr="00036775" w:rsidRDefault="00F10EFE"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w:t>
            </w:r>
            <w:r w:rsidR="00D52387">
              <w:rPr>
                <w:rFonts w:asciiTheme="minorHAnsi" w:hAnsiTheme="minorHAnsi"/>
                <w:sz w:val="20"/>
                <w:szCs w:val="20"/>
              </w:rPr>
              <w:t>20,663</w:t>
            </w:r>
          </w:p>
          <w:p w14:paraId="52C5C9D8" w14:textId="66CA177D" w:rsidR="00F10EFE" w:rsidRPr="00036775" w:rsidRDefault="008E2524" w:rsidP="00917BB8">
            <w:pPr>
              <w:pStyle w:val="NoSpacing"/>
              <w:spacing w:line="276" w:lineRule="auto"/>
              <w:jc w:val="center"/>
              <w:rPr>
                <w:rFonts w:asciiTheme="minorHAnsi" w:hAnsiTheme="minorHAnsi"/>
                <w:sz w:val="20"/>
                <w:szCs w:val="20"/>
              </w:rPr>
            </w:pPr>
            <w:r w:rsidRPr="00036775">
              <w:rPr>
                <w:rFonts w:asciiTheme="minorHAnsi" w:hAnsiTheme="minorHAnsi"/>
                <w:sz w:val="20"/>
                <w:szCs w:val="20"/>
              </w:rPr>
              <w:t xml:space="preserve">  </w:t>
            </w:r>
            <w:r w:rsidR="00F10EFE" w:rsidRPr="00036775">
              <w:rPr>
                <w:rFonts w:asciiTheme="minorHAnsi" w:hAnsiTheme="minorHAnsi"/>
                <w:sz w:val="20"/>
                <w:szCs w:val="20"/>
              </w:rPr>
              <w:t>$</w:t>
            </w:r>
            <w:r w:rsidR="006C35C3" w:rsidRPr="00036775">
              <w:rPr>
                <w:rFonts w:asciiTheme="minorHAnsi" w:hAnsiTheme="minorHAnsi"/>
                <w:sz w:val="20"/>
                <w:szCs w:val="20"/>
              </w:rPr>
              <w:t>5,</w:t>
            </w:r>
            <w:r w:rsidR="00D52387">
              <w:rPr>
                <w:rFonts w:asciiTheme="minorHAnsi" w:hAnsiTheme="minorHAnsi"/>
                <w:sz w:val="20"/>
                <w:szCs w:val="20"/>
              </w:rPr>
              <w:t>459</w:t>
            </w:r>
          </w:p>
          <w:p w14:paraId="08DD440E" w14:textId="77777777" w:rsidR="00F10EFE" w:rsidRPr="00036775" w:rsidRDefault="00F10EFE" w:rsidP="00917BB8">
            <w:pPr>
              <w:pStyle w:val="NoSpacing"/>
              <w:spacing w:line="276" w:lineRule="auto"/>
              <w:jc w:val="center"/>
              <w:rPr>
                <w:rFonts w:asciiTheme="minorHAnsi" w:hAnsiTheme="minorHAnsi"/>
                <w:sz w:val="20"/>
                <w:szCs w:val="20"/>
              </w:rPr>
            </w:pPr>
          </w:p>
        </w:tc>
      </w:tr>
      <w:tr w:rsidR="00F10EFE" w:rsidRPr="00036775" w14:paraId="2E770F0A" w14:textId="77777777" w:rsidTr="00942D12">
        <w:trPr>
          <w:trHeight w:val="20"/>
        </w:trPr>
        <w:tc>
          <w:tcPr>
            <w:tcW w:w="2538" w:type="dxa"/>
            <w:tcBorders>
              <w:top w:val="nil"/>
              <w:bottom w:val="single" w:sz="4" w:space="0" w:color="auto"/>
            </w:tcBorders>
          </w:tcPr>
          <w:p w14:paraId="2F7F3D10" w14:textId="77777777" w:rsidR="00F10EFE" w:rsidRPr="00036775" w:rsidRDefault="00F10EFE" w:rsidP="00917BB8">
            <w:pPr>
              <w:pStyle w:val="NoSpacing"/>
              <w:spacing w:line="276" w:lineRule="auto"/>
              <w:jc w:val="right"/>
              <w:rPr>
                <w:rFonts w:asciiTheme="minorHAnsi" w:hAnsiTheme="minorHAnsi"/>
                <w:b/>
                <w:sz w:val="20"/>
                <w:szCs w:val="20"/>
              </w:rPr>
            </w:pPr>
            <w:r w:rsidRPr="00036775">
              <w:rPr>
                <w:rFonts w:asciiTheme="minorHAnsi" w:hAnsiTheme="minorHAnsi"/>
                <w:b/>
                <w:sz w:val="20"/>
                <w:szCs w:val="20"/>
              </w:rPr>
              <w:t>TOTAL</w:t>
            </w:r>
          </w:p>
        </w:tc>
        <w:tc>
          <w:tcPr>
            <w:tcW w:w="990" w:type="dxa"/>
            <w:tcBorders>
              <w:top w:val="nil"/>
              <w:bottom w:val="single" w:sz="4" w:space="0" w:color="auto"/>
            </w:tcBorders>
          </w:tcPr>
          <w:p w14:paraId="3F565864" w14:textId="77777777" w:rsidR="00F10EFE" w:rsidRPr="00036775" w:rsidRDefault="008E2524" w:rsidP="00917BB8">
            <w:pPr>
              <w:pStyle w:val="NoSpacing"/>
              <w:spacing w:line="276" w:lineRule="auto"/>
              <w:jc w:val="center"/>
              <w:rPr>
                <w:rFonts w:asciiTheme="minorHAnsi" w:hAnsiTheme="minorHAnsi"/>
                <w:b/>
                <w:sz w:val="20"/>
                <w:szCs w:val="20"/>
              </w:rPr>
            </w:pPr>
            <w:r w:rsidRPr="00036775">
              <w:rPr>
                <w:rFonts w:asciiTheme="minorHAnsi" w:hAnsiTheme="minorHAnsi"/>
                <w:b/>
                <w:sz w:val="20"/>
                <w:szCs w:val="20"/>
              </w:rPr>
              <w:t>3,600</w:t>
            </w:r>
          </w:p>
        </w:tc>
        <w:tc>
          <w:tcPr>
            <w:tcW w:w="1080" w:type="dxa"/>
            <w:tcBorders>
              <w:top w:val="nil"/>
              <w:bottom w:val="single" w:sz="4" w:space="0" w:color="auto"/>
            </w:tcBorders>
          </w:tcPr>
          <w:p w14:paraId="6E89DC67" w14:textId="77777777" w:rsidR="00F10EFE" w:rsidRPr="00036775" w:rsidRDefault="00631979" w:rsidP="008E2524">
            <w:pPr>
              <w:pStyle w:val="NoSpacing"/>
              <w:spacing w:line="276" w:lineRule="auto"/>
              <w:jc w:val="center"/>
              <w:rPr>
                <w:rFonts w:asciiTheme="minorHAnsi" w:hAnsiTheme="minorHAnsi"/>
                <w:b/>
                <w:sz w:val="20"/>
                <w:szCs w:val="20"/>
              </w:rPr>
            </w:pPr>
            <w:r w:rsidRPr="00036775">
              <w:rPr>
                <w:rFonts w:asciiTheme="minorHAnsi" w:hAnsiTheme="minorHAnsi"/>
                <w:b/>
                <w:sz w:val="20"/>
                <w:szCs w:val="20"/>
              </w:rPr>
              <w:t>2,340</w:t>
            </w:r>
          </w:p>
        </w:tc>
        <w:tc>
          <w:tcPr>
            <w:tcW w:w="1440" w:type="dxa"/>
            <w:tcBorders>
              <w:top w:val="nil"/>
              <w:bottom w:val="single" w:sz="4" w:space="0" w:color="auto"/>
            </w:tcBorders>
          </w:tcPr>
          <w:p w14:paraId="39D940B9" w14:textId="77777777" w:rsidR="00F10EFE" w:rsidRPr="00036775" w:rsidRDefault="00F10EFE" w:rsidP="00917BB8">
            <w:pPr>
              <w:pStyle w:val="NoSpacing"/>
              <w:spacing w:line="276" w:lineRule="auto"/>
              <w:rPr>
                <w:rFonts w:asciiTheme="minorHAnsi" w:hAnsiTheme="minorHAnsi"/>
                <w:sz w:val="20"/>
                <w:szCs w:val="20"/>
              </w:rPr>
            </w:pPr>
          </w:p>
        </w:tc>
        <w:tc>
          <w:tcPr>
            <w:tcW w:w="1170" w:type="dxa"/>
            <w:tcBorders>
              <w:top w:val="nil"/>
              <w:bottom w:val="single" w:sz="4" w:space="0" w:color="auto"/>
            </w:tcBorders>
          </w:tcPr>
          <w:p w14:paraId="5E94C2DC" w14:textId="77777777" w:rsidR="00F10EFE" w:rsidRPr="00036775" w:rsidRDefault="00631979" w:rsidP="00917BB8">
            <w:pPr>
              <w:pStyle w:val="NoSpacing"/>
              <w:spacing w:line="276" w:lineRule="auto"/>
              <w:jc w:val="center"/>
              <w:rPr>
                <w:rFonts w:asciiTheme="minorHAnsi" w:hAnsiTheme="minorHAnsi"/>
                <w:b/>
                <w:sz w:val="20"/>
                <w:szCs w:val="20"/>
              </w:rPr>
            </w:pPr>
            <w:r w:rsidRPr="00036775">
              <w:rPr>
                <w:rFonts w:asciiTheme="minorHAnsi" w:hAnsiTheme="minorHAnsi"/>
                <w:b/>
                <w:sz w:val="20"/>
                <w:szCs w:val="20"/>
              </w:rPr>
              <w:t>780</w:t>
            </w:r>
          </w:p>
        </w:tc>
        <w:tc>
          <w:tcPr>
            <w:tcW w:w="1350" w:type="dxa"/>
            <w:tcBorders>
              <w:top w:val="nil"/>
              <w:bottom w:val="single" w:sz="4" w:space="0" w:color="auto"/>
            </w:tcBorders>
          </w:tcPr>
          <w:p w14:paraId="0C0460F8" w14:textId="77777777" w:rsidR="00F10EFE" w:rsidRPr="00036775" w:rsidRDefault="00F10EFE" w:rsidP="00917BB8">
            <w:pPr>
              <w:pStyle w:val="NoSpacing"/>
              <w:spacing w:line="276" w:lineRule="auto"/>
              <w:rPr>
                <w:rFonts w:asciiTheme="minorHAnsi" w:hAnsiTheme="minorHAnsi"/>
                <w:sz w:val="20"/>
                <w:szCs w:val="20"/>
              </w:rPr>
            </w:pPr>
          </w:p>
        </w:tc>
        <w:tc>
          <w:tcPr>
            <w:tcW w:w="1350" w:type="dxa"/>
            <w:tcBorders>
              <w:top w:val="nil"/>
              <w:bottom w:val="single" w:sz="4" w:space="0" w:color="auto"/>
            </w:tcBorders>
          </w:tcPr>
          <w:p w14:paraId="1F08C4EA" w14:textId="71F41569" w:rsidR="00F10EFE" w:rsidRPr="00036775" w:rsidRDefault="006C35C3" w:rsidP="00D52387">
            <w:pPr>
              <w:pStyle w:val="NoSpacing"/>
              <w:spacing w:line="276" w:lineRule="auto"/>
              <w:jc w:val="center"/>
              <w:rPr>
                <w:rFonts w:asciiTheme="minorHAnsi" w:hAnsiTheme="minorHAnsi"/>
                <w:b/>
                <w:sz w:val="20"/>
                <w:szCs w:val="20"/>
              </w:rPr>
            </w:pPr>
            <w:r w:rsidRPr="00036775">
              <w:rPr>
                <w:rFonts w:asciiTheme="minorHAnsi" w:hAnsiTheme="minorHAnsi"/>
                <w:b/>
                <w:sz w:val="20"/>
                <w:szCs w:val="20"/>
              </w:rPr>
              <w:t>$</w:t>
            </w:r>
            <w:r w:rsidR="00D52387">
              <w:rPr>
                <w:rFonts w:asciiTheme="minorHAnsi" w:hAnsiTheme="minorHAnsi"/>
                <w:b/>
                <w:sz w:val="20"/>
                <w:szCs w:val="20"/>
              </w:rPr>
              <w:t>26,122</w:t>
            </w:r>
          </w:p>
        </w:tc>
      </w:tr>
    </w:tbl>
    <w:p w14:paraId="2888B7CB" w14:textId="77777777" w:rsidR="00917BB8" w:rsidRPr="00036775" w:rsidRDefault="00631979" w:rsidP="00631979">
      <w:pPr>
        <w:pStyle w:val="NoSpacing"/>
        <w:tabs>
          <w:tab w:val="left" w:pos="6507"/>
        </w:tabs>
        <w:spacing w:line="276" w:lineRule="auto"/>
        <w:rPr>
          <w:rFonts w:asciiTheme="minorHAnsi" w:hAnsiTheme="minorHAnsi"/>
        </w:rPr>
      </w:pPr>
      <w:r w:rsidRPr="00036775">
        <w:rPr>
          <w:rFonts w:asciiTheme="minorHAnsi" w:hAnsiTheme="minorHAnsi"/>
        </w:rPr>
        <w:tab/>
      </w:r>
    </w:p>
    <w:p w14:paraId="1FFFB353" w14:textId="77777777" w:rsidR="00C1055A" w:rsidRPr="00036775" w:rsidRDefault="009A7F73" w:rsidP="001A3579">
      <w:pPr>
        <w:pStyle w:val="NoSpacing"/>
        <w:spacing w:line="276" w:lineRule="auto"/>
        <w:ind w:left="450" w:hanging="450"/>
        <w:rPr>
          <w:rFonts w:asciiTheme="minorHAnsi" w:hAnsiTheme="minorHAnsi"/>
          <w:b/>
        </w:rPr>
      </w:pPr>
      <w:r w:rsidRPr="001333F9">
        <w:rPr>
          <w:rFonts w:asciiTheme="minorHAnsi" w:hAnsiTheme="minorHAnsi"/>
          <w:b/>
        </w:rPr>
        <w:t>13</w:t>
      </w:r>
      <w:r w:rsidR="00C1055A" w:rsidRPr="001333F9">
        <w:rPr>
          <w:rFonts w:asciiTheme="minorHAnsi" w:hAnsiTheme="minorHAnsi"/>
          <w:b/>
        </w:rPr>
        <w:t>.</w:t>
      </w:r>
      <w:r w:rsidR="00C1055A" w:rsidRPr="00036775">
        <w:rPr>
          <w:rFonts w:asciiTheme="minorHAnsi" w:hAnsiTheme="minorHAnsi"/>
        </w:rPr>
        <w:tab/>
      </w:r>
      <w:r w:rsidR="00C1055A" w:rsidRPr="00036775">
        <w:rPr>
          <w:rFonts w:asciiTheme="minorHAnsi" w:hAnsiTheme="minorHAnsi"/>
          <w:b/>
        </w:rPr>
        <w:t>Provide an estimate of the total annual non-hour cost burden to respondents or record</w:t>
      </w:r>
      <w:r w:rsidR="004506E2" w:rsidRPr="00036775">
        <w:rPr>
          <w:rFonts w:asciiTheme="minorHAnsi" w:hAnsiTheme="minorHAnsi"/>
          <w:b/>
        </w:rPr>
        <w:t xml:space="preserve"> </w:t>
      </w:r>
      <w:r w:rsidR="00C1055A" w:rsidRPr="00036775">
        <w:rPr>
          <w:rFonts w:asciiTheme="minorHAnsi" w:hAnsiTheme="minorHAnsi"/>
          <w:b/>
        </w:rPr>
        <w:t>keepers resulting from the collection of information.  (Do not include the cost of any hour burden already reflected in item 12.)</w:t>
      </w:r>
    </w:p>
    <w:p w14:paraId="2F8F430E" w14:textId="77777777" w:rsidR="00C1055A" w:rsidRPr="00036775" w:rsidRDefault="00C1055A" w:rsidP="001A3579">
      <w:pPr>
        <w:pStyle w:val="NoSpacing"/>
        <w:numPr>
          <w:ilvl w:val="0"/>
          <w:numId w:val="25"/>
        </w:numPr>
        <w:spacing w:line="276" w:lineRule="auto"/>
        <w:rPr>
          <w:rFonts w:asciiTheme="minorHAnsi" w:hAnsiTheme="minorHAnsi"/>
          <w:b/>
        </w:rPr>
      </w:pPr>
      <w:r w:rsidRPr="00036775">
        <w:rPr>
          <w:rFonts w:asciiTheme="minorHAnsi" w:hAnsiTheme="minorHAnsi"/>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60C4A00" w14:textId="77777777" w:rsidR="00C1055A" w:rsidRPr="00036775" w:rsidRDefault="00C1055A" w:rsidP="001A3579">
      <w:pPr>
        <w:pStyle w:val="NoSpacing"/>
        <w:numPr>
          <w:ilvl w:val="0"/>
          <w:numId w:val="25"/>
        </w:numPr>
        <w:spacing w:line="276" w:lineRule="auto"/>
        <w:rPr>
          <w:rFonts w:asciiTheme="minorHAnsi" w:hAnsiTheme="minorHAnsi"/>
        </w:rPr>
      </w:pPr>
      <w:r w:rsidRPr="00036775">
        <w:rPr>
          <w:rFonts w:asciiTheme="minorHAnsi" w:hAnsiTheme="minorHAnsi"/>
          <w:b/>
        </w:rPr>
        <w:t xml:space="preserve">If cost estimates are expected to vary widely, agencies should present ranges of cost burdens and explain the reasons for the variance.  The cost of purchasing or contracting out </w:t>
      </w:r>
      <w:r w:rsidRPr="00036775">
        <w:rPr>
          <w:rFonts w:asciiTheme="minorHAnsi" w:hAnsiTheme="minorHAnsi"/>
          <w:b/>
        </w:rPr>
        <w:lastRenderedPageBreak/>
        <w:t xml:space="preserve">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407FBAA4" w14:textId="77777777" w:rsidR="00C1055A" w:rsidRPr="00036775" w:rsidRDefault="00C1055A" w:rsidP="001A3579">
      <w:pPr>
        <w:pStyle w:val="NoSpacing"/>
        <w:numPr>
          <w:ilvl w:val="0"/>
          <w:numId w:val="25"/>
        </w:numPr>
        <w:spacing w:line="276" w:lineRule="auto"/>
        <w:rPr>
          <w:rFonts w:asciiTheme="minorHAnsi" w:hAnsiTheme="minorHAnsi"/>
        </w:rPr>
      </w:pPr>
      <w:r w:rsidRPr="00036775">
        <w:rPr>
          <w:rFonts w:asciiTheme="minorHAnsi" w:hAnsiTheme="minorHAns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F27FAD8" w14:textId="77777777" w:rsidR="00342CC5" w:rsidRPr="00036775" w:rsidRDefault="00342CC5" w:rsidP="001A3579">
      <w:pPr>
        <w:pStyle w:val="NoSpacing"/>
        <w:spacing w:line="276" w:lineRule="auto"/>
        <w:rPr>
          <w:rFonts w:asciiTheme="minorHAnsi" w:hAnsiTheme="minorHAnsi"/>
        </w:rPr>
      </w:pPr>
    </w:p>
    <w:p w14:paraId="3BCF256F" w14:textId="77777777" w:rsidR="003F1FBA" w:rsidRPr="00036775" w:rsidRDefault="005955D7" w:rsidP="001A3579">
      <w:pPr>
        <w:pStyle w:val="NoSpacing"/>
        <w:spacing w:line="276" w:lineRule="auto"/>
        <w:rPr>
          <w:rFonts w:asciiTheme="minorHAnsi" w:hAnsiTheme="minorHAnsi"/>
        </w:rPr>
      </w:pPr>
      <w:r w:rsidRPr="00036775">
        <w:rPr>
          <w:rFonts w:asciiTheme="minorHAnsi" w:hAnsiTheme="minorHAnsi" w:cs="Calibri"/>
          <w:color w:val="000000"/>
        </w:rPr>
        <w:t>There are no non-hour burden costs resulting from the collection of this information</w:t>
      </w:r>
      <w:r w:rsidR="00D7673B" w:rsidRPr="00036775">
        <w:rPr>
          <w:rFonts w:asciiTheme="minorHAnsi" w:hAnsiTheme="minorHAnsi"/>
        </w:rPr>
        <w:t>.</w:t>
      </w:r>
    </w:p>
    <w:p w14:paraId="14DBDBA2" w14:textId="77777777" w:rsidR="007271F0" w:rsidRPr="00036775" w:rsidRDefault="007271F0">
      <w:pPr>
        <w:spacing w:after="0" w:line="240" w:lineRule="auto"/>
        <w:rPr>
          <w:rFonts w:asciiTheme="minorHAnsi" w:hAnsiTheme="minorHAnsi"/>
        </w:rPr>
      </w:pPr>
    </w:p>
    <w:p w14:paraId="51859431" w14:textId="77777777" w:rsidR="009A7F73" w:rsidRPr="00036775" w:rsidRDefault="003F1FBA" w:rsidP="001A3579">
      <w:pPr>
        <w:pStyle w:val="NoSpacing"/>
        <w:spacing w:line="276" w:lineRule="auto"/>
        <w:ind w:left="360" w:hanging="360"/>
        <w:rPr>
          <w:rFonts w:asciiTheme="minorHAnsi" w:hAnsiTheme="minorHAnsi"/>
          <w:b/>
        </w:rPr>
      </w:pPr>
      <w:r w:rsidRPr="00036775">
        <w:rPr>
          <w:rFonts w:asciiTheme="minorHAnsi" w:hAnsiTheme="minorHAnsi"/>
          <w:b/>
        </w:rPr>
        <w:t>14.</w:t>
      </w:r>
      <w:r w:rsidR="00C1055A" w:rsidRPr="00036775">
        <w:rPr>
          <w:rFonts w:asciiTheme="minorHAnsi" w:hAnsiTheme="minorHAnsi"/>
          <w:b/>
        </w:rPr>
        <w:tab/>
      </w:r>
      <w:r w:rsidR="00240E83" w:rsidRPr="00036775">
        <w:rPr>
          <w:rFonts w:asciiTheme="minorHAnsi" w:hAnsiTheme="minorHAnsi"/>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C92FA70" w14:textId="77777777" w:rsidR="005955D7" w:rsidRPr="00036775" w:rsidRDefault="005955D7" w:rsidP="005955D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heme="minorHAnsi" w:hAnsiTheme="minorHAnsi"/>
        </w:rPr>
      </w:pPr>
    </w:p>
    <w:p w14:paraId="7D9E5DF8" w14:textId="77777777" w:rsidR="00C56F74" w:rsidRPr="00036775" w:rsidRDefault="00C56F74" w:rsidP="00C56F74">
      <w:pPr>
        <w:spacing w:after="0" w:line="360" w:lineRule="auto"/>
        <w:ind w:left="360" w:right="180"/>
        <w:rPr>
          <w:rFonts w:asciiTheme="minorHAnsi" w:hAnsiTheme="minorHAnsi" w:cs="Calibri"/>
        </w:rPr>
      </w:pPr>
      <w:r w:rsidRPr="00036775">
        <w:rPr>
          <w:rFonts w:asciiTheme="minorHAnsi" w:hAnsiTheme="minorHAnsi" w:cs="Calibri"/>
        </w:rPr>
        <w:t xml:space="preserve">The total annual cost to the Federal Government is $256,755. This includes the cost to the Federal Government for salaries and benefits for administering this information collection ($15,451), non-federal staff and operational </w:t>
      </w:r>
      <w:r w:rsidRPr="00036775">
        <w:rPr>
          <w:rFonts w:asciiTheme="minorHAnsi" w:hAnsiTheme="minorHAnsi" w:cs="Calibri"/>
          <w:color w:val="000000"/>
        </w:rPr>
        <w:t xml:space="preserve">expenses ($241,304).  The tables below </w:t>
      </w:r>
      <w:r w:rsidRPr="00036775">
        <w:rPr>
          <w:rFonts w:asciiTheme="minorHAnsi" w:hAnsiTheme="minorHAnsi" w:cs="Calibri"/>
        </w:rPr>
        <w:t xml:space="preserve">shows Federal staff and grade level associated with this information collection. We used the Office of Personnel Management Salary Table 2015-DEN (http://www.opm.gov/policy-data-oversight/pay-leave/salaries-wages/salary-tables/pdf/2015/DEN_h.pdf) to determine the hourly rate. We multiplied the hourly rate by 1.5 to account for benefits (as implied by the BLS news release </w:t>
      </w:r>
      <w:r w:rsidRPr="00036775">
        <w:rPr>
          <w:rFonts w:asciiTheme="minorHAnsi" w:hAnsiTheme="minorHAnsi" w:cs="Calibri"/>
          <w:bCs/>
        </w:rPr>
        <w:t>USDL-10-1687)</w:t>
      </w:r>
      <w:r w:rsidRPr="00036775">
        <w:rPr>
          <w:rFonts w:asciiTheme="minorHAnsi" w:hAnsiTheme="minorHAnsi" w:cs="Calibri"/>
        </w:rPr>
        <w:t>.  Operational expenses are listed in</w:t>
      </w:r>
      <w:r w:rsidR="00D7786F" w:rsidRPr="00036775">
        <w:rPr>
          <w:rFonts w:asciiTheme="minorHAnsi" w:hAnsiTheme="minorHAnsi" w:cs="Calibri"/>
        </w:rPr>
        <w:t xml:space="preserve"> the following table. </w:t>
      </w:r>
    </w:p>
    <w:p w14:paraId="3F87F7A4" w14:textId="77777777" w:rsidR="00D7786F" w:rsidRPr="00036775" w:rsidRDefault="00D7786F" w:rsidP="006C35C3">
      <w:pPr>
        <w:spacing w:after="0" w:line="240" w:lineRule="auto"/>
        <w:ind w:right="360"/>
        <w:rPr>
          <w:rFonts w:asciiTheme="minorHAnsi" w:hAnsiTheme="minorHAnsi" w:cs="Calibri"/>
          <w:b/>
        </w:rPr>
      </w:pPr>
    </w:p>
    <w:p w14:paraId="5E3434DB" w14:textId="77777777" w:rsidR="006C35C3" w:rsidRPr="00036775" w:rsidRDefault="006C35C3" w:rsidP="006C35C3">
      <w:pPr>
        <w:spacing w:after="0" w:line="240" w:lineRule="auto"/>
        <w:ind w:right="360"/>
        <w:rPr>
          <w:rFonts w:asciiTheme="minorHAnsi" w:hAnsiTheme="minorHAnsi" w:cs="Calibri"/>
          <w:b/>
        </w:rPr>
      </w:pPr>
      <w:r w:rsidRPr="00036775">
        <w:rPr>
          <w:rFonts w:asciiTheme="minorHAnsi" w:hAnsiTheme="minorHAnsi" w:cs="Calibri"/>
          <w:b/>
        </w:rPr>
        <w:t>Federal Employee Salaries and Benefits</w:t>
      </w:r>
    </w:p>
    <w:tbl>
      <w:tblPr>
        <w:tblW w:w="8550" w:type="dxa"/>
        <w:tblInd w:w="108" w:type="dxa"/>
        <w:tblLayout w:type="fixed"/>
        <w:tblLook w:val="0000" w:firstRow="0" w:lastRow="0" w:firstColumn="0" w:lastColumn="0" w:noHBand="0" w:noVBand="0"/>
      </w:tblPr>
      <w:tblGrid>
        <w:gridCol w:w="2070"/>
        <w:gridCol w:w="1080"/>
        <w:gridCol w:w="1080"/>
        <w:gridCol w:w="2070"/>
        <w:gridCol w:w="1260"/>
        <w:gridCol w:w="990"/>
      </w:tblGrid>
      <w:tr w:rsidR="006C35C3" w:rsidRPr="00036775" w14:paraId="343B99BB" w14:textId="77777777" w:rsidTr="00C56F74">
        <w:trPr>
          <w:trHeight w:val="836"/>
          <w:tblHeader/>
        </w:trPr>
        <w:tc>
          <w:tcPr>
            <w:tcW w:w="2070" w:type="dxa"/>
            <w:tcBorders>
              <w:top w:val="single" w:sz="4" w:space="0" w:color="auto"/>
              <w:left w:val="single" w:sz="4" w:space="0" w:color="auto"/>
              <w:bottom w:val="single" w:sz="4" w:space="0" w:color="auto"/>
              <w:right w:val="single" w:sz="4" w:space="0" w:color="auto"/>
            </w:tcBorders>
            <w:shd w:val="clear" w:color="auto" w:fill="F2F2F2"/>
            <w:vAlign w:val="center"/>
          </w:tcPr>
          <w:p w14:paraId="13DC8D14"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Position</w:t>
            </w:r>
          </w:p>
        </w:tc>
        <w:tc>
          <w:tcPr>
            <w:tcW w:w="1080" w:type="dxa"/>
            <w:tcBorders>
              <w:top w:val="single" w:sz="4" w:space="0" w:color="auto"/>
              <w:left w:val="nil"/>
              <w:bottom w:val="single" w:sz="4" w:space="0" w:color="auto"/>
              <w:right w:val="single" w:sz="4" w:space="0" w:color="auto"/>
            </w:tcBorders>
            <w:shd w:val="clear" w:color="auto" w:fill="F2F2F2"/>
            <w:vAlign w:val="center"/>
          </w:tcPr>
          <w:p w14:paraId="0F1CF1BD"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Grade/</w:t>
            </w:r>
          </w:p>
          <w:p w14:paraId="64729F59"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Step</w:t>
            </w:r>
          </w:p>
        </w:tc>
        <w:tc>
          <w:tcPr>
            <w:tcW w:w="1080" w:type="dxa"/>
            <w:tcBorders>
              <w:top w:val="single" w:sz="4" w:space="0" w:color="auto"/>
              <w:left w:val="nil"/>
              <w:bottom w:val="single" w:sz="4" w:space="0" w:color="auto"/>
              <w:right w:val="single" w:sz="4" w:space="0" w:color="auto"/>
            </w:tcBorders>
            <w:shd w:val="clear" w:color="auto" w:fill="F2F2F2"/>
            <w:vAlign w:val="center"/>
          </w:tcPr>
          <w:p w14:paraId="1C58024F"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Hourly Rate</w:t>
            </w:r>
          </w:p>
        </w:tc>
        <w:tc>
          <w:tcPr>
            <w:tcW w:w="2070" w:type="dxa"/>
            <w:tcBorders>
              <w:top w:val="single" w:sz="4" w:space="0" w:color="auto"/>
              <w:left w:val="nil"/>
              <w:bottom w:val="single" w:sz="4" w:space="0" w:color="auto"/>
              <w:right w:val="single" w:sz="4" w:space="0" w:color="auto"/>
            </w:tcBorders>
            <w:shd w:val="clear" w:color="auto" w:fill="F2F2F2"/>
            <w:vAlign w:val="center"/>
          </w:tcPr>
          <w:p w14:paraId="775D5688"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Hourly Rate incl. benefits</w:t>
            </w:r>
          </w:p>
          <w:p w14:paraId="52CD8455"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(1.5 x hourly pay rate)</w:t>
            </w:r>
          </w:p>
        </w:tc>
        <w:tc>
          <w:tcPr>
            <w:tcW w:w="1260" w:type="dxa"/>
            <w:tcBorders>
              <w:top w:val="single" w:sz="4" w:space="0" w:color="auto"/>
              <w:left w:val="nil"/>
              <w:bottom w:val="single" w:sz="4" w:space="0" w:color="auto"/>
              <w:right w:val="single" w:sz="4" w:space="0" w:color="auto"/>
            </w:tcBorders>
            <w:shd w:val="clear" w:color="auto" w:fill="F2F2F2"/>
            <w:vAlign w:val="center"/>
          </w:tcPr>
          <w:p w14:paraId="315AA47F"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 xml:space="preserve">Estimated time (hours) </w:t>
            </w:r>
          </w:p>
        </w:tc>
        <w:tc>
          <w:tcPr>
            <w:tcW w:w="990" w:type="dxa"/>
            <w:tcBorders>
              <w:top w:val="single" w:sz="4" w:space="0" w:color="auto"/>
              <w:left w:val="nil"/>
              <w:bottom w:val="single" w:sz="4" w:space="0" w:color="auto"/>
              <w:right w:val="single" w:sz="4" w:space="0" w:color="auto"/>
            </w:tcBorders>
            <w:shd w:val="clear" w:color="auto" w:fill="F2F2F2"/>
            <w:vAlign w:val="center"/>
          </w:tcPr>
          <w:p w14:paraId="7D655A06" w14:textId="77777777" w:rsidR="006C35C3" w:rsidRPr="00036775" w:rsidRDefault="006C35C3" w:rsidP="006C35C3">
            <w:pPr>
              <w:spacing w:after="0" w:line="240" w:lineRule="auto"/>
              <w:jc w:val="center"/>
              <w:rPr>
                <w:rFonts w:asciiTheme="minorHAnsi" w:hAnsiTheme="minorHAnsi" w:cs="Calibri"/>
                <w:b/>
                <w:bCs/>
              </w:rPr>
            </w:pPr>
            <w:r w:rsidRPr="00036775">
              <w:rPr>
                <w:rFonts w:asciiTheme="minorHAnsi" w:hAnsiTheme="minorHAnsi" w:cs="Calibri"/>
                <w:b/>
                <w:bCs/>
              </w:rPr>
              <w:t>Annual Cost</w:t>
            </w:r>
          </w:p>
        </w:tc>
      </w:tr>
      <w:tr w:rsidR="006C35C3" w:rsidRPr="00036775" w14:paraId="2C08D437" w14:textId="77777777" w:rsidTr="00C56F74">
        <w:trPr>
          <w:trHeight w:val="350"/>
        </w:trPr>
        <w:tc>
          <w:tcPr>
            <w:tcW w:w="2070" w:type="dxa"/>
            <w:tcBorders>
              <w:top w:val="single" w:sz="4" w:space="0" w:color="auto"/>
              <w:left w:val="single" w:sz="4" w:space="0" w:color="auto"/>
              <w:bottom w:val="single" w:sz="4" w:space="0" w:color="auto"/>
              <w:right w:val="single" w:sz="4" w:space="0" w:color="auto"/>
            </w:tcBorders>
            <w:vAlign w:val="center"/>
          </w:tcPr>
          <w:p w14:paraId="6D857705" w14:textId="77777777" w:rsidR="006C35C3" w:rsidRPr="00036775" w:rsidRDefault="006C35C3" w:rsidP="00D7786F">
            <w:pPr>
              <w:spacing w:after="0" w:line="240" w:lineRule="auto"/>
              <w:rPr>
                <w:rFonts w:asciiTheme="minorHAnsi" w:hAnsiTheme="minorHAnsi" w:cs="Calibri"/>
              </w:rPr>
            </w:pPr>
            <w:r w:rsidRPr="00036775">
              <w:rPr>
                <w:rFonts w:asciiTheme="minorHAnsi" w:hAnsiTheme="minorHAnsi" w:cs="Calibri"/>
              </w:rPr>
              <w:t>Economist</w:t>
            </w:r>
            <w:r w:rsidR="00D7786F" w:rsidRPr="00036775">
              <w:rPr>
                <w:rFonts w:asciiTheme="minorHAnsi" w:hAnsiTheme="minorHAnsi" w:cs="Calibri"/>
              </w:rPr>
              <w:t>/Program Manager</w:t>
            </w:r>
          </w:p>
        </w:tc>
        <w:tc>
          <w:tcPr>
            <w:tcW w:w="1080" w:type="dxa"/>
            <w:tcBorders>
              <w:top w:val="single" w:sz="4" w:space="0" w:color="auto"/>
              <w:left w:val="nil"/>
              <w:bottom w:val="single" w:sz="4" w:space="0" w:color="auto"/>
              <w:right w:val="single" w:sz="4" w:space="0" w:color="auto"/>
            </w:tcBorders>
            <w:vAlign w:val="center"/>
          </w:tcPr>
          <w:p w14:paraId="3433DDB9" w14:textId="77777777" w:rsidR="006C35C3" w:rsidRPr="00036775" w:rsidRDefault="006C35C3" w:rsidP="006C35C3">
            <w:pPr>
              <w:spacing w:after="0" w:line="240" w:lineRule="auto"/>
              <w:jc w:val="center"/>
              <w:rPr>
                <w:rFonts w:asciiTheme="minorHAnsi" w:hAnsiTheme="minorHAnsi" w:cs="Calibri"/>
              </w:rPr>
            </w:pPr>
            <w:r w:rsidRPr="00036775">
              <w:rPr>
                <w:rFonts w:asciiTheme="minorHAnsi" w:hAnsiTheme="minorHAnsi" w:cs="Calibri"/>
              </w:rPr>
              <w:t>13</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14:paraId="44CDD30E" w14:textId="77777777" w:rsidR="006C35C3" w:rsidRPr="00036775" w:rsidRDefault="006C35C3" w:rsidP="00C56F74">
            <w:pPr>
              <w:spacing w:after="0" w:line="240" w:lineRule="auto"/>
              <w:jc w:val="center"/>
              <w:rPr>
                <w:rFonts w:asciiTheme="minorHAnsi" w:hAnsiTheme="minorHAnsi" w:cs="Calibri"/>
              </w:rPr>
            </w:pPr>
            <w:r w:rsidRPr="00036775">
              <w:rPr>
                <w:rFonts w:asciiTheme="minorHAnsi" w:hAnsiTheme="minorHAnsi" w:cs="Calibri"/>
              </w:rPr>
              <w:t>$</w:t>
            </w:r>
            <w:r w:rsidR="00C56F74" w:rsidRPr="00036775">
              <w:rPr>
                <w:rFonts w:asciiTheme="minorHAnsi" w:hAnsiTheme="minorHAnsi" w:cs="Calibri"/>
              </w:rPr>
              <w:t>42.92</w:t>
            </w:r>
          </w:p>
        </w:tc>
        <w:tc>
          <w:tcPr>
            <w:tcW w:w="2070" w:type="dxa"/>
            <w:tcBorders>
              <w:top w:val="single" w:sz="4" w:space="0" w:color="auto"/>
              <w:left w:val="nil"/>
              <w:bottom w:val="single" w:sz="4" w:space="0" w:color="auto"/>
              <w:right w:val="single" w:sz="4" w:space="0" w:color="auto"/>
            </w:tcBorders>
            <w:shd w:val="clear" w:color="auto" w:fill="FFFFFF"/>
            <w:noWrap/>
            <w:vAlign w:val="center"/>
          </w:tcPr>
          <w:p w14:paraId="2726998D" w14:textId="77777777" w:rsidR="006C35C3" w:rsidRPr="00036775" w:rsidRDefault="00C56F74" w:rsidP="006C35C3">
            <w:pPr>
              <w:spacing w:after="0" w:line="240" w:lineRule="auto"/>
              <w:jc w:val="center"/>
              <w:rPr>
                <w:rFonts w:asciiTheme="minorHAnsi" w:hAnsiTheme="minorHAnsi" w:cs="Calibri"/>
              </w:rPr>
            </w:pPr>
            <w:r w:rsidRPr="00036775">
              <w:rPr>
                <w:rFonts w:asciiTheme="minorHAnsi" w:hAnsiTheme="minorHAnsi" w:cs="Calibri"/>
              </w:rPr>
              <w:t>$64.38</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0EDD8B6B" w14:textId="77777777" w:rsidR="006C35C3" w:rsidRPr="00036775" w:rsidRDefault="006C35C3" w:rsidP="006C35C3">
            <w:pPr>
              <w:spacing w:after="0" w:line="240" w:lineRule="auto"/>
              <w:jc w:val="center"/>
              <w:rPr>
                <w:rFonts w:asciiTheme="minorHAnsi" w:hAnsiTheme="minorHAnsi" w:cs="Calibri"/>
              </w:rPr>
            </w:pPr>
            <w:r w:rsidRPr="00036775">
              <w:rPr>
                <w:rFonts w:asciiTheme="minorHAnsi" w:hAnsiTheme="minorHAnsi" w:cs="Calibri"/>
              </w:rPr>
              <w:t>240</w:t>
            </w:r>
          </w:p>
        </w:tc>
        <w:tc>
          <w:tcPr>
            <w:tcW w:w="990" w:type="dxa"/>
            <w:tcBorders>
              <w:top w:val="single" w:sz="4" w:space="0" w:color="auto"/>
              <w:left w:val="nil"/>
              <w:bottom w:val="single" w:sz="4" w:space="0" w:color="auto"/>
              <w:right w:val="single" w:sz="4" w:space="0" w:color="auto"/>
            </w:tcBorders>
            <w:shd w:val="clear" w:color="auto" w:fill="FFFFFF"/>
            <w:vAlign w:val="center"/>
          </w:tcPr>
          <w:p w14:paraId="643A4F80" w14:textId="77777777" w:rsidR="006C35C3" w:rsidRPr="00036775" w:rsidRDefault="006C35C3" w:rsidP="00C56F74">
            <w:pPr>
              <w:spacing w:after="0" w:line="240" w:lineRule="auto"/>
              <w:jc w:val="center"/>
              <w:rPr>
                <w:rFonts w:asciiTheme="minorHAnsi" w:hAnsiTheme="minorHAnsi" w:cs="Calibri"/>
              </w:rPr>
            </w:pPr>
            <w:r w:rsidRPr="00036775">
              <w:rPr>
                <w:rFonts w:asciiTheme="minorHAnsi" w:hAnsiTheme="minorHAnsi" w:cs="Calibri"/>
              </w:rPr>
              <w:t>$</w:t>
            </w:r>
            <w:r w:rsidR="00C56F74" w:rsidRPr="00036775">
              <w:rPr>
                <w:rFonts w:asciiTheme="minorHAnsi" w:hAnsiTheme="minorHAnsi" w:cs="Calibri"/>
              </w:rPr>
              <w:t>15,451</w:t>
            </w:r>
          </w:p>
        </w:tc>
      </w:tr>
    </w:tbl>
    <w:p w14:paraId="69C21F57" w14:textId="77777777" w:rsidR="006C35C3" w:rsidRPr="00036775" w:rsidRDefault="006C35C3" w:rsidP="001A3579">
      <w:pPr>
        <w:pStyle w:val="NoSpacing"/>
        <w:spacing w:line="276" w:lineRule="auto"/>
        <w:rPr>
          <w:rFonts w:asciiTheme="minorHAnsi" w:eastAsia="Cambria" w:hAnsiTheme="minorHAnsi" w:cstheme="minorHAnsi"/>
          <w:b/>
          <w:szCs w:val="20"/>
        </w:rPr>
      </w:pPr>
    </w:p>
    <w:p w14:paraId="4D56D9F7" w14:textId="77777777" w:rsidR="00942D12" w:rsidRDefault="00942D12" w:rsidP="001A3579">
      <w:pPr>
        <w:pStyle w:val="NoSpacing"/>
        <w:spacing w:line="276" w:lineRule="auto"/>
        <w:rPr>
          <w:rFonts w:asciiTheme="minorHAnsi" w:eastAsia="Cambria" w:hAnsiTheme="minorHAnsi" w:cstheme="minorHAnsi"/>
          <w:b/>
          <w:szCs w:val="20"/>
        </w:rPr>
      </w:pPr>
    </w:p>
    <w:p w14:paraId="17F4BBDD" w14:textId="77777777" w:rsidR="00942D12" w:rsidRDefault="00942D12" w:rsidP="001A3579">
      <w:pPr>
        <w:pStyle w:val="NoSpacing"/>
        <w:spacing w:line="276" w:lineRule="auto"/>
        <w:rPr>
          <w:rFonts w:asciiTheme="minorHAnsi" w:eastAsia="Cambria" w:hAnsiTheme="minorHAnsi" w:cstheme="minorHAnsi"/>
          <w:b/>
          <w:szCs w:val="20"/>
        </w:rPr>
      </w:pPr>
    </w:p>
    <w:p w14:paraId="22D7DB10" w14:textId="77777777" w:rsidR="00942D12" w:rsidRDefault="00942D12" w:rsidP="001A3579">
      <w:pPr>
        <w:pStyle w:val="NoSpacing"/>
        <w:spacing w:line="276" w:lineRule="auto"/>
        <w:rPr>
          <w:rFonts w:asciiTheme="minorHAnsi" w:eastAsia="Cambria" w:hAnsiTheme="minorHAnsi" w:cstheme="minorHAnsi"/>
          <w:b/>
          <w:szCs w:val="20"/>
        </w:rPr>
      </w:pPr>
    </w:p>
    <w:p w14:paraId="4DFBBD1E" w14:textId="77777777" w:rsidR="00942D12" w:rsidRDefault="00942D12" w:rsidP="001A3579">
      <w:pPr>
        <w:pStyle w:val="NoSpacing"/>
        <w:spacing w:line="276" w:lineRule="auto"/>
        <w:rPr>
          <w:rFonts w:asciiTheme="minorHAnsi" w:eastAsia="Cambria" w:hAnsiTheme="minorHAnsi" w:cstheme="minorHAnsi"/>
          <w:b/>
          <w:szCs w:val="20"/>
        </w:rPr>
      </w:pPr>
    </w:p>
    <w:p w14:paraId="4D930C9A" w14:textId="77777777" w:rsidR="00942D12" w:rsidRDefault="00942D12" w:rsidP="001A3579">
      <w:pPr>
        <w:pStyle w:val="NoSpacing"/>
        <w:spacing w:line="276" w:lineRule="auto"/>
        <w:rPr>
          <w:rFonts w:asciiTheme="minorHAnsi" w:eastAsia="Cambria" w:hAnsiTheme="minorHAnsi" w:cstheme="minorHAnsi"/>
          <w:b/>
          <w:szCs w:val="20"/>
        </w:rPr>
      </w:pPr>
    </w:p>
    <w:p w14:paraId="573932E2" w14:textId="77777777" w:rsidR="00D7673B" w:rsidRPr="00036775" w:rsidRDefault="00DD4841" w:rsidP="001A3579">
      <w:pPr>
        <w:pStyle w:val="NoSpacing"/>
        <w:spacing w:line="276" w:lineRule="auto"/>
        <w:rPr>
          <w:rFonts w:asciiTheme="minorHAnsi" w:eastAsia="Cambria" w:hAnsiTheme="minorHAnsi" w:cstheme="minorHAnsi"/>
          <w:b/>
          <w:szCs w:val="20"/>
        </w:rPr>
      </w:pPr>
      <w:r w:rsidRPr="00036775">
        <w:rPr>
          <w:rFonts w:asciiTheme="minorHAnsi" w:eastAsia="Cambria" w:hAnsiTheme="minorHAnsi" w:cstheme="minorHAnsi"/>
          <w:b/>
          <w:szCs w:val="20"/>
        </w:rPr>
        <w:lastRenderedPageBreak/>
        <w:t>Non-Federal Employee and Operational and Expenses</w:t>
      </w:r>
    </w:p>
    <w:tbl>
      <w:tblPr>
        <w:tblW w:w="8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1080"/>
        <w:gridCol w:w="90"/>
        <w:gridCol w:w="810"/>
        <w:gridCol w:w="1350"/>
      </w:tblGrid>
      <w:tr w:rsidR="009D5ABA" w:rsidRPr="00036775" w14:paraId="52404466" w14:textId="77777777" w:rsidTr="00C727F9">
        <w:trPr>
          <w:trHeight w:val="539"/>
        </w:trPr>
        <w:tc>
          <w:tcPr>
            <w:tcW w:w="5320" w:type="dxa"/>
            <w:shd w:val="clear" w:color="auto" w:fill="auto"/>
            <w:noWrap/>
            <w:vAlign w:val="bottom"/>
            <w:hideMark/>
          </w:tcPr>
          <w:p w14:paraId="4861DF9E" w14:textId="77777777" w:rsidR="009D5ABA" w:rsidRPr="00036775" w:rsidRDefault="009D5ABA" w:rsidP="001A3579">
            <w:pPr>
              <w:pStyle w:val="NoSpacing"/>
              <w:spacing w:line="276" w:lineRule="auto"/>
              <w:rPr>
                <w:rFonts w:asciiTheme="minorHAnsi" w:hAnsiTheme="minorHAnsi" w:cstheme="minorHAnsi"/>
                <w:szCs w:val="20"/>
              </w:rPr>
            </w:pPr>
            <w:r w:rsidRPr="00036775">
              <w:rPr>
                <w:rFonts w:asciiTheme="minorHAnsi" w:hAnsiTheme="minorHAnsi" w:cstheme="minorHAnsi"/>
                <w:szCs w:val="20"/>
              </w:rPr>
              <w:t>Position</w:t>
            </w:r>
          </w:p>
        </w:tc>
        <w:tc>
          <w:tcPr>
            <w:tcW w:w="1170" w:type="dxa"/>
            <w:gridSpan w:val="2"/>
            <w:shd w:val="clear" w:color="auto" w:fill="auto"/>
            <w:noWrap/>
            <w:vAlign w:val="bottom"/>
            <w:hideMark/>
          </w:tcPr>
          <w:p w14:paraId="6DCC903B" w14:textId="77777777" w:rsidR="00C727F9" w:rsidRPr="00492D8E" w:rsidRDefault="009D5ABA" w:rsidP="00BF33B4">
            <w:pPr>
              <w:pStyle w:val="NoSpacing"/>
              <w:spacing w:line="276" w:lineRule="auto"/>
              <w:jc w:val="center"/>
              <w:rPr>
                <w:rFonts w:cstheme="minorHAnsi"/>
                <w:szCs w:val="20"/>
              </w:rPr>
            </w:pPr>
            <w:r w:rsidRPr="00492D8E">
              <w:rPr>
                <w:rFonts w:cstheme="minorHAnsi"/>
                <w:szCs w:val="20"/>
              </w:rPr>
              <w:t xml:space="preserve">Hourly </w:t>
            </w:r>
          </w:p>
          <w:p w14:paraId="5BC60D7C" w14:textId="77777777" w:rsidR="009D5ABA" w:rsidRPr="00492D8E" w:rsidRDefault="009D5ABA" w:rsidP="00BF33B4">
            <w:pPr>
              <w:pStyle w:val="NoSpacing"/>
              <w:spacing w:line="276" w:lineRule="auto"/>
              <w:jc w:val="center"/>
              <w:rPr>
                <w:rFonts w:cstheme="minorHAnsi"/>
                <w:szCs w:val="20"/>
              </w:rPr>
            </w:pPr>
            <w:r w:rsidRPr="00492D8E">
              <w:rPr>
                <w:rFonts w:cstheme="minorHAnsi"/>
                <w:szCs w:val="20"/>
              </w:rPr>
              <w:t>Cost</w:t>
            </w:r>
          </w:p>
        </w:tc>
        <w:tc>
          <w:tcPr>
            <w:tcW w:w="810" w:type="dxa"/>
            <w:shd w:val="clear" w:color="auto" w:fill="auto"/>
            <w:noWrap/>
            <w:vAlign w:val="bottom"/>
            <w:hideMark/>
          </w:tcPr>
          <w:p w14:paraId="5800372C" w14:textId="77777777" w:rsidR="009D5ABA" w:rsidRPr="00492D8E" w:rsidRDefault="00C727F9" w:rsidP="00BF33B4">
            <w:pPr>
              <w:pStyle w:val="NoSpacing"/>
              <w:spacing w:line="276" w:lineRule="auto"/>
              <w:jc w:val="center"/>
              <w:rPr>
                <w:rFonts w:cstheme="minorHAnsi"/>
                <w:szCs w:val="20"/>
              </w:rPr>
            </w:pPr>
            <w:r w:rsidRPr="00492D8E">
              <w:rPr>
                <w:rFonts w:cstheme="minorHAnsi"/>
                <w:szCs w:val="20"/>
              </w:rPr>
              <w:t xml:space="preserve">Total </w:t>
            </w:r>
            <w:r w:rsidR="009D5ABA" w:rsidRPr="00492D8E">
              <w:rPr>
                <w:rFonts w:cstheme="minorHAnsi"/>
                <w:szCs w:val="20"/>
              </w:rPr>
              <w:t>Hours</w:t>
            </w:r>
          </w:p>
        </w:tc>
        <w:tc>
          <w:tcPr>
            <w:tcW w:w="1350" w:type="dxa"/>
            <w:shd w:val="clear" w:color="auto" w:fill="auto"/>
            <w:noWrap/>
            <w:vAlign w:val="bottom"/>
            <w:hideMark/>
          </w:tcPr>
          <w:p w14:paraId="1B5166C2" w14:textId="77777777" w:rsidR="00C727F9" w:rsidRPr="00492D8E" w:rsidRDefault="009D5ABA" w:rsidP="00BF33B4">
            <w:pPr>
              <w:pStyle w:val="NoSpacing"/>
              <w:spacing w:line="276" w:lineRule="auto"/>
              <w:jc w:val="center"/>
              <w:rPr>
                <w:rFonts w:cstheme="minorHAnsi"/>
                <w:szCs w:val="20"/>
              </w:rPr>
            </w:pPr>
            <w:r w:rsidRPr="00492D8E">
              <w:rPr>
                <w:rFonts w:cstheme="minorHAnsi"/>
                <w:szCs w:val="20"/>
              </w:rPr>
              <w:t xml:space="preserve">Total </w:t>
            </w:r>
          </w:p>
          <w:p w14:paraId="1CDFD6CD" w14:textId="77777777" w:rsidR="009D5ABA" w:rsidRPr="00492D8E" w:rsidRDefault="009D5ABA" w:rsidP="00BF33B4">
            <w:pPr>
              <w:pStyle w:val="NoSpacing"/>
              <w:spacing w:line="276" w:lineRule="auto"/>
              <w:jc w:val="center"/>
              <w:rPr>
                <w:rFonts w:cstheme="minorHAnsi"/>
                <w:szCs w:val="20"/>
              </w:rPr>
            </w:pPr>
            <w:r w:rsidRPr="00492D8E">
              <w:rPr>
                <w:rFonts w:cstheme="minorHAnsi"/>
                <w:szCs w:val="20"/>
              </w:rPr>
              <w:t>Cost</w:t>
            </w:r>
          </w:p>
        </w:tc>
      </w:tr>
      <w:tr w:rsidR="009D5ABA" w:rsidRPr="00036775" w14:paraId="2CBD80F2" w14:textId="77777777" w:rsidTr="00C727F9">
        <w:trPr>
          <w:trHeight w:val="240"/>
        </w:trPr>
        <w:tc>
          <w:tcPr>
            <w:tcW w:w="5320" w:type="dxa"/>
            <w:shd w:val="clear" w:color="auto" w:fill="auto"/>
            <w:noWrap/>
            <w:vAlign w:val="bottom"/>
            <w:hideMark/>
          </w:tcPr>
          <w:p w14:paraId="068CD34D" w14:textId="77777777" w:rsidR="009D5ABA" w:rsidRPr="00036775" w:rsidRDefault="009D5ABA" w:rsidP="00D545D9">
            <w:pPr>
              <w:pStyle w:val="NoSpacing"/>
              <w:spacing w:line="276" w:lineRule="auto"/>
              <w:ind w:left="352"/>
              <w:rPr>
                <w:rFonts w:asciiTheme="minorHAnsi" w:hAnsiTheme="minorHAnsi" w:cstheme="minorHAnsi"/>
                <w:szCs w:val="20"/>
              </w:rPr>
            </w:pPr>
            <w:r w:rsidRPr="00036775">
              <w:rPr>
                <w:rFonts w:asciiTheme="minorHAnsi" w:hAnsiTheme="minorHAnsi" w:cstheme="minorHAnsi"/>
                <w:szCs w:val="20"/>
              </w:rPr>
              <w:t>Principal Investigator</w:t>
            </w:r>
          </w:p>
        </w:tc>
        <w:tc>
          <w:tcPr>
            <w:tcW w:w="1170" w:type="dxa"/>
            <w:gridSpan w:val="2"/>
            <w:shd w:val="clear" w:color="auto" w:fill="auto"/>
            <w:noWrap/>
            <w:vAlign w:val="bottom"/>
            <w:hideMark/>
          </w:tcPr>
          <w:p w14:paraId="6392E712"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143.45</w:t>
            </w:r>
          </w:p>
        </w:tc>
        <w:tc>
          <w:tcPr>
            <w:tcW w:w="810" w:type="dxa"/>
            <w:shd w:val="clear" w:color="auto" w:fill="auto"/>
            <w:noWrap/>
            <w:vAlign w:val="bottom"/>
            <w:hideMark/>
          </w:tcPr>
          <w:p w14:paraId="15B77CED"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592</w:t>
            </w:r>
          </w:p>
        </w:tc>
        <w:tc>
          <w:tcPr>
            <w:tcW w:w="1350" w:type="dxa"/>
            <w:shd w:val="clear" w:color="auto" w:fill="auto"/>
            <w:noWrap/>
            <w:vAlign w:val="bottom"/>
            <w:hideMark/>
          </w:tcPr>
          <w:p w14:paraId="3B404C57"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84,923</w:t>
            </w:r>
          </w:p>
        </w:tc>
      </w:tr>
      <w:tr w:rsidR="009D5ABA" w:rsidRPr="00036775" w14:paraId="1A224D91" w14:textId="77777777" w:rsidTr="00C727F9">
        <w:trPr>
          <w:trHeight w:val="240"/>
        </w:trPr>
        <w:tc>
          <w:tcPr>
            <w:tcW w:w="5320" w:type="dxa"/>
            <w:shd w:val="clear" w:color="auto" w:fill="auto"/>
            <w:noWrap/>
            <w:vAlign w:val="bottom"/>
            <w:hideMark/>
          </w:tcPr>
          <w:p w14:paraId="7D08877F" w14:textId="77777777" w:rsidR="009D5ABA" w:rsidRPr="00036775" w:rsidRDefault="009D5ABA" w:rsidP="00D545D9">
            <w:pPr>
              <w:pStyle w:val="NoSpacing"/>
              <w:spacing w:line="276" w:lineRule="auto"/>
              <w:ind w:left="352"/>
              <w:rPr>
                <w:rFonts w:asciiTheme="minorHAnsi" w:hAnsiTheme="minorHAnsi" w:cstheme="minorHAnsi"/>
                <w:szCs w:val="20"/>
              </w:rPr>
            </w:pPr>
            <w:r w:rsidRPr="00036775">
              <w:rPr>
                <w:rFonts w:asciiTheme="minorHAnsi" w:hAnsiTheme="minorHAnsi" w:cstheme="minorHAnsi"/>
                <w:szCs w:val="20"/>
              </w:rPr>
              <w:t>Statistician</w:t>
            </w:r>
          </w:p>
        </w:tc>
        <w:tc>
          <w:tcPr>
            <w:tcW w:w="1170" w:type="dxa"/>
            <w:gridSpan w:val="2"/>
            <w:shd w:val="clear" w:color="auto" w:fill="auto"/>
            <w:noWrap/>
            <w:vAlign w:val="bottom"/>
            <w:hideMark/>
          </w:tcPr>
          <w:p w14:paraId="4B430D32"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84.69</w:t>
            </w:r>
          </w:p>
        </w:tc>
        <w:tc>
          <w:tcPr>
            <w:tcW w:w="810" w:type="dxa"/>
            <w:shd w:val="clear" w:color="auto" w:fill="auto"/>
            <w:noWrap/>
            <w:vAlign w:val="bottom"/>
            <w:hideMark/>
          </w:tcPr>
          <w:p w14:paraId="665E0CF4"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80</w:t>
            </w:r>
          </w:p>
        </w:tc>
        <w:tc>
          <w:tcPr>
            <w:tcW w:w="1350" w:type="dxa"/>
            <w:shd w:val="clear" w:color="auto" w:fill="auto"/>
            <w:noWrap/>
            <w:vAlign w:val="bottom"/>
            <w:hideMark/>
          </w:tcPr>
          <w:p w14:paraId="4123EC05"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6,775</w:t>
            </w:r>
          </w:p>
        </w:tc>
      </w:tr>
      <w:tr w:rsidR="009D5ABA" w:rsidRPr="00036775" w14:paraId="1B1867A5" w14:textId="77777777" w:rsidTr="00C727F9">
        <w:trPr>
          <w:trHeight w:val="240"/>
        </w:trPr>
        <w:tc>
          <w:tcPr>
            <w:tcW w:w="5320" w:type="dxa"/>
            <w:shd w:val="clear" w:color="auto" w:fill="auto"/>
            <w:noWrap/>
            <w:vAlign w:val="bottom"/>
            <w:hideMark/>
          </w:tcPr>
          <w:p w14:paraId="31066DAC" w14:textId="77777777" w:rsidR="009D5ABA" w:rsidRPr="00036775" w:rsidRDefault="009D5ABA" w:rsidP="00D545D9">
            <w:pPr>
              <w:pStyle w:val="NoSpacing"/>
              <w:spacing w:line="276" w:lineRule="auto"/>
              <w:ind w:left="352"/>
              <w:rPr>
                <w:rFonts w:asciiTheme="minorHAnsi" w:hAnsiTheme="minorHAnsi" w:cstheme="minorHAnsi"/>
                <w:szCs w:val="20"/>
              </w:rPr>
            </w:pPr>
            <w:r w:rsidRPr="00036775">
              <w:rPr>
                <w:rFonts w:asciiTheme="minorHAnsi" w:hAnsiTheme="minorHAnsi" w:cstheme="minorHAnsi"/>
                <w:szCs w:val="20"/>
              </w:rPr>
              <w:t>Economist</w:t>
            </w:r>
          </w:p>
        </w:tc>
        <w:tc>
          <w:tcPr>
            <w:tcW w:w="1170" w:type="dxa"/>
            <w:gridSpan w:val="2"/>
            <w:shd w:val="clear" w:color="auto" w:fill="auto"/>
            <w:noWrap/>
            <w:vAlign w:val="bottom"/>
            <w:hideMark/>
          </w:tcPr>
          <w:p w14:paraId="5EAA2996"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40.50</w:t>
            </w:r>
          </w:p>
        </w:tc>
        <w:tc>
          <w:tcPr>
            <w:tcW w:w="810" w:type="dxa"/>
            <w:shd w:val="clear" w:color="auto" w:fill="auto"/>
            <w:noWrap/>
            <w:vAlign w:val="bottom"/>
            <w:hideMark/>
          </w:tcPr>
          <w:p w14:paraId="410A51FC"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960</w:t>
            </w:r>
          </w:p>
        </w:tc>
        <w:tc>
          <w:tcPr>
            <w:tcW w:w="1350" w:type="dxa"/>
            <w:shd w:val="clear" w:color="auto" w:fill="auto"/>
            <w:noWrap/>
            <w:vAlign w:val="bottom"/>
            <w:hideMark/>
          </w:tcPr>
          <w:p w14:paraId="43F7F901"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$38,880</w:t>
            </w:r>
          </w:p>
        </w:tc>
      </w:tr>
      <w:tr w:rsidR="009D5ABA" w:rsidRPr="00036775" w14:paraId="161D5815" w14:textId="77777777" w:rsidTr="00C727F9">
        <w:trPr>
          <w:trHeight w:val="240"/>
        </w:trPr>
        <w:tc>
          <w:tcPr>
            <w:tcW w:w="5320" w:type="dxa"/>
            <w:tcBorders>
              <w:bottom w:val="single" w:sz="4" w:space="0" w:color="auto"/>
            </w:tcBorders>
            <w:shd w:val="clear" w:color="auto" w:fill="auto"/>
            <w:noWrap/>
            <w:vAlign w:val="bottom"/>
            <w:hideMark/>
          </w:tcPr>
          <w:p w14:paraId="124CD4F9" w14:textId="77777777" w:rsidR="009D5ABA" w:rsidRPr="00036775" w:rsidRDefault="00C727F9" w:rsidP="00C727F9">
            <w:pPr>
              <w:pStyle w:val="NoSpacing"/>
              <w:spacing w:line="276" w:lineRule="auto"/>
              <w:ind w:left="352"/>
              <w:rPr>
                <w:rFonts w:asciiTheme="minorHAnsi" w:hAnsiTheme="minorHAnsi" w:cstheme="minorHAnsi"/>
                <w:szCs w:val="20"/>
              </w:rPr>
            </w:pPr>
            <w:r w:rsidRPr="00036775">
              <w:rPr>
                <w:rFonts w:asciiTheme="minorHAnsi" w:hAnsiTheme="minorHAnsi" w:cstheme="minorHAnsi"/>
                <w:szCs w:val="20"/>
              </w:rPr>
              <w:t xml:space="preserve">4 </w:t>
            </w:r>
            <w:r w:rsidR="009D5ABA" w:rsidRPr="00036775">
              <w:rPr>
                <w:rFonts w:asciiTheme="minorHAnsi" w:hAnsiTheme="minorHAnsi" w:cstheme="minorHAnsi"/>
                <w:szCs w:val="20"/>
              </w:rPr>
              <w:t>Research Assistant</w:t>
            </w:r>
            <w:r w:rsidRPr="00036775">
              <w:rPr>
                <w:rFonts w:asciiTheme="minorHAnsi" w:hAnsiTheme="minorHAnsi" w:cstheme="minorHAnsi"/>
                <w:szCs w:val="20"/>
              </w:rPr>
              <w:t>s</w:t>
            </w:r>
          </w:p>
        </w:tc>
        <w:tc>
          <w:tcPr>
            <w:tcW w:w="1170" w:type="dxa"/>
            <w:gridSpan w:val="2"/>
            <w:tcBorders>
              <w:bottom w:val="single" w:sz="4" w:space="0" w:color="auto"/>
            </w:tcBorders>
            <w:shd w:val="clear" w:color="auto" w:fill="auto"/>
            <w:noWrap/>
            <w:vAlign w:val="bottom"/>
            <w:hideMark/>
          </w:tcPr>
          <w:p w14:paraId="2893187E"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16.81</w:t>
            </w:r>
          </w:p>
        </w:tc>
        <w:tc>
          <w:tcPr>
            <w:tcW w:w="810" w:type="dxa"/>
            <w:tcBorders>
              <w:bottom w:val="single" w:sz="4" w:space="0" w:color="auto"/>
            </w:tcBorders>
            <w:shd w:val="clear" w:color="auto" w:fill="auto"/>
            <w:noWrap/>
            <w:vAlign w:val="bottom"/>
            <w:hideMark/>
          </w:tcPr>
          <w:p w14:paraId="2E1F70EB"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520</w:t>
            </w:r>
          </w:p>
        </w:tc>
        <w:tc>
          <w:tcPr>
            <w:tcW w:w="1350" w:type="dxa"/>
            <w:tcBorders>
              <w:bottom w:val="single" w:sz="4" w:space="0" w:color="auto"/>
            </w:tcBorders>
            <w:shd w:val="clear" w:color="auto" w:fill="auto"/>
            <w:noWrap/>
            <w:vAlign w:val="bottom"/>
            <w:hideMark/>
          </w:tcPr>
          <w:p w14:paraId="073BA45E" w14:textId="77777777" w:rsidR="009D5ABA" w:rsidRPr="00492D8E" w:rsidRDefault="00576E17" w:rsidP="00900800">
            <w:pPr>
              <w:pStyle w:val="NoSpacing"/>
              <w:spacing w:line="276" w:lineRule="auto"/>
              <w:jc w:val="center"/>
              <w:rPr>
                <w:rFonts w:cstheme="minorHAnsi"/>
                <w:szCs w:val="20"/>
              </w:rPr>
            </w:pPr>
            <w:r w:rsidRPr="00492D8E">
              <w:rPr>
                <w:rFonts w:cstheme="minorHAnsi"/>
                <w:szCs w:val="20"/>
              </w:rPr>
              <w:t>$8,741</w:t>
            </w:r>
          </w:p>
        </w:tc>
      </w:tr>
      <w:tr w:rsidR="00C73B04" w:rsidRPr="00036775" w14:paraId="7B079396" w14:textId="77777777" w:rsidTr="00D545D9">
        <w:trPr>
          <w:trHeight w:val="240"/>
        </w:trPr>
        <w:tc>
          <w:tcPr>
            <w:tcW w:w="8650" w:type="dxa"/>
            <w:gridSpan w:val="5"/>
            <w:shd w:val="clear" w:color="auto" w:fill="auto"/>
            <w:noWrap/>
            <w:vAlign w:val="bottom"/>
          </w:tcPr>
          <w:p w14:paraId="7EC8DE5D" w14:textId="77777777" w:rsidR="00C73B04" w:rsidRPr="00492D8E" w:rsidRDefault="00C73B04" w:rsidP="00900800">
            <w:pPr>
              <w:pStyle w:val="NoSpacing"/>
              <w:spacing w:line="276" w:lineRule="auto"/>
              <w:rPr>
                <w:rFonts w:cstheme="minorHAnsi"/>
                <w:b/>
                <w:szCs w:val="20"/>
              </w:rPr>
            </w:pPr>
            <w:r w:rsidRPr="00492D8E">
              <w:rPr>
                <w:rFonts w:cstheme="minorHAnsi"/>
                <w:b/>
                <w:szCs w:val="20"/>
              </w:rPr>
              <w:t>Operational Expenses</w:t>
            </w:r>
          </w:p>
        </w:tc>
      </w:tr>
      <w:tr w:rsidR="009D5ABA" w:rsidRPr="00036775" w14:paraId="6FE8D0AE" w14:textId="77777777" w:rsidTr="00C727F9">
        <w:trPr>
          <w:trHeight w:val="240"/>
        </w:trPr>
        <w:tc>
          <w:tcPr>
            <w:tcW w:w="5320" w:type="dxa"/>
            <w:shd w:val="clear" w:color="auto" w:fill="auto"/>
            <w:noWrap/>
            <w:vAlign w:val="bottom"/>
            <w:hideMark/>
          </w:tcPr>
          <w:p w14:paraId="6CB5E0CB" w14:textId="77777777" w:rsidR="009D5ABA" w:rsidRPr="00036775" w:rsidRDefault="009D5ABA" w:rsidP="001A3579">
            <w:pPr>
              <w:pStyle w:val="NoSpacing"/>
              <w:spacing w:line="276" w:lineRule="auto"/>
              <w:rPr>
                <w:rFonts w:asciiTheme="minorHAnsi" w:hAnsiTheme="minorHAnsi" w:cstheme="minorHAnsi"/>
                <w:szCs w:val="20"/>
              </w:rPr>
            </w:pPr>
            <w:r w:rsidRPr="00036775">
              <w:rPr>
                <w:rFonts w:asciiTheme="minorHAnsi" w:hAnsiTheme="minorHAnsi" w:cstheme="minorHAnsi"/>
                <w:szCs w:val="20"/>
              </w:rPr>
              <w:t>Travel</w:t>
            </w:r>
          </w:p>
        </w:tc>
        <w:tc>
          <w:tcPr>
            <w:tcW w:w="1080" w:type="dxa"/>
            <w:shd w:val="clear" w:color="auto" w:fill="auto"/>
            <w:noWrap/>
            <w:vAlign w:val="bottom"/>
            <w:hideMark/>
          </w:tcPr>
          <w:p w14:paraId="187DBCF7" w14:textId="77777777" w:rsidR="009D5ABA" w:rsidRPr="00492D8E" w:rsidRDefault="009D5ABA" w:rsidP="001A3579">
            <w:pPr>
              <w:pStyle w:val="NoSpacing"/>
              <w:spacing w:line="276" w:lineRule="auto"/>
              <w:rPr>
                <w:rFonts w:cstheme="minorHAnsi"/>
                <w:szCs w:val="20"/>
              </w:rPr>
            </w:pPr>
          </w:p>
        </w:tc>
        <w:tc>
          <w:tcPr>
            <w:tcW w:w="900" w:type="dxa"/>
            <w:gridSpan w:val="2"/>
            <w:shd w:val="clear" w:color="auto" w:fill="auto"/>
            <w:noWrap/>
            <w:vAlign w:val="bottom"/>
            <w:hideMark/>
          </w:tcPr>
          <w:p w14:paraId="2AC714E4" w14:textId="77777777" w:rsidR="009D5ABA" w:rsidRPr="00492D8E" w:rsidRDefault="009D5ABA" w:rsidP="001A3579">
            <w:pPr>
              <w:pStyle w:val="NoSpacing"/>
              <w:spacing w:line="276" w:lineRule="auto"/>
              <w:rPr>
                <w:rFonts w:cstheme="minorHAnsi"/>
                <w:szCs w:val="20"/>
              </w:rPr>
            </w:pPr>
          </w:p>
        </w:tc>
        <w:tc>
          <w:tcPr>
            <w:tcW w:w="1350" w:type="dxa"/>
            <w:shd w:val="clear" w:color="auto" w:fill="auto"/>
            <w:noWrap/>
            <w:vAlign w:val="bottom"/>
            <w:hideMark/>
          </w:tcPr>
          <w:p w14:paraId="32793B68"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11,496</w:t>
            </w:r>
          </w:p>
        </w:tc>
      </w:tr>
      <w:tr w:rsidR="009D5ABA" w:rsidRPr="00036775" w14:paraId="103435AF" w14:textId="77777777" w:rsidTr="00C727F9">
        <w:trPr>
          <w:trHeight w:val="240"/>
        </w:trPr>
        <w:tc>
          <w:tcPr>
            <w:tcW w:w="5320" w:type="dxa"/>
            <w:shd w:val="clear" w:color="auto" w:fill="auto"/>
            <w:noWrap/>
            <w:vAlign w:val="bottom"/>
            <w:hideMark/>
          </w:tcPr>
          <w:p w14:paraId="519AA37D" w14:textId="77777777" w:rsidR="009D5ABA" w:rsidRPr="00036775" w:rsidRDefault="009D5ABA" w:rsidP="00562C46">
            <w:pPr>
              <w:pStyle w:val="NoSpacing"/>
              <w:spacing w:line="276" w:lineRule="auto"/>
              <w:rPr>
                <w:rFonts w:asciiTheme="minorHAnsi" w:hAnsiTheme="minorHAnsi" w:cstheme="minorHAnsi"/>
                <w:szCs w:val="20"/>
              </w:rPr>
            </w:pPr>
            <w:r w:rsidRPr="00036775">
              <w:rPr>
                <w:rFonts w:asciiTheme="minorHAnsi" w:hAnsiTheme="minorHAnsi" w:cstheme="minorHAnsi"/>
                <w:szCs w:val="20"/>
              </w:rPr>
              <w:t xml:space="preserve">Subcontracts </w:t>
            </w:r>
          </w:p>
        </w:tc>
        <w:tc>
          <w:tcPr>
            <w:tcW w:w="1080" w:type="dxa"/>
            <w:shd w:val="clear" w:color="auto" w:fill="auto"/>
            <w:noWrap/>
            <w:vAlign w:val="bottom"/>
            <w:hideMark/>
          </w:tcPr>
          <w:p w14:paraId="347ECB0D" w14:textId="77777777" w:rsidR="009D5ABA" w:rsidRPr="00492D8E" w:rsidRDefault="009D5ABA" w:rsidP="001A3579">
            <w:pPr>
              <w:pStyle w:val="NoSpacing"/>
              <w:spacing w:line="276" w:lineRule="auto"/>
              <w:rPr>
                <w:rFonts w:cstheme="minorHAnsi"/>
                <w:szCs w:val="20"/>
              </w:rPr>
            </w:pPr>
          </w:p>
        </w:tc>
        <w:tc>
          <w:tcPr>
            <w:tcW w:w="900" w:type="dxa"/>
            <w:gridSpan w:val="2"/>
            <w:shd w:val="clear" w:color="auto" w:fill="auto"/>
            <w:noWrap/>
            <w:vAlign w:val="bottom"/>
            <w:hideMark/>
          </w:tcPr>
          <w:p w14:paraId="7F4086FD" w14:textId="77777777" w:rsidR="009D5ABA" w:rsidRPr="00492D8E" w:rsidRDefault="009D5ABA" w:rsidP="001A3579">
            <w:pPr>
              <w:pStyle w:val="NoSpacing"/>
              <w:spacing w:line="276" w:lineRule="auto"/>
              <w:rPr>
                <w:rFonts w:cstheme="minorHAnsi"/>
                <w:szCs w:val="20"/>
              </w:rPr>
            </w:pPr>
          </w:p>
        </w:tc>
        <w:tc>
          <w:tcPr>
            <w:tcW w:w="1350" w:type="dxa"/>
            <w:shd w:val="clear" w:color="auto" w:fill="auto"/>
            <w:noWrap/>
            <w:vAlign w:val="bottom"/>
            <w:hideMark/>
          </w:tcPr>
          <w:p w14:paraId="69878CDF"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6,250</w:t>
            </w:r>
          </w:p>
        </w:tc>
      </w:tr>
      <w:tr w:rsidR="009D5ABA" w:rsidRPr="00036775" w14:paraId="72F71ED0" w14:textId="77777777" w:rsidTr="00C727F9">
        <w:trPr>
          <w:trHeight w:val="240"/>
        </w:trPr>
        <w:tc>
          <w:tcPr>
            <w:tcW w:w="5320" w:type="dxa"/>
            <w:shd w:val="clear" w:color="auto" w:fill="auto"/>
            <w:noWrap/>
            <w:vAlign w:val="bottom"/>
            <w:hideMark/>
          </w:tcPr>
          <w:p w14:paraId="3DFC38EA" w14:textId="77777777" w:rsidR="009D5ABA" w:rsidRPr="00036775" w:rsidRDefault="009D5ABA" w:rsidP="001A3579">
            <w:pPr>
              <w:pStyle w:val="NoSpacing"/>
              <w:spacing w:line="276" w:lineRule="auto"/>
              <w:rPr>
                <w:rFonts w:asciiTheme="minorHAnsi" w:hAnsiTheme="minorHAnsi" w:cstheme="minorHAnsi"/>
                <w:szCs w:val="20"/>
              </w:rPr>
            </w:pPr>
            <w:r w:rsidRPr="00036775">
              <w:rPr>
                <w:rFonts w:asciiTheme="minorHAnsi" w:hAnsiTheme="minorHAnsi" w:cstheme="minorHAnsi"/>
                <w:szCs w:val="20"/>
              </w:rPr>
              <w:t>Printing and Mailing</w:t>
            </w:r>
          </w:p>
        </w:tc>
        <w:tc>
          <w:tcPr>
            <w:tcW w:w="1080" w:type="dxa"/>
            <w:shd w:val="clear" w:color="auto" w:fill="auto"/>
            <w:noWrap/>
            <w:vAlign w:val="bottom"/>
            <w:hideMark/>
          </w:tcPr>
          <w:p w14:paraId="102047A5" w14:textId="77777777" w:rsidR="009D5ABA" w:rsidRPr="00492D8E" w:rsidRDefault="009D5ABA" w:rsidP="001A3579">
            <w:pPr>
              <w:pStyle w:val="NoSpacing"/>
              <w:spacing w:line="276" w:lineRule="auto"/>
              <w:rPr>
                <w:rFonts w:cstheme="minorHAnsi"/>
                <w:szCs w:val="20"/>
              </w:rPr>
            </w:pPr>
          </w:p>
        </w:tc>
        <w:tc>
          <w:tcPr>
            <w:tcW w:w="900" w:type="dxa"/>
            <w:gridSpan w:val="2"/>
            <w:shd w:val="clear" w:color="auto" w:fill="auto"/>
            <w:noWrap/>
            <w:vAlign w:val="bottom"/>
            <w:hideMark/>
          </w:tcPr>
          <w:p w14:paraId="4169483A" w14:textId="77777777" w:rsidR="009D5ABA" w:rsidRPr="00492D8E" w:rsidRDefault="009D5ABA" w:rsidP="001A3579">
            <w:pPr>
              <w:pStyle w:val="NoSpacing"/>
              <w:spacing w:line="276" w:lineRule="auto"/>
              <w:rPr>
                <w:rFonts w:cstheme="minorHAnsi"/>
                <w:szCs w:val="20"/>
              </w:rPr>
            </w:pPr>
          </w:p>
        </w:tc>
        <w:tc>
          <w:tcPr>
            <w:tcW w:w="1350" w:type="dxa"/>
            <w:shd w:val="clear" w:color="auto" w:fill="auto"/>
            <w:noWrap/>
            <w:vAlign w:val="bottom"/>
            <w:hideMark/>
          </w:tcPr>
          <w:p w14:paraId="7F04B740"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48,300</w:t>
            </w:r>
          </w:p>
        </w:tc>
      </w:tr>
      <w:tr w:rsidR="009D5ABA" w:rsidRPr="00036775" w14:paraId="69B2AA29" w14:textId="77777777" w:rsidTr="00C727F9">
        <w:trPr>
          <w:trHeight w:val="240"/>
        </w:trPr>
        <w:tc>
          <w:tcPr>
            <w:tcW w:w="5320" w:type="dxa"/>
            <w:shd w:val="clear" w:color="auto" w:fill="auto"/>
            <w:noWrap/>
            <w:vAlign w:val="bottom"/>
            <w:hideMark/>
          </w:tcPr>
          <w:p w14:paraId="0D66087A" w14:textId="77777777" w:rsidR="009D5ABA" w:rsidRPr="00036775" w:rsidRDefault="009D5ABA" w:rsidP="001A3579">
            <w:pPr>
              <w:pStyle w:val="NoSpacing"/>
              <w:spacing w:line="276" w:lineRule="auto"/>
              <w:rPr>
                <w:rFonts w:asciiTheme="minorHAnsi" w:hAnsiTheme="minorHAnsi" w:cstheme="minorHAnsi"/>
                <w:szCs w:val="20"/>
              </w:rPr>
            </w:pPr>
            <w:r w:rsidRPr="00036775">
              <w:rPr>
                <w:rFonts w:asciiTheme="minorHAnsi" w:hAnsiTheme="minorHAnsi" w:cstheme="minorHAnsi"/>
                <w:szCs w:val="20"/>
              </w:rPr>
              <w:t>Indirect Cost (University of Montana)</w:t>
            </w:r>
          </w:p>
        </w:tc>
        <w:tc>
          <w:tcPr>
            <w:tcW w:w="1080" w:type="dxa"/>
            <w:shd w:val="clear" w:color="auto" w:fill="auto"/>
            <w:noWrap/>
            <w:vAlign w:val="bottom"/>
            <w:hideMark/>
          </w:tcPr>
          <w:p w14:paraId="1E5FEDFD" w14:textId="77777777" w:rsidR="009D5ABA" w:rsidRPr="00492D8E" w:rsidRDefault="009D5ABA" w:rsidP="001A3579">
            <w:pPr>
              <w:pStyle w:val="NoSpacing"/>
              <w:spacing w:line="276" w:lineRule="auto"/>
              <w:rPr>
                <w:rFonts w:cstheme="minorHAnsi"/>
                <w:szCs w:val="20"/>
              </w:rPr>
            </w:pPr>
          </w:p>
        </w:tc>
        <w:tc>
          <w:tcPr>
            <w:tcW w:w="900" w:type="dxa"/>
            <w:gridSpan w:val="2"/>
            <w:shd w:val="clear" w:color="auto" w:fill="auto"/>
            <w:noWrap/>
            <w:vAlign w:val="bottom"/>
            <w:hideMark/>
          </w:tcPr>
          <w:p w14:paraId="6139C931" w14:textId="77777777" w:rsidR="009D5ABA" w:rsidRPr="00492D8E" w:rsidRDefault="009D5ABA" w:rsidP="001A3579">
            <w:pPr>
              <w:pStyle w:val="NoSpacing"/>
              <w:spacing w:line="276" w:lineRule="auto"/>
              <w:rPr>
                <w:rFonts w:cstheme="minorHAnsi"/>
                <w:szCs w:val="20"/>
              </w:rPr>
            </w:pPr>
          </w:p>
        </w:tc>
        <w:tc>
          <w:tcPr>
            <w:tcW w:w="1350" w:type="dxa"/>
            <w:shd w:val="clear" w:color="auto" w:fill="auto"/>
            <w:noWrap/>
            <w:vAlign w:val="bottom"/>
            <w:hideMark/>
          </w:tcPr>
          <w:p w14:paraId="00E8452E" w14:textId="77777777" w:rsidR="009D5ABA" w:rsidRPr="00492D8E" w:rsidRDefault="009D5ABA" w:rsidP="00900800">
            <w:pPr>
              <w:pStyle w:val="NoSpacing"/>
              <w:spacing w:line="276" w:lineRule="auto"/>
              <w:jc w:val="center"/>
              <w:rPr>
                <w:rFonts w:cstheme="minorHAnsi"/>
                <w:szCs w:val="20"/>
              </w:rPr>
            </w:pPr>
            <w:r w:rsidRPr="00492D8E">
              <w:rPr>
                <w:rFonts w:cstheme="minorHAnsi"/>
                <w:szCs w:val="20"/>
              </w:rPr>
              <w:t>$</w:t>
            </w:r>
            <w:r w:rsidR="00576E17" w:rsidRPr="00492D8E">
              <w:rPr>
                <w:rFonts w:cstheme="minorHAnsi"/>
                <w:szCs w:val="20"/>
              </w:rPr>
              <w:t>35,939</w:t>
            </w:r>
          </w:p>
        </w:tc>
      </w:tr>
      <w:tr w:rsidR="005E079D" w:rsidRPr="00036775" w14:paraId="59FFE863" w14:textId="77777777" w:rsidTr="00D545D9">
        <w:trPr>
          <w:trHeight w:val="240"/>
        </w:trPr>
        <w:tc>
          <w:tcPr>
            <w:tcW w:w="7300" w:type="dxa"/>
            <w:gridSpan w:val="4"/>
            <w:shd w:val="clear" w:color="auto" w:fill="auto"/>
            <w:noWrap/>
            <w:vAlign w:val="bottom"/>
            <w:hideMark/>
          </w:tcPr>
          <w:p w14:paraId="0636C66F" w14:textId="77777777" w:rsidR="005E079D" w:rsidRPr="00492D8E" w:rsidRDefault="005E079D" w:rsidP="00900800">
            <w:pPr>
              <w:pStyle w:val="NoSpacing"/>
              <w:spacing w:line="276" w:lineRule="auto"/>
              <w:jc w:val="right"/>
              <w:rPr>
                <w:rFonts w:cstheme="minorHAnsi"/>
                <w:szCs w:val="20"/>
              </w:rPr>
            </w:pPr>
            <w:r w:rsidRPr="00492D8E">
              <w:rPr>
                <w:rFonts w:cstheme="minorHAnsi"/>
                <w:b/>
                <w:szCs w:val="20"/>
              </w:rPr>
              <w:t>Total</w:t>
            </w:r>
          </w:p>
        </w:tc>
        <w:tc>
          <w:tcPr>
            <w:tcW w:w="1350" w:type="dxa"/>
            <w:shd w:val="clear" w:color="auto" w:fill="auto"/>
            <w:noWrap/>
            <w:vAlign w:val="bottom"/>
            <w:hideMark/>
          </w:tcPr>
          <w:p w14:paraId="7E673F9A" w14:textId="77777777" w:rsidR="005E079D" w:rsidRPr="00492D8E" w:rsidRDefault="005E079D" w:rsidP="00900800">
            <w:pPr>
              <w:pStyle w:val="NoSpacing"/>
              <w:spacing w:line="276" w:lineRule="auto"/>
              <w:jc w:val="center"/>
              <w:rPr>
                <w:rFonts w:cstheme="minorHAnsi"/>
                <w:b/>
                <w:szCs w:val="20"/>
              </w:rPr>
            </w:pPr>
            <w:r w:rsidRPr="00492D8E">
              <w:rPr>
                <w:rFonts w:cstheme="minorHAnsi"/>
                <w:b/>
                <w:szCs w:val="20"/>
              </w:rPr>
              <w:t>$241,304</w:t>
            </w:r>
          </w:p>
        </w:tc>
      </w:tr>
    </w:tbl>
    <w:p w14:paraId="4982F81A" w14:textId="77777777" w:rsidR="00BF33B4" w:rsidRPr="00036775" w:rsidRDefault="00BF33B4" w:rsidP="001A3579">
      <w:pPr>
        <w:pStyle w:val="NoSpacing"/>
        <w:spacing w:line="276" w:lineRule="auto"/>
        <w:rPr>
          <w:rFonts w:asciiTheme="minorHAnsi" w:hAnsiTheme="minorHAnsi"/>
          <w:b/>
        </w:rPr>
      </w:pPr>
    </w:p>
    <w:p w14:paraId="4074EAFE" w14:textId="77777777" w:rsidR="00E15F1D" w:rsidRPr="00036775" w:rsidRDefault="003F1FBA" w:rsidP="001A3579">
      <w:pPr>
        <w:pStyle w:val="NoSpacing"/>
        <w:spacing w:line="276" w:lineRule="auto"/>
        <w:rPr>
          <w:rFonts w:asciiTheme="minorHAnsi" w:hAnsiTheme="minorHAnsi"/>
          <w:b/>
        </w:rPr>
      </w:pPr>
      <w:r w:rsidRPr="00036775">
        <w:rPr>
          <w:rFonts w:asciiTheme="minorHAnsi" w:hAnsiTheme="minorHAnsi"/>
          <w:b/>
        </w:rPr>
        <w:t>15.</w:t>
      </w:r>
      <w:r w:rsidRPr="00036775">
        <w:rPr>
          <w:rFonts w:asciiTheme="minorHAnsi" w:hAnsiTheme="minorHAnsi"/>
          <w:b/>
        </w:rPr>
        <w:tab/>
      </w:r>
      <w:r w:rsidR="00E15F1D" w:rsidRPr="00036775">
        <w:rPr>
          <w:rFonts w:asciiTheme="minorHAnsi" w:hAnsiTheme="minorHAnsi"/>
          <w:b/>
        </w:rPr>
        <w:t>Explain the reasons for any program changes or adjustments in hour or cost burden.</w:t>
      </w:r>
    </w:p>
    <w:p w14:paraId="6067DB2D" w14:textId="77777777" w:rsidR="00BF33B4" w:rsidRPr="00036775" w:rsidRDefault="00BF33B4" w:rsidP="001A3579">
      <w:pPr>
        <w:pStyle w:val="NoSpacing"/>
        <w:spacing w:line="276" w:lineRule="auto"/>
        <w:rPr>
          <w:rFonts w:asciiTheme="minorHAnsi" w:hAnsiTheme="minorHAnsi"/>
        </w:rPr>
      </w:pPr>
    </w:p>
    <w:p w14:paraId="0B504370" w14:textId="77777777" w:rsidR="00C1055A" w:rsidRPr="00036775" w:rsidRDefault="009A7F73" w:rsidP="001A3579">
      <w:pPr>
        <w:pStyle w:val="NoSpacing"/>
        <w:spacing w:line="276" w:lineRule="auto"/>
        <w:rPr>
          <w:rFonts w:asciiTheme="minorHAnsi" w:hAnsiTheme="minorHAnsi"/>
        </w:rPr>
      </w:pPr>
      <w:r w:rsidRPr="00036775">
        <w:rPr>
          <w:rFonts w:asciiTheme="minorHAnsi" w:hAnsiTheme="minorHAnsi"/>
        </w:rPr>
        <w:t>This is a new collection</w:t>
      </w:r>
      <w:r w:rsidR="00E15F1D" w:rsidRPr="00036775">
        <w:rPr>
          <w:rFonts w:asciiTheme="minorHAnsi" w:hAnsiTheme="minorHAnsi"/>
        </w:rPr>
        <w:t>.</w:t>
      </w:r>
    </w:p>
    <w:p w14:paraId="2137DD5B" w14:textId="77777777" w:rsidR="007966BE" w:rsidRPr="00036775" w:rsidRDefault="007966BE" w:rsidP="001A3579">
      <w:pPr>
        <w:pStyle w:val="NoSpacing"/>
        <w:spacing w:line="276" w:lineRule="auto"/>
        <w:rPr>
          <w:rFonts w:asciiTheme="minorHAnsi" w:hAnsiTheme="minorHAnsi"/>
        </w:rPr>
      </w:pPr>
    </w:p>
    <w:p w14:paraId="7733B257" w14:textId="77777777" w:rsidR="00C1055A" w:rsidRPr="00036775" w:rsidRDefault="00C1055A" w:rsidP="001A3579">
      <w:pPr>
        <w:pStyle w:val="NoSpacing"/>
        <w:spacing w:line="276" w:lineRule="auto"/>
        <w:rPr>
          <w:rFonts w:asciiTheme="minorHAnsi" w:hAnsiTheme="minorHAnsi"/>
          <w:b/>
        </w:rPr>
      </w:pPr>
      <w:r w:rsidRPr="00036775">
        <w:rPr>
          <w:rFonts w:asciiTheme="minorHAnsi" w:hAnsiTheme="minorHAnsi"/>
          <w:b/>
        </w:rPr>
        <w:t>16.</w:t>
      </w:r>
      <w:r w:rsidRPr="00036775">
        <w:rPr>
          <w:rFonts w:asciiTheme="minorHAnsi" w:hAnsiTheme="minorHAnsi"/>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54D9BFC" w14:textId="77777777" w:rsidR="00C1055A" w:rsidRPr="00036775" w:rsidRDefault="00C1055A" w:rsidP="001A3579">
      <w:pPr>
        <w:pStyle w:val="NoSpacing"/>
        <w:spacing w:line="276" w:lineRule="auto"/>
        <w:rPr>
          <w:rFonts w:asciiTheme="minorHAnsi" w:hAnsiTheme="minorHAnsi"/>
        </w:rPr>
      </w:pPr>
    </w:p>
    <w:p w14:paraId="5D65C712" w14:textId="77777777" w:rsidR="005955D7" w:rsidRPr="00036775" w:rsidRDefault="005955D7" w:rsidP="00BF33B4">
      <w:pPr>
        <w:pStyle w:val="NoSpacing"/>
        <w:spacing w:line="360" w:lineRule="auto"/>
        <w:rPr>
          <w:rFonts w:asciiTheme="minorHAnsi" w:hAnsiTheme="minorHAnsi"/>
        </w:rPr>
      </w:pPr>
      <w:r w:rsidRPr="00036775">
        <w:rPr>
          <w:rFonts w:asciiTheme="minorHAnsi" w:hAnsiTheme="minorHAnsi" w:cs="Calibri"/>
          <w:color w:val="000000"/>
        </w:rPr>
        <w:t>Data analysis will include frequency distributions</w:t>
      </w:r>
      <w:r w:rsidR="00D545D9" w:rsidRPr="00036775">
        <w:rPr>
          <w:rFonts w:asciiTheme="minorHAnsi" w:hAnsiTheme="minorHAnsi" w:cs="Calibri"/>
          <w:color w:val="000000"/>
        </w:rPr>
        <w:t>,</w:t>
      </w:r>
      <w:r w:rsidRPr="00036775">
        <w:rPr>
          <w:rFonts w:asciiTheme="minorHAnsi" w:hAnsiTheme="minorHAnsi" w:cs="Calibri"/>
          <w:color w:val="000000"/>
        </w:rPr>
        <w:t xml:space="preserve"> </w:t>
      </w:r>
      <w:r w:rsidRPr="00036775">
        <w:rPr>
          <w:rFonts w:asciiTheme="minorHAnsi" w:hAnsiTheme="minorHAnsi"/>
        </w:rPr>
        <w:t>cross tabulations, and multivariate analysis.</w:t>
      </w:r>
      <w:r w:rsidRPr="00036775">
        <w:rPr>
          <w:rFonts w:asciiTheme="minorHAnsi" w:hAnsiTheme="minorHAnsi" w:cs="Calibri"/>
          <w:color w:val="000000"/>
        </w:rPr>
        <w:t xml:space="preserve"> </w:t>
      </w:r>
    </w:p>
    <w:p w14:paraId="2492E40B" w14:textId="77777777" w:rsidR="00532CDE" w:rsidRPr="00036775" w:rsidRDefault="005955D7" w:rsidP="00BF33B4">
      <w:pPr>
        <w:pStyle w:val="NoSpacing"/>
        <w:spacing w:line="360" w:lineRule="auto"/>
        <w:rPr>
          <w:rFonts w:asciiTheme="minorHAnsi" w:hAnsiTheme="minorHAnsi"/>
        </w:rPr>
      </w:pPr>
      <w:r w:rsidRPr="00036775">
        <w:rPr>
          <w:rFonts w:asciiTheme="minorHAnsi" w:hAnsiTheme="minorHAnsi"/>
        </w:rPr>
        <w:t>The final deliverables will include a</w:t>
      </w:r>
      <w:r w:rsidR="009A7F73" w:rsidRPr="00036775">
        <w:rPr>
          <w:rFonts w:asciiTheme="minorHAnsi" w:hAnsiTheme="minorHAnsi"/>
        </w:rPr>
        <w:t xml:space="preserve"> </w:t>
      </w:r>
      <w:r w:rsidR="00EC3AED" w:rsidRPr="00036775">
        <w:rPr>
          <w:rFonts w:asciiTheme="minorHAnsi" w:hAnsiTheme="minorHAnsi"/>
        </w:rPr>
        <w:t xml:space="preserve">published </w:t>
      </w:r>
      <w:r w:rsidR="009A7F73" w:rsidRPr="00036775">
        <w:rPr>
          <w:rFonts w:asciiTheme="minorHAnsi" w:hAnsiTheme="minorHAnsi"/>
        </w:rPr>
        <w:t xml:space="preserve">report </w:t>
      </w:r>
      <w:r w:rsidR="00EC3AED" w:rsidRPr="00036775">
        <w:rPr>
          <w:rFonts w:asciiTheme="minorHAnsi" w:hAnsiTheme="minorHAnsi"/>
        </w:rPr>
        <w:t>submitted to the NPS</w:t>
      </w:r>
      <w:r w:rsidR="008B011D" w:rsidRPr="00036775">
        <w:rPr>
          <w:rFonts w:asciiTheme="minorHAnsi" w:hAnsiTheme="minorHAnsi"/>
        </w:rPr>
        <w:t xml:space="preserve"> and </w:t>
      </w:r>
      <w:r w:rsidR="00EC3AED" w:rsidRPr="00036775">
        <w:rPr>
          <w:rFonts w:asciiTheme="minorHAnsi" w:hAnsiTheme="minorHAnsi"/>
        </w:rPr>
        <w:t>USGS</w:t>
      </w:r>
      <w:r w:rsidR="00C727F9" w:rsidRPr="00036775">
        <w:rPr>
          <w:rFonts w:asciiTheme="minorHAnsi" w:hAnsiTheme="minorHAnsi"/>
        </w:rPr>
        <w:t xml:space="preserve">. </w:t>
      </w:r>
      <w:r w:rsidR="00936397" w:rsidRPr="00036775">
        <w:rPr>
          <w:rFonts w:asciiTheme="minorHAnsi" w:hAnsiTheme="minorHAnsi"/>
        </w:rPr>
        <w:t xml:space="preserve"> </w:t>
      </w:r>
      <w:r w:rsidR="00C727F9" w:rsidRPr="00036775">
        <w:rPr>
          <w:rFonts w:asciiTheme="minorHAnsi" w:hAnsiTheme="minorHAnsi"/>
        </w:rPr>
        <w:t>A journal</w:t>
      </w:r>
      <w:r w:rsidR="00936397" w:rsidRPr="00036775">
        <w:rPr>
          <w:rFonts w:asciiTheme="minorHAnsi" w:hAnsiTheme="minorHAnsi"/>
        </w:rPr>
        <w:t xml:space="preserve"> </w:t>
      </w:r>
      <w:r w:rsidR="009A7F73" w:rsidRPr="00036775">
        <w:rPr>
          <w:rFonts w:asciiTheme="minorHAnsi" w:hAnsiTheme="minorHAnsi"/>
        </w:rPr>
        <w:t xml:space="preserve">article </w:t>
      </w:r>
      <w:r w:rsidR="00562C46" w:rsidRPr="00036775">
        <w:rPr>
          <w:rFonts w:asciiTheme="minorHAnsi" w:hAnsiTheme="minorHAnsi"/>
        </w:rPr>
        <w:t xml:space="preserve">will be </w:t>
      </w:r>
      <w:r w:rsidR="00C727F9" w:rsidRPr="00036775">
        <w:rPr>
          <w:rFonts w:asciiTheme="minorHAnsi" w:hAnsiTheme="minorHAnsi"/>
        </w:rPr>
        <w:t xml:space="preserve">also be </w:t>
      </w:r>
      <w:r w:rsidR="00562C46" w:rsidRPr="00036775">
        <w:rPr>
          <w:rFonts w:asciiTheme="minorHAnsi" w:hAnsiTheme="minorHAnsi"/>
        </w:rPr>
        <w:t xml:space="preserve">prepared </w:t>
      </w:r>
      <w:r w:rsidR="009A7F73" w:rsidRPr="00036775">
        <w:rPr>
          <w:rFonts w:asciiTheme="minorHAnsi" w:hAnsiTheme="minorHAnsi"/>
        </w:rPr>
        <w:t xml:space="preserve">for submission to a peer reviewed economics journal.   </w:t>
      </w:r>
      <w:r w:rsidR="00492D8E" w:rsidRPr="00492D8E">
        <w:rPr>
          <w:rFonts w:asciiTheme="minorHAnsi" w:hAnsiTheme="minorHAnsi"/>
        </w:rPr>
        <w:t xml:space="preserve">The data will be presented in a usable format to use as a reference for designing cost effective and functional management applications. </w:t>
      </w:r>
      <w:r w:rsidR="00DD4841" w:rsidRPr="00036775">
        <w:rPr>
          <w:rFonts w:asciiTheme="minorHAnsi" w:hAnsiTheme="minorHAnsi"/>
        </w:rPr>
        <w:t xml:space="preserve"> </w:t>
      </w:r>
    </w:p>
    <w:p w14:paraId="3243400E" w14:textId="77777777" w:rsidR="00342CC5" w:rsidRPr="00036775" w:rsidRDefault="00342CC5" w:rsidP="001A3579">
      <w:pPr>
        <w:pStyle w:val="NoSpacing"/>
        <w:spacing w:line="276" w:lineRule="auto"/>
        <w:rPr>
          <w:rFonts w:asciiTheme="minorHAnsi" w:hAnsiTheme="minorHAnsi"/>
        </w:rPr>
      </w:pPr>
    </w:p>
    <w:p w14:paraId="58FD2C8E" w14:textId="77777777" w:rsidR="00532CDE" w:rsidRPr="00036775" w:rsidRDefault="00532CDE" w:rsidP="001A3579">
      <w:pPr>
        <w:pStyle w:val="NoSpacing"/>
        <w:spacing w:line="276" w:lineRule="auto"/>
        <w:rPr>
          <w:rFonts w:asciiTheme="minorHAnsi" w:hAnsiTheme="minorHAnsi"/>
        </w:rPr>
      </w:pPr>
      <w:r w:rsidRPr="00036775">
        <w:rPr>
          <w:rFonts w:asciiTheme="minorHAnsi" w:hAnsiTheme="minorHAnsi"/>
        </w:rPr>
        <w:t xml:space="preserve">The table below presents a time schedule for this surveying effort.  </w:t>
      </w:r>
    </w:p>
    <w:p w14:paraId="03A32AC4" w14:textId="77777777" w:rsidR="007966BE" w:rsidRPr="00036775" w:rsidRDefault="007966BE" w:rsidP="001A3579">
      <w:pPr>
        <w:pStyle w:val="NoSpacing"/>
        <w:spacing w:line="276" w:lineRule="auto"/>
        <w:rPr>
          <w:rFonts w:asciiTheme="minorHAnsi" w:hAnsiTheme="minorHAnsi"/>
        </w:r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40"/>
        <w:gridCol w:w="2790"/>
        <w:gridCol w:w="360"/>
        <w:gridCol w:w="2790"/>
      </w:tblGrid>
      <w:tr w:rsidR="00532CDE" w:rsidRPr="00036775" w14:paraId="714BEF5D" w14:textId="77777777" w:rsidTr="00BF33B4">
        <w:tc>
          <w:tcPr>
            <w:tcW w:w="3240" w:type="dxa"/>
            <w:tcBorders>
              <w:top w:val="single" w:sz="4" w:space="0" w:color="auto"/>
              <w:bottom w:val="single" w:sz="4" w:space="0" w:color="auto"/>
              <w:right w:val="single" w:sz="4" w:space="0" w:color="auto"/>
            </w:tcBorders>
          </w:tcPr>
          <w:p w14:paraId="25AC5940" w14:textId="77777777" w:rsidR="00532CDE" w:rsidRPr="00036775" w:rsidRDefault="00532CDE" w:rsidP="001A3579">
            <w:pPr>
              <w:pStyle w:val="NoSpacing"/>
              <w:spacing w:line="276" w:lineRule="auto"/>
              <w:rPr>
                <w:rFonts w:asciiTheme="minorHAnsi" w:hAnsiTheme="minorHAnsi"/>
                <w:sz w:val="20"/>
              </w:rPr>
            </w:pPr>
          </w:p>
        </w:tc>
        <w:tc>
          <w:tcPr>
            <w:tcW w:w="2790" w:type="dxa"/>
            <w:tcBorders>
              <w:top w:val="single" w:sz="4" w:space="0" w:color="auto"/>
              <w:left w:val="single" w:sz="4" w:space="0" w:color="auto"/>
              <w:bottom w:val="single" w:sz="4" w:space="0" w:color="auto"/>
            </w:tcBorders>
          </w:tcPr>
          <w:p w14:paraId="5FE8C0FE" w14:textId="77777777" w:rsidR="00532CDE" w:rsidRPr="00036775" w:rsidRDefault="00532CDE" w:rsidP="00BF33B4">
            <w:pPr>
              <w:pStyle w:val="NoSpacing"/>
              <w:spacing w:line="276" w:lineRule="auto"/>
              <w:jc w:val="center"/>
              <w:rPr>
                <w:rFonts w:asciiTheme="minorHAnsi" w:hAnsiTheme="minorHAnsi"/>
                <w:b/>
              </w:rPr>
            </w:pPr>
            <w:r w:rsidRPr="00036775">
              <w:rPr>
                <w:rFonts w:asciiTheme="minorHAnsi" w:hAnsiTheme="minorHAnsi"/>
                <w:b/>
              </w:rPr>
              <w:t>Begins</w:t>
            </w:r>
          </w:p>
        </w:tc>
        <w:tc>
          <w:tcPr>
            <w:tcW w:w="3150" w:type="dxa"/>
            <w:gridSpan w:val="2"/>
            <w:tcBorders>
              <w:top w:val="single" w:sz="4" w:space="0" w:color="auto"/>
              <w:bottom w:val="single" w:sz="4" w:space="0" w:color="auto"/>
            </w:tcBorders>
          </w:tcPr>
          <w:p w14:paraId="7F40BAD1" w14:textId="77777777" w:rsidR="00532CDE" w:rsidRPr="00036775" w:rsidRDefault="00532CDE" w:rsidP="00BF33B4">
            <w:pPr>
              <w:pStyle w:val="NoSpacing"/>
              <w:spacing w:line="276" w:lineRule="auto"/>
              <w:jc w:val="center"/>
              <w:rPr>
                <w:rFonts w:asciiTheme="minorHAnsi" w:hAnsiTheme="minorHAnsi"/>
                <w:b/>
              </w:rPr>
            </w:pPr>
            <w:r w:rsidRPr="00036775">
              <w:rPr>
                <w:rFonts w:asciiTheme="minorHAnsi" w:hAnsiTheme="minorHAnsi"/>
                <w:b/>
              </w:rPr>
              <w:t>Ends</w:t>
            </w:r>
          </w:p>
        </w:tc>
      </w:tr>
      <w:tr w:rsidR="00532CDE" w:rsidRPr="00036775" w14:paraId="2883C015" w14:textId="77777777" w:rsidTr="00BF33B4">
        <w:trPr>
          <w:trHeight w:val="728"/>
        </w:trPr>
        <w:tc>
          <w:tcPr>
            <w:tcW w:w="3240" w:type="dxa"/>
            <w:tcBorders>
              <w:top w:val="single" w:sz="4" w:space="0" w:color="auto"/>
              <w:right w:val="single" w:sz="4" w:space="0" w:color="auto"/>
            </w:tcBorders>
          </w:tcPr>
          <w:p w14:paraId="092AC457" w14:textId="77777777" w:rsidR="00532CDE" w:rsidRPr="00036775" w:rsidRDefault="00532CDE" w:rsidP="001A3579">
            <w:pPr>
              <w:pStyle w:val="NoSpacing"/>
              <w:spacing w:line="276" w:lineRule="auto"/>
              <w:rPr>
                <w:rFonts w:asciiTheme="minorHAnsi" w:hAnsiTheme="minorHAnsi"/>
                <w:sz w:val="20"/>
                <w:szCs w:val="20"/>
              </w:rPr>
            </w:pPr>
            <w:r w:rsidRPr="00036775">
              <w:rPr>
                <w:rFonts w:asciiTheme="minorHAnsi" w:hAnsiTheme="minorHAnsi"/>
                <w:sz w:val="20"/>
                <w:szCs w:val="20"/>
              </w:rPr>
              <w:t>Survey Information Collection</w:t>
            </w:r>
          </w:p>
        </w:tc>
        <w:tc>
          <w:tcPr>
            <w:tcW w:w="3150" w:type="dxa"/>
            <w:gridSpan w:val="2"/>
            <w:tcBorders>
              <w:top w:val="single" w:sz="4" w:space="0" w:color="auto"/>
              <w:left w:val="single" w:sz="4" w:space="0" w:color="auto"/>
            </w:tcBorders>
          </w:tcPr>
          <w:p w14:paraId="48BAF354" w14:textId="77777777" w:rsidR="00532CDE" w:rsidRPr="00036775" w:rsidRDefault="00492D8E" w:rsidP="001A3579">
            <w:pPr>
              <w:pStyle w:val="NoSpacing"/>
              <w:spacing w:line="276" w:lineRule="auto"/>
              <w:rPr>
                <w:rFonts w:asciiTheme="minorHAnsi" w:hAnsiTheme="minorHAnsi"/>
                <w:sz w:val="20"/>
                <w:szCs w:val="20"/>
              </w:rPr>
            </w:pPr>
            <w:r>
              <w:rPr>
                <w:rFonts w:asciiTheme="minorHAnsi" w:hAnsiTheme="minorHAnsi"/>
                <w:sz w:val="20"/>
                <w:szCs w:val="20"/>
              </w:rPr>
              <w:t>April 1, 2015</w:t>
            </w:r>
          </w:p>
        </w:tc>
        <w:tc>
          <w:tcPr>
            <w:tcW w:w="2790" w:type="dxa"/>
            <w:tcBorders>
              <w:top w:val="single" w:sz="4" w:space="0" w:color="auto"/>
            </w:tcBorders>
          </w:tcPr>
          <w:p w14:paraId="4715C06C" w14:textId="77777777" w:rsidR="00532CDE" w:rsidRPr="00036775" w:rsidRDefault="00492D8E" w:rsidP="001A3579">
            <w:pPr>
              <w:pStyle w:val="NoSpacing"/>
              <w:spacing w:line="276" w:lineRule="auto"/>
              <w:rPr>
                <w:rFonts w:asciiTheme="minorHAnsi" w:hAnsiTheme="minorHAnsi"/>
                <w:sz w:val="20"/>
                <w:szCs w:val="20"/>
              </w:rPr>
            </w:pPr>
            <w:r>
              <w:rPr>
                <w:rFonts w:asciiTheme="minorHAnsi" w:hAnsiTheme="minorHAnsi"/>
                <w:sz w:val="20"/>
                <w:szCs w:val="20"/>
              </w:rPr>
              <w:t>May 30, 2016</w:t>
            </w:r>
          </w:p>
        </w:tc>
      </w:tr>
      <w:tr w:rsidR="00532CDE" w:rsidRPr="00036775" w14:paraId="124D27EF" w14:textId="77777777" w:rsidTr="00BF33B4">
        <w:trPr>
          <w:trHeight w:val="477"/>
        </w:trPr>
        <w:tc>
          <w:tcPr>
            <w:tcW w:w="3240" w:type="dxa"/>
            <w:tcBorders>
              <w:right w:val="single" w:sz="4" w:space="0" w:color="auto"/>
            </w:tcBorders>
          </w:tcPr>
          <w:p w14:paraId="616CBF17" w14:textId="77777777" w:rsidR="00532CDE" w:rsidRPr="00036775" w:rsidRDefault="00532CDE" w:rsidP="001A3579">
            <w:pPr>
              <w:pStyle w:val="NoSpacing"/>
              <w:spacing w:line="276" w:lineRule="auto"/>
              <w:rPr>
                <w:rFonts w:asciiTheme="minorHAnsi" w:hAnsiTheme="minorHAnsi"/>
                <w:sz w:val="20"/>
                <w:szCs w:val="20"/>
              </w:rPr>
            </w:pPr>
            <w:r w:rsidRPr="00036775">
              <w:rPr>
                <w:rFonts w:asciiTheme="minorHAnsi" w:hAnsiTheme="minorHAnsi"/>
                <w:sz w:val="20"/>
                <w:szCs w:val="20"/>
              </w:rPr>
              <w:t>Data Analysis</w:t>
            </w:r>
          </w:p>
        </w:tc>
        <w:tc>
          <w:tcPr>
            <w:tcW w:w="3150" w:type="dxa"/>
            <w:gridSpan w:val="2"/>
            <w:tcBorders>
              <w:left w:val="single" w:sz="4" w:space="0" w:color="auto"/>
            </w:tcBorders>
          </w:tcPr>
          <w:p w14:paraId="23EBD0EA" w14:textId="3BE658C7" w:rsidR="00532CDE" w:rsidRPr="00036775" w:rsidRDefault="00942D12" w:rsidP="001A3579">
            <w:pPr>
              <w:pStyle w:val="NoSpacing"/>
              <w:spacing w:line="276" w:lineRule="auto"/>
              <w:rPr>
                <w:rFonts w:asciiTheme="minorHAnsi" w:hAnsiTheme="minorHAnsi"/>
                <w:sz w:val="20"/>
                <w:szCs w:val="20"/>
              </w:rPr>
            </w:pPr>
            <w:r>
              <w:rPr>
                <w:rFonts w:asciiTheme="minorHAnsi" w:hAnsiTheme="minorHAnsi"/>
                <w:sz w:val="20"/>
                <w:szCs w:val="20"/>
              </w:rPr>
              <w:t xml:space="preserve">September </w:t>
            </w:r>
            <w:r w:rsidR="00492D8E">
              <w:rPr>
                <w:rFonts w:asciiTheme="minorHAnsi" w:hAnsiTheme="minorHAnsi"/>
                <w:sz w:val="20"/>
                <w:szCs w:val="20"/>
              </w:rPr>
              <w:t>2015</w:t>
            </w:r>
          </w:p>
        </w:tc>
        <w:tc>
          <w:tcPr>
            <w:tcW w:w="2790" w:type="dxa"/>
          </w:tcPr>
          <w:p w14:paraId="28BA68A4" w14:textId="77777777" w:rsidR="00532CDE" w:rsidRPr="00036775" w:rsidRDefault="00492D8E" w:rsidP="001A3579">
            <w:pPr>
              <w:pStyle w:val="NoSpacing"/>
              <w:spacing w:line="276" w:lineRule="auto"/>
              <w:rPr>
                <w:rFonts w:asciiTheme="minorHAnsi" w:hAnsiTheme="minorHAnsi"/>
                <w:sz w:val="20"/>
                <w:szCs w:val="20"/>
              </w:rPr>
            </w:pPr>
            <w:r>
              <w:rPr>
                <w:rFonts w:asciiTheme="minorHAnsi" w:hAnsiTheme="minorHAnsi"/>
                <w:sz w:val="20"/>
                <w:szCs w:val="20"/>
              </w:rPr>
              <w:t>November 2016</w:t>
            </w:r>
          </w:p>
        </w:tc>
      </w:tr>
      <w:tr w:rsidR="00532CDE" w:rsidRPr="00036775" w14:paraId="63A389A2" w14:textId="77777777" w:rsidTr="00BF33B4">
        <w:trPr>
          <w:trHeight w:val="396"/>
        </w:trPr>
        <w:tc>
          <w:tcPr>
            <w:tcW w:w="3240" w:type="dxa"/>
            <w:tcBorders>
              <w:bottom w:val="single" w:sz="4" w:space="0" w:color="auto"/>
              <w:right w:val="single" w:sz="4" w:space="0" w:color="auto"/>
            </w:tcBorders>
          </w:tcPr>
          <w:p w14:paraId="3501B2D3" w14:textId="77777777" w:rsidR="00532CDE" w:rsidRPr="00036775" w:rsidRDefault="00532CDE" w:rsidP="001A3579">
            <w:pPr>
              <w:pStyle w:val="NoSpacing"/>
              <w:spacing w:line="276" w:lineRule="auto"/>
              <w:rPr>
                <w:rFonts w:asciiTheme="minorHAnsi" w:hAnsiTheme="minorHAnsi"/>
                <w:sz w:val="20"/>
                <w:szCs w:val="20"/>
              </w:rPr>
            </w:pPr>
            <w:r w:rsidRPr="00036775">
              <w:rPr>
                <w:rFonts w:asciiTheme="minorHAnsi" w:hAnsiTheme="minorHAnsi"/>
                <w:sz w:val="20"/>
                <w:szCs w:val="20"/>
              </w:rPr>
              <w:t>Report Preparation and Publication</w:t>
            </w:r>
          </w:p>
        </w:tc>
        <w:tc>
          <w:tcPr>
            <w:tcW w:w="3150" w:type="dxa"/>
            <w:gridSpan w:val="2"/>
            <w:tcBorders>
              <w:left w:val="single" w:sz="4" w:space="0" w:color="auto"/>
              <w:bottom w:val="single" w:sz="4" w:space="0" w:color="auto"/>
            </w:tcBorders>
          </w:tcPr>
          <w:p w14:paraId="1D360892" w14:textId="77777777" w:rsidR="00532CDE" w:rsidRPr="00036775" w:rsidRDefault="00492D8E" w:rsidP="001A3579">
            <w:pPr>
              <w:pStyle w:val="NoSpacing"/>
              <w:spacing w:line="276" w:lineRule="auto"/>
              <w:rPr>
                <w:rFonts w:asciiTheme="minorHAnsi" w:hAnsiTheme="minorHAnsi"/>
                <w:sz w:val="20"/>
                <w:szCs w:val="20"/>
              </w:rPr>
            </w:pPr>
            <w:r>
              <w:rPr>
                <w:rFonts w:asciiTheme="minorHAnsi" w:hAnsiTheme="minorHAnsi"/>
                <w:sz w:val="20"/>
                <w:szCs w:val="20"/>
              </w:rPr>
              <w:t>December 2016</w:t>
            </w:r>
          </w:p>
        </w:tc>
        <w:tc>
          <w:tcPr>
            <w:tcW w:w="2790" w:type="dxa"/>
            <w:tcBorders>
              <w:bottom w:val="single" w:sz="4" w:space="0" w:color="auto"/>
            </w:tcBorders>
          </w:tcPr>
          <w:p w14:paraId="3CF37A31" w14:textId="77777777" w:rsidR="00532CDE" w:rsidRPr="00036775" w:rsidRDefault="00532CDE" w:rsidP="001A3579">
            <w:pPr>
              <w:pStyle w:val="NoSpacing"/>
              <w:spacing w:line="276" w:lineRule="auto"/>
              <w:rPr>
                <w:rFonts w:asciiTheme="minorHAnsi" w:hAnsiTheme="minorHAnsi"/>
                <w:sz w:val="20"/>
                <w:szCs w:val="20"/>
              </w:rPr>
            </w:pPr>
            <w:r w:rsidRPr="00036775">
              <w:rPr>
                <w:rFonts w:asciiTheme="minorHAnsi" w:hAnsiTheme="minorHAnsi"/>
                <w:sz w:val="20"/>
                <w:szCs w:val="20"/>
              </w:rPr>
              <w:t>+3 months</w:t>
            </w:r>
          </w:p>
        </w:tc>
      </w:tr>
    </w:tbl>
    <w:p w14:paraId="13E3F1E8" w14:textId="77777777" w:rsidR="00E15F1D" w:rsidRPr="00036775" w:rsidRDefault="00E15F1D" w:rsidP="001A3579">
      <w:pPr>
        <w:pStyle w:val="NoSpacing"/>
        <w:spacing w:line="276" w:lineRule="auto"/>
        <w:rPr>
          <w:rFonts w:asciiTheme="minorHAnsi" w:hAnsiTheme="minorHAnsi"/>
        </w:rPr>
      </w:pPr>
    </w:p>
    <w:p w14:paraId="2AC413E5" w14:textId="77777777" w:rsidR="009A7F73" w:rsidRPr="00036775" w:rsidRDefault="00C1055A" w:rsidP="001A3579">
      <w:pPr>
        <w:pStyle w:val="NoSpacing"/>
        <w:spacing w:line="276" w:lineRule="auto"/>
        <w:ind w:left="360" w:hanging="360"/>
        <w:rPr>
          <w:rFonts w:asciiTheme="minorHAnsi" w:hAnsiTheme="minorHAnsi"/>
          <w:b/>
        </w:rPr>
      </w:pPr>
      <w:r w:rsidRPr="00036775">
        <w:rPr>
          <w:rFonts w:asciiTheme="minorHAnsi" w:hAnsiTheme="minorHAnsi"/>
          <w:b/>
        </w:rPr>
        <w:lastRenderedPageBreak/>
        <w:t>17.</w:t>
      </w:r>
      <w:r w:rsidRPr="00036775">
        <w:rPr>
          <w:rFonts w:asciiTheme="minorHAnsi" w:hAnsiTheme="minorHAnsi"/>
          <w:b/>
        </w:rPr>
        <w:tab/>
      </w:r>
      <w:r w:rsidR="009A7F73" w:rsidRPr="00036775">
        <w:rPr>
          <w:rFonts w:asciiTheme="minorHAnsi" w:hAnsiTheme="minorHAnsi"/>
          <w:b/>
        </w:rPr>
        <w:t xml:space="preserve">If seeking approval to not display the expiration date for OMB approval of the information collection, explain the reasons that display would be inappropriate. </w:t>
      </w:r>
    </w:p>
    <w:p w14:paraId="3F3BFE06" w14:textId="77777777" w:rsidR="00C1055A" w:rsidRPr="00036775" w:rsidRDefault="00C1055A" w:rsidP="001A3579">
      <w:pPr>
        <w:pStyle w:val="NoSpacing"/>
        <w:spacing w:line="276" w:lineRule="auto"/>
        <w:ind w:left="360" w:hanging="360"/>
        <w:rPr>
          <w:rFonts w:asciiTheme="minorHAnsi" w:hAnsiTheme="minorHAnsi"/>
          <w:b/>
        </w:rPr>
      </w:pPr>
    </w:p>
    <w:p w14:paraId="7B8D111B" w14:textId="77777777" w:rsidR="009A7F73" w:rsidRPr="00036775" w:rsidRDefault="00EC3AED" w:rsidP="001A3579">
      <w:pPr>
        <w:pStyle w:val="NoSpacing"/>
        <w:spacing w:line="276" w:lineRule="auto"/>
        <w:rPr>
          <w:rFonts w:asciiTheme="minorHAnsi" w:hAnsiTheme="minorHAnsi"/>
        </w:rPr>
      </w:pPr>
      <w:r w:rsidRPr="00036775">
        <w:rPr>
          <w:rFonts w:asciiTheme="minorHAnsi" w:hAnsiTheme="minorHAnsi" w:cs="Calibri"/>
          <w:color w:val="000000"/>
        </w:rPr>
        <w:t>We will display the OMB control number and expiration date on the information collection instruments</w:t>
      </w:r>
      <w:r w:rsidRPr="00036775">
        <w:rPr>
          <w:rFonts w:asciiTheme="minorHAnsi" w:hAnsiTheme="minorHAnsi"/>
        </w:rPr>
        <w:t xml:space="preserve"> associated with this submission</w:t>
      </w:r>
      <w:r w:rsidR="009A7F73" w:rsidRPr="00036775">
        <w:rPr>
          <w:rFonts w:asciiTheme="minorHAnsi" w:hAnsiTheme="minorHAnsi"/>
        </w:rPr>
        <w:t>.</w:t>
      </w:r>
    </w:p>
    <w:p w14:paraId="6DD62C58" w14:textId="77777777" w:rsidR="00C1055A" w:rsidRPr="00036775" w:rsidRDefault="00C1055A" w:rsidP="001A3579">
      <w:pPr>
        <w:pStyle w:val="NoSpacing"/>
        <w:spacing w:line="276" w:lineRule="auto"/>
        <w:rPr>
          <w:rFonts w:asciiTheme="minorHAnsi" w:hAnsiTheme="minorHAnsi"/>
        </w:rPr>
      </w:pPr>
    </w:p>
    <w:p w14:paraId="4C702FC4" w14:textId="77777777" w:rsidR="00C1055A" w:rsidRPr="00036775" w:rsidRDefault="009A7F73" w:rsidP="001A3579">
      <w:pPr>
        <w:pStyle w:val="NoSpacing"/>
        <w:spacing w:line="276" w:lineRule="auto"/>
        <w:ind w:left="360" w:hanging="360"/>
        <w:rPr>
          <w:rFonts w:asciiTheme="minorHAnsi" w:hAnsiTheme="minorHAnsi"/>
          <w:b/>
        </w:rPr>
      </w:pPr>
      <w:r w:rsidRPr="00036775">
        <w:rPr>
          <w:rFonts w:asciiTheme="minorHAnsi" w:hAnsiTheme="minorHAnsi"/>
          <w:b/>
        </w:rPr>
        <w:t>18</w:t>
      </w:r>
      <w:r w:rsidR="00C1055A" w:rsidRPr="00036775">
        <w:rPr>
          <w:rFonts w:asciiTheme="minorHAnsi" w:hAnsiTheme="minorHAnsi"/>
          <w:b/>
        </w:rPr>
        <w:t>.</w:t>
      </w:r>
      <w:r w:rsidR="00C1055A" w:rsidRPr="00036775">
        <w:rPr>
          <w:rFonts w:asciiTheme="minorHAnsi" w:hAnsiTheme="minorHAnsi" w:cs="Calibri"/>
          <w:b/>
        </w:rPr>
        <w:tab/>
      </w:r>
      <w:r w:rsidR="00C1055A" w:rsidRPr="00036775">
        <w:rPr>
          <w:rFonts w:asciiTheme="minorHAnsi" w:hAnsiTheme="minorHAnsi"/>
          <w:b/>
        </w:rPr>
        <w:t>Explain each exception to the topics of the certification statement identified in "Certification for Paperwork Reduction Act Submissions."</w:t>
      </w:r>
    </w:p>
    <w:p w14:paraId="06E55F87" w14:textId="77777777" w:rsidR="00C1055A" w:rsidRPr="00036775" w:rsidRDefault="00C1055A" w:rsidP="001A3579">
      <w:pPr>
        <w:pStyle w:val="NoSpacing"/>
        <w:spacing w:line="276" w:lineRule="auto"/>
        <w:ind w:left="360" w:hanging="360"/>
        <w:rPr>
          <w:rFonts w:asciiTheme="minorHAnsi" w:hAnsiTheme="minorHAnsi"/>
          <w:b/>
        </w:rPr>
      </w:pPr>
    </w:p>
    <w:p w14:paraId="288E720C" w14:textId="77777777" w:rsidR="0051619E" w:rsidRDefault="009A7F73" w:rsidP="00062C74">
      <w:pPr>
        <w:pStyle w:val="NoSpacing"/>
        <w:spacing w:line="276" w:lineRule="auto"/>
        <w:rPr>
          <w:rFonts w:asciiTheme="minorHAnsi" w:hAnsiTheme="minorHAnsi"/>
        </w:rPr>
      </w:pPr>
      <w:r w:rsidRPr="00036775">
        <w:rPr>
          <w:rFonts w:asciiTheme="minorHAnsi" w:hAnsiTheme="minorHAnsi"/>
        </w:rPr>
        <w:t xml:space="preserve">There are no exceptions </w:t>
      </w:r>
      <w:r w:rsidR="00062C74" w:rsidRPr="00036775">
        <w:rPr>
          <w:rFonts w:asciiTheme="minorHAnsi" w:hAnsiTheme="minorHAnsi"/>
        </w:rPr>
        <w:t>to the certification statement.</w:t>
      </w:r>
    </w:p>
    <w:p w14:paraId="095FE5C4" w14:textId="3EFE4DDF" w:rsidR="00D52387" w:rsidRDefault="00D52387">
      <w:pPr>
        <w:spacing w:after="0" w:line="240" w:lineRule="auto"/>
        <w:rPr>
          <w:rFonts w:asciiTheme="minorHAnsi" w:hAnsiTheme="minorHAnsi"/>
        </w:rPr>
      </w:pPr>
      <w:r>
        <w:rPr>
          <w:rFonts w:asciiTheme="minorHAnsi" w:hAnsiTheme="minorHAnsi"/>
        </w:rPr>
        <w:br w:type="page"/>
      </w:r>
    </w:p>
    <w:p w14:paraId="6B5BF172"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8"/>
          <w:szCs w:val="28"/>
        </w:rPr>
      </w:pPr>
      <w:r w:rsidRPr="00942D12">
        <w:rPr>
          <w:rFonts w:ascii="Times New Roman" w:eastAsiaTheme="minorHAnsi" w:hAnsi="Times New Roman"/>
          <w:b/>
          <w:sz w:val="28"/>
          <w:szCs w:val="28"/>
        </w:rPr>
        <w:lastRenderedPageBreak/>
        <w:t>Attachment A</w:t>
      </w:r>
    </w:p>
    <w:p w14:paraId="414A9AC0"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0"/>
          <w:szCs w:val="18"/>
        </w:rPr>
      </w:pPr>
    </w:p>
    <w:p w14:paraId="661F86A6" w14:textId="71B8F1B7" w:rsidR="00942D12" w:rsidRPr="00942D12" w:rsidRDefault="00B80743" w:rsidP="00B80743">
      <w:pPr>
        <w:autoSpaceDE w:val="0"/>
        <w:autoSpaceDN w:val="0"/>
        <w:adjustRightInd w:val="0"/>
        <w:spacing w:after="0" w:line="240" w:lineRule="auto"/>
        <w:jc w:val="center"/>
        <w:rPr>
          <w:rFonts w:ascii="Times New Roman" w:eastAsiaTheme="minorHAnsi" w:hAnsi="Times New Roman"/>
          <w:b/>
          <w:sz w:val="24"/>
          <w:szCs w:val="24"/>
          <w:u w:val="single"/>
        </w:rPr>
      </w:pPr>
      <w:r>
        <w:rPr>
          <w:rFonts w:ascii="Times New Roman" w:eastAsiaTheme="minorHAnsi" w:hAnsi="Times New Roman"/>
          <w:b/>
          <w:sz w:val="24"/>
          <w:szCs w:val="24"/>
        </w:rPr>
        <w:t>Cover letter containing the Agency’s collective r</w:t>
      </w:r>
      <w:r w:rsidR="00942D12" w:rsidRPr="00942D12">
        <w:rPr>
          <w:rFonts w:ascii="Times New Roman" w:eastAsiaTheme="minorHAnsi" w:hAnsi="Times New Roman"/>
          <w:b/>
          <w:sz w:val="24"/>
          <w:szCs w:val="24"/>
        </w:rPr>
        <w:t xml:space="preserve">esponse to </w:t>
      </w:r>
      <w:r>
        <w:rPr>
          <w:rFonts w:ascii="Times New Roman" w:eastAsiaTheme="minorHAnsi" w:hAnsi="Times New Roman"/>
          <w:b/>
          <w:sz w:val="24"/>
          <w:szCs w:val="24"/>
        </w:rPr>
        <w:t xml:space="preserve">all </w:t>
      </w:r>
      <w:r w:rsidR="00942D12" w:rsidRPr="00942D12">
        <w:rPr>
          <w:rFonts w:ascii="Times New Roman" w:eastAsiaTheme="minorHAnsi" w:hAnsi="Times New Roman"/>
          <w:b/>
          <w:sz w:val="24"/>
          <w:szCs w:val="24"/>
        </w:rPr>
        <w:t xml:space="preserve">comments received </w:t>
      </w:r>
      <w:r>
        <w:rPr>
          <w:rFonts w:ascii="Times New Roman" w:eastAsiaTheme="minorHAnsi" w:hAnsi="Times New Roman"/>
          <w:b/>
          <w:sz w:val="24"/>
          <w:szCs w:val="24"/>
        </w:rPr>
        <w:t xml:space="preserve">concerning this </w:t>
      </w:r>
      <w:r w:rsidR="00942D12" w:rsidRPr="00942D12">
        <w:rPr>
          <w:rFonts w:ascii="Times New Roman" w:eastAsiaTheme="minorHAnsi" w:hAnsi="Times New Roman"/>
          <w:b/>
          <w:sz w:val="24"/>
          <w:szCs w:val="24"/>
        </w:rPr>
        <w:t>Information Collection Request</w:t>
      </w:r>
    </w:p>
    <w:p w14:paraId="627D7268"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4"/>
          <w:szCs w:val="24"/>
          <w:u w:val="single"/>
        </w:rPr>
      </w:pPr>
    </w:p>
    <w:p w14:paraId="019AF366"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4"/>
          <w:szCs w:val="24"/>
          <w:u w:val="single"/>
        </w:rPr>
      </w:pPr>
    </w:p>
    <w:p w14:paraId="30784DF2"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4"/>
          <w:szCs w:val="24"/>
          <w:u w:val="single"/>
        </w:rPr>
      </w:pPr>
      <w:r w:rsidRPr="00942D12">
        <w:rPr>
          <w:rFonts w:ascii="Times New Roman" w:eastAsiaTheme="minorHAnsi" w:hAnsi="Times New Roman"/>
          <w:b/>
          <w:sz w:val="24"/>
          <w:szCs w:val="24"/>
          <w:u w:val="single"/>
        </w:rPr>
        <w:t>The Study Description</w:t>
      </w:r>
    </w:p>
    <w:p w14:paraId="1253181B"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p>
    <w:p w14:paraId="12899598" w14:textId="788C0F84"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r w:rsidRPr="00942D12">
        <w:rPr>
          <w:rFonts w:ascii="Times New Roman" w:eastAsiaTheme="minorHAnsi" w:hAnsi="Times New Roman"/>
          <w:sz w:val="24"/>
          <w:szCs w:val="24"/>
        </w:rPr>
        <w:t xml:space="preserve">The proposed information collection is associated with a study entitled </w:t>
      </w:r>
      <w:r w:rsidRPr="00942D12">
        <w:rPr>
          <w:rFonts w:ascii="Times New Roman" w:eastAsiaTheme="minorHAnsi" w:hAnsi="Times New Roman"/>
          <w:sz w:val="24"/>
          <w:szCs w:val="24"/>
          <w:u w:val="single"/>
        </w:rPr>
        <w:t>A Survey of Direct Recreational Uses Along The Colorado River.</w:t>
      </w:r>
      <w:r w:rsidRPr="00942D12">
        <w:rPr>
          <w:rFonts w:ascii="Times New Roman" w:eastAsiaTheme="minorHAnsi" w:hAnsi="Times New Roman"/>
          <w:sz w:val="24"/>
          <w:szCs w:val="24"/>
        </w:rPr>
        <w:t xml:space="preserve">  This study is an academic research project originally funded by the NPS with current ongoing funding by the USGS GCMRC.  The study addresses theoretical and academic issues, and is separate and distinct from the on-going LTEMP process on the Colorado River.  The timeframe of the current collection is incompatible with the LTEMP process and the results of the current collection are not intended to inform the LTEMP.</w:t>
      </w:r>
    </w:p>
    <w:p w14:paraId="433C973D"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p>
    <w:p w14:paraId="0682C509" w14:textId="77777777" w:rsidR="00942D12" w:rsidRPr="00942D12" w:rsidRDefault="00942D12" w:rsidP="00942D12">
      <w:pPr>
        <w:autoSpaceDE w:val="0"/>
        <w:autoSpaceDN w:val="0"/>
        <w:adjustRightInd w:val="0"/>
        <w:spacing w:after="0" w:line="240" w:lineRule="auto"/>
        <w:rPr>
          <w:rFonts w:ascii="Times New Roman" w:eastAsiaTheme="minorHAnsi" w:hAnsi="Times New Roman"/>
          <w:b/>
          <w:sz w:val="24"/>
          <w:szCs w:val="24"/>
          <w:u w:val="single"/>
        </w:rPr>
      </w:pPr>
      <w:r w:rsidRPr="00942D12">
        <w:rPr>
          <w:rFonts w:ascii="Times New Roman" w:eastAsiaTheme="minorHAnsi" w:hAnsi="Times New Roman"/>
          <w:b/>
          <w:sz w:val="24"/>
          <w:szCs w:val="24"/>
          <w:u w:val="single"/>
        </w:rPr>
        <w:t>Study Timeline</w:t>
      </w:r>
    </w:p>
    <w:p w14:paraId="61CD992C"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p>
    <w:p w14:paraId="277A21F3"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r w:rsidRPr="00942D12">
        <w:rPr>
          <w:rFonts w:ascii="Times New Roman" w:eastAsiaTheme="minorHAnsi" w:hAnsi="Times New Roman"/>
          <w:sz w:val="24"/>
          <w:szCs w:val="24"/>
        </w:rPr>
        <w:t xml:space="preserve">Substantial work was accomplished on the current IC design in 2011 under funding by NPS.  As noted below, extensive consultation and comment solicitation was completed in August 2011 with the Survey Instrument ad hoc Group (SIAHG), a subgroup to the Technical Workgroup.  Following the this consultation and response to the comments of SIAHG in 2011, funding for the project was exhausted, and no work was performed or modifications made to the survey until following the resumption of funding under GCMRC, and solicitation of comments under the August 26, 2014 60-day FR notice.  </w:t>
      </w:r>
    </w:p>
    <w:p w14:paraId="13752F83"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p>
    <w:p w14:paraId="11AC6BF7"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r w:rsidRPr="00942D12">
        <w:rPr>
          <w:rFonts w:ascii="Times New Roman" w:eastAsiaTheme="minorHAnsi" w:hAnsi="Times New Roman"/>
          <w:sz w:val="24"/>
          <w:szCs w:val="24"/>
        </w:rPr>
        <w:t>On August 26, 2014 a 60-day Federal Register notice (FRN) of proposed information collection (IC) for the recreational use study was published.</w:t>
      </w:r>
      <w:r w:rsidRPr="00942D12">
        <w:rPr>
          <w:rFonts w:ascii="Times New Roman" w:eastAsiaTheme="minorHAnsi" w:hAnsi="Times New Roman"/>
          <w:sz w:val="24"/>
          <w:szCs w:val="24"/>
          <w:vertAlign w:val="superscript"/>
        </w:rPr>
        <w:footnoteReference w:id="2"/>
      </w:r>
      <w:r w:rsidRPr="00942D12">
        <w:rPr>
          <w:rFonts w:ascii="Times New Roman" w:eastAsiaTheme="minorHAnsi" w:hAnsi="Times New Roman"/>
          <w:sz w:val="24"/>
          <w:szCs w:val="24"/>
        </w:rPr>
        <w:t xml:space="preserve"> The intent of this notice was to invite comments concerning the necessity, burden estimate and ways to enhance or streamline the IC.  The Grand Canyon Monitoring and Research Center’s response to FRN (8/26/201) comments are included below. </w:t>
      </w:r>
    </w:p>
    <w:p w14:paraId="1EB69F20"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p>
    <w:p w14:paraId="5F035189" w14:textId="303C39A8" w:rsidR="00942D12" w:rsidRPr="00942D12" w:rsidRDefault="00942D12" w:rsidP="00942D12">
      <w:pPr>
        <w:autoSpaceDE w:val="0"/>
        <w:autoSpaceDN w:val="0"/>
        <w:adjustRightInd w:val="0"/>
        <w:spacing w:after="0" w:line="240" w:lineRule="auto"/>
        <w:rPr>
          <w:rFonts w:ascii="Times New Roman" w:eastAsiaTheme="minorHAnsi" w:hAnsi="Times New Roman"/>
          <w:sz w:val="24"/>
          <w:szCs w:val="24"/>
        </w:rPr>
      </w:pPr>
      <w:r w:rsidRPr="00942D12">
        <w:rPr>
          <w:rFonts w:ascii="Times New Roman" w:eastAsiaTheme="minorHAnsi" w:hAnsi="Times New Roman"/>
          <w:sz w:val="24"/>
          <w:szCs w:val="24"/>
        </w:rPr>
        <w:t>The Survey Instrument ad hoc Group (SIHAG), a subgroup to the Technical Workgroup, reviewed the recreational use study surveys in 2011. The SIAHG’s report and recommendations were reviewed and considered by the Adaptive Management Workgroup on August 24-25, 2011. At that time, the NPS also reviewed and considered the SIAHG’s recommendations. GCMRC’s response to the SIAHG’s recommendations is included below. The survey instruments also received review from economists and other technical staff at the Bureau of Reclamation, NPS and GCMRC. Survey instruments are available for public review, concurrent with OMB review, as part of the second notice in the Federal Register</w:t>
      </w:r>
    </w:p>
    <w:p w14:paraId="1D5BD67A"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20"/>
          <w:szCs w:val="18"/>
        </w:rPr>
      </w:pPr>
    </w:p>
    <w:p w14:paraId="673FDAC3" w14:textId="77777777" w:rsidR="00942D12" w:rsidRPr="00942D12" w:rsidRDefault="00942D12" w:rsidP="00942D12">
      <w:pPr>
        <w:autoSpaceDE w:val="0"/>
        <w:autoSpaceDN w:val="0"/>
        <w:adjustRightInd w:val="0"/>
        <w:spacing w:after="0" w:line="240" w:lineRule="auto"/>
        <w:rPr>
          <w:rFonts w:ascii="Times New Roman" w:eastAsiaTheme="minorHAnsi" w:hAnsi="Times New Roman"/>
          <w:sz w:val="18"/>
          <w:szCs w:val="18"/>
        </w:rPr>
      </w:pPr>
    </w:p>
    <w:p w14:paraId="17B85FE1" w14:textId="77777777" w:rsidR="00942D12" w:rsidRPr="00942D12" w:rsidRDefault="00942D12" w:rsidP="00942D12">
      <w:pPr>
        <w:keepNext/>
        <w:keepLines/>
        <w:spacing w:before="480" w:after="0"/>
        <w:outlineLvl w:val="0"/>
        <w:rPr>
          <w:rFonts w:ascii="Times New Roman" w:eastAsiaTheme="majorEastAsia" w:hAnsi="Times New Roman"/>
          <w:b/>
          <w:bCs/>
          <w:i/>
          <w:color w:val="000000" w:themeColor="text1"/>
          <w:sz w:val="28"/>
          <w:szCs w:val="28"/>
        </w:rPr>
      </w:pPr>
      <w:r w:rsidRPr="00942D12">
        <w:rPr>
          <w:rFonts w:ascii="Times New Roman" w:eastAsiaTheme="majorEastAsia" w:hAnsi="Times New Roman"/>
          <w:b/>
          <w:bCs/>
          <w:color w:val="000000" w:themeColor="text1"/>
          <w:sz w:val="28"/>
          <w:szCs w:val="28"/>
        </w:rPr>
        <w:lastRenderedPageBreak/>
        <w:t>Section 1: Response to Public Comments Received during the Recreational Use Study 60-day Federal Register Notice (published on August 26, 2014)  (</w:t>
      </w:r>
      <w:r w:rsidRPr="00942D12">
        <w:rPr>
          <w:rFonts w:ascii="Times New Roman" w:eastAsiaTheme="majorEastAsia" w:hAnsi="Times New Roman"/>
          <w:b/>
          <w:bCs/>
          <w:i/>
          <w:color w:val="000000" w:themeColor="text1"/>
          <w:sz w:val="28"/>
          <w:szCs w:val="28"/>
        </w:rPr>
        <w:t>Responses shown in italics)</w:t>
      </w:r>
    </w:p>
    <w:p w14:paraId="174309F1" w14:textId="77777777" w:rsidR="00942D12" w:rsidRPr="00942D12" w:rsidRDefault="00942D12" w:rsidP="00942D12">
      <w:pPr>
        <w:rPr>
          <w:rFonts w:ascii="Times New Roman" w:eastAsiaTheme="minorHAnsi" w:hAnsi="Times New Roman"/>
          <w:b/>
        </w:rPr>
      </w:pPr>
    </w:p>
    <w:p w14:paraId="01E115CE"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u w:val="single"/>
        </w:rPr>
        <w:t>Letter from Upper Colorado River Commission (October 20, 2014)</w:t>
      </w:r>
    </w:p>
    <w:p w14:paraId="330E3C9B"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Comment 1: Duplication with other federal efforts and studies</w:t>
      </w:r>
    </w:p>
    <w:p w14:paraId="4437C5B3"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The proposed Recreational Use Study is not necessary and would be of little or no practical utility because it is duplicative of similar ongoing efforts and studies. </w:t>
      </w:r>
    </w:p>
    <w:p w14:paraId="2AA84822"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Not only would the proposed Recreational Use Study be duplicative in many respects, it could also undermine the ongoing efforts of the SEAHG, the LTEMP EIS, its cooperating agencies and stakeholders, and the Colorado River Total Value Survey, depending on how the recreational Use Survey would move forward. </w:t>
      </w:r>
    </w:p>
    <w:p w14:paraId="14E40D9B" w14:textId="77777777" w:rsidR="00942D12" w:rsidRP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The recreational use study is research detailed in Project 13 of the Glen Canyon Dam Adaptive Management Program Triennial Budget and Work Plan— Fiscal Years 2015–2017. The NPS is administering the OMB review. GCMRC is undertaking the research. There are no duplicative research efforts outside of GCMRC.</w:t>
      </w:r>
    </w:p>
    <w:p w14:paraId="0BEAB134"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Comment 2: Duplication with LTEMP EIS</w:t>
      </w:r>
    </w:p>
    <w:p w14:paraId="459CCCB7"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The LTEMP EIS process is examining the many resource values of the Colorado River below Glen Canyon Dam and will necessarily include a full economic analysis of those resources, including recreation uses. </w:t>
      </w:r>
    </w:p>
    <w:p w14:paraId="2B66647E" w14:textId="77777777" w:rsidR="00942D12" w:rsidRPr="00942D12" w:rsidRDefault="00942D12" w:rsidP="00942D12">
      <w:pPr>
        <w:ind w:left="720" w:right="720"/>
        <w:rPr>
          <w:rFonts w:ascii="Times New Roman" w:eastAsiaTheme="minorHAnsi" w:hAnsi="Times New Roman"/>
        </w:rPr>
      </w:pPr>
      <w:r w:rsidRPr="00942D12">
        <w:rPr>
          <w:rFonts w:ascii="Times New Roman" w:eastAsiaTheme="minorHAnsi" w:hAnsi="Times New Roman"/>
          <w:i/>
        </w:rPr>
        <w:t>Information from the recreational use study is not intended to be utilized in the LTEMP EIS due to incompatible project timelines. The recreation economics analysis in the LTEMP EIS is utilizing information from the Bishop et al. (1987) study. The recreational use study initiated by GCMRC is intended to update the Bishop et al. (1987) study.</w:t>
      </w:r>
    </w:p>
    <w:p w14:paraId="122A11B7"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Comment 3: Duplication with NPS’s “Colorado River Total Value” survey</w:t>
      </w:r>
    </w:p>
    <w:p w14:paraId="72F64815"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The SEAHG is overseeing preparation of a socio-economic study to determine the economic value of the Grand Canyon to society as a whole (non-use value) as well as its economic importance to the region.</w:t>
      </w:r>
    </w:p>
    <w:p w14:paraId="6D384D14"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The NPS recently submitted to OMB a request to conduct a “Colorado River Total Value Survey”, ostensibly to survey public values associated with the Colorado River in Grand Canyon, including recreational use of the river below Glen Canyon Dam.</w:t>
      </w:r>
    </w:p>
    <w:p w14:paraId="23F1F76C" w14:textId="77777777" w:rsid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 xml:space="preserve">The recreational use study will identify angler and whitewater floater preferences for trip attributes (e.g., beaches, crowding, safety), regional expenditures (e.g., lodging, retail purchases), and non-market direct use economic values. The “Colorado River Total Value”, or non-use, survey will not collect this detailed information regarding recreational use below GCD. </w:t>
      </w:r>
    </w:p>
    <w:p w14:paraId="5F1DFDBA" w14:textId="77777777" w:rsidR="00B80743" w:rsidRPr="00942D12" w:rsidRDefault="00B80743" w:rsidP="00942D12">
      <w:pPr>
        <w:ind w:left="720" w:right="720"/>
        <w:rPr>
          <w:rFonts w:ascii="Times New Roman" w:eastAsiaTheme="minorHAnsi" w:hAnsi="Times New Roman"/>
          <w:i/>
        </w:rPr>
      </w:pPr>
    </w:p>
    <w:p w14:paraId="14ADA727"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lastRenderedPageBreak/>
        <w:t>Comment 4: Recreational use study focus too narrow</w:t>
      </w:r>
    </w:p>
    <w:p w14:paraId="64F2507E"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rPr>
        <w:t>The Recreational Use Study would also lack any practical utility due to its narrow focus and oversimplification of a very complex issue.</w:t>
      </w:r>
    </w:p>
    <w:p w14:paraId="3F06DCFF" w14:textId="77777777" w:rsidR="00942D12" w:rsidRP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The recreational use study is consistent with the “Recommended Information Needs and Program Elements for a Proposed Socioeconomic Program”, approved by the AMWG on February 23, 2012. Recreation information needs RIN 1 and RIN 2 specify the need to identify total market (assumed regional expenditures) and non-market values of recreational uses of the Colorado River Ecosystem downstream from GCD, including angling in GCNRA below GCD and whitewater floating in GCNP. The information needs identified by the SEAHG collectively lead to better recourse management and decision making.</w:t>
      </w:r>
    </w:p>
    <w:p w14:paraId="0558F9B5"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Comment 5: Lack of GCDAMP stakeholder involvement</w:t>
      </w:r>
    </w:p>
    <w:p w14:paraId="41704AC7"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For these reasons [complex laws and components associated with the operation of Glen Canyon Dam], the UCRC recommends that all surveys involving the Grand Canyon and Glen Canyon Dam operations be fully coordinated with the GCDAMP, including all its stakeholders, in addition to the U.S. Geological Survey and the Grand Canyon Monitoring and Research Center. </w:t>
      </w:r>
    </w:p>
    <w:p w14:paraId="0BF18CB6"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To date, NPS has not consulted with or offered the GCDAMP or LTEMP EIS cooperators the opportunity to comment on any aspect of the proposed survey.</w:t>
      </w:r>
    </w:p>
    <w:p w14:paraId="4CAFE27B" w14:textId="77777777" w:rsidR="00942D12" w:rsidRP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 xml:space="preserve">The survey instruments were reviewed in 2011 by the Survey Instrument ad hoc Group (SIAHG), a sub group to the Technical Workgroup. The NPS and GCMRC reviewed SIAHG’s recommendations and made necessary minor changes to the surveys. </w:t>
      </w:r>
    </w:p>
    <w:p w14:paraId="129063A6"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u w:val="single"/>
        </w:rPr>
        <w:t>Letter from Colorado River Energy Distributors Association (October 24, 2014)</w:t>
      </w:r>
    </w:p>
    <w:p w14:paraId="484B9E69"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Comment 1: Duplication with NPS’s “Colorado River Total Value” survey</w:t>
      </w:r>
    </w:p>
    <w:p w14:paraId="18090A73"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Although the IC is indicated as being a new collection, the same OMB reference number (1024) is included in the two previous Federal Register notices. </w:t>
      </w:r>
    </w:p>
    <w:p w14:paraId="2DE28B43" w14:textId="77777777" w:rsidR="00942D12" w:rsidRP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 xml:space="preserve">The recreational use study is not related to the two Federal Register notices dated 9/23/13 and 7/9/14, concerning the NPS’s “Colorado River Total Value” survey. The recreational use study is a new collection and did not receive an OMB reference number. The first four numbers (1024) in the requested subject line reference to use in electronic communication have been assigned to all recent NPS information collection requests. It is the sequence of numbers that follow ‘1024’ that identify the OMB reference number. </w:t>
      </w:r>
    </w:p>
    <w:p w14:paraId="670546A1"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 xml:space="preserve">Comment 2: Request of survey instrument for review </w:t>
      </w:r>
    </w:p>
    <w:p w14:paraId="50737EA8"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In order to provide meaningful comments on this IC, CREDA requests a copy of the survey instrument(s), including supporting documentation, with sufficient time in advance of document submittal to the Office of Management and Budget for public comments. </w:t>
      </w:r>
    </w:p>
    <w:p w14:paraId="79CEC9A5" w14:textId="77777777" w:rsidR="00942D12" w:rsidRPr="00942D12" w:rsidRDefault="00942D12" w:rsidP="00942D12">
      <w:pPr>
        <w:ind w:left="720" w:right="720"/>
        <w:rPr>
          <w:rFonts w:ascii="Times New Roman" w:eastAsiaTheme="minorHAnsi" w:hAnsi="Times New Roman"/>
          <w:i/>
        </w:rPr>
      </w:pPr>
      <w:r w:rsidRPr="00942D12">
        <w:rPr>
          <w:rFonts w:ascii="Times New Roman" w:eastAsiaTheme="minorHAnsi" w:hAnsi="Times New Roman"/>
          <w:i/>
        </w:rPr>
        <w:t xml:space="preserve">The survey instruments will be available for public comment during the 30-day Federal Register notice, concurrent with OMB review. The survey instruments were reviewed by the Survey Instrument ad hoc Group (SIAHG), a sub group to the Technical Workgroup, </w:t>
      </w:r>
      <w:r w:rsidRPr="00942D12">
        <w:rPr>
          <w:rFonts w:ascii="Times New Roman" w:eastAsiaTheme="minorHAnsi" w:hAnsi="Times New Roman"/>
          <w:i/>
        </w:rPr>
        <w:lastRenderedPageBreak/>
        <w:t>in 2011. The NPS and GCMRC reviewed SIAHG’s recommendations and made necessary minor changes to the surveys.</w:t>
      </w:r>
    </w:p>
    <w:p w14:paraId="0D1ABE3F"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u w:val="single"/>
        </w:rPr>
        <w:t>Letter from Department of Energy (October 27, 2014)</w:t>
      </w:r>
    </w:p>
    <w:p w14:paraId="560141BD"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 xml:space="preserve">Comment 1: Request of survey instrument for review </w:t>
      </w:r>
    </w:p>
    <w:p w14:paraId="0943DB1C"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rPr>
        <w:t>The survey instrument be available for public review and comment.</w:t>
      </w:r>
    </w:p>
    <w:p w14:paraId="0B3986C9" w14:textId="77777777" w:rsidR="00942D12" w:rsidRPr="00942D12" w:rsidRDefault="00942D12" w:rsidP="00942D12">
      <w:pPr>
        <w:ind w:left="720" w:right="720"/>
        <w:contextualSpacing/>
        <w:rPr>
          <w:rFonts w:ascii="Times New Roman" w:eastAsiaTheme="minorHAnsi" w:hAnsi="Times New Roman"/>
          <w:i/>
        </w:rPr>
      </w:pPr>
      <w:r w:rsidRPr="00942D12">
        <w:rPr>
          <w:rFonts w:ascii="Times New Roman" w:eastAsiaTheme="minorHAnsi" w:hAnsi="Times New Roman"/>
          <w:i/>
        </w:rPr>
        <w:t>The survey instruments will be available for public comment during the 30-day Federal Register notice, concurrent with OMB review. The survey instruments were reviewed by the Survey Instrument ad hoc Group (SIAHG), a sub group to the Technical Workgroup, in 2011. The NPS and GCMRC reviewed SIAHG’s recommendations and made necessary minor changes to the surveys.</w:t>
      </w:r>
    </w:p>
    <w:p w14:paraId="38F476AE" w14:textId="77777777" w:rsidR="00942D12" w:rsidRPr="00942D12" w:rsidRDefault="00942D12" w:rsidP="00942D12">
      <w:pPr>
        <w:ind w:left="720" w:right="720"/>
        <w:contextualSpacing/>
        <w:rPr>
          <w:rFonts w:ascii="Times New Roman" w:eastAsiaTheme="minorHAnsi" w:hAnsi="Times New Roman"/>
          <w:i/>
        </w:rPr>
      </w:pPr>
    </w:p>
    <w:p w14:paraId="1579CAC1"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 xml:space="preserve">Comment 2: Coordinate recreational use study with the GCDAMP’s SEAHG </w:t>
      </w:r>
    </w:p>
    <w:p w14:paraId="7C6403E9"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The scope and purpose of the proposed information collection be clarified and comport with the recommendations of the Glen Canyon Adaptive Management Program’s Socioeconomic ad hoc Group.</w:t>
      </w:r>
    </w:p>
    <w:p w14:paraId="23F6EB85"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 xml:space="preserve">The recreational use study is consistent with the “Recommended Information Needs and Program Elements for a Proposed Socioeconomic Program”, approved by the AMWG on February 23, 2012. Recreation information needs RIN 1 and RIN 2 specify the need to identify total market (assumed regional expenditures) and non-market values of recreational uses of the Colorado River Ecosystem downstream from GCD, including angling in GCNRA below GCD and whitewater floating in GCNP. The recreational use study will identify angler and whitewater floater preferences for trip attributes (e.g., beaches, crowding, safety), regional expenditures (e.g., lodging, retail purchases), and non-market direct use economic values. </w:t>
      </w:r>
    </w:p>
    <w:p w14:paraId="52B61A1E" w14:textId="77777777" w:rsidR="00942D12" w:rsidRPr="00942D12" w:rsidRDefault="00942D12" w:rsidP="00942D12">
      <w:pPr>
        <w:ind w:left="720"/>
        <w:contextualSpacing/>
        <w:rPr>
          <w:rFonts w:ascii="Times New Roman" w:eastAsiaTheme="minorHAnsi" w:hAnsi="Times New Roman"/>
          <w:i/>
        </w:rPr>
      </w:pPr>
    </w:p>
    <w:p w14:paraId="2F14D1B5"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 xml:space="preserve">Comment 3: Coordination with LTEMP EIS </w:t>
      </w:r>
    </w:p>
    <w:p w14:paraId="4CBDDA4E"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Integration of any information obtained or developed through the PIC into the LTEMP EIS process be done in an open and transparent manner.</w:t>
      </w:r>
    </w:p>
    <w:p w14:paraId="2A6CBC1A" w14:textId="77777777" w:rsidR="00942D12" w:rsidRPr="00942D12" w:rsidRDefault="00942D12" w:rsidP="00942D12">
      <w:pPr>
        <w:ind w:left="720" w:right="720"/>
        <w:contextualSpacing/>
        <w:rPr>
          <w:rFonts w:ascii="Times New Roman" w:eastAsiaTheme="minorHAnsi" w:hAnsi="Times New Roman"/>
          <w:i/>
        </w:rPr>
      </w:pPr>
      <w:r w:rsidRPr="00942D12">
        <w:rPr>
          <w:rFonts w:ascii="Times New Roman" w:eastAsiaTheme="minorHAnsi" w:hAnsi="Times New Roman"/>
          <w:i/>
        </w:rPr>
        <w:t xml:space="preserve">Information from the recreational use study is not intended to be utilized in the LTEMP EIS due to incompatible project timelines. The recreational use study is research being undertaken by GCMRC as detailed in the 2015–2017 TWP. Utilization of information from the recreational use study by other federal agencies is outside the scope of this information collection request. </w:t>
      </w:r>
    </w:p>
    <w:p w14:paraId="2878FC27"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u w:val="single"/>
        </w:rPr>
        <w:t>Letter from Irrigation &amp; Electrical Districts Association of Arizona (October 27, 2014)</w:t>
      </w:r>
    </w:p>
    <w:p w14:paraId="446E1B51" w14:textId="77777777" w:rsidR="00942D12" w:rsidRPr="00942D12" w:rsidRDefault="00942D12" w:rsidP="00942D12">
      <w:pPr>
        <w:numPr>
          <w:ilvl w:val="0"/>
          <w:numId w:val="48"/>
        </w:numPr>
        <w:ind w:left="360"/>
        <w:contextualSpacing/>
        <w:rPr>
          <w:rFonts w:ascii="Times New Roman" w:eastAsiaTheme="minorHAnsi" w:hAnsi="Times New Roman"/>
        </w:rPr>
      </w:pPr>
      <w:r w:rsidRPr="00942D12">
        <w:rPr>
          <w:rFonts w:ascii="Times New Roman" w:eastAsiaTheme="minorHAnsi" w:hAnsi="Times New Roman"/>
        </w:rPr>
        <w:t xml:space="preserve">Comment 1: Request of survey instrument for review and coordination with LTEMP EIS </w:t>
      </w:r>
    </w:p>
    <w:p w14:paraId="4F1AC047"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Without opportunity to review it [recreational use study], it itself becomes the point of controversy in the EIS.</w:t>
      </w:r>
    </w:p>
    <w:p w14:paraId="504F3311" w14:textId="77777777" w:rsidR="00942D12" w:rsidRPr="00942D12" w:rsidRDefault="00942D12" w:rsidP="00942D12">
      <w:pPr>
        <w:ind w:left="720" w:right="720"/>
        <w:contextualSpacing/>
        <w:rPr>
          <w:rFonts w:ascii="Times New Roman" w:eastAsiaTheme="minorHAnsi" w:hAnsi="Times New Roman"/>
          <w:i/>
        </w:rPr>
      </w:pPr>
      <w:r w:rsidRPr="00942D12">
        <w:rPr>
          <w:rFonts w:ascii="Times New Roman" w:eastAsiaTheme="minorHAnsi" w:hAnsi="Times New Roman"/>
          <w:i/>
        </w:rPr>
        <w:t xml:space="preserve">The survey instruments will be available for public comment during the 30-day Federal Register notice, concurrent with OMB review. Information from the recreational use study is not intended to be utilized in the LTEMP EIS due to incompatible project timelines. </w:t>
      </w:r>
    </w:p>
    <w:p w14:paraId="0966F3C3" w14:textId="77777777" w:rsidR="00942D12" w:rsidRPr="00942D12" w:rsidRDefault="00942D12" w:rsidP="00942D12">
      <w:pPr>
        <w:rPr>
          <w:rFonts w:ascii="Times New Roman" w:eastAsiaTheme="minorHAnsi" w:hAnsi="Times New Roman"/>
          <w:u w:val="single"/>
        </w:rPr>
      </w:pPr>
      <w:r w:rsidRPr="00942D12">
        <w:rPr>
          <w:rFonts w:ascii="Times New Roman" w:eastAsiaTheme="minorHAnsi" w:hAnsi="Times New Roman"/>
          <w:u w:val="single"/>
        </w:rPr>
        <w:lastRenderedPageBreak/>
        <w:t xml:space="preserve">Letter from Jean Pubic (August 29, 2014) </w:t>
      </w:r>
    </w:p>
    <w:p w14:paraId="4DA2387C"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Response not include in this communication.</w:t>
      </w:r>
    </w:p>
    <w:p w14:paraId="635DD32C" w14:textId="77777777" w:rsidR="00942D12" w:rsidRPr="00942D12" w:rsidRDefault="00942D12" w:rsidP="00942D12">
      <w:pPr>
        <w:rPr>
          <w:rFonts w:ascii="Times New Roman" w:eastAsiaTheme="minorHAnsi" w:hAnsi="Times New Roman"/>
        </w:rPr>
      </w:pPr>
    </w:p>
    <w:p w14:paraId="217B2EEE" w14:textId="77777777" w:rsidR="00942D12" w:rsidRPr="00942D12" w:rsidRDefault="00942D12" w:rsidP="00942D12">
      <w:pPr>
        <w:keepNext/>
        <w:keepLines/>
        <w:spacing w:before="480" w:after="0"/>
        <w:outlineLvl w:val="0"/>
        <w:rPr>
          <w:rFonts w:ascii="Times New Roman" w:eastAsiaTheme="majorEastAsia" w:hAnsi="Times New Roman"/>
          <w:b/>
          <w:bCs/>
          <w:color w:val="000000" w:themeColor="text1"/>
          <w:sz w:val="28"/>
          <w:szCs w:val="28"/>
        </w:rPr>
      </w:pPr>
      <w:r w:rsidRPr="00942D12">
        <w:rPr>
          <w:rFonts w:ascii="Times New Roman" w:eastAsiaTheme="majorEastAsia" w:hAnsi="Times New Roman"/>
          <w:b/>
          <w:bCs/>
          <w:color w:val="000000" w:themeColor="text1"/>
          <w:sz w:val="28"/>
          <w:szCs w:val="28"/>
        </w:rPr>
        <w:t xml:space="preserve">Section 2: Response to </w:t>
      </w:r>
      <w:r w:rsidRPr="00942D12">
        <w:rPr>
          <w:rFonts w:ascii="Times New Roman" w:eastAsiaTheme="majorEastAsia" w:hAnsi="Times New Roman"/>
          <w:b/>
          <w:bCs/>
          <w:color w:val="000000" w:themeColor="text1"/>
          <w:sz w:val="28"/>
          <w:szCs w:val="28"/>
          <w:u w:val="single"/>
        </w:rPr>
        <w:t>WAPA comment letter of May 21, 2015</w:t>
      </w:r>
      <w:r w:rsidRPr="00942D12">
        <w:rPr>
          <w:rFonts w:ascii="Times New Roman" w:eastAsiaTheme="majorEastAsia" w:hAnsi="Times New Roman"/>
          <w:b/>
          <w:bCs/>
          <w:color w:val="000000" w:themeColor="text1"/>
          <w:sz w:val="28"/>
          <w:szCs w:val="28"/>
        </w:rPr>
        <w:t xml:space="preserve"> and associated response to SIAHG’s Proposed New Questions or Information Needs for the Recreational Economic Surveys</w:t>
      </w:r>
    </w:p>
    <w:p w14:paraId="0DC4222D" w14:textId="77777777" w:rsidR="00942D12" w:rsidRPr="00942D12" w:rsidRDefault="00942D12" w:rsidP="00942D12">
      <w:pPr>
        <w:rPr>
          <w:rFonts w:ascii="Times New Roman" w:eastAsiaTheme="minorHAnsi" w:hAnsi="Times New Roman"/>
        </w:rPr>
      </w:pPr>
    </w:p>
    <w:p w14:paraId="385FD74A"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b/>
        </w:rPr>
        <w:t>COMMENT:</w:t>
      </w:r>
      <w:r w:rsidRPr="00942D12">
        <w:rPr>
          <w:rFonts w:ascii="Times New Roman" w:eastAsiaTheme="minorHAnsi" w:hAnsi="Times New Roman"/>
        </w:rPr>
        <w:t xml:space="preserve"> </w:t>
      </w:r>
      <w:r w:rsidRPr="00942D12">
        <w:rPr>
          <w:rFonts w:ascii="Times New Roman" w:eastAsiaTheme="minorHAnsi" w:hAnsi="Times New Roman"/>
          <w:b/>
          <w:i/>
        </w:rPr>
        <w:t>Recommendations</w:t>
      </w:r>
      <w:r w:rsidRPr="00942D12">
        <w:rPr>
          <w:rFonts w:ascii="Times New Roman" w:eastAsiaTheme="minorHAnsi" w:hAnsi="Times New Roman"/>
        </w:rPr>
        <w:t>:  Western concurs with the recommendations of the SEAHG.  Western applauds the NPS for having the GCMRC do the analysis.  This analysis is part of Project 13, and the GCMRC has been coordinating with the SEAHG regarding the development and implementation of the analysis.  Western agrees with this approach.</w:t>
      </w:r>
    </w:p>
    <w:p w14:paraId="4FD2FB89"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Since the SEAHG and other GCDAMP stakeholders are the most affected and have the most interest and knowledge regarding the effects of the operations of the GCD, the details regarding the survey and the implementation of the research should be coordinated with the SEAHG. Specifically, we recommend that the final survey instruments be discussed and coordinated with the SEAHG.  Western recommends that GCMRC meet with the SEAHG and discuss the current version of the survey and make changes, if necessary and desired, prior to OMB's final approval of the survey instrument.</w:t>
      </w:r>
    </w:p>
    <w:p w14:paraId="6C08A5D0" w14:textId="77777777" w:rsidR="00942D12" w:rsidRPr="00942D12" w:rsidRDefault="00942D12" w:rsidP="00942D12">
      <w:pPr>
        <w:rPr>
          <w:rFonts w:ascii="Times New Roman" w:eastAsiaTheme="minorHAnsi" w:hAnsi="Times New Roman"/>
        </w:rPr>
      </w:pPr>
    </w:p>
    <w:p w14:paraId="22CDFDBF"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b/>
        </w:rPr>
        <w:t xml:space="preserve">RESPONSE: </w:t>
      </w:r>
    </w:p>
    <w:p w14:paraId="538C527D" w14:textId="77777777" w:rsidR="00942D12" w:rsidRPr="00942D12" w:rsidRDefault="00942D12" w:rsidP="00942D12">
      <w:pPr>
        <w:rPr>
          <w:rFonts w:ascii="Times New Roman" w:eastAsiaTheme="minorHAnsi" w:hAnsi="Times New Roman"/>
        </w:rPr>
      </w:pPr>
      <w:bookmarkStart w:id="0" w:name="_GoBack"/>
      <w:r w:rsidRPr="00942D12">
        <w:rPr>
          <w:rFonts w:ascii="Times New Roman" w:eastAsiaTheme="minorHAnsi" w:hAnsi="Times New Roman"/>
        </w:rPr>
        <w:t xml:space="preserve">The AMWG reviewed and considered recommendations made by the Survey Instrument ad hoc Group (SIAHG) on angler and whitewater floater surveys in 2011 that were developed by the National Park Service (NPS) as part of a broader NPS economic research agenda. </w:t>
      </w:r>
    </w:p>
    <w:p w14:paraId="494577E6"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Funding was lost for the project in late 2011, and no additional work or changes to the documents or work plan were made until the response to additional comments collected under the August 2014 60-day FR notice.</w:t>
      </w:r>
    </w:p>
    <w:p w14:paraId="0915A161" w14:textId="77777777" w:rsidR="00942D12" w:rsidRPr="00942D12" w:rsidRDefault="00942D12" w:rsidP="00942D12">
      <w:pPr>
        <w:rPr>
          <w:rFonts w:ascii="Times New Roman" w:eastAsiaTheme="minorHAnsi" w:hAnsi="Times New Roman"/>
        </w:rPr>
      </w:pPr>
      <w:r w:rsidRPr="00942D12">
        <w:rPr>
          <w:rFonts w:ascii="Times New Roman" w:eastAsiaTheme="minorHAnsi" w:hAnsi="Times New Roman"/>
        </w:rPr>
        <w:t xml:space="preserve">The following are written responses to the SIAHG’s proposed information needs and questions for consideration: </w:t>
      </w:r>
    </w:p>
    <w:bookmarkEnd w:id="0"/>
    <w:p w14:paraId="1DDCAC28"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What is the current total annual market value</w:t>
      </w:r>
      <w:r w:rsidRPr="00942D12">
        <w:rPr>
          <w:rFonts w:ascii="Times New Roman" w:eastAsiaTheme="minorHAnsi" w:hAnsi="Times New Roman"/>
          <w:vertAlign w:val="superscript"/>
        </w:rPr>
        <w:footnoteReference w:id="3"/>
      </w:r>
      <w:r w:rsidRPr="00942D12">
        <w:rPr>
          <w:rFonts w:ascii="Times New Roman" w:eastAsiaTheme="minorHAnsi" w:hAnsi="Times New Roman"/>
        </w:rPr>
        <w:t xml:space="preserve"> of the Lees Ferry trout fishery (market and nonmarket) to the regional community and what are its components, i.e. hotel and restaurant, guides, retail purchases, etc? What are its non-use values? </w:t>
      </w:r>
    </w:p>
    <w:p w14:paraId="35C52A90" w14:textId="77777777" w:rsidR="00942D12" w:rsidRPr="00942D12" w:rsidRDefault="00942D12" w:rsidP="00942D12">
      <w:pPr>
        <w:ind w:left="720"/>
        <w:contextualSpacing/>
        <w:rPr>
          <w:rFonts w:ascii="Times New Roman" w:eastAsiaTheme="minorHAnsi" w:hAnsi="Times New Roman"/>
        </w:rPr>
      </w:pPr>
    </w:p>
    <w:p w14:paraId="67FE9A58"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lastRenderedPageBreak/>
        <w:t>The recreational use study will identify angler and whitewater floater preferences for trip attributes (e.g., beaches, crowding, safety), regional expenditures (e.g., lodging, retail purchases), and non-market direct use economic values. Non-use values are not included in the recreational use study.</w:t>
      </w:r>
    </w:p>
    <w:p w14:paraId="2D741F7A" w14:textId="77777777" w:rsidR="00942D12" w:rsidRPr="00942D12" w:rsidRDefault="00942D12" w:rsidP="00942D12">
      <w:pPr>
        <w:ind w:left="720"/>
        <w:contextualSpacing/>
        <w:rPr>
          <w:rFonts w:ascii="Times New Roman" w:eastAsiaTheme="minorHAnsi" w:hAnsi="Times New Roman"/>
        </w:rPr>
      </w:pPr>
    </w:p>
    <w:p w14:paraId="5AE84850"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 xml:space="preserve">What is the current total annual market value of the Glen Canyon Smooth Water Half Day Trips, private rafters, canoeists, kayakers, etc? What are their non-use values? </w:t>
      </w:r>
    </w:p>
    <w:p w14:paraId="1C2AF95C" w14:textId="77777777" w:rsidR="00942D12" w:rsidRPr="00942D12" w:rsidRDefault="00942D12" w:rsidP="00942D12">
      <w:pPr>
        <w:ind w:left="720"/>
        <w:contextualSpacing/>
        <w:rPr>
          <w:rFonts w:ascii="Times New Roman" w:eastAsiaTheme="minorHAnsi" w:hAnsi="Times New Roman"/>
        </w:rPr>
      </w:pPr>
    </w:p>
    <w:p w14:paraId="37ACFF29"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 xml:space="preserve">The survey instruments will not include recreational floating in GCNRA. Past research has indicated that whitewater floaters’ non-market direct use economic values do not vary significantly with alternative dam operations. Due to budgetary considerations, only anglers in GCNRA below GCD and whitewater floaters in GCNP will be surveyed. </w:t>
      </w:r>
    </w:p>
    <w:p w14:paraId="02C59F57" w14:textId="77777777" w:rsidR="00942D12" w:rsidRPr="00942D12" w:rsidRDefault="00942D12" w:rsidP="00942D12">
      <w:pPr>
        <w:ind w:left="720"/>
        <w:contextualSpacing/>
        <w:rPr>
          <w:rFonts w:ascii="Times New Roman" w:eastAsiaTheme="minorHAnsi" w:hAnsi="Times New Roman"/>
        </w:rPr>
      </w:pPr>
    </w:p>
    <w:p w14:paraId="727E7F1B"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How have total annual use and market values for the Lees Ferry trout fishery and recreational boating changed for Pre-Rod and Post-Rod periods?</w:t>
      </w:r>
    </w:p>
    <w:p w14:paraId="79DF18FB" w14:textId="77777777" w:rsidR="00942D12" w:rsidRPr="00942D12" w:rsidRDefault="00942D12" w:rsidP="00942D12">
      <w:pPr>
        <w:ind w:left="720"/>
        <w:contextualSpacing/>
        <w:rPr>
          <w:rFonts w:ascii="Times New Roman" w:eastAsiaTheme="minorHAnsi" w:hAnsi="Times New Roman"/>
        </w:rPr>
      </w:pPr>
    </w:p>
    <w:p w14:paraId="7ECE54C8"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 xml:space="preserve">The survey of anglers in GCNRA below GCD and whitewater floaters in GCNP will identify regional economic expenditures and non-market direct use economic values for post-ROD conditions. The results from the Bishop et al. (1987) research and the current recreational use study will allow some inferences to be made about pre and post-ROD changes in regional economic expenditures. </w:t>
      </w:r>
    </w:p>
    <w:p w14:paraId="4C9789BF" w14:textId="77777777" w:rsidR="00942D12" w:rsidRPr="00942D12" w:rsidRDefault="00942D12" w:rsidP="00942D12">
      <w:pPr>
        <w:ind w:left="720"/>
        <w:contextualSpacing/>
        <w:rPr>
          <w:rFonts w:ascii="Times New Roman" w:eastAsiaTheme="minorHAnsi" w:hAnsi="Times New Roman"/>
        </w:rPr>
      </w:pPr>
    </w:p>
    <w:p w14:paraId="6C8C3F6C"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Do Lees Ferry recreational boaters and sports fishers express a significant difference in willingness to pay under differing flow conditions?</w:t>
      </w:r>
    </w:p>
    <w:p w14:paraId="5B6A06AC" w14:textId="77777777" w:rsidR="00942D12" w:rsidRPr="00942D12" w:rsidRDefault="00942D12" w:rsidP="00942D12">
      <w:pPr>
        <w:ind w:left="720"/>
        <w:contextualSpacing/>
        <w:rPr>
          <w:rFonts w:ascii="Times New Roman" w:eastAsiaTheme="minorHAnsi" w:hAnsi="Times New Roman"/>
        </w:rPr>
      </w:pPr>
    </w:p>
    <w:p w14:paraId="0D8ED8AB"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The survey of anglers in GCNRA below GCD and whitewater floaters in GCNP will identify differences in non-market direct use economic value concerning differing flow conditions, similar to the research by Bishop et al. (1987).</w:t>
      </w:r>
    </w:p>
    <w:p w14:paraId="3C1AC5FA" w14:textId="77777777" w:rsidR="00942D12" w:rsidRPr="00942D12" w:rsidRDefault="00942D12" w:rsidP="00942D12">
      <w:pPr>
        <w:ind w:left="720"/>
        <w:contextualSpacing/>
        <w:rPr>
          <w:rFonts w:ascii="Times New Roman" w:eastAsiaTheme="minorHAnsi" w:hAnsi="Times New Roman"/>
        </w:rPr>
      </w:pPr>
    </w:p>
    <w:p w14:paraId="6A29E7F3"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How has demand for Lees Ferry and Grand Canyon recreational boating (including rafting to Lake Mead) and Lees Ferry sport fishing changed over the period Pre and Post Rod?</w:t>
      </w:r>
    </w:p>
    <w:p w14:paraId="64B45733" w14:textId="77777777" w:rsidR="00942D12" w:rsidRPr="00942D12" w:rsidRDefault="00942D12" w:rsidP="00942D12">
      <w:pPr>
        <w:ind w:left="720"/>
        <w:contextualSpacing/>
        <w:rPr>
          <w:rFonts w:ascii="Times New Roman" w:eastAsiaTheme="minorHAnsi" w:hAnsi="Times New Roman"/>
        </w:rPr>
      </w:pPr>
    </w:p>
    <w:p w14:paraId="75823E61"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The survey of anglers in GCNRA below GCD and whitewater floaters in GCNP will identify non-market direct use economic values for post-ROD conditions. The results from the Bishop et al. (1987) research and the current recreational use study will allow some inferences to be made about pre and post-ROD changes in demand.</w:t>
      </w:r>
    </w:p>
    <w:p w14:paraId="209FFCEF" w14:textId="77777777" w:rsidR="00942D12" w:rsidRPr="00942D12" w:rsidRDefault="00942D12" w:rsidP="00942D12">
      <w:pPr>
        <w:ind w:left="720"/>
        <w:contextualSpacing/>
        <w:rPr>
          <w:rFonts w:ascii="Times New Roman" w:eastAsiaTheme="minorHAnsi" w:hAnsi="Times New Roman"/>
        </w:rPr>
      </w:pPr>
    </w:p>
    <w:p w14:paraId="34B733AB"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How has crowding, camp size, multiple campsites in an area, etc affected the Grand Canyon experience and expressed values?</w:t>
      </w:r>
    </w:p>
    <w:p w14:paraId="7345EE9A" w14:textId="77777777" w:rsidR="00942D12" w:rsidRPr="00942D12" w:rsidRDefault="00942D12" w:rsidP="00942D12">
      <w:pPr>
        <w:ind w:left="720"/>
        <w:contextualSpacing/>
        <w:rPr>
          <w:rFonts w:ascii="Times New Roman" w:eastAsiaTheme="minorHAnsi" w:hAnsi="Times New Roman"/>
        </w:rPr>
      </w:pPr>
    </w:p>
    <w:p w14:paraId="5CDF6EB9"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The whitewater floater survey in GCNP will identify current preferences for trip attributes (e.g., beaches, crowding, solitude), allowing for inferences about the relationship between trip attributes and preferences and non-market direct use economic values.</w:t>
      </w:r>
    </w:p>
    <w:p w14:paraId="02A794E4" w14:textId="77777777" w:rsidR="00942D12" w:rsidRPr="00942D12" w:rsidRDefault="00942D12" w:rsidP="00942D12">
      <w:pPr>
        <w:ind w:left="720"/>
        <w:contextualSpacing/>
        <w:rPr>
          <w:rFonts w:ascii="Times New Roman" w:eastAsiaTheme="minorHAnsi" w:hAnsi="Times New Roman"/>
        </w:rPr>
      </w:pPr>
    </w:p>
    <w:p w14:paraId="72078E98"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lastRenderedPageBreak/>
        <w:t>How has Native American use of the Lees Ferry trout fishery changed from the period Pre and Post Rod?</w:t>
      </w:r>
    </w:p>
    <w:p w14:paraId="26F65E06" w14:textId="77777777" w:rsidR="00942D12" w:rsidRPr="00942D12" w:rsidRDefault="00942D12" w:rsidP="00942D12">
      <w:pPr>
        <w:ind w:left="720"/>
        <w:contextualSpacing/>
        <w:rPr>
          <w:rFonts w:ascii="Times New Roman" w:eastAsiaTheme="minorHAnsi" w:hAnsi="Times New Roman"/>
        </w:rPr>
      </w:pPr>
    </w:p>
    <w:p w14:paraId="5481DFE0"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The survey of anglers in GCNRA below GCD will record demographic information on race and ethnicity. To the limited extent that pre-ROD information exists, survey results will allow for comparison between pre and post-ROD Tribal use of the Lees Ferry fishery.</w:t>
      </w:r>
    </w:p>
    <w:p w14:paraId="15766A19" w14:textId="77777777" w:rsidR="00942D12" w:rsidRPr="00942D12" w:rsidRDefault="00942D12" w:rsidP="00942D12">
      <w:pPr>
        <w:ind w:left="720"/>
        <w:contextualSpacing/>
        <w:rPr>
          <w:rFonts w:ascii="Times New Roman" w:eastAsiaTheme="minorHAnsi" w:hAnsi="Times New Roman"/>
        </w:rPr>
      </w:pPr>
    </w:p>
    <w:p w14:paraId="7AD0ECC3"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Regarding the Grand Canyon rafting experience, can questions be added to capture more clearly why people take this specific trip, isolating specifically trip attributes like unique wilderness experience, solitude, scenic beauty, etc?</w:t>
      </w:r>
    </w:p>
    <w:p w14:paraId="3C17F112" w14:textId="77777777" w:rsidR="00942D12" w:rsidRPr="00942D12" w:rsidRDefault="00942D12" w:rsidP="00942D12">
      <w:pPr>
        <w:ind w:left="720"/>
        <w:contextualSpacing/>
        <w:rPr>
          <w:rFonts w:ascii="Times New Roman" w:eastAsiaTheme="minorHAnsi" w:hAnsi="Times New Roman"/>
        </w:rPr>
      </w:pPr>
    </w:p>
    <w:p w14:paraId="7D881F85"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The whitewater floater survey in GCNP includes questions about current preferences for trip attributes (e.g., beaches, natural setting, safety).</w:t>
      </w:r>
    </w:p>
    <w:p w14:paraId="6A2E254E" w14:textId="77777777" w:rsidR="00942D12" w:rsidRPr="00942D12" w:rsidRDefault="00942D12" w:rsidP="00942D12">
      <w:pPr>
        <w:ind w:left="720"/>
        <w:contextualSpacing/>
        <w:rPr>
          <w:rFonts w:ascii="Times New Roman" w:eastAsiaTheme="minorHAnsi" w:hAnsi="Times New Roman"/>
        </w:rPr>
      </w:pPr>
    </w:p>
    <w:p w14:paraId="075A0212"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 xml:space="preserve">How does the social benefit of the Lees Ferry trout fishery differ for walk-in only and boating anglers? </w:t>
      </w:r>
    </w:p>
    <w:p w14:paraId="230E3320" w14:textId="77777777" w:rsidR="00942D12" w:rsidRPr="00942D12" w:rsidRDefault="00942D12" w:rsidP="00942D12">
      <w:pPr>
        <w:ind w:left="720"/>
        <w:contextualSpacing/>
        <w:rPr>
          <w:rFonts w:ascii="Times New Roman" w:eastAsiaTheme="minorHAnsi" w:hAnsi="Times New Roman"/>
        </w:rPr>
      </w:pPr>
    </w:p>
    <w:p w14:paraId="72CC0A25"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 xml:space="preserve">The angler survey in GRNRA below GCD will differentiate between walk-in and boating anglers and in non-market direct use economic values. </w:t>
      </w:r>
    </w:p>
    <w:p w14:paraId="18AE1E23" w14:textId="77777777" w:rsidR="00942D12" w:rsidRPr="00942D12" w:rsidRDefault="00942D12" w:rsidP="00942D12">
      <w:pPr>
        <w:ind w:left="720"/>
        <w:contextualSpacing/>
        <w:rPr>
          <w:rFonts w:ascii="Times New Roman" w:eastAsiaTheme="minorHAnsi" w:hAnsi="Times New Roman"/>
        </w:rPr>
      </w:pPr>
    </w:p>
    <w:p w14:paraId="6AC6DF62"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Should case scenarios for contingent valuation more closely approximate expected real variance in operations?</w:t>
      </w:r>
    </w:p>
    <w:p w14:paraId="6A74950E" w14:textId="77777777" w:rsidR="00942D12" w:rsidRPr="00942D12" w:rsidRDefault="00942D12" w:rsidP="00942D12">
      <w:pPr>
        <w:ind w:left="720"/>
        <w:contextualSpacing/>
        <w:rPr>
          <w:rFonts w:ascii="Times New Roman" w:eastAsiaTheme="minorHAnsi" w:hAnsi="Times New Roman"/>
        </w:rPr>
      </w:pPr>
    </w:p>
    <w:p w14:paraId="15872DDA"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 xml:space="preserve">The initial contingent valuation question in the angler survey in GRNRA below GCD and whitewater floater survey in GCNP identifies non-market direct use economic value. This metric is reflective of GCD operations experienced during the recreational activity. Questions concerning alternative flow regimes are necessary to answer question 4 in the “Proposed New Questions or Information Needs for the Recreational Economic Survey, from the SIAHG” (above) and the recreation information need RIN2 in the “Proposed Information Needs and Program Elements for a Proposed Socioeconomic Program” (as approved by AMWG on February 23, 2012. </w:t>
      </w:r>
    </w:p>
    <w:p w14:paraId="7DF6D005" w14:textId="77777777" w:rsidR="00942D12" w:rsidRPr="00942D12" w:rsidRDefault="00942D12" w:rsidP="00942D12">
      <w:pPr>
        <w:ind w:left="720"/>
        <w:contextualSpacing/>
        <w:rPr>
          <w:rFonts w:ascii="Times New Roman" w:eastAsiaTheme="minorHAnsi" w:hAnsi="Times New Roman"/>
          <w:i/>
        </w:rPr>
      </w:pPr>
    </w:p>
    <w:p w14:paraId="00974921"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Collect data on alternatives for the users. Questions should be included as to what are the responder’s three favorite fishing locations in the southwest starting with the most favored. For those ranked above the Colorado River, have them list the major attractions to them.</w:t>
      </w:r>
    </w:p>
    <w:p w14:paraId="46DD2D76" w14:textId="77777777" w:rsidR="00942D12" w:rsidRPr="00942D12" w:rsidRDefault="00942D12" w:rsidP="00942D12">
      <w:pPr>
        <w:ind w:left="720"/>
        <w:contextualSpacing/>
        <w:rPr>
          <w:rFonts w:ascii="Times New Roman" w:eastAsiaTheme="minorHAnsi" w:hAnsi="Times New Roman"/>
        </w:rPr>
      </w:pPr>
    </w:p>
    <w:p w14:paraId="2E25E3BB"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 xml:space="preserve">Alternative angling opportunities to the Less Ferry fishery are important to consider. However, the information is not essential to estimating the non-market direct use economic value of the recreational activity to current users. This question was not included in the survey in order to keep the survey instrument to an appropriate length. </w:t>
      </w:r>
    </w:p>
    <w:p w14:paraId="7E9E5665" w14:textId="77777777" w:rsidR="00942D12" w:rsidRPr="00942D12" w:rsidRDefault="00942D12" w:rsidP="00942D12">
      <w:pPr>
        <w:ind w:left="720"/>
        <w:contextualSpacing/>
        <w:rPr>
          <w:rFonts w:ascii="Times New Roman" w:eastAsiaTheme="minorHAnsi" w:hAnsi="Times New Roman"/>
        </w:rPr>
      </w:pPr>
    </w:p>
    <w:p w14:paraId="1B655C40"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 xml:space="preserve">Have you considered survey information that should be collected from those not necessarily fishing the Colorado River? Surveys could include regional groups. There are at least 7 active fly </w:t>
      </w:r>
      <w:r w:rsidRPr="00942D12">
        <w:rPr>
          <w:rFonts w:ascii="Times New Roman" w:eastAsiaTheme="minorHAnsi" w:hAnsi="Times New Roman"/>
        </w:rPr>
        <w:lastRenderedPageBreak/>
        <w:t>fishing groups in Arizona. There are also other fishing and outdoor groups. This provides input on economic lost value.</w:t>
      </w:r>
    </w:p>
    <w:p w14:paraId="1A90CAF6" w14:textId="77777777" w:rsidR="00942D12" w:rsidRPr="00942D12" w:rsidRDefault="00942D12" w:rsidP="00942D12">
      <w:pPr>
        <w:ind w:left="720"/>
        <w:contextualSpacing/>
        <w:rPr>
          <w:rFonts w:ascii="Times New Roman" w:eastAsiaTheme="minorHAnsi" w:hAnsi="Times New Roman"/>
        </w:rPr>
      </w:pPr>
    </w:p>
    <w:p w14:paraId="3FC6EC53"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 xml:space="preserve">Surveying Lees Ferry anglers that currently use the resource provides up-to-date information on non-market direct use economic value and how this value changes with trip attributes (e.g., flow, rainbow trout condition). While results of the angler survey will provide insights into the economic impact of varying resource attributes it is beyond the scope of this project to determine how demand for angling at Lees Ferry changes over time. Identifying demand for angling at Lees Ferry as resource attributes and other determinants of demand vary would be required to estimate how change in angler participation impacts economic value.       </w:t>
      </w:r>
    </w:p>
    <w:p w14:paraId="4D650564" w14:textId="77777777" w:rsidR="00942D12" w:rsidRPr="00942D12" w:rsidRDefault="00942D12" w:rsidP="00942D12">
      <w:pPr>
        <w:ind w:left="720"/>
        <w:contextualSpacing/>
        <w:rPr>
          <w:rFonts w:ascii="Times New Roman" w:eastAsiaTheme="minorHAnsi" w:hAnsi="Times New Roman"/>
        </w:rPr>
      </w:pPr>
    </w:p>
    <w:p w14:paraId="378CB3FB"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The sampling strategy for the Angler Survey appears to be exclusively focused on fishing users encountered on the water at Lees Ferry. Have you considered the value of adding a broader sampling frame component to include “licensed anglers” to help assess perceived opportunity value foregone?</w:t>
      </w:r>
    </w:p>
    <w:p w14:paraId="2BE1782E" w14:textId="77777777" w:rsidR="00942D12" w:rsidRPr="00942D12" w:rsidRDefault="00942D12" w:rsidP="00942D12">
      <w:pPr>
        <w:ind w:left="720"/>
        <w:contextualSpacing/>
        <w:rPr>
          <w:rFonts w:ascii="Times New Roman" w:eastAsiaTheme="minorHAnsi" w:hAnsi="Times New Roman"/>
        </w:rPr>
      </w:pPr>
    </w:p>
    <w:p w14:paraId="03CC47F1" w14:textId="77777777" w:rsidR="00942D12" w:rsidRPr="00942D12" w:rsidRDefault="00942D12" w:rsidP="00942D12">
      <w:pPr>
        <w:ind w:left="720"/>
        <w:contextualSpacing/>
        <w:rPr>
          <w:rFonts w:ascii="Times New Roman" w:eastAsiaTheme="minorHAnsi" w:hAnsi="Times New Roman"/>
        </w:rPr>
      </w:pPr>
      <w:r w:rsidRPr="00942D12">
        <w:rPr>
          <w:rFonts w:ascii="Times New Roman" w:eastAsiaTheme="minorHAnsi" w:hAnsi="Times New Roman"/>
          <w:i/>
        </w:rPr>
        <w:t xml:space="preserve">Surveying Lees Ferry anglers that currently use the resource provides up-to-date information on non-market direct use economic value and how this value changes with trip attributes (e.g., flow, rainbow trout condition). While results of the angler survey will provide insights into the economic impact of varying resource attributes it is beyond the scope of this project to determine how demand for angling at Lees Ferry changes over time. Identifying demand for angling at Lees Ferry as resource attributes and other determinants of demand vary would be required to estimate how change in angler participation impacts economic value.     </w:t>
      </w:r>
    </w:p>
    <w:p w14:paraId="4EF0AA1D" w14:textId="77777777" w:rsidR="00942D12" w:rsidRPr="00942D12" w:rsidRDefault="00942D12" w:rsidP="00942D12">
      <w:pPr>
        <w:ind w:left="720"/>
        <w:contextualSpacing/>
        <w:rPr>
          <w:rFonts w:ascii="Times New Roman" w:eastAsiaTheme="minorHAnsi" w:hAnsi="Times New Roman"/>
        </w:rPr>
      </w:pPr>
    </w:p>
    <w:p w14:paraId="01BAF1E8"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Should case scenarios for contingent valuation more closely approximate current on-the-water experiences associated with operations?</w:t>
      </w:r>
    </w:p>
    <w:p w14:paraId="7BDEFCD0" w14:textId="77777777" w:rsidR="00942D12" w:rsidRPr="00942D12" w:rsidRDefault="00942D12" w:rsidP="00942D12">
      <w:pPr>
        <w:ind w:left="720"/>
        <w:contextualSpacing/>
        <w:rPr>
          <w:rFonts w:ascii="Times New Roman" w:eastAsiaTheme="minorHAnsi" w:hAnsi="Times New Roman"/>
        </w:rPr>
      </w:pPr>
    </w:p>
    <w:p w14:paraId="3495A5DC"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The initial contingent valuation question in the angler survey in GRNRA below GCD and whitewater floater survey in GCNP identifies non-market direct use economic value. This metric is reflective of GCD operations experienced during the recreational activity.</w:t>
      </w:r>
    </w:p>
    <w:p w14:paraId="6C08C1B6" w14:textId="77777777" w:rsidR="00942D12" w:rsidRPr="00942D12" w:rsidRDefault="00942D12" w:rsidP="00942D12">
      <w:pPr>
        <w:ind w:left="720"/>
        <w:contextualSpacing/>
        <w:rPr>
          <w:rFonts w:ascii="Times New Roman" w:eastAsiaTheme="minorHAnsi" w:hAnsi="Times New Roman"/>
          <w:i/>
        </w:rPr>
      </w:pPr>
    </w:p>
    <w:p w14:paraId="26FC4653" w14:textId="77777777" w:rsidR="00942D12" w:rsidRPr="00942D12" w:rsidRDefault="00942D12" w:rsidP="00942D12">
      <w:pPr>
        <w:numPr>
          <w:ilvl w:val="0"/>
          <w:numId w:val="47"/>
        </w:numPr>
        <w:contextualSpacing/>
        <w:rPr>
          <w:rFonts w:ascii="Times New Roman" w:eastAsiaTheme="minorHAnsi" w:hAnsi="Times New Roman"/>
        </w:rPr>
      </w:pPr>
      <w:r w:rsidRPr="00942D12">
        <w:rPr>
          <w:rFonts w:ascii="Times New Roman" w:eastAsiaTheme="minorHAnsi" w:hAnsi="Times New Roman"/>
        </w:rPr>
        <w:t>The sampling strategy for on the water users should ensure that interviewers reach and qualify the walk-in angler, i.e. three types of anglers exist as follows.</w:t>
      </w:r>
    </w:p>
    <w:p w14:paraId="3722A483" w14:textId="77777777" w:rsidR="00942D12" w:rsidRPr="00942D12" w:rsidRDefault="00942D12" w:rsidP="00942D12">
      <w:pPr>
        <w:numPr>
          <w:ilvl w:val="1"/>
          <w:numId w:val="47"/>
        </w:numPr>
        <w:contextualSpacing/>
        <w:rPr>
          <w:rFonts w:ascii="Times New Roman" w:eastAsiaTheme="minorHAnsi" w:hAnsi="Times New Roman"/>
        </w:rPr>
      </w:pPr>
      <w:r w:rsidRPr="00942D12">
        <w:rPr>
          <w:rFonts w:ascii="Times New Roman" w:eastAsiaTheme="minorHAnsi" w:hAnsi="Times New Roman"/>
        </w:rPr>
        <w:t>Those that visit the walk-in areas only.</w:t>
      </w:r>
    </w:p>
    <w:p w14:paraId="470DFE92" w14:textId="77777777" w:rsidR="00942D12" w:rsidRPr="00942D12" w:rsidRDefault="00942D12" w:rsidP="00942D12">
      <w:pPr>
        <w:numPr>
          <w:ilvl w:val="1"/>
          <w:numId w:val="47"/>
        </w:numPr>
        <w:contextualSpacing/>
        <w:rPr>
          <w:rFonts w:ascii="Times New Roman" w:eastAsiaTheme="minorHAnsi" w:hAnsi="Times New Roman"/>
        </w:rPr>
      </w:pPr>
      <w:r w:rsidRPr="00942D12">
        <w:rPr>
          <w:rFonts w:ascii="Times New Roman" w:eastAsiaTheme="minorHAnsi" w:hAnsi="Times New Roman"/>
        </w:rPr>
        <w:t xml:space="preserve">Those that boat up-river for angling only. </w:t>
      </w:r>
    </w:p>
    <w:p w14:paraId="7EEBFDBA" w14:textId="77777777" w:rsidR="00942D12" w:rsidRPr="00942D12" w:rsidRDefault="00942D12" w:rsidP="00942D12">
      <w:pPr>
        <w:numPr>
          <w:ilvl w:val="1"/>
          <w:numId w:val="47"/>
        </w:numPr>
        <w:contextualSpacing/>
        <w:rPr>
          <w:rFonts w:ascii="Times New Roman" w:eastAsiaTheme="minorHAnsi" w:hAnsi="Times New Roman"/>
        </w:rPr>
      </w:pPr>
      <w:r w:rsidRPr="00942D12">
        <w:rPr>
          <w:rFonts w:ascii="Times New Roman" w:eastAsiaTheme="minorHAnsi" w:hAnsi="Times New Roman"/>
        </w:rPr>
        <w:t xml:space="preserve">Those that both visit the walk-in areas and boat up-river for angling purposes. </w:t>
      </w:r>
    </w:p>
    <w:p w14:paraId="3E71CED8" w14:textId="77777777" w:rsidR="00942D12" w:rsidRPr="00942D12" w:rsidRDefault="00942D12" w:rsidP="00942D12">
      <w:pPr>
        <w:ind w:left="720"/>
        <w:contextualSpacing/>
        <w:rPr>
          <w:rFonts w:ascii="Times New Roman" w:eastAsiaTheme="minorHAnsi" w:hAnsi="Times New Roman"/>
        </w:rPr>
      </w:pPr>
    </w:p>
    <w:p w14:paraId="2F18FB21" w14:textId="77777777" w:rsidR="00942D12" w:rsidRPr="00942D12" w:rsidRDefault="00942D12" w:rsidP="00942D12">
      <w:pPr>
        <w:ind w:left="720"/>
        <w:contextualSpacing/>
        <w:rPr>
          <w:rFonts w:ascii="Times New Roman" w:eastAsiaTheme="minorHAnsi" w:hAnsi="Times New Roman"/>
          <w:i/>
        </w:rPr>
      </w:pPr>
      <w:r w:rsidRPr="00942D12">
        <w:rPr>
          <w:rFonts w:ascii="Times New Roman" w:eastAsiaTheme="minorHAnsi" w:hAnsi="Times New Roman"/>
          <w:i/>
        </w:rPr>
        <w:t xml:space="preserve">The angler survey in GRNRA below GCD includes sampling at the Lees Ferry access point (boat ramp), walk-in access below and above the Paria and angler access point downstream from the Paria. Differences in preferences and non-market direct use economic values between these different angling groups will be assessed. </w:t>
      </w:r>
    </w:p>
    <w:p w14:paraId="2E51B095" w14:textId="77777777" w:rsidR="00942D12" w:rsidRDefault="00942D12" w:rsidP="00D52387">
      <w:pPr>
        <w:pStyle w:val="NoSpacing"/>
        <w:rPr>
          <w:rFonts w:asciiTheme="minorHAnsi" w:hAnsiTheme="minorHAnsi"/>
        </w:rPr>
      </w:pPr>
    </w:p>
    <w:p w14:paraId="0EF01C06" w14:textId="77777777" w:rsidR="00942D12" w:rsidRDefault="00942D12" w:rsidP="00D52387">
      <w:pPr>
        <w:pStyle w:val="NoSpacing"/>
        <w:rPr>
          <w:rFonts w:asciiTheme="minorHAnsi" w:hAnsiTheme="minorHAnsi"/>
        </w:rPr>
      </w:pPr>
    </w:p>
    <w:p w14:paraId="35EF6C2C" w14:textId="77777777" w:rsidR="00942D12" w:rsidRDefault="00942D12" w:rsidP="00D52387">
      <w:pPr>
        <w:pStyle w:val="NoSpacing"/>
        <w:rPr>
          <w:rFonts w:asciiTheme="minorHAnsi" w:hAnsiTheme="minorHAnsi"/>
        </w:rPr>
      </w:pPr>
    </w:p>
    <w:sectPr w:rsidR="00942D12" w:rsidSect="00900800">
      <w:headerReference w:type="even" r:id="rId8"/>
      <w:headerReference w:type="default" r:id="rId9"/>
      <w:footerReference w:type="even" r:id="rId10"/>
      <w:footerReference w:type="default" r:id="rId11"/>
      <w:headerReference w:type="first" r:id="rId12"/>
      <w:footerReference w:type="first" r:id="rId13"/>
      <w:pgSz w:w="12242" w:h="15842"/>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DD6A8" w14:textId="77777777" w:rsidR="009C3B4F" w:rsidRDefault="009C3B4F" w:rsidP="004C450D">
      <w:pPr>
        <w:spacing w:after="0" w:line="240" w:lineRule="auto"/>
      </w:pPr>
      <w:r>
        <w:separator/>
      </w:r>
    </w:p>
  </w:endnote>
  <w:endnote w:type="continuationSeparator" w:id="0">
    <w:p w14:paraId="5EB3A88D" w14:textId="77777777" w:rsidR="009C3B4F" w:rsidRDefault="009C3B4F" w:rsidP="004C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27DA" w14:textId="77777777" w:rsidR="004C6571" w:rsidRDefault="004C6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512905"/>
      <w:docPartObj>
        <w:docPartGallery w:val="Page Numbers (Bottom of Page)"/>
        <w:docPartUnique/>
      </w:docPartObj>
    </w:sdtPr>
    <w:sdtEndPr>
      <w:rPr>
        <w:noProof/>
      </w:rPr>
    </w:sdtEndPr>
    <w:sdtContent>
      <w:p w14:paraId="458ADF5D" w14:textId="77777777" w:rsidR="00D946F6" w:rsidRDefault="00D946F6">
        <w:pPr>
          <w:pStyle w:val="Footer"/>
          <w:jc w:val="right"/>
        </w:pPr>
        <w:r>
          <w:fldChar w:fldCharType="begin"/>
        </w:r>
        <w:r>
          <w:instrText xml:space="preserve"> PAGE   \* MERGEFORMAT </w:instrText>
        </w:r>
        <w:r>
          <w:fldChar w:fldCharType="separate"/>
        </w:r>
        <w:r w:rsidR="00B80743">
          <w:rPr>
            <w:noProof/>
          </w:rPr>
          <w:t>17</w:t>
        </w:r>
        <w:r>
          <w:rPr>
            <w:noProof/>
          </w:rPr>
          <w:fldChar w:fldCharType="end"/>
        </w:r>
      </w:p>
    </w:sdtContent>
  </w:sdt>
  <w:p w14:paraId="7BA7C0B5" w14:textId="77777777" w:rsidR="00D946F6" w:rsidRPr="00870706" w:rsidRDefault="00D946F6" w:rsidP="00870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0391F" w14:textId="77777777" w:rsidR="004C6571" w:rsidRDefault="004C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E3C4" w14:textId="77777777" w:rsidR="009C3B4F" w:rsidRDefault="009C3B4F" w:rsidP="004C450D">
      <w:pPr>
        <w:spacing w:after="0" w:line="240" w:lineRule="auto"/>
      </w:pPr>
      <w:r>
        <w:separator/>
      </w:r>
    </w:p>
  </w:footnote>
  <w:footnote w:type="continuationSeparator" w:id="0">
    <w:p w14:paraId="09802E99" w14:textId="77777777" w:rsidR="009C3B4F" w:rsidRDefault="009C3B4F" w:rsidP="004C450D">
      <w:pPr>
        <w:spacing w:after="0" w:line="240" w:lineRule="auto"/>
      </w:pPr>
      <w:r>
        <w:continuationSeparator/>
      </w:r>
    </w:p>
  </w:footnote>
  <w:footnote w:id="1">
    <w:p w14:paraId="73CE4A6E" w14:textId="77777777" w:rsidR="00D946F6" w:rsidRDefault="00D946F6">
      <w:pPr>
        <w:pStyle w:val="FootnoteText"/>
      </w:pPr>
      <w:r>
        <w:rPr>
          <w:rStyle w:val="FootnoteReference"/>
        </w:rPr>
        <w:footnoteRef/>
      </w:r>
      <w:r>
        <w:t xml:space="preserve"> </w:t>
      </w:r>
      <w:r w:rsidRPr="00900800">
        <w:rPr>
          <w:sz w:val="18"/>
          <w:szCs w:val="18"/>
        </w:rPr>
        <w:t xml:space="preserve">Dillman, D.A., 2007. </w:t>
      </w:r>
      <w:r w:rsidRPr="00900800">
        <w:rPr>
          <w:sz w:val="18"/>
          <w:szCs w:val="18"/>
          <w:u w:val="single"/>
        </w:rPr>
        <w:t>Mail and Internet Surveys: The Tailored Design Method</w:t>
      </w:r>
      <w:r w:rsidRPr="00900800">
        <w:rPr>
          <w:sz w:val="18"/>
          <w:szCs w:val="18"/>
        </w:rPr>
        <w:t>, second ed. Hoboken, John Wiley Co., New Jersey (2007 Update).</w:t>
      </w:r>
    </w:p>
  </w:footnote>
  <w:footnote w:id="2">
    <w:p w14:paraId="6C66DF7A" w14:textId="77777777" w:rsidR="00942D12" w:rsidRPr="002A73C9" w:rsidRDefault="00942D12" w:rsidP="00942D12">
      <w:pPr>
        <w:autoSpaceDE w:val="0"/>
        <w:autoSpaceDN w:val="0"/>
        <w:adjustRightInd w:val="0"/>
        <w:spacing w:after="0" w:line="240" w:lineRule="auto"/>
        <w:rPr>
          <w:sz w:val="18"/>
          <w:szCs w:val="18"/>
        </w:rPr>
      </w:pPr>
      <w:r w:rsidRPr="002A73C9">
        <w:rPr>
          <w:sz w:val="18"/>
          <w:szCs w:val="18"/>
        </w:rPr>
        <w:footnoteRef/>
      </w:r>
      <w:r w:rsidRPr="002A73C9">
        <w:rPr>
          <w:sz w:val="18"/>
          <w:szCs w:val="18"/>
        </w:rPr>
        <w:t xml:space="preserve"> The NPS is administering</w:t>
      </w:r>
      <w:r>
        <w:rPr>
          <w:sz w:val="18"/>
          <w:szCs w:val="18"/>
        </w:rPr>
        <w:t xml:space="preserve"> OMB review of the recreational use study. GCMRC is leading the recreational use study as detailed in Project 13 in the </w:t>
      </w:r>
      <w:r w:rsidRPr="00963843">
        <w:rPr>
          <w:sz w:val="18"/>
          <w:szCs w:val="18"/>
        </w:rPr>
        <w:t>2015–2017</w:t>
      </w:r>
      <w:r>
        <w:rPr>
          <w:sz w:val="18"/>
          <w:szCs w:val="18"/>
        </w:rPr>
        <w:t xml:space="preserve"> TWP.</w:t>
      </w:r>
    </w:p>
  </w:footnote>
  <w:footnote w:id="3">
    <w:p w14:paraId="419837E4" w14:textId="77777777" w:rsidR="00942D12" w:rsidRPr="0010709D" w:rsidRDefault="00942D12" w:rsidP="00942D12">
      <w:pPr>
        <w:pStyle w:val="FootnoteText"/>
        <w:rPr>
          <w:sz w:val="18"/>
        </w:rPr>
      </w:pPr>
      <w:r>
        <w:rPr>
          <w:rStyle w:val="FootnoteReference"/>
        </w:rPr>
        <w:footnoteRef/>
      </w:r>
      <w:r>
        <w:t xml:space="preserve"> </w:t>
      </w:r>
      <w:r w:rsidRPr="0010709D">
        <w:rPr>
          <w:sz w:val="18"/>
        </w:rPr>
        <w:t xml:space="preserve">The assumption is made that ‘market values’ refer to </w:t>
      </w:r>
      <w:r>
        <w:rPr>
          <w:sz w:val="18"/>
        </w:rPr>
        <w:t xml:space="preserve">regional </w:t>
      </w:r>
      <w:r w:rsidRPr="0010709D">
        <w:rPr>
          <w:sz w:val="18"/>
        </w:rPr>
        <w:t>expenditures made by recreationists. Changes in regional recreational expenditures are a necessary component of a regional economic impact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BCA1" w14:textId="77777777" w:rsidR="004C6571" w:rsidRDefault="004C6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739BD" w14:textId="77777777" w:rsidR="004C6571" w:rsidRDefault="004C6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402F" w14:textId="77777777" w:rsidR="004C6571" w:rsidRDefault="004C6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DDD"/>
    <w:multiLevelType w:val="hybridMultilevel"/>
    <w:tmpl w:val="9F12BF78"/>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BE751"/>
    <w:multiLevelType w:val="hybridMultilevel"/>
    <w:tmpl w:val="8FD74D2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F0785"/>
    <w:multiLevelType w:val="hybridMultilevel"/>
    <w:tmpl w:val="47E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0267F"/>
    <w:multiLevelType w:val="hybridMultilevel"/>
    <w:tmpl w:val="78E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2855"/>
    <w:multiLevelType w:val="hybridMultilevel"/>
    <w:tmpl w:val="4EF0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137F1"/>
    <w:multiLevelType w:val="hybridMultilevel"/>
    <w:tmpl w:val="ACC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F3CC4"/>
    <w:multiLevelType w:val="hybridMultilevel"/>
    <w:tmpl w:val="D6F40AF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8" w15:restartNumberingAfterBreak="0">
    <w:nsid w:val="18011278"/>
    <w:multiLevelType w:val="hybridMultilevel"/>
    <w:tmpl w:val="4F4C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DD7140"/>
    <w:multiLevelType w:val="hybridMultilevel"/>
    <w:tmpl w:val="C047FA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94BA7"/>
    <w:multiLevelType w:val="hybridMultilevel"/>
    <w:tmpl w:val="FB08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11761"/>
    <w:multiLevelType w:val="hybridMultilevel"/>
    <w:tmpl w:val="1E2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955D7"/>
    <w:multiLevelType w:val="hybridMultilevel"/>
    <w:tmpl w:val="D16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C7EA0"/>
    <w:multiLevelType w:val="hybridMultilevel"/>
    <w:tmpl w:val="6E6C8FFA"/>
    <w:lvl w:ilvl="0" w:tplc="28747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15EE3"/>
    <w:multiLevelType w:val="hybridMultilevel"/>
    <w:tmpl w:val="490A98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A39F6"/>
    <w:multiLevelType w:val="hybridMultilevel"/>
    <w:tmpl w:val="B47A3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86D9B"/>
    <w:multiLevelType w:val="hybridMultilevel"/>
    <w:tmpl w:val="D9984D16"/>
    <w:lvl w:ilvl="0" w:tplc="2E3AD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71CB1"/>
    <w:multiLevelType w:val="hybridMultilevel"/>
    <w:tmpl w:val="578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10D81"/>
    <w:multiLevelType w:val="hybridMultilevel"/>
    <w:tmpl w:val="06DA2A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946CA"/>
    <w:multiLevelType w:val="hybridMultilevel"/>
    <w:tmpl w:val="CC267EF4"/>
    <w:lvl w:ilvl="0" w:tplc="E4AE6562">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0D6ED8"/>
    <w:multiLevelType w:val="hybridMultilevel"/>
    <w:tmpl w:val="57DE3A6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5" w15:restartNumberingAfterBreak="0">
    <w:nsid w:val="4B385E27"/>
    <w:multiLevelType w:val="hybridMultilevel"/>
    <w:tmpl w:val="B00C615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6" w15:restartNumberingAfterBreak="0">
    <w:nsid w:val="4D7C5F15"/>
    <w:multiLevelType w:val="hybridMultilevel"/>
    <w:tmpl w:val="0128D4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503D042C"/>
    <w:multiLevelType w:val="hybridMultilevel"/>
    <w:tmpl w:val="5B24C8CE"/>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8" w15:restartNumberingAfterBreak="0">
    <w:nsid w:val="56943FF2"/>
    <w:multiLevelType w:val="hybridMultilevel"/>
    <w:tmpl w:val="ED0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B5B1C"/>
    <w:multiLevelType w:val="hybridMultilevel"/>
    <w:tmpl w:val="13D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5149B"/>
    <w:multiLevelType w:val="hybridMultilevel"/>
    <w:tmpl w:val="385ED6CA"/>
    <w:lvl w:ilvl="0" w:tplc="8AB025B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83CFD"/>
    <w:multiLevelType w:val="hybridMultilevel"/>
    <w:tmpl w:val="147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868E0"/>
    <w:multiLevelType w:val="singleLevel"/>
    <w:tmpl w:val="718A31E8"/>
    <w:lvl w:ilvl="0">
      <w:start w:val="13"/>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060049D"/>
    <w:multiLevelType w:val="hybridMultilevel"/>
    <w:tmpl w:val="0A3C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D75F6"/>
    <w:multiLevelType w:val="hybridMultilevel"/>
    <w:tmpl w:val="A5227F4E"/>
    <w:lvl w:ilvl="0" w:tplc="F418CA4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7" w15:restartNumberingAfterBreak="0">
    <w:nsid w:val="63993EB0"/>
    <w:multiLevelType w:val="hybridMultilevel"/>
    <w:tmpl w:val="2E20C9DA"/>
    <w:lvl w:ilvl="0" w:tplc="008A1A3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A5665"/>
    <w:multiLevelType w:val="hybridMultilevel"/>
    <w:tmpl w:val="6AE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F4F2C"/>
    <w:multiLevelType w:val="hybridMultilevel"/>
    <w:tmpl w:val="02B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9320D"/>
    <w:multiLevelType w:val="hybridMultilevel"/>
    <w:tmpl w:val="DA1C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179A2"/>
    <w:multiLevelType w:val="hybridMultilevel"/>
    <w:tmpl w:val="400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540C"/>
    <w:multiLevelType w:val="singleLevel"/>
    <w:tmpl w:val="3CA2911A"/>
    <w:lvl w:ilvl="0">
      <w:start w:val="15"/>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79050611"/>
    <w:multiLevelType w:val="hybridMultilevel"/>
    <w:tmpl w:val="C65E8B26"/>
    <w:lvl w:ilvl="0" w:tplc="F420090E">
      <w:start w:val="1"/>
      <w:numFmt w:val="decimal"/>
      <w:lvlText w:val="%1."/>
      <w:lvlJc w:val="left"/>
      <w:pPr>
        <w:ind w:left="315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0F0C62"/>
    <w:multiLevelType w:val="hybridMultilevel"/>
    <w:tmpl w:val="9514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D516F"/>
    <w:multiLevelType w:val="singleLevel"/>
    <w:tmpl w:val="D0060956"/>
    <w:lvl w:ilvl="0">
      <w:start w:val="85"/>
      <w:numFmt w:val="decimal"/>
      <w:lvlText w:val="%1."/>
      <w:legacy w:legacy="1" w:legacySpace="0" w:legacyIndent="0"/>
      <w:lvlJc w:val="left"/>
      <w:rPr>
        <w:rFonts w:ascii="Times New Roman" w:hAnsi="Times New Roman" w:cs="Times New Roman" w:hint="default"/>
      </w:rPr>
    </w:lvl>
  </w:abstractNum>
  <w:abstractNum w:abstractNumId="47"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0"/>
  </w:num>
  <w:num w:numId="5">
    <w:abstractNumId w:val="46"/>
  </w:num>
  <w:num w:numId="6">
    <w:abstractNumId w:val="30"/>
  </w:num>
  <w:num w:numId="7">
    <w:abstractNumId w:val="34"/>
  </w:num>
  <w:num w:numId="8">
    <w:abstractNumId w:val="43"/>
  </w:num>
  <w:num w:numId="9">
    <w:abstractNumId w:val="37"/>
  </w:num>
  <w:num w:numId="10">
    <w:abstractNumId w:val="4"/>
  </w:num>
  <w:num w:numId="11">
    <w:abstractNumId w:val="7"/>
  </w:num>
  <w:num w:numId="12">
    <w:abstractNumId w:val="31"/>
  </w:num>
  <w:num w:numId="13">
    <w:abstractNumId w:val="24"/>
  </w:num>
  <w:num w:numId="14">
    <w:abstractNumId w:val="36"/>
  </w:num>
  <w:num w:numId="15">
    <w:abstractNumId w:val="25"/>
  </w:num>
  <w:num w:numId="16">
    <w:abstractNumId w:val="38"/>
  </w:num>
  <w:num w:numId="17">
    <w:abstractNumId w:val="27"/>
  </w:num>
  <w:num w:numId="18">
    <w:abstractNumId w:val="2"/>
  </w:num>
  <w:num w:numId="19">
    <w:abstractNumId w:val="28"/>
  </w:num>
  <w:num w:numId="20">
    <w:abstractNumId w:val="11"/>
  </w:num>
  <w:num w:numId="21">
    <w:abstractNumId w:val="32"/>
  </w:num>
  <w:num w:numId="22">
    <w:abstractNumId w:val="39"/>
  </w:num>
  <w:num w:numId="23">
    <w:abstractNumId w:val="33"/>
  </w:num>
  <w:num w:numId="24">
    <w:abstractNumId w:val="19"/>
  </w:num>
  <w:num w:numId="25">
    <w:abstractNumId w:val="10"/>
  </w:num>
  <w:num w:numId="26">
    <w:abstractNumId w:val="13"/>
  </w:num>
  <w:num w:numId="27">
    <w:abstractNumId w:val="5"/>
  </w:num>
  <w:num w:numId="28">
    <w:abstractNumId w:val="40"/>
  </w:num>
  <w:num w:numId="29">
    <w:abstractNumId w:val="42"/>
  </w:num>
  <w:num w:numId="30">
    <w:abstractNumId w:val="12"/>
  </w:num>
  <w:num w:numId="31">
    <w:abstractNumId w:val="14"/>
  </w:num>
  <w:num w:numId="32">
    <w:abstractNumId w:val="3"/>
  </w:num>
  <w:num w:numId="33">
    <w:abstractNumId w:val="21"/>
  </w:num>
  <w:num w:numId="34">
    <w:abstractNumId w:val="29"/>
  </w:num>
  <w:num w:numId="35">
    <w:abstractNumId w:val="47"/>
  </w:num>
  <w:num w:numId="36">
    <w:abstractNumId w:val="26"/>
  </w:num>
  <w:num w:numId="37">
    <w:abstractNumId w:val="44"/>
  </w:num>
  <w:num w:numId="38">
    <w:abstractNumId w:val="16"/>
  </w:num>
  <w:num w:numId="39">
    <w:abstractNumId w:val="6"/>
  </w:num>
  <w:num w:numId="40">
    <w:abstractNumId w:val="18"/>
  </w:num>
  <w:num w:numId="41">
    <w:abstractNumId w:val="41"/>
  </w:num>
  <w:num w:numId="42">
    <w:abstractNumId w:val="23"/>
  </w:num>
  <w:num w:numId="43">
    <w:abstractNumId w:val="17"/>
  </w:num>
  <w:num w:numId="44">
    <w:abstractNumId w:val="8"/>
  </w:num>
  <w:num w:numId="45">
    <w:abstractNumId w:val="15"/>
  </w:num>
  <w:num w:numId="46">
    <w:abstractNumId w:val="35"/>
  </w:num>
  <w:num w:numId="47">
    <w:abstractNumId w:val="2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A7"/>
    <w:rsid w:val="00000758"/>
    <w:rsid w:val="0000513B"/>
    <w:rsid w:val="00005A6B"/>
    <w:rsid w:val="00006DB3"/>
    <w:rsid w:val="00006E0B"/>
    <w:rsid w:val="00010BC1"/>
    <w:rsid w:val="000132E1"/>
    <w:rsid w:val="00013DEE"/>
    <w:rsid w:val="00015B8D"/>
    <w:rsid w:val="00025A43"/>
    <w:rsid w:val="00033197"/>
    <w:rsid w:val="00035E79"/>
    <w:rsid w:val="00036775"/>
    <w:rsid w:val="00042DF3"/>
    <w:rsid w:val="00050491"/>
    <w:rsid w:val="00051E38"/>
    <w:rsid w:val="000528C5"/>
    <w:rsid w:val="0005426D"/>
    <w:rsid w:val="000548D0"/>
    <w:rsid w:val="00060D98"/>
    <w:rsid w:val="00061E0D"/>
    <w:rsid w:val="00062C74"/>
    <w:rsid w:val="00064798"/>
    <w:rsid w:val="00065CF5"/>
    <w:rsid w:val="00067DE1"/>
    <w:rsid w:val="00073FE6"/>
    <w:rsid w:val="00074825"/>
    <w:rsid w:val="000758F3"/>
    <w:rsid w:val="000761D3"/>
    <w:rsid w:val="00085554"/>
    <w:rsid w:val="00095F95"/>
    <w:rsid w:val="00096E63"/>
    <w:rsid w:val="000A357D"/>
    <w:rsid w:val="000B5510"/>
    <w:rsid w:val="000C2528"/>
    <w:rsid w:val="000C347C"/>
    <w:rsid w:val="000C5B65"/>
    <w:rsid w:val="000C7F92"/>
    <w:rsid w:val="000D5711"/>
    <w:rsid w:val="000D6D83"/>
    <w:rsid w:val="000E0C40"/>
    <w:rsid w:val="000E10A0"/>
    <w:rsid w:val="000E276D"/>
    <w:rsid w:val="000E796F"/>
    <w:rsid w:val="000F11A9"/>
    <w:rsid w:val="001019D4"/>
    <w:rsid w:val="00103AD6"/>
    <w:rsid w:val="00105478"/>
    <w:rsid w:val="001125DC"/>
    <w:rsid w:val="00114879"/>
    <w:rsid w:val="00116CAD"/>
    <w:rsid w:val="001175C1"/>
    <w:rsid w:val="00126DDA"/>
    <w:rsid w:val="0013069C"/>
    <w:rsid w:val="001333F9"/>
    <w:rsid w:val="00151419"/>
    <w:rsid w:val="0015263E"/>
    <w:rsid w:val="0016179F"/>
    <w:rsid w:val="001617B3"/>
    <w:rsid w:val="00163F89"/>
    <w:rsid w:val="00165FE0"/>
    <w:rsid w:val="00166722"/>
    <w:rsid w:val="001710DD"/>
    <w:rsid w:val="00176FEE"/>
    <w:rsid w:val="00181CB7"/>
    <w:rsid w:val="001844A6"/>
    <w:rsid w:val="00194DB6"/>
    <w:rsid w:val="001A3579"/>
    <w:rsid w:val="001A3727"/>
    <w:rsid w:val="001B2796"/>
    <w:rsid w:val="001B7F5C"/>
    <w:rsid w:val="001C01C9"/>
    <w:rsid w:val="001C7F7D"/>
    <w:rsid w:val="001D2C33"/>
    <w:rsid w:val="001D5973"/>
    <w:rsid w:val="001D718B"/>
    <w:rsid w:val="001E53C3"/>
    <w:rsid w:val="001E5961"/>
    <w:rsid w:val="001E68C6"/>
    <w:rsid w:val="001E7174"/>
    <w:rsid w:val="001F563A"/>
    <w:rsid w:val="002079FC"/>
    <w:rsid w:val="00207EC4"/>
    <w:rsid w:val="00210678"/>
    <w:rsid w:val="002112FB"/>
    <w:rsid w:val="0021329D"/>
    <w:rsid w:val="002267CB"/>
    <w:rsid w:val="002275DA"/>
    <w:rsid w:val="00230E19"/>
    <w:rsid w:val="002377B6"/>
    <w:rsid w:val="00240969"/>
    <w:rsid w:val="00240E83"/>
    <w:rsid w:val="00245079"/>
    <w:rsid w:val="00251128"/>
    <w:rsid w:val="00251A6B"/>
    <w:rsid w:val="00253BC0"/>
    <w:rsid w:val="00257662"/>
    <w:rsid w:val="00265942"/>
    <w:rsid w:val="00271C78"/>
    <w:rsid w:val="002720D2"/>
    <w:rsid w:val="002811E1"/>
    <w:rsid w:val="002819BA"/>
    <w:rsid w:val="00287B80"/>
    <w:rsid w:val="002900F4"/>
    <w:rsid w:val="002A3C3B"/>
    <w:rsid w:val="002A3D9D"/>
    <w:rsid w:val="002B6AD4"/>
    <w:rsid w:val="002C3FE5"/>
    <w:rsid w:val="002C51BC"/>
    <w:rsid w:val="002D3734"/>
    <w:rsid w:val="002D3819"/>
    <w:rsid w:val="002D676A"/>
    <w:rsid w:val="002E1F6D"/>
    <w:rsid w:val="002E6B22"/>
    <w:rsid w:val="002F565F"/>
    <w:rsid w:val="002F5B4D"/>
    <w:rsid w:val="00312BC7"/>
    <w:rsid w:val="0031398D"/>
    <w:rsid w:val="00314167"/>
    <w:rsid w:val="003221C8"/>
    <w:rsid w:val="00326369"/>
    <w:rsid w:val="003339F1"/>
    <w:rsid w:val="003363E6"/>
    <w:rsid w:val="00336EB1"/>
    <w:rsid w:val="00341FFD"/>
    <w:rsid w:val="00342CC5"/>
    <w:rsid w:val="003546D0"/>
    <w:rsid w:val="00355FCB"/>
    <w:rsid w:val="00356493"/>
    <w:rsid w:val="0036196A"/>
    <w:rsid w:val="00362CC3"/>
    <w:rsid w:val="00366FE1"/>
    <w:rsid w:val="0037163F"/>
    <w:rsid w:val="00381DCF"/>
    <w:rsid w:val="003900FF"/>
    <w:rsid w:val="00391393"/>
    <w:rsid w:val="003956CC"/>
    <w:rsid w:val="00396E48"/>
    <w:rsid w:val="003A40D3"/>
    <w:rsid w:val="003A4DD8"/>
    <w:rsid w:val="003A59A6"/>
    <w:rsid w:val="003A6F40"/>
    <w:rsid w:val="003B0B31"/>
    <w:rsid w:val="003B2B7A"/>
    <w:rsid w:val="003C72D2"/>
    <w:rsid w:val="003D1DE4"/>
    <w:rsid w:val="003E3055"/>
    <w:rsid w:val="003F1FBA"/>
    <w:rsid w:val="003F2158"/>
    <w:rsid w:val="003F579A"/>
    <w:rsid w:val="0040023F"/>
    <w:rsid w:val="00420659"/>
    <w:rsid w:val="00420817"/>
    <w:rsid w:val="00431CE6"/>
    <w:rsid w:val="004409C2"/>
    <w:rsid w:val="00442A1B"/>
    <w:rsid w:val="00445BDE"/>
    <w:rsid w:val="004506E2"/>
    <w:rsid w:val="00452CAB"/>
    <w:rsid w:val="00465D97"/>
    <w:rsid w:val="0047289E"/>
    <w:rsid w:val="0047631F"/>
    <w:rsid w:val="00476B07"/>
    <w:rsid w:val="00484AEE"/>
    <w:rsid w:val="00492D8E"/>
    <w:rsid w:val="004A7046"/>
    <w:rsid w:val="004A7FF3"/>
    <w:rsid w:val="004B25D3"/>
    <w:rsid w:val="004B7B53"/>
    <w:rsid w:val="004C450D"/>
    <w:rsid w:val="004C6499"/>
    <w:rsid w:val="004C6571"/>
    <w:rsid w:val="004C7564"/>
    <w:rsid w:val="004D08C6"/>
    <w:rsid w:val="004D1612"/>
    <w:rsid w:val="004D790F"/>
    <w:rsid w:val="004E1EAF"/>
    <w:rsid w:val="004E512F"/>
    <w:rsid w:val="004E57B8"/>
    <w:rsid w:val="004E688E"/>
    <w:rsid w:val="004F15DF"/>
    <w:rsid w:val="00500EBB"/>
    <w:rsid w:val="00502AF6"/>
    <w:rsid w:val="00507408"/>
    <w:rsid w:val="005115FC"/>
    <w:rsid w:val="0051619E"/>
    <w:rsid w:val="005201D9"/>
    <w:rsid w:val="0052150C"/>
    <w:rsid w:val="00530F93"/>
    <w:rsid w:val="00532CDE"/>
    <w:rsid w:val="0056043E"/>
    <w:rsid w:val="005610C3"/>
    <w:rsid w:val="00562C46"/>
    <w:rsid w:val="00563B11"/>
    <w:rsid w:val="00566174"/>
    <w:rsid w:val="00570CF6"/>
    <w:rsid w:val="00572F1C"/>
    <w:rsid w:val="005756A6"/>
    <w:rsid w:val="00576E17"/>
    <w:rsid w:val="00584B7A"/>
    <w:rsid w:val="00587CE2"/>
    <w:rsid w:val="00594A95"/>
    <w:rsid w:val="00594DF2"/>
    <w:rsid w:val="005955D7"/>
    <w:rsid w:val="00596C3B"/>
    <w:rsid w:val="005A083C"/>
    <w:rsid w:val="005A16F4"/>
    <w:rsid w:val="005A2140"/>
    <w:rsid w:val="005B207E"/>
    <w:rsid w:val="005C563A"/>
    <w:rsid w:val="005D03BA"/>
    <w:rsid w:val="005E079D"/>
    <w:rsid w:val="005E4A21"/>
    <w:rsid w:val="005F397E"/>
    <w:rsid w:val="005F5560"/>
    <w:rsid w:val="005F7471"/>
    <w:rsid w:val="005F7E3B"/>
    <w:rsid w:val="00600345"/>
    <w:rsid w:val="00600602"/>
    <w:rsid w:val="00603378"/>
    <w:rsid w:val="00603B43"/>
    <w:rsid w:val="00603BA1"/>
    <w:rsid w:val="006102E9"/>
    <w:rsid w:val="0061142F"/>
    <w:rsid w:val="0061207E"/>
    <w:rsid w:val="00613A0C"/>
    <w:rsid w:val="00615C28"/>
    <w:rsid w:val="006168F6"/>
    <w:rsid w:val="00625279"/>
    <w:rsid w:val="00631979"/>
    <w:rsid w:val="00633F76"/>
    <w:rsid w:val="00634979"/>
    <w:rsid w:val="00634FFD"/>
    <w:rsid w:val="00635120"/>
    <w:rsid w:val="00635197"/>
    <w:rsid w:val="006354F4"/>
    <w:rsid w:val="00636157"/>
    <w:rsid w:val="006405D4"/>
    <w:rsid w:val="00641419"/>
    <w:rsid w:val="00643405"/>
    <w:rsid w:val="006443CA"/>
    <w:rsid w:val="006531AD"/>
    <w:rsid w:val="006552FF"/>
    <w:rsid w:val="006652FC"/>
    <w:rsid w:val="00667850"/>
    <w:rsid w:val="006718D9"/>
    <w:rsid w:val="0067373C"/>
    <w:rsid w:val="00674F0F"/>
    <w:rsid w:val="0068435E"/>
    <w:rsid w:val="00686E98"/>
    <w:rsid w:val="006918A6"/>
    <w:rsid w:val="00694740"/>
    <w:rsid w:val="006A0A86"/>
    <w:rsid w:val="006A259D"/>
    <w:rsid w:val="006A3184"/>
    <w:rsid w:val="006A4C26"/>
    <w:rsid w:val="006A4E34"/>
    <w:rsid w:val="006A56EF"/>
    <w:rsid w:val="006A6038"/>
    <w:rsid w:val="006A65E0"/>
    <w:rsid w:val="006A79F1"/>
    <w:rsid w:val="006B12B4"/>
    <w:rsid w:val="006B793F"/>
    <w:rsid w:val="006C35C3"/>
    <w:rsid w:val="006C6458"/>
    <w:rsid w:val="006C6D91"/>
    <w:rsid w:val="006D04DC"/>
    <w:rsid w:val="006D2BE6"/>
    <w:rsid w:val="006D3DBE"/>
    <w:rsid w:val="006D5D67"/>
    <w:rsid w:val="006E2ED6"/>
    <w:rsid w:val="006E4625"/>
    <w:rsid w:val="006E692C"/>
    <w:rsid w:val="006E7346"/>
    <w:rsid w:val="006F157B"/>
    <w:rsid w:val="006F786E"/>
    <w:rsid w:val="00702471"/>
    <w:rsid w:val="0070348A"/>
    <w:rsid w:val="00711F31"/>
    <w:rsid w:val="00712EA7"/>
    <w:rsid w:val="00714457"/>
    <w:rsid w:val="007147F2"/>
    <w:rsid w:val="007156F5"/>
    <w:rsid w:val="00717FEC"/>
    <w:rsid w:val="00722408"/>
    <w:rsid w:val="007271F0"/>
    <w:rsid w:val="00730FC4"/>
    <w:rsid w:val="00735845"/>
    <w:rsid w:val="00752BBC"/>
    <w:rsid w:val="0075409A"/>
    <w:rsid w:val="007559AD"/>
    <w:rsid w:val="00755AB4"/>
    <w:rsid w:val="00757DE5"/>
    <w:rsid w:val="00765941"/>
    <w:rsid w:val="00772651"/>
    <w:rsid w:val="00774697"/>
    <w:rsid w:val="00784196"/>
    <w:rsid w:val="00784BE0"/>
    <w:rsid w:val="007966BE"/>
    <w:rsid w:val="007A014F"/>
    <w:rsid w:val="007A0AFD"/>
    <w:rsid w:val="007A59D7"/>
    <w:rsid w:val="007A6EFB"/>
    <w:rsid w:val="007B3FFD"/>
    <w:rsid w:val="007B483A"/>
    <w:rsid w:val="007B5129"/>
    <w:rsid w:val="007B64C6"/>
    <w:rsid w:val="007C017C"/>
    <w:rsid w:val="007C4088"/>
    <w:rsid w:val="007C456F"/>
    <w:rsid w:val="007C70C3"/>
    <w:rsid w:val="007D2C67"/>
    <w:rsid w:val="007E0DAA"/>
    <w:rsid w:val="007E196E"/>
    <w:rsid w:val="007E6EA8"/>
    <w:rsid w:val="008050D5"/>
    <w:rsid w:val="00811241"/>
    <w:rsid w:val="00815F49"/>
    <w:rsid w:val="008163CE"/>
    <w:rsid w:val="00827A49"/>
    <w:rsid w:val="00831EEF"/>
    <w:rsid w:val="00832AB7"/>
    <w:rsid w:val="00833279"/>
    <w:rsid w:val="008365AC"/>
    <w:rsid w:val="008379EE"/>
    <w:rsid w:val="00846B63"/>
    <w:rsid w:val="00852C28"/>
    <w:rsid w:val="00855929"/>
    <w:rsid w:val="00863011"/>
    <w:rsid w:val="008665C3"/>
    <w:rsid w:val="00866F37"/>
    <w:rsid w:val="00870706"/>
    <w:rsid w:val="00880256"/>
    <w:rsid w:val="00880EDF"/>
    <w:rsid w:val="008822D7"/>
    <w:rsid w:val="00885579"/>
    <w:rsid w:val="00885B7B"/>
    <w:rsid w:val="008864AA"/>
    <w:rsid w:val="008B00B4"/>
    <w:rsid w:val="008B011D"/>
    <w:rsid w:val="008B3B0A"/>
    <w:rsid w:val="008C1F8B"/>
    <w:rsid w:val="008D2DFF"/>
    <w:rsid w:val="008D6CC4"/>
    <w:rsid w:val="008E2524"/>
    <w:rsid w:val="008E2A82"/>
    <w:rsid w:val="008E642D"/>
    <w:rsid w:val="008E765C"/>
    <w:rsid w:val="008F76FE"/>
    <w:rsid w:val="00900800"/>
    <w:rsid w:val="00902CE7"/>
    <w:rsid w:val="0091029E"/>
    <w:rsid w:val="00910CD6"/>
    <w:rsid w:val="00911ED6"/>
    <w:rsid w:val="00914DBD"/>
    <w:rsid w:val="009160E0"/>
    <w:rsid w:val="0091618B"/>
    <w:rsid w:val="00917BB8"/>
    <w:rsid w:val="009240D4"/>
    <w:rsid w:val="00927622"/>
    <w:rsid w:val="00931E27"/>
    <w:rsid w:val="00936397"/>
    <w:rsid w:val="00942D12"/>
    <w:rsid w:val="0094416F"/>
    <w:rsid w:val="00946866"/>
    <w:rsid w:val="00947943"/>
    <w:rsid w:val="00953F2F"/>
    <w:rsid w:val="00954A60"/>
    <w:rsid w:val="00957F6B"/>
    <w:rsid w:val="009604E4"/>
    <w:rsid w:val="009649D2"/>
    <w:rsid w:val="00967B27"/>
    <w:rsid w:val="0097024E"/>
    <w:rsid w:val="00972CF7"/>
    <w:rsid w:val="0097517D"/>
    <w:rsid w:val="009802AD"/>
    <w:rsid w:val="009807BB"/>
    <w:rsid w:val="00981FF8"/>
    <w:rsid w:val="0098285A"/>
    <w:rsid w:val="0098746B"/>
    <w:rsid w:val="00994008"/>
    <w:rsid w:val="009A5759"/>
    <w:rsid w:val="009A70FD"/>
    <w:rsid w:val="009A7F73"/>
    <w:rsid w:val="009B36DF"/>
    <w:rsid w:val="009B697D"/>
    <w:rsid w:val="009C01F1"/>
    <w:rsid w:val="009C3B4F"/>
    <w:rsid w:val="009C4BD9"/>
    <w:rsid w:val="009C6DA6"/>
    <w:rsid w:val="009D0240"/>
    <w:rsid w:val="009D3AD6"/>
    <w:rsid w:val="009D4BCA"/>
    <w:rsid w:val="009D5ABA"/>
    <w:rsid w:val="009E5AE5"/>
    <w:rsid w:val="009F295E"/>
    <w:rsid w:val="009F71B1"/>
    <w:rsid w:val="00A027C4"/>
    <w:rsid w:val="00A065A1"/>
    <w:rsid w:val="00A10C8C"/>
    <w:rsid w:val="00A11AC2"/>
    <w:rsid w:val="00A20666"/>
    <w:rsid w:val="00A267A7"/>
    <w:rsid w:val="00A2721A"/>
    <w:rsid w:val="00A319B0"/>
    <w:rsid w:val="00A32107"/>
    <w:rsid w:val="00A3467C"/>
    <w:rsid w:val="00A36473"/>
    <w:rsid w:val="00A40F34"/>
    <w:rsid w:val="00A524AE"/>
    <w:rsid w:val="00A5568D"/>
    <w:rsid w:val="00A6079E"/>
    <w:rsid w:val="00A61E85"/>
    <w:rsid w:val="00A70CDD"/>
    <w:rsid w:val="00A71DF4"/>
    <w:rsid w:val="00A80DB6"/>
    <w:rsid w:val="00A86EC9"/>
    <w:rsid w:val="00A91FEE"/>
    <w:rsid w:val="00A95AD6"/>
    <w:rsid w:val="00AA07D4"/>
    <w:rsid w:val="00AA2B8C"/>
    <w:rsid w:val="00AA69A3"/>
    <w:rsid w:val="00AB6FB2"/>
    <w:rsid w:val="00AC0A5F"/>
    <w:rsid w:val="00AC66CB"/>
    <w:rsid w:val="00AD0DCF"/>
    <w:rsid w:val="00AD3518"/>
    <w:rsid w:val="00AE04D4"/>
    <w:rsid w:val="00AE7B0B"/>
    <w:rsid w:val="00AF3194"/>
    <w:rsid w:val="00AF4A97"/>
    <w:rsid w:val="00AF61B5"/>
    <w:rsid w:val="00B0520B"/>
    <w:rsid w:val="00B05D22"/>
    <w:rsid w:val="00B06C6C"/>
    <w:rsid w:val="00B12261"/>
    <w:rsid w:val="00B12ED6"/>
    <w:rsid w:val="00B15F5E"/>
    <w:rsid w:val="00B307E1"/>
    <w:rsid w:val="00B345B0"/>
    <w:rsid w:val="00B411C2"/>
    <w:rsid w:val="00B42B57"/>
    <w:rsid w:val="00B434D3"/>
    <w:rsid w:val="00B45358"/>
    <w:rsid w:val="00B5130A"/>
    <w:rsid w:val="00B7092B"/>
    <w:rsid w:val="00B72E0D"/>
    <w:rsid w:val="00B75833"/>
    <w:rsid w:val="00B759BD"/>
    <w:rsid w:val="00B76872"/>
    <w:rsid w:val="00B80743"/>
    <w:rsid w:val="00B832BA"/>
    <w:rsid w:val="00BA0134"/>
    <w:rsid w:val="00BA03C9"/>
    <w:rsid w:val="00BA081C"/>
    <w:rsid w:val="00BA0A9A"/>
    <w:rsid w:val="00BA1A5B"/>
    <w:rsid w:val="00BA44CC"/>
    <w:rsid w:val="00BA612C"/>
    <w:rsid w:val="00BA67C8"/>
    <w:rsid w:val="00BA76ED"/>
    <w:rsid w:val="00BC44B0"/>
    <w:rsid w:val="00BD0DB0"/>
    <w:rsid w:val="00BE4A6A"/>
    <w:rsid w:val="00BE4F9C"/>
    <w:rsid w:val="00BE7414"/>
    <w:rsid w:val="00BF33B4"/>
    <w:rsid w:val="00C05FD2"/>
    <w:rsid w:val="00C062DE"/>
    <w:rsid w:val="00C1055A"/>
    <w:rsid w:val="00C201A0"/>
    <w:rsid w:val="00C21210"/>
    <w:rsid w:val="00C21DF3"/>
    <w:rsid w:val="00C35D72"/>
    <w:rsid w:val="00C511A4"/>
    <w:rsid w:val="00C56F74"/>
    <w:rsid w:val="00C67ED4"/>
    <w:rsid w:val="00C727F9"/>
    <w:rsid w:val="00C73B04"/>
    <w:rsid w:val="00C75834"/>
    <w:rsid w:val="00C76EEC"/>
    <w:rsid w:val="00C81336"/>
    <w:rsid w:val="00C93183"/>
    <w:rsid w:val="00C95537"/>
    <w:rsid w:val="00C97CA0"/>
    <w:rsid w:val="00CA1221"/>
    <w:rsid w:val="00CA4F25"/>
    <w:rsid w:val="00CA67C5"/>
    <w:rsid w:val="00CB2EC9"/>
    <w:rsid w:val="00CB5745"/>
    <w:rsid w:val="00CB5FF4"/>
    <w:rsid w:val="00CB76F3"/>
    <w:rsid w:val="00CB79C7"/>
    <w:rsid w:val="00CC02F2"/>
    <w:rsid w:val="00CC64DE"/>
    <w:rsid w:val="00CD302C"/>
    <w:rsid w:val="00CD3F70"/>
    <w:rsid w:val="00CD44CA"/>
    <w:rsid w:val="00CD57E3"/>
    <w:rsid w:val="00CE1AD9"/>
    <w:rsid w:val="00CF074C"/>
    <w:rsid w:val="00CF0F85"/>
    <w:rsid w:val="00CF48CD"/>
    <w:rsid w:val="00D00A17"/>
    <w:rsid w:val="00D041A2"/>
    <w:rsid w:val="00D11155"/>
    <w:rsid w:val="00D14D42"/>
    <w:rsid w:val="00D17F1E"/>
    <w:rsid w:val="00D352CB"/>
    <w:rsid w:val="00D35367"/>
    <w:rsid w:val="00D4365B"/>
    <w:rsid w:val="00D4472F"/>
    <w:rsid w:val="00D52387"/>
    <w:rsid w:val="00D54447"/>
    <w:rsid w:val="00D545D9"/>
    <w:rsid w:val="00D61567"/>
    <w:rsid w:val="00D7185B"/>
    <w:rsid w:val="00D71F43"/>
    <w:rsid w:val="00D72D38"/>
    <w:rsid w:val="00D7673B"/>
    <w:rsid w:val="00D7786F"/>
    <w:rsid w:val="00D802D2"/>
    <w:rsid w:val="00D83AF7"/>
    <w:rsid w:val="00D86157"/>
    <w:rsid w:val="00D879C4"/>
    <w:rsid w:val="00D946F6"/>
    <w:rsid w:val="00D968DB"/>
    <w:rsid w:val="00DB0269"/>
    <w:rsid w:val="00DB4E68"/>
    <w:rsid w:val="00DB78DF"/>
    <w:rsid w:val="00DB7AC5"/>
    <w:rsid w:val="00DC0B99"/>
    <w:rsid w:val="00DD125F"/>
    <w:rsid w:val="00DD4841"/>
    <w:rsid w:val="00DD4DD1"/>
    <w:rsid w:val="00DE218F"/>
    <w:rsid w:val="00DE3CAF"/>
    <w:rsid w:val="00DE772B"/>
    <w:rsid w:val="00DE7ABF"/>
    <w:rsid w:val="00DF4639"/>
    <w:rsid w:val="00DF779D"/>
    <w:rsid w:val="00DF7F8E"/>
    <w:rsid w:val="00E02394"/>
    <w:rsid w:val="00E03B39"/>
    <w:rsid w:val="00E03C3D"/>
    <w:rsid w:val="00E04AEE"/>
    <w:rsid w:val="00E05FDA"/>
    <w:rsid w:val="00E0786F"/>
    <w:rsid w:val="00E1317D"/>
    <w:rsid w:val="00E14C32"/>
    <w:rsid w:val="00E15F1D"/>
    <w:rsid w:val="00E2397A"/>
    <w:rsid w:val="00E256C8"/>
    <w:rsid w:val="00E3081D"/>
    <w:rsid w:val="00E3181C"/>
    <w:rsid w:val="00E31FBC"/>
    <w:rsid w:val="00E331A6"/>
    <w:rsid w:val="00E36E57"/>
    <w:rsid w:val="00E42FFA"/>
    <w:rsid w:val="00E47A41"/>
    <w:rsid w:val="00E51351"/>
    <w:rsid w:val="00E56E00"/>
    <w:rsid w:val="00E57F2F"/>
    <w:rsid w:val="00E60FB4"/>
    <w:rsid w:val="00E72D3A"/>
    <w:rsid w:val="00E7342D"/>
    <w:rsid w:val="00E7442F"/>
    <w:rsid w:val="00E75654"/>
    <w:rsid w:val="00E774EE"/>
    <w:rsid w:val="00E77DF1"/>
    <w:rsid w:val="00E85440"/>
    <w:rsid w:val="00E85F3C"/>
    <w:rsid w:val="00E95D22"/>
    <w:rsid w:val="00EA76EA"/>
    <w:rsid w:val="00EB2098"/>
    <w:rsid w:val="00EB41F1"/>
    <w:rsid w:val="00EB4985"/>
    <w:rsid w:val="00EC3AED"/>
    <w:rsid w:val="00EC3C72"/>
    <w:rsid w:val="00EC401E"/>
    <w:rsid w:val="00EE3DBC"/>
    <w:rsid w:val="00EE790E"/>
    <w:rsid w:val="00EF474F"/>
    <w:rsid w:val="00EF7963"/>
    <w:rsid w:val="00F008DB"/>
    <w:rsid w:val="00F0724A"/>
    <w:rsid w:val="00F10EFE"/>
    <w:rsid w:val="00F12C91"/>
    <w:rsid w:val="00F227BB"/>
    <w:rsid w:val="00F231B2"/>
    <w:rsid w:val="00F24386"/>
    <w:rsid w:val="00F321B0"/>
    <w:rsid w:val="00F332EC"/>
    <w:rsid w:val="00F34E44"/>
    <w:rsid w:val="00F40F10"/>
    <w:rsid w:val="00F43C7A"/>
    <w:rsid w:val="00F44699"/>
    <w:rsid w:val="00F44805"/>
    <w:rsid w:val="00F61358"/>
    <w:rsid w:val="00F64B6C"/>
    <w:rsid w:val="00F66876"/>
    <w:rsid w:val="00F70444"/>
    <w:rsid w:val="00F73163"/>
    <w:rsid w:val="00F808A5"/>
    <w:rsid w:val="00FA5D88"/>
    <w:rsid w:val="00FA6035"/>
    <w:rsid w:val="00FA7336"/>
    <w:rsid w:val="00FB18AA"/>
    <w:rsid w:val="00FB4907"/>
    <w:rsid w:val="00FC0641"/>
    <w:rsid w:val="00FC0C5C"/>
    <w:rsid w:val="00FC616A"/>
    <w:rsid w:val="00FC7CBA"/>
    <w:rsid w:val="00FC7E6A"/>
    <w:rsid w:val="00FD3002"/>
    <w:rsid w:val="00FD66FF"/>
    <w:rsid w:val="00FD69AB"/>
    <w:rsid w:val="00FE488D"/>
    <w:rsid w:val="00FE5789"/>
    <w:rsid w:val="00FE7B0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7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B2"/>
    <w:pPr>
      <w:spacing w:after="200" w:line="276" w:lineRule="auto"/>
    </w:pPr>
    <w:rPr>
      <w:sz w:val="22"/>
      <w:szCs w:val="22"/>
    </w:rPr>
  </w:style>
  <w:style w:type="paragraph" w:styleId="Heading1">
    <w:name w:val="heading 1"/>
    <w:basedOn w:val="Normal"/>
    <w:next w:val="Normal"/>
    <w:link w:val="Heading1Char"/>
    <w:uiPriority w:val="9"/>
    <w:qFormat/>
    <w:rsid w:val="00AA2B8C"/>
    <w:pPr>
      <w:keepNext/>
      <w:keepLines/>
      <w:spacing w:before="480" w:after="0"/>
      <w:outlineLvl w:val="0"/>
    </w:pPr>
    <w:rPr>
      <w:rFonts w:ascii="Cambria"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FB2"/>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AB6FB2"/>
    <w:pPr>
      <w:spacing w:line="276" w:lineRule="atLeast"/>
    </w:pPr>
    <w:rPr>
      <w:color w:val="auto"/>
    </w:rPr>
  </w:style>
  <w:style w:type="paragraph" w:customStyle="1" w:styleId="CM24">
    <w:name w:val="CM24"/>
    <w:basedOn w:val="Default"/>
    <w:next w:val="Default"/>
    <w:uiPriority w:val="99"/>
    <w:rsid w:val="00AB6FB2"/>
    <w:pPr>
      <w:spacing w:after="283"/>
    </w:pPr>
    <w:rPr>
      <w:color w:val="auto"/>
    </w:rPr>
  </w:style>
  <w:style w:type="paragraph" w:customStyle="1" w:styleId="CM2">
    <w:name w:val="CM2"/>
    <w:basedOn w:val="Default"/>
    <w:next w:val="Default"/>
    <w:uiPriority w:val="99"/>
    <w:rsid w:val="00AB6FB2"/>
    <w:pPr>
      <w:spacing w:line="186" w:lineRule="atLeast"/>
    </w:pPr>
    <w:rPr>
      <w:color w:val="auto"/>
    </w:rPr>
  </w:style>
  <w:style w:type="paragraph" w:customStyle="1" w:styleId="CM25">
    <w:name w:val="CM25"/>
    <w:basedOn w:val="Default"/>
    <w:next w:val="Default"/>
    <w:uiPriority w:val="99"/>
    <w:rsid w:val="00AB6FB2"/>
    <w:pPr>
      <w:spacing w:after="175"/>
    </w:pPr>
    <w:rPr>
      <w:color w:val="auto"/>
    </w:rPr>
  </w:style>
  <w:style w:type="paragraph" w:customStyle="1" w:styleId="CM3">
    <w:name w:val="CM3"/>
    <w:basedOn w:val="Default"/>
    <w:next w:val="Default"/>
    <w:uiPriority w:val="99"/>
    <w:rsid w:val="00AB6FB2"/>
    <w:pPr>
      <w:spacing w:line="276" w:lineRule="atLeast"/>
    </w:pPr>
    <w:rPr>
      <w:color w:val="auto"/>
    </w:rPr>
  </w:style>
  <w:style w:type="paragraph" w:customStyle="1" w:styleId="CM4">
    <w:name w:val="CM4"/>
    <w:basedOn w:val="Default"/>
    <w:next w:val="Default"/>
    <w:uiPriority w:val="99"/>
    <w:rsid w:val="00AB6FB2"/>
    <w:pPr>
      <w:spacing w:line="276" w:lineRule="atLeast"/>
    </w:pPr>
    <w:rPr>
      <w:color w:val="auto"/>
    </w:rPr>
  </w:style>
  <w:style w:type="paragraph" w:customStyle="1" w:styleId="CM5">
    <w:name w:val="CM5"/>
    <w:basedOn w:val="Default"/>
    <w:next w:val="Default"/>
    <w:uiPriority w:val="99"/>
    <w:rsid w:val="00AB6FB2"/>
    <w:pPr>
      <w:spacing w:line="276" w:lineRule="atLeast"/>
    </w:pPr>
    <w:rPr>
      <w:color w:val="auto"/>
    </w:rPr>
  </w:style>
  <w:style w:type="paragraph" w:customStyle="1" w:styleId="CM6">
    <w:name w:val="CM6"/>
    <w:basedOn w:val="Default"/>
    <w:next w:val="Default"/>
    <w:uiPriority w:val="99"/>
    <w:rsid w:val="00AB6FB2"/>
    <w:pPr>
      <w:spacing w:line="276" w:lineRule="atLeast"/>
    </w:pPr>
    <w:rPr>
      <w:color w:val="auto"/>
    </w:rPr>
  </w:style>
  <w:style w:type="paragraph" w:customStyle="1" w:styleId="CM7">
    <w:name w:val="CM7"/>
    <w:basedOn w:val="Default"/>
    <w:next w:val="Default"/>
    <w:uiPriority w:val="99"/>
    <w:rsid w:val="00AB6FB2"/>
    <w:pPr>
      <w:spacing w:line="276" w:lineRule="atLeast"/>
    </w:pPr>
    <w:rPr>
      <w:color w:val="auto"/>
    </w:rPr>
  </w:style>
  <w:style w:type="paragraph" w:customStyle="1" w:styleId="CM8">
    <w:name w:val="CM8"/>
    <w:basedOn w:val="Default"/>
    <w:next w:val="Default"/>
    <w:uiPriority w:val="99"/>
    <w:rsid w:val="00AB6FB2"/>
    <w:pPr>
      <w:spacing w:line="276" w:lineRule="atLeast"/>
    </w:pPr>
    <w:rPr>
      <w:color w:val="auto"/>
    </w:rPr>
  </w:style>
  <w:style w:type="paragraph" w:customStyle="1" w:styleId="CM9">
    <w:name w:val="CM9"/>
    <w:basedOn w:val="Default"/>
    <w:next w:val="Default"/>
    <w:uiPriority w:val="99"/>
    <w:rsid w:val="00AB6FB2"/>
    <w:pPr>
      <w:spacing w:line="276" w:lineRule="atLeast"/>
    </w:pPr>
    <w:rPr>
      <w:color w:val="auto"/>
    </w:rPr>
  </w:style>
  <w:style w:type="paragraph" w:customStyle="1" w:styleId="CM26">
    <w:name w:val="CM26"/>
    <w:basedOn w:val="Default"/>
    <w:next w:val="Default"/>
    <w:uiPriority w:val="99"/>
    <w:rsid w:val="00AB6FB2"/>
    <w:pPr>
      <w:spacing w:after="520"/>
    </w:pPr>
    <w:rPr>
      <w:color w:val="auto"/>
    </w:rPr>
  </w:style>
  <w:style w:type="paragraph" w:customStyle="1" w:styleId="CM10">
    <w:name w:val="CM10"/>
    <w:basedOn w:val="Default"/>
    <w:next w:val="Default"/>
    <w:uiPriority w:val="99"/>
    <w:rsid w:val="00AB6FB2"/>
    <w:pPr>
      <w:spacing w:line="186" w:lineRule="atLeast"/>
    </w:pPr>
    <w:rPr>
      <w:color w:val="auto"/>
    </w:rPr>
  </w:style>
  <w:style w:type="paragraph" w:customStyle="1" w:styleId="CM11">
    <w:name w:val="CM11"/>
    <w:basedOn w:val="Default"/>
    <w:next w:val="Default"/>
    <w:uiPriority w:val="99"/>
    <w:rsid w:val="00AB6FB2"/>
    <w:pPr>
      <w:spacing w:line="186" w:lineRule="atLeast"/>
    </w:pPr>
    <w:rPr>
      <w:color w:val="auto"/>
    </w:rPr>
  </w:style>
  <w:style w:type="paragraph" w:customStyle="1" w:styleId="CM12">
    <w:name w:val="CM12"/>
    <w:basedOn w:val="Default"/>
    <w:next w:val="Default"/>
    <w:uiPriority w:val="99"/>
    <w:rsid w:val="00AB6FB2"/>
    <w:pPr>
      <w:spacing w:line="186" w:lineRule="atLeast"/>
    </w:pPr>
    <w:rPr>
      <w:color w:val="auto"/>
    </w:rPr>
  </w:style>
  <w:style w:type="paragraph" w:customStyle="1" w:styleId="CM13">
    <w:name w:val="CM13"/>
    <w:basedOn w:val="Default"/>
    <w:next w:val="Default"/>
    <w:uiPriority w:val="99"/>
    <w:rsid w:val="00AB6FB2"/>
    <w:rPr>
      <w:color w:val="auto"/>
    </w:rPr>
  </w:style>
  <w:style w:type="paragraph" w:customStyle="1" w:styleId="CM14">
    <w:name w:val="CM14"/>
    <w:basedOn w:val="Default"/>
    <w:next w:val="Default"/>
    <w:uiPriority w:val="99"/>
    <w:rsid w:val="00AB6FB2"/>
    <w:pPr>
      <w:spacing w:line="276" w:lineRule="atLeast"/>
    </w:pPr>
    <w:rPr>
      <w:color w:val="auto"/>
    </w:rPr>
  </w:style>
  <w:style w:type="paragraph" w:customStyle="1" w:styleId="CM15">
    <w:name w:val="CM15"/>
    <w:basedOn w:val="Default"/>
    <w:next w:val="Default"/>
    <w:uiPriority w:val="99"/>
    <w:rsid w:val="00AB6FB2"/>
    <w:pPr>
      <w:spacing w:line="186" w:lineRule="atLeast"/>
    </w:pPr>
    <w:rPr>
      <w:color w:val="auto"/>
    </w:rPr>
  </w:style>
  <w:style w:type="paragraph" w:customStyle="1" w:styleId="CM16">
    <w:name w:val="CM16"/>
    <w:basedOn w:val="Default"/>
    <w:next w:val="Default"/>
    <w:uiPriority w:val="99"/>
    <w:rsid w:val="00AB6FB2"/>
    <w:pPr>
      <w:spacing w:line="186" w:lineRule="atLeast"/>
    </w:pPr>
    <w:rPr>
      <w:color w:val="auto"/>
    </w:rPr>
  </w:style>
  <w:style w:type="paragraph" w:customStyle="1" w:styleId="CM17">
    <w:name w:val="CM17"/>
    <w:basedOn w:val="Default"/>
    <w:next w:val="Default"/>
    <w:uiPriority w:val="99"/>
    <w:rsid w:val="00AB6FB2"/>
    <w:pPr>
      <w:spacing w:line="186" w:lineRule="atLeast"/>
    </w:pPr>
    <w:rPr>
      <w:color w:val="auto"/>
    </w:rPr>
  </w:style>
  <w:style w:type="paragraph" w:customStyle="1" w:styleId="CM18">
    <w:name w:val="CM18"/>
    <w:basedOn w:val="Default"/>
    <w:next w:val="Default"/>
    <w:uiPriority w:val="99"/>
    <w:rsid w:val="00AB6FB2"/>
    <w:rPr>
      <w:color w:val="auto"/>
    </w:rPr>
  </w:style>
  <w:style w:type="paragraph" w:customStyle="1" w:styleId="CM20">
    <w:name w:val="CM20"/>
    <w:basedOn w:val="Default"/>
    <w:next w:val="Default"/>
    <w:uiPriority w:val="99"/>
    <w:rsid w:val="00AB6FB2"/>
    <w:pPr>
      <w:spacing w:line="186" w:lineRule="atLeast"/>
    </w:pPr>
    <w:rPr>
      <w:color w:val="auto"/>
    </w:rPr>
  </w:style>
  <w:style w:type="paragraph" w:customStyle="1" w:styleId="CM28">
    <w:name w:val="CM28"/>
    <w:basedOn w:val="Default"/>
    <w:next w:val="Default"/>
    <w:uiPriority w:val="99"/>
    <w:rsid w:val="00AB6FB2"/>
    <w:pPr>
      <w:spacing w:after="820"/>
    </w:pPr>
    <w:rPr>
      <w:color w:val="auto"/>
    </w:rPr>
  </w:style>
  <w:style w:type="paragraph" w:customStyle="1" w:styleId="CM21">
    <w:name w:val="CM21"/>
    <w:basedOn w:val="Default"/>
    <w:next w:val="Default"/>
    <w:uiPriority w:val="99"/>
    <w:rsid w:val="00AB6FB2"/>
    <w:pPr>
      <w:spacing w:line="186" w:lineRule="atLeast"/>
    </w:pPr>
    <w:rPr>
      <w:color w:val="auto"/>
    </w:rPr>
  </w:style>
  <w:style w:type="paragraph" w:customStyle="1" w:styleId="Style">
    <w:name w:val="Style"/>
    <w:rsid w:val="00667850"/>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A2B8C"/>
    <w:pPr>
      <w:ind w:left="720"/>
      <w:contextualSpacing/>
    </w:pPr>
    <w:rPr>
      <w:lang w:bidi="en-US"/>
    </w:rPr>
  </w:style>
  <w:style w:type="paragraph" w:styleId="PlainText">
    <w:name w:val="Plain Text"/>
    <w:basedOn w:val="Normal"/>
    <w:link w:val="PlainTextChar"/>
    <w:semiHidden/>
    <w:rsid w:val="00AA2B8C"/>
    <w:pPr>
      <w:spacing w:after="0" w:line="240" w:lineRule="auto"/>
    </w:pPr>
    <w:rPr>
      <w:rFonts w:ascii="Courier New" w:hAnsi="Courier New" w:cs="Courier New"/>
      <w:sz w:val="20"/>
      <w:szCs w:val="20"/>
    </w:rPr>
  </w:style>
  <w:style w:type="character" w:customStyle="1" w:styleId="PlainTextChar">
    <w:name w:val="Plain Text Char"/>
    <w:link w:val="PlainText"/>
    <w:semiHidden/>
    <w:rsid w:val="00AA2B8C"/>
    <w:rPr>
      <w:rFonts w:ascii="Courier New" w:hAnsi="Courier New" w:cs="Courier New"/>
    </w:rPr>
  </w:style>
  <w:style w:type="character" w:customStyle="1" w:styleId="Heading1Char">
    <w:name w:val="Heading 1 Char"/>
    <w:link w:val="Heading1"/>
    <w:uiPriority w:val="9"/>
    <w:rsid w:val="00AA2B8C"/>
    <w:rPr>
      <w:rFonts w:ascii="Cambria" w:eastAsia="Times New Roman" w:hAnsi="Cambria" w:cs="Times New Roman"/>
      <w:b/>
      <w:bCs/>
      <w:color w:val="365F91"/>
      <w:sz w:val="28"/>
      <w:szCs w:val="28"/>
      <w:lang w:bidi="en-US"/>
    </w:rPr>
  </w:style>
  <w:style w:type="paragraph" w:styleId="Footer">
    <w:name w:val="footer"/>
    <w:basedOn w:val="Normal"/>
    <w:link w:val="FooterChar"/>
    <w:uiPriority w:val="99"/>
    <w:unhideWhenUsed/>
    <w:rsid w:val="00035E79"/>
    <w:pPr>
      <w:tabs>
        <w:tab w:val="center" w:pos="4680"/>
        <w:tab w:val="right" w:pos="9360"/>
      </w:tabs>
      <w:spacing w:after="0" w:line="240" w:lineRule="auto"/>
    </w:pPr>
    <w:rPr>
      <w:lang w:bidi="en-US"/>
    </w:rPr>
  </w:style>
  <w:style w:type="character" w:customStyle="1" w:styleId="FooterChar">
    <w:name w:val="Footer Char"/>
    <w:link w:val="Footer"/>
    <w:uiPriority w:val="99"/>
    <w:rsid w:val="00035E79"/>
    <w:rPr>
      <w:sz w:val="22"/>
      <w:szCs w:val="22"/>
      <w:lang w:bidi="en-US"/>
    </w:rPr>
  </w:style>
  <w:style w:type="character" w:styleId="FootnoteReference">
    <w:name w:val="footnote reference"/>
    <w:uiPriority w:val="99"/>
    <w:semiHidden/>
    <w:unhideWhenUsed/>
    <w:rsid w:val="006A65E0"/>
    <w:rPr>
      <w:vertAlign w:val="superscript"/>
    </w:rPr>
  </w:style>
  <w:style w:type="paragraph" w:customStyle="1" w:styleId="reference">
    <w:name w:val="reference"/>
    <w:basedOn w:val="Normal"/>
    <w:rsid w:val="006A65E0"/>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FA7336"/>
    <w:rPr>
      <w:rFonts w:cs="Times New Roman"/>
      <w:color w:val="0000FF"/>
      <w:u w:val="single"/>
    </w:rPr>
  </w:style>
  <w:style w:type="paragraph" w:styleId="Header">
    <w:name w:val="header"/>
    <w:basedOn w:val="Normal"/>
    <w:link w:val="HeaderChar"/>
    <w:uiPriority w:val="99"/>
    <w:unhideWhenUsed/>
    <w:rsid w:val="00870706"/>
    <w:pPr>
      <w:tabs>
        <w:tab w:val="center" w:pos="4680"/>
        <w:tab w:val="right" w:pos="9360"/>
      </w:tabs>
      <w:spacing w:after="0" w:line="240" w:lineRule="auto"/>
    </w:pPr>
  </w:style>
  <w:style w:type="character" w:customStyle="1" w:styleId="HeaderChar">
    <w:name w:val="Header Char"/>
    <w:link w:val="Header"/>
    <w:uiPriority w:val="99"/>
    <w:rsid w:val="00870706"/>
    <w:rPr>
      <w:sz w:val="22"/>
      <w:szCs w:val="22"/>
    </w:rPr>
  </w:style>
  <w:style w:type="paragraph" w:styleId="FootnoteText">
    <w:name w:val="footnote text"/>
    <w:basedOn w:val="Normal"/>
    <w:link w:val="FootnoteTextChar"/>
    <w:uiPriority w:val="99"/>
    <w:semiHidden/>
    <w:unhideWhenUsed/>
    <w:rsid w:val="00870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706"/>
  </w:style>
  <w:style w:type="paragraph" w:styleId="Bibliography">
    <w:name w:val="Bibliography"/>
    <w:basedOn w:val="Normal"/>
    <w:next w:val="Normal"/>
    <w:uiPriority w:val="37"/>
    <w:unhideWhenUsed/>
    <w:rsid w:val="00870706"/>
    <w:rPr>
      <w:lang w:bidi="en-US"/>
    </w:rPr>
  </w:style>
  <w:style w:type="paragraph" w:styleId="BalloonText">
    <w:name w:val="Balloon Text"/>
    <w:basedOn w:val="Normal"/>
    <w:link w:val="BalloonTextChar"/>
    <w:uiPriority w:val="99"/>
    <w:semiHidden/>
    <w:unhideWhenUsed/>
    <w:rsid w:val="00F321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21B0"/>
    <w:rPr>
      <w:rFonts w:ascii="Tahoma" w:hAnsi="Tahoma" w:cs="Tahoma"/>
      <w:sz w:val="16"/>
      <w:szCs w:val="16"/>
    </w:rPr>
  </w:style>
  <w:style w:type="character" w:styleId="CommentReference">
    <w:name w:val="annotation reference"/>
    <w:uiPriority w:val="99"/>
    <w:semiHidden/>
    <w:unhideWhenUsed/>
    <w:rsid w:val="00B307E1"/>
    <w:rPr>
      <w:sz w:val="16"/>
      <w:szCs w:val="16"/>
    </w:rPr>
  </w:style>
  <w:style w:type="paragraph" w:styleId="CommentText">
    <w:name w:val="annotation text"/>
    <w:basedOn w:val="Normal"/>
    <w:link w:val="CommentTextChar"/>
    <w:uiPriority w:val="99"/>
    <w:semiHidden/>
    <w:unhideWhenUsed/>
    <w:rsid w:val="00B307E1"/>
    <w:rPr>
      <w:sz w:val="20"/>
      <w:szCs w:val="20"/>
    </w:rPr>
  </w:style>
  <w:style w:type="character" w:customStyle="1" w:styleId="CommentTextChar">
    <w:name w:val="Comment Text Char"/>
    <w:basedOn w:val="DefaultParagraphFont"/>
    <w:link w:val="CommentText"/>
    <w:uiPriority w:val="99"/>
    <w:semiHidden/>
    <w:rsid w:val="00B307E1"/>
  </w:style>
  <w:style w:type="paragraph" w:styleId="CommentSubject">
    <w:name w:val="annotation subject"/>
    <w:basedOn w:val="CommentText"/>
    <w:next w:val="CommentText"/>
    <w:link w:val="CommentSubjectChar"/>
    <w:uiPriority w:val="99"/>
    <w:semiHidden/>
    <w:unhideWhenUsed/>
    <w:rsid w:val="00B307E1"/>
    <w:rPr>
      <w:b/>
      <w:bCs/>
    </w:rPr>
  </w:style>
  <w:style w:type="character" w:customStyle="1" w:styleId="CommentSubjectChar">
    <w:name w:val="Comment Subject Char"/>
    <w:link w:val="CommentSubject"/>
    <w:uiPriority w:val="99"/>
    <w:semiHidden/>
    <w:rsid w:val="00B307E1"/>
    <w:rPr>
      <w:b/>
      <w:bCs/>
    </w:rPr>
  </w:style>
  <w:style w:type="paragraph" w:styleId="Revision">
    <w:name w:val="Revision"/>
    <w:hidden/>
    <w:uiPriority w:val="99"/>
    <w:semiHidden/>
    <w:rsid w:val="00AA69A3"/>
    <w:rPr>
      <w:sz w:val="22"/>
      <w:szCs w:val="22"/>
    </w:rPr>
  </w:style>
  <w:style w:type="table" w:styleId="TableGrid">
    <w:name w:val="Table Grid"/>
    <w:basedOn w:val="TableNormal"/>
    <w:uiPriority w:val="59"/>
    <w:rsid w:val="00D7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1F6D"/>
    <w:rPr>
      <w:sz w:val="22"/>
      <w:szCs w:val="22"/>
    </w:rPr>
  </w:style>
  <w:style w:type="character" w:styleId="FollowedHyperlink">
    <w:name w:val="FollowedHyperlink"/>
    <w:basedOn w:val="DefaultParagraphFont"/>
    <w:uiPriority w:val="99"/>
    <w:semiHidden/>
    <w:unhideWhenUsed/>
    <w:rsid w:val="000E0C40"/>
    <w:rPr>
      <w:color w:val="800080" w:themeColor="followedHyperlink"/>
      <w:u w:val="single"/>
    </w:rPr>
  </w:style>
  <w:style w:type="table" w:customStyle="1" w:styleId="TableGrid1">
    <w:name w:val="Table Grid1"/>
    <w:basedOn w:val="TableNormal"/>
    <w:next w:val="TableGrid"/>
    <w:uiPriority w:val="59"/>
    <w:rsid w:val="00516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619E"/>
    <w:rPr>
      <w:rFonts w:asciiTheme="majorHAnsi" w:eastAsiaTheme="majorEastAsia" w:hAnsiTheme="majorHAnsi" w:cstheme="majorBidi"/>
      <w:color w:val="000000" w:themeColor="text1" w:themeShade="BF"/>
      <w:sz w:val="22"/>
      <w:szCs w:val="22"/>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51619E"/>
    <w:pPr>
      <w:spacing w:after="0" w:line="240" w:lineRule="auto"/>
    </w:pPr>
    <w:rPr>
      <w:rFonts w:ascii="Times New Roman" w:hAnsi="Times New Roman"/>
    </w:rPr>
  </w:style>
  <w:style w:type="character" w:customStyle="1" w:styleId="BodyTextChar">
    <w:name w:val="Body Text Char"/>
    <w:basedOn w:val="DefaultParagraphFont"/>
    <w:link w:val="BodyText"/>
    <w:rsid w:val="0051619E"/>
    <w:rPr>
      <w:rFonts w:ascii="Times New Roman" w:hAnsi="Times New Roman"/>
      <w:sz w:val="22"/>
      <w:szCs w:val="22"/>
    </w:rPr>
  </w:style>
  <w:style w:type="table" w:customStyle="1" w:styleId="TableGrid2">
    <w:name w:val="Table Grid2"/>
    <w:basedOn w:val="TableNormal"/>
    <w:next w:val="TableGrid"/>
    <w:rsid w:val="005955D7"/>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2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76691">
      <w:bodyDiv w:val="1"/>
      <w:marLeft w:val="0"/>
      <w:marRight w:val="0"/>
      <w:marTop w:val="0"/>
      <w:marBottom w:val="0"/>
      <w:divBdr>
        <w:top w:val="none" w:sz="0" w:space="0" w:color="auto"/>
        <w:left w:val="none" w:sz="0" w:space="0" w:color="auto"/>
        <w:bottom w:val="none" w:sz="0" w:space="0" w:color="auto"/>
        <w:right w:val="none" w:sz="0" w:space="0" w:color="auto"/>
      </w:divBdr>
    </w:div>
    <w:div w:id="529539469">
      <w:bodyDiv w:val="1"/>
      <w:marLeft w:val="0"/>
      <w:marRight w:val="0"/>
      <w:marTop w:val="0"/>
      <w:marBottom w:val="0"/>
      <w:divBdr>
        <w:top w:val="none" w:sz="0" w:space="0" w:color="auto"/>
        <w:left w:val="none" w:sz="0" w:space="0" w:color="auto"/>
        <w:bottom w:val="none" w:sz="0" w:space="0" w:color="auto"/>
        <w:right w:val="none" w:sz="0" w:space="0" w:color="auto"/>
      </w:divBdr>
    </w:div>
    <w:div w:id="949900655">
      <w:bodyDiv w:val="1"/>
      <w:marLeft w:val="0"/>
      <w:marRight w:val="0"/>
      <w:marTop w:val="0"/>
      <w:marBottom w:val="0"/>
      <w:divBdr>
        <w:top w:val="none" w:sz="0" w:space="0" w:color="auto"/>
        <w:left w:val="none" w:sz="0" w:space="0" w:color="auto"/>
        <w:bottom w:val="none" w:sz="0" w:space="0" w:color="auto"/>
        <w:right w:val="none" w:sz="0" w:space="0" w:color="auto"/>
      </w:divBdr>
    </w:div>
    <w:div w:id="1220628212">
      <w:bodyDiv w:val="1"/>
      <w:marLeft w:val="0"/>
      <w:marRight w:val="0"/>
      <w:marTop w:val="0"/>
      <w:marBottom w:val="0"/>
      <w:divBdr>
        <w:top w:val="none" w:sz="0" w:space="0" w:color="auto"/>
        <w:left w:val="none" w:sz="0" w:space="0" w:color="auto"/>
        <w:bottom w:val="none" w:sz="0" w:space="0" w:color="auto"/>
        <w:right w:val="none" w:sz="0" w:space="0" w:color="auto"/>
      </w:divBdr>
      <w:divsChild>
        <w:div w:id="1972710555">
          <w:marLeft w:val="0"/>
          <w:marRight w:val="0"/>
          <w:marTop w:val="0"/>
          <w:marBottom w:val="0"/>
          <w:divBdr>
            <w:top w:val="none" w:sz="0" w:space="0" w:color="auto"/>
            <w:left w:val="none" w:sz="0" w:space="0" w:color="auto"/>
            <w:bottom w:val="none" w:sz="0" w:space="0" w:color="auto"/>
            <w:right w:val="none" w:sz="0" w:space="0" w:color="auto"/>
          </w:divBdr>
          <w:divsChild>
            <w:div w:id="791947270">
              <w:marLeft w:val="0"/>
              <w:marRight w:val="0"/>
              <w:marTop w:val="0"/>
              <w:marBottom w:val="0"/>
              <w:divBdr>
                <w:top w:val="none" w:sz="0" w:space="0" w:color="auto"/>
                <w:left w:val="none" w:sz="0" w:space="0" w:color="auto"/>
                <w:bottom w:val="none" w:sz="0" w:space="0" w:color="auto"/>
                <w:right w:val="none" w:sz="0" w:space="0" w:color="auto"/>
              </w:divBdr>
              <w:divsChild>
                <w:div w:id="212546892">
                  <w:marLeft w:val="0"/>
                  <w:marRight w:val="0"/>
                  <w:marTop w:val="0"/>
                  <w:marBottom w:val="0"/>
                  <w:divBdr>
                    <w:top w:val="none" w:sz="0" w:space="0" w:color="auto"/>
                    <w:left w:val="none" w:sz="0" w:space="0" w:color="auto"/>
                    <w:bottom w:val="none" w:sz="0" w:space="0" w:color="auto"/>
                    <w:right w:val="none" w:sz="0" w:space="0" w:color="auto"/>
                  </w:divBdr>
                  <w:divsChild>
                    <w:div w:id="698891949">
                      <w:marLeft w:val="0"/>
                      <w:marRight w:val="0"/>
                      <w:marTop w:val="0"/>
                      <w:marBottom w:val="0"/>
                      <w:divBdr>
                        <w:top w:val="none" w:sz="0" w:space="0" w:color="auto"/>
                        <w:left w:val="none" w:sz="0" w:space="0" w:color="auto"/>
                        <w:bottom w:val="none" w:sz="0" w:space="0" w:color="auto"/>
                        <w:right w:val="none" w:sz="0" w:space="0" w:color="auto"/>
                      </w:divBdr>
                      <w:divsChild>
                        <w:div w:id="955332159">
                          <w:marLeft w:val="0"/>
                          <w:marRight w:val="0"/>
                          <w:marTop w:val="0"/>
                          <w:marBottom w:val="0"/>
                          <w:divBdr>
                            <w:top w:val="none" w:sz="0" w:space="0" w:color="auto"/>
                            <w:left w:val="none" w:sz="0" w:space="0" w:color="auto"/>
                            <w:bottom w:val="none" w:sz="0" w:space="0" w:color="auto"/>
                            <w:right w:val="none" w:sz="0" w:space="0" w:color="auto"/>
                          </w:divBdr>
                          <w:divsChild>
                            <w:div w:id="20894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457058">
      <w:bodyDiv w:val="1"/>
      <w:marLeft w:val="0"/>
      <w:marRight w:val="0"/>
      <w:marTop w:val="0"/>
      <w:marBottom w:val="0"/>
      <w:divBdr>
        <w:top w:val="none" w:sz="0" w:space="0" w:color="auto"/>
        <w:left w:val="none" w:sz="0" w:space="0" w:color="auto"/>
        <w:bottom w:val="none" w:sz="0" w:space="0" w:color="auto"/>
        <w:right w:val="none" w:sz="0" w:space="0" w:color="auto"/>
      </w:divBdr>
    </w:div>
    <w:div w:id="1709719338">
      <w:bodyDiv w:val="1"/>
      <w:marLeft w:val="0"/>
      <w:marRight w:val="0"/>
      <w:marTop w:val="0"/>
      <w:marBottom w:val="0"/>
      <w:divBdr>
        <w:top w:val="none" w:sz="0" w:space="0" w:color="auto"/>
        <w:left w:val="none" w:sz="0" w:space="0" w:color="auto"/>
        <w:bottom w:val="none" w:sz="0" w:space="0" w:color="auto"/>
        <w:right w:val="none" w:sz="0" w:space="0" w:color="auto"/>
      </w:divBdr>
    </w:div>
    <w:div w:id="20686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Bis87</b:Tag>
    <b:SourceType>Report</b:SourceType>
    <b:Guid>{2A990F9F-8CB9-4377-AA1F-0CAE7D167336}</b:Guid>
    <b:Author>
      <b:Author>
        <b:NameList>
          <b:Person>
            <b:Last>Bishop</b:Last>
            <b:First>Richard</b:First>
          </b:Person>
          <b:Person>
            <b:Last>Boyle</b:Last>
            <b:First>Kevin</b:First>
          </b:Person>
          <b:Person>
            <b:Last>Welsh</b:Last>
            <b:First>Michael</b:First>
          </b:Person>
          <b:Person>
            <b:Last>Baumgartner</b:Last>
            <b:First>Robert</b:First>
          </b:Person>
          <b:Person>
            <b:Last>Rathburn</b:Last>
            <b:First>Pamela</b:First>
          </b:Person>
        </b:NameList>
      </b:Author>
    </b:Author>
    <b:Title>Glen Canyon Dam Releases and Downstream Recreation: An Analysis of User Preferences and Economic Values</b:Title>
    <b:Year>1987</b:Year>
    <b:City>Salt Lake City</b:City>
    <b:Publisher>Bureau of Reclamation, Upper Colorado Region</b:Publisher>
    <b:RefOrder>1</b:RefOrder>
  </b:Source>
  <b:Source>
    <b:Tag>Duf071</b:Tag>
    <b:SourceType>Report</b:SourceType>
    <b:Guid>{BDC4F5F2-2352-4369-BC94-FFA1A2360247}</b:Guid>
    <b:Author>
      <b:Author>
        <b:NameList>
          <b:Person>
            <b:Last>Duffield</b:Last>
            <b:First>J.</b:First>
          </b:Person>
          <b:Person>
            <b:Last>Neher</b:Last>
            <b:First>C.</b:First>
          </b:Person>
          <b:Person>
            <b:Last>Patterson</b:Last>
            <b:First>D.</b:First>
          </b:Person>
        </b:NameList>
      </b:Author>
    </b:Author>
    <b:Title>Economic Value of National Park System Resources within the Colorado River Watershed: Phase II</b:Title>
    <b:Year>2007</b:Year>
    <b:Publisher>National Park Service</b:Publisher>
    <b:City>Denver</b:City>
    <b:RefOrder>2</b:RefOrder>
  </b:Source>
  <b:Source>
    <b:Tag>Duf92</b:Tag>
    <b:SourceType>Report</b:SourceType>
    <b:Guid>{2E900FF5-F390-48A4-BB89-3D84059E508A}</b:Guid>
    <b:Author>
      <b:Author>
        <b:NameList>
          <b:Person>
            <b:Last>Duffield</b:Last>
            <b:First>John</b:First>
          </b:Person>
          <b:Person>
            <b:Last>Patterson</b:Last>
            <b:First>David</b:First>
          </b:Person>
        </b:NameList>
      </b:Author>
    </b:Author>
    <b:Title>Field Testing Existence Values: An Instream Flow Trust Fund for Montana Rivers</b:Title>
    <b:Year>1992</b:Year>
    <b:Publisher>Associatian of Environmental and resource Economists</b:Publisher>
    <b:City>New Orleans</b:City>
    <b:RefOrder>4</b:RefOrder>
  </b:Source>
  <b:Source>
    <b:Tag>Joh06</b:Tag>
    <b:SourceType>Report</b:SourceType>
    <b:Guid>{178EF7DD-1363-43FA-A04A-705E9D78DBAB}</b:Guid>
    <b:Author>
      <b:Author>
        <b:NameList>
          <b:Person>
            <b:Last>Duffield</b:Last>
            <b:First>John</b:First>
          </b:Person>
          <b:Person>
            <b:Last>Neher</b:Last>
            <b:First>Chris</b:First>
          </b:Person>
          <b:Person>
            <b:Last>Patterson</b:Last>
            <b:First>David</b:First>
          </b:Person>
        </b:NameList>
      </b:Author>
    </b:Author>
    <b:Title>Wolves and People in Yellowstone: Impacts on the Regional Economy</b:Title>
    <b:Year>2006</b:Year>
    <b:Publisher>Yellowstone Park Foundation</b:Publisher>
    <b:RefOrder>3</b:RefOrder>
  </b:Source>
</b:Sources>
</file>

<file path=customXml/itemProps1.xml><?xml version="1.0" encoding="utf-8"?>
<ds:datastoreItem xmlns:ds="http://schemas.openxmlformats.org/officeDocument/2006/customXml" ds:itemID="{2A790A6E-9BC6-4CCF-A223-F32AC4AA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6846</Words>
  <Characters>39025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45780</CharactersWithSpaces>
  <SharedDoc>false</SharedDoc>
  <HLinks>
    <vt:vector size="6" baseType="variant">
      <vt:variant>
        <vt:i4>6094936</vt:i4>
      </vt:variant>
      <vt:variant>
        <vt:i4>2</vt:i4>
      </vt:variant>
      <vt:variant>
        <vt:i4>0</vt:i4>
      </vt:variant>
      <vt:variant>
        <vt:i4>5</vt:i4>
      </vt:variant>
      <vt:variant>
        <vt:lpwstr>http://www.bls.gov/opub/cwc/cm20090921ar01p1.htm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2015-08-12T15:54:00Z</dcterms:created>
  <dcterms:modified xsi:type="dcterms:W3CDTF">2015-08-12T17:45:00Z</dcterms:modified>
</cp:coreProperties>
</file>