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87BC3">
        <w:rPr>
          <w:rFonts w:ascii="Arial" w:hAnsi="Arial" w:cs="Arial"/>
          <w:sz w:val="24"/>
          <w:szCs w:val="24"/>
          <w:lang w:val="en-CA"/>
        </w:rPr>
        <w:fldChar w:fldCharType="begin"/>
      </w:r>
      <w:r w:rsidRPr="00F87BC3">
        <w:rPr>
          <w:rFonts w:ascii="Arial" w:hAnsi="Arial" w:cs="Arial"/>
          <w:sz w:val="24"/>
          <w:szCs w:val="24"/>
          <w:lang w:val="en-CA"/>
        </w:rPr>
        <w:instrText xml:space="preserve"> SEQ CHAPTER \h \r 1</w:instrText>
      </w:r>
      <w:r w:rsidRPr="00F87BC3">
        <w:rPr>
          <w:rFonts w:ascii="Arial" w:hAnsi="Arial" w:cs="Arial"/>
          <w:sz w:val="24"/>
          <w:szCs w:val="24"/>
          <w:lang w:val="en-CA"/>
        </w:rPr>
        <w:fldChar w:fldCharType="end"/>
      </w:r>
      <w:r w:rsidRPr="00F87BC3">
        <w:rPr>
          <w:rFonts w:ascii="Arial" w:hAnsi="Arial" w:cs="Arial"/>
          <w:b/>
          <w:bCs/>
          <w:sz w:val="24"/>
          <w:szCs w:val="24"/>
        </w:rPr>
        <w:t xml:space="preserve">Supporting Statement A for </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87BC3">
        <w:rPr>
          <w:rFonts w:ascii="Arial" w:hAnsi="Arial" w:cs="Arial"/>
          <w:b/>
          <w:bCs/>
          <w:sz w:val="24"/>
          <w:szCs w:val="24"/>
        </w:rPr>
        <w:t>Paperwork Reduction Act Submission</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87BC3">
        <w:rPr>
          <w:rFonts w:ascii="Arial" w:hAnsi="Arial" w:cs="Arial"/>
          <w:b/>
          <w:sz w:val="24"/>
          <w:szCs w:val="24"/>
        </w:rPr>
        <w:t>Survey of Residents' Attitudes on Jaguar Conservation</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F87BC3">
        <w:rPr>
          <w:rFonts w:ascii="Arial" w:hAnsi="Arial" w:cs="Arial"/>
          <w:b/>
          <w:bCs/>
          <w:sz w:val="24"/>
          <w:szCs w:val="24"/>
        </w:rPr>
        <w:t>OMB Control Number 1018-XXXX</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F87BC3">
        <w:rPr>
          <w:rFonts w:ascii="Arial" w:hAnsi="Arial" w:cs="Arial"/>
          <w:b/>
          <w:bCs/>
          <w:sz w:val="22"/>
          <w:szCs w:val="22"/>
        </w:rPr>
        <w:t xml:space="preserve">Terms of Clearance.  </w:t>
      </w:r>
      <w:r w:rsidR="0036383B" w:rsidRPr="00F87BC3">
        <w:rPr>
          <w:rFonts w:ascii="Arial" w:hAnsi="Arial" w:cs="Arial"/>
          <w:bCs/>
          <w:sz w:val="22"/>
          <w:szCs w:val="22"/>
        </w:rPr>
        <w:t>This is a new collection.</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87BC3">
        <w:rPr>
          <w:rFonts w:ascii="Arial" w:hAnsi="Arial" w:cs="Arial"/>
          <w:b/>
          <w:bCs/>
          <w:sz w:val="22"/>
          <w:szCs w:val="22"/>
        </w:rPr>
        <w:t>1.</w:t>
      </w:r>
      <w:r w:rsidRPr="00F87BC3">
        <w:rPr>
          <w:rFonts w:ascii="Arial" w:hAnsi="Arial" w:cs="Arial"/>
          <w:b/>
          <w:bCs/>
          <w:sz w:val="22"/>
          <w:szCs w:val="22"/>
        </w:rPr>
        <w:tab/>
        <w:t xml:space="preserve">Explain the circumstances that make the collection of information necessary.  </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4336A" w:rsidRPr="00F87BC3" w:rsidRDefault="00027C14" w:rsidP="00027C14">
      <w:pPr>
        <w:rPr>
          <w:rFonts w:ascii="Verdana" w:hAnsi="Verdana"/>
          <w:shd w:val="clear" w:color="auto" w:fill="FFFFFF"/>
        </w:rPr>
      </w:pPr>
      <w:r w:rsidRPr="00F87BC3">
        <w:rPr>
          <w:rFonts w:ascii="Arial" w:hAnsi="Arial" w:cs="Arial"/>
          <w:sz w:val="22"/>
          <w:szCs w:val="22"/>
        </w:rPr>
        <w:t xml:space="preserve">The </w:t>
      </w:r>
      <w:r w:rsidR="0036383B" w:rsidRPr="00F87BC3">
        <w:rPr>
          <w:rFonts w:ascii="Arial" w:hAnsi="Arial" w:cs="Arial"/>
          <w:sz w:val="22"/>
          <w:szCs w:val="22"/>
        </w:rPr>
        <w:t>p</w:t>
      </w:r>
      <w:r w:rsidR="006669FA" w:rsidRPr="00F87BC3">
        <w:rPr>
          <w:rFonts w:ascii="Arial" w:hAnsi="Arial" w:cs="Arial"/>
          <w:sz w:val="22"/>
          <w:szCs w:val="22"/>
        </w:rPr>
        <w:t xml:space="preserve">roposed </w:t>
      </w:r>
      <w:r w:rsidR="0036383B" w:rsidRPr="00F87BC3">
        <w:rPr>
          <w:rFonts w:ascii="Arial" w:hAnsi="Arial" w:cs="Arial"/>
          <w:sz w:val="22"/>
          <w:szCs w:val="22"/>
        </w:rPr>
        <w:t>i</w:t>
      </w:r>
      <w:r w:rsidR="006669FA" w:rsidRPr="00F87BC3">
        <w:rPr>
          <w:rFonts w:ascii="Arial" w:hAnsi="Arial" w:cs="Arial"/>
          <w:sz w:val="22"/>
          <w:szCs w:val="22"/>
        </w:rPr>
        <w:t xml:space="preserve">nformation </w:t>
      </w:r>
      <w:r w:rsidR="0036383B" w:rsidRPr="00F87BC3">
        <w:rPr>
          <w:rFonts w:ascii="Arial" w:hAnsi="Arial" w:cs="Arial"/>
          <w:sz w:val="22"/>
          <w:szCs w:val="22"/>
        </w:rPr>
        <w:t>c</w:t>
      </w:r>
      <w:r w:rsidR="006669FA" w:rsidRPr="00F87BC3">
        <w:rPr>
          <w:rFonts w:ascii="Arial" w:hAnsi="Arial" w:cs="Arial"/>
          <w:sz w:val="22"/>
          <w:szCs w:val="22"/>
        </w:rPr>
        <w:t xml:space="preserve">ollection will </w:t>
      </w:r>
      <w:r w:rsidRPr="00F87BC3">
        <w:rPr>
          <w:rFonts w:ascii="Arial" w:hAnsi="Arial" w:cs="Arial"/>
          <w:sz w:val="22"/>
          <w:szCs w:val="22"/>
        </w:rPr>
        <w:t>support the work of the U.S. Fish and Wildlife Service</w:t>
      </w:r>
      <w:r w:rsidR="00321C29" w:rsidRPr="00F87BC3">
        <w:rPr>
          <w:rFonts w:ascii="Arial" w:hAnsi="Arial" w:cs="Arial"/>
          <w:sz w:val="22"/>
          <w:szCs w:val="22"/>
        </w:rPr>
        <w:t xml:space="preserve"> (</w:t>
      </w:r>
      <w:r w:rsidR="0036383B" w:rsidRPr="00F87BC3">
        <w:rPr>
          <w:rFonts w:ascii="Arial" w:hAnsi="Arial" w:cs="Arial"/>
          <w:sz w:val="22"/>
          <w:szCs w:val="22"/>
        </w:rPr>
        <w:t>we, Service</w:t>
      </w:r>
      <w:r w:rsidR="00321C29" w:rsidRPr="00F87BC3">
        <w:rPr>
          <w:rFonts w:ascii="Arial" w:hAnsi="Arial" w:cs="Arial"/>
          <w:sz w:val="22"/>
          <w:szCs w:val="22"/>
        </w:rPr>
        <w:t>)</w:t>
      </w:r>
      <w:r w:rsidRPr="00F87BC3">
        <w:rPr>
          <w:rFonts w:ascii="Arial" w:hAnsi="Arial" w:cs="Arial"/>
          <w:sz w:val="22"/>
          <w:szCs w:val="22"/>
        </w:rPr>
        <w:t xml:space="preserve"> to recover the jaguar (</w:t>
      </w:r>
      <w:r w:rsidRPr="00F87BC3">
        <w:rPr>
          <w:rFonts w:ascii="Arial" w:hAnsi="Arial" w:cs="Arial"/>
          <w:i/>
          <w:sz w:val="22"/>
          <w:szCs w:val="22"/>
        </w:rPr>
        <w:t>Panthera onca</w:t>
      </w:r>
      <w:r w:rsidRPr="00F87BC3">
        <w:rPr>
          <w:rFonts w:ascii="Arial" w:hAnsi="Arial" w:cs="Arial"/>
          <w:sz w:val="22"/>
          <w:szCs w:val="22"/>
        </w:rPr>
        <w:t>) in the U</w:t>
      </w:r>
      <w:r w:rsidR="0036383B" w:rsidRPr="00F87BC3">
        <w:rPr>
          <w:rFonts w:ascii="Arial" w:hAnsi="Arial" w:cs="Arial"/>
          <w:sz w:val="22"/>
          <w:szCs w:val="22"/>
        </w:rPr>
        <w:t xml:space="preserve">nited States. </w:t>
      </w:r>
      <w:r w:rsidRPr="00F87BC3">
        <w:rPr>
          <w:rFonts w:ascii="Arial" w:hAnsi="Arial" w:cs="Arial"/>
          <w:sz w:val="22"/>
          <w:szCs w:val="22"/>
        </w:rPr>
        <w:t xml:space="preserve"> </w:t>
      </w:r>
      <w:r w:rsidR="00C41452" w:rsidRPr="00F87BC3">
        <w:rPr>
          <w:rFonts w:ascii="Arial" w:hAnsi="Arial" w:cs="Arial"/>
          <w:sz w:val="22"/>
          <w:szCs w:val="22"/>
        </w:rPr>
        <w:t xml:space="preserve">Under the Endangered Species Act of 1973 (16 U.S.C. 1531 et seq.), we </w:t>
      </w:r>
      <w:r w:rsidR="0036383B" w:rsidRPr="00F87BC3">
        <w:rPr>
          <w:rFonts w:ascii="Arial" w:hAnsi="Arial" w:cs="Arial"/>
          <w:sz w:val="22"/>
          <w:szCs w:val="22"/>
        </w:rPr>
        <w:t xml:space="preserve">listed </w:t>
      </w:r>
      <w:r w:rsidR="00C41452" w:rsidRPr="00F87BC3">
        <w:rPr>
          <w:rFonts w:ascii="Arial" w:hAnsi="Arial" w:cs="Arial"/>
          <w:sz w:val="22"/>
          <w:szCs w:val="22"/>
        </w:rPr>
        <w:t xml:space="preserve">the jaguar </w:t>
      </w:r>
      <w:r w:rsidR="0036383B" w:rsidRPr="00F87BC3">
        <w:rPr>
          <w:rFonts w:ascii="Arial" w:hAnsi="Arial" w:cs="Arial"/>
          <w:sz w:val="22"/>
          <w:szCs w:val="22"/>
        </w:rPr>
        <w:t xml:space="preserve">as </w:t>
      </w:r>
      <w:r w:rsidR="0084336A" w:rsidRPr="00F87BC3">
        <w:rPr>
          <w:rFonts w:ascii="Arial" w:hAnsi="Arial" w:cs="Arial"/>
          <w:sz w:val="22"/>
          <w:szCs w:val="22"/>
        </w:rPr>
        <w:t>endangered in the U</w:t>
      </w:r>
      <w:r w:rsidR="0036383B" w:rsidRPr="00F87BC3">
        <w:rPr>
          <w:rFonts w:ascii="Arial" w:hAnsi="Arial" w:cs="Arial"/>
          <w:sz w:val="22"/>
          <w:szCs w:val="22"/>
        </w:rPr>
        <w:t>nited States</w:t>
      </w:r>
      <w:r w:rsidR="0084336A" w:rsidRPr="00F87BC3">
        <w:rPr>
          <w:rFonts w:ascii="Arial" w:hAnsi="Arial" w:cs="Arial"/>
          <w:sz w:val="22"/>
          <w:szCs w:val="22"/>
        </w:rPr>
        <w:t xml:space="preserve"> on </w:t>
      </w:r>
      <w:r w:rsidRPr="00F87BC3">
        <w:rPr>
          <w:rFonts w:ascii="Arial" w:hAnsi="Arial" w:cs="Arial"/>
          <w:sz w:val="22"/>
          <w:szCs w:val="22"/>
        </w:rPr>
        <w:t>July 22, 1997 (62 FR 39147).  Recovering the jaguar in the United States may be important to the continued survival of northern jaguars, and also contribute to the species’ long-term genetic diversity (</w:t>
      </w:r>
      <w:r w:rsidR="0084336A" w:rsidRPr="00F87BC3">
        <w:rPr>
          <w:rFonts w:ascii="Arial" w:hAnsi="Arial" w:cs="Arial"/>
          <w:sz w:val="22"/>
          <w:szCs w:val="22"/>
        </w:rPr>
        <w:t>Jaguar Recovery Team 2012</w:t>
      </w:r>
      <w:r w:rsidRPr="00F87BC3">
        <w:rPr>
          <w:rFonts w:ascii="Arial" w:hAnsi="Arial" w:cs="Arial"/>
          <w:sz w:val="22"/>
          <w:szCs w:val="22"/>
        </w:rPr>
        <w:t xml:space="preserve">). </w:t>
      </w:r>
    </w:p>
    <w:p w:rsidR="00027C14" w:rsidRPr="00F87BC3" w:rsidRDefault="00027C14" w:rsidP="00027C14">
      <w:pPr>
        <w:rPr>
          <w:rFonts w:ascii="Arial" w:hAnsi="Arial" w:cs="Arial"/>
          <w:sz w:val="22"/>
          <w:szCs w:val="22"/>
        </w:rPr>
      </w:pPr>
    </w:p>
    <w:p w:rsidR="00FE0EB7" w:rsidRPr="00F87BC3" w:rsidRDefault="00027C14" w:rsidP="00027C14">
      <w:pPr>
        <w:rPr>
          <w:rFonts w:ascii="Arial" w:hAnsi="Arial" w:cs="Arial"/>
          <w:sz w:val="22"/>
          <w:szCs w:val="22"/>
        </w:rPr>
      </w:pPr>
      <w:r w:rsidRPr="00F87BC3">
        <w:rPr>
          <w:rFonts w:ascii="Arial" w:hAnsi="Arial" w:cs="Arial"/>
          <w:sz w:val="22"/>
          <w:szCs w:val="22"/>
        </w:rPr>
        <w:t xml:space="preserve">The </w:t>
      </w:r>
      <w:r w:rsidR="00C65916" w:rsidRPr="00F87BC3">
        <w:rPr>
          <w:rFonts w:ascii="Arial" w:hAnsi="Arial" w:cs="Arial"/>
          <w:sz w:val="22"/>
          <w:szCs w:val="22"/>
        </w:rPr>
        <w:t>Recovery Outline for the Jaguar</w:t>
      </w:r>
      <w:r w:rsidR="0084336A" w:rsidRPr="00F87BC3">
        <w:rPr>
          <w:rFonts w:ascii="Arial" w:hAnsi="Arial" w:cs="Arial"/>
          <w:sz w:val="22"/>
          <w:szCs w:val="22"/>
        </w:rPr>
        <w:t xml:space="preserve"> (Jaguar Recovery Team 2012) i</w:t>
      </w:r>
      <w:r w:rsidRPr="00F87BC3">
        <w:rPr>
          <w:rFonts w:ascii="Arial" w:hAnsi="Arial" w:cs="Arial"/>
          <w:sz w:val="22"/>
          <w:szCs w:val="22"/>
        </w:rPr>
        <w:t>dentifies research need</w:t>
      </w:r>
      <w:r w:rsidR="006669FA" w:rsidRPr="00F87BC3">
        <w:rPr>
          <w:rFonts w:ascii="Arial" w:hAnsi="Arial" w:cs="Arial"/>
          <w:sz w:val="22"/>
          <w:szCs w:val="22"/>
        </w:rPr>
        <w:t xml:space="preserve">s, preliminary recovery objectives, and actions to be taken. </w:t>
      </w:r>
      <w:r w:rsidRPr="00F87BC3">
        <w:rPr>
          <w:rFonts w:ascii="Arial" w:hAnsi="Arial" w:cs="Arial"/>
          <w:sz w:val="22"/>
          <w:szCs w:val="22"/>
        </w:rPr>
        <w:t xml:space="preserve">The </w:t>
      </w:r>
      <w:r w:rsidR="0036383B" w:rsidRPr="00F87BC3">
        <w:rPr>
          <w:rFonts w:ascii="Arial" w:hAnsi="Arial" w:cs="Arial"/>
          <w:sz w:val="22"/>
          <w:szCs w:val="22"/>
        </w:rPr>
        <w:t>p</w:t>
      </w:r>
      <w:r w:rsidRPr="00F87BC3">
        <w:rPr>
          <w:rFonts w:ascii="Arial" w:hAnsi="Arial" w:cs="Arial"/>
          <w:sz w:val="22"/>
          <w:szCs w:val="22"/>
        </w:rPr>
        <w:t xml:space="preserve">roposed </w:t>
      </w:r>
      <w:r w:rsidR="0036383B" w:rsidRPr="00F87BC3">
        <w:rPr>
          <w:rFonts w:ascii="Arial" w:hAnsi="Arial" w:cs="Arial"/>
          <w:sz w:val="22"/>
          <w:szCs w:val="22"/>
        </w:rPr>
        <w:t>i</w:t>
      </w:r>
      <w:r w:rsidRPr="00F87BC3">
        <w:rPr>
          <w:rFonts w:ascii="Arial" w:hAnsi="Arial" w:cs="Arial"/>
          <w:sz w:val="22"/>
          <w:szCs w:val="22"/>
        </w:rPr>
        <w:t xml:space="preserve">nformation </w:t>
      </w:r>
      <w:r w:rsidR="0036383B" w:rsidRPr="00F87BC3">
        <w:rPr>
          <w:rFonts w:ascii="Arial" w:hAnsi="Arial" w:cs="Arial"/>
          <w:sz w:val="22"/>
          <w:szCs w:val="22"/>
        </w:rPr>
        <w:t>c</w:t>
      </w:r>
      <w:r w:rsidRPr="00F87BC3">
        <w:rPr>
          <w:rFonts w:ascii="Arial" w:hAnsi="Arial" w:cs="Arial"/>
          <w:sz w:val="22"/>
          <w:szCs w:val="22"/>
        </w:rPr>
        <w:t xml:space="preserve">ollection will </w:t>
      </w:r>
      <w:r w:rsidR="006669FA" w:rsidRPr="00F87BC3">
        <w:rPr>
          <w:rFonts w:ascii="Arial" w:hAnsi="Arial" w:cs="Arial"/>
          <w:sz w:val="22"/>
          <w:szCs w:val="22"/>
        </w:rPr>
        <w:t xml:space="preserve">contribute to addressing </w:t>
      </w:r>
      <w:r w:rsidR="00676FF9" w:rsidRPr="00F87BC3">
        <w:rPr>
          <w:rFonts w:ascii="Arial" w:hAnsi="Arial" w:cs="Arial"/>
          <w:sz w:val="22"/>
          <w:szCs w:val="22"/>
        </w:rPr>
        <w:t xml:space="preserve">these </w:t>
      </w:r>
      <w:r w:rsidR="006669FA" w:rsidRPr="00F87BC3">
        <w:rPr>
          <w:rFonts w:ascii="Arial" w:hAnsi="Arial" w:cs="Arial"/>
          <w:sz w:val="22"/>
          <w:szCs w:val="22"/>
        </w:rPr>
        <w:t>items.</w:t>
      </w:r>
      <w:r w:rsidR="0036383B" w:rsidRPr="00F87BC3">
        <w:rPr>
          <w:rFonts w:ascii="Arial" w:hAnsi="Arial" w:cs="Arial"/>
          <w:sz w:val="22"/>
          <w:szCs w:val="22"/>
        </w:rPr>
        <w:t xml:space="preserve">  The information we plan to collect will support the following </w:t>
      </w:r>
      <w:r w:rsidR="00FE0EB7" w:rsidRPr="00F87BC3">
        <w:rPr>
          <w:rFonts w:ascii="Arial" w:hAnsi="Arial" w:cs="Arial"/>
          <w:sz w:val="22"/>
          <w:szCs w:val="22"/>
        </w:rPr>
        <w:t>objectives:</w:t>
      </w:r>
    </w:p>
    <w:p w:rsidR="00FE0EB7" w:rsidRPr="00F87BC3" w:rsidRDefault="00FE0EB7" w:rsidP="00027C14">
      <w:pPr>
        <w:rPr>
          <w:rFonts w:ascii="Arial" w:hAnsi="Arial" w:cs="Arial"/>
          <w:sz w:val="22"/>
          <w:szCs w:val="22"/>
        </w:rPr>
      </w:pPr>
    </w:p>
    <w:p w:rsidR="00FE0EB7" w:rsidRPr="00F87BC3" w:rsidRDefault="00FE0EB7" w:rsidP="006669FA">
      <w:pPr>
        <w:pStyle w:val="ListParagraph"/>
        <w:numPr>
          <w:ilvl w:val="0"/>
          <w:numId w:val="1"/>
        </w:numPr>
        <w:rPr>
          <w:rFonts w:ascii="Arial" w:hAnsi="Arial" w:cs="Arial"/>
          <w:sz w:val="22"/>
          <w:szCs w:val="22"/>
        </w:rPr>
      </w:pPr>
      <w:r w:rsidRPr="00F87BC3">
        <w:rPr>
          <w:rFonts w:ascii="Arial" w:hAnsi="Arial" w:cs="Arial"/>
          <w:sz w:val="22"/>
          <w:szCs w:val="22"/>
        </w:rPr>
        <w:t xml:space="preserve">Mediate or mitigate the effects of human population growth and development on jaguar </w:t>
      </w:r>
    </w:p>
    <w:p w:rsidR="006669FA" w:rsidRPr="00F87BC3" w:rsidRDefault="00FE0EB7" w:rsidP="006669FA">
      <w:pPr>
        <w:ind w:firstLine="720"/>
        <w:rPr>
          <w:rFonts w:ascii="Arial" w:hAnsi="Arial" w:cs="Arial"/>
          <w:sz w:val="22"/>
          <w:szCs w:val="22"/>
        </w:rPr>
      </w:pPr>
      <w:r w:rsidRPr="00F87BC3">
        <w:rPr>
          <w:rFonts w:ascii="Arial" w:hAnsi="Arial" w:cs="Arial"/>
          <w:sz w:val="22"/>
          <w:szCs w:val="22"/>
        </w:rPr>
        <w:t>survival and mortality where possible</w:t>
      </w:r>
      <w:r w:rsidR="0036383B" w:rsidRPr="00F87BC3">
        <w:rPr>
          <w:rFonts w:ascii="Arial" w:hAnsi="Arial" w:cs="Arial"/>
          <w:sz w:val="22"/>
          <w:szCs w:val="22"/>
        </w:rPr>
        <w:t>.</w:t>
      </w:r>
    </w:p>
    <w:p w:rsidR="006669FA" w:rsidRPr="00F87BC3" w:rsidRDefault="006669FA" w:rsidP="006669FA">
      <w:pPr>
        <w:pStyle w:val="ListParagraph"/>
        <w:numPr>
          <w:ilvl w:val="0"/>
          <w:numId w:val="1"/>
        </w:numPr>
        <w:rPr>
          <w:rFonts w:ascii="Arial" w:hAnsi="Arial" w:cs="Arial"/>
          <w:sz w:val="22"/>
          <w:szCs w:val="22"/>
        </w:rPr>
      </w:pPr>
      <w:r w:rsidRPr="00F87BC3">
        <w:rPr>
          <w:rFonts w:ascii="Arial" w:hAnsi="Arial" w:cs="Arial"/>
          <w:sz w:val="22"/>
          <w:szCs w:val="22"/>
        </w:rPr>
        <w:t xml:space="preserve">Assure the long-term viability of jaguar conservation through partnerships, the development and application of incentives for landowners, application of existing regulations, and public education and outreach.” </w:t>
      </w:r>
    </w:p>
    <w:p w:rsidR="00FE0EB7" w:rsidRPr="00F87BC3" w:rsidRDefault="00FE0EB7" w:rsidP="00FE0EB7">
      <w:pPr>
        <w:rPr>
          <w:rFonts w:ascii="Arial" w:hAnsi="Arial" w:cs="Arial"/>
          <w:sz w:val="22"/>
          <w:szCs w:val="22"/>
        </w:rPr>
      </w:pPr>
    </w:p>
    <w:p w:rsidR="00FE0EB7" w:rsidRPr="00F87BC3" w:rsidRDefault="0036383B" w:rsidP="00FE0EB7">
      <w:pPr>
        <w:rPr>
          <w:rFonts w:ascii="Arial" w:hAnsi="Arial" w:cs="Arial"/>
          <w:sz w:val="22"/>
          <w:szCs w:val="22"/>
        </w:rPr>
      </w:pPr>
      <w:r w:rsidRPr="00F87BC3">
        <w:rPr>
          <w:rFonts w:ascii="Arial" w:hAnsi="Arial" w:cs="Arial"/>
          <w:sz w:val="22"/>
          <w:szCs w:val="22"/>
        </w:rPr>
        <w:t>The i</w:t>
      </w:r>
      <w:r w:rsidR="00FE0EB7" w:rsidRPr="00F87BC3">
        <w:rPr>
          <w:rFonts w:ascii="Arial" w:hAnsi="Arial" w:cs="Arial"/>
          <w:sz w:val="22"/>
          <w:szCs w:val="22"/>
        </w:rPr>
        <w:t xml:space="preserve">nformation will </w:t>
      </w:r>
      <w:r w:rsidR="00934D60" w:rsidRPr="00F87BC3">
        <w:rPr>
          <w:rFonts w:ascii="Arial" w:hAnsi="Arial" w:cs="Arial"/>
          <w:sz w:val="22"/>
          <w:szCs w:val="22"/>
        </w:rPr>
        <w:t xml:space="preserve">also </w:t>
      </w:r>
      <w:r w:rsidR="00FE0EB7" w:rsidRPr="00F87BC3">
        <w:rPr>
          <w:rFonts w:ascii="Arial" w:hAnsi="Arial" w:cs="Arial"/>
          <w:sz w:val="22"/>
          <w:szCs w:val="22"/>
        </w:rPr>
        <w:t xml:space="preserve">support the Recovery Action to put in place conservation tools, including research and education </w:t>
      </w:r>
      <w:r w:rsidR="009E7A55" w:rsidRPr="00F87BC3">
        <w:rPr>
          <w:rFonts w:ascii="Arial" w:hAnsi="Arial" w:cs="Arial"/>
          <w:sz w:val="22"/>
          <w:szCs w:val="22"/>
        </w:rPr>
        <w:t>programs</w:t>
      </w:r>
      <w:r w:rsidRPr="00F87BC3">
        <w:rPr>
          <w:rFonts w:ascii="Arial" w:hAnsi="Arial" w:cs="Arial"/>
          <w:sz w:val="22"/>
          <w:szCs w:val="22"/>
        </w:rPr>
        <w:t xml:space="preserve"> that </w:t>
      </w:r>
      <w:r w:rsidR="00FE0EB7" w:rsidRPr="00F87BC3">
        <w:rPr>
          <w:rFonts w:ascii="Arial" w:hAnsi="Arial" w:cs="Arial"/>
          <w:sz w:val="22"/>
          <w:szCs w:val="22"/>
        </w:rPr>
        <w:t>increase awareness of the value and current status of jaguars</w:t>
      </w:r>
      <w:r w:rsidRPr="00F87BC3">
        <w:rPr>
          <w:rFonts w:ascii="Arial" w:hAnsi="Arial" w:cs="Arial"/>
          <w:sz w:val="22"/>
          <w:szCs w:val="22"/>
        </w:rPr>
        <w:t>.</w:t>
      </w:r>
      <w:r w:rsidR="00FE0EB7" w:rsidRPr="00F87BC3">
        <w:rPr>
          <w:rFonts w:ascii="Arial" w:hAnsi="Arial" w:cs="Arial"/>
          <w:sz w:val="22"/>
          <w:szCs w:val="22"/>
        </w:rPr>
        <w:t xml:space="preserve"> </w:t>
      </w:r>
    </w:p>
    <w:p w:rsidR="00FE0EB7" w:rsidRPr="00F87BC3" w:rsidRDefault="00FE0EB7" w:rsidP="00027C14">
      <w:pPr>
        <w:rPr>
          <w:rFonts w:ascii="Arial" w:hAnsi="Arial" w:cs="Arial"/>
          <w:sz w:val="22"/>
          <w:szCs w:val="22"/>
        </w:rPr>
      </w:pPr>
    </w:p>
    <w:p w:rsidR="00027C14" w:rsidRPr="00F87BC3" w:rsidRDefault="00027C14" w:rsidP="00027C14">
      <w:pPr>
        <w:rPr>
          <w:rFonts w:ascii="Arial" w:hAnsi="Arial" w:cs="Arial"/>
          <w:sz w:val="22"/>
          <w:szCs w:val="22"/>
        </w:rPr>
      </w:pPr>
      <w:r w:rsidRPr="00F87BC3">
        <w:rPr>
          <w:rFonts w:ascii="Arial" w:hAnsi="Arial" w:cs="Arial"/>
          <w:sz w:val="22"/>
          <w:szCs w:val="22"/>
        </w:rPr>
        <w:t>In the human-dominated landscape of the U.S. portion of the Northwestern Recovery Unit, protecting jaguar</w:t>
      </w:r>
      <w:r w:rsidR="00934D60" w:rsidRPr="00F87BC3">
        <w:rPr>
          <w:rFonts w:ascii="Arial" w:hAnsi="Arial" w:cs="Arial"/>
          <w:sz w:val="22"/>
          <w:szCs w:val="22"/>
        </w:rPr>
        <w:t>s and jaguar</w:t>
      </w:r>
      <w:r w:rsidRPr="00F87BC3">
        <w:rPr>
          <w:rFonts w:ascii="Arial" w:hAnsi="Arial" w:cs="Arial"/>
          <w:sz w:val="22"/>
          <w:szCs w:val="22"/>
        </w:rPr>
        <w:t xml:space="preserve"> habitat will require communication with the public, including rural land users and residents, as well as coor</w:t>
      </w:r>
      <w:r w:rsidR="0036383B" w:rsidRPr="00F87BC3">
        <w:rPr>
          <w:rFonts w:ascii="Arial" w:hAnsi="Arial" w:cs="Arial"/>
          <w:sz w:val="22"/>
          <w:szCs w:val="22"/>
        </w:rPr>
        <w:t>dinating efforts with numerous State and F</w:t>
      </w:r>
      <w:r w:rsidRPr="00F87BC3">
        <w:rPr>
          <w:rFonts w:ascii="Arial" w:hAnsi="Arial" w:cs="Arial"/>
          <w:sz w:val="22"/>
          <w:szCs w:val="22"/>
        </w:rPr>
        <w:t xml:space="preserve">ederal agencies with land management responsibilities. </w:t>
      </w:r>
      <w:r w:rsidR="0036383B" w:rsidRPr="00F87BC3">
        <w:rPr>
          <w:rFonts w:ascii="Arial" w:hAnsi="Arial" w:cs="Arial"/>
          <w:sz w:val="22"/>
          <w:szCs w:val="22"/>
        </w:rPr>
        <w:t xml:space="preserve"> </w:t>
      </w:r>
      <w:r w:rsidRPr="00F87BC3">
        <w:rPr>
          <w:rFonts w:ascii="Arial" w:hAnsi="Arial" w:cs="Arial"/>
          <w:sz w:val="22"/>
          <w:szCs w:val="22"/>
        </w:rPr>
        <w:t xml:space="preserve">Recovery planning, </w:t>
      </w:r>
      <w:r w:rsidR="00390954" w:rsidRPr="00F87BC3">
        <w:rPr>
          <w:rFonts w:ascii="Arial" w:hAnsi="Arial" w:cs="Arial"/>
          <w:sz w:val="22"/>
          <w:szCs w:val="22"/>
        </w:rPr>
        <w:t>the development of conservation tools</w:t>
      </w:r>
      <w:r w:rsidR="00934D60" w:rsidRPr="00F87BC3">
        <w:rPr>
          <w:rFonts w:ascii="Arial" w:hAnsi="Arial" w:cs="Arial"/>
          <w:sz w:val="22"/>
          <w:szCs w:val="22"/>
        </w:rPr>
        <w:t>,</w:t>
      </w:r>
      <w:r w:rsidR="00390954" w:rsidRPr="00F87BC3">
        <w:rPr>
          <w:rFonts w:ascii="Arial" w:hAnsi="Arial" w:cs="Arial"/>
          <w:sz w:val="22"/>
          <w:szCs w:val="22"/>
        </w:rPr>
        <w:t xml:space="preserve"> and public </w:t>
      </w:r>
      <w:r w:rsidRPr="00F87BC3">
        <w:rPr>
          <w:rFonts w:ascii="Arial" w:hAnsi="Arial" w:cs="Arial"/>
          <w:sz w:val="22"/>
          <w:szCs w:val="22"/>
        </w:rPr>
        <w:t xml:space="preserve">outreach and </w:t>
      </w:r>
      <w:r w:rsidR="00390954" w:rsidRPr="00F87BC3">
        <w:rPr>
          <w:rFonts w:ascii="Arial" w:hAnsi="Arial" w:cs="Arial"/>
          <w:sz w:val="22"/>
          <w:szCs w:val="22"/>
        </w:rPr>
        <w:t xml:space="preserve">education </w:t>
      </w:r>
      <w:r w:rsidR="00934D60" w:rsidRPr="00F87BC3">
        <w:rPr>
          <w:rFonts w:ascii="Arial" w:hAnsi="Arial" w:cs="Arial"/>
          <w:sz w:val="22"/>
          <w:szCs w:val="22"/>
        </w:rPr>
        <w:t xml:space="preserve">strategies and materials </w:t>
      </w:r>
      <w:r w:rsidRPr="00F87BC3">
        <w:rPr>
          <w:rFonts w:ascii="Arial" w:hAnsi="Arial" w:cs="Arial"/>
          <w:sz w:val="22"/>
          <w:szCs w:val="22"/>
        </w:rPr>
        <w:t xml:space="preserve">will be strengthened by information on resident and stakeholder knowledge about jaguars, attitudes towards jaguars, and beliefs pertinent to jaguar conservation. </w:t>
      </w:r>
      <w:r w:rsidR="0036383B" w:rsidRPr="00F87BC3">
        <w:rPr>
          <w:rFonts w:ascii="Arial" w:hAnsi="Arial" w:cs="Arial"/>
          <w:sz w:val="22"/>
          <w:szCs w:val="22"/>
        </w:rPr>
        <w:t xml:space="preserve"> </w:t>
      </w:r>
      <w:r w:rsidRPr="00F87BC3">
        <w:rPr>
          <w:rFonts w:ascii="Arial" w:hAnsi="Arial" w:cs="Arial"/>
          <w:sz w:val="22"/>
          <w:szCs w:val="22"/>
        </w:rPr>
        <w:t>To date, a comprehensive survey of knowledge, attitudes and beliefs about jaguars in this regio</w:t>
      </w:r>
      <w:r w:rsidR="0036383B" w:rsidRPr="00F87BC3">
        <w:rPr>
          <w:rFonts w:ascii="Arial" w:hAnsi="Arial" w:cs="Arial"/>
          <w:sz w:val="22"/>
          <w:szCs w:val="22"/>
        </w:rPr>
        <w:t>n has not been conducted.  The proposed information c</w:t>
      </w:r>
      <w:r w:rsidRPr="00F87BC3">
        <w:rPr>
          <w:rFonts w:ascii="Arial" w:hAnsi="Arial" w:cs="Arial"/>
          <w:sz w:val="22"/>
          <w:szCs w:val="22"/>
        </w:rPr>
        <w:t xml:space="preserve">ollection will fill this critical gap. </w:t>
      </w:r>
    </w:p>
    <w:p w:rsidR="00027C14" w:rsidRPr="00F87BC3" w:rsidRDefault="00027C14" w:rsidP="00027C14">
      <w:pPr>
        <w:rPr>
          <w:rFonts w:ascii="Arial" w:hAnsi="Arial" w:cs="Arial"/>
          <w:sz w:val="22"/>
          <w:szCs w:val="22"/>
        </w:rPr>
      </w:pPr>
    </w:p>
    <w:p w:rsidR="004B6B68" w:rsidRPr="00F87BC3" w:rsidRDefault="00934D60" w:rsidP="00027C14">
      <w:pPr>
        <w:rPr>
          <w:rFonts w:ascii="Arial" w:hAnsi="Arial" w:cs="Arial"/>
          <w:sz w:val="22"/>
          <w:szCs w:val="22"/>
        </w:rPr>
      </w:pPr>
      <w:r w:rsidRPr="00F87BC3">
        <w:rPr>
          <w:rFonts w:ascii="Arial" w:hAnsi="Arial" w:cs="Arial"/>
          <w:sz w:val="22"/>
          <w:szCs w:val="22"/>
        </w:rPr>
        <w:t>A</w:t>
      </w:r>
      <w:r w:rsidR="004B6B68" w:rsidRPr="00F87BC3">
        <w:rPr>
          <w:rFonts w:ascii="Arial" w:hAnsi="Arial" w:cs="Arial"/>
          <w:sz w:val="22"/>
          <w:szCs w:val="22"/>
        </w:rPr>
        <w:t xml:space="preserve"> </w:t>
      </w:r>
      <w:r w:rsidR="006669FA" w:rsidRPr="00F87BC3">
        <w:rPr>
          <w:rFonts w:ascii="Arial" w:hAnsi="Arial" w:cs="Arial"/>
          <w:sz w:val="22"/>
          <w:szCs w:val="22"/>
        </w:rPr>
        <w:t xml:space="preserve">full </w:t>
      </w:r>
      <w:r w:rsidR="004B6B68" w:rsidRPr="00F87BC3">
        <w:rPr>
          <w:rFonts w:ascii="Arial" w:hAnsi="Arial" w:cs="Arial"/>
          <w:sz w:val="22"/>
          <w:szCs w:val="22"/>
        </w:rPr>
        <w:t xml:space="preserve">understanding of public and stakeholder </w:t>
      </w:r>
      <w:r w:rsidRPr="00F87BC3">
        <w:rPr>
          <w:rFonts w:ascii="Arial" w:hAnsi="Arial" w:cs="Arial"/>
          <w:sz w:val="22"/>
          <w:szCs w:val="22"/>
        </w:rPr>
        <w:t xml:space="preserve">attitudes, beliefs and knowledge about jaguars requires </w:t>
      </w:r>
      <w:r w:rsidR="0036383B" w:rsidRPr="00F87BC3">
        <w:rPr>
          <w:rFonts w:ascii="Arial" w:hAnsi="Arial" w:cs="Arial"/>
          <w:sz w:val="22"/>
          <w:szCs w:val="22"/>
        </w:rPr>
        <w:t>a qualitative methodology. The proposed information c</w:t>
      </w:r>
      <w:r w:rsidRPr="00F87BC3">
        <w:rPr>
          <w:rFonts w:ascii="Arial" w:hAnsi="Arial" w:cs="Arial"/>
          <w:sz w:val="22"/>
          <w:szCs w:val="22"/>
        </w:rPr>
        <w:t>ollection is designed to elicit in-depth responses to open-ended questions through in-person interviews. The interview instrument also collects demographic data on respondents in order to describe and characterize our sample</w:t>
      </w:r>
      <w:r w:rsidR="006669FA" w:rsidRPr="00F87BC3">
        <w:rPr>
          <w:rFonts w:ascii="Arial" w:hAnsi="Arial" w:cs="Arial"/>
          <w:sz w:val="22"/>
          <w:szCs w:val="22"/>
        </w:rPr>
        <w:t xml:space="preserve"> through descriptive statistics</w:t>
      </w:r>
      <w:r w:rsidRPr="00F87BC3">
        <w:rPr>
          <w:rFonts w:ascii="Arial" w:hAnsi="Arial" w:cs="Arial"/>
          <w:sz w:val="22"/>
          <w:szCs w:val="22"/>
        </w:rPr>
        <w:t xml:space="preserve">. </w:t>
      </w:r>
      <w:r w:rsidR="0036383B" w:rsidRPr="00F87BC3">
        <w:rPr>
          <w:rFonts w:ascii="Arial" w:hAnsi="Arial" w:cs="Arial"/>
          <w:sz w:val="22"/>
          <w:szCs w:val="22"/>
        </w:rPr>
        <w:t xml:space="preserve"> </w:t>
      </w:r>
    </w:p>
    <w:p w:rsidR="004B6B68" w:rsidRPr="00F87BC3" w:rsidRDefault="004B6B68" w:rsidP="00027C14">
      <w:pPr>
        <w:rPr>
          <w:rFonts w:ascii="Arial" w:hAnsi="Arial" w:cs="Arial"/>
          <w:sz w:val="22"/>
          <w:szCs w:val="22"/>
        </w:rPr>
      </w:pPr>
    </w:p>
    <w:p w:rsidR="0059142B" w:rsidRDefault="0059142B"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87BC3">
        <w:rPr>
          <w:rFonts w:ascii="Arial" w:hAnsi="Arial" w:cs="Arial"/>
          <w:b/>
          <w:bCs/>
          <w:sz w:val="22"/>
          <w:szCs w:val="22"/>
        </w:rPr>
        <w:lastRenderedPageBreak/>
        <w:t>2.</w:t>
      </w:r>
      <w:r w:rsidRPr="00F87BC3">
        <w:rPr>
          <w:rFonts w:ascii="Arial" w:hAnsi="Arial" w:cs="Arial"/>
          <w:b/>
          <w:bCs/>
          <w:sz w:val="22"/>
          <w:szCs w:val="22"/>
        </w:rPr>
        <w:tab/>
        <w:t xml:space="preserve">Indicate how, by whom, and for what purpose the information is to be used.  </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Pr="00F87BC3" w:rsidRDefault="00027C14" w:rsidP="00027C14">
      <w:pPr>
        <w:rPr>
          <w:rFonts w:ascii="Arial" w:hAnsi="Arial" w:cs="Arial"/>
          <w:sz w:val="22"/>
          <w:szCs w:val="22"/>
        </w:rPr>
      </w:pPr>
      <w:r w:rsidRPr="00F87BC3">
        <w:rPr>
          <w:rFonts w:ascii="Arial" w:hAnsi="Arial" w:cs="Arial"/>
          <w:sz w:val="22"/>
          <w:szCs w:val="22"/>
        </w:rPr>
        <w:t xml:space="preserve">The purpose of this information collection is to inform Jaguar Recovery Planning and </w:t>
      </w:r>
      <w:r w:rsidR="00C41452" w:rsidRPr="00F87BC3">
        <w:rPr>
          <w:rFonts w:ascii="Arial" w:hAnsi="Arial" w:cs="Arial"/>
          <w:sz w:val="22"/>
          <w:szCs w:val="22"/>
        </w:rPr>
        <w:t>Service</w:t>
      </w:r>
      <w:r w:rsidRPr="00F87BC3">
        <w:rPr>
          <w:rFonts w:ascii="Arial" w:hAnsi="Arial" w:cs="Arial"/>
          <w:sz w:val="22"/>
          <w:szCs w:val="22"/>
        </w:rPr>
        <w:t xml:space="preserve"> efforts towards jaguar conservation, including outreach and </w:t>
      </w:r>
      <w:r w:rsidR="004B6B68" w:rsidRPr="00F87BC3">
        <w:rPr>
          <w:rFonts w:ascii="Arial" w:hAnsi="Arial" w:cs="Arial"/>
          <w:sz w:val="22"/>
          <w:szCs w:val="22"/>
        </w:rPr>
        <w:t xml:space="preserve">education </w:t>
      </w:r>
      <w:r w:rsidRPr="00F87BC3">
        <w:rPr>
          <w:rFonts w:ascii="Arial" w:hAnsi="Arial" w:cs="Arial"/>
          <w:sz w:val="22"/>
          <w:szCs w:val="22"/>
        </w:rPr>
        <w:t xml:space="preserve">activities. </w:t>
      </w:r>
    </w:p>
    <w:p w:rsidR="00027C14" w:rsidRPr="00F87BC3" w:rsidRDefault="00027C14" w:rsidP="00027C14">
      <w:pPr>
        <w:rPr>
          <w:rFonts w:ascii="Arial" w:hAnsi="Arial" w:cs="Arial"/>
          <w:sz w:val="22"/>
          <w:szCs w:val="22"/>
        </w:rPr>
      </w:pPr>
    </w:p>
    <w:p w:rsidR="004B6B68" w:rsidRPr="00F87BC3" w:rsidRDefault="00027C14" w:rsidP="004B6B68">
      <w:pPr>
        <w:rPr>
          <w:rFonts w:ascii="Arial" w:hAnsi="Arial" w:cs="Arial"/>
          <w:sz w:val="22"/>
          <w:szCs w:val="22"/>
        </w:rPr>
      </w:pPr>
      <w:r w:rsidRPr="00F87BC3">
        <w:rPr>
          <w:rFonts w:ascii="Arial" w:hAnsi="Arial" w:cs="Arial"/>
          <w:sz w:val="22"/>
          <w:szCs w:val="22"/>
        </w:rPr>
        <w:t>The informati</w:t>
      </w:r>
      <w:r w:rsidR="00B61929" w:rsidRPr="00F87BC3">
        <w:rPr>
          <w:rFonts w:ascii="Arial" w:hAnsi="Arial" w:cs="Arial"/>
          <w:sz w:val="22"/>
          <w:szCs w:val="22"/>
        </w:rPr>
        <w:t>on will be collected through in-</w:t>
      </w:r>
      <w:r w:rsidRPr="00F87BC3">
        <w:rPr>
          <w:rFonts w:ascii="Arial" w:hAnsi="Arial" w:cs="Arial"/>
          <w:sz w:val="22"/>
          <w:szCs w:val="22"/>
        </w:rPr>
        <w:t>person (face-to-face) interv</w:t>
      </w:r>
      <w:r w:rsidR="004B6B68" w:rsidRPr="00F87BC3">
        <w:rPr>
          <w:rFonts w:ascii="Arial" w:hAnsi="Arial" w:cs="Arial"/>
          <w:sz w:val="22"/>
          <w:szCs w:val="22"/>
        </w:rPr>
        <w:t xml:space="preserve">iews, using our standard interview </w:t>
      </w:r>
      <w:r w:rsidRPr="00F87BC3">
        <w:rPr>
          <w:rFonts w:ascii="Arial" w:hAnsi="Arial" w:cs="Arial"/>
          <w:sz w:val="22"/>
          <w:szCs w:val="22"/>
        </w:rPr>
        <w:t xml:space="preserve">instrument. </w:t>
      </w:r>
      <w:r w:rsidR="004B6B68" w:rsidRPr="00F87BC3">
        <w:rPr>
          <w:rFonts w:ascii="Arial" w:hAnsi="Arial" w:cs="Arial"/>
          <w:sz w:val="22"/>
          <w:szCs w:val="22"/>
        </w:rPr>
        <w:t xml:space="preserve">Harris Environmental Inc. is the contractor that will carry out the information collection. All interviews will be conducted by Harris </w:t>
      </w:r>
      <w:r w:rsidR="00C165A5" w:rsidRPr="00F87BC3">
        <w:rPr>
          <w:rFonts w:ascii="Arial" w:hAnsi="Arial" w:cs="Arial"/>
          <w:sz w:val="22"/>
          <w:szCs w:val="22"/>
        </w:rPr>
        <w:t xml:space="preserve">Environmental </w:t>
      </w:r>
      <w:r w:rsidR="004B6B68" w:rsidRPr="00F87BC3">
        <w:rPr>
          <w:rFonts w:ascii="Arial" w:hAnsi="Arial" w:cs="Arial"/>
          <w:sz w:val="22"/>
          <w:szCs w:val="22"/>
        </w:rPr>
        <w:t xml:space="preserve">staff members. </w:t>
      </w:r>
    </w:p>
    <w:p w:rsidR="004B6B68" w:rsidRPr="00F87BC3" w:rsidRDefault="004B6B68" w:rsidP="004B6B68">
      <w:pPr>
        <w:rPr>
          <w:rFonts w:ascii="Arial" w:hAnsi="Arial" w:cs="Arial"/>
          <w:sz w:val="22"/>
          <w:szCs w:val="22"/>
        </w:rPr>
      </w:pPr>
    </w:p>
    <w:p w:rsidR="004B6B68" w:rsidRPr="00F87BC3" w:rsidRDefault="00027C14" w:rsidP="00027C14">
      <w:pPr>
        <w:rPr>
          <w:rFonts w:ascii="Arial" w:hAnsi="Arial" w:cs="Arial"/>
          <w:sz w:val="22"/>
          <w:szCs w:val="22"/>
        </w:rPr>
      </w:pPr>
      <w:r w:rsidRPr="00F87BC3">
        <w:rPr>
          <w:rFonts w:ascii="Arial" w:hAnsi="Arial" w:cs="Arial"/>
          <w:sz w:val="22"/>
          <w:szCs w:val="22"/>
        </w:rPr>
        <w:t xml:space="preserve">The information collection is a one-time event. Approximately 200 people will be interviewed. </w:t>
      </w:r>
      <w:r w:rsidR="004B6B68" w:rsidRPr="00F87BC3">
        <w:rPr>
          <w:rFonts w:ascii="Arial" w:hAnsi="Arial" w:cs="Arial"/>
          <w:sz w:val="22"/>
          <w:szCs w:val="22"/>
        </w:rPr>
        <w:t xml:space="preserve">Interview participation is </w:t>
      </w:r>
      <w:r w:rsidRPr="00F87BC3">
        <w:rPr>
          <w:rFonts w:ascii="Arial" w:hAnsi="Arial" w:cs="Arial"/>
          <w:sz w:val="22"/>
          <w:szCs w:val="22"/>
        </w:rPr>
        <w:t xml:space="preserve">voluntary. There is not another </w:t>
      </w:r>
      <w:r w:rsidR="004B6B68" w:rsidRPr="00F87BC3">
        <w:rPr>
          <w:rFonts w:ascii="Arial" w:hAnsi="Arial" w:cs="Arial"/>
          <w:sz w:val="22"/>
          <w:szCs w:val="22"/>
        </w:rPr>
        <w:t xml:space="preserve">method for respondents to take part in the information collection. </w:t>
      </w:r>
      <w:r w:rsidRPr="00F87BC3">
        <w:rPr>
          <w:rFonts w:ascii="Arial" w:hAnsi="Arial" w:cs="Arial"/>
          <w:sz w:val="22"/>
          <w:szCs w:val="22"/>
        </w:rPr>
        <w:t xml:space="preserve"> </w:t>
      </w:r>
    </w:p>
    <w:p w:rsidR="004B6B68" w:rsidRPr="00F87BC3" w:rsidRDefault="004B6B68" w:rsidP="00027C14">
      <w:pPr>
        <w:rPr>
          <w:rFonts w:ascii="Arial" w:hAnsi="Arial" w:cs="Arial"/>
          <w:sz w:val="22"/>
          <w:szCs w:val="22"/>
        </w:rPr>
      </w:pPr>
    </w:p>
    <w:p w:rsidR="00027C14" w:rsidRPr="00F87BC3" w:rsidRDefault="00027C14" w:rsidP="00027C14">
      <w:pPr>
        <w:rPr>
          <w:rFonts w:ascii="Arial" w:hAnsi="Arial" w:cs="Arial"/>
          <w:sz w:val="22"/>
          <w:szCs w:val="22"/>
        </w:rPr>
      </w:pPr>
      <w:r w:rsidRPr="00F87BC3">
        <w:rPr>
          <w:rFonts w:ascii="Arial" w:hAnsi="Arial" w:cs="Arial"/>
          <w:sz w:val="22"/>
          <w:szCs w:val="22"/>
        </w:rPr>
        <w:t xml:space="preserve">Respondents </w:t>
      </w:r>
      <w:r w:rsidR="004B6B68" w:rsidRPr="00F87BC3">
        <w:rPr>
          <w:rFonts w:ascii="Arial" w:hAnsi="Arial" w:cs="Arial"/>
          <w:sz w:val="22"/>
          <w:szCs w:val="22"/>
        </w:rPr>
        <w:t xml:space="preserve">will </w:t>
      </w:r>
      <w:r w:rsidR="0084336A" w:rsidRPr="00F87BC3">
        <w:rPr>
          <w:rFonts w:ascii="Arial" w:hAnsi="Arial" w:cs="Arial"/>
          <w:sz w:val="22"/>
          <w:szCs w:val="22"/>
        </w:rPr>
        <w:t xml:space="preserve">be drawn from two main groups: </w:t>
      </w:r>
      <w:r w:rsidRPr="00F87BC3">
        <w:rPr>
          <w:rFonts w:ascii="Arial" w:hAnsi="Arial" w:cs="Arial"/>
          <w:sz w:val="22"/>
          <w:szCs w:val="22"/>
        </w:rPr>
        <w:t xml:space="preserve">residents and stakeholders. </w:t>
      </w:r>
      <w:r w:rsidR="00C41452" w:rsidRPr="00F87BC3">
        <w:rPr>
          <w:rFonts w:ascii="Arial" w:hAnsi="Arial" w:cs="Arial"/>
          <w:sz w:val="22"/>
          <w:szCs w:val="22"/>
        </w:rPr>
        <w:t xml:space="preserve"> </w:t>
      </w:r>
      <w:r w:rsidRPr="00F87BC3">
        <w:rPr>
          <w:rFonts w:ascii="Arial" w:hAnsi="Arial" w:cs="Arial"/>
          <w:sz w:val="22"/>
          <w:szCs w:val="22"/>
        </w:rPr>
        <w:t xml:space="preserve">Residents living in urban and rural areas </w:t>
      </w:r>
      <w:r w:rsidR="004B6B68" w:rsidRPr="00F87BC3">
        <w:rPr>
          <w:rFonts w:ascii="Arial" w:hAnsi="Arial" w:cs="Arial"/>
          <w:sz w:val="22"/>
          <w:szCs w:val="22"/>
        </w:rPr>
        <w:t xml:space="preserve">in Pima, Santa Cruz, and Cochise counties in Arizona and Hidalgo County, New Mexico </w:t>
      </w:r>
      <w:r w:rsidRPr="00F87BC3">
        <w:rPr>
          <w:rFonts w:ascii="Arial" w:hAnsi="Arial" w:cs="Arial"/>
          <w:sz w:val="22"/>
          <w:szCs w:val="22"/>
        </w:rPr>
        <w:t xml:space="preserve">will be randomly sampled. </w:t>
      </w:r>
      <w:r w:rsidR="00C41452" w:rsidRPr="00F87BC3">
        <w:rPr>
          <w:rFonts w:ascii="Arial" w:hAnsi="Arial" w:cs="Arial"/>
          <w:sz w:val="22"/>
          <w:szCs w:val="22"/>
        </w:rPr>
        <w:t xml:space="preserve"> </w:t>
      </w:r>
      <w:r w:rsidRPr="00F87BC3">
        <w:rPr>
          <w:rFonts w:ascii="Arial" w:hAnsi="Arial" w:cs="Arial"/>
          <w:sz w:val="22"/>
          <w:szCs w:val="22"/>
        </w:rPr>
        <w:t xml:space="preserve">Stakeholders will be </w:t>
      </w:r>
      <w:r w:rsidR="00B61929" w:rsidRPr="00F87BC3">
        <w:rPr>
          <w:rFonts w:ascii="Arial" w:hAnsi="Arial" w:cs="Arial"/>
          <w:sz w:val="22"/>
          <w:szCs w:val="22"/>
        </w:rPr>
        <w:t>deliberately</w:t>
      </w:r>
      <w:r w:rsidRPr="00F87BC3">
        <w:rPr>
          <w:rFonts w:ascii="Arial" w:hAnsi="Arial" w:cs="Arial"/>
          <w:sz w:val="22"/>
          <w:szCs w:val="22"/>
        </w:rPr>
        <w:t xml:space="preserve"> sampled</w:t>
      </w:r>
      <w:r w:rsidR="00F841DA" w:rsidRPr="00F87BC3">
        <w:rPr>
          <w:rFonts w:ascii="Arial" w:hAnsi="Arial" w:cs="Arial"/>
          <w:sz w:val="22"/>
          <w:szCs w:val="22"/>
        </w:rPr>
        <w:t xml:space="preserve">. Stakeholders are </w:t>
      </w:r>
      <w:r w:rsidRPr="00F87BC3">
        <w:rPr>
          <w:rFonts w:ascii="Arial" w:hAnsi="Arial" w:cs="Arial"/>
          <w:sz w:val="22"/>
          <w:szCs w:val="22"/>
        </w:rPr>
        <w:t xml:space="preserve">members of an identified group such as: land user; member of an outdoor recreation or conservation group; land/housing developer; land management agency staff; city or county government leader. </w:t>
      </w:r>
      <w:r w:rsidR="004B6B68" w:rsidRPr="00F87BC3">
        <w:rPr>
          <w:rFonts w:ascii="Arial" w:hAnsi="Arial" w:cs="Arial"/>
          <w:sz w:val="22"/>
          <w:szCs w:val="22"/>
        </w:rPr>
        <w:t xml:space="preserve">This design will </w:t>
      </w:r>
      <w:r w:rsidR="00F841DA" w:rsidRPr="00F87BC3">
        <w:rPr>
          <w:rFonts w:ascii="Arial" w:hAnsi="Arial" w:cs="Arial"/>
          <w:sz w:val="22"/>
          <w:szCs w:val="22"/>
        </w:rPr>
        <w:t xml:space="preserve">elicit </w:t>
      </w:r>
      <w:r w:rsidR="004B6B68" w:rsidRPr="00F87BC3">
        <w:rPr>
          <w:rFonts w:ascii="Arial" w:hAnsi="Arial" w:cs="Arial"/>
          <w:sz w:val="22"/>
          <w:szCs w:val="22"/>
        </w:rPr>
        <w:t xml:space="preserve">information from groups with which the </w:t>
      </w:r>
      <w:r w:rsidR="00C41452" w:rsidRPr="00F87BC3">
        <w:rPr>
          <w:rFonts w:ascii="Arial" w:hAnsi="Arial" w:cs="Arial"/>
          <w:sz w:val="22"/>
          <w:szCs w:val="22"/>
        </w:rPr>
        <w:t>Service</w:t>
      </w:r>
      <w:r w:rsidR="004B6B68" w:rsidRPr="00F87BC3">
        <w:rPr>
          <w:rFonts w:ascii="Arial" w:hAnsi="Arial" w:cs="Arial"/>
          <w:sz w:val="22"/>
          <w:szCs w:val="22"/>
        </w:rPr>
        <w:t xml:space="preserve"> coordinates </w:t>
      </w:r>
      <w:r w:rsidR="0084336A" w:rsidRPr="00F87BC3">
        <w:rPr>
          <w:rFonts w:ascii="Arial" w:hAnsi="Arial" w:cs="Arial"/>
          <w:sz w:val="22"/>
          <w:szCs w:val="22"/>
        </w:rPr>
        <w:t xml:space="preserve">its </w:t>
      </w:r>
      <w:r w:rsidR="004B6B68" w:rsidRPr="00F87BC3">
        <w:rPr>
          <w:rFonts w:ascii="Arial" w:hAnsi="Arial" w:cs="Arial"/>
          <w:sz w:val="22"/>
          <w:szCs w:val="22"/>
        </w:rPr>
        <w:t>conservation efforts.</w:t>
      </w:r>
      <w:r w:rsidR="00C41452" w:rsidRPr="00F87BC3">
        <w:rPr>
          <w:rFonts w:ascii="Arial" w:hAnsi="Arial" w:cs="Arial"/>
          <w:sz w:val="22"/>
          <w:szCs w:val="22"/>
        </w:rPr>
        <w:t xml:space="preserve"> </w:t>
      </w:r>
      <w:r w:rsidR="004B6B68" w:rsidRPr="00F87BC3">
        <w:rPr>
          <w:rFonts w:ascii="Arial" w:hAnsi="Arial" w:cs="Arial"/>
          <w:sz w:val="22"/>
          <w:szCs w:val="22"/>
        </w:rPr>
        <w:t xml:space="preserve"> It will also </w:t>
      </w:r>
      <w:r w:rsidR="00F841DA" w:rsidRPr="00F87BC3">
        <w:rPr>
          <w:rFonts w:ascii="Arial" w:hAnsi="Arial" w:cs="Arial"/>
          <w:sz w:val="22"/>
          <w:szCs w:val="22"/>
        </w:rPr>
        <w:t xml:space="preserve">yield </w:t>
      </w:r>
      <w:r w:rsidR="004B6B68" w:rsidRPr="00F87BC3">
        <w:rPr>
          <w:rFonts w:ascii="Arial" w:hAnsi="Arial" w:cs="Arial"/>
          <w:sz w:val="22"/>
          <w:szCs w:val="22"/>
        </w:rPr>
        <w:t xml:space="preserve">information from the wider public, and likely involve contact with </w:t>
      </w:r>
      <w:r w:rsidR="00F841DA" w:rsidRPr="00F87BC3">
        <w:rPr>
          <w:rFonts w:ascii="Arial" w:hAnsi="Arial" w:cs="Arial"/>
          <w:sz w:val="22"/>
          <w:szCs w:val="22"/>
        </w:rPr>
        <w:t xml:space="preserve">a range of </w:t>
      </w:r>
      <w:r w:rsidR="004B6B68" w:rsidRPr="00F87BC3">
        <w:rPr>
          <w:rFonts w:ascii="Arial" w:hAnsi="Arial" w:cs="Arial"/>
          <w:sz w:val="22"/>
          <w:szCs w:val="22"/>
        </w:rPr>
        <w:t xml:space="preserve">people with which </w:t>
      </w:r>
      <w:r w:rsidR="00F841DA" w:rsidRPr="00F87BC3">
        <w:rPr>
          <w:rFonts w:ascii="Arial" w:hAnsi="Arial" w:cs="Arial"/>
          <w:sz w:val="22"/>
          <w:szCs w:val="22"/>
        </w:rPr>
        <w:t xml:space="preserve">the </w:t>
      </w:r>
      <w:r w:rsidR="00C41452" w:rsidRPr="00F87BC3">
        <w:rPr>
          <w:rFonts w:ascii="Arial" w:hAnsi="Arial" w:cs="Arial"/>
          <w:sz w:val="22"/>
          <w:szCs w:val="22"/>
        </w:rPr>
        <w:t>Service</w:t>
      </w:r>
      <w:r w:rsidR="00F841DA" w:rsidRPr="00F87BC3">
        <w:rPr>
          <w:rFonts w:ascii="Arial" w:hAnsi="Arial" w:cs="Arial"/>
          <w:sz w:val="22"/>
          <w:szCs w:val="22"/>
        </w:rPr>
        <w:t xml:space="preserve"> is </w:t>
      </w:r>
      <w:r w:rsidR="004B6B68" w:rsidRPr="00F87BC3">
        <w:rPr>
          <w:rFonts w:ascii="Arial" w:hAnsi="Arial" w:cs="Arial"/>
          <w:sz w:val="22"/>
          <w:szCs w:val="22"/>
        </w:rPr>
        <w:t xml:space="preserve">not normally in regular contact. </w:t>
      </w:r>
    </w:p>
    <w:p w:rsidR="00027C14" w:rsidRPr="00F87BC3" w:rsidRDefault="00027C14" w:rsidP="00027C14">
      <w:pPr>
        <w:rPr>
          <w:rFonts w:ascii="Arial" w:hAnsi="Arial" w:cs="Arial"/>
          <w:sz w:val="22"/>
          <w:szCs w:val="22"/>
        </w:rPr>
      </w:pPr>
    </w:p>
    <w:p w:rsidR="00027C14" w:rsidRPr="00F87BC3" w:rsidRDefault="00027C14" w:rsidP="00027C14">
      <w:pPr>
        <w:rPr>
          <w:rFonts w:ascii="Arial" w:hAnsi="Arial" w:cs="Arial"/>
          <w:sz w:val="22"/>
          <w:szCs w:val="22"/>
        </w:rPr>
      </w:pPr>
      <w:r w:rsidRPr="00F87BC3">
        <w:rPr>
          <w:rFonts w:ascii="Arial" w:hAnsi="Arial" w:cs="Arial"/>
          <w:sz w:val="22"/>
          <w:szCs w:val="22"/>
        </w:rPr>
        <w:t xml:space="preserve">The </w:t>
      </w:r>
      <w:r w:rsidR="004B6B68" w:rsidRPr="00F87BC3">
        <w:rPr>
          <w:rFonts w:ascii="Arial" w:hAnsi="Arial" w:cs="Arial"/>
          <w:sz w:val="22"/>
          <w:szCs w:val="22"/>
        </w:rPr>
        <w:t xml:space="preserve">interview </w:t>
      </w:r>
      <w:r w:rsidRPr="00F87BC3">
        <w:rPr>
          <w:rFonts w:ascii="Arial" w:hAnsi="Arial" w:cs="Arial"/>
          <w:sz w:val="22"/>
          <w:szCs w:val="22"/>
        </w:rPr>
        <w:t xml:space="preserve">instrument includes questions in the following categories: Activities; Knowledge of Jaguar Status and Ecology; and Open-Ended Questions. </w:t>
      </w:r>
    </w:p>
    <w:p w:rsidR="00027C14" w:rsidRPr="00F87BC3" w:rsidRDefault="00027C14" w:rsidP="00027C14">
      <w:pPr>
        <w:rPr>
          <w:rFonts w:ascii="Arial" w:hAnsi="Arial" w:cs="Arial"/>
          <w:sz w:val="22"/>
          <w:szCs w:val="22"/>
        </w:rPr>
      </w:pPr>
    </w:p>
    <w:p w:rsidR="00027C14" w:rsidRPr="00F87BC3" w:rsidRDefault="00027C14" w:rsidP="00027C14">
      <w:pPr>
        <w:rPr>
          <w:rFonts w:ascii="Arial" w:hAnsi="Arial" w:cs="Arial"/>
          <w:sz w:val="22"/>
          <w:szCs w:val="22"/>
          <w:u w:val="single"/>
        </w:rPr>
      </w:pPr>
      <w:r w:rsidRPr="00F87BC3">
        <w:rPr>
          <w:rFonts w:ascii="Arial" w:hAnsi="Arial" w:cs="Arial"/>
          <w:sz w:val="22"/>
          <w:szCs w:val="22"/>
          <w:u w:val="single"/>
        </w:rPr>
        <w:t>Activities</w:t>
      </w:r>
    </w:p>
    <w:p w:rsidR="00027C14" w:rsidRPr="00F87BC3" w:rsidRDefault="00027C14" w:rsidP="00027C14">
      <w:pPr>
        <w:rPr>
          <w:rFonts w:ascii="Arial" w:hAnsi="Arial" w:cs="Arial"/>
          <w:sz w:val="22"/>
          <w:szCs w:val="22"/>
        </w:rPr>
      </w:pPr>
    </w:p>
    <w:p w:rsidR="00027C14" w:rsidRPr="00F87BC3" w:rsidRDefault="00027C14" w:rsidP="00027C14">
      <w:pPr>
        <w:rPr>
          <w:rFonts w:ascii="Arial" w:hAnsi="Arial" w:cs="Arial"/>
          <w:sz w:val="22"/>
          <w:szCs w:val="22"/>
        </w:rPr>
      </w:pPr>
      <w:r w:rsidRPr="00F87BC3">
        <w:rPr>
          <w:rFonts w:ascii="Arial" w:hAnsi="Arial" w:cs="Arial"/>
          <w:sz w:val="22"/>
          <w:szCs w:val="22"/>
        </w:rPr>
        <w:t>The questions in the “Activities” section ask respondents to inform us about how much time they spend participating in outdoor activities</w:t>
      </w:r>
      <w:r w:rsidR="00C41452" w:rsidRPr="00F87BC3">
        <w:rPr>
          <w:rFonts w:ascii="Arial" w:hAnsi="Arial" w:cs="Arial"/>
          <w:sz w:val="22"/>
          <w:szCs w:val="22"/>
        </w:rPr>
        <w:t>,</w:t>
      </w:r>
      <w:r w:rsidRPr="00F87BC3">
        <w:rPr>
          <w:rFonts w:ascii="Arial" w:hAnsi="Arial" w:cs="Arial"/>
          <w:sz w:val="22"/>
          <w:szCs w:val="22"/>
        </w:rPr>
        <w:t xml:space="preserve"> such as hunting, fishing, hiking, camping or other kinds of recreation. This section also asks whether respondents depend on the land for their livelihood and whether they are a member of a conservation or hunting organization.  </w:t>
      </w:r>
    </w:p>
    <w:p w:rsidR="00027C14" w:rsidRPr="00F87BC3" w:rsidRDefault="00027C14" w:rsidP="00027C14">
      <w:pPr>
        <w:rPr>
          <w:rFonts w:ascii="Arial" w:hAnsi="Arial" w:cs="Arial"/>
          <w:sz w:val="22"/>
          <w:szCs w:val="22"/>
        </w:rPr>
      </w:pPr>
    </w:p>
    <w:p w:rsidR="00027C14" w:rsidRPr="00F87BC3" w:rsidRDefault="00027C14" w:rsidP="00027C14">
      <w:pPr>
        <w:rPr>
          <w:rFonts w:ascii="Arial" w:hAnsi="Arial" w:cs="Arial"/>
          <w:sz w:val="22"/>
          <w:szCs w:val="22"/>
          <w:u w:val="single"/>
        </w:rPr>
      </w:pPr>
      <w:r w:rsidRPr="00F87BC3">
        <w:rPr>
          <w:rFonts w:ascii="Arial" w:hAnsi="Arial" w:cs="Arial"/>
          <w:sz w:val="22"/>
          <w:szCs w:val="22"/>
          <w:u w:val="single"/>
        </w:rPr>
        <w:t xml:space="preserve">Knowledge of Jaguar Status and Ecology </w:t>
      </w:r>
    </w:p>
    <w:p w:rsidR="00027C14" w:rsidRPr="00F87BC3" w:rsidRDefault="00027C14" w:rsidP="00027C14">
      <w:pPr>
        <w:rPr>
          <w:rFonts w:ascii="Arial" w:hAnsi="Arial" w:cs="Arial"/>
          <w:sz w:val="22"/>
          <w:szCs w:val="22"/>
          <w:u w:val="single"/>
        </w:rPr>
      </w:pPr>
    </w:p>
    <w:p w:rsidR="00027C14" w:rsidRPr="00F87BC3" w:rsidRDefault="00027C14" w:rsidP="00027C14">
      <w:pPr>
        <w:rPr>
          <w:rFonts w:ascii="Arial" w:hAnsi="Arial" w:cs="Arial"/>
          <w:sz w:val="22"/>
          <w:szCs w:val="22"/>
        </w:rPr>
      </w:pPr>
      <w:r w:rsidRPr="00F87BC3">
        <w:rPr>
          <w:rFonts w:ascii="Arial" w:hAnsi="Arial" w:cs="Arial"/>
          <w:sz w:val="22"/>
          <w:szCs w:val="22"/>
        </w:rPr>
        <w:t xml:space="preserve">The questions in the “Knowledge of Jaguar Status and Ecology” section ask respondents basic questions about jaguar conservation status and ecology, to better understand </w:t>
      </w:r>
      <w:r w:rsidR="00F841DA" w:rsidRPr="00F87BC3">
        <w:rPr>
          <w:rFonts w:ascii="Arial" w:hAnsi="Arial" w:cs="Arial"/>
          <w:sz w:val="22"/>
          <w:szCs w:val="22"/>
        </w:rPr>
        <w:t xml:space="preserve">the level of </w:t>
      </w:r>
      <w:r w:rsidRPr="00F87BC3">
        <w:rPr>
          <w:rFonts w:ascii="Arial" w:hAnsi="Arial" w:cs="Arial"/>
          <w:sz w:val="22"/>
          <w:szCs w:val="22"/>
        </w:rPr>
        <w:t>public</w:t>
      </w:r>
      <w:r w:rsidR="00F841DA" w:rsidRPr="00F87BC3">
        <w:rPr>
          <w:rFonts w:ascii="Arial" w:hAnsi="Arial" w:cs="Arial"/>
          <w:sz w:val="22"/>
          <w:szCs w:val="22"/>
        </w:rPr>
        <w:t xml:space="preserve"> and stakeholder </w:t>
      </w:r>
      <w:r w:rsidRPr="00F87BC3">
        <w:rPr>
          <w:rFonts w:ascii="Arial" w:hAnsi="Arial" w:cs="Arial"/>
          <w:sz w:val="22"/>
          <w:szCs w:val="22"/>
        </w:rPr>
        <w:t xml:space="preserve">knowledge about jaguars. </w:t>
      </w:r>
    </w:p>
    <w:p w:rsidR="00027C14" w:rsidRPr="00F87BC3" w:rsidRDefault="00027C14" w:rsidP="00027C14">
      <w:pPr>
        <w:rPr>
          <w:rFonts w:ascii="Arial" w:hAnsi="Arial" w:cs="Arial"/>
          <w:sz w:val="22"/>
          <w:szCs w:val="22"/>
        </w:rPr>
      </w:pPr>
    </w:p>
    <w:p w:rsidR="00027C14" w:rsidRPr="00F87BC3" w:rsidRDefault="00027C14" w:rsidP="00027C14">
      <w:pPr>
        <w:rPr>
          <w:rFonts w:ascii="Arial" w:hAnsi="Arial" w:cs="Arial"/>
          <w:sz w:val="22"/>
          <w:szCs w:val="22"/>
          <w:u w:val="single"/>
        </w:rPr>
      </w:pPr>
      <w:r w:rsidRPr="00F87BC3">
        <w:rPr>
          <w:rFonts w:ascii="Arial" w:hAnsi="Arial" w:cs="Arial"/>
          <w:sz w:val="22"/>
          <w:szCs w:val="22"/>
          <w:u w:val="single"/>
        </w:rPr>
        <w:t>Open – Ended Questions</w:t>
      </w:r>
    </w:p>
    <w:p w:rsidR="00027C14" w:rsidRPr="00F87BC3" w:rsidRDefault="00027C14" w:rsidP="00027C14">
      <w:pPr>
        <w:rPr>
          <w:rFonts w:ascii="Arial" w:hAnsi="Arial" w:cs="Arial"/>
          <w:sz w:val="22"/>
          <w:szCs w:val="22"/>
        </w:rPr>
      </w:pPr>
    </w:p>
    <w:p w:rsidR="00027C14" w:rsidRPr="00F87BC3" w:rsidRDefault="00027C14" w:rsidP="00027C14">
      <w:pPr>
        <w:rPr>
          <w:rFonts w:ascii="Arial" w:hAnsi="Arial" w:cs="Arial"/>
          <w:sz w:val="22"/>
          <w:szCs w:val="22"/>
        </w:rPr>
      </w:pPr>
      <w:r w:rsidRPr="00F87BC3">
        <w:rPr>
          <w:rFonts w:ascii="Arial" w:hAnsi="Arial" w:cs="Arial"/>
          <w:sz w:val="22"/>
          <w:szCs w:val="22"/>
        </w:rPr>
        <w:t>This section asks open-ended questions to better understand public values for and opinions about jaguars</w:t>
      </w:r>
      <w:r w:rsidR="00F841DA" w:rsidRPr="00F87BC3">
        <w:rPr>
          <w:rFonts w:ascii="Arial" w:hAnsi="Arial" w:cs="Arial"/>
          <w:sz w:val="22"/>
          <w:szCs w:val="22"/>
        </w:rPr>
        <w:t xml:space="preserve"> and their conservation, including views on </w:t>
      </w:r>
      <w:r w:rsidRPr="00F87BC3">
        <w:rPr>
          <w:rFonts w:ascii="Arial" w:hAnsi="Arial" w:cs="Arial"/>
          <w:sz w:val="22"/>
          <w:szCs w:val="22"/>
        </w:rPr>
        <w:t>pote</w:t>
      </w:r>
      <w:r w:rsidR="00F841DA" w:rsidRPr="00F87BC3">
        <w:rPr>
          <w:rFonts w:ascii="Arial" w:hAnsi="Arial" w:cs="Arial"/>
          <w:sz w:val="22"/>
          <w:szCs w:val="22"/>
        </w:rPr>
        <w:t xml:space="preserve">ntial conservation actions that </w:t>
      </w:r>
      <w:r w:rsidR="00C41452" w:rsidRPr="00F87BC3">
        <w:rPr>
          <w:rFonts w:ascii="Arial" w:hAnsi="Arial" w:cs="Arial"/>
          <w:sz w:val="22"/>
          <w:szCs w:val="22"/>
        </w:rPr>
        <w:t>the Service</w:t>
      </w:r>
      <w:r w:rsidR="00F841DA" w:rsidRPr="00F87BC3">
        <w:rPr>
          <w:rFonts w:ascii="Arial" w:hAnsi="Arial" w:cs="Arial"/>
          <w:sz w:val="22"/>
          <w:szCs w:val="22"/>
        </w:rPr>
        <w:t xml:space="preserve"> and other relevant government agencies might take. Analysis of interview responses will include the identification of </w:t>
      </w:r>
      <w:r w:rsidRPr="00F87BC3">
        <w:rPr>
          <w:rFonts w:ascii="Arial" w:hAnsi="Arial" w:cs="Arial"/>
          <w:sz w:val="22"/>
          <w:szCs w:val="22"/>
        </w:rPr>
        <w:t>opportunities and barriers to jaguar recovery in this region.</w:t>
      </w:r>
      <w:r w:rsidR="00F841DA" w:rsidRPr="00F87BC3">
        <w:rPr>
          <w:rFonts w:ascii="Arial" w:hAnsi="Arial" w:cs="Arial"/>
          <w:sz w:val="22"/>
          <w:szCs w:val="22"/>
        </w:rPr>
        <w:t xml:space="preserve"> Questions pertaining to human values, attitudes and beliefs are best addressed through qualitative methods, including in-depth interviews in which responses are elicited in a conversational manner that allows for a systematic exploration of complex issues. </w:t>
      </w:r>
    </w:p>
    <w:p w:rsidR="00027C14" w:rsidRPr="00F87BC3" w:rsidRDefault="00027C14" w:rsidP="00027C14">
      <w:pPr>
        <w:rPr>
          <w:rFonts w:ascii="Arial" w:hAnsi="Arial" w:cs="Arial"/>
          <w:sz w:val="22"/>
          <w:szCs w:val="22"/>
        </w:rPr>
      </w:pPr>
    </w:p>
    <w:p w:rsidR="00027C14" w:rsidRPr="00F87BC3" w:rsidRDefault="00027C14" w:rsidP="00027C14">
      <w:pPr>
        <w:rPr>
          <w:rFonts w:ascii="Arial" w:hAnsi="Arial" w:cs="Arial"/>
          <w:sz w:val="22"/>
          <w:szCs w:val="22"/>
        </w:rPr>
      </w:pPr>
      <w:r w:rsidRPr="00F87BC3">
        <w:rPr>
          <w:rFonts w:ascii="Arial" w:hAnsi="Arial" w:cs="Arial"/>
          <w:sz w:val="22"/>
          <w:szCs w:val="22"/>
        </w:rPr>
        <w:t xml:space="preserve">The information </w:t>
      </w:r>
      <w:r w:rsidR="00F841DA" w:rsidRPr="00F87BC3">
        <w:rPr>
          <w:rFonts w:ascii="Arial" w:hAnsi="Arial" w:cs="Arial"/>
          <w:sz w:val="22"/>
          <w:szCs w:val="22"/>
        </w:rPr>
        <w:t xml:space="preserve">obtained </w:t>
      </w:r>
      <w:r w:rsidRPr="00F87BC3">
        <w:rPr>
          <w:rFonts w:ascii="Arial" w:hAnsi="Arial" w:cs="Arial"/>
          <w:sz w:val="22"/>
          <w:szCs w:val="22"/>
        </w:rPr>
        <w:t xml:space="preserve">will be shared with organizations pertinent to jaguar conservation and recovery. </w:t>
      </w:r>
    </w:p>
    <w:p w:rsidR="00027C14" w:rsidRPr="00F87BC3" w:rsidRDefault="00027C14" w:rsidP="00027C14">
      <w:pPr>
        <w:ind w:left="720"/>
        <w:rPr>
          <w:rFonts w:ascii="Arial" w:hAnsi="Arial" w:cs="Arial"/>
          <w:sz w:val="22"/>
          <w:szCs w:val="22"/>
          <w:highlight w:val="yellow"/>
        </w:rPr>
      </w:pPr>
      <w:r w:rsidRPr="00F87BC3">
        <w:rPr>
          <w:rFonts w:ascii="Arial" w:hAnsi="Arial" w:cs="Arial"/>
          <w:sz w:val="22"/>
          <w:szCs w:val="22"/>
          <w:highlight w:val="yellow"/>
        </w:rPr>
        <w:lastRenderedPageBreak/>
        <w:t xml:space="preserve"> </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87BC3">
        <w:rPr>
          <w:rFonts w:ascii="Arial" w:hAnsi="Arial" w:cs="Arial"/>
          <w:b/>
          <w:bCs/>
          <w:sz w:val="22"/>
          <w:szCs w:val="22"/>
        </w:rPr>
        <w:t>3.</w:t>
      </w:r>
      <w:r w:rsidRPr="00F87BC3">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27C14" w:rsidRPr="00F87BC3" w:rsidRDefault="00027C14" w:rsidP="00027C14">
      <w:pPr>
        <w:rPr>
          <w:rFonts w:ascii="Arial" w:hAnsi="Arial" w:cs="Arial"/>
          <w:bCs/>
          <w:sz w:val="22"/>
          <w:szCs w:val="22"/>
        </w:rPr>
      </w:pPr>
      <w:r w:rsidRPr="00F87BC3">
        <w:rPr>
          <w:rFonts w:ascii="Arial" w:hAnsi="Arial" w:cs="Arial"/>
          <w:sz w:val="22"/>
          <w:szCs w:val="22"/>
        </w:rPr>
        <w:t xml:space="preserve">The information collection does not involve the use of </w:t>
      </w:r>
      <w:r w:rsidRPr="00F87BC3">
        <w:rPr>
          <w:rFonts w:ascii="Arial" w:hAnsi="Arial" w:cs="Arial"/>
          <w:bCs/>
          <w:sz w:val="22"/>
          <w:szCs w:val="22"/>
        </w:rPr>
        <w:t xml:space="preserve">automated, electronic, mechanical, or other technological collection techniques or other forms of information technology. </w:t>
      </w:r>
      <w:r w:rsidR="0036383B" w:rsidRPr="00F87BC3">
        <w:rPr>
          <w:rFonts w:ascii="Arial" w:hAnsi="Arial" w:cs="Arial"/>
          <w:bCs/>
          <w:sz w:val="22"/>
          <w:szCs w:val="22"/>
        </w:rPr>
        <w:t xml:space="preserve"> </w:t>
      </w:r>
    </w:p>
    <w:p w:rsidR="00027C14" w:rsidRPr="00F87BC3" w:rsidRDefault="00027C14" w:rsidP="00027C14">
      <w:pPr>
        <w:rPr>
          <w:rFonts w:ascii="Arial" w:hAnsi="Arial" w:cs="Arial"/>
          <w:bCs/>
          <w:sz w:val="22"/>
          <w:szCs w:val="22"/>
        </w:rPr>
      </w:pPr>
      <w:r w:rsidRPr="00F87BC3">
        <w:rPr>
          <w:rFonts w:ascii="Arial" w:hAnsi="Arial" w:cs="Arial"/>
          <w:bCs/>
          <w:sz w:val="22"/>
          <w:szCs w:val="22"/>
        </w:rPr>
        <w:t xml:space="preserve">The </w:t>
      </w:r>
      <w:r w:rsidR="00B61929" w:rsidRPr="00F87BC3">
        <w:rPr>
          <w:rFonts w:ascii="Arial" w:hAnsi="Arial" w:cs="Arial"/>
          <w:bCs/>
          <w:sz w:val="22"/>
          <w:szCs w:val="22"/>
        </w:rPr>
        <w:t xml:space="preserve">in-person or </w:t>
      </w:r>
      <w:r w:rsidRPr="00F87BC3">
        <w:rPr>
          <w:rFonts w:ascii="Arial" w:hAnsi="Arial" w:cs="Arial"/>
          <w:bCs/>
          <w:sz w:val="22"/>
          <w:szCs w:val="22"/>
        </w:rPr>
        <w:t xml:space="preserve">face-to-face method of collection was chosen in order to elicit in depth responses to qualitative questions regarding respondents’ attitudes, and knowledge about jaguars. </w:t>
      </w:r>
      <w:r w:rsidR="00C41452" w:rsidRPr="00F87BC3">
        <w:rPr>
          <w:rFonts w:ascii="Arial" w:hAnsi="Arial" w:cs="Arial"/>
          <w:bCs/>
          <w:sz w:val="22"/>
          <w:szCs w:val="22"/>
        </w:rPr>
        <w:t xml:space="preserve"> </w:t>
      </w:r>
      <w:r w:rsidRPr="00F87BC3">
        <w:rPr>
          <w:rFonts w:ascii="Arial" w:hAnsi="Arial" w:cs="Arial"/>
          <w:bCs/>
          <w:sz w:val="22"/>
          <w:szCs w:val="22"/>
        </w:rPr>
        <w:t xml:space="preserve">This information is best gathered in an in-person interview format, by collectors trained in qualitative methods and interview techniques. Technological means are not suitable for collecting this information. </w:t>
      </w:r>
    </w:p>
    <w:p w:rsidR="00027C14" w:rsidRPr="00F87BC3" w:rsidRDefault="00027C14" w:rsidP="00027C14">
      <w:pPr>
        <w:rPr>
          <w:rFonts w:ascii="Arial" w:hAnsi="Arial" w:cs="Arial"/>
          <w:b/>
          <w:bCs/>
          <w:sz w:val="22"/>
          <w:szCs w:val="22"/>
        </w:rPr>
      </w:pP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87BC3">
        <w:rPr>
          <w:rFonts w:ascii="Arial" w:hAnsi="Arial" w:cs="Arial"/>
          <w:b/>
          <w:bCs/>
          <w:sz w:val="22"/>
          <w:szCs w:val="22"/>
        </w:rPr>
        <w:t>4.</w:t>
      </w:r>
      <w:r w:rsidRPr="00F87BC3">
        <w:rPr>
          <w:rFonts w:ascii="Arial" w:hAnsi="Arial" w:cs="Arial"/>
          <w:b/>
          <w:bCs/>
          <w:sz w:val="22"/>
          <w:szCs w:val="22"/>
        </w:rPr>
        <w:tab/>
        <w:t xml:space="preserve">Describe efforts to identify duplication.  </w:t>
      </w:r>
    </w:p>
    <w:p w:rsidR="00027C14" w:rsidRPr="00F87BC3"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87BC3" w:rsidRPr="00F87BC3" w:rsidRDefault="00027C14" w:rsidP="00F87BC3">
      <w:pPr>
        <w:rPr>
          <w:rFonts w:ascii="Arial" w:hAnsi="Arial" w:cs="Arial"/>
          <w:sz w:val="22"/>
          <w:szCs w:val="22"/>
        </w:rPr>
      </w:pPr>
      <w:r w:rsidRPr="00F87BC3">
        <w:rPr>
          <w:rFonts w:ascii="Arial" w:hAnsi="Arial" w:cs="Arial"/>
          <w:sz w:val="22"/>
          <w:szCs w:val="22"/>
        </w:rPr>
        <w:t xml:space="preserve">There </w:t>
      </w:r>
      <w:r w:rsidR="00C41452" w:rsidRPr="00F87BC3">
        <w:rPr>
          <w:rFonts w:ascii="Arial" w:hAnsi="Arial" w:cs="Arial"/>
          <w:sz w:val="22"/>
          <w:szCs w:val="22"/>
        </w:rPr>
        <w:t>is no duplication.</w:t>
      </w:r>
      <w:r w:rsidRPr="00F87BC3">
        <w:rPr>
          <w:rFonts w:ascii="Arial" w:hAnsi="Arial" w:cs="Arial"/>
          <w:sz w:val="22"/>
          <w:szCs w:val="22"/>
        </w:rPr>
        <w:t xml:space="preserve"> </w:t>
      </w:r>
      <w:r w:rsidR="00C65916" w:rsidRPr="00F87BC3">
        <w:rPr>
          <w:rFonts w:ascii="Arial" w:hAnsi="Arial" w:cs="Arial"/>
          <w:sz w:val="22"/>
          <w:szCs w:val="22"/>
        </w:rPr>
        <w:t xml:space="preserve"> We are co</w:t>
      </w:r>
      <w:r w:rsidR="00F87BC3" w:rsidRPr="00F87BC3">
        <w:rPr>
          <w:rFonts w:ascii="Arial" w:hAnsi="Arial" w:cs="Arial"/>
          <w:sz w:val="22"/>
          <w:szCs w:val="22"/>
        </w:rPr>
        <w:t>nducting a concurrent survey (OMB Control Number 1018-0157) related to rancher opinions about wildlife and jaguar habitat management.  However, the study of urban residents is distinctly different from the rancher survey, which is focused on respondents living in rural areas.  In addition, the focus of the survey is different, with the rancher survey focused more on the impacts of jaguar habitat on ranching activities. We have coordinated with the group leading the rancher survey to ensure there is no overlap in recipients</w:t>
      </w:r>
    </w:p>
    <w:p w:rsidR="00027C14" w:rsidRDefault="00027C14" w:rsidP="00027C14">
      <w:pPr>
        <w:rPr>
          <w:rFonts w:ascii="Arial" w:hAnsi="Arial" w:cs="Arial"/>
          <w:color w:val="0000FF"/>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If the collection of information impacts small businesses or other small entities, describe the methods used to minimize burden.</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Pr="00CD25C0" w:rsidRDefault="00027C14" w:rsidP="00027C14">
      <w:pPr>
        <w:rPr>
          <w:rFonts w:ascii="Arial" w:hAnsi="Arial" w:cs="Arial"/>
          <w:sz w:val="22"/>
          <w:szCs w:val="22"/>
        </w:rPr>
      </w:pPr>
      <w:r w:rsidRPr="00CD25C0">
        <w:rPr>
          <w:rFonts w:ascii="Arial" w:hAnsi="Arial" w:cs="Arial"/>
          <w:sz w:val="22"/>
          <w:szCs w:val="22"/>
        </w:rPr>
        <w:t xml:space="preserve">The information collection will not burden small businesses or other small entities. </w:t>
      </w:r>
    </w:p>
    <w:p w:rsidR="00027C14" w:rsidRDefault="00027C14" w:rsidP="00027C14">
      <w:pPr>
        <w:rPr>
          <w:rFonts w:ascii="Arial" w:hAnsi="Arial" w:cs="Arial"/>
          <w:color w:val="0000FF"/>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information obtained from this survey </w:t>
      </w:r>
      <w:r w:rsidR="0084336A">
        <w:rPr>
          <w:rFonts w:ascii="Arial" w:hAnsi="Arial" w:cs="Arial"/>
          <w:sz w:val="22"/>
          <w:szCs w:val="22"/>
        </w:rPr>
        <w:t xml:space="preserve">will be directly relevant to jaguar conservation, including recovery planning and outreach and education efforts. The </w:t>
      </w:r>
      <w:r w:rsidR="00844FB8">
        <w:rPr>
          <w:rFonts w:ascii="Arial" w:hAnsi="Arial" w:cs="Arial"/>
          <w:sz w:val="22"/>
          <w:szCs w:val="22"/>
        </w:rPr>
        <w:t>proposed i</w:t>
      </w:r>
      <w:r w:rsidR="0084336A">
        <w:rPr>
          <w:rFonts w:ascii="Arial" w:hAnsi="Arial" w:cs="Arial"/>
          <w:sz w:val="22"/>
          <w:szCs w:val="22"/>
        </w:rPr>
        <w:t xml:space="preserve">nformation </w:t>
      </w:r>
      <w:r w:rsidR="00844FB8">
        <w:rPr>
          <w:rFonts w:ascii="Arial" w:hAnsi="Arial" w:cs="Arial"/>
          <w:sz w:val="22"/>
          <w:szCs w:val="22"/>
        </w:rPr>
        <w:t>c</w:t>
      </w:r>
      <w:r w:rsidR="0084336A">
        <w:rPr>
          <w:rFonts w:ascii="Arial" w:hAnsi="Arial" w:cs="Arial"/>
          <w:sz w:val="22"/>
          <w:szCs w:val="22"/>
        </w:rPr>
        <w:t xml:space="preserve">ollection addresses identified research needs and preliminary actions to achieve recovery goals. Without this information collection, there would remain </w:t>
      </w:r>
      <w:r>
        <w:rPr>
          <w:rFonts w:ascii="Arial" w:hAnsi="Arial" w:cs="Arial"/>
          <w:sz w:val="22"/>
          <w:szCs w:val="22"/>
        </w:rPr>
        <w:t>significant gaps in our knowledge of public perceptions and attitudes to jaguars and conversation. The information collection will not be repeated</w:t>
      </w:r>
      <w:r w:rsidR="00844FB8">
        <w:rPr>
          <w:rFonts w:ascii="Arial" w:hAnsi="Arial" w:cs="Arial"/>
          <w:sz w:val="22"/>
          <w:szCs w:val="22"/>
        </w:rPr>
        <w:t xml:space="preserve">.  It </w:t>
      </w:r>
      <w:r>
        <w:rPr>
          <w:rFonts w:ascii="Arial" w:hAnsi="Arial" w:cs="Arial"/>
          <w:sz w:val="22"/>
          <w:szCs w:val="22"/>
        </w:rPr>
        <w:t>is a one-time collection</w:t>
      </w:r>
      <w:r w:rsidR="0084336A">
        <w:rPr>
          <w:rFonts w:ascii="Arial" w:hAnsi="Arial" w:cs="Arial"/>
          <w:sz w:val="22"/>
          <w:szCs w:val="22"/>
        </w:rPr>
        <w:t xml:space="preserve"> and </w:t>
      </w:r>
      <w:r w:rsidR="00844FB8">
        <w:rPr>
          <w:rFonts w:ascii="Arial" w:hAnsi="Arial" w:cs="Arial"/>
          <w:sz w:val="22"/>
          <w:szCs w:val="22"/>
        </w:rPr>
        <w:t>c</w:t>
      </w:r>
      <w:r w:rsidR="0084336A">
        <w:rPr>
          <w:rFonts w:ascii="Arial" w:hAnsi="Arial" w:cs="Arial"/>
          <w:sz w:val="22"/>
          <w:szCs w:val="22"/>
        </w:rPr>
        <w:t>annot be conducted less frequently</w:t>
      </w:r>
      <w:r>
        <w:rPr>
          <w:rFonts w:ascii="Arial" w:hAnsi="Arial" w:cs="Arial"/>
          <w:sz w:val="22"/>
          <w:szCs w:val="22"/>
        </w:rPr>
        <w:t xml:space="preserve">.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027C14" w:rsidRPr="00FC0F7E"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lastRenderedPageBreak/>
        <w:tab/>
      </w:r>
      <w:r w:rsidRPr="00FC0F7E">
        <w:rPr>
          <w:rFonts w:ascii="Arial" w:hAnsi="Arial" w:cs="Arial"/>
          <w:b/>
          <w:bCs/>
          <w:sz w:val="22"/>
          <w:szCs w:val="22"/>
        </w:rPr>
        <w:t>*</w:t>
      </w:r>
      <w:r w:rsidRPr="00FC0F7E">
        <w:rPr>
          <w:rFonts w:ascii="Arial" w:hAnsi="Arial" w:cs="Arial"/>
          <w:b/>
          <w:bCs/>
          <w:sz w:val="22"/>
          <w:szCs w:val="22"/>
        </w:rPr>
        <w:tab/>
        <w:t>in connection with a statistical survey, that is not designed to produce valid and reliable results that can be generalized to the universe of study;</w:t>
      </w:r>
    </w:p>
    <w:p w:rsidR="00027C14" w:rsidRPr="00FC0F7E"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FC0F7E">
        <w:rPr>
          <w:rFonts w:ascii="Arial" w:hAnsi="Arial" w:cs="Arial"/>
          <w:b/>
          <w:bCs/>
          <w:sz w:val="22"/>
          <w:szCs w:val="22"/>
        </w:rPr>
        <w:tab/>
        <w:t>*</w:t>
      </w:r>
      <w:r w:rsidRPr="00FC0F7E">
        <w:rPr>
          <w:rFonts w:ascii="Arial" w:hAnsi="Arial" w:cs="Arial"/>
          <w:b/>
          <w:bCs/>
          <w:sz w:val="22"/>
          <w:szCs w:val="22"/>
        </w:rPr>
        <w:tab/>
        <w:t>requiring the use of a statistical data classification that has not been reviewed and approved by OMB;</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FC0F7E">
        <w:rPr>
          <w:rFonts w:ascii="Arial" w:hAnsi="Arial" w:cs="Arial"/>
          <w:b/>
          <w:bCs/>
          <w:sz w:val="22"/>
          <w:szCs w:val="22"/>
        </w:rPr>
        <w:tab/>
        <w:t>*</w:t>
      </w:r>
      <w:r w:rsidRPr="00FC0F7E">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70629">
        <w:rPr>
          <w:rFonts w:ascii="Arial" w:hAnsi="Arial" w:cs="Arial"/>
          <w:b/>
          <w:bCs/>
          <w:sz w:val="22"/>
          <w:szCs w:val="22"/>
        </w:rPr>
        <w:t xml:space="preserve"> or</w:t>
      </w: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027C14" w:rsidRPr="00873EE7" w:rsidRDefault="00027C14" w:rsidP="0084336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873EE7">
        <w:rPr>
          <w:rFonts w:ascii="Arial" w:hAnsi="Arial" w:cs="Arial"/>
          <w:sz w:val="22"/>
          <w:szCs w:val="22"/>
        </w:rPr>
        <w:t xml:space="preserve">There are no circumstances that require </w:t>
      </w:r>
      <w:r w:rsidR="00844FB8">
        <w:rPr>
          <w:rFonts w:ascii="Arial" w:hAnsi="Arial" w:cs="Arial"/>
          <w:sz w:val="22"/>
          <w:szCs w:val="22"/>
        </w:rPr>
        <w:t xml:space="preserve">us to collect this information in a manner </w:t>
      </w:r>
      <w:r w:rsidRPr="00873EE7">
        <w:rPr>
          <w:rFonts w:ascii="Arial" w:hAnsi="Arial" w:cs="Arial"/>
          <w:sz w:val="22"/>
          <w:szCs w:val="22"/>
        </w:rPr>
        <w:t>th</w:t>
      </w:r>
      <w:r w:rsidR="00844FB8">
        <w:rPr>
          <w:rFonts w:ascii="Arial" w:hAnsi="Arial" w:cs="Arial"/>
          <w:sz w:val="22"/>
          <w:szCs w:val="22"/>
        </w:rPr>
        <w:t>at is i</w:t>
      </w:r>
      <w:r w:rsidRPr="00873EE7">
        <w:rPr>
          <w:rFonts w:ascii="Arial" w:hAnsi="Arial" w:cs="Arial"/>
          <w:sz w:val="22"/>
          <w:szCs w:val="22"/>
        </w:rPr>
        <w:t>nconsistent</w:t>
      </w:r>
      <w:r>
        <w:rPr>
          <w:rFonts w:ascii="Arial" w:hAnsi="Arial" w:cs="Arial"/>
          <w:sz w:val="22"/>
          <w:szCs w:val="22"/>
        </w:rPr>
        <w:t xml:space="preserve"> </w:t>
      </w:r>
      <w:r w:rsidRPr="00873EE7">
        <w:rPr>
          <w:rFonts w:ascii="Arial" w:hAnsi="Arial" w:cs="Arial"/>
          <w:sz w:val="22"/>
          <w:szCs w:val="22"/>
        </w:rPr>
        <w:t>with OMB guidelines.</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B619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Pr>
          <w:rFonts w:ascii="Arial" w:hAnsi="Arial" w:cs="Arial"/>
          <w:b/>
          <w:bCs/>
          <w:sz w:val="22"/>
          <w:szCs w:val="22"/>
        </w:rPr>
        <w:t>If applicable, p</w:t>
      </w:r>
      <w:r w:rsidRPr="00670629">
        <w:rPr>
          <w:rFonts w:ascii="Arial" w:hAnsi="Arial" w:cs="Arial"/>
          <w:b/>
          <w:bCs/>
          <w:sz w:val="22"/>
          <w:szCs w:val="22"/>
        </w:rPr>
        <w:t xml:space="preserve">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434620" w:rsidRDefault="00434620"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844FB8" w:rsidRDefault="00844FB8"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On December 17, 2013, we published in the Federal Register (78 FR 76315) a notice of our intent to request that OMB approve this information collection.  In that notice, we solicited comments for 60 days, ending on February 18, 2014.  We received the following comments:</w:t>
      </w: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Comment:  One commenter requested that surveys be collected from residents of Hidalgo County, New Mexico, as well as from residents of Cochise, Pima, and Santa Cruz counties of Arizona and that the number of interviews conducted with residents of each of the four counties in the Northwestern Recovery Unit be proportional to the counties’ population.  </w:t>
      </w: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Response:  We will survey residents in Hidalgo County, New Mexico.  The contractor will make every effort to distribute the 200 surveys so that each county’s residents are adequately represented. </w:t>
      </w: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Comment:  One comment requested that the survey include farmers and ranchers in Hidalgo County, New Mexico.  </w:t>
      </w: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ab/>
      </w: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Response:  The method of interviewing residents will mean that farmers and ranchers will likely be included among the rural residents surveyed.  The category of small farmers/ranchers will be targeted purposely, as a stakeholder category.  Small acreage land users are often not included in data collection that targets ranchers and other agricultural producers.  A concurrent information collection </w:t>
      </w:r>
      <w:r>
        <w:rPr>
          <w:rFonts w:ascii="Arial" w:hAnsi="Arial" w:cs="Arial"/>
          <w:bCs/>
          <w:sz w:val="22"/>
          <w:szCs w:val="22"/>
        </w:rPr>
        <w:t xml:space="preserve">(OMB Control Number 1018-0157) </w:t>
      </w:r>
      <w:r w:rsidRPr="00844FB8">
        <w:rPr>
          <w:rFonts w:ascii="Arial" w:hAnsi="Arial" w:cs="Arial"/>
          <w:bCs/>
          <w:sz w:val="22"/>
          <w:szCs w:val="22"/>
        </w:rPr>
        <w:t xml:space="preserve">will include ranchers and farmers in the Northwestern Recovery Unit.  Thus, they will not be included in this survey to avoid duplication of effort. </w:t>
      </w: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 </w:t>
      </w: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Comment:  One commenter requested to be included as a survey respondent.  </w:t>
      </w:r>
      <w:r w:rsidRPr="00844FB8">
        <w:rPr>
          <w:rFonts w:ascii="Arial" w:hAnsi="Arial" w:cs="Arial"/>
          <w:bCs/>
          <w:sz w:val="22"/>
          <w:szCs w:val="22"/>
        </w:rPr>
        <w:tab/>
      </w: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Response:  We will include the commenter’s agency as a respondent in the related government agency personnel survey stakeholder category. </w:t>
      </w: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ab/>
      </w: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 xml:space="preserve">Comment:  One commenter requested a copy of the survey instrument and the results of surveys once completed.  </w:t>
      </w:r>
    </w:p>
    <w:p w:rsid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ab/>
      </w:r>
    </w:p>
    <w:p w:rsidR="00844FB8" w:rsidRPr="00844FB8" w:rsidRDefault="00844FB8" w:rsidP="00844F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44FB8">
        <w:rPr>
          <w:rFonts w:ascii="Arial" w:hAnsi="Arial" w:cs="Arial"/>
          <w:bCs/>
          <w:sz w:val="22"/>
          <w:szCs w:val="22"/>
        </w:rPr>
        <w:t>Response:  We will send a copy of the survey instrument and the final report, which will include information on the data collected, analysis methods, results, and conclusions.  The final report will be available after May 2015.</w:t>
      </w: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Default="0036383B"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will not provide </w:t>
      </w:r>
      <w:r w:rsidR="00027C14">
        <w:rPr>
          <w:rFonts w:ascii="Arial" w:hAnsi="Arial" w:cs="Arial"/>
          <w:sz w:val="22"/>
          <w:szCs w:val="22"/>
        </w:rPr>
        <w:t xml:space="preserve">gifts or payments to respondents.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27C14" w:rsidRPr="00670629" w:rsidRDefault="0036383B" w:rsidP="00027C1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do not provide any assurance of confidentiality.  </w:t>
      </w:r>
      <w:r w:rsidR="00027C14">
        <w:rPr>
          <w:rFonts w:ascii="Arial" w:hAnsi="Arial" w:cs="Arial"/>
          <w:sz w:val="22"/>
          <w:szCs w:val="22"/>
        </w:rPr>
        <w:t xml:space="preserve">Respondents </w:t>
      </w:r>
      <w:r>
        <w:rPr>
          <w:rFonts w:ascii="Arial" w:hAnsi="Arial" w:cs="Arial"/>
          <w:sz w:val="22"/>
          <w:szCs w:val="22"/>
        </w:rPr>
        <w:t>will be told that</w:t>
      </w:r>
      <w:r w:rsidR="00027C14">
        <w:rPr>
          <w:rFonts w:ascii="Arial" w:hAnsi="Arial" w:cs="Arial"/>
          <w:sz w:val="22"/>
          <w:szCs w:val="22"/>
        </w:rPr>
        <w:t xml:space="preserve"> their participation in the interview will be </w:t>
      </w:r>
      <w:r>
        <w:rPr>
          <w:rFonts w:ascii="Arial" w:hAnsi="Arial" w:cs="Arial"/>
          <w:sz w:val="22"/>
          <w:szCs w:val="22"/>
        </w:rPr>
        <w:t>anonymous--</w:t>
      </w:r>
      <w:r w:rsidR="00027C14">
        <w:rPr>
          <w:rFonts w:ascii="Arial" w:hAnsi="Arial" w:cs="Arial"/>
          <w:sz w:val="22"/>
          <w:szCs w:val="22"/>
        </w:rPr>
        <w:t>the statements and information they give will not be attributed to them by their name or any personally identifiable details.</w:t>
      </w:r>
      <w:r>
        <w:rPr>
          <w:rFonts w:ascii="Arial" w:hAnsi="Arial" w:cs="Arial"/>
          <w:sz w:val="22"/>
          <w:szCs w:val="22"/>
        </w:rPr>
        <w:t xml:space="preserve"> </w:t>
      </w:r>
      <w:r w:rsidR="00027C14">
        <w:rPr>
          <w:rFonts w:ascii="Arial" w:hAnsi="Arial" w:cs="Arial"/>
          <w:sz w:val="22"/>
          <w:szCs w:val="22"/>
        </w:rPr>
        <w:t xml:space="preserve"> Participants’ social security numbers will not be collected.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considered private.  </w:t>
      </w: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27C14" w:rsidRPr="006A2042" w:rsidRDefault="0036383B"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We will not ask </w:t>
      </w:r>
      <w:r w:rsidR="00027C14" w:rsidRPr="006A2042">
        <w:rPr>
          <w:rFonts w:ascii="Arial" w:hAnsi="Arial" w:cs="Arial"/>
          <w:bCs/>
          <w:sz w:val="22"/>
          <w:szCs w:val="22"/>
        </w:rPr>
        <w:t xml:space="preserve">questions of a sensitive nature.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C969B1" w:rsidRDefault="00C969B1"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897E44" w:rsidRPr="003F2E1B" w:rsidRDefault="00897E44" w:rsidP="00897E44">
      <w:pPr>
        <w:rPr>
          <w:rFonts w:ascii="Arial" w:hAnsi="Arial" w:cs="Arial"/>
          <w:sz w:val="22"/>
          <w:szCs w:val="22"/>
        </w:rPr>
      </w:pPr>
      <w:r w:rsidRPr="003F2E1B">
        <w:rPr>
          <w:rFonts w:ascii="Arial" w:hAnsi="Arial" w:cs="Arial"/>
          <w:sz w:val="22"/>
          <w:szCs w:val="22"/>
        </w:rPr>
        <w:t>We estimate that 225 respondents will submit 425 responses totaling 61 burden hours.</w:t>
      </w:r>
    </w:p>
    <w:p w:rsidR="00897E44" w:rsidRPr="003F2E1B" w:rsidRDefault="00897E44" w:rsidP="00897E44">
      <w:pPr>
        <w:rPr>
          <w:rFonts w:ascii="Arial" w:hAnsi="Arial" w:cs="Arial"/>
          <w:sz w:val="22"/>
          <w:szCs w:val="22"/>
        </w:rPr>
      </w:pPr>
    </w:p>
    <w:p w:rsidR="00897E44" w:rsidRPr="003F2E1B" w:rsidRDefault="00897E44" w:rsidP="00897E44">
      <w:pPr>
        <w:rPr>
          <w:rFonts w:ascii="Arial" w:hAnsi="Arial" w:cs="Arial"/>
          <w:sz w:val="22"/>
          <w:szCs w:val="22"/>
        </w:rPr>
      </w:pPr>
      <w:r w:rsidRPr="003F2E1B">
        <w:rPr>
          <w:rFonts w:ascii="Arial" w:hAnsi="Arial" w:cs="Arial"/>
          <w:bCs/>
          <w:sz w:val="22"/>
          <w:szCs w:val="22"/>
        </w:rPr>
        <w:t xml:space="preserve">We estimate the annual dollar value of the burden hours to be $2,020 (rounded).  </w:t>
      </w:r>
      <w:r w:rsidRPr="003F2E1B">
        <w:rPr>
          <w:rFonts w:ascii="Arial" w:hAnsi="Arial" w:cs="Arial"/>
          <w:sz w:val="22"/>
          <w:szCs w:val="22"/>
        </w:rPr>
        <w:t>We used information from the Bureau of Labor Statistics USDL 14-1673, September 10, 2014 (Employer Costs for Employee Compensation-June 2014) to estimate average hourly wages and calculate benefits:</w:t>
      </w:r>
    </w:p>
    <w:p w:rsidR="00897E44" w:rsidRPr="003F2E1B" w:rsidRDefault="00897E44" w:rsidP="00897E44">
      <w:pPr>
        <w:numPr>
          <w:ilvl w:val="0"/>
          <w:numId w:val="3"/>
        </w:numPr>
        <w:rPr>
          <w:rFonts w:ascii="Arial" w:hAnsi="Arial" w:cs="Arial"/>
          <w:sz w:val="22"/>
          <w:szCs w:val="22"/>
        </w:rPr>
      </w:pPr>
      <w:r w:rsidRPr="003F2E1B">
        <w:rPr>
          <w:rFonts w:ascii="Arial" w:hAnsi="Arial" w:cs="Arial"/>
          <w:sz w:val="22"/>
          <w:szCs w:val="22"/>
        </w:rPr>
        <w:t>Individuals – We used the wage and salary costs for all workers from Table 1, which states an hourly rate of $21.95.  To calculate benefits, we multiplied the hourly rate by 1.4.  The hourly rate including benefits is $30.73.</w:t>
      </w:r>
    </w:p>
    <w:p w:rsidR="00897E44" w:rsidRPr="003F2E1B" w:rsidRDefault="00897E44" w:rsidP="00897E44">
      <w:pPr>
        <w:ind w:left="360"/>
        <w:rPr>
          <w:rFonts w:ascii="Arial" w:hAnsi="Arial" w:cs="Arial"/>
          <w:sz w:val="22"/>
          <w:szCs w:val="22"/>
        </w:rPr>
      </w:pPr>
    </w:p>
    <w:p w:rsidR="00897E44" w:rsidRPr="003F2E1B" w:rsidRDefault="00897E44" w:rsidP="00897E44">
      <w:pPr>
        <w:widowControl/>
        <w:numPr>
          <w:ilvl w:val="0"/>
          <w:numId w:val="2"/>
        </w:numPr>
        <w:autoSpaceDE/>
        <w:autoSpaceDN/>
        <w:adjustRightInd/>
        <w:rPr>
          <w:rFonts w:ascii="Arial" w:hAnsi="Arial" w:cs="Arial"/>
          <w:sz w:val="22"/>
          <w:szCs w:val="22"/>
        </w:rPr>
      </w:pPr>
      <w:r w:rsidRPr="003F2E1B">
        <w:rPr>
          <w:rFonts w:ascii="Arial" w:hAnsi="Arial" w:cs="Arial"/>
          <w:sz w:val="22"/>
          <w:szCs w:val="22"/>
        </w:rPr>
        <w:t>Private Sector – We used the wage and salary costs for all workers from Table 5, which states an hourly rate of $22.41. To calculate benefits, we multiplied the hourly rate by 1.4. The hourly rate including benefits is $31.37.</w:t>
      </w:r>
    </w:p>
    <w:p w:rsidR="00897E44" w:rsidRPr="003F2E1B" w:rsidRDefault="00897E44" w:rsidP="00897E44">
      <w:pPr>
        <w:ind w:left="360"/>
        <w:rPr>
          <w:rFonts w:ascii="Arial" w:hAnsi="Arial" w:cs="Arial"/>
          <w:sz w:val="22"/>
          <w:szCs w:val="22"/>
        </w:rPr>
      </w:pPr>
    </w:p>
    <w:p w:rsidR="00897E44" w:rsidRPr="003F2E1B" w:rsidRDefault="00897E44" w:rsidP="00897E44">
      <w:pPr>
        <w:pStyle w:val="ListParagraph"/>
        <w:widowControl/>
        <w:numPr>
          <w:ilvl w:val="0"/>
          <w:numId w:val="2"/>
        </w:numPr>
        <w:rPr>
          <w:rFonts w:ascii="Arial" w:hAnsi="Arial" w:cs="Arial"/>
          <w:sz w:val="22"/>
          <w:szCs w:val="22"/>
        </w:rPr>
      </w:pPr>
      <w:r w:rsidRPr="003F2E1B">
        <w:rPr>
          <w:rFonts w:ascii="Arial" w:hAnsi="Arial" w:cs="Arial"/>
          <w:sz w:val="22"/>
          <w:szCs w:val="22"/>
        </w:rPr>
        <w:t>State Government – We used the wage and salary costs for all workers from Table 3, which states an hourly rate of $27.58. To calculate benefits, we multiplied the hourly rate by 1.5.  The hourly rate including benefits is $41.37.</w:t>
      </w:r>
    </w:p>
    <w:p w:rsidR="00897E44" w:rsidRDefault="00897E44" w:rsidP="00897E44">
      <w:pPr>
        <w:rPr>
          <w:rFonts w:ascii="Arial" w:hAnsi="Arial" w:cs="Arial"/>
        </w:rPr>
      </w:pPr>
    </w:p>
    <w:p w:rsidR="00897E44" w:rsidRPr="00B054F1" w:rsidRDefault="00897E44" w:rsidP="00897E44">
      <w:pPr>
        <w:rPr>
          <w:rFonts w:ascii="Arial" w:hAnsi="Arial" w:cs="Arial"/>
          <w:color w:val="0000FF"/>
          <w:sz w:val="24"/>
          <w:szCs w:val="24"/>
        </w:rPr>
      </w:pPr>
    </w:p>
    <w:tbl>
      <w:tblPr>
        <w:tblW w:w="9535"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245"/>
        <w:gridCol w:w="1530"/>
        <w:gridCol w:w="1620"/>
        <w:gridCol w:w="1080"/>
        <w:gridCol w:w="1260"/>
        <w:gridCol w:w="1800"/>
      </w:tblGrid>
      <w:tr w:rsidR="00897E44" w:rsidRPr="00B054F1" w:rsidTr="009B2791">
        <w:tc>
          <w:tcPr>
            <w:tcW w:w="2245" w:type="dxa"/>
            <w:tcBorders>
              <w:top w:val="single" w:sz="4" w:space="0" w:color="BFBFBF"/>
              <w:bottom w:val="single" w:sz="4" w:space="0" w:color="BFBFBF"/>
              <w:right w:val="single" w:sz="4" w:space="0" w:color="BFBFBF"/>
            </w:tcBorders>
          </w:tcPr>
          <w:p w:rsidR="00897E44" w:rsidRPr="00590D47" w:rsidRDefault="00897E44" w:rsidP="009B2791">
            <w:pPr>
              <w:rPr>
                <w:rFonts w:ascii="Arial" w:hAnsi="Arial" w:cs="Arial"/>
                <w:b/>
              </w:rPr>
            </w:pPr>
            <w:r w:rsidRPr="00590D47">
              <w:rPr>
                <w:rFonts w:ascii="Arial" w:hAnsi="Arial" w:cs="Arial"/>
                <w:b/>
              </w:rPr>
              <w:lastRenderedPageBreak/>
              <w:t>ACTIVITY</w:t>
            </w:r>
          </w:p>
        </w:tc>
        <w:tc>
          <w:tcPr>
            <w:tcW w:w="1530" w:type="dxa"/>
            <w:tcBorders>
              <w:top w:val="single" w:sz="4" w:space="0" w:color="BFBFBF"/>
              <w:left w:val="single" w:sz="4" w:space="0" w:color="BFBFBF"/>
              <w:bottom w:val="single" w:sz="4" w:space="0" w:color="BFBFBF"/>
              <w:right w:val="single" w:sz="4" w:space="0" w:color="BFBFBF"/>
            </w:tcBorders>
          </w:tcPr>
          <w:p w:rsidR="00897E44" w:rsidRPr="00590D47" w:rsidRDefault="00897E44" w:rsidP="009B2791">
            <w:pPr>
              <w:rPr>
                <w:rFonts w:ascii="Arial" w:hAnsi="Arial" w:cs="Arial"/>
                <w:b/>
              </w:rPr>
            </w:pPr>
            <w:r w:rsidRPr="00590D47">
              <w:rPr>
                <w:rFonts w:ascii="Arial" w:hAnsi="Arial" w:cs="Arial"/>
                <w:b/>
              </w:rPr>
              <w:t>NO. OF ANNUAL RESPONSES</w:t>
            </w:r>
          </w:p>
        </w:tc>
        <w:tc>
          <w:tcPr>
            <w:tcW w:w="1620" w:type="dxa"/>
            <w:tcBorders>
              <w:top w:val="single" w:sz="4" w:space="0" w:color="BFBFBF"/>
              <w:left w:val="single" w:sz="4" w:space="0" w:color="BFBFBF"/>
              <w:bottom w:val="single" w:sz="4" w:space="0" w:color="BFBFBF"/>
              <w:right w:val="single" w:sz="4" w:space="0" w:color="BFBFBF"/>
            </w:tcBorders>
          </w:tcPr>
          <w:p w:rsidR="00897E44" w:rsidRPr="00590D47" w:rsidRDefault="00897E44" w:rsidP="009B2791">
            <w:pPr>
              <w:rPr>
                <w:rFonts w:ascii="Arial" w:hAnsi="Arial" w:cs="Arial"/>
                <w:b/>
              </w:rPr>
            </w:pPr>
            <w:r w:rsidRPr="00590D47">
              <w:rPr>
                <w:rFonts w:ascii="Arial" w:hAnsi="Arial" w:cs="Arial"/>
                <w:b/>
              </w:rPr>
              <w:t>COMPLETION TIME PER RESPONSE</w:t>
            </w:r>
          </w:p>
        </w:tc>
        <w:tc>
          <w:tcPr>
            <w:tcW w:w="1080" w:type="dxa"/>
            <w:tcBorders>
              <w:top w:val="single" w:sz="4" w:space="0" w:color="BFBFBF"/>
              <w:left w:val="single" w:sz="4" w:space="0" w:color="BFBFBF"/>
              <w:bottom w:val="single" w:sz="4" w:space="0" w:color="BFBFBF"/>
              <w:right w:val="single" w:sz="4" w:space="0" w:color="BFBFBF"/>
            </w:tcBorders>
          </w:tcPr>
          <w:p w:rsidR="00897E44" w:rsidRPr="00590D47" w:rsidRDefault="00897E44" w:rsidP="009B2791">
            <w:pPr>
              <w:rPr>
                <w:rFonts w:ascii="Arial" w:hAnsi="Arial" w:cs="Arial"/>
                <w:b/>
              </w:rPr>
            </w:pPr>
            <w:r w:rsidRPr="00590D47">
              <w:rPr>
                <w:rFonts w:ascii="Arial" w:hAnsi="Arial" w:cs="Arial"/>
                <w:b/>
              </w:rPr>
              <w:t>TOTAL ANNUAL BURDEN HOURS</w:t>
            </w:r>
          </w:p>
        </w:tc>
        <w:tc>
          <w:tcPr>
            <w:tcW w:w="1260" w:type="dxa"/>
            <w:tcBorders>
              <w:top w:val="single" w:sz="4" w:space="0" w:color="BFBFBF"/>
              <w:left w:val="single" w:sz="4" w:space="0" w:color="BFBFBF"/>
              <w:bottom w:val="single" w:sz="4" w:space="0" w:color="BFBFBF"/>
              <w:right w:val="single" w:sz="4" w:space="0" w:color="BFBFBF"/>
            </w:tcBorders>
          </w:tcPr>
          <w:p w:rsidR="00897E44" w:rsidRPr="00590D47" w:rsidRDefault="00897E44" w:rsidP="009B2791">
            <w:pPr>
              <w:rPr>
                <w:rFonts w:ascii="Arial" w:hAnsi="Arial" w:cs="Arial"/>
                <w:b/>
              </w:rPr>
            </w:pPr>
            <w:r>
              <w:rPr>
                <w:rFonts w:ascii="Arial" w:hAnsi="Arial" w:cs="Arial"/>
                <w:b/>
              </w:rPr>
              <w:t>HOURLY RATE WITH BENEFITS</w:t>
            </w:r>
          </w:p>
        </w:tc>
        <w:tc>
          <w:tcPr>
            <w:tcW w:w="1800" w:type="dxa"/>
            <w:tcBorders>
              <w:top w:val="single" w:sz="4" w:space="0" w:color="BFBFBF"/>
              <w:left w:val="single" w:sz="4" w:space="0" w:color="BFBFBF"/>
              <w:bottom w:val="single" w:sz="4" w:space="0" w:color="BFBFBF"/>
            </w:tcBorders>
          </w:tcPr>
          <w:p w:rsidR="00897E44" w:rsidRPr="00590D47" w:rsidRDefault="00897E44" w:rsidP="009B2791">
            <w:pPr>
              <w:rPr>
                <w:rFonts w:ascii="Arial" w:hAnsi="Arial" w:cs="Arial"/>
                <w:b/>
              </w:rPr>
            </w:pPr>
            <w:r w:rsidRPr="00590D47">
              <w:rPr>
                <w:rFonts w:ascii="Arial" w:hAnsi="Arial" w:cs="Arial"/>
                <w:b/>
              </w:rPr>
              <w:t xml:space="preserve">$ VALUE OF ANNUAL BURDEN HOURS </w:t>
            </w:r>
          </w:p>
        </w:tc>
      </w:tr>
      <w:tr w:rsidR="00897E44" w:rsidRPr="00B054F1" w:rsidTr="009B2791">
        <w:tc>
          <w:tcPr>
            <w:tcW w:w="2245" w:type="dxa"/>
            <w:tcBorders>
              <w:top w:val="single" w:sz="4" w:space="0" w:color="BFBFBF"/>
              <w:bottom w:val="single" w:sz="4" w:space="0" w:color="BFBFBF"/>
              <w:right w:val="single" w:sz="4" w:space="0" w:color="BFBFBF"/>
            </w:tcBorders>
          </w:tcPr>
          <w:p w:rsidR="00897E44" w:rsidRPr="00714A94" w:rsidRDefault="00897E44" w:rsidP="009B2791">
            <w:pPr>
              <w:rPr>
                <w:rFonts w:ascii="Arial" w:hAnsi="Arial" w:cs="Arial"/>
                <w:b/>
              </w:rPr>
            </w:pPr>
            <w:r w:rsidRPr="00714A94">
              <w:rPr>
                <w:rFonts w:ascii="Arial" w:hAnsi="Arial" w:cs="Arial"/>
                <w:b/>
              </w:rPr>
              <w:t>Initial Contact</w:t>
            </w:r>
          </w:p>
        </w:tc>
        <w:tc>
          <w:tcPr>
            <w:tcW w:w="153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62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08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26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800" w:type="dxa"/>
            <w:tcBorders>
              <w:top w:val="single" w:sz="4" w:space="0" w:color="BFBFBF"/>
              <w:left w:val="single" w:sz="4" w:space="0" w:color="BFBFBF"/>
              <w:bottom w:val="single" w:sz="4" w:space="0" w:color="BFBFBF"/>
            </w:tcBorders>
          </w:tcPr>
          <w:p w:rsidR="00897E44" w:rsidRPr="003B46EB" w:rsidRDefault="00897E44" w:rsidP="009B2791">
            <w:pPr>
              <w:jc w:val="right"/>
              <w:rPr>
                <w:rFonts w:ascii="Arial" w:hAnsi="Arial" w:cs="Arial"/>
              </w:rPr>
            </w:pPr>
          </w:p>
        </w:tc>
      </w:tr>
      <w:tr w:rsidR="00897E44" w:rsidRPr="00B054F1" w:rsidTr="009B2791">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rPr>
            </w:pPr>
            <w:r>
              <w:rPr>
                <w:rFonts w:ascii="Arial" w:hAnsi="Arial" w:cs="Arial"/>
              </w:rPr>
              <w:t xml:space="preserve">  Individuals</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125</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 minutes</w:t>
            </w: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6</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$30.73</w:t>
            </w: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    184.38</w:t>
            </w:r>
          </w:p>
        </w:tc>
      </w:tr>
      <w:tr w:rsidR="00897E44" w:rsidRPr="00B054F1" w:rsidTr="009B2791">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rPr>
            </w:pPr>
            <w:r>
              <w:rPr>
                <w:rFonts w:ascii="Arial" w:hAnsi="Arial" w:cs="Arial"/>
              </w:rPr>
              <w:t xml:space="preserve">  Private Sector</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60</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 minutes</w:t>
            </w: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31.17</w:t>
            </w: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93.51</w:t>
            </w:r>
          </w:p>
        </w:tc>
      </w:tr>
      <w:tr w:rsidR="00897E44" w:rsidRPr="00B054F1" w:rsidTr="009B2791">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rPr>
            </w:pPr>
            <w:r>
              <w:rPr>
                <w:rFonts w:ascii="Arial" w:hAnsi="Arial" w:cs="Arial"/>
              </w:rPr>
              <w:t xml:space="preserve">  Govt</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40</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 minutes</w:t>
            </w: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2</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41.37</w:t>
            </w: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82.74</w:t>
            </w:r>
          </w:p>
        </w:tc>
      </w:tr>
      <w:tr w:rsidR="00897E44" w:rsidRPr="00B054F1" w:rsidTr="009B2791">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rPr>
            </w:pPr>
            <w:r>
              <w:rPr>
                <w:rFonts w:ascii="Arial" w:hAnsi="Arial" w:cs="Arial"/>
              </w:rPr>
              <w:t>Subtotal</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225</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11</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 xml:space="preserve">     $    370.63</w:t>
            </w:r>
          </w:p>
        </w:tc>
      </w:tr>
      <w:tr w:rsidR="00897E44" w:rsidRPr="00B054F1" w:rsidTr="009B2791">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rsidR="00897E44" w:rsidRPr="00714A94" w:rsidRDefault="00897E44" w:rsidP="009B2791">
            <w:pPr>
              <w:rPr>
                <w:rFonts w:ascii="Arial" w:hAnsi="Arial" w:cs="Arial"/>
                <w:b/>
                <w:bCs/>
              </w:rPr>
            </w:pPr>
            <w:r w:rsidRPr="00714A94">
              <w:rPr>
                <w:rFonts w:ascii="Arial" w:hAnsi="Arial" w:cs="Arial"/>
                <w:b/>
                <w:bCs/>
              </w:rPr>
              <w:t xml:space="preserve">Complete Survey </w:t>
            </w:r>
          </w:p>
        </w:tc>
        <w:tc>
          <w:tcPr>
            <w:tcW w:w="153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62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08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260" w:type="dxa"/>
            <w:tcBorders>
              <w:top w:val="single" w:sz="4" w:space="0" w:color="BFBFBF"/>
              <w:left w:val="single" w:sz="4" w:space="0" w:color="BFBFBF"/>
              <w:bottom w:val="single" w:sz="4" w:space="0" w:color="BFBFBF"/>
              <w:right w:val="single" w:sz="4" w:space="0" w:color="BFBFBF"/>
            </w:tcBorders>
          </w:tcPr>
          <w:p w:rsidR="00897E44" w:rsidRPr="003B46EB" w:rsidRDefault="00897E44" w:rsidP="009B2791">
            <w:pPr>
              <w:jc w:val="right"/>
              <w:rPr>
                <w:rFonts w:ascii="Arial" w:hAnsi="Arial" w:cs="Arial"/>
              </w:rPr>
            </w:pPr>
          </w:p>
        </w:tc>
        <w:tc>
          <w:tcPr>
            <w:tcW w:w="1800" w:type="dxa"/>
            <w:tcBorders>
              <w:top w:val="single" w:sz="4" w:space="0" w:color="BFBFBF"/>
              <w:left w:val="single" w:sz="4" w:space="0" w:color="BFBFBF"/>
              <w:bottom w:val="single" w:sz="4" w:space="0" w:color="BFBFBF"/>
            </w:tcBorders>
          </w:tcPr>
          <w:p w:rsidR="00897E44" w:rsidRPr="003B46EB" w:rsidRDefault="00897E44" w:rsidP="009B2791">
            <w:pPr>
              <w:jc w:val="right"/>
              <w:rPr>
                <w:rFonts w:ascii="Arial" w:hAnsi="Arial" w:cs="Arial"/>
              </w:rPr>
            </w:pPr>
          </w:p>
        </w:tc>
      </w:tr>
      <w:tr w:rsidR="00897E44" w:rsidRPr="00B054F1" w:rsidTr="009B2791">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bCs/>
              </w:rPr>
            </w:pPr>
            <w:r>
              <w:rPr>
                <w:rFonts w:ascii="Arial" w:hAnsi="Arial" w:cs="Arial"/>
                <w:bCs/>
              </w:rPr>
              <w:t xml:space="preserve">  Individuals</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100</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15 minutes</w:t>
            </w: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25</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$30.73</w:t>
            </w: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    768.25</w:t>
            </w:r>
          </w:p>
        </w:tc>
      </w:tr>
      <w:tr w:rsidR="00897E44" w:rsidRPr="00B054F1" w:rsidTr="009B2791">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bCs/>
              </w:rPr>
            </w:pPr>
            <w:r>
              <w:rPr>
                <w:rFonts w:ascii="Arial" w:hAnsi="Arial" w:cs="Arial"/>
                <w:bCs/>
              </w:rPr>
              <w:t xml:space="preserve">  Private Sector</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60</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15 minutes</w:t>
            </w: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15</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31.17</w:t>
            </w: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467.55</w:t>
            </w:r>
          </w:p>
        </w:tc>
      </w:tr>
      <w:tr w:rsidR="00897E44" w:rsidRPr="00B054F1" w:rsidTr="009B2791">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bCs/>
              </w:rPr>
            </w:pPr>
            <w:r>
              <w:rPr>
                <w:rFonts w:ascii="Arial" w:hAnsi="Arial" w:cs="Arial"/>
                <w:bCs/>
              </w:rPr>
              <w:t xml:space="preserve">  Govt</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40</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15 minutes</w:t>
            </w: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10</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41.37</w:t>
            </w: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413.70</w:t>
            </w:r>
          </w:p>
        </w:tc>
      </w:tr>
      <w:tr w:rsidR="00897E44" w:rsidRPr="00B054F1" w:rsidTr="009B2791">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rsidR="00897E44" w:rsidRDefault="00897E44" w:rsidP="009B2791">
            <w:pPr>
              <w:rPr>
                <w:rFonts w:ascii="Arial" w:hAnsi="Arial" w:cs="Arial"/>
                <w:bCs/>
              </w:rPr>
            </w:pPr>
            <w:r>
              <w:rPr>
                <w:rFonts w:ascii="Arial" w:hAnsi="Arial" w:cs="Arial"/>
                <w:bCs/>
              </w:rPr>
              <w:t>Subtotal</w:t>
            </w:r>
          </w:p>
        </w:tc>
        <w:tc>
          <w:tcPr>
            <w:tcW w:w="153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200</w:t>
            </w:r>
          </w:p>
        </w:tc>
        <w:tc>
          <w:tcPr>
            <w:tcW w:w="162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p>
        </w:tc>
        <w:tc>
          <w:tcPr>
            <w:tcW w:w="108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r>
              <w:rPr>
                <w:rFonts w:ascii="Arial" w:hAnsi="Arial" w:cs="Arial"/>
              </w:rPr>
              <w:t>50</w:t>
            </w:r>
          </w:p>
        </w:tc>
        <w:tc>
          <w:tcPr>
            <w:tcW w:w="1260" w:type="dxa"/>
            <w:tcBorders>
              <w:top w:val="single" w:sz="4" w:space="0" w:color="BFBFBF"/>
              <w:left w:val="single" w:sz="4" w:space="0" w:color="BFBFBF"/>
              <w:bottom w:val="single" w:sz="4" w:space="0" w:color="BFBFBF"/>
              <w:right w:val="single" w:sz="4" w:space="0" w:color="BFBFBF"/>
            </w:tcBorders>
          </w:tcPr>
          <w:p w:rsidR="00897E44" w:rsidRDefault="00897E44" w:rsidP="009B2791">
            <w:pPr>
              <w:jc w:val="right"/>
              <w:rPr>
                <w:rFonts w:ascii="Arial" w:hAnsi="Arial" w:cs="Arial"/>
              </w:rPr>
            </w:pPr>
          </w:p>
        </w:tc>
        <w:tc>
          <w:tcPr>
            <w:tcW w:w="1800" w:type="dxa"/>
            <w:tcBorders>
              <w:top w:val="single" w:sz="4" w:space="0" w:color="BFBFBF"/>
              <w:left w:val="single" w:sz="4" w:space="0" w:color="BFBFBF"/>
              <w:bottom w:val="single" w:sz="4" w:space="0" w:color="BFBFBF"/>
            </w:tcBorders>
          </w:tcPr>
          <w:p w:rsidR="00897E44" w:rsidRDefault="00897E44" w:rsidP="009B2791">
            <w:pPr>
              <w:jc w:val="right"/>
              <w:rPr>
                <w:rFonts w:ascii="Arial" w:hAnsi="Arial" w:cs="Arial"/>
              </w:rPr>
            </w:pPr>
            <w:r>
              <w:rPr>
                <w:rFonts w:ascii="Arial" w:hAnsi="Arial" w:cs="Arial"/>
              </w:rPr>
              <w:t>$1,649.50</w:t>
            </w:r>
          </w:p>
        </w:tc>
      </w:tr>
      <w:tr w:rsidR="00897E44" w:rsidRPr="00B054F1" w:rsidTr="009B2791">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rsidR="00897E44" w:rsidRPr="00BC0B28" w:rsidRDefault="00897E44" w:rsidP="009B2791">
            <w:pPr>
              <w:rPr>
                <w:rFonts w:ascii="Arial" w:hAnsi="Arial" w:cs="Arial"/>
                <w:b/>
                <w:bCs/>
              </w:rPr>
            </w:pPr>
            <w:r>
              <w:rPr>
                <w:rFonts w:ascii="Arial" w:hAnsi="Arial" w:cs="Arial"/>
                <w:b/>
                <w:bCs/>
              </w:rPr>
              <w:t>Total</w:t>
            </w:r>
          </w:p>
        </w:tc>
        <w:tc>
          <w:tcPr>
            <w:tcW w:w="1530" w:type="dxa"/>
            <w:tcBorders>
              <w:top w:val="single" w:sz="4" w:space="0" w:color="BFBFBF"/>
              <w:left w:val="single" w:sz="4" w:space="0" w:color="BFBFBF"/>
              <w:bottom w:val="single" w:sz="4" w:space="0" w:color="BFBFBF"/>
              <w:right w:val="single" w:sz="4" w:space="0" w:color="BFBFBF"/>
            </w:tcBorders>
          </w:tcPr>
          <w:p w:rsidR="00897E44" w:rsidRPr="009B0D16" w:rsidRDefault="00897E44" w:rsidP="009B2791">
            <w:pPr>
              <w:jc w:val="right"/>
              <w:rPr>
                <w:rFonts w:ascii="Arial" w:hAnsi="Arial" w:cs="Arial"/>
                <w:b/>
              </w:rPr>
            </w:pPr>
            <w:r>
              <w:rPr>
                <w:rFonts w:ascii="Arial" w:hAnsi="Arial" w:cs="Arial"/>
                <w:b/>
              </w:rPr>
              <w:t>425</w:t>
            </w:r>
          </w:p>
        </w:tc>
        <w:tc>
          <w:tcPr>
            <w:tcW w:w="1620" w:type="dxa"/>
            <w:tcBorders>
              <w:top w:val="single" w:sz="4" w:space="0" w:color="BFBFBF"/>
              <w:left w:val="single" w:sz="4" w:space="0" w:color="BFBFBF"/>
              <w:bottom w:val="single" w:sz="4" w:space="0" w:color="BFBFBF"/>
              <w:right w:val="single" w:sz="4" w:space="0" w:color="BFBFBF"/>
            </w:tcBorders>
          </w:tcPr>
          <w:p w:rsidR="00897E44" w:rsidRPr="009B0D16" w:rsidRDefault="00897E44" w:rsidP="009B2791">
            <w:pPr>
              <w:jc w:val="right"/>
              <w:rPr>
                <w:rFonts w:ascii="Arial" w:hAnsi="Arial" w:cs="Arial"/>
                <w:b/>
              </w:rPr>
            </w:pPr>
          </w:p>
        </w:tc>
        <w:tc>
          <w:tcPr>
            <w:tcW w:w="1080" w:type="dxa"/>
            <w:tcBorders>
              <w:top w:val="single" w:sz="4" w:space="0" w:color="BFBFBF"/>
              <w:left w:val="single" w:sz="4" w:space="0" w:color="BFBFBF"/>
              <w:bottom w:val="single" w:sz="4" w:space="0" w:color="BFBFBF"/>
              <w:right w:val="single" w:sz="4" w:space="0" w:color="BFBFBF"/>
            </w:tcBorders>
          </w:tcPr>
          <w:p w:rsidR="00897E44" w:rsidRPr="009B0D16" w:rsidRDefault="00897E44" w:rsidP="009B2791">
            <w:pPr>
              <w:jc w:val="right"/>
              <w:rPr>
                <w:rFonts w:ascii="Arial" w:hAnsi="Arial" w:cs="Arial"/>
                <w:b/>
              </w:rPr>
            </w:pPr>
            <w:r>
              <w:rPr>
                <w:rFonts w:ascii="Arial" w:hAnsi="Arial" w:cs="Arial"/>
                <w:b/>
              </w:rPr>
              <w:t>61</w:t>
            </w:r>
          </w:p>
        </w:tc>
        <w:tc>
          <w:tcPr>
            <w:tcW w:w="1260" w:type="dxa"/>
            <w:tcBorders>
              <w:top w:val="single" w:sz="4" w:space="0" w:color="BFBFBF"/>
              <w:left w:val="single" w:sz="4" w:space="0" w:color="BFBFBF"/>
              <w:bottom w:val="single" w:sz="4" w:space="0" w:color="BFBFBF"/>
              <w:right w:val="single" w:sz="4" w:space="0" w:color="BFBFBF"/>
            </w:tcBorders>
          </w:tcPr>
          <w:p w:rsidR="00897E44" w:rsidRPr="009B0D16" w:rsidRDefault="00897E44" w:rsidP="009B2791">
            <w:pPr>
              <w:jc w:val="right"/>
              <w:rPr>
                <w:rFonts w:ascii="Arial" w:hAnsi="Arial" w:cs="Arial"/>
                <w:b/>
              </w:rPr>
            </w:pPr>
          </w:p>
        </w:tc>
        <w:tc>
          <w:tcPr>
            <w:tcW w:w="1800" w:type="dxa"/>
            <w:tcBorders>
              <w:top w:val="single" w:sz="4" w:space="0" w:color="BFBFBF"/>
              <w:left w:val="single" w:sz="4" w:space="0" w:color="BFBFBF"/>
              <w:bottom w:val="single" w:sz="4" w:space="0" w:color="BFBFBF"/>
            </w:tcBorders>
          </w:tcPr>
          <w:p w:rsidR="00897E44" w:rsidRPr="009B0D16" w:rsidRDefault="00897E44" w:rsidP="009B2791">
            <w:pPr>
              <w:jc w:val="right"/>
              <w:rPr>
                <w:rFonts w:ascii="Arial" w:hAnsi="Arial" w:cs="Arial"/>
                <w:b/>
              </w:rPr>
            </w:pPr>
            <w:r>
              <w:rPr>
                <w:rFonts w:ascii="Arial" w:hAnsi="Arial" w:cs="Arial"/>
                <w:b/>
              </w:rPr>
              <w:t>$2,020.13</w:t>
            </w:r>
          </w:p>
        </w:tc>
      </w:tr>
    </w:tbl>
    <w:p w:rsidR="00897E44" w:rsidRDefault="00897E44" w:rsidP="00897E44"/>
    <w:p w:rsidR="00027C14" w:rsidRDefault="00027C14" w:rsidP="00027C14">
      <w:pPr>
        <w:rPr>
          <w:rFonts w:ascii="Arial" w:hAnsi="Arial" w:cs="Arial"/>
          <w:color w:val="0000FF"/>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There is no nonhour cost burden associated with this collection.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costs</w:t>
      </w:r>
      <w:r>
        <w:rPr>
          <w:rFonts w:ascii="Arial" w:hAnsi="Arial" w:cs="Arial"/>
          <w:b/>
          <w:bCs/>
          <w:sz w:val="22"/>
          <w:szCs w:val="22"/>
        </w:rPr>
        <w:t xml:space="preserve"> to the Federal G</w:t>
      </w:r>
      <w:r w:rsidRPr="00670629">
        <w:rPr>
          <w:rFonts w:ascii="Arial" w:hAnsi="Arial" w:cs="Arial"/>
          <w:b/>
          <w:bCs/>
          <w:sz w:val="22"/>
          <w:szCs w:val="22"/>
        </w:rPr>
        <w:t xml:space="preserve">overnment.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C321B" w:rsidRPr="000C321B" w:rsidRDefault="000C321B" w:rsidP="000C3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C321B">
        <w:rPr>
          <w:rFonts w:ascii="Arial" w:hAnsi="Arial" w:cs="Arial"/>
          <w:sz w:val="22"/>
          <w:szCs w:val="22"/>
        </w:rPr>
        <w:t xml:space="preserve">The total Federal cost to administer this survey is $64,699.  This includes $ $58,745 for Harris Environmental to develop, administer, and analyze the survey and prepare reports, and $5,954 in Fish and Wildlife Service salary costs to coordinate and oversee the survey.  </w:t>
      </w:r>
    </w:p>
    <w:p w:rsidR="000C321B" w:rsidRPr="000C321B" w:rsidRDefault="000C321B" w:rsidP="000C3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27C14" w:rsidRDefault="000C321B" w:rsidP="000C3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C321B">
        <w:rPr>
          <w:rFonts w:ascii="Arial" w:hAnsi="Arial" w:cs="Arial"/>
          <w:sz w:val="22"/>
          <w:szCs w:val="22"/>
        </w:rPr>
        <w:t>We used the Office of Personnel Management Salary Table 2014-RUS to determine average hourly Federal wages.  The hourly wage for a GS 12/step 7 is $39.96.  In accordance with BLS news release USDL 14-1673, we multiplied the hourly wage by 1.5 to account for benefits, resulting in an hourly cost factor of $59.94.  We estimate a total of 100 hours, totaling $5,954, for project coordination, administration, and deliverable review.</w:t>
      </w:r>
    </w:p>
    <w:p w:rsidR="000C321B" w:rsidRDefault="000C321B" w:rsidP="000C3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Pr>
          <w:rFonts w:ascii="Arial" w:hAnsi="Arial" w:cs="Arial"/>
          <w:b/>
          <w:bCs/>
          <w:sz w:val="22"/>
          <w:szCs w:val="22"/>
        </w:rPr>
        <w:t xml:space="preserve"> in hour or cost burden</w:t>
      </w:r>
      <w:r w:rsidRPr="00670629">
        <w:rPr>
          <w:rFonts w:ascii="Arial" w:hAnsi="Arial" w:cs="Arial"/>
          <w:b/>
          <w:bCs/>
          <w:sz w:val="22"/>
          <w:szCs w:val="22"/>
        </w:rPr>
        <w:t>.</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27C14" w:rsidRPr="009B232E"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B232E">
        <w:rPr>
          <w:rFonts w:ascii="Arial" w:hAnsi="Arial" w:cs="Arial"/>
          <w:sz w:val="22"/>
          <w:szCs w:val="22"/>
        </w:rPr>
        <w:t xml:space="preserve">This is a new information collection.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Pr="002E7FAB" w:rsidRDefault="00027C14" w:rsidP="00027C1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E7FAB">
        <w:rPr>
          <w:rFonts w:ascii="Arial" w:hAnsi="Arial" w:cs="Arial"/>
          <w:sz w:val="22"/>
          <w:szCs w:val="22"/>
        </w:rPr>
        <w:t xml:space="preserve">Harris Environmental Inc. will prepare a report based on the data collection and analysis. This report will be shared with relevant parties and groups internally and externally. </w:t>
      </w:r>
      <w:r w:rsidR="0036383B">
        <w:rPr>
          <w:rFonts w:ascii="Arial" w:hAnsi="Arial" w:cs="Arial"/>
          <w:sz w:val="22"/>
          <w:szCs w:val="22"/>
        </w:rPr>
        <w:t xml:space="preserve"> </w:t>
      </w:r>
      <w:r w:rsidRPr="002E7FAB">
        <w:rPr>
          <w:rFonts w:ascii="Arial" w:hAnsi="Arial" w:cs="Arial"/>
          <w:sz w:val="22"/>
          <w:szCs w:val="22"/>
        </w:rPr>
        <w:t xml:space="preserve">Harris </w:t>
      </w:r>
      <w:r>
        <w:rPr>
          <w:rFonts w:ascii="Arial" w:hAnsi="Arial" w:cs="Arial"/>
          <w:sz w:val="22"/>
          <w:szCs w:val="22"/>
        </w:rPr>
        <w:t>E</w:t>
      </w:r>
      <w:r w:rsidRPr="002E7FAB">
        <w:rPr>
          <w:rFonts w:ascii="Arial" w:hAnsi="Arial" w:cs="Arial"/>
          <w:sz w:val="22"/>
          <w:szCs w:val="22"/>
        </w:rPr>
        <w:t xml:space="preserve">nvironmental and </w:t>
      </w:r>
      <w:r w:rsidR="0036383B">
        <w:rPr>
          <w:rFonts w:ascii="Arial" w:hAnsi="Arial" w:cs="Arial"/>
          <w:sz w:val="22"/>
          <w:szCs w:val="22"/>
        </w:rPr>
        <w:t>Service</w:t>
      </w:r>
      <w:r w:rsidRPr="002E7FAB">
        <w:rPr>
          <w:rFonts w:ascii="Arial" w:hAnsi="Arial" w:cs="Arial"/>
          <w:sz w:val="22"/>
          <w:szCs w:val="22"/>
        </w:rPr>
        <w:t xml:space="preserve"> staff may collaborate on a future publication </w:t>
      </w:r>
      <w:r w:rsidR="0036383B" w:rsidRPr="002E7FAB">
        <w:rPr>
          <w:rFonts w:ascii="Arial" w:hAnsi="Arial" w:cs="Arial"/>
          <w:sz w:val="22"/>
          <w:szCs w:val="22"/>
        </w:rPr>
        <w:t>on this information collection</w:t>
      </w:r>
      <w:r w:rsidR="0036383B">
        <w:rPr>
          <w:rFonts w:ascii="Arial" w:hAnsi="Arial" w:cs="Arial"/>
          <w:sz w:val="22"/>
          <w:szCs w:val="22"/>
        </w:rPr>
        <w:t xml:space="preserve"> </w:t>
      </w:r>
      <w:r w:rsidRPr="002E7FAB">
        <w:rPr>
          <w:rFonts w:ascii="Arial" w:hAnsi="Arial" w:cs="Arial"/>
          <w:sz w:val="22"/>
          <w:szCs w:val="22"/>
        </w:rPr>
        <w:t xml:space="preserve">in an appropriate scientific journal based </w:t>
      </w:r>
      <w:r>
        <w:rPr>
          <w:rFonts w:ascii="Arial" w:hAnsi="Arial" w:cs="Arial"/>
          <w:sz w:val="22"/>
          <w:szCs w:val="22"/>
        </w:rPr>
        <w:t>following the project’s completion</w:t>
      </w:r>
      <w:r w:rsidRPr="002E7FAB">
        <w:rPr>
          <w:rFonts w:ascii="Arial" w:hAnsi="Arial" w:cs="Arial"/>
          <w:sz w:val="22"/>
          <w:szCs w:val="22"/>
        </w:rPr>
        <w:t xml:space="preserve">. </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9142B" w:rsidRDefault="0059142B"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027C14" w:rsidRPr="00670629" w:rsidRDefault="00027C14" w:rsidP="00027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27C14" w:rsidRPr="00C93C55" w:rsidRDefault="00027C14" w:rsidP="00027C14">
      <w:pPr>
        <w:rPr>
          <w:rFonts w:ascii="Arial" w:hAnsi="Arial" w:cs="Arial"/>
          <w:sz w:val="22"/>
          <w:szCs w:val="22"/>
        </w:rPr>
      </w:pPr>
      <w:r w:rsidRPr="00C93C55">
        <w:rPr>
          <w:rFonts w:ascii="Arial" w:hAnsi="Arial" w:cs="Arial"/>
          <w:sz w:val="22"/>
          <w:szCs w:val="22"/>
        </w:rPr>
        <w:t xml:space="preserve">The expiration date for OMB approval of the information collection will be displayed. </w:t>
      </w:r>
    </w:p>
    <w:p w:rsidR="00027C14" w:rsidRDefault="00027C14" w:rsidP="00027C14">
      <w:pPr>
        <w:rPr>
          <w:rFonts w:ascii="Arial" w:hAnsi="Arial" w:cs="Arial"/>
          <w:color w:val="0000FF"/>
          <w:sz w:val="22"/>
          <w:szCs w:val="22"/>
        </w:rPr>
      </w:pPr>
    </w:p>
    <w:p w:rsidR="00027C14" w:rsidRDefault="00027C14" w:rsidP="00027C14">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lastRenderedPageBreak/>
        <w:t>18.</w:t>
      </w:r>
      <w:r>
        <w:rPr>
          <w:rFonts w:ascii="Arial" w:hAnsi="Arial" w:cs="Arial"/>
          <w:b/>
          <w:bCs/>
          <w:sz w:val="22"/>
          <w:szCs w:val="22"/>
        </w:rPr>
        <w:t xml:space="preserve">  Explain each exception to the certification statement.</w:t>
      </w:r>
      <w:r>
        <w:rPr>
          <w:rFonts w:ascii="Arial" w:hAnsi="Arial" w:cs="Arial"/>
          <w:sz w:val="22"/>
          <w:szCs w:val="22"/>
        </w:rPr>
        <w:t xml:space="preserve"> </w:t>
      </w:r>
    </w:p>
    <w:p w:rsidR="00027C14" w:rsidRDefault="00027C14" w:rsidP="00027C14">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C14" w:rsidRDefault="00027C14" w:rsidP="00027C14">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There are no exceptions to the certification statement. </w:t>
      </w:r>
    </w:p>
    <w:p w:rsidR="00044AE6" w:rsidRDefault="00044AE6"/>
    <w:sectPr w:rsidR="00044A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569" w:rsidRDefault="00021569" w:rsidP="006A38FB">
      <w:r>
        <w:separator/>
      </w:r>
    </w:p>
  </w:endnote>
  <w:endnote w:type="continuationSeparator" w:id="0">
    <w:p w:rsidR="00021569" w:rsidRDefault="00021569" w:rsidP="006A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B" w:rsidRDefault="006A3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B" w:rsidRDefault="006A3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B" w:rsidRDefault="006A3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569" w:rsidRDefault="00021569" w:rsidP="006A38FB">
      <w:r>
        <w:separator/>
      </w:r>
    </w:p>
  </w:footnote>
  <w:footnote w:type="continuationSeparator" w:id="0">
    <w:p w:rsidR="00021569" w:rsidRDefault="00021569" w:rsidP="006A3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B" w:rsidRDefault="006A3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B" w:rsidRDefault="006A38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B" w:rsidRDefault="006A3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2A4CB7"/>
    <w:multiLevelType w:val="hybridMultilevel"/>
    <w:tmpl w:val="5602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93D43"/>
    <w:multiLevelType w:val="hybridMultilevel"/>
    <w:tmpl w:val="41084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14"/>
    <w:rsid w:val="00021569"/>
    <w:rsid w:val="00027C14"/>
    <w:rsid w:val="00032F7A"/>
    <w:rsid w:val="00044AE6"/>
    <w:rsid w:val="00052E92"/>
    <w:rsid w:val="000542A2"/>
    <w:rsid w:val="000C321B"/>
    <w:rsid w:val="00321C29"/>
    <w:rsid w:val="00335013"/>
    <w:rsid w:val="0036383B"/>
    <w:rsid w:val="00390954"/>
    <w:rsid w:val="003D6B7C"/>
    <w:rsid w:val="004263E0"/>
    <w:rsid w:val="00434620"/>
    <w:rsid w:val="0049704F"/>
    <w:rsid w:val="004B6B68"/>
    <w:rsid w:val="0059142B"/>
    <w:rsid w:val="00650082"/>
    <w:rsid w:val="006669FA"/>
    <w:rsid w:val="00676FF9"/>
    <w:rsid w:val="006A38FB"/>
    <w:rsid w:val="00835FA7"/>
    <w:rsid w:val="0084336A"/>
    <w:rsid w:val="00844FB8"/>
    <w:rsid w:val="00897E44"/>
    <w:rsid w:val="00934D60"/>
    <w:rsid w:val="00960360"/>
    <w:rsid w:val="009E7A55"/>
    <w:rsid w:val="00B61929"/>
    <w:rsid w:val="00B67A43"/>
    <w:rsid w:val="00B733D9"/>
    <w:rsid w:val="00C165A5"/>
    <w:rsid w:val="00C41452"/>
    <w:rsid w:val="00C45369"/>
    <w:rsid w:val="00C65916"/>
    <w:rsid w:val="00C969B1"/>
    <w:rsid w:val="00D15258"/>
    <w:rsid w:val="00D206FC"/>
    <w:rsid w:val="00E143C4"/>
    <w:rsid w:val="00F841DA"/>
    <w:rsid w:val="00F87BC3"/>
    <w:rsid w:val="00F94C39"/>
    <w:rsid w:val="00FB2735"/>
    <w:rsid w:val="00FE0AE0"/>
    <w:rsid w:val="00FE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C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27C14"/>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027C1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27C14"/>
  </w:style>
  <w:style w:type="paragraph" w:styleId="ListParagraph">
    <w:name w:val="List Paragraph"/>
    <w:basedOn w:val="Normal"/>
    <w:uiPriority w:val="34"/>
    <w:qFormat/>
    <w:rsid w:val="006669FA"/>
    <w:pPr>
      <w:ind w:left="720"/>
      <w:contextualSpacing/>
    </w:pPr>
  </w:style>
  <w:style w:type="paragraph" w:styleId="Header">
    <w:name w:val="header"/>
    <w:basedOn w:val="Normal"/>
    <w:link w:val="HeaderChar"/>
    <w:uiPriority w:val="99"/>
    <w:unhideWhenUsed/>
    <w:rsid w:val="006A38FB"/>
    <w:pPr>
      <w:tabs>
        <w:tab w:val="center" w:pos="4680"/>
        <w:tab w:val="right" w:pos="9360"/>
      </w:tabs>
    </w:pPr>
  </w:style>
  <w:style w:type="character" w:customStyle="1" w:styleId="HeaderChar">
    <w:name w:val="Header Char"/>
    <w:basedOn w:val="DefaultParagraphFont"/>
    <w:link w:val="Header"/>
    <w:uiPriority w:val="99"/>
    <w:rsid w:val="006A38F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38FB"/>
    <w:pPr>
      <w:tabs>
        <w:tab w:val="center" w:pos="4680"/>
        <w:tab w:val="right" w:pos="9360"/>
      </w:tabs>
    </w:pPr>
  </w:style>
  <w:style w:type="character" w:customStyle="1" w:styleId="FooterChar">
    <w:name w:val="Footer Char"/>
    <w:basedOn w:val="DefaultParagraphFont"/>
    <w:link w:val="Footer"/>
    <w:uiPriority w:val="99"/>
    <w:rsid w:val="006A38F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695E0-3E13-40DE-A0BB-EA1A8907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2015-02-05T02:39:00Z</dcterms:created>
  <dcterms:modified xsi:type="dcterms:W3CDTF">2015-02-05T02:39:00Z</dcterms:modified>
</cp:coreProperties>
</file>