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5498B2A" w14:textId="77777777" w:rsidR="002D24E2" w:rsidRPr="00670629"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Pr>
          <w:rFonts w:ascii="Arial" w:hAnsi="Arial" w:cs="Arial"/>
          <w:b/>
          <w:bCs/>
          <w:sz w:val="28"/>
          <w:szCs w:val="28"/>
        </w:rPr>
        <w:t>B</w:t>
      </w:r>
      <w:r w:rsidRPr="00670629">
        <w:rPr>
          <w:rFonts w:ascii="Arial" w:hAnsi="Arial" w:cs="Arial"/>
          <w:b/>
          <w:bCs/>
          <w:sz w:val="28"/>
          <w:szCs w:val="28"/>
        </w:rPr>
        <w:t xml:space="preserve"> for </w:t>
      </w:r>
    </w:p>
    <w:p w14:paraId="616C981B"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Paperwork Reduction Act Submission</w:t>
      </w:r>
    </w:p>
    <w:p w14:paraId="1E143973"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08ECAB00"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8"/>
          <w:szCs w:val="28"/>
        </w:rPr>
      </w:pPr>
      <w:r w:rsidRPr="00971484">
        <w:rPr>
          <w:rFonts w:ascii="Arial" w:hAnsi="Arial" w:cs="Arial"/>
          <w:b/>
          <w:sz w:val="28"/>
          <w:szCs w:val="28"/>
        </w:rPr>
        <w:t>Survey of Residents' Attitudes on Jaguar Conservation</w:t>
      </w:r>
    </w:p>
    <w:p w14:paraId="7A68D7A4" w14:textId="77777777" w:rsidR="002D24E2" w:rsidRPr="00670629"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2325BB12" w14:textId="77777777" w:rsidR="002D24E2" w:rsidRPr="00670629"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 xml:space="preserve">OMB Control Number </w:t>
      </w:r>
      <w:r w:rsidRPr="00650C02">
        <w:rPr>
          <w:rFonts w:ascii="Arial" w:hAnsi="Arial" w:cs="Arial"/>
          <w:b/>
          <w:bCs/>
          <w:sz w:val="28"/>
          <w:szCs w:val="28"/>
        </w:rPr>
        <w:t>1018-XXXX</w:t>
      </w:r>
    </w:p>
    <w:p w14:paraId="79866B31"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34CB25D8"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1.</w:t>
      </w:r>
      <w:r w:rsidRPr="00194DDB">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Pr>
          <w:rFonts w:ascii="Arial" w:hAnsi="Arial" w:cs="Arial"/>
          <w:b/>
          <w:sz w:val="22"/>
          <w:szCs w:val="22"/>
        </w:rPr>
        <w:t xml:space="preserve">must </w:t>
      </w:r>
      <w:r w:rsidRPr="00194DDB">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Pr>
          <w:rFonts w:ascii="Arial" w:hAnsi="Arial" w:cs="Arial"/>
          <w:b/>
          <w:sz w:val="22"/>
          <w:szCs w:val="22"/>
        </w:rPr>
        <w:t>s</w:t>
      </w:r>
      <w:r w:rsidRPr="00194DDB">
        <w:rPr>
          <w:rFonts w:ascii="Arial" w:hAnsi="Arial" w:cs="Arial"/>
          <w:b/>
          <w:sz w:val="22"/>
          <w:szCs w:val="22"/>
        </w:rPr>
        <w:t xml:space="preserve"> been conducted previously, include the actual response rate achieved.</w:t>
      </w:r>
    </w:p>
    <w:p w14:paraId="7077B0CC"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C68070" w14:textId="77777777" w:rsidR="00650C02" w:rsidRDefault="00B26727"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This is a one-time data collection event. The potential respondent universe is comprised of two main groups: </w:t>
      </w:r>
    </w:p>
    <w:p w14:paraId="6C3A2C1D" w14:textId="77777777" w:rsidR="00650C02" w:rsidRDefault="00650C02"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BB562A" w14:textId="77777777" w:rsidR="00650C02" w:rsidRDefault="00650C02" w:rsidP="00650C0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R</w:t>
      </w:r>
      <w:r w:rsidR="00B26727" w:rsidRPr="00650C02">
        <w:rPr>
          <w:rFonts w:ascii="Arial" w:hAnsi="Arial" w:cs="Arial"/>
          <w:sz w:val="22"/>
          <w:szCs w:val="22"/>
        </w:rPr>
        <w:t>esidents of Pima, Santa Cruz, and Cochise counties in Arizona and Hidalgo County, New Mexico</w:t>
      </w:r>
      <w:r>
        <w:rPr>
          <w:rFonts w:ascii="Arial" w:hAnsi="Arial" w:cs="Arial"/>
          <w:sz w:val="22"/>
          <w:szCs w:val="22"/>
        </w:rPr>
        <w:t>.</w:t>
      </w:r>
    </w:p>
    <w:p w14:paraId="43E54606" w14:textId="77777777" w:rsidR="00B26727" w:rsidRPr="00650C02" w:rsidRDefault="00650C02" w:rsidP="00650C0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w:t>
      </w:r>
      <w:r w:rsidR="00B26727" w:rsidRPr="00650C02">
        <w:rPr>
          <w:rFonts w:ascii="Arial" w:hAnsi="Arial" w:cs="Arial"/>
          <w:sz w:val="22"/>
          <w:szCs w:val="22"/>
        </w:rPr>
        <w:t xml:space="preserve">embers of selected stakeholder groups from the above listed counties. </w:t>
      </w:r>
    </w:p>
    <w:p w14:paraId="4DBC39EF" w14:textId="77777777" w:rsidR="00B26727" w:rsidRDefault="00B26727"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752ED" w14:textId="1D4AA32C" w:rsidR="00571863" w:rsidRDefault="007C0C3A"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potential respondent universe for </w:t>
      </w:r>
      <w:r w:rsidR="00963561">
        <w:rPr>
          <w:rFonts w:ascii="Arial" w:hAnsi="Arial" w:cs="Arial"/>
          <w:sz w:val="22"/>
          <w:szCs w:val="22"/>
        </w:rPr>
        <w:t>G</w:t>
      </w:r>
      <w:r>
        <w:rPr>
          <w:rFonts w:ascii="Arial" w:hAnsi="Arial" w:cs="Arial"/>
          <w:sz w:val="22"/>
          <w:szCs w:val="22"/>
        </w:rPr>
        <w:t xml:space="preserve">roup 1 is 1,163,923. </w:t>
      </w:r>
      <w:r w:rsidR="00650C02">
        <w:rPr>
          <w:rFonts w:ascii="Arial" w:hAnsi="Arial" w:cs="Arial"/>
          <w:sz w:val="22"/>
          <w:szCs w:val="22"/>
        </w:rPr>
        <w:t xml:space="preserve"> </w:t>
      </w:r>
      <w:r>
        <w:rPr>
          <w:rFonts w:ascii="Arial" w:hAnsi="Arial" w:cs="Arial"/>
          <w:sz w:val="22"/>
          <w:szCs w:val="22"/>
        </w:rPr>
        <w:t>R</w:t>
      </w:r>
      <w:r w:rsidR="00963561">
        <w:rPr>
          <w:rFonts w:ascii="Arial" w:hAnsi="Arial" w:cs="Arial"/>
          <w:sz w:val="22"/>
          <w:szCs w:val="22"/>
        </w:rPr>
        <w:t>esidents (G</w:t>
      </w:r>
      <w:r w:rsidR="00B26727">
        <w:rPr>
          <w:rFonts w:ascii="Arial" w:hAnsi="Arial" w:cs="Arial"/>
          <w:sz w:val="22"/>
          <w:szCs w:val="22"/>
        </w:rPr>
        <w:t xml:space="preserve">roup 1) will be randomly sampled, with </w:t>
      </w:r>
      <w:r w:rsidR="00571863">
        <w:rPr>
          <w:rFonts w:ascii="Arial" w:hAnsi="Arial" w:cs="Arial"/>
          <w:sz w:val="22"/>
          <w:szCs w:val="22"/>
        </w:rPr>
        <w:t xml:space="preserve">a target quota for each of the </w:t>
      </w:r>
      <w:r>
        <w:rPr>
          <w:rFonts w:ascii="Arial" w:hAnsi="Arial" w:cs="Arial"/>
          <w:sz w:val="22"/>
          <w:szCs w:val="22"/>
        </w:rPr>
        <w:t xml:space="preserve">four counties being surveyed. </w:t>
      </w:r>
      <w:r w:rsidR="00650C02">
        <w:rPr>
          <w:rFonts w:ascii="Arial" w:hAnsi="Arial" w:cs="Arial"/>
          <w:sz w:val="22"/>
          <w:szCs w:val="22"/>
        </w:rPr>
        <w:t xml:space="preserve"> </w:t>
      </w:r>
      <w:r w:rsidR="00571863">
        <w:rPr>
          <w:rFonts w:ascii="Arial" w:hAnsi="Arial" w:cs="Arial"/>
          <w:sz w:val="22"/>
          <w:szCs w:val="22"/>
        </w:rPr>
        <w:t xml:space="preserve">The quota is based on the population of the counties, but with the consideration that rural residents be adequately sampled. </w:t>
      </w:r>
      <w:r w:rsidR="006B175A">
        <w:rPr>
          <w:rFonts w:ascii="Arial" w:hAnsi="Arial" w:cs="Arial"/>
          <w:sz w:val="22"/>
          <w:szCs w:val="22"/>
        </w:rPr>
        <w:t xml:space="preserve">A disproportionate random sample is justified to ensure that exurban and rural residents are included in the survey (Bernard 2011, p 155). </w:t>
      </w:r>
      <w:r w:rsidR="00571863">
        <w:rPr>
          <w:rFonts w:ascii="Arial" w:hAnsi="Arial" w:cs="Arial"/>
          <w:sz w:val="22"/>
          <w:szCs w:val="22"/>
        </w:rPr>
        <w:t xml:space="preserve">Below is a table showing the population of each county, </w:t>
      </w:r>
      <w:r>
        <w:rPr>
          <w:rFonts w:ascii="Arial" w:hAnsi="Arial" w:cs="Arial"/>
          <w:sz w:val="22"/>
          <w:szCs w:val="22"/>
        </w:rPr>
        <w:t xml:space="preserve">the percent of the total population residing in each county, and the </w:t>
      </w:r>
      <w:r w:rsidR="00571863">
        <w:rPr>
          <w:rFonts w:ascii="Arial" w:hAnsi="Arial" w:cs="Arial"/>
          <w:sz w:val="22"/>
          <w:szCs w:val="22"/>
        </w:rPr>
        <w:t xml:space="preserve">interview quota for each county. </w:t>
      </w:r>
      <w:r w:rsidR="00E63B1C">
        <w:rPr>
          <w:rFonts w:ascii="Arial" w:hAnsi="Arial" w:cs="Arial"/>
          <w:sz w:val="22"/>
          <w:szCs w:val="22"/>
        </w:rPr>
        <w:t>Population numbers are drawn from the 2010 U.S. Census.</w:t>
      </w:r>
    </w:p>
    <w:p w14:paraId="3905246A"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0" w:type="auto"/>
        <w:tblLook w:val="04A0" w:firstRow="1" w:lastRow="0" w:firstColumn="1" w:lastColumn="0" w:noHBand="0" w:noVBand="1"/>
      </w:tblPr>
      <w:tblGrid>
        <w:gridCol w:w="2418"/>
        <w:gridCol w:w="2535"/>
        <w:gridCol w:w="2439"/>
        <w:gridCol w:w="2184"/>
      </w:tblGrid>
      <w:tr w:rsidR="00571863" w14:paraId="3ACFE597" w14:textId="77777777" w:rsidTr="00571863">
        <w:tc>
          <w:tcPr>
            <w:tcW w:w="2418" w:type="dxa"/>
          </w:tcPr>
          <w:p w14:paraId="1552D9F1" w14:textId="77777777" w:rsidR="00571863" w:rsidRPr="007C0C3A"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C0C3A">
              <w:rPr>
                <w:rFonts w:ascii="Arial" w:hAnsi="Arial" w:cs="Arial"/>
                <w:b/>
                <w:sz w:val="22"/>
                <w:szCs w:val="22"/>
              </w:rPr>
              <w:t>County</w:t>
            </w:r>
          </w:p>
        </w:tc>
        <w:tc>
          <w:tcPr>
            <w:tcW w:w="2535" w:type="dxa"/>
          </w:tcPr>
          <w:p w14:paraId="267FA774" w14:textId="77777777" w:rsidR="00571863" w:rsidRPr="007C0C3A"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C0C3A">
              <w:rPr>
                <w:rFonts w:ascii="Arial" w:hAnsi="Arial" w:cs="Arial"/>
                <w:b/>
                <w:sz w:val="22"/>
                <w:szCs w:val="22"/>
              </w:rPr>
              <w:t>Population</w:t>
            </w:r>
          </w:p>
        </w:tc>
        <w:tc>
          <w:tcPr>
            <w:tcW w:w="2439" w:type="dxa"/>
          </w:tcPr>
          <w:p w14:paraId="0A47C9C3" w14:textId="77777777" w:rsidR="00571863" w:rsidRPr="007C0C3A"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C0C3A">
              <w:rPr>
                <w:rFonts w:ascii="Arial" w:hAnsi="Arial" w:cs="Arial"/>
                <w:b/>
                <w:sz w:val="22"/>
                <w:szCs w:val="22"/>
              </w:rPr>
              <w:t xml:space="preserve">Percent Total </w:t>
            </w:r>
          </w:p>
        </w:tc>
        <w:tc>
          <w:tcPr>
            <w:tcW w:w="2184" w:type="dxa"/>
          </w:tcPr>
          <w:p w14:paraId="7F13EF4A" w14:textId="77777777" w:rsidR="00571863" w:rsidRPr="007C0C3A"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7C0C3A">
              <w:rPr>
                <w:rFonts w:ascii="Arial" w:hAnsi="Arial" w:cs="Arial"/>
                <w:b/>
                <w:sz w:val="22"/>
                <w:szCs w:val="22"/>
              </w:rPr>
              <w:t>Interview Quota</w:t>
            </w:r>
          </w:p>
        </w:tc>
      </w:tr>
      <w:tr w:rsidR="00571863" w14:paraId="3F5CFC5B" w14:textId="77777777" w:rsidTr="00650C02">
        <w:tc>
          <w:tcPr>
            <w:tcW w:w="2418" w:type="dxa"/>
          </w:tcPr>
          <w:p w14:paraId="54A7A77F"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Pima County, AZ</w:t>
            </w:r>
          </w:p>
        </w:tc>
        <w:tc>
          <w:tcPr>
            <w:tcW w:w="2535" w:type="dxa"/>
          </w:tcPr>
          <w:p w14:paraId="3ED1A494" w14:textId="77777777" w:rsidR="00571863" w:rsidRDefault="00571863"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980,263</w:t>
            </w:r>
          </w:p>
        </w:tc>
        <w:tc>
          <w:tcPr>
            <w:tcW w:w="2439" w:type="dxa"/>
          </w:tcPr>
          <w:p w14:paraId="0BA39BC2"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84</w:t>
            </w:r>
          </w:p>
        </w:tc>
        <w:tc>
          <w:tcPr>
            <w:tcW w:w="2184" w:type="dxa"/>
          </w:tcPr>
          <w:p w14:paraId="1E9B1AB9"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60</w:t>
            </w:r>
          </w:p>
        </w:tc>
      </w:tr>
      <w:tr w:rsidR="00571863" w14:paraId="704689DB" w14:textId="77777777" w:rsidTr="00650C02">
        <w:tc>
          <w:tcPr>
            <w:tcW w:w="2418" w:type="dxa"/>
          </w:tcPr>
          <w:p w14:paraId="6D49FE08"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Santa Cruz County, AZ</w:t>
            </w:r>
          </w:p>
        </w:tc>
        <w:tc>
          <w:tcPr>
            <w:tcW w:w="2535" w:type="dxa"/>
          </w:tcPr>
          <w:p w14:paraId="4AA363FA" w14:textId="77777777" w:rsidR="00571863" w:rsidRDefault="00571863"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47,420</w:t>
            </w:r>
          </w:p>
        </w:tc>
        <w:tc>
          <w:tcPr>
            <w:tcW w:w="2439" w:type="dxa"/>
          </w:tcPr>
          <w:p w14:paraId="793F5D63"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4</w:t>
            </w:r>
          </w:p>
        </w:tc>
        <w:tc>
          <w:tcPr>
            <w:tcW w:w="2184" w:type="dxa"/>
          </w:tcPr>
          <w:p w14:paraId="0EEE8A91"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10</w:t>
            </w:r>
          </w:p>
        </w:tc>
      </w:tr>
      <w:tr w:rsidR="00571863" w14:paraId="4718B960" w14:textId="77777777" w:rsidTr="00650C02">
        <w:tc>
          <w:tcPr>
            <w:tcW w:w="2418" w:type="dxa"/>
          </w:tcPr>
          <w:p w14:paraId="5D2384B4"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Cochise County, AZ</w:t>
            </w:r>
          </w:p>
        </w:tc>
        <w:tc>
          <w:tcPr>
            <w:tcW w:w="2535" w:type="dxa"/>
          </w:tcPr>
          <w:p w14:paraId="36A6C7D4" w14:textId="77777777" w:rsidR="00571863" w:rsidRDefault="00571863"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131,346</w:t>
            </w:r>
          </w:p>
        </w:tc>
        <w:tc>
          <w:tcPr>
            <w:tcW w:w="2439" w:type="dxa"/>
          </w:tcPr>
          <w:p w14:paraId="374CF312"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11</w:t>
            </w:r>
          </w:p>
        </w:tc>
        <w:tc>
          <w:tcPr>
            <w:tcW w:w="2184" w:type="dxa"/>
          </w:tcPr>
          <w:p w14:paraId="1E15D853"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20</w:t>
            </w:r>
          </w:p>
        </w:tc>
      </w:tr>
      <w:tr w:rsidR="00571863" w14:paraId="307206EA" w14:textId="77777777" w:rsidTr="00650C02">
        <w:tc>
          <w:tcPr>
            <w:tcW w:w="2418" w:type="dxa"/>
          </w:tcPr>
          <w:p w14:paraId="1A8C6DD2"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Hidalgo County, NM</w:t>
            </w:r>
          </w:p>
        </w:tc>
        <w:tc>
          <w:tcPr>
            <w:tcW w:w="2535" w:type="dxa"/>
          </w:tcPr>
          <w:p w14:paraId="185DD1E1" w14:textId="77777777" w:rsidR="00571863" w:rsidRDefault="00571863"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4,894</w:t>
            </w:r>
          </w:p>
        </w:tc>
        <w:tc>
          <w:tcPr>
            <w:tcW w:w="2439" w:type="dxa"/>
          </w:tcPr>
          <w:p w14:paraId="62496E3E"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1</w:t>
            </w:r>
          </w:p>
        </w:tc>
        <w:tc>
          <w:tcPr>
            <w:tcW w:w="2184" w:type="dxa"/>
          </w:tcPr>
          <w:p w14:paraId="361721A2" w14:textId="77777777" w:rsidR="00571863"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22"/>
              </w:rPr>
            </w:pPr>
            <w:r>
              <w:rPr>
                <w:rFonts w:ascii="Arial" w:hAnsi="Arial" w:cs="Arial"/>
                <w:sz w:val="22"/>
                <w:szCs w:val="22"/>
              </w:rPr>
              <w:t>10</w:t>
            </w:r>
          </w:p>
        </w:tc>
      </w:tr>
      <w:tr w:rsidR="00571863" w:rsidRPr="007C0C3A" w14:paraId="2AADFA50" w14:textId="77777777" w:rsidTr="00650C02">
        <w:tc>
          <w:tcPr>
            <w:tcW w:w="2418" w:type="dxa"/>
          </w:tcPr>
          <w:p w14:paraId="2180084A" w14:textId="77777777" w:rsidR="00571863" w:rsidRPr="007C0C3A" w:rsidRDefault="007C0C3A" w:rsidP="007C0C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7C0C3A">
              <w:rPr>
                <w:rFonts w:ascii="Arial" w:hAnsi="Arial" w:cs="Arial"/>
                <w:b/>
                <w:sz w:val="22"/>
                <w:szCs w:val="22"/>
              </w:rPr>
              <w:t>Total</w:t>
            </w:r>
          </w:p>
        </w:tc>
        <w:tc>
          <w:tcPr>
            <w:tcW w:w="2535" w:type="dxa"/>
          </w:tcPr>
          <w:p w14:paraId="47CACB16" w14:textId="77777777" w:rsidR="00571863" w:rsidRPr="007C0C3A"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22"/>
              </w:rPr>
            </w:pPr>
            <w:r w:rsidRPr="007C0C3A">
              <w:rPr>
                <w:rFonts w:ascii="Arial" w:hAnsi="Arial" w:cs="Arial"/>
                <w:b/>
                <w:sz w:val="22"/>
                <w:szCs w:val="22"/>
              </w:rPr>
              <w:t>1,163,923</w:t>
            </w:r>
          </w:p>
        </w:tc>
        <w:tc>
          <w:tcPr>
            <w:tcW w:w="2439" w:type="dxa"/>
          </w:tcPr>
          <w:p w14:paraId="49DDDA6A" w14:textId="77777777" w:rsidR="00571863" w:rsidRPr="007C0C3A"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22"/>
              </w:rPr>
            </w:pPr>
            <w:r w:rsidRPr="007C0C3A">
              <w:rPr>
                <w:rFonts w:ascii="Arial" w:hAnsi="Arial" w:cs="Arial"/>
                <w:b/>
                <w:sz w:val="22"/>
                <w:szCs w:val="22"/>
              </w:rPr>
              <w:t>100</w:t>
            </w:r>
          </w:p>
        </w:tc>
        <w:tc>
          <w:tcPr>
            <w:tcW w:w="2184" w:type="dxa"/>
          </w:tcPr>
          <w:p w14:paraId="5F110307" w14:textId="77777777" w:rsidR="00571863" w:rsidRPr="007C0C3A" w:rsidRDefault="007C0C3A" w:rsidP="00650C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22"/>
              </w:rPr>
            </w:pPr>
            <w:r w:rsidRPr="007C0C3A">
              <w:rPr>
                <w:rFonts w:ascii="Arial" w:hAnsi="Arial" w:cs="Arial"/>
                <w:b/>
                <w:sz w:val="22"/>
                <w:szCs w:val="22"/>
              </w:rPr>
              <w:t>100</w:t>
            </w:r>
          </w:p>
        </w:tc>
      </w:tr>
    </w:tbl>
    <w:p w14:paraId="6F688F93" w14:textId="77777777" w:rsidR="00E63B1C" w:rsidRPr="00E63B1C" w:rsidRDefault="00E63B1C" w:rsidP="00E63B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E63B1C">
        <w:rPr>
          <w:rFonts w:ascii="Arial" w:hAnsi="Arial" w:cs="Arial"/>
          <w:sz w:val="18"/>
          <w:szCs w:val="18"/>
        </w:rPr>
        <w:t xml:space="preserve"> U.S. Census</w:t>
      </w:r>
      <w:r w:rsidRPr="00E63B1C">
        <w:rPr>
          <w:rFonts w:ascii="Arial" w:hAnsi="Arial" w:cs="Arial"/>
          <w:color w:val="000000"/>
          <w:sz w:val="18"/>
          <w:szCs w:val="18"/>
          <w:shd w:val="clear" w:color="auto" w:fill="FFFFFF"/>
        </w:rPr>
        <w:t xml:space="preserve"> Bureau: State and County QuickFacts</w:t>
      </w:r>
      <w:r w:rsidRPr="00E63B1C">
        <w:rPr>
          <w:rFonts w:ascii="Arial" w:hAnsi="Arial" w:cs="Arial"/>
          <w:sz w:val="18"/>
          <w:szCs w:val="18"/>
        </w:rPr>
        <w:t>. Accessed online: http://quickfacts.census.gov/qfd/index.html#</w:t>
      </w:r>
    </w:p>
    <w:p w14:paraId="1958E34E" w14:textId="77777777" w:rsidR="00571863" w:rsidRDefault="00571863"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D6854E" w14:textId="77777777" w:rsidR="006B175A" w:rsidRDefault="007C0C3A"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 total of 100 interviews will be completed with residents. </w:t>
      </w:r>
      <w:r w:rsidR="00453E50">
        <w:rPr>
          <w:rFonts w:ascii="Arial" w:hAnsi="Arial" w:cs="Arial"/>
          <w:sz w:val="22"/>
          <w:szCs w:val="22"/>
        </w:rPr>
        <w:t>Social science studies indicate that in</w:t>
      </w:r>
      <w:r w:rsidR="008B6F65">
        <w:rPr>
          <w:rFonts w:ascii="Arial" w:hAnsi="Arial" w:cs="Arial"/>
          <w:sz w:val="22"/>
          <w:szCs w:val="22"/>
        </w:rPr>
        <w:t>-</w:t>
      </w:r>
      <w:r w:rsidR="00453E50">
        <w:rPr>
          <w:rFonts w:ascii="Arial" w:hAnsi="Arial" w:cs="Arial"/>
          <w:sz w:val="22"/>
          <w:szCs w:val="22"/>
        </w:rPr>
        <w:t>person interviews have a higher response rate than mail</w:t>
      </w:r>
      <w:r w:rsidR="00140D76">
        <w:rPr>
          <w:rFonts w:ascii="Arial" w:hAnsi="Arial" w:cs="Arial"/>
          <w:sz w:val="22"/>
          <w:szCs w:val="22"/>
        </w:rPr>
        <w:t>, internet-based</w:t>
      </w:r>
      <w:r w:rsidR="00650C02">
        <w:rPr>
          <w:rFonts w:ascii="Arial" w:hAnsi="Arial" w:cs="Arial"/>
          <w:sz w:val="22"/>
          <w:szCs w:val="22"/>
        </w:rPr>
        <w:t>,</w:t>
      </w:r>
      <w:r w:rsidR="00140D76">
        <w:rPr>
          <w:rFonts w:ascii="Arial" w:hAnsi="Arial" w:cs="Arial"/>
          <w:sz w:val="22"/>
          <w:szCs w:val="22"/>
        </w:rPr>
        <w:t xml:space="preserve"> or telephone surveys </w:t>
      </w:r>
      <w:r w:rsidR="00140D76" w:rsidRPr="007B795B">
        <w:rPr>
          <w:rFonts w:ascii="Arial" w:hAnsi="Arial" w:cs="Arial"/>
          <w:sz w:val="22"/>
          <w:szCs w:val="22"/>
        </w:rPr>
        <w:t>(</w:t>
      </w:r>
      <w:r w:rsidR="006B175A" w:rsidRPr="007B795B">
        <w:rPr>
          <w:rFonts w:ascii="Arial" w:hAnsi="Arial" w:cs="Arial"/>
          <w:sz w:val="22"/>
          <w:szCs w:val="22"/>
        </w:rPr>
        <w:t xml:space="preserve">Bernard 2011; Couper 2011; </w:t>
      </w:r>
      <w:r w:rsidR="00140D76" w:rsidRPr="007B795B">
        <w:rPr>
          <w:rFonts w:ascii="Arial" w:hAnsi="Arial" w:cs="Arial"/>
          <w:sz w:val="22"/>
          <w:szCs w:val="22"/>
        </w:rPr>
        <w:t xml:space="preserve">Denzin and Lincoln </w:t>
      </w:r>
      <w:r w:rsidR="00C87BB8" w:rsidRPr="007B795B">
        <w:rPr>
          <w:rFonts w:ascii="Arial" w:hAnsi="Arial" w:cs="Arial"/>
          <w:sz w:val="22"/>
          <w:szCs w:val="22"/>
        </w:rPr>
        <w:t>2011</w:t>
      </w:r>
      <w:r w:rsidR="00140D76" w:rsidRPr="007B795B">
        <w:rPr>
          <w:rFonts w:ascii="Arial" w:hAnsi="Arial" w:cs="Arial"/>
          <w:sz w:val="22"/>
          <w:szCs w:val="22"/>
        </w:rPr>
        <w:t xml:space="preserve">; </w:t>
      </w:r>
      <w:r w:rsidR="00CA181F" w:rsidRPr="007B795B">
        <w:rPr>
          <w:rFonts w:ascii="Arial" w:hAnsi="Arial" w:cs="Arial"/>
          <w:sz w:val="22"/>
          <w:szCs w:val="22"/>
        </w:rPr>
        <w:t>Spooner et al 1997</w:t>
      </w:r>
      <w:r w:rsidR="00B22B07" w:rsidRPr="007B795B">
        <w:rPr>
          <w:rFonts w:ascii="Arial" w:hAnsi="Arial" w:cs="Arial"/>
          <w:sz w:val="22"/>
          <w:szCs w:val="22"/>
        </w:rPr>
        <w:t>; Willits and Luloff</w:t>
      </w:r>
      <w:r w:rsidR="007256F1" w:rsidRPr="007B795B">
        <w:rPr>
          <w:rFonts w:ascii="Arial" w:hAnsi="Arial" w:cs="Arial"/>
          <w:sz w:val="22"/>
          <w:szCs w:val="22"/>
        </w:rPr>
        <w:t xml:space="preserve"> 2014</w:t>
      </w:r>
      <w:r w:rsidR="00140D76" w:rsidRPr="007B795B">
        <w:rPr>
          <w:rFonts w:ascii="Arial" w:hAnsi="Arial" w:cs="Arial"/>
          <w:sz w:val="22"/>
          <w:szCs w:val="22"/>
        </w:rPr>
        <w:t>)</w:t>
      </w:r>
      <w:r w:rsidR="00983FB1" w:rsidRPr="007B795B">
        <w:rPr>
          <w:rFonts w:ascii="Arial" w:hAnsi="Arial" w:cs="Arial"/>
          <w:sz w:val="22"/>
          <w:szCs w:val="22"/>
        </w:rPr>
        <w:t>.</w:t>
      </w:r>
      <w:r w:rsidR="00983FB1">
        <w:rPr>
          <w:rFonts w:ascii="Arial" w:hAnsi="Arial" w:cs="Arial"/>
          <w:sz w:val="22"/>
          <w:szCs w:val="22"/>
        </w:rPr>
        <w:t xml:space="preserve"> </w:t>
      </w:r>
      <w:r w:rsidR="006B175A">
        <w:rPr>
          <w:rFonts w:ascii="Arial" w:hAnsi="Arial" w:cs="Arial"/>
          <w:sz w:val="22"/>
          <w:szCs w:val="22"/>
        </w:rPr>
        <w:t xml:space="preserve">The literature surveyed indicated an in-person response rate from 74% to 97%. </w:t>
      </w:r>
      <w:r w:rsidR="00983FB1">
        <w:rPr>
          <w:rFonts w:ascii="Arial" w:hAnsi="Arial" w:cs="Arial"/>
          <w:sz w:val="22"/>
          <w:szCs w:val="22"/>
        </w:rPr>
        <w:t>We e</w:t>
      </w:r>
      <w:r w:rsidR="006B175A">
        <w:rPr>
          <w:rFonts w:ascii="Arial" w:hAnsi="Arial" w:cs="Arial"/>
          <w:sz w:val="22"/>
          <w:szCs w:val="22"/>
        </w:rPr>
        <w:t xml:space="preserve">stimate, therefore, </w:t>
      </w:r>
      <w:r w:rsidR="00453E50">
        <w:rPr>
          <w:rFonts w:ascii="Arial" w:hAnsi="Arial" w:cs="Arial"/>
          <w:sz w:val="22"/>
          <w:szCs w:val="22"/>
        </w:rPr>
        <w:t xml:space="preserve">an 80% </w:t>
      </w:r>
      <w:r w:rsidR="006B175A">
        <w:rPr>
          <w:rFonts w:ascii="Arial" w:hAnsi="Arial" w:cs="Arial"/>
          <w:sz w:val="22"/>
          <w:szCs w:val="22"/>
        </w:rPr>
        <w:t xml:space="preserve">response rate </w:t>
      </w:r>
      <w:r w:rsidR="00963561">
        <w:rPr>
          <w:rFonts w:ascii="Arial" w:hAnsi="Arial" w:cs="Arial"/>
          <w:sz w:val="22"/>
          <w:szCs w:val="22"/>
        </w:rPr>
        <w:t>from G</w:t>
      </w:r>
      <w:r w:rsidR="00453E50">
        <w:rPr>
          <w:rFonts w:ascii="Arial" w:hAnsi="Arial" w:cs="Arial"/>
          <w:sz w:val="22"/>
          <w:szCs w:val="22"/>
        </w:rPr>
        <w:t xml:space="preserve">roup 1, such that nonresponse bias will be minimized. </w:t>
      </w:r>
      <w:r w:rsidR="00E63B1C">
        <w:rPr>
          <w:rFonts w:ascii="Arial" w:hAnsi="Arial" w:cs="Arial"/>
          <w:sz w:val="22"/>
          <w:szCs w:val="22"/>
        </w:rPr>
        <w:t xml:space="preserve">Thus, we estimate that 125 people will be contacted and asked to participate in order to reach our target of 100 resident interviews. </w:t>
      </w:r>
      <w:r w:rsidR="00983FB1">
        <w:rPr>
          <w:rFonts w:ascii="Arial" w:hAnsi="Arial" w:cs="Arial"/>
          <w:sz w:val="22"/>
          <w:szCs w:val="22"/>
        </w:rPr>
        <w:t xml:space="preserve">Residents will be randomly selected and asked to participate at </w:t>
      </w:r>
      <w:r w:rsidR="00B01360">
        <w:rPr>
          <w:rFonts w:ascii="Arial" w:hAnsi="Arial" w:cs="Arial"/>
          <w:sz w:val="22"/>
          <w:szCs w:val="22"/>
        </w:rPr>
        <w:t>public places within each county, an in-person interview method referred to as “street-intercept” sampling (</w:t>
      </w:r>
      <w:r w:rsidR="0051774D">
        <w:rPr>
          <w:rFonts w:ascii="Arial" w:hAnsi="Arial" w:cs="Arial"/>
          <w:sz w:val="22"/>
          <w:szCs w:val="22"/>
        </w:rPr>
        <w:t>Bernard</w:t>
      </w:r>
      <w:r w:rsidR="00B01360">
        <w:rPr>
          <w:rFonts w:ascii="Arial" w:hAnsi="Arial" w:cs="Arial"/>
          <w:sz w:val="22"/>
          <w:szCs w:val="22"/>
        </w:rPr>
        <w:t xml:space="preserve"> 2011). </w:t>
      </w:r>
    </w:p>
    <w:p w14:paraId="18590A38" w14:textId="77777777" w:rsidR="006B175A" w:rsidRDefault="006B175A"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BEC992" w14:textId="77777777" w:rsidR="007C0C3A" w:rsidRDefault="00B26727" w:rsidP="007C0C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Stakeholders (</w:t>
      </w:r>
      <w:r w:rsidR="00963561">
        <w:rPr>
          <w:rFonts w:ascii="Arial" w:hAnsi="Arial" w:cs="Arial"/>
          <w:sz w:val="22"/>
          <w:szCs w:val="22"/>
        </w:rPr>
        <w:t>G</w:t>
      </w:r>
      <w:r>
        <w:rPr>
          <w:rFonts w:ascii="Arial" w:hAnsi="Arial" w:cs="Arial"/>
          <w:sz w:val="22"/>
          <w:szCs w:val="22"/>
        </w:rPr>
        <w:t>roup 2) will be purposively sampled</w:t>
      </w:r>
      <w:r w:rsidR="007C0C3A">
        <w:rPr>
          <w:rFonts w:ascii="Arial" w:hAnsi="Arial" w:cs="Arial"/>
          <w:sz w:val="22"/>
          <w:szCs w:val="22"/>
        </w:rPr>
        <w:t xml:space="preserve">. </w:t>
      </w:r>
      <w:r w:rsidR="00B01360">
        <w:rPr>
          <w:rFonts w:ascii="Arial" w:hAnsi="Arial" w:cs="Arial"/>
          <w:sz w:val="22"/>
          <w:szCs w:val="22"/>
        </w:rPr>
        <w:t xml:space="preserve">In order to maximize the variation in our sample of stakeholders and to </w:t>
      </w:r>
      <w:r w:rsidR="00963561">
        <w:rPr>
          <w:rFonts w:ascii="Arial" w:hAnsi="Arial" w:cs="Arial"/>
          <w:sz w:val="22"/>
          <w:szCs w:val="22"/>
        </w:rPr>
        <w:t xml:space="preserve">achieve saturation in </w:t>
      </w:r>
      <w:r w:rsidR="00B01360">
        <w:rPr>
          <w:rFonts w:ascii="Arial" w:hAnsi="Arial" w:cs="Arial"/>
          <w:sz w:val="22"/>
          <w:szCs w:val="22"/>
        </w:rPr>
        <w:t>responses from stakeholders, 100 interviews will be conducted</w:t>
      </w:r>
      <w:r w:rsidR="00963561">
        <w:rPr>
          <w:rFonts w:ascii="Arial" w:hAnsi="Arial" w:cs="Arial"/>
          <w:sz w:val="22"/>
          <w:szCs w:val="22"/>
        </w:rPr>
        <w:t xml:space="preserve">. </w:t>
      </w:r>
      <w:r w:rsidR="007C0C3A">
        <w:rPr>
          <w:rFonts w:ascii="Arial" w:hAnsi="Arial" w:cs="Arial"/>
          <w:sz w:val="22"/>
          <w:szCs w:val="22"/>
        </w:rPr>
        <w:t xml:space="preserve">A list of stakeholder groups was developed to identify those groups </w:t>
      </w:r>
      <w:r w:rsidR="00E63B1C">
        <w:rPr>
          <w:rFonts w:ascii="Arial" w:hAnsi="Arial" w:cs="Arial"/>
          <w:sz w:val="22"/>
          <w:szCs w:val="22"/>
        </w:rPr>
        <w:t xml:space="preserve">whose missions or professional activities are related to or might be affected by jaguar conservation. </w:t>
      </w:r>
      <w:r w:rsidR="007C0C3A">
        <w:rPr>
          <w:rFonts w:ascii="Arial" w:hAnsi="Arial" w:cs="Arial"/>
          <w:sz w:val="22"/>
          <w:szCs w:val="22"/>
        </w:rPr>
        <w:t xml:space="preserve">The stakeholder groups </w:t>
      </w:r>
      <w:r w:rsidR="00E63B1C">
        <w:rPr>
          <w:rFonts w:ascii="Arial" w:hAnsi="Arial" w:cs="Arial"/>
          <w:sz w:val="22"/>
          <w:szCs w:val="22"/>
        </w:rPr>
        <w:t xml:space="preserve">are </w:t>
      </w:r>
      <w:r w:rsidR="007C0C3A">
        <w:rPr>
          <w:rFonts w:ascii="Arial" w:hAnsi="Arial" w:cs="Arial"/>
          <w:sz w:val="22"/>
          <w:szCs w:val="22"/>
        </w:rPr>
        <w:t xml:space="preserve">drawn from the following categories: </w:t>
      </w:r>
      <w:r w:rsidR="007C0C3A" w:rsidRPr="002F158C">
        <w:rPr>
          <w:rFonts w:ascii="Arial" w:hAnsi="Arial" w:cs="Arial"/>
          <w:sz w:val="22"/>
          <w:szCs w:val="22"/>
        </w:rPr>
        <w:t>land-based business owners/operators</w:t>
      </w:r>
      <w:r w:rsidR="007C0C3A">
        <w:rPr>
          <w:rFonts w:ascii="Arial" w:hAnsi="Arial" w:cs="Arial"/>
          <w:sz w:val="22"/>
          <w:szCs w:val="22"/>
        </w:rPr>
        <w:t>;</w:t>
      </w:r>
      <w:r w:rsidR="007C0C3A" w:rsidRPr="002F158C">
        <w:rPr>
          <w:rFonts w:ascii="Arial" w:hAnsi="Arial" w:cs="Arial"/>
          <w:sz w:val="22"/>
          <w:szCs w:val="22"/>
        </w:rPr>
        <w:t xml:space="preserve"> government agency personnel</w:t>
      </w:r>
      <w:r w:rsidR="007C0C3A">
        <w:rPr>
          <w:rFonts w:ascii="Arial" w:hAnsi="Arial" w:cs="Arial"/>
          <w:sz w:val="22"/>
          <w:szCs w:val="22"/>
        </w:rPr>
        <w:t>;</w:t>
      </w:r>
      <w:r w:rsidR="007C0C3A" w:rsidRPr="002F158C">
        <w:rPr>
          <w:rFonts w:ascii="Arial" w:hAnsi="Arial" w:cs="Arial"/>
          <w:sz w:val="22"/>
          <w:szCs w:val="22"/>
        </w:rPr>
        <w:t xml:space="preserve"> local wildlife association</w:t>
      </w:r>
      <w:r w:rsidR="007C0C3A">
        <w:rPr>
          <w:rFonts w:ascii="Arial" w:hAnsi="Arial" w:cs="Arial"/>
          <w:sz w:val="22"/>
          <w:szCs w:val="22"/>
        </w:rPr>
        <w:t>s; conservation and/or recreation organizations. Stakeholder representatives will be asked to participate based on their membership in one</w:t>
      </w:r>
      <w:r w:rsidR="008B6F65">
        <w:rPr>
          <w:rFonts w:ascii="Arial" w:hAnsi="Arial" w:cs="Arial"/>
          <w:sz w:val="22"/>
          <w:szCs w:val="22"/>
        </w:rPr>
        <w:t xml:space="preserve"> of these groups/organizations. </w:t>
      </w:r>
      <w:r w:rsidR="00983FB1">
        <w:rPr>
          <w:rFonts w:ascii="Arial" w:hAnsi="Arial" w:cs="Arial"/>
          <w:sz w:val="22"/>
          <w:szCs w:val="22"/>
        </w:rPr>
        <w:t>Stakeholder groups will be balanced to insure representation in each category of Arizona and New Mexico-based groups/organizations.</w:t>
      </w:r>
      <w:r w:rsidR="00B01360">
        <w:rPr>
          <w:rFonts w:ascii="Arial" w:hAnsi="Arial" w:cs="Arial"/>
          <w:sz w:val="22"/>
          <w:szCs w:val="22"/>
        </w:rPr>
        <w:t xml:space="preserve"> G</w:t>
      </w:r>
      <w:r w:rsidR="00453E50">
        <w:rPr>
          <w:rFonts w:ascii="Arial" w:hAnsi="Arial" w:cs="Arial"/>
          <w:sz w:val="22"/>
          <w:szCs w:val="22"/>
        </w:rPr>
        <w:t xml:space="preserve">iven the stakeholder groups’ </w:t>
      </w:r>
      <w:r w:rsidR="00E63B1C">
        <w:rPr>
          <w:rFonts w:ascii="Arial" w:hAnsi="Arial" w:cs="Arial"/>
          <w:sz w:val="22"/>
          <w:szCs w:val="22"/>
        </w:rPr>
        <w:t xml:space="preserve">interest in jaguar conservation, and our in-person interview format, we expect a 100% response rate. </w:t>
      </w:r>
    </w:p>
    <w:p w14:paraId="3A47B77D" w14:textId="77777777" w:rsidR="00B26727" w:rsidRDefault="00B26727"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56FAE4" w14:textId="57073E26" w:rsidR="00E63B1C" w:rsidRDefault="00E63B1C"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overall expected response rate for our 200 interviews is 90%. This study design method will minimize </w:t>
      </w:r>
      <w:r w:rsidR="00983FB1">
        <w:rPr>
          <w:rFonts w:ascii="Arial" w:hAnsi="Arial" w:cs="Arial"/>
          <w:sz w:val="22"/>
          <w:szCs w:val="22"/>
        </w:rPr>
        <w:t>nonresponse</w:t>
      </w:r>
      <w:r>
        <w:rPr>
          <w:rFonts w:ascii="Arial" w:hAnsi="Arial" w:cs="Arial"/>
          <w:sz w:val="22"/>
          <w:szCs w:val="22"/>
        </w:rPr>
        <w:t xml:space="preserve"> bias in our data collection. </w:t>
      </w:r>
      <w:r w:rsidR="006B175A">
        <w:rPr>
          <w:rFonts w:ascii="Arial" w:hAnsi="Arial" w:cs="Arial"/>
          <w:sz w:val="22"/>
          <w:szCs w:val="22"/>
        </w:rPr>
        <w:t>Our survey is composed of qualitative questions and analyses will not be generalized to the respondent universe. Given the goals of the survey and chosen methods, our sample size, sampling method</w:t>
      </w:r>
      <w:r w:rsidR="002778BA">
        <w:rPr>
          <w:rFonts w:ascii="Arial" w:hAnsi="Arial" w:cs="Arial"/>
          <w:sz w:val="22"/>
          <w:szCs w:val="22"/>
        </w:rPr>
        <w:t>,</w:t>
      </w:r>
      <w:r w:rsidR="006B175A">
        <w:rPr>
          <w:rFonts w:ascii="Arial" w:hAnsi="Arial" w:cs="Arial"/>
          <w:sz w:val="22"/>
          <w:szCs w:val="22"/>
        </w:rPr>
        <w:t xml:space="preserve"> and expected response rates are suitable. </w:t>
      </w:r>
    </w:p>
    <w:p w14:paraId="5FE3FDC7" w14:textId="77777777" w:rsidR="00E63B1C" w:rsidRDefault="00E63B1C" w:rsidP="00B26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8BAC5C"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2.</w:t>
      </w:r>
      <w:r w:rsidRPr="00194DDB">
        <w:rPr>
          <w:rFonts w:ascii="Arial" w:hAnsi="Arial" w:cs="Arial"/>
          <w:b/>
          <w:sz w:val="22"/>
          <w:szCs w:val="22"/>
        </w:rPr>
        <w:tab/>
        <w:t>Describe the procedures for the collection of information including:</w:t>
      </w:r>
    </w:p>
    <w:p w14:paraId="316022EF"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Statistical methodology for stratification and sample selection,</w:t>
      </w:r>
    </w:p>
    <w:p w14:paraId="5028F8AD"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Estimation procedure,</w:t>
      </w:r>
    </w:p>
    <w:p w14:paraId="4ED8D41F"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Degree of accuracy needed for the purpose described in the justification,</w:t>
      </w:r>
    </w:p>
    <w:p w14:paraId="6F4E89D7"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Unusual problems requiring specialized sampling procedures, and</w:t>
      </w:r>
    </w:p>
    <w:p w14:paraId="330B027B"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Any use of periodic (less frequent than annual) data collection cycles to reduce burden.</w:t>
      </w:r>
    </w:p>
    <w:p w14:paraId="486AE873"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8644D5B" w14:textId="77777777" w:rsidR="00CE64DB" w:rsidRDefault="002D24E2" w:rsidP="00CE64DB">
      <w:pPr>
        <w:rPr>
          <w:rFonts w:ascii="Arial" w:hAnsi="Arial" w:cs="Arial"/>
          <w:sz w:val="22"/>
          <w:szCs w:val="22"/>
        </w:rPr>
      </w:pPr>
      <w:r w:rsidRPr="002F158C">
        <w:rPr>
          <w:rFonts w:ascii="Arial" w:hAnsi="Arial" w:cs="Arial"/>
          <w:bCs/>
          <w:sz w:val="22"/>
          <w:szCs w:val="22"/>
        </w:rPr>
        <w:t xml:space="preserve">This is a one-time data collection event, which will minimize burden. </w:t>
      </w:r>
      <w:r w:rsidR="00650C02">
        <w:rPr>
          <w:rFonts w:ascii="Arial" w:hAnsi="Arial" w:cs="Arial"/>
          <w:sz w:val="22"/>
          <w:szCs w:val="22"/>
        </w:rPr>
        <w:t>The proposed information c</w:t>
      </w:r>
      <w:r w:rsidR="00D264BE">
        <w:rPr>
          <w:rFonts w:ascii="Arial" w:hAnsi="Arial" w:cs="Arial"/>
          <w:sz w:val="22"/>
          <w:szCs w:val="22"/>
        </w:rPr>
        <w:t>ollection uses a qualitative methodology to understand resident and stakeholder knowledge, attitudes</w:t>
      </w:r>
      <w:r w:rsidR="00650C02">
        <w:rPr>
          <w:rFonts w:ascii="Arial" w:hAnsi="Arial" w:cs="Arial"/>
          <w:sz w:val="22"/>
          <w:szCs w:val="22"/>
        </w:rPr>
        <w:t>,</w:t>
      </w:r>
      <w:r w:rsidR="00D264BE">
        <w:rPr>
          <w:rFonts w:ascii="Arial" w:hAnsi="Arial" w:cs="Arial"/>
          <w:sz w:val="22"/>
          <w:szCs w:val="22"/>
        </w:rPr>
        <w:t xml:space="preserve"> and beliefs about jaguars in the Arizona and New Mexico counties with designated critical habitat for jaguars. </w:t>
      </w:r>
    </w:p>
    <w:p w14:paraId="4AF88422" w14:textId="77777777" w:rsidR="003839C8" w:rsidRDefault="003839C8" w:rsidP="00CE64DB">
      <w:pPr>
        <w:rPr>
          <w:rFonts w:ascii="Arial" w:hAnsi="Arial" w:cs="Arial"/>
          <w:sz w:val="22"/>
          <w:szCs w:val="22"/>
        </w:rPr>
      </w:pPr>
    </w:p>
    <w:p w14:paraId="3AF1F1A8" w14:textId="77777777" w:rsidR="003839C8" w:rsidRDefault="003839C8" w:rsidP="00CE64DB">
      <w:pPr>
        <w:rPr>
          <w:rFonts w:ascii="Arial" w:hAnsi="Arial" w:cs="Arial"/>
          <w:sz w:val="22"/>
          <w:szCs w:val="22"/>
        </w:rPr>
      </w:pPr>
      <w:r>
        <w:rPr>
          <w:rFonts w:ascii="Arial" w:hAnsi="Arial" w:cs="Arial"/>
          <w:sz w:val="22"/>
          <w:szCs w:val="22"/>
        </w:rPr>
        <w:t xml:space="preserve">The </w:t>
      </w:r>
      <w:r w:rsidR="003C4C2A">
        <w:rPr>
          <w:rFonts w:ascii="Arial" w:hAnsi="Arial" w:cs="Arial"/>
          <w:sz w:val="22"/>
          <w:szCs w:val="22"/>
        </w:rPr>
        <w:t xml:space="preserve">method of qualitative, semi-structured interviews </w:t>
      </w:r>
      <w:r>
        <w:rPr>
          <w:rFonts w:ascii="Arial" w:hAnsi="Arial" w:cs="Arial"/>
          <w:sz w:val="22"/>
          <w:szCs w:val="22"/>
        </w:rPr>
        <w:t xml:space="preserve">was chosen to match the purpose of this data collection: </w:t>
      </w:r>
      <w:r w:rsidR="008B6F65">
        <w:rPr>
          <w:rFonts w:ascii="Arial" w:hAnsi="Arial" w:cs="Arial"/>
          <w:sz w:val="22"/>
          <w:szCs w:val="22"/>
        </w:rPr>
        <w:t xml:space="preserve">to describe </w:t>
      </w:r>
      <w:r>
        <w:rPr>
          <w:rFonts w:ascii="Arial" w:hAnsi="Arial" w:cs="Arial"/>
          <w:sz w:val="22"/>
          <w:szCs w:val="22"/>
        </w:rPr>
        <w:t>the range of attitudes, perceptions and knowledge about jaguars held by residents and stakeholder groups in this region; to explain the r</w:t>
      </w:r>
      <w:r w:rsidR="00EA1DA7">
        <w:rPr>
          <w:rFonts w:ascii="Arial" w:hAnsi="Arial" w:cs="Arial"/>
          <w:sz w:val="22"/>
          <w:szCs w:val="22"/>
        </w:rPr>
        <w:t xml:space="preserve">elationships between </w:t>
      </w:r>
      <w:r>
        <w:rPr>
          <w:rFonts w:ascii="Arial" w:hAnsi="Arial" w:cs="Arial"/>
          <w:sz w:val="22"/>
          <w:szCs w:val="22"/>
        </w:rPr>
        <w:t xml:space="preserve">responses, individually and between groups; </w:t>
      </w:r>
      <w:r w:rsidR="003C4C2A">
        <w:rPr>
          <w:rFonts w:ascii="Arial" w:hAnsi="Arial" w:cs="Arial"/>
          <w:sz w:val="22"/>
          <w:szCs w:val="22"/>
        </w:rPr>
        <w:t xml:space="preserve">and </w:t>
      </w:r>
      <w:r>
        <w:rPr>
          <w:rFonts w:ascii="Arial" w:hAnsi="Arial" w:cs="Arial"/>
          <w:sz w:val="22"/>
          <w:szCs w:val="22"/>
        </w:rPr>
        <w:t xml:space="preserve">to identify the attitudes about jaguars and conservation that present barriers and/or opportunities to </w:t>
      </w:r>
      <w:r w:rsidR="001576FE">
        <w:rPr>
          <w:rFonts w:ascii="Arial" w:hAnsi="Arial" w:cs="Arial"/>
          <w:sz w:val="22"/>
          <w:szCs w:val="22"/>
        </w:rPr>
        <w:t>Service</w:t>
      </w:r>
      <w:r>
        <w:rPr>
          <w:rFonts w:ascii="Arial" w:hAnsi="Arial" w:cs="Arial"/>
          <w:sz w:val="22"/>
          <w:szCs w:val="22"/>
        </w:rPr>
        <w:t xml:space="preserve"> conservation efforts. </w:t>
      </w:r>
    </w:p>
    <w:p w14:paraId="6ED083AF" w14:textId="77777777" w:rsidR="00CE64DB" w:rsidRDefault="00CE64DB" w:rsidP="00CE64DB">
      <w:pPr>
        <w:rPr>
          <w:rFonts w:ascii="Arial" w:hAnsi="Arial" w:cs="Arial"/>
          <w:sz w:val="22"/>
          <w:szCs w:val="22"/>
        </w:rPr>
      </w:pPr>
    </w:p>
    <w:p w14:paraId="5058BF9E" w14:textId="0CF6A381" w:rsidR="00CE64DB" w:rsidRDefault="00CE64DB" w:rsidP="00CE64DB">
      <w:pPr>
        <w:rPr>
          <w:rFonts w:ascii="Arial" w:hAnsi="Arial" w:cs="Arial"/>
          <w:sz w:val="22"/>
          <w:szCs w:val="22"/>
        </w:rPr>
      </w:pPr>
      <w:r>
        <w:rPr>
          <w:rFonts w:ascii="Arial" w:hAnsi="Arial" w:cs="Arial"/>
          <w:sz w:val="22"/>
          <w:szCs w:val="22"/>
        </w:rPr>
        <w:t>In a semi-structured interview, most questions are open-ended. While a s</w:t>
      </w:r>
      <w:r w:rsidR="003839C8">
        <w:rPr>
          <w:rFonts w:ascii="Arial" w:hAnsi="Arial" w:cs="Arial"/>
          <w:sz w:val="22"/>
          <w:szCs w:val="22"/>
        </w:rPr>
        <w:t xml:space="preserve">pecific </w:t>
      </w:r>
      <w:r>
        <w:rPr>
          <w:rFonts w:ascii="Arial" w:hAnsi="Arial" w:cs="Arial"/>
          <w:sz w:val="22"/>
          <w:szCs w:val="22"/>
        </w:rPr>
        <w:t>list of questions are asked of each participant, the interview is not rigidly scripted. Rather</w:t>
      </w:r>
      <w:r w:rsidR="003839C8">
        <w:rPr>
          <w:rFonts w:ascii="Arial" w:hAnsi="Arial" w:cs="Arial"/>
          <w:sz w:val="22"/>
          <w:szCs w:val="22"/>
        </w:rPr>
        <w:t>,</w:t>
      </w:r>
      <w:r>
        <w:rPr>
          <w:rFonts w:ascii="Arial" w:hAnsi="Arial" w:cs="Arial"/>
          <w:sz w:val="22"/>
          <w:szCs w:val="22"/>
        </w:rPr>
        <w:t xml:space="preserve"> questions are ask</w:t>
      </w:r>
      <w:r w:rsidR="00190E0B">
        <w:rPr>
          <w:rFonts w:ascii="Arial" w:hAnsi="Arial" w:cs="Arial"/>
          <w:sz w:val="22"/>
          <w:szCs w:val="22"/>
        </w:rPr>
        <w:t xml:space="preserve">ed in a conversational </w:t>
      </w:r>
      <w:r>
        <w:rPr>
          <w:rFonts w:ascii="Arial" w:hAnsi="Arial" w:cs="Arial"/>
          <w:sz w:val="22"/>
          <w:szCs w:val="22"/>
        </w:rPr>
        <w:t>manner, such that the exact wording and order o</w:t>
      </w:r>
      <w:r w:rsidR="00190E0B">
        <w:rPr>
          <w:rFonts w:ascii="Arial" w:hAnsi="Arial" w:cs="Arial"/>
          <w:sz w:val="22"/>
          <w:szCs w:val="22"/>
        </w:rPr>
        <w:t>f</w:t>
      </w:r>
      <w:r>
        <w:rPr>
          <w:rFonts w:ascii="Arial" w:hAnsi="Arial" w:cs="Arial"/>
          <w:sz w:val="22"/>
          <w:szCs w:val="22"/>
        </w:rPr>
        <w:t xml:space="preserve"> questions is adjusted to maintain an open flow of dialogue between participant and interviewer. </w:t>
      </w:r>
      <w:r w:rsidR="003C4C2A">
        <w:rPr>
          <w:rFonts w:ascii="Arial" w:hAnsi="Arial" w:cs="Arial"/>
          <w:sz w:val="22"/>
          <w:szCs w:val="22"/>
        </w:rPr>
        <w:t xml:space="preserve">This flexibility is necessary to the interviewer’s ability to establish a rapport with the participant, </w:t>
      </w:r>
      <w:r w:rsidR="002778BA">
        <w:rPr>
          <w:rFonts w:ascii="Arial" w:hAnsi="Arial" w:cs="Arial"/>
          <w:sz w:val="22"/>
          <w:szCs w:val="22"/>
        </w:rPr>
        <w:t xml:space="preserve">and </w:t>
      </w:r>
      <w:r w:rsidR="003C4C2A">
        <w:rPr>
          <w:rFonts w:ascii="Arial" w:hAnsi="Arial" w:cs="Arial"/>
          <w:sz w:val="22"/>
          <w:szCs w:val="22"/>
        </w:rPr>
        <w:t>encou</w:t>
      </w:r>
      <w:r w:rsidR="00EA1DA7">
        <w:rPr>
          <w:rFonts w:ascii="Arial" w:hAnsi="Arial" w:cs="Arial"/>
          <w:sz w:val="22"/>
          <w:szCs w:val="22"/>
        </w:rPr>
        <w:t>rag</w:t>
      </w:r>
      <w:r w:rsidR="002778BA">
        <w:rPr>
          <w:rFonts w:ascii="Arial" w:hAnsi="Arial" w:cs="Arial"/>
          <w:sz w:val="22"/>
          <w:szCs w:val="22"/>
        </w:rPr>
        <w:t xml:space="preserve">e </w:t>
      </w:r>
      <w:r w:rsidR="00EA1DA7">
        <w:rPr>
          <w:rFonts w:ascii="Arial" w:hAnsi="Arial" w:cs="Arial"/>
          <w:sz w:val="22"/>
          <w:szCs w:val="22"/>
        </w:rPr>
        <w:t xml:space="preserve"> a free flowing dialogue. </w:t>
      </w:r>
      <w:r w:rsidR="003C4C2A">
        <w:rPr>
          <w:rFonts w:ascii="Arial" w:hAnsi="Arial" w:cs="Arial"/>
          <w:sz w:val="22"/>
          <w:szCs w:val="22"/>
        </w:rPr>
        <w:t>T</w:t>
      </w:r>
      <w:r>
        <w:rPr>
          <w:rFonts w:ascii="Arial" w:hAnsi="Arial" w:cs="Arial"/>
          <w:sz w:val="22"/>
          <w:szCs w:val="22"/>
        </w:rPr>
        <w:t xml:space="preserve">his method of conducting interviews yields fuller </w:t>
      </w:r>
      <w:r w:rsidR="003839C8">
        <w:rPr>
          <w:rFonts w:ascii="Arial" w:hAnsi="Arial" w:cs="Arial"/>
          <w:sz w:val="22"/>
          <w:szCs w:val="22"/>
        </w:rPr>
        <w:t xml:space="preserve">responses, enables </w:t>
      </w:r>
      <w:r>
        <w:rPr>
          <w:rFonts w:ascii="Arial" w:hAnsi="Arial" w:cs="Arial"/>
          <w:sz w:val="22"/>
          <w:szCs w:val="22"/>
        </w:rPr>
        <w:t>the interviewer to ask follow up questions</w:t>
      </w:r>
      <w:r w:rsidR="003839C8">
        <w:rPr>
          <w:rFonts w:ascii="Arial" w:hAnsi="Arial" w:cs="Arial"/>
          <w:sz w:val="22"/>
          <w:szCs w:val="22"/>
        </w:rPr>
        <w:t xml:space="preserve">, and results in more information than </w:t>
      </w:r>
      <w:r w:rsidR="003C4C2A">
        <w:rPr>
          <w:rFonts w:ascii="Arial" w:hAnsi="Arial" w:cs="Arial"/>
          <w:sz w:val="22"/>
          <w:szCs w:val="22"/>
        </w:rPr>
        <w:t xml:space="preserve">can be </w:t>
      </w:r>
      <w:r w:rsidR="003839C8">
        <w:rPr>
          <w:rFonts w:ascii="Arial" w:hAnsi="Arial" w:cs="Arial"/>
          <w:sz w:val="22"/>
          <w:szCs w:val="22"/>
        </w:rPr>
        <w:t>obtained through mail-in, internet-based, or telephone surveys (</w:t>
      </w:r>
      <w:r w:rsidR="0051774D">
        <w:rPr>
          <w:rFonts w:ascii="Arial" w:hAnsi="Arial" w:cs="Arial"/>
          <w:sz w:val="22"/>
          <w:szCs w:val="22"/>
        </w:rPr>
        <w:t>Bernard</w:t>
      </w:r>
      <w:r w:rsidR="003839C8">
        <w:rPr>
          <w:rFonts w:ascii="Arial" w:hAnsi="Arial" w:cs="Arial"/>
          <w:sz w:val="22"/>
          <w:szCs w:val="22"/>
        </w:rPr>
        <w:t xml:space="preserve"> 2011</w:t>
      </w:r>
      <w:r w:rsidR="00190E0B">
        <w:rPr>
          <w:rFonts w:ascii="Arial" w:hAnsi="Arial" w:cs="Arial"/>
          <w:sz w:val="22"/>
          <w:szCs w:val="22"/>
        </w:rPr>
        <w:t>; Denzin and Lincoln 2011</w:t>
      </w:r>
      <w:r w:rsidR="003839C8">
        <w:rPr>
          <w:rFonts w:ascii="Arial" w:hAnsi="Arial" w:cs="Arial"/>
          <w:sz w:val="22"/>
          <w:szCs w:val="22"/>
        </w:rPr>
        <w:t xml:space="preserve">). </w:t>
      </w:r>
      <w:r w:rsidR="00EA1DA7">
        <w:rPr>
          <w:rFonts w:ascii="Arial" w:hAnsi="Arial" w:cs="Arial"/>
          <w:sz w:val="22"/>
          <w:szCs w:val="22"/>
        </w:rPr>
        <w:t xml:space="preserve">The base questions </w:t>
      </w:r>
      <w:r w:rsidR="00190E0B">
        <w:rPr>
          <w:rFonts w:ascii="Arial" w:hAnsi="Arial" w:cs="Arial"/>
          <w:sz w:val="22"/>
          <w:szCs w:val="22"/>
        </w:rPr>
        <w:t xml:space="preserve">to be asked </w:t>
      </w:r>
      <w:r w:rsidR="00EA1DA7">
        <w:rPr>
          <w:rFonts w:ascii="Arial" w:hAnsi="Arial" w:cs="Arial"/>
          <w:sz w:val="22"/>
          <w:szCs w:val="22"/>
        </w:rPr>
        <w:t xml:space="preserve">are included on the submitted survey instrument. Interviewers will take notes of </w:t>
      </w:r>
      <w:r w:rsidR="0051774D">
        <w:rPr>
          <w:rFonts w:ascii="Arial" w:hAnsi="Arial" w:cs="Arial"/>
          <w:sz w:val="22"/>
          <w:szCs w:val="22"/>
        </w:rPr>
        <w:t>participants’</w:t>
      </w:r>
      <w:r w:rsidR="00EA1DA7">
        <w:rPr>
          <w:rFonts w:ascii="Arial" w:hAnsi="Arial" w:cs="Arial"/>
          <w:sz w:val="22"/>
          <w:szCs w:val="22"/>
        </w:rPr>
        <w:t xml:space="preserve"> responses</w:t>
      </w:r>
      <w:r w:rsidR="0051774D">
        <w:rPr>
          <w:rFonts w:ascii="Arial" w:hAnsi="Arial" w:cs="Arial"/>
          <w:sz w:val="22"/>
          <w:szCs w:val="22"/>
        </w:rPr>
        <w:t xml:space="preserve">. These notes will be transcribed following the interview.  </w:t>
      </w:r>
      <w:r w:rsidR="002C30C7">
        <w:rPr>
          <w:rFonts w:ascii="Arial" w:hAnsi="Arial" w:cs="Arial"/>
          <w:sz w:val="22"/>
          <w:szCs w:val="22"/>
        </w:rPr>
        <w:t>While names and identifying details will not be purposely collected, any incidental recording of such details in interviewers’ notes will be deleted from the data set a</w:t>
      </w:r>
      <w:r w:rsidR="0051774D">
        <w:rPr>
          <w:rFonts w:ascii="Arial" w:hAnsi="Arial" w:cs="Arial"/>
          <w:sz w:val="22"/>
          <w:szCs w:val="22"/>
        </w:rPr>
        <w:t xml:space="preserve">t the transcription point, before analysis is undertaken. </w:t>
      </w:r>
      <w:r w:rsidR="00EA1DA7">
        <w:rPr>
          <w:rFonts w:ascii="Arial" w:hAnsi="Arial" w:cs="Arial"/>
          <w:sz w:val="22"/>
          <w:szCs w:val="22"/>
        </w:rPr>
        <w:t xml:space="preserve"> </w:t>
      </w:r>
    </w:p>
    <w:p w14:paraId="77BBF1BA" w14:textId="77777777" w:rsidR="003839C8" w:rsidRDefault="003839C8" w:rsidP="00CE64DB">
      <w:pPr>
        <w:rPr>
          <w:rFonts w:ascii="Arial" w:hAnsi="Arial" w:cs="Arial"/>
          <w:sz w:val="22"/>
          <w:szCs w:val="22"/>
        </w:rPr>
      </w:pPr>
    </w:p>
    <w:p w14:paraId="00356AE7" w14:textId="2264BBF4" w:rsidR="00B22914" w:rsidRDefault="00190E0B" w:rsidP="00B22914">
      <w:pPr>
        <w:rPr>
          <w:rFonts w:ascii="Arial" w:hAnsi="Arial" w:cs="Arial"/>
          <w:sz w:val="22"/>
          <w:szCs w:val="22"/>
        </w:rPr>
      </w:pPr>
      <w:r>
        <w:rPr>
          <w:rFonts w:ascii="Arial" w:hAnsi="Arial" w:cs="Arial"/>
          <w:sz w:val="22"/>
          <w:szCs w:val="22"/>
        </w:rPr>
        <w:t xml:space="preserve">The </w:t>
      </w:r>
      <w:r w:rsidR="00212D71">
        <w:rPr>
          <w:rFonts w:ascii="Arial" w:hAnsi="Arial" w:cs="Arial"/>
          <w:sz w:val="22"/>
          <w:szCs w:val="22"/>
        </w:rPr>
        <w:t xml:space="preserve">interview instrument includes </w:t>
      </w:r>
      <w:r w:rsidR="002778BA">
        <w:rPr>
          <w:rFonts w:ascii="Arial" w:hAnsi="Arial" w:cs="Arial"/>
          <w:sz w:val="22"/>
          <w:szCs w:val="22"/>
        </w:rPr>
        <w:t xml:space="preserve">one section </w:t>
      </w:r>
      <w:r w:rsidR="003C4C2A">
        <w:rPr>
          <w:rFonts w:ascii="Arial" w:hAnsi="Arial" w:cs="Arial"/>
          <w:sz w:val="22"/>
          <w:szCs w:val="22"/>
        </w:rPr>
        <w:t xml:space="preserve">of demographic questions. The </w:t>
      </w:r>
      <w:r w:rsidR="00CE64DB" w:rsidRPr="00D35E18">
        <w:rPr>
          <w:rFonts w:ascii="Arial" w:hAnsi="Arial" w:cs="Arial"/>
          <w:sz w:val="22"/>
          <w:szCs w:val="22"/>
        </w:rPr>
        <w:t xml:space="preserve">demographic questions </w:t>
      </w:r>
      <w:r w:rsidR="003C4C2A">
        <w:rPr>
          <w:rFonts w:ascii="Arial" w:hAnsi="Arial" w:cs="Arial"/>
          <w:sz w:val="22"/>
          <w:szCs w:val="22"/>
        </w:rPr>
        <w:t xml:space="preserve">will </w:t>
      </w:r>
      <w:r w:rsidR="00CE64DB" w:rsidRPr="00D35E18">
        <w:rPr>
          <w:rFonts w:ascii="Arial" w:hAnsi="Arial" w:cs="Arial"/>
          <w:sz w:val="22"/>
          <w:szCs w:val="22"/>
        </w:rPr>
        <w:t xml:space="preserve">allow </w:t>
      </w:r>
      <w:r w:rsidR="003C4C2A">
        <w:rPr>
          <w:rFonts w:ascii="Arial" w:hAnsi="Arial" w:cs="Arial"/>
          <w:sz w:val="22"/>
          <w:szCs w:val="22"/>
        </w:rPr>
        <w:t xml:space="preserve">us to characterize our sample and test for the impacts of these variables on responses to the open-ended questions. The proposed data collection will yield new information and contribute to the larger scientific study of large carnivore conservation. </w:t>
      </w:r>
    </w:p>
    <w:p w14:paraId="1C52DCFD" w14:textId="77777777" w:rsidR="00B22914" w:rsidRDefault="00B22914" w:rsidP="00B22914">
      <w:pPr>
        <w:rPr>
          <w:rFonts w:ascii="Arial" w:hAnsi="Arial" w:cs="Arial"/>
          <w:sz w:val="22"/>
          <w:szCs w:val="22"/>
        </w:rPr>
      </w:pPr>
    </w:p>
    <w:p w14:paraId="31F48AD0" w14:textId="40ADE17A" w:rsidR="00D264BE" w:rsidRDefault="00D264BE" w:rsidP="003C4C2A">
      <w:pPr>
        <w:rPr>
          <w:rFonts w:ascii="Arial" w:hAnsi="Arial" w:cs="Arial"/>
          <w:sz w:val="22"/>
          <w:szCs w:val="22"/>
        </w:rPr>
      </w:pPr>
      <w:r>
        <w:rPr>
          <w:rFonts w:ascii="Arial" w:hAnsi="Arial" w:cs="Arial"/>
          <w:sz w:val="22"/>
          <w:szCs w:val="22"/>
        </w:rPr>
        <w:t xml:space="preserve">The </w:t>
      </w:r>
      <w:r w:rsidR="00B22914">
        <w:rPr>
          <w:rFonts w:ascii="Arial" w:hAnsi="Arial" w:cs="Arial"/>
          <w:sz w:val="22"/>
          <w:szCs w:val="22"/>
        </w:rPr>
        <w:t xml:space="preserve">open-ended question </w:t>
      </w:r>
      <w:r>
        <w:rPr>
          <w:rFonts w:ascii="Arial" w:hAnsi="Arial" w:cs="Arial"/>
          <w:sz w:val="22"/>
          <w:szCs w:val="22"/>
        </w:rPr>
        <w:t xml:space="preserve">responses will be analyzed through content </w:t>
      </w:r>
      <w:r w:rsidR="0005326B">
        <w:rPr>
          <w:rFonts w:ascii="Arial" w:hAnsi="Arial" w:cs="Arial"/>
          <w:sz w:val="22"/>
          <w:szCs w:val="22"/>
        </w:rPr>
        <w:t xml:space="preserve">and narrative </w:t>
      </w:r>
      <w:r>
        <w:rPr>
          <w:rFonts w:ascii="Arial" w:hAnsi="Arial" w:cs="Arial"/>
          <w:sz w:val="22"/>
          <w:szCs w:val="22"/>
        </w:rPr>
        <w:t>analysis</w:t>
      </w:r>
      <w:r w:rsidR="00190E0B">
        <w:rPr>
          <w:rFonts w:ascii="Arial" w:hAnsi="Arial" w:cs="Arial"/>
          <w:sz w:val="22"/>
          <w:szCs w:val="22"/>
        </w:rPr>
        <w:t xml:space="preserve">. Narrative and content </w:t>
      </w:r>
      <w:r>
        <w:rPr>
          <w:rFonts w:ascii="Arial" w:hAnsi="Arial" w:cs="Arial"/>
          <w:sz w:val="22"/>
          <w:szCs w:val="22"/>
        </w:rPr>
        <w:t>analysis method</w:t>
      </w:r>
      <w:r w:rsidR="00190E0B">
        <w:rPr>
          <w:rFonts w:ascii="Arial" w:hAnsi="Arial" w:cs="Arial"/>
          <w:sz w:val="22"/>
          <w:szCs w:val="22"/>
        </w:rPr>
        <w:t xml:space="preserve">s identify </w:t>
      </w:r>
      <w:r>
        <w:rPr>
          <w:rFonts w:ascii="Arial" w:hAnsi="Arial" w:cs="Arial"/>
          <w:sz w:val="22"/>
          <w:szCs w:val="22"/>
        </w:rPr>
        <w:t xml:space="preserve">key themes </w:t>
      </w:r>
      <w:r w:rsidR="0005326B">
        <w:rPr>
          <w:rFonts w:ascii="Arial" w:hAnsi="Arial" w:cs="Arial"/>
          <w:sz w:val="22"/>
          <w:szCs w:val="22"/>
        </w:rPr>
        <w:t>in a text (assigning them to specific codes)</w:t>
      </w:r>
      <w:r w:rsidR="00190E0B">
        <w:rPr>
          <w:rFonts w:ascii="Arial" w:hAnsi="Arial" w:cs="Arial"/>
          <w:sz w:val="22"/>
          <w:szCs w:val="22"/>
        </w:rPr>
        <w:t xml:space="preserve">. Themes are examined to understand </w:t>
      </w:r>
      <w:r w:rsidR="0005326B">
        <w:rPr>
          <w:rFonts w:ascii="Arial" w:hAnsi="Arial" w:cs="Arial"/>
          <w:sz w:val="22"/>
          <w:szCs w:val="22"/>
        </w:rPr>
        <w:t>patterns of responses (Bernard 2011). Themes and patterns of responses are then related to each other and to other variables, such as group membership</w:t>
      </w:r>
      <w:r w:rsidR="00190E0B">
        <w:rPr>
          <w:rFonts w:ascii="Arial" w:hAnsi="Arial" w:cs="Arial"/>
          <w:sz w:val="22"/>
          <w:szCs w:val="22"/>
        </w:rPr>
        <w:t xml:space="preserve">, </w:t>
      </w:r>
      <w:r w:rsidR="0005326B">
        <w:rPr>
          <w:rFonts w:ascii="Arial" w:hAnsi="Arial" w:cs="Arial"/>
          <w:sz w:val="22"/>
          <w:szCs w:val="22"/>
        </w:rPr>
        <w:t>demographic responses</w:t>
      </w:r>
      <w:r w:rsidR="00190E0B">
        <w:rPr>
          <w:rFonts w:ascii="Arial" w:hAnsi="Arial" w:cs="Arial"/>
          <w:sz w:val="22"/>
          <w:szCs w:val="22"/>
        </w:rPr>
        <w:t xml:space="preserve">, and nominal data derived from the coding of the interview text. </w:t>
      </w:r>
      <w:r>
        <w:rPr>
          <w:rFonts w:ascii="Arial" w:hAnsi="Arial" w:cs="Arial"/>
          <w:sz w:val="22"/>
          <w:szCs w:val="22"/>
        </w:rPr>
        <w:t xml:space="preserve"> </w:t>
      </w:r>
      <w:r w:rsidR="007B795B">
        <w:rPr>
          <w:rFonts w:ascii="Arial" w:hAnsi="Arial" w:cs="Arial"/>
          <w:sz w:val="22"/>
          <w:szCs w:val="22"/>
        </w:rPr>
        <w:t xml:space="preserve">Aside from descriptive statistics of responses, the qualitative questions are not analyzed with quantitative methods. </w:t>
      </w:r>
      <w:r w:rsidR="00853220">
        <w:rPr>
          <w:rFonts w:ascii="Arial" w:hAnsi="Arial" w:cs="Arial"/>
          <w:sz w:val="22"/>
          <w:szCs w:val="22"/>
        </w:rPr>
        <w:t xml:space="preserve">Narrative and content analysis of survey responses will be stratified by county and by demographics collected (i.e. income, education, rural/urban residency). </w:t>
      </w:r>
    </w:p>
    <w:p w14:paraId="0D7E1892" w14:textId="77777777" w:rsidR="00B22914" w:rsidRDefault="00B22914" w:rsidP="003C4C2A">
      <w:pPr>
        <w:rPr>
          <w:rFonts w:ascii="Arial" w:hAnsi="Arial" w:cs="Arial"/>
          <w:sz w:val="22"/>
          <w:szCs w:val="22"/>
        </w:rPr>
      </w:pPr>
    </w:p>
    <w:p w14:paraId="398145B2" w14:textId="35E991CA" w:rsidR="00D264BE" w:rsidRDefault="00D264BE" w:rsidP="00D26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w:t>
      </w:r>
      <w:r w:rsidR="007B795B">
        <w:rPr>
          <w:rFonts w:ascii="Arial" w:hAnsi="Arial" w:cs="Arial"/>
          <w:sz w:val="22"/>
          <w:szCs w:val="22"/>
        </w:rPr>
        <w:t xml:space="preserve">is </w:t>
      </w:r>
      <w:r>
        <w:rPr>
          <w:rFonts w:ascii="Arial" w:hAnsi="Arial" w:cs="Arial"/>
          <w:sz w:val="22"/>
          <w:szCs w:val="22"/>
        </w:rPr>
        <w:t xml:space="preserve">qualitative methodology </w:t>
      </w:r>
      <w:r w:rsidR="007B795B">
        <w:rPr>
          <w:rFonts w:ascii="Arial" w:hAnsi="Arial" w:cs="Arial"/>
          <w:sz w:val="22"/>
          <w:szCs w:val="22"/>
        </w:rPr>
        <w:t xml:space="preserve">will </w:t>
      </w:r>
      <w:r>
        <w:rPr>
          <w:rFonts w:ascii="Arial" w:hAnsi="Arial" w:cs="Arial"/>
          <w:sz w:val="22"/>
          <w:szCs w:val="22"/>
        </w:rPr>
        <w:t>enable a full understanding of the opportunities and barriers to jaguar conservation in this region, and thus is a good fit for the purposes of th</w:t>
      </w:r>
      <w:r w:rsidR="007B795B">
        <w:rPr>
          <w:rFonts w:ascii="Arial" w:hAnsi="Arial" w:cs="Arial"/>
          <w:sz w:val="22"/>
          <w:szCs w:val="22"/>
        </w:rPr>
        <w:t>e proposed</w:t>
      </w:r>
      <w:r>
        <w:rPr>
          <w:rFonts w:ascii="Arial" w:hAnsi="Arial" w:cs="Arial"/>
          <w:sz w:val="22"/>
          <w:szCs w:val="22"/>
        </w:rPr>
        <w:t xml:space="preserve"> information collection. This method of conducting a relatively small number (20</w:t>
      </w:r>
      <w:r w:rsidR="00650C02">
        <w:rPr>
          <w:rFonts w:ascii="Arial" w:hAnsi="Arial" w:cs="Arial"/>
          <w:sz w:val="22"/>
          <w:szCs w:val="22"/>
        </w:rPr>
        <w:t xml:space="preserve">0) of in-depth interviews, </w:t>
      </w:r>
      <w:r>
        <w:rPr>
          <w:rFonts w:ascii="Arial" w:hAnsi="Arial" w:cs="Arial"/>
          <w:sz w:val="22"/>
          <w:szCs w:val="22"/>
        </w:rPr>
        <w:t>which allow for open-ended responses</w:t>
      </w:r>
      <w:r w:rsidR="007B795B">
        <w:rPr>
          <w:rFonts w:ascii="Arial" w:hAnsi="Arial" w:cs="Arial"/>
          <w:sz w:val="22"/>
          <w:szCs w:val="22"/>
        </w:rPr>
        <w:t xml:space="preserve">, </w:t>
      </w:r>
      <w:r>
        <w:rPr>
          <w:rFonts w:ascii="Arial" w:hAnsi="Arial" w:cs="Arial"/>
          <w:sz w:val="22"/>
          <w:szCs w:val="22"/>
        </w:rPr>
        <w:t xml:space="preserve">is more appropriate </w:t>
      </w:r>
      <w:r w:rsidR="00B22914">
        <w:rPr>
          <w:rFonts w:ascii="Arial" w:hAnsi="Arial" w:cs="Arial"/>
          <w:sz w:val="22"/>
          <w:szCs w:val="22"/>
        </w:rPr>
        <w:t xml:space="preserve">to the purposes of this data collection </w:t>
      </w:r>
      <w:r>
        <w:rPr>
          <w:rFonts w:ascii="Arial" w:hAnsi="Arial" w:cs="Arial"/>
          <w:sz w:val="22"/>
          <w:szCs w:val="22"/>
        </w:rPr>
        <w:t xml:space="preserve">than a </w:t>
      </w:r>
      <w:r w:rsidR="00B22914">
        <w:rPr>
          <w:rFonts w:ascii="Arial" w:hAnsi="Arial" w:cs="Arial"/>
          <w:sz w:val="22"/>
          <w:szCs w:val="22"/>
        </w:rPr>
        <w:t xml:space="preserve">larger </w:t>
      </w:r>
      <w:r>
        <w:rPr>
          <w:rFonts w:ascii="Arial" w:hAnsi="Arial" w:cs="Arial"/>
          <w:sz w:val="22"/>
          <w:szCs w:val="22"/>
        </w:rPr>
        <w:t xml:space="preserve">quantitative survey. </w:t>
      </w:r>
    </w:p>
    <w:p w14:paraId="2F5BA165" w14:textId="77777777" w:rsidR="00D264BE" w:rsidRPr="002F158C" w:rsidRDefault="00D264BE" w:rsidP="002D24E2">
      <w:pPr>
        <w:rPr>
          <w:rFonts w:ascii="Arial" w:hAnsi="Arial" w:cs="Arial"/>
          <w:sz w:val="22"/>
          <w:szCs w:val="22"/>
        </w:rPr>
      </w:pPr>
    </w:p>
    <w:p w14:paraId="694B7076"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3.</w:t>
      </w:r>
      <w:r w:rsidRPr="00194DDB">
        <w:rPr>
          <w:rFonts w:ascii="Arial" w:hAnsi="Arial" w:cs="Arial"/>
          <w:b/>
          <w:sz w:val="22"/>
          <w:szCs w:val="22"/>
        </w:rPr>
        <w:tab/>
        <w:t>Describe methods to maximize response rates</w:t>
      </w:r>
      <w:r>
        <w:rPr>
          <w:rFonts w:ascii="Arial" w:hAnsi="Arial" w:cs="Arial"/>
          <w:b/>
          <w:sz w:val="22"/>
          <w:szCs w:val="22"/>
        </w:rPr>
        <w:t xml:space="preserve"> and to deal with issues of non</w:t>
      </w:r>
      <w:r w:rsidRPr="00194DDB">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E2657BB" w14:textId="0E129021" w:rsidR="002D24E2" w:rsidRDefault="002D24E2" w:rsidP="002D24E2">
      <w:pPr>
        <w:pStyle w:val="NormalWeb"/>
        <w:rPr>
          <w:rFonts w:ascii="Arial" w:hAnsi="Arial" w:cs="Arial"/>
          <w:bCs/>
          <w:sz w:val="22"/>
          <w:szCs w:val="22"/>
        </w:rPr>
      </w:pPr>
      <w:r w:rsidRPr="007B030A">
        <w:rPr>
          <w:rFonts w:ascii="Arial" w:hAnsi="Arial" w:cs="Arial"/>
          <w:bCs/>
          <w:sz w:val="22"/>
          <w:szCs w:val="22"/>
        </w:rPr>
        <w:t xml:space="preserve">The in-person interview format will maximize response rates. In order to achieve the estimated </w:t>
      </w:r>
      <w:r w:rsidR="00B22914">
        <w:rPr>
          <w:rFonts w:ascii="Arial" w:hAnsi="Arial" w:cs="Arial"/>
          <w:bCs/>
          <w:sz w:val="22"/>
          <w:szCs w:val="22"/>
        </w:rPr>
        <w:t>1</w:t>
      </w:r>
      <w:r w:rsidRPr="007B030A">
        <w:rPr>
          <w:rFonts w:ascii="Arial" w:hAnsi="Arial" w:cs="Arial"/>
          <w:bCs/>
          <w:sz w:val="22"/>
          <w:szCs w:val="22"/>
        </w:rPr>
        <w:t xml:space="preserve">00 interviews, we will contact relevant stakeholder groups and establish the rationale and utility of the </w:t>
      </w:r>
      <w:r>
        <w:rPr>
          <w:rFonts w:ascii="Arial" w:hAnsi="Arial" w:cs="Arial"/>
          <w:bCs/>
          <w:sz w:val="22"/>
          <w:szCs w:val="22"/>
        </w:rPr>
        <w:t xml:space="preserve">information collection </w:t>
      </w:r>
      <w:r w:rsidRPr="007B030A">
        <w:rPr>
          <w:rFonts w:ascii="Arial" w:hAnsi="Arial" w:cs="Arial"/>
          <w:bCs/>
          <w:sz w:val="22"/>
          <w:szCs w:val="22"/>
        </w:rPr>
        <w:t xml:space="preserve">to the </w:t>
      </w:r>
      <w:r w:rsidR="001576FE">
        <w:rPr>
          <w:rFonts w:ascii="Arial" w:hAnsi="Arial" w:cs="Arial"/>
          <w:bCs/>
          <w:sz w:val="22"/>
          <w:szCs w:val="22"/>
        </w:rPr>
        <w:t>Service</w:t>
      </w:r>
      <w:r w:rsidR="007B795B">
        <w:rPr>
          <w:rFonts w:ascii="Arial" w:hAnsi="Arial" w:cs="Arial"/>
          <w:bCs/>
          <w:sz w:val="22"/>
          <w:szCs w:val="22"/>
        </w:rPr>
        <w:t>’s</w:t>
      </w:r>
      <w:r w:rsidRPr="007B030A">
        <w:rPr>
          <w:rFonts w:ascii="Arial" w:hAnsi="Arial" w:cs="Arial"/>
          <w:bCs/>
          <w:sz w:val="22"/>
          <w:szCs w:val="22"/>
        </w:rPr>
        <w:t xml:space="preserve"> jaguar conservation efforts. W</w:t>
      </w:r>
      <w:r w:rsidR="00B22914">
        <w:rPr>
          <w:rFonts w:ascii="Arial" w:hAnsi="Arial" w:cs="Arial"/>
          <w:bCs/>
          <w:sz w:val="22"/>
          <w:szCs w:val="22"/>
        </w:rPr>
        <w:t xml:space="preserve">e will use a street intercept method to randomly sample residents in each of the four counties identified. In eliciting participation, we </w:t>
      </w:r>
      <w:r w:rsidRPr="007B030A">
        <w:rPr>
          <w:rFonts w:ascii="Arial" w:hAnsi="Arial" w:cs="Arial"/>
          <w:bCs/>
          <w:sz w:val="22"/>
          <w:szCs w:val="22"/>
        </w:rPr>
        <w:t xml:space="preserve">will continue asking a random sample of residents to participate until we reach the number of </w:t>
      </w:r>
      <w:r>
        <w:rPr>
          <w:rFonts w:ascii="Arial" w:hAnsi="Arial" w:cs="Arial"/>
          <w:bCs/>
          <w:sz w:val="22"/>
          <w:szCs w:val="22"/>
        </w:rPr>
        <w:t xml:space="preserve">resident </w:t>
      </w:r>
      <w:r w:rsidRPr="007B030A">
        <w:rPr>
          <w:rFonts w:ascii="Arial" w:hAnsi="Arial" w:cs="Arial"/>
          <w:bCs/>
          <w:sz w:val="22"/>
          <w:szCs w:val="22"/>
        </w:rPr>
        <w:t xml:space="preserve">respondents required. </w:t>
      </w:r>
      <w:r w:rsidR="00B22914">
        <w:rPr>
          <w:rFonts w:ascii="Arial" w:hAnsi="Arial" w:cs="Arial"/>
          <w:bCs/>
          <w:sz w:val="22"/>
          <w:szCs w:val="22"/>
        </w:rPr>
        <w:t>With the expected response rate of 80%, we estimate that we will contact 125 residents.</w:t>
      </w:r>
    </w:p>
    <w:p w14:paraId="30702298" w14:textId="084CD860" w:rsidR="007169BE" w:rsidRDefault="002D24E2" w:rsidP="002D24E2">
      <w:pPr>
        <w:pStyle w:val="NormalWeb"/>
        <w:rPr>
          <w:rFonts w:ascii="Arial" w:hAnsi="Arial" w:cs="Arial"/>
          <w:bCs/>
          <w:sz w:val="22"/>
          <w:szCs w:val="22"/>
        </w:rPr>
      </w:pPr>
      <w:r>
        <w:rPr>
          <w:rFonts w:ascii="Arial" w:hAnsi="Arial" w:cs="Arial"/>
          <w:bCs/>
          <w:sz w:val="22"/>
          <w:szCs w:val="22"/>
        </w:rPr>
        <w:t>Given the purposes of this information collection, and the relatively small number (200) o</w:t>
      </w:r>
      <w:r w:rsidR="00D264BE">
        <w:rPr>
          <w:rFonts w:ascii="Arial" w:hAnsi="Arial" w:cs="Arial"/>
          <w:bCs/>
          <w:sz w:val="22"/>
          <w:szCs w:val="22"/>
        </w:rPr>
        <w:t>f</w:t>
      </w:r>
      <w:r>
        <w:rPr>
          <w:rFonts w:ascii="Arial" w:hAnsi="Arial" w:cs="Arial"/>
          <w:bCs/>
          <w:sz w:val="22"/>
          <w:szCs w:val="22"/>
        </w:rPr>
        <w:t xml:space="preserve"> respondents required, this method of sample selection is justified and will maximize response rates and minimize nonresponse bias. </w:t>
      </w:r>
      <w:r w:rsidR="002F318F">
        <w:rPr>
          <w:rFonts w:ascii="Arial" w:hAnsi="Arial" w:cs="Arial"/>
          <w:bCs/>
          <w:sz w:val="22"/>
          <w:szCs w:val="22"/>
        </w:rPr>
        <w:t xml:space="preserve">Item nonresponse bias is minimized, as well, with clear questions, open-ended questions, and questions that are relevant to the stated purpose of the information collection. </w:t>
      </w:r>
      <w:r w:rsidR="007169BE">
        <w:rPr>
          <w:rFonts w:ascii="Arial" w:hAnsi="Arial" w:cs="Arial"/>
          <w:bCs/>
          <w:sz w:val="22"/>
          <w:szCs w:val="22"/>
        </w:rPr>
        <w:t>With a sample</w:t>
      </w:r>
      <w:r w:rsidR="002F318F">
        <w:rPr>
          <w:rFonts w:ascii="Arial" w:hAnsi="Arial" w:cs="Arial"/>
          <w:bCs/>
          <w:sz w:val="22"/>
          <w:szCs w:val="22"/>
        </w:rPr>
        <w:t xml:space="preserve"> size</w:t>
      </w:r>
      <w:r w:rsidR="007169BE">
        <w:rPr>
          <w:rFonts w:ascii="Arial" w:hAnsi="Arial" w:cs="Arial"/>
          <w:bCs/>
          <w:sz w:val="22"/>
          <w:szCs w:val="22"/>
        </w:rPr>
        <w:t xml:space="preserve"> of 200</w:t>
      </w:r>
      <w:r w:rsidR="002F318F">
        <w:rPr>
          <w:rFonts w:ascii="Arial" w:hAnsi="Arial" w:cs="Arial"/>
          <w:bCs/>
          <w:sz w:val="22"/>
          <w:szCs w:val="22"/>
        </w:rPr>
        <w:t xml:space="preserve">, </w:t>
      </w:r>
      <w:r w:rsidR="007169BE">
        <w:rPr>
          <w:rFonts w:ascii="Arial" w:hAnsi="Arial" w:cs="Arial"/>
          <w:bCs/>
          <w:sz w:val="22"/>
          <w:szCs w:val="22"/>
        </w:rPr>
        <w:t xml:space="preserve"> it is not possible to identify or control for nonresponse bias. </w:t>
      </w:r>
    </w:p>
    <w:p w14:paraId="7F47FDA9" w14:textId="79282B1F" w:rsidR="007169BE" w:rsidRDefault="007169BE" w:rsidP="002D24E2">
      <w:pPr>
        <w:pStyle w:val="NormalWeb"/>
        <w:rPr>
          <w:rFonts w:ascii="Arial" w:hAnsi="Arial" w:cs="Arial"/>
          <w:bCs/>
          <w:sz w:val="22"/>
          <w:szCs w:val="22"/>
        </w:rPr>
      </w:pPr>
      <w:r>
        <w:rPr>
          <w:rFonts w:ascii="Arial" w:hAnsi="Arial" w:cs="Arial"/>
          <w:bCs/>
          <w:sz w:val="22"/>
          <w:szCs w:val="22"/>
        </w:rPr>
        <w:t xml:space="preserve">In quantitative surveys that are mailed to respondents, unit nonresponse bias can be identified, through comparison of the demographic profiles of nonresponders with responders and the population. Item nonresponse bias can also be identified in large sample size surveys. With our qualitative methodology, small sample size, and street-intercept method of contacting potential respondents, we will not be able to test for unit nonresponse. We will not have any demographic information on nonresponders to test for systematic bias due to unit nonresponse. We will tabulate and report the number of survey items that respondents refuse to answer (item </w:t>
      </w:r>
      <w:r>
        <w:rPr>
          <w:rFonts w:ascii="Arial" w:hAnsi="Arial" w:cs="Arial"/>
          <w:bCs/>
          <w:sz w:val="22"/>
          <w:szCs w:val="22"/>
        </w:rPr>
        <w:lastRenderedPageBreak/>
        <w:t>nonresponse). Given our small sample size and expected high response rate, due in p</w:t>
      </w:r>
      <w:r w:rsidR="002F318F">
        <w:rPr>
          <w:rFonts w:ascii="Arial" w:hAnsi="Arial" w:cs="Arial"/>
          <w:bCs/>
          <w:sz w:val="22"/>
          <w:szCs w:val="22"/>
        </w:rPr>
        <w:t xml:space="preserve">art to the in-person interview method, </w:t>
      </w:r>
      <w:r>
        <w:rPr>
          <w:rFonts w:ascii="Arial" w:hAnsi="Arial" w:cs="Arial"/>
          <w:bCs/>
          <w:sz w:val="22"/>
          <w:szCs w:val="22"/>
        </w:rPr>
        <w:t xml:space="preserve">we do not expect to have a high enough number of item nonresponses to statistically compare to survey respondents or to the population. </w:t>
      </w:r>
    </w:p>
    <w:p w14:paraId="0803E2D2" w14:textId="07159F4A" w:rsidR="007169BE" w:rsidRDefault="002F318F" w:rsidP="002D24E2">
      <w:pPr>
        <w:pStyle w:val="NormalWeb"/>
        <w:rPr>
          <w:rFonts w:ascii="Arial" w:hAnsi="Arial" w:cs="Arial"/>
          <w:bCs/>
          <w:sz w:val="22"/>
          <w:szCs w:val="22"/>
        </w:rPr>
      </w:pPr>
      <w:r>
        <w:rPr>
          <w:rFonts w:ascii="Arial" w:hAnsi="Arial" w:cs="Arial"/>
          <w:bCs/>
          <w:sz w:val="22"/>
          <w:szCs w:val="22"/>
        </w:rPr>
        <w:t xml:space="preserve">One </w:t>
      </w:r>
      <w:r w:rsidR="004A50F3">
        <w:rPr>
          <w:rFonts w:ascii="Arial" w:hAnsi="Arial" w:cs="Arial"/>
          <w:bCs/>
          <w:sz w:val="22"/>
          <w:szCs w:val="22"/>
        </w:rPr>
        <w:t xml:space="preserve">strategy </w:t>
      </w:r>
      <w:r>
        <w:rPr>
          <w:rFonts w:ascii="Arial" w:hAnsi="Arial" w:cs="Arial"/>
          <w:bCs/>
          <w:sz w:val="22"/>
          <w:szCs w:val="22"/>
        </w:rPr>
        <w:t xml:space="preserve">to address nonresponse </w:t>
      </w:r>
      <w:r w:rsidR="004A50F3">
        <w:rPr>
          <w:rFonts w:ascii="Arial" w:hAnsi="Arial" w:cs="Arial"/>
          <w:bCs/>
          <w:sz w:val="22"/>
          <w:szCs w:val="22"/>
        </w:rPr>
        <w:t>bias</w:t>
      </w:r>
      <w:r>
        <w:rPr>
          <w:rFonts w:ascii="Arial" w:hAnsi="Arial" w:cs="Arial"/>
          <w:bCs/>
          <w:sz w:val="22"/>
          <w:szCs w:val="22"/>
        </w:rPr>
        <w:t xml:space="preserve"> is to only generalize to the respondents, not to the population. T</w:t>
      </w:r>
      <w:r w:rsidR="007169BE">
        <w:rPr>
          <w:rFonts w:ascii="Arial" w:hAnsi="Arial" w:cs="Arial"/>
          <w:bCs/>
          <w:sz w:val="22"/>
          <w:szCs w:val="22"/>
        </w:rPr>
        <w:t xml:space="preserve">he purpose of our in-person </w:t>
      </w:r>
      <w:r>
        <w:rPr>
          <w:rFonts w:ascii="Arial" w:hAnsi="Arial" w:cs="Arial"/>
          <w:bCs/>
          <w:sz w:val="22"/>
          <w:szCs w:val="22"/>
        </w:rPr>
        <w:t>surveys</w:t>
      </w:r>
      <w:r w:rsidR="007169BE">
        <w:rPr>
          <w:rFonts w:ascii="Arial" w:hAnsi="Arial" w:cs="Arial"/>
          <w:bCs/>
          <w:sz w:val="22"/>
          <w:szCs w:val="22"/>
        </w:rPr>
        <w:t xml:space="preserve"> and qualitative interviews generally, is </w:t>
      </w:r>
      <w:r w:rsidR="007169BE">
        <w:rPr>
          <w:rFonts w:ascii="Arial" w:hAnsi="Arial" w:cs="Arial"/>
          <w:bCs/>
          <w:i/>
          <w:sz w:val="22"/>
          <w:szCs w:val="22"/>
        </w:rPr>
        <w:t xml:space="preserve">not </w:t>
      </w:r>
      <w:r w:rsidR="007169BE">
        <w:rPr>
          <w:rFonts w:ascii="Arial" w:hAnsi="Arial" w:cs="Arial"/>
          <w:bCs/>
          <w:sz w:val="22"/>
          <w:szCs w:val="22"/>
        </w:rPr>
        <w:t>to produce results that are ge</w:t>
      </w:r>
      <w:r>
        <w:rPr>
          <w:rFonts w:ascii="Arial" w:hAnsi="Arial" w:cs="Arial"/>
          <w:bCs/>
          <w:sz w:val="22"/>
          <w:szCs w:val="22"/>
        </w:rPr>
        <w:t xml:space="preserve">neralized to the population. </w:t>
      </w:r>
      <w:r w:rsidR="004A50F3">
        <w:rPr>
          <w:rFonts w:ascii="Arial" w:hAnsi="Arial" w:cs="Arial"/>
          <w:bCs/>
          <w:sz w:val="22"/>
          <w:szCs w:val="22"/>
        </w:rPr>
        <w:t xml:space="preserve">Therefore, the impact of nonresponse bias on the analysis is minimal.  </w:t>
      </w:r>
      <w:r w:rsidR="007169BE">
        <w:rPr>
          <w:rFonts w:ascii="Arial" w:hAnsi="Arial" w:cs="Arial"/>
          <w:bCs/>
          <w:sz w:val="22"/>
          <w:szCs w:val="22"/>
        </w:rPr>
        <w:t>Rather, the goal of the information collection is to better understand the reasoning behind people’s attit</w:t>
      </w:r>
      <w:r>
        <w:rPr>
          <w:rFonts w:ascii="Arial" w:hAnsi="Arial" w:cs="Arial"/>
          <w:bCs/>
          <w:sz w:val="22"/>
          <w:szCs w:val="22"/>
        </w:rPr>
        <w:t xml:space="preserve">udes to jaguars in this region, and the factors and policies that they describe affecting their attitudes. This goal requires the in-depth answers that result from in-person interviews in which interviewer and respondent engage in a structured conversation. Respondents’ answers, however, cannot be considered representative of the population. The insight into the processes that affect people’s attitudes and the identification from respondents’ answers of actions the Fish and Wildlife Service might take to positively affect attitudes to both jaguars and jaguar conservation will be very valuable. </w:t>
      </w:r>
    </w:p>
    <w:p w14:paraId="700053E2" w14:textId="18214F6F" w:rsidR="00140D76" w:rsidRPr="007B030A" w:rsidRDefault="0051774D" w:rsidP="002D24E2">
      <w:pPr>
        <w:pStyle w:val="NormalWeb"/>
        <w:rPr>
          <w:rFonts w:ascii="Arial" w:hAnsi="Arial" w:cs="Arial"/>
          <w:bCs/>
          <w:sz w:val="22"/>
          <w:szCs w:val="22"/>
        </w:rPr>
      </w:pPr>
      <w:r>
        <w:rPr>
          <w:rFonts w:ascii="Arial" w:hAnsi="Arial" w:cs="Arial"/>
          <w:sz w:val="22"/>
          <w:szCs w:val="22"/>
        </w:rPr>
        <w:t xml:space="preserve">The total number of </w:t>
      </w:r>
      <w:r w:rsidR="007B795B">
        <w:rPr>
          <w:rFonts w:ascii="Arial" w:hAnsi="Arial" w:cs="Arial"/>
          <w:sz w:val="22"/>
          <w:szCs w:val="22"/>
        </w:rPr>
        <w:t xml:space="preserve">in depth interviews, </w:t>
      </w:r>
      <w:r>
        <w:rPr>
          <w:rFonts w:ascii="Arial" w:hAnsi="Arial" w:cs="Arial"/>
          <w:sz w:val="22"/>
          <w:szCs w:val="22"/>
        </w:rPr>
        <w:t xml:space="preserve">including 100 with </w:t>
      </w:r>
      <w:r w:rsidR="007B795B">
        <w:rPr>
          <w:rFonts w:ascii="Arial" w:hAnsi="Arial" w:cs="Arial"/>
          <w:sz w:val="22"/>
          <w:szCs w:val="22"/>
        </w:rPr>
        <w:t xml:space="preserve">members of </w:t>
      </w:r>
      <w:r>
        <w:rPr>
          <w:rFonts w:ascii="Arial" w:hAnsi="Arial" w:cs="Arial"/>
          <w:sz w:val="22"/>
          <w:szCs w:val="22"/>
        </w:rPr>
        <w:t xml:space="preserve">key stakeholder groups, is sufficient to achieve the accuracy and reliability needed for the intended purpose of this data collection. </w:t>
      </w:r>
    </w:p>
    <w:p w14:paraId="579EF2B8" w14:textId="77777777" w:rsidR="002D24E2" w:rsidRPr="00DC5B34"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4.</w:t>
      </w:r>
      <w:r w:rsidRPr="00DC5B34">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7D27329"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98981B"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Several survey questions </w:t>
      </w:r>
      <w:r w:rsidR="00650C02">
        <w:rPr>
          <w:rFonts w:ascii="Arial" w:hAnsi="Arial" w:cs="Arial"/>
          <w:sz w:val="22"/>
          <w:szCs w:val="22"/>
        </w:rPr>
        <w:t>have been</w:t>
      </w:r>
      <w:r>
        <w:rPr>
          <w:rFonts w:ascii="Arial" w:hAnsi="Arial" w:cs="Arial"/>
          <w:sz w:val="22"/>
          <w:szCs w:val="22"/>
        </w:rPr>
        <w:t xml:space="preserve"> pretested with 9 respondents through collaboration with University of Arizona researchers who are interviewing area ranchers for</w:t>
      </w:r>
      <w:r w:rsidR="00963561">
        <w:rPr>
          <w:rFonts w:ascii="Arial" w:hAnsi="Arial" w:cs="Arial"/>
          <w:sz w:val="22"/>
          <w:szCs w:val="22"/>
        </w:rPr>
        <w:t xml:space="preserve"> the </w:t>
      </w:r>
      <w:r>
        <w:rPr>
          <w:rFonts w:ascii="Arial" w:hAnsi="Arial" w:cs="Arial"/>
          <w:sz w:val="22"/>
          <w:szCs w:val="22"/>
        </w:rPr>
        <w:t xml:space="preserve">Landowner Incentive Project. </w:t>
      </w:r>
    </w:p>
    <w:p w14:paraId="0C0FFDBB" w14:textId="77777777" w:rsidR="002D24E2"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85B211" w14:textId="77777777" w:rsidR="002D24E2" w:rsidRPr="00DC5B34"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5.</w:t>
      </w:r>
      <w:r w:rsidRPr="00DC5B34">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14:paraId="100D2CCA" w14:textId="77777777" w:rsidR="002D24E2" w:rsidRPr="00403C81" w:rsidRDefault="002D24E2" w:rsidP="002D24E2">
      <w:pPr>
        <w:rPr>
          <w:rFonts w:ascii="Arial" w:hAnsi="Arial" w:cs="Arial"/>
          <w:bCs/>
          <w:sz w:val="22"/>
          <w:szCs w:val="22"/>
        </w:rPr>
      </w:pPr>
    </w:p>
    <w:p w14:paraId="647C0976" w14:textId="77777777" w:rsidR="002D24E2" w:rsidRPr="007B030A" w:rsidRDefault="002D24E2" w:rsidP="002D24E2">
      <w:pPr>
        <w:rPr>
          <w:rFonts w:ascii="Arial" w:hAnsi="Arial" w:cs="Arial"/>
          <w:bCs/>
          <w:sz w:val="22"/>
          <w:szCs w:val="22"/>
        </w:rPr>
      </w:pPr>
      <w:r w:rsidRPr="007B030A">
        <w:rPr>
          <w:rFonts w:ascii="Arial" w:hAnsi="Arial" w:cs="Arial"/>
          <w:bCs/>
          <w:sz w:val="22"/>
          <w:szCs w:val="22"/>
        </w:rPr>
        <w:t xml:space="preserve">The following individuals have been consulted on the design of our survey instrument: </w:t>
      </w:r>
    </w:p>
    <w:p w14:paraId="0583EA08" w14:textId="77777777" w:rsidR="002D24E2" w:rsidRPr="007B030A" w:rsidRDefault="002D24E2" w:rsidP="002D24E2">
      <w:pPr>
        <w:rPr>
          <w:rFonts w:ascii="Arial" w:hAnsi="Arial" w:cs="Arial"/>
          <w:bCs/>
          <w:sz w:val="22"/>
          <w:szCs w:val="22"/>
        </w:rPr>
      </w:pPr>
    </w:p>
    <w:p w14:paraId="30B5F98B" w14:textId="77777777" w:rsidR="002D24E2" w:rsidRPr="007B030A" w:rsidRDefault="002D24E2" w:rsidP="002D24E2">
      <w:pPr>
        <w:rPr>
          <w:rFonts w:ascii="Arial" w:hAnsi="Arial" w:cs="Arial"/>
          <w:sz w:val="22"/>
          <w:szCs w:val="22"/>
        </w:rPr>
      </w:pPr>
      <w:r w:rsidRPr="007B030A">
        <w:rPr>
          <w:rFonts w:ascii="Arial" w:hAnsi="Arial" w:cs="Arial"/>
          <w:sz w:val="22"/>
          <w:szCs w:val="22"/>
        </w:rPr>
        <w:t>Randy Gimblett</w:t>
      </w:r>
      <w:r>
        <w:rPr>
          <w:rFonts w:ascii="Arial" w:hAnsi="Arial" w:cs="Arial"/>
          <w:sz w:val="22"/>
          <w:szCs w:val="22"/>
        </w:rPr>
        <w:t>, Ph.D.</w:t>
      </w:r>
    </w:p>
    <w:p w14:paraId="50330BA8" w14:textId="77777777" w:rsidR="002D24E2" w:rsidRPr="007B030A" w:rsidRDefault="002D24E2" w:rsidP="002D24E2">
      <w:pPr>
        <w:rPr>
          <w:rFonts w:ascii="Arial" w:hAnsi="Arial" w:cs="Arial"/>
          <w:bCs/>
          <w:sz w:val="22"/>
          <w:szCs w:val="22"/>
        </w:rPr>
      </w:pPr>
      <w:r w:rsidRPr="007B030A">
        <w:rPr>
          <w:rFonts w:ascii="Arial" w:hAnsi="Arial" w:cs="Arial"/>
          <w:bCs/>
          <w:sz w:val="22"/>
          <w:szCs w:val="22"/>
        </w:rPr>
        <w:t>Professor</w:t>
      </w:r>
    </w:p>
    <w:p w14:paraId="515314C8" w14:textId="77777777" w:rsidR="002D24E2" w:rsidRPr="007B030A" w:rsidRDefault="002D24E2" w:rsidP="002D24E2">
      <w:pPr>
        <w:rPr>
          <w:rFonts w:ascii="Arial" w:hAnsi="Arial" w:cs="Arial"/>
          <w:bCs/>
          <w:sz w:val="22"/>
          <w:szCs w:val="22"/>
        </w:rPr>
      </w:pPr>
      <w:r w:rsidRPr="007B030A">
        <w:rPr>
          <w:rFonts w:ascii="Arial" w:hAnsi="Arial" w:cs="Arial"/>
          <w:bCs/>
          <w:sz w:val="22"/>
          <w:szCs w:val="22"/>
        </w:rPr>
        <w:t>School of Natural Resources and Environment</w:t>
      </w:r>
    </w:p>
    <w:p w14:paraId="7B5113F2" w14:textId="77777777" w:rsidR="002D24E2" w:rsidRPr="007B030A" w:rsidRDefault="002D24E2" w:rsidP="002D24E2">
      <w:pPr>
        <w:rPr>
          <w:rFonts w:ascii="Arial" w:hAnsi="Arial" w:cs="Arial"/>
          <w:bCs/>
          <w:sz w:val="22"/>
          <w:szCs w:val="22"/>
        </w:rPr>
      </w:pPr>
      <w:r w:rsidRPr="007B030A">
        <w:rPr>
          <w:rFonts w:ascii="Arial" w:hAnsi="Arial" w:cs="Arial"/>
          <w:bCs/>
          <w:sz w:val="22"/>
          <w:szCs w:val="22"/>
        </w:rPr>
        <w:t>University of Arizona</w:t>
      </w:r>
    </w:p>
    <w:p w14:paraId="70771C34" w14:textId="77777777" w:rsidR="002D24E2" w:rsidRPr="007B030A" w:rsidRDefault="002D24E2" w:rsidP="002D24E2">
      <w:pPr>
        <w:rPr>
          <w:rFonts w:ascii="Arial" w:hAnsi="Arial" w:cs="Arial"/>
          <w:bCs/>
          <w:sz w:val="22"/>
          <w:szCs w:val="22"/>
        </w:rPr>
      </w:pPr>
    </w:p>
    <w:p w14:paraId="2481E94F" w14:textId="77777777" w:rsidR="002D24E2" w:rsidRPr="007B030A" w:rsidRDefault="002D24E2" w:rsidP="002D24E2">
      <w:pPr>
        <w:textAlignment w:val="baseline"/>
        <w:rPr>
          <w:rFonts w:ascii="Arial" w:hAnsi="Arial" w:cs="Arial"/>
          <w:sz w:val="22"/>
          <w:szCs w:val="22"/>
        </w:rPr>
      </w:pPr>
      <w:r w:rsidRPr="007B030A">
        <w:rPr>
          <w:rFonts w:ascii="Arial" w:hAnsi="Arial" w:cs="Arial"/>
          <w:bCs/>
          <w:sz w:val="22"/>
          <w:szCs w:val="22"/>
        </w:rPr>
        <w:t xml:space="preserve">Phone: (520) </w:t>
      </w:r>
      <w:r w:rsidRPr="007B030A">
        <w:rPr>
          <w:rFonts w:ascii="Arial" w:hAnsi="Arial" w:cs="Arial"/>
          <w:sz w:val="22"/>
          <w:szCs w:val="22"/>
        </w:rPr>
        <w:t>621-6360</w:t>
      </w:r>
    </w:p>
    <w:p w14:paraId="26E03D43" w14:textId="77777777" w:rsidR="002D24E2" w:rsidRPr="007B030A" w:rsidRDefault="002D24E2" w:rsidP="002D24E2">
      <w:pPr>
        <w:textAlignment w:val="baseline"/>
        <w:rPr>
          <w:rFonts w:ascii="Arial" w:hAnsi="Arial" w:cs="Arial"/>
          <w:sz w:val="22"/>
          <w:szCs w:val="22"/>
        </w:rPr>
      </w:pPr>
      <w:r w:rsidRPr="007B030A">
        <w:rPr>
          <w:rFonts w:ascii="Arial" w:hAnsi="Arial" w:cs="Arial"/>
          <w:sz w:val="22"/>
          <w:szCs w:val="22"/>
        </w:rPr>
        <w:t xml:space="preserve">Email: </w:t>
      </w:r>
      <w:r w:rsidRPr="007B030A">
        <w:rPr>
          <w:rFonts w:ascii="Arial" w:hAnsi="Arial" w:cs="Arial"/>
          <w:sz w:val="22"/>
          <w:szCs w:val="22"/>
          <w:bdr w:val="none" w:sz="0" w:space="0" w:color="auto" w:frame="1"/>
        </w:rPr>
        <w:t>Gimblett@ag.arizona.edu</w:t>
      </w:r>
    </w:p>
    <w:p w14:paraId="039B0AB6" w14:textId="77777777" w:rsidR="002D24E2" w:rsidRDefault="002D24E2" w:rsidP="002D24E2">
      <w:pPr>
        <w:rPr>
          <w:rStyle w:val="Strong"/>
          <w:rFonts w:ascii="Arial" w:hAnsi="Arial" w:cs="Arial"/>
          <w:b w:val="0"/>
          <w:sz w:val="22"/>
          <w:szCs w:val="22"/>
        </w:rPr>
      </w:pPr>
    </w:p>
    <w:p w14:paraId="6DF693A6" w14:textId="77777777" w:rsidR="002D24E2" w:rsidRPr="007B030A" w:rsidRDefault="002D24E2" w:rsidP="002D24E2">
      <w:pPr>
        <w:rPr>
          <w:rFonts w:ascii="Arial" w:hAnsi="Arial" w:cs="Arial"/>
          <w:sz w:val="22"/>
          <w:szCs w:val="22"/>
        </w:rPr>
      </w:pPr>
      <w:r w:rsidRPr="007B030A">
        <w:rPr>
          <w:rStyle w:val="Strong"/>
          <w:rFonts w:ascii="Arial" w:hAnsi="Arial" w:cs="Arial"/>
          <w:b w:val="0"/>
          <w:sz w:val="22"/>
          <w:szCs w:val="22"/>
          <w:lang w:val="es-MX"/>
        </w:rPr>
        <w:t xml:space="preserve">Laura López-Hoffman, Ph.D. </w:t>
      </w:r>
      <w:r w:rsidRPr="007B030A">
        <w:rPr>
          <w:rFonts w:ascii="Arial" w:hAnsi="Arial" w:cs="Arial"/>
          <w:b/>
          <w:bCs/>
          <w:sz w:val="22"/>
          <w:szCs w:val="22"/>
          <w:lang w:val="es-MX"/>
        </w:rPr>
        <w:br/>
      </w:r>
      <w:r w:rsidRPr="007B030A">
        <w:rPr>
          <w:rFonts w:ascii="Arial" w:hAnsi="Arial" w:cs="Arial"/>
          <w:sz w:val="22"/>
          <w:szCs w:val="22"/>
        </w:rPr>
        <w:t>Assistant Research Professor of Environmental Policy</w:t>
      </w:r>
      <w:r w:rsidRPr="007B030A">
        <w:rPr>
          <w:rFonts w:ascii="Arial" w:hAnsi="Arial" w:cs="Arial"/>
          <w:sz w:val="22"/>
          <w:szCs w:val="22"/>
        </w:rPr>
        <w:br/>
        <w:t xml:space="preserve">Assistant Professor </w:t>
      </w:r>
    </w:p>
    <w:p w14:paraId="278B359A" w14:textId="77777777" w:rsidR="002D24E2" w:rsidRPr="007B030A" w:rsidRDefault="002D24E2" w:rsidP="002D24E2">
      <w:pPr>
        <w:rPr>
          <w:rFonts w:ascii="Arial" w:hAnsi="Arial" w:cs="Arial"/>
          <w:sz w:val="22"/>
          <w:szCs w:val="22"/>
        </w:rPr>
      </w:pPr>
      <w:r w:rsidRPr="007B030A">
        <w:rPr>
          <w:rFonts w:ascii="Arial" w:hAnsi="Arial" w:cs="Arial"/>
          <w:sz w:val="22"/>
          <w:szCs w:val="22"/>
        </w:rPr>
        <w:t>School of Natural Resources and Environment</w:t>
      </w:r>
    </w:p>
    <w:p w14:paraId="229416CF" w14:textId="77777777" w:rsidR="002D24E2" w:rsidRPr="007B030A" w:rsidRDefault="002D24E2" w:rsidP="002D24E2">
      <w:pPr>
        <w:rPr>
          <w:rFonts w:ascii="Arial" w:hAnsi="Arial" w:cs="Arial"/>
          <w:sz w:val="22"/>
          <w:szCs w:val="22"/>
        </w:rPr>
      </w:pPr>
      <w:r w:rsidRPr="007B030A">
        <w:rPr>
          <w:rFonts w:ascii="Arial" w:hAnsi="Arial" w:cs="Arial"/>
          <w:sz w:val="22"/>
          <w:szCs w:val="22"/>
        </w:rPr>
        <w:lastRenderedPageBreak/>
        <w:t>University of Arizona</w:t>
      </w:r>
    </w:p>
    <w:p w14:paraId="263BD014" w14:textId="77777777" w:rsidR="002D24E2" w:rsidRPr="007B030A" w:rsidRDefault="002D24E2" w:rsidP="002D24E2">
      <w:pPr>
        <w:pStyle w:val="NormalWeb"/>
        <w:rPr>
          <w:rFonts w:ascii="Arial" w:hAnsi="Arial" w:cs="Arial"/>
          <w:sz w:val="22"/>
          <w:szCs w:val="22"/>
        </w:rPr>
      </w:pPr>
      <w:r w:rsidRPr="007B030A">
        <w:rPr>
          <w:rFonts w:ascii="Arial" w:hAnsi="Arial" w:cs="Arial"/>
          <w:sz w:val="22"/>
          <w:szCs w:val="22"/>
        </w:rPr>
        <w:t>Phone: (520) 626-9851</w:t>
      </w:r>
      <w:r w:rsidRPr="007B030A">
        <w:rPr>
          <w:rStyle w:val="apple-converted-space"/>
          <w:rFonts w:ascii="Arial" w:hAnsi="Arial" w:cs="Arial"/>
          <w:sz w:val="22"/>
          <w:szCs w:val="22"/>
        </w:rPr>
        <w:t> </w:t>
      </w:r>
      <w:r w:rsidRPr="007B030A">
        <w:rPr>
          <w:rFonts w:ascii="Arial" w:hAnsi="Arial" w:cs="Arial"/>
          <w:sz w:val="22"/>
          <w:szCs w:val="22"/>
        </w:rPr>
        <w:br/>
        <w:t>E-mail:</w:t>
      </w:r>
      <w:r w:rsidRPr="007B030A">
        <w:rPr>
          <w:rStyle w:val="apple-converted-space"/>
          <w:rFonts w:ascii="Arial" w:hAnsi="Arial" w:cs="Arial"/>
          <w:sz w:val="22"/>
          <w:szCs w:val="22"/>
        </w:rPr>
        <w:t> </w:t>
      </w:r>
      <w:r w:rsidRPr="007B030A">
        <w:rPr>
          <w:rFonts w:ascii="Arial" w:hAnsi="Arial" w:cs="Arial"/>
          <w:sz w:val="22"/>
          <w:szCs w:val="22"/>
        </w:rPr>
        <w:t>lauralh@u.arizona.edu</w:t>
      </w:r>
    </w:p>
    <w:p w14:paraId="5FAA50AD" w14:textId="77777777" w:rsidR="002D24E2" w:rsidRPr="007B030A" w:rsidRDefault="002D24E2" w:rsidP="002D24E2">
      <w:pPr>
        <w:rPr>
          <w:rFonts w:ascii="Arial" w:hAnsi="Arial" w:cs="Arial"/>
          <w:bCs/>
          <w:sz w:val="22"/>
          <w:szCs w:val="22"/>
        </w:rPr>
      </w:pPr>
      <w:r w:rsidRPr="007B030A">
        <w:rPr>
          <w:rFonts w:ascii="Arial" w:hAnsi="Arial" w:cs="Arial"/>
          <w:bCs/>
          <w:sz w:val="22"/>
          <w:szCs w:val="22"/>
        </w:rPr>
        <w:t xml:space="preserve">Harris Environmental Inc. is the contractor who will collect and </w:t>
      </w:r>
      <w:r w:rsidR="001576FE">
        <w:rPr>
          <w:rFonts w:ascii="Arial" w:hAnsi="Arial" w:cs="Arial"/>
          <w:bCs/>
          <w:sz w:val="22"/>
          <w:szCs w:val="22"/>
        </w:rPr>
        <w:t>analyze information for the Fish and Wildlife Service.</w:t>
      </w:r>
    </w:p>
    <w:p w14:paraId="23E5ECA5" w14:textId="77777777" w:rsidR="002D24E2" w:rsidRDefault="002D24E2" w:rsidP="002D24E2">
      <w:pPr>
        <w:rPr>
          <w:rFonts w:ascii="Arial" w:hAnsi="Arial" w:cs="Arial"/>
          <w:bCs/>
          <w:color w:val="0000FF"/>
          <w:sz w:val="22"/>
          <w:szCs w:val="22"/>
        </w:rPr>
      </w:pPr>
    </w:p>
    <w:p w14:paraId="46B429B7" w14:textId="77777777" w:rsidR="002D24E2" w:rsidRPr="00194DDB" w:rsidRDefault="002D24E2" w:rsidP="002D2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8B13F08" w14:textId="77777777" w:rsidR="002D24E2" w:rsidRPr="008E2854" w:rsidRDefault="002D24E2" w:rsidP="002D24E2">
      <w:pPr>
        <w:rPr>
          <w:rFonts w:ascii="Arial" w:hAnsi="Arial" w:cs="Arial"/>
          <w:sz w:val="22"/>
          <w:szCs w:val="22"/>
        </w:rPr>
      </w:pPr>
    </w:p>
    <w:p w14:paraId="12CBB874" w14:textId="0A13E6CA" w:rsidR="00297103" w:rsidRPr="008E2854" w:rsidRDefault="007B795B">
      <w:pPr>
        <w:rPr>
          <w:rFonts w:ascii="Arial" w:hAnsi="Arial" w:cs="Arial"/>
          <w:b/>
          <w:sz w:val="22"/>
          <w:szCs w:val="22"/>
        </w:rPr>
      </w:pPr>
      <w:r w:rsidRPr="008E2854">
        <w:rPr>
          <w:rFonts w:ascii="Arial" w:hAnsi="Arial" w:cs="Arial"/>
          <w:b/>
          <w:sz w:val="22"/>
          <w:szCs w:val="22"/>
        </w:rPr>
        <w:t>Cited References</w:t>
      </w:r>
    </w:p>
    <w:p w14:paraId="6DE52045" w14:textId="77777777" w:rsidR="007B795B" w:rsidRPr="008E2854" w:rsidRDefault="007B795B">
      <w:pPr>
        <w:rPr>
          <w:rFonts w:ascii="Arial" w:hAnsi="Arial" w:cs="Arial"/>
          <w:sz w:val="22"/>
          <w:szCs w:val="22"/>
        </w:rPr>
      </w:pPr>
    </w:p>
    <w:p w14:paraId="38898044" w14:textId="4A72B038" w:rsidR="007B795B" w:rsidRPr="008E2854" w:rsidRDefault="007B795B">
      <w:pPr>
        <w:rPr>
          <w:rFonts w:ascii="Arial" w:hAnsi="Arial" w:cs="Arial"/>
          <w:sz w:val="22"/>
          <w:szCs w:val="22"/>
        </w:rPr>
      </w:pPr>
      <w:r w:rsidRPr="008E2854">
        <w:rPr>
          <w:rFonts w:ascii="Arial" w:hAnsi="Arial" w:cs="Arial"/>
          <w:sz w:val="22"/>
          <w:szCs w:val="22"/>
        </w:rPr>
        <w:t>Bernard, H.R. 2011. Research Methods in Anthropology: Qualitative and Quantitative, 4</w:t>
      </w:r>
      <w:r w:rsidRPr="008E2854">
        <w:rPr>
          <w:rFonts w:ascii="Arial" w:hAnsi="Arial" w:cs="Arial"/>
          <w:sz w:val="22"/>
          <w:szCs w:val="22"/>
          <w:vertAlign w:val="superscript"/>
        </w:rPr>
        <w:t>th</w:t>
      </w:r>
      <w:r w:rsidRPr="008E2854">
        <w:rPr>
          <w:rFonts w:ascii="Arial" w:hAnsi="Arial" w:cs="Arial"/>
          <w:sz w:val="22"/>
          <w:szCs w:val="22"/>
        </w:rPr>
        <w:t xml:space="preserve"> ed. New York: Alta Mira Press.</w:t>
      </w:r>
    </w:p>
    <w:p w14:paraId="6609B65B" w14:textId="77777777" w:rsidR="007B795B" w:rsidRPr="008E2854" w:rsidRDefault="007B795B">
      <w:pPr>
        <w:rPr>
          <w:rFonts w:ascii="Arial" w:hAnsi="Arial" w:cs="Arial"/>
          <w:sz w:val="22"/>
          <w:szCs w:val="22"/>
        </w:rPr>
      </w:pPr>
    </w:p>
    <w:p w14:paraId="4A8B9314" w14:textId="1BA13364" w:rsidR="007B795B" w:rsidRPr="008E2854" w:rsidRDefault="007B795B" w:rsidP="007B795B">
      <w:pPr>
        <w:autoSpaceDE w:val="0"/>
        <w:autoSpaceDN w:val="0"/>
        <w:adjustRightInd w:val="0"/>
        <w:rPr>
          <w:rFonts w:ascii="Arial" w:eastAsiaTheme="minorHAnsi" w:hAnsi="Arial" w:cs="Arial"/>
          <w:sz w:val="22"/>
          <w:szCs w:val="22"/>
        </w:rPr>
      </w:pPr>
      <w:r w:rsidRPr="008E2854">
        <w:rPr>
          <w:rFonts w:ascii="Arial" w:hAnsi="Arial" w:cs="Arial"/>
          <w:sz w:val="22"/>
          <w:szCs w:val="22"/>
        </w:rPr>
        <w:t xml:space="preserve">Couper, M. 2011. The Future of Modes of Data Collection. </w:t>
      </w:r>
      <w:r w:rsidRPr="008E2854">
        <w:rPr>
          <w:rFonts w:ascii="Arial" w:eastAsiaTheme="minorHAnsi" w:hAnsi="Arial" w:cs="Arial"/>
          <w:i/>
          <w:sz w:val="22"/>
          <w:szCs w:val="22"/>
        </w:rPr>
        <w:t>Public Opinion Quarterly</w:t>
      </w:r>
      <w:r w:rsidR="008E2854" w:rsidRPr="008E2854">
        <w:rPr>
          <w:rFonts w:ascii="Arial" w:eastAsiaTheme="minorHAnsi" w:hAnsi="Arial" w:cs="Arial"/>
          <w:sz w:val="22"/>
          <w:szCs w:val="22"/>
        </w:rPr>
        <w:t xml:space="preserve"> 75(5): </w:t>
      </w:r>
      <w:r w:rsidRPr="008E2854">
        <w:rPr>
          <w:rFonts w:ascii="Arial" w:eastAsiaTheme="minorHAnsi" w:hAnsi="Arial" w:cs="Arial"/>
          <w:sz w:val="22"/>
          <w:szCs w:val="22"/>
        </w:rPr>
        <w:t xml:space="preserve"> 889</w:t>
      </w:r>
      <w:r w:rsidR="008E2854">
        <w:rPr>
          <w:rFonts w:ascii="Arial" w:eastAsiaTheme="minorHAnsi" w:hAnsi="Arial" w:cs="Arial"/>
          <w:sz w:val="22"/>
          <w:szCs w:val="22"/>
        </w:rPr>
        <w:t xml:space="preserve"> - 9</w:t>
      </w:r>
      <w:r w:rsidRPr="008E2854">
        <w:rPr>
          <w:rFonts w:ascii="Arial" w:eastAsiaTheme="minorHAnsi" w:hAnsi="Arial" w:cs="Arial"/>
          <w:sz w:val="22"/>
          <w:szCs w:val="22"/>
        </w:rPr>
        <w:t>08</w:t>
      </w:r>
      <w:r w:rsidR="008E2854" w:rsidRPr="008E2854">
        <w:rPr>
          <w:rFonts w:ascii="Arial" w:eastAsiaTheme="minorHAnsi" w:hAnsi="Arial" w:cs="Arial"/>
          <w:sz w:val="22"/>
          <w:szCs w:val="22"/>
        </w:rPr>
        <w:t>.</w:t>
      </w:r>
    </w:p>
    <w:p w14:paraId="0A3D8444" w14:textId="77777777" w:rsidR="007B795B" w:rsidRPr="008E2854" w:rsidRDefault="007B795B">
      <w:pPr>
        <w:rPr>
          <w:rFonts w:ascii="Arial" w:hAnsi="Arial" w:cs="Arial"/>
          <w:sz w:val="22"/>
          <w:szCs w:val="22"/>
        </w:rPr>
      </w:pPr>
    </w:p>
    <w:p w14:paraId="7507D687" w14:textId="6269755F" w:rsidR="007B795B" w:rsidRPr="008E2854" w:rsidRDefault="007B795B">
      <w:pPr>
        <w:rPr>
          <w:rFonts w:ascii="Arial" w:hAnsi="Arial" w:cs="Arial"/>
          <w:sz w:val="22"/>
          <w:szCs w:val="22"/>
        </w:rPr>
      </w:pPr>
      <w:r w:rsidRPr="008E2854">
        <w:rPr>
          <w:rFonts w:ascii="Arial" w:hAnsi="Arial" w:cs="Arial"/>
          <w:sz w:val="22"/>
          <w:szCs w:val="22"/>
        </w:rPr>
        <w:t>Denzin, N. and Y. Lincoln. 2011. The SAGE Handbook of Qualitative Research, 4</w:t>
      </w:r>
      <w:r w:rsidRPr="008E2854">
        <w:rPr>
          <w:rFonts w:ascii="Arial" w:hAnsi="Arial" w:cs="Arial"/>
          <w:sz w:val="22"/>
          <w:szCs w:val="22"/>
          <w:vertAlign w:val="superscript"/>
        </w:rPr>
        <w:t>th</w:t>
      </w:r>
      <w:r w:rsidRPr="008E2854">
        <w:rPr>
          <w:rFonts w:ascii="Arial" w:hAnsi="Arial" w:cs="Arial"/>
          <w:sz w:val="22"/>
          <w:szCs w:val="22"/>
        </w:rPr>
        <w:t xml:space="preserve"> ed. Los Angeles: SAGE Publications, Inc.</w:t>
      </w:r>
    </w:p>
    <w:p w14:paraId="7FFDE622" w14:textId="77777777" w:rsidR="007B795B" w:rsidRDefault="007B795B"/>
    <w:p w14:paraId="011433EE" w14:textId="3B1675C8" w:rsidR="008E2854" w:rsidRDefault="008E2854" w:rsidP="008E2854">
      <w:pPr>
        <w:autoSpaceDE w:val="0"/>
        <w:autoSpaceDN w:val="0"/>
        <w:adjustRightInd w:val="0"/>
        <w:rPr>
          <w:rFonts w:ascii="Arial" w:eastAsiaTheme="minorHAnsi" w:hAnsi="Arial" w:cs="Arial"/>
          <w:sz w:val="22"/>
          <w:szCs w:val="22"/>
        </w:rPr>
      </w:pPr>
      <w:r w:rsidRPr="008E2854">
        <w:rPr>
          <w:rFonts w:ascii="Arial" w:hAnsi="Arial" w:cs="Arial"/>
          <w:sz w:val="22"/>
          <w:szCs w:val="22"/>
        </w:rPr>
        <w:t xml:space="preserve">Spooner, C., Bishop, J., and J. Parr. 1997. </w:t>
      </w:r>
      <w:r w:rsidRPr="008E2854">
        <w:rPr>
          <w:rFonts w:ascii="Arial" w:eastAsiaTheme="minorHAnsi" w:hAnsi="Arial" w:cs="Arial"/>
          <w:bCs/>
          <w:sz w:val="22"/>
          <w:szCs w:val="22"/>
        </w:rPr>
        <w:t>Research methods for studying injecting</w:t>
      </w:r>
      <w:r>
        <w:rPr>
          <w:rFonts w:ascii="Arial" w:eastAsiaTheme="minorHAnsi" w:hAnsi="Arial" w:cs="Arial"/>
          <w:bCs/>
          <w:sz w:val="22"/>
          <w:szCs w:val="22"/>
        </w:rPr>
        <w:t xml:space="preserve"> </w:t>
      </w:r>
      <w:r w:rsidRPr="008E2854">
        <w:rPr>
          <w:rFonts w:ascii="Arial" w:eastAsiaTheme="minorHAnsi" w:hAnsi="Arial" w:cs="Arial"/>
          <w:bCs/>
          <w:sz w:val="22"/>
          <w:szCs w:val="22"/>
        </w:rPr>
        <w:t>drug users in a rural cent</w:t>
      </w:r>
      <w:r>
        <w:rPr>
          <w:rFonts w:ascii="Arial" w:eastAsiaTheme="minorHAnsi" w:hAnsi="Arial" w:cs="Arial"/>
          <w:bCs/>
          <w:sz w:val="22"/>
          <w:szCs w:val="22"/>
        </w:rPr>
        <w:t>er</w:t>
      </w:r>
      <w:r w:rsidRPr="008E2854">
        <w:rPr>
          <w:rFonts w:ascii="Arial" w:eastAsiaTheme="minorHAnsi" w:hAnsi="Arial" w:cs="Arial"/>
          <w:bCs/>
          <w:sz w:val="22"/>
          <w:szCs w:val="22"/>
        </w:rPr>
        <w:t xml:space="preserve">. </w:t>
      </w:r>
      <w:r>
        <w:rPr>
          <w:rFonts w:ascii="Arial" w:eastAsiaTheme="minorHAnsi" w:hAnsi="Arial" w:cs="Arial"/>
          <w:i/>
          <w:iCs/>
          <w:sz w:val="22"/>
          <w:szCs w:val="22"/>
        </w:rPr>
        <w:t>Drug and Al</w:t>
      </w:r>
      <w:r w:rsidRPr="008E2854">
        <w:rPr>
          <w:rFonts w:ascii="Arial" w:eastAsiaTheme="minorHAnsi" w:hAnsi="Arial" w:cs="Arial"/>
          <w:i/>
          <w:iCs/>
          <w:sz w:val="22"/>
          <w:szCs w:val="22"/>
        </w:rPr>
        <w:t>co</w:t>
      </w:r>
      <w:r>
        <w:rPr>
          <w:rFonts w:ascii="Arial" w:eastAsiaTheme="minorHAnsi" w:hAnsi="Arial" w:cs="Arial"/>
          <w:i/>
          <w:iCs/>
          <w:sz w:val="22"/>
          <w:szCs w:val="22"/>
        </w:rPr>
        <w:t>h</w:t>
      </w:r>
      <w:r w:rsidRPr="008E2854">
        <w:rPr>
          <w:rFonts w:ascii="Arial" w:eastAsiaTheme="minorHAnsi" w:hAnsi="Arial" w:cs="Arial"/>
          <w:i/>
          <w:iCs/>
          <w:sz w:val="22"/>
          <w:szCs w:val="22"/>
        </w:rPr>
        <w:t xml:space="preserve">ol Review </w:t>
      </w:r>
      <w:r>
        <w:rPr>
          <w:rFonts w:ascii="Arial" w:eastAsiaTheme="minorHAnsi" w:hAnsi="Arial" w:cs="Arial"/>
          <w:sz w:val="22"/>
          <w:szCs w:val="22"/>
        </w:rPr>
        <w:t xml:space="preserve">16: </w:t>
      </w:r>
      <w:r w:rsidRPr="008E2854">
        <w:rPr>
          <w:rFonts w:ascii="Arial" w:eastAsiaTheme="minorHAnsi" w:hAnsi="Arial" w:cs="Arial"/>
          <w:sz w:val="22"/>
          <w:szCs w:val="22"/>
        </w:rPr>
        <w:t>349-355</w:t>
      </w:r>
      <w:r>
        <w:rPr>
          <w:rFonts w:ascii="Arial" w:eastAsiaTheme="minorHAnsi" w:hAnsi="Arial" w:cs="Arial"/>
          <w:sz w:val="22"/>
          <w:szCs w:val="22"/>
        </w:rPr>
        <w:t>.</w:t>
      </w:r>
    </w:p>
    <w:p w14:paraId="67B14F72" w14:textId="77777777" w:rsidR="008E2854" w:rsidRPr="008E2854" w:rsidRDefault="008E2854" w:rsidP="008E2854">
      <w:pPr>
        <w:autoSpaceDE w:val="0"/>
        <w:autoSpaceDN w:val="0"/>
        <w:adjustRightInd w:val="0"/>
        <w:rPr>
          <w:rFonts w:ascii="Arial" w:eastAsiaTheme="minorHAnsi" w:hAnsi="Arial" w:cs="Arial"/>
          <w:sz w:val="22"/>
          <w:szCs w:val="22"/>
        </w:rPr>
      </w:pPr>
    </w:p>
    <w:p w14:paraId="04DFFD65" w14:textId="77777777" w:rsidR="008E2854" w:rsidRPr="008E2854" w:rsidRDefault="008E2854" w:rsidP="008E2854">
      <w:pPr>
        <w:autoSpaceDE w:val="0"/>
        <w:autoSpaceDN w:val="0"/>
        <w:adjustRightInd w:val="0"/>
        <w:rPr>
          <w:rFonts w:ascii="Arial" w:eastAsiaTheme="minorHAnsi" w:hAnsi="Arial" w:cs="Arial"/>
          <w:bCs/>
          <w:sz w:val="22"/>
          <w:szCs w:val="22"/>
        </w:rPr>
      </w:pPr>
      <w:r w:rsidRPr="008E2854">
        <w:rPr>
          <w:rFonts w:ascii="Arial" w:eastAsiaTheme="minorHAnsi" w:hAnsi="Arial" w:cs="Arial"/>
          <w:sz w:val="22"/>
          <w:szCs w:val="22"/>
        </w:rPr>
        <w:t xml:space="preserve">Willits, F., Luloff, A.E., and G.L. Theodori. </w:t>
      </w:r>
      <w:r w:rsidRPr="008E2854">
        <w:rPr>
          <w:rFonts w:ascii="Arial" w:eastAsiaTheme="minorHAnsi" w:hAnsi="Arial" w:cs="Arial"/>
          <w:bCs/>
          <w:sz w:val="22"/>
          <w:szCs w:val="22"/>
        </w:rPr>
        <w:t>Monitoring Controversial Environmental/</w:t>
      </w:r>
    </w:p>
    <w:p w14:paraId="6DE37EAF" w14:textId="703BD00C" w:rsidR="00495741" w:rsidRPr="008E2854" w:rsidRDefault="008E2854" w:rsidP="008E2854">
      <w:pPr>
        <w:autoSpaceDE w:val="0"/>
        <w:autoSpaceDN w:val="0"/>
        <w:adjustRightInd w:val="0"/>
        <w:rPr>
          <w:rFonts w:ascii="Arial" w:eastAsiaTheme="minorHAnsi" w:hAnsi="Arial" w:cs="Arial"/>
          <w:i/>
          <w:sz w:val="22"/>
          <w:szCs w:val="22"/>
        </w:rPr>
      </w:pPr>
      <w:r w:rsidRPr="008E2854">
        <w:rPr>
          <w:rFonts w:ascii="Arial" w:eastAsiaTheme="minorHAnsi" w:hAnsi="Arial" w:cs="Arial"/>
          <w:bCs/>
          <w:sz w:val="22"/>
          <w:szCs w:val="22"/>
        </w:rPr>
        <w:t>Natural Resource Issues: Differential</w:t>
      </w:r>
      <w:r>
        <w:rPr>
          <w:rFonts w:ascii="Arial" w:eastAsiaTheme="minorHAnsi" w:hAnsi="Arial" w:cs="Arial"/>
          <w:bCs/>
          <w:sz w:val="22"/>
          <w:szCs w:val="22"/>
        </w:rPr>
        <w:t xml:space="preserve"> </w:t>
      </w:r>
      <w:r w:rsidRPr="008E2854">
        <w:rPr>
          <w:rFonts w:ascii="Arial" w:eastAsiaTheme="minorHAnsi" w:hAnsi="Arial" w:cs="Arial"/>
          <w:bCs/>
          <w:sz w:val="22"/>
          <w:szCs w:val="22"/>
        </w:rPr>
        <w:t>Effects of Telephone and Mail Surveys</w:t>
      </w:r>
      <w:r>
        <w:rPr>
          <w:rFonts w:ascii="Arial" w:eastAsiaTheme="minorHAnsi" w:hAnsi="Arial" w:cs="Arial"/>
          <w:bCs/>
          <w:sz w:val="22"/>
          <w:szCs w:val="22"/>
        </w:rPr>
        <w:t>.</w:t>
      </w:r>
      <w:r w:rsidRPr="008E2854">
        <w:rPr>
          <w:rFonts w:ascii="Arial" w:eastAsiaTheme="minorHAnsi" w:hAnsi="Arial" w:cs="Arial"/>
          <w:bCs/>
          <w:sz w:val="22"/>
          <w:szCs w:val="22"/>
        </w:rPr>
        <w:t xml:space="preserve"> </w:t>
      </w:r>
      <w:r w:rsidRPr="008E2854">
        <w:rPr>
          <w:rFonts w:ascii="Arial" w:eastAsiaTheme="minorHAnsi" w:hAnsi="Arial" w:cs="Arial"/>
          <w:bCs/>
          <w:i/>
          <w:sz w:val="22"/>
          <w:szCs w:val="22"/>
        </w:rPr>
        <w:t xml:space="preserve">Society and Natural Resources </w:t>
      </w:r>
      <w:r w:rsidRPr="008E2854">
        <w:rPr>
          <w:rFonts w:ascii="Arial" w:eastAsiaTheme="minorHAnsi" w:hAnsi="Arial" w:cs="Arial"/>
          <w:sz w:val="22"/>
          <w:szCs w:val="22"/>
        </w:rPr>
        <w:t>27</w:t>
      </w:r>
      <w:r>
        <w:rPr>
          <w:rFonts w:ascii="Arial" w:eastAsiaTheme="minorHAnsi" w:hAnsi="Arial" w:cs="Arial"/>
          <w:sz w:val="22"/>
          <w:szCs w:val="22"/>
        </w:rPr>
        <w:t>(</w:t>
      </w:r>
      <w:r w:rsidRPr="008E2854">
        <w:rPr>
          <w:rFonts w:ascii="Arial" w:eastAsiaTheme="minorHAnsi" w:hAnsi="Arial" w:cs="Arial"/>
          <w:sz w:val="22"/>
          <w:szCs w:val="22"/>
        </w:rPr>
        <w:t>12</w:t>
      </w:r>
      <w:r>
        <w:rPr>
          <w:rFonts w:ascii="Arial" w:eastAsiaTheme="minorHAnsi" w:hAnsi="Arial" w:cs="Arial"/>
          <w:sz w:val="22"/>
          <w:szCs w:val="22"/>
        </w:rPr>
        <w:t xml:space="preserve">): </w:t>
      </w:r>
      <w:r w:rsidRPr="008E2854">
        <w:rPr>
          <w:rFonts w:ascii="Arial" w:eastAsiaTheme="minorHAnsi" w:hAnsi="Arial" w:cs="Arial"/>
          <w:sz w:val="22"/>
          <w:szCs w:val="22"/>
        </w:rPr>
        <w:t>1355-1358</w:t>
      </w:r>
      <w:r>
        <w:rPr>
          <w:rFonts w:ascii="Arial" w:eastAsiaTheme="minorHAnsi" w:hAnsi="Arial" w:cs="Arial"/>
          <w:sz w:val="22"/>
          <w:szCs w:val="22"/>
        </w:rPr>
        <w:t>.</w:t>
      </w:r>
    </w:p>
    <w:sectPr w:rsidR="00495741" w:rsidRPr="008E2854" w:rsidSect="008B04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B07D4" w14:textId="77777777" w:rsidR="004D35AA" w:rsidRDefault="004D35AA">
      <w:r>
        <w:separator/>
      </w:r>
    </w:p>
  </w:endnote>
  <w:endnote w:type="continuationSeparator" w:id="0">
    <w:p w14:paraId="278B67EF" w14:textId="77777777" w:rsidR="004D35AA" w:rsidRDefault="004D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469F" w14:textId="77777777" w:rsidR="008B04EE" w:rsidRDefault="002D24E2"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01473" w14:textId="77777777" w:rsidR="008B04EE" w:rsidRDefault="004D35AA"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297" w14:textId="77777777" w:rsidR="008B04EE" w:rsidRDefault="002D24E2"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1A87">
      <w:rPr>
        <w:rStyle w:val="PageNumber"/>
        <w:noProof/>
      </w:rPr>
      <w:t>3</w:t>
    </w:r>
    <w:r>
      <w:rPr>
        <w:rStyle w:val="PageNumber"/>
      </w:rPr>
      <w:fldChar w:fldCharType="end"/>
    </w:r>
  </w:p>
  <w:p w14:paraId="6961F1E1" w14:textId="77777777" w:rsidR="008B04EE" w:rsidRDefault="004D35AA" w:rsidP="008B04E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C2D25" w14:textId="77777777" w:rsidR="000C2FBD" w:rsidRDefault="000C2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4968" w14:textId="77777777" w:rsidR="004D35AA" w:rsidRDefault="004D35AA">
      <w:r>
        <w:separator/>
      </w:r>
    </w:p>
  </w:footnote>
  <w:footnote w:type="continuationSeparator" w:id="0">
    <w:p w14:paraId="0392CA25" w14:textId="77777777" w:rsidR="004D35AA" w:rsidRDefault="004D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1B9B5" w14:textId="77777777" w:rsidR="000C2FBD" w:rsidRDefault="000C2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0829F" w14:textId="77777777" w:rsidR="000C2FBD" w:rsidRDefault="000C2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59377" w14:textId="77777777" w:rsidR="000C2FBD" w:rsidRDefault="000C2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F5CC0"/>
    <w:multiLevelType w:val="hybridMultilevel"/>
    <w:tmpl w:val="1424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2316F"/>
    <w:multiLevelType w:val="hybridMultilevel"/>
    <w:tmpl w:val="37566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E2"/>
    <w:rsid w:val="0005326B"/>
    <w:rsid w:val="00080169"/>
    <w:rsid w:val="000C12BC"/>
    <w:rsid w:val="000C2FBD"/>
    <w:rsid w:val="000D42F4"/>
    <w:rsid w:val="000E24F9"/>
    <w:rsid w:val="001143D6"/>
    <w:rsid w:val="00140D76"/>
    <w:rsid w:val="001576FE"/>
    <w:rsid w:val="00190E0B"/>
    <w:rsid w:val="00201AA7"/>
    <w:rsid w:val="00212D71"/>
    <w:rsid w:val="002778BA"/>
    <w:rsid w:val="00297103"/>
    <w:rsid w:val="002C30C7"/>
    <w:rsid w:val="002D24E2"/>
    <w:rsid w:val="002D737C"/>
    <w:rsid w:val="002F318F"/>
    <w:rsid w:val="003839C8"/>
    <w:rsid w:val="003B4A74"/>
    <w:rsid w:val="003C4C2A"/>
    <w:rsid w:val="003C789C"/>
    <w:rsid w:val="00453E50"/>
    <w:rsid w:val="00495741"/>
    <w:rsid w:val="004A50F3"/>
    <w:rsid w:val="004B7564"/>
    <w:rsid w:val="004D35AA"/>
    <w:rsid w:val="004D3EC7"/>
    <w:rsid w:val="0051774D"/>
    <w:rsid w:val="00571863"/>
    <w:rsid w:val="005C2AD0"/>
    <w:rsid w:val="005C6D4C"/>
    <w:rsid w:val="00604DC3"/>
    <w:rsid w:val="006411F1"/>
    <w:rsid w:val="00650C02"/>
    <w:rsid w:val="006B175A"/>
    <w:rsid w:val="007169BE"/>
    <w:rsid w:val="007256F1"/>
    <w:rsid w:val="00784D74"/>
    <w:rsid w:val="007B795B"/>
    <w:rsid w:val="007C0C3A"/>
    <w:rsid w:val="007F1751"/>
    <w:rsid w:val="00837C6D"/>
    <w:rsid w:val="00853220"/>
    <w:rsid w:val="008A6EBA"/>
    <w:rsid w:val="008B6F65"/>
    <w:rsid w:val="008E2854"/>
    <w:rsid w:val="00960BAE"/>
    <w:rsid w:val="00961652"/>
    <w:rsid w:val="00963561"/>
    <w:rsid w:val="00983FB1"/>
    <w:rsid w:val="00A705A3"/>
    <w:rsid w:val="00AC447D"/>
    <w:rsid w:val="00AD4A8D"/>
    <w:rsid w:val="00B01360"/>
    <w:rsid w:val="00B17821"/>
    <w:rsid w:val="00B22914"/>
    <w:rsid w:val="00B22B07"/>
    <w:rsid w:val="00B26727"/>
    <w:rsid w:val="00C87BB8"/>
    <w:rsid w:val="00CA181F"/>
    <w:rsid w:val="00CE64DB"/>
    <w:rsid w:val="00D02A5D"/>
    <w:rsid w:val="00D264BE"/>
    <w:rsid w:val="00DA560A"/>
    <w:rsid w:val="00DE4A80"/>
    <w:rsid w:val="00E63B1C"/>
    <w:rsid w:val="00E742EF"/>
    <w:rsid w:val="00E91961"/>
    <w:rsid w:val="00EA1C36"/>
    <w:rsid w:val="00EA1DA7"/>
    <w:rsid w:val="00EB0303"/>
    <w:rsid w:val="00F42070"/>
    <w:rsid w:val="00F51A87"/>
    <w:rsid w:val="00F557E9"/>
    <w:rsid w:val="00FC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9C2E8"/>
  <w15:docId w15:val="{9CFF41E6-7AF1-4E66-B813-373AE2F1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24E2"/>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2D24E2"/>
    <w:rPr>
      <w:rFonts w:ascii="Times New Roman" w:eastAsia="Times New Roman" w:hAnsi="Times New Roman" w:cs="Times New Roman"/>
      <w:sz w:val="20"/>
      <w:szCs w:val="20"/>
    </w:rPr>
  </w:style>
  <w:style w:type="character" w:styleId="PageNumber">
    <w:name w:val="page number"/>
    <w:basedOn w:val="DefaultParagraphFont"/>
    <w:rsid w:val="002D24E2"/>
  </w:style>
  <w:style w:type="paragraph" w:styleId="NormalWeb">
    <w:name w:val="Normal (Web)"/>
    <w:basedOn w:val="Normal"/>
    <w:uiPriority w:val="99"/>
    <w:rsid w:val="002D24E2"/>
    <w:pPr>
      <w:spacing w:before="100" w:beforeAutospacing="1" w:after="100" w:afterAutospacing="1"/>
    </w:pPr>
  </w:style>
  <w:style w:type="character" w:styleId="Strong">
    <w:name w:val="Strong"/>
    <w:uiPriority w:val="22"/>
    <w:qFormat/>
    <w:rsid w:val="002D24E2"/>
    <w:rPr>
      <w:b/>
      <w:bCs/>
    </w:rPr>
  </w:style>
  <w:style w:type="character" w:customStyle="1" w:styleId="apple-converted-space">
    <w:name w:val="apple-converted-space"/>
    <w:rsid w:val="002D24E2"/>
  </w:style>
  <w:style w:type="paragraph" w:styleId="BalloonText">
    <w:name w:val="Balloon Text"/>
    <w:basedOn w:val="Normal"/>
    <w:link w:val="BalloonTextChar"/>
    <w:uiPriority w:val="99"/>
    <w:semiHidden/>
    <w:unhideWhenUsed/>
    <w:rsid w:val="00B26727"/>
    <w:rPr>
      <w:rFonts w:ascii="Tahoma" w:hAnsi="Tahoma" w:cs="Tahoma"/>
      <w:sz w:val="16"/>
      <w:szCs w:val="16"/>
    </w:rPr>
  </w:style>
  <w:style w:type="character" w:customStyle="1" w:styleId="BalloonTextChar">
    <w:name w:val="Balloon Text Char"/>
    <w:basedOn w:val="DefaultParagraphFont"/>
    <w:link w:val="BalloonText"/>
    <w:uiPriority w:val="99"/>
    <w:semiHidden/>
    <w:rsid w:val="00B26727"/>
    <w:rPr>
      <w:rFonts w:ascii="Tahoma" w:eastAsia="Times New Roman" w:hAnsi="Tahoma" w:cs="Tahoma"/>
      <w:sz w:val="16"/>
      <w:szCs w:val="16"/>
    </w:rPr>
  </w:style>
  <w:style w:type="table" w:styleId="TableGrid">
    <w:name w:val="Table Grid"/>
    <w:basedOn w:val="TableNormal"/>
    <w:uiPriority w:val="59"/>
    <w:rsid w:val="0057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C02"/>
    <w:pPr>
      <w:ind w:left="720"/>
      <w:contextualSpacing/>
    </w:pPr>
  </w:style>
  <w:style w:type="character" w:styleId="CommentReference">
    <w:name w:val="annotation reference"/>
    <w:basedOn w:val="DefaultParagraphFont"/>
    <w:uiPriority w:val="99"/>
    <w:semiHidden/>
    <w:unhideWhenUsed/>
    <w:rsid w:val="00604DC3"/>
    <w:rPr>
      <w:sz w:val="16"/>
      <w:szCs w:val="16"/>
    </w:rPr>
  </w:style>
  <w:style w:type="paragraph" w:styleId="CommentText">
    <w:name w:val="annotation text"/>
    <w:basedOn w:val="Normal"/>
    <w:link w:val="CommentTextChar"/>
    <w:uiPriority w:val="99"/>
    <w:semiHidden/>
    <w:unhideWhenUsed/>
    <w:rsid w:val="00604DC3"/>
    <w:rPr>
      <w:sz w:val="20"/>
      <w:szCs w:val="20"/>
    </w:rPr>
  </w:style>
  <w:style w:type="character" w:customStyle="1" w:styleId="CommentTextChar">
    <w:name w:val="Comment Text Char"/>
    <w:basedOn w:val="DefaultParagraphFont"/>
    <w:link w:val="CommentText"/>
    <w:uiPriority w:val="99"/>
    <w:semiHidden/>
    <w:rsid w:val="00604D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4DC3"/>
    <w:rPr>
      <w:b/>
      <w:bCs/>
    </w:rPr>
  </w:style>
  <w:style w:type="character" w:customStyle="1" w:styleId="CommentSubjectChar">
    <w:name w:val="Comment Subject Char"/>
    <w:basedOn w:val="CommentTextChar"/>
    <w:link w:val="CommentSubject"/>
    <w:uiPriority w:val="99"/>
    <w:semiHidden/>
    <w:rsid w:val="00604D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C2FBD"/>
    <w:pPr>
      <w:tabs>
        <w:tab w:val="center" w:pos="4680"/>
        <w:tab w:val="right" w:pos="9360"/>
      </w:tabs>
    </w:pPr>
  </w:style>
  <w:style w:type="character" w:customStyle="1" w:styleId="HeaderChar">
    <w:name w:val="Header Char"/>
    <w:basedOn w:val="DefaultParagraphFont"/>
    <w:link w:val="Header"/>
    <w:uiPriority w:val="99"/>
    <w:rsid w:val="000C2F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889">
      <w:bodyDiv w:val="1"/>
      <w:marLeft w:val="0"/>
      <w:marRight w:val="0"/>
      <w:marTop w:val="0"/>
      <w:marBottom w:val="0"/>
      <w:divBdr>
        <w:top w:val="none" w:sz="0" w:space="0" w:color="auto"/>
        <w:left w:val="none" w:sz="0" w:space="0" w:color="auto"/>
        <w:bottom w:val="none" w:sz="0" w:space="0" w:color="auto"/>
        <w:right w:val="none" w:sz="0" w:space="0" w:color="auto"/>
      </w:divBdr>
    </w:div>
    <w:div w:id="18553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Webb</dc:creator>
  <cp:lastModifiedBy>Hope</cp:lastModifiedBy>
  <cp:revision>3</cp:revision>
  <dcterms:created xsi:type="dcterms:W3CDTF">2015-02-05T01:55:00Z</dcterms:created>
  <dcterms:modified xsi:type="dcterms:W3CDTF">2015-02-05T15:20:00Z</dcterms:modified>
</cp:coreProperties>
</file>