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6C6" w:rsidRDefault="00AA56C6" w:rsidP="003F200F">
      <w:pPr>
        <w:tabs>
          <w:tab w:val="clear" w:pos="432"/>
          <w:tab w:val="left" w:pos="-1080"/>
          <w:tab w:val="left" w:pos="7920"/>
        </w:tabs>
        <w:spacing w:line="240" w:lineRule="auto"/>
        <w:ind w:firstLine="0"/>
        <w:outlineLvl w:val="0"/>
        <w:rPr>
          <w:rFonts w:ascii="Arial" w:hAnsi="Arial"/>
          <w:b/>
        </w:rPr>
      </w:pPr>
      <w:r>
        <w:rPr>
          <w:rFonts w:ascii="Arial" w:hAnsi="Arial"/>
          <w:b/>
        </w:rPr>
        <w:t>MEMORANDUM</w:t>
      </w:r>
    </w:p>
    <w:p w:rsidR="00AA56C6" w:rsidRPr="00E56C08" w:rsidRDefault="00AA56C6" w:rsidP="00AA56C6">
      <w:pPr>
        <w:tabs>
          <w:tab w:val="clear" w:pos="432"/>
          <w:tab w:val="left" w:pos="-1080"/>
          <w:tab w:val="left" w:pos="8010"/>
        </w:tabs>
        <w:spacing w:line="192" w:lineRule="auto"/>
        <w:ind w:firstLine="0"/>
        <w:rPr>
          <w:sz w:val="16"/>
          <w:szCs w:val="16"/>
        </w:rPr>
      </w:pPr>
      <w:r>
        <w:rPr>
          <w:rFonts w:ascii="Arial" w:hAnsi="Arial"/>
          <w:b/>
        </w:rPr>
        <w:tab/>
      </w:r>
    </w:p>
    <w:p w:rsidR="00AA56C6" w:rsidRDefault="00AA56C6" w:rsidP="00AA56C6">
      <w:pPr>
        <w:widowControl w:val="0"/>
        <w:tabs>
          <w:tab w:val="clear" w:pos="432"/>
          <w:tab w:val="left" w:pos="1440"/>
          <w:tab w:val="left" w:pos="7470"/>
        </w:tabs>
        <w:spacing w:line="240" w:lineRule="auto"/>
        <w:ind w:right="2923" w:firstLine="0"/>
        <w:rPr>
          <w:rFonts w:ascii="Arial" w:hAnsi="Arial"/>
          <w:b/>
          <w:sz w:val="20"/>
        </w:rPr>
      </w:pPr>
    </w:p>
    <w:p w:rsidR="00450E21" w:rsidRDefault="00450E21" w:rsidP="00AA56C6">
      <w:pPr>
        <w:widowControl w:val="0"/>
        <w:tabs>
          <w:tab w:val="clear" w:pos="432"/>
          <w:tab w:val="left" w:pos="1440"/>
          <w:tab w:val="left" w:pos="7470"/>
        </w:tabs>
        <w:spacing w:line="240" w:lineRule="auto"/>
        <w:ind w:right="2923" w:firstLine="0"/>
        <w:rPr>
          <w:rFonts w:ascii="Arial" w:hAnsi="Arial"/>
          <w:b/>
          <w:sz w:val="20"/>
        </w:rPr>
      </w:pPr>
    </w:p>
    <w:p w:rsidR="00AA56C6" w:rsidRDefault="00AA56C6" w:rsidP="00AA56C6">
      <w:pPr>
        <w:widowControl w:val="0"/>
        <w:tabs>
          <w:tab w:val="clear" w:pos="432"/>
          <w:tab w:val="left" w:pos="1440"/>
          <w:tab w:val="left" w:pos="7470"/>
        </w:tabs>
        <w:spacing w:line="240" w:lineRule="auto"/>
        <w:ind w:right="2923" w:firstLine="0"/>
        <w:rPr>
          <w:rFonts w:ascii="Arial" w:hAnsi="Arial"/>
          <w:b/>
          <w:sz w:val="16"/>
          <w:szCs w:val="16"/>
        </w:rPr>
      </w:pPr>
    </w:p>
    <w:p w:rsidR="00AA56C6" w:rsidRPr="009025BD" w:rsidRDefault="00AA56C6" w:rsidP="00AA56C6">
      <w:pPr>
        <w:widowControl w:val="0"/>
        <w:tabs>
          <w:tab w:val="clear" w:pos="432"/>
          <w:tab w:val="left" w:pos="1440"/>
          <w:tab w:val="left" w:pos="7470"/>
        </w:tabs>
        <w:spacing w:line="240" w:lineRule="auto"/>
        <w:ind w:right="2923" w:firstLine="0"/>
        <w:rPr>
          <w:b/>
          <w:sz w:val="20"/>
        </w:rPr>
        <w:sectPr w:rsidR="00AA56C6" w:rsidRPr="009025BD" w:rsidSect="009025BD">
          <w:headerReference w:type="default" r:id="rId12"/>
          <w:headerReference w:type="first" r:id="rId13"/>
          <w:footerReference w:type="first" r:id="rId14"/>
          <w:type w:val="continuous"/>
          <w:pgSz w:w="12240" w:h="15840" w:code="1"/>
          <w:pgMar w:top="1080" w:right="965" w:bottom="1080" w:left="965" w:header="720" w:footer="720" w:gutter="0"/>
          <w:paperSrc w:first="3" w:other="3"/>
          <w:cols w:num="2" w:space="720"/>
          <w:titlePg/>
        </w:sectPr>
      </w:pPr>
      <w:bookmarkStart w:id="0" w:name="MPRAddress"/>
      <w:bookmarkEnd w:id="0"/>
    </w:p>
    <w:p w:rsidR="00C1478C" w:rsidRDefault="00206A25" w:rsidP="00523FC7">
      <w:pPr>
        <w:widowControl w:val="0"/>
        <w:tabs>
          <w:tab w:val="clear" w:pos="432"/>
          <w:tab w:val="left" w:pos="1440"/>
          <w:tab w:val="left" w:pos="7470"/>
        </w:tabs>
        <w:spacing w:line="240" w:lineRule="auto"/>
        <w:ind w:left="1440" w:right="410" w:hanging="1440"/>
      </w:pPr>
      <w:r>
        <w:rPr>
          <w:rFonts w:ascii="Arial" w:hAnsi="Arial"/>
          <w:b/>
          <w:sz w:val="20"/>
        </w:rPr>
        <w:lastRenderedPageBreak/>
        <w:t>TO:</w:t>
      </w:r>
      <w:r>
        <w:tab/>
      </w:r>
      <w:bookmarkStart w:id="1" w:name="ToList"/>
      <w:bookmarkEnd w:id="1"/>
      <w:r w:rsidR="00523FC7" w:rsidRPr="00523FC7">
        <w:t>Brenda Aguilar; Office of Information and Regulatory Affairs (OIRA)</w:t>
      </w:r>
    </w:p>
    <w:p w:rsidR="00C1478C" w:rsidRDefault="00C1478C" w:rsidP="00523FC7">
      <w:pPr>
        <w:widowControl w:val="0"/>
        <w:tabs>
          <w:tab w:val="clear" w:pos="432"/>
          <w:tab w:val="left" w:pos="1440"/>
          <w:tab w:val="left" w:pos="7380"/>
          <w:tab w:val="right" w:pos="9720"/>
        </w:tabs>
        <w:spacing w:line="240" w:lineRule="auto"/>
        <w:ind w:left="-446" w:right="410" w:firstLine="446"/>
        <w:rPr>
          <w:rFonts w:ascii="Arial" w:hAnsi="Arial"/>
          <w:b/>
          <w:sz w:val="20"/>
        </w:rPr>
      </w:pPr>
    </w:p>
    <w:p w:rsidR="00523FC7" w:rsidRDefault="00206A25" w:rsidP="00523FC7">
      <w:pPr>
        <w:widowControl w:val="0"/>
        <w:tabs>
          <w:tab w:val="clear" w:pos="432"/>
          <w:tab w:val="left" w:pos="1440"/>
          <w:tab w:val="left" w:pos="8010"/>
          <w:tab w:val="right" w:pos="9720"/>
        </w:tabs>
        <w:spacing w:before="40" w:line="240" w:lineRule="auto"/>
        <w:ind w:left="1440" w:right="410" w:hanging="1440"/>
        <w:outlineLvl w:val="0"/>
      </w:pPr>
      <w:r>
        <w:rPr>
          <w:rFonts w:ascii="Arial" w:hAnsi="Arial"/>
          <w:b/>
          <w:sz w:val="20"/>
        </w:rPr>
        <w:t>FROM:</w:t>
      </w:r>
      <w:r>
        <w:tab/>
      </w:r>
      <w:bookmarkStart w:id="2" w:name="From"/>
      <w:bookmarkEnd w:id="2"/>
      <w:r w:rsidR="00733038" w:rsidRPr="00523FC7">
        <w:t>Maria W</w:t>
      </w:r>
      <w:r w:rsidR="00170925" w:rsidRPr="00523FC7">
        <w:t>o</w:t>
      </w:r>
      <w:r w:rsidR="00733038" w:rsidRPr="00523FC7">
        <w:t>olverton</w:t>
      </w:r>
      <w:r w:rsidR="00523FC7" w:rsidRPr="00523FC7">
        <w:t>; Office of Planning, Research and Evaluation (OPRE); Administration for Children and Families (ACF)</w:t>
      </w:r>
      <w:bookmarkStart w:id="3" w:name="_GoBack"/>
      <w:bookmarkEnd w:id="3"/>
      <w:r>
        <w:tab/>
      </w:r>
    </w:p>
    <w:p w:rsidR="00523FC7" w:rsidRDefault="00523FC7" w:rsidP="00523FC7">
      <w:pPr>
        <w:widowControl w:val="0"/>
        <w:tabs>
          <w:tab w:val="clear" w:pos="432"/>
          <w:tab w:val="left" w:pos="1440"/>
          <w:tab w:val="left" w:pos="8010"/>
          <w:tab w:val="right" w:pos="9720"/>
        </w:tabs>
        <w:spacing w:before="40" w:line="240" w:lineRule="auto"/>
        <w:ind w:right="410" w:firstLine="0"/>
        <w:outlineLvl w:val="0"/>
      </w:pPr>
    </w:p>
    <w:p w:rsidR="00C1478C" w:rsidRDefault="00206A25" w:rsidP="00523FC7">
      <w:pPr>
        <w:widowControl w:val="0"/>
        <w:tabs>
          <w:tab w:val="clear" w:pos="432"/>
          <w:tab w:val="left" w:pos="1440"/>
          <w:tab w:val="left" w:pos="8010"/>
          <w:tab w:val="right" w:pos="9720"/>
        </w:tabs>
        <w:spacing w:before="40" w:line="240" w:lineRule="auto"/>
        <w:ind w:right="410" w:firstLine="0"/>
        <w:outlineLvl w:val="0"/>
        <w:rPr>
          <w:b/>
          <w:w w:val="107"/>
          <w:sz w:val="16"/>
        </w:rPr>
      </w:pPr>
      <w:r>
        <w:rPr>
          <w:rFonts w:ascii="Arial" w:hAnsi="Arial"/>
          <w:b/>
          <w:sz w:val="20"/>
        </w:rPr>
        <w:t>DATE:</w:t>
      </w:r>
      <w:r w:rsidR="00F05F60">
        <w:t xml:space="preserve"> </w:t>
      </w:r>
      <w:r w:rsidR="00523FC7">
        <w:tab/>
      </w:r>
      <w:r w:rsidR="00C8378F">
        <w:t>10</w:t>
      </w:r>
      <w:r w:rsidR="00F05F60">
        <w:t>/</w:t>
      </w:r>
      <w:r w:rsidR="00C8378F">
        <w:t>8</w:t>
      </w:r>
      <w:r w:rsidR="00F05F60">
        <w:t>/</w:t>
      </w:r>
      <w:bookmarkStart w:id="4" w:name="DateMark"/>
      <w:bookmarkEnd w:id="4"/>
      <w:r w:rsidR="003C6B57">
        <w:t>2014</w:t>
      </w:r>
    </w:p>
    <w:p w:rsidR="00C1478C" w:rsidRDefault="00206A25" w:rsidP="00523FC7">
      <w:pPr>
        <w:widowControl w:val="0"/>
        <w:tabs>
          <w:tab w:val="clear" w:pos="432"/>
          <w:tab w:val="left" w:pos="1440"/>
          <w:tab w:val="left" w:pos="8010"/>
        </w:tabs>
        <w:spacing w:line="240" w:lineRule="auto"/>
        <w:ind w:left="-446" w:right="410" w:firstLine="446"/>
      </w:pPr>
      <w:r>
        <w:tab/>
      </w:r>
      <w:r>
        <w:tab/>
      </w:r>
      <w:bookmarkStart w:id="5" w:name="MemoNumber"/>
      <w:bookmarkEnd w:id="5"/>
    </w:p>
    <w:p w:rsidR="002E2941" w:rsidRDefault="00206A25" w:rsidP="00523FC7">
      <w:pPr>
        <w:pStyle w:val="Default"/>
        <w:ind w:left="1440" w:right="410" w:hanging="1440"/>
        <w:rPr>
          <w:sz w:val="22"/>
          <w:szCs w:val="22"/>
        </w:rPr>
      </w:pPr>
      <w:r>
        <w:rPr>
          <w:rFonts w:ascii="Arial" w:hAnsi="Arial"/>
          <w:b/>
          <w:sz w:val="20"/>
        </w:rPr>
        <w:t>SUBJECT</w:t>
      </w:r>
      <w:r>
        <w:t>:</w:t>
      </w:r>
      <w:bookmarkStart w:id="6" w:name="Subject"/>
      <w:bookmarkEnd w:id="6"/>
      <w:r w:rsidR="00523FC7">
        <w:tab/>
      </w:r>
      <w:r w:rsidR="003C6B57">
        <w:t>Request for non-substantive change</w:t>
      </w:r>
      <w:r w:rsidR="00356C27">
        <w:t xml:space="preserve"> to</w:t>
      </w:r>
      <w:r w:rsidR="003C6B57">
        <w:t xml:space="preserve"> </w:t>
      </w:r>
      <w:r w:rsidR="00356C27">
        <w:t>“</w:t>
      </w:r>
      <w:r w:rsidR="003C6B57" w:rsidRPr="00143718">
        <w:rPr>
          <w:i/>
          <w:sz w:val="22"/>
          <w:szCs w:val="22"/>
        </w:rPr>
        <w:t>Building Capacity to Evaluate Interventions for Youth/Young Adults with Child Welfare Involvement at Risk of Homelessness</w:t>
      </w:r>
      <w:r w:rsidR="00356C27">
        <w:rPr>
          <w:sz w:val="22"/>
          <w:szCs w:val="22"/>
        </w:rPr>
        <w:t>”</w:t>
      </w:r>
      <w:r w:rsidR="00AB2226">
        <w:rPr>
          <w:sz w:val="22"/>
          <w:szCs w:val="22"/>
        </w:rPr>
        <w:t>.</w:t>
      </w:r>
      <w:r w:rsidR="00356C27">
        <w:rPr>
          <w:sz w:val="22"/>
          <w:szCs w:val="22"/>
        </w:rPr>
        <w:t xml:space="preserve"> </w:t>
      </w:r>
      <w:r w:rsidR="003C6B57">
        <w:rPr>
          <w:sz w:val="22"/>
          <w:szCs w:val="22"/>
        </w:rPr>
        <w:t xml:space="preserve">OMB </w:t>
      </w:r>
      <w:r w:rsidR="00356C27">
        <w:rPr>
          <w:sz w:val="22"/>
          <w:szCs w:val="22"/>
        </w:rPr>
        <w:t>a</w:t>
      </w:r>
      <w:r w:rsidR="003C6B57">
        <w:rPr>
          <w:sz w:val="22"/>
          <w:szCs w:val="22"/>
        </w:rPr>
        <w:t>pproval</w:t>
      </w:r>
      <w:r w:rsidR="003C6B57" w:rsidRPr="00143718">
        <w:rPr>
          <w:sz w:val="22"/>
          <w:szCs w:val="22"/>
        </w:rPr>
        <w:t xml:space="preserve"> # </w:t>
      </w:r>
      <w:r w:rsidR="00F14BB3" w:rsidRPr="00AB2226">
        <w:rPr>
          <w:sz w:val="22"/>
          <w:szCs w:val="22"/>
        </w:rPr>
        <w:t>0970-</w:t>
      </w:r>
      <w:r w:rsidR="00AB2226" w:rsidRPr="00AB2226">
        <w:rPr>
          <w:sz w:val="22"/>
          <w:szCs w:val="22"/>
        </w:rPr>
        <w:t>0445</w:t>
      </w:r>
    </w:p>
    <w:p w:rsidR="00C1478C" w:rsidRPr="00AB2226" w:rsidRDefault="00523FC7" w:rsidP="003C6B57">
      <w:pPr>
        <w:widowControl w:val="0"/>
        <w:tabs>
          <w:tab w:val="clear" w:pos="432"/>
          <w:tab w:val="left" w:pos="1440"/>
          <w:tab w:val="left" w:pos="7380"/>
        </w:tabs>
        <w:spacing w:line="240" w:lineRule="auto"/>
        <w:ind w:left="1440" w:right="2923" w:hanging="1440"/>
        <w:rPr>
          <w:noProof/>
        </w:rPr>
      </w:pPr>
      <w:r>
        <w:rPr>
          <w:noProof/>
        </w:rPr>
        <w:pict>
          <v:line id="_x0000_s1027" style="position:absolute;left:0;text-align:left;z-index:251657216" from="0,10.05pt" to="527.75pt,10.05pt" o:allowincell="f"/>
        </w:pict>
      </w:r>
    </w:p>
    <w:p w:rsidR="00C1478C" w:rsidRPr="00AB2226" w:rsidRDefault="00C1478C">
      <w:pPr>
        <w:pStyle w:val="NormalSS"/>
        <w:sectPr w:rsidR="00C1478C" w:rsidRPr="00AB2226">
          <w:headerReference w:type="default" r:id="rId15"/>
          <w:footerReference w:type="first" r:id="rId16"/>
          <w:type w:val="continuous"/>
          <w:pgSz w:w="12240" w:h="15840" w:code="1"/>
          <w:pgMar w:top="1080" w:right="965" w:bottom="1080" w:left="965" w:header="720" w:footer="720" w:gutter="0"/>
          <w:paperSrc w:first="3" w:other="3"/>
          <w:cols w:space="720"/>
          <w:titlePg/>
        </w:sectPr>
      </w:pPr>
    </w:p>
    <w:p w:rsidR="002E2941" w:rsidRDefault="003C6B57" w:rsidP="00523FC7">
      <w:pPr>
        <w:pStyle w:val="NormalSS"/>
        <w:spacing w:before="600"/>
        <w:ind w:firstLine="0"/>
      </w:pPr>
      <w:bookmarkStart w:id="7" w:name="StartingPoint"/>
      <w:bookmarkEnd w:id="7"/>
      <w:r w:rsidRPr="00AB2226">
        <w:lastRenderedPageBreak/>
        <w:t>This memo requests approval for a non-substantive change to “</w:t>
      </w:r>
      <w:r w:rsidR="00E648A9">
        <w:rPr>
          <w:i/>
        </w:rPr>
        <w:t xml:space="preserve">Planning Grans to </w:t>
      </w:r>
      <w:proofErr w:type="spellStart"/>
      <w:r w:rsidR="00E648A9">
        <w:rPr>
          <w:i/>
        </w:rPr>
        <w:t>Devlop</w:t>
      </w:r>
      <w:proofErr w:type="spellEnd"/>
      <w:r w:rsidR="00E648A9">
        <w:rPr>
          <w:i/>
        </w:rPr>
        <w:t xml:space="preserve"> a Model Intervention for Youth/Young Adults with Child Welfare Involvement At-Risk of Homelessness</w:t>
      </w:r>
      <w:r w:rsidR="00356C27">
        <w:t>”</w:t>
      </w:r>
      <w:r w:rsidRPr="00AB2226">
        <w:t xml:space="preserve"> </w:t>
      </w:r>
      <w:r w:rsidRPr="00AB2226">
        <w:rPr>
          <w:b/>
        </w:rPr>
        <w:t>OMB Control #</w:t>
      </w:r>
      <w:r w:rsidRPr="00AB2226">
        <w:t xml:space="preserve"> </w:t>
      </w:r>
      <w:r w:rsidR="00AB2226" w:rsidRPr="00AB2226">
        <w:rPr>
          <w:b/>
        </w:rPr>
        <w:t>0970</w:t>
      </w:r>
      <w:r w:rsidR="00F14BB3" w:rsidRPr="00AB2226">
        <w:rPr>
          <w:b/>
        </w:rPr>
        <w:t>-</w:t>
      </w:r>
      <w:r w:rsidR="00AB2226" w:rsidRPr="00AB2226">
        <w:rPr>
          <w:b/>
        </w:rPr>
        <w:t>0445</w:t>
      </w:r>
      <w:r w:rsidRPr="00C51152">
        <w:rPr>
          <w:b/>
        </w:rPr>
        <w:t>.</w:t>
      </w:r>
      <w:r w:rsidRPr="007A5A52">
        <w:t xml:space="preserve"> The current request is for approval of </w:t>
      </w:r>
      <w:r w:rsidR="00EC7A71" w:rsidRPr="00EC7A71">
        <w:rPr>
          <w:b/>
          <w:bCs/>
          <w:i/>
          <w:iCs/>
        </w:rPr>
        <w:t xml:space="preserve">Discussion Guide for Interviews </w:t>
      </w:r>
      <w:r w:rsidR="00EC7A71" w:rsidRPr="00C8378F">
        <w:rPr>
          <w:bCs/>
          <w:iCs/>
        </w:rPr>
        <w:t>and</w:t>
      </w:r>
      <w:r w:rsidR="00EC7A71" w:rsidRPr="00EC7A71">
        <w:rPr>
          <w:b/>
          <w:bCs/>
          <w:i/>
          <w:iCs/>
        </w:rPr>
        <w:t xml:space="preserve"> </w:t>
      </w:r>
      <w:r w:rsidR="00C8378F">
        <w:rPr>
          <w:b/>
          <w:bCs/>
          <w:i/>
          <w:iCs/>
        </w:rPr>
        <w:t xml:space="preserve">Discussion Guide for </w:t>
      </w:r>
      <w:r w:rsidR="00EC7A71" w:rsidRPr="00EC7A71">
        <w:rPr>
          <w:b/>
          <w:bCs/>
          <w:i/>
          <w:iCs/>
        </w:rPr>
        <w:t>Focus Groups</w:t>
      </w:r>
      <w:r w:rsidRPr="007A5A52">
        <w:rPr>
          <w:b/>
          <w:bCs/>
          <w:iCs/>
        </w:rPr>
        <w:t xml:space="preserve"> </w:t>
      </w:r>
      <w:r w:rsidRPr="007A5A52">
        <w:rPr>
          <w:bCs/>
          <w:iCs/>
        </w:rPr>
        <w:t>developed for</w:t>
      </w:r>
      <w:r w:rsidRPr="007A5A52">
        <w:t xml:space="preserve"> administration in </w:t>
      </w:r>
      <w:r w:rsidRPr="004272BD">
        <w:t>winter 2015.</w:t>
      </w:r>
    </w:p>
    <w:p w:rsidR="002E2941" w:rsidRDefault="003C6B57">
      <w:pPr>
        <w:pStyle w:val="Heading2Memo"/>
        <w:rPr>
          <w:bCs/>
        </w:rPr>
      </w:pPr>
      <w:r w:rsidRPr="007A5A52">
        <w:rPr>
          <w:bCs/>
        </w:rPr>
        <w:t>Background and Justification</w:t>
      </w:r>
    </w:p>
    <w:p w:rsidR="002E2941" w:rsidRDefault="00EC7A71" w:rsidP="00523FC7">
      <w:pPr>
        <w:pStyle w:val="NormalSS"/>
        <w:ind w:firstLine="0"/>
      </w:pPr>
      <w:r w:rsidRPr="00EC7A71">
        <w:t xml:space="preserve">Approval for the informed consent document, baseline and follow-up survey administration, and email and communication letters was granted on March 12, 2014.  In response to the comment from OIRA, quoted below, the site visit content and burden hours were described in the Supporting Statements of the original ICR. We are now submitting the final site visit </w:t>
      </w:r>
      <w:r w:rsidR="00E648A9">
        <w:t>discussion guides</w:t>
      </w:r>
      <w:r w:rsidRPr="00EC7A71">
        <w:t>, and requesting approval as a non-substantive change. We note, as before, that the anticipated burden for site visit protocols (semi-structured interviews and focus group guides) was presented in the 60-day federal register notice for this package, but not in the 30-day notice. The currently anticipated burden is significantly lower than what was described in the 60-day notice. The 60-day notice included an estimate of 405 annual burden hours for each protocol. We now anticipate total annual burden hours of 68 for the semi-structured interviews and 162</w:t>
      </w:r>
      <w:r w:rsidR="00356C27">
        <w:t> </w:t>
      </w:r>
      <w:r w:rsidRPr="00EC7A71">
        <w:t xml:space="preserve">hours </w:t>
      </w:r>
      <w:proofErr w:type="gramStart"/>
      <w:r w:rsidRPr="00EC7A71">
        <w:t>for</w:t>
      </w:r>
      <w:proofErr w:type="gramEnd"/>
      <w:r w:rsidRPr="00EC7A71">
        <w:t xml:space="preserve"> focus groups.  </w:t>
      </w:r>
    </w:p>
    <w:p w:rsidR="002E2941" w:rsidRDefault="00733038">
      <w:pPr>
        <w:pStyle w:val="Heading2Memo"/>
      </w:pPr>
      <w:r>
        <w:t>OIRA C</w:t>
      </w:r>
      <w:r w:rsidRPr="00733038">
        <w:t>omment</w:t>
      </w:r>
    </w:p>
    <w:p w:rsidR="002E2941" w:rsidRDefault="00EC7A71">
      <w:pPr>
        <w:pStyle w:val="Bullet"/>
        <w:numPr>
          <w:ilvl w:val="0"/>
          <w:numId w:val="0"/>
        </w:numPr>
        <w:ind w:left="720" w:right="720"/>
        <w:jc w:val="left"/>
        <w:rPr>
          <w:i/>
        </w:rPr>
      </w:pPr>
      <w:r w:rsidRPr="00EC7A71">
        <w:rPr>
          <w:i/>
        </w:rPr>
        <w:t xml:space="preserve">I see that a separate ICR will be submitted for the site visit component of this planning study. I wonder if the agency had considered describing the site visits content and including the burden hours for that activity in this submission, with the protocols to be submitted as a </w:t>
      </w:r>
      <w:proofErr w:type="spellStart"/>
      <w:r w:rsidRPr="00EC7A71">
        <w:rPr>
          <w:i/>
        </w:rPr>
        <w:t>nonsub</w:t>
      </w:r>
      <w:proofErr w:type="spellEnd"/>
      <w:r w:rsidRPr="00EC7A71">
        <w:rPr>
          <w:i/>
        </w:rPr>
        <w:t xml:space="preserve"> change when complete (since the particulars of those protocols may not be able to be fully developed until the initial instruments have been fielded)</w:t>
      </w:r>
      <w:proofErr w:type="gramStart"/>
      <w:r w:rsidRPr="00EC7A71">
        <w:rPr>
          <w:i/>
        </w:rPr>
        <w:t>?</w:t>
      </w:r>
      <w:proofErr w:type="gramEnd"/>
      <w:r w:rsidRPr="00EC7A71">
        <w:rPr>
          <w:i/>
        </w:rPr>
        <w:t xml:space="preserve"> Assuming that the site visits are described in the federal register notices, and that about 1 hour is planned for each site visit to 18 grantees, this difference in burden might be considered minimal. If the </w:t>
      </w:r>
      <w:proofErr w:type="spellStart"/>
      <w:r w:rsidRPr="00EC7A71">
        <w:rPr>
          <w:i/>
        </w:rPr>
        <w:t>nonsub</w:t>
      </w:r>
      <w:proofErr w:type="spellEnd"/>
      <w:r w:rsidRPr="00EC7A71">
        <w:rPr>
          <w:i/>
        </w:rPr>
        <w:t xml:space="preserve"> change method were to be used to fold in the site visits, this would reduce mandatory review periods that would be required with a separate ICR submission.</w:t>
      </w:r>
    </w:p>
    <w:p w:rsidR="00C8378F" w:rsidRDefault="00C8378F">
      <w:pPr>
        <w:pStyle w:val="Heading2Memo"/>
      </w:pPr>
      <w:r>
        <w:lastRenderedPageBreak/>
        <w:t>Previously Submitted Materials</w:t>
      </w:r>
    </w:p>
    <w:p w:rsidR="00C8378F" w:rsidRDefault="00C8378F" w:rsidP="00523FC7">
      <w:pPr>
        <w:pStyle w:val="Heading2Memo"/>
        <w:ind w:left="0" w:firstLine="0"/>
        <w:rPr>
          <w:rFonts w:ascii="Times New Roman" w:hAnsi="Times New Roman"/>
          <w:b w:val="0"/>
          <w:sz w:val="24"/>
        </w:rPr>
      </w:pPr>
      <w:r w:rsidRPr="00C8378F">
        <w:rPr>
          <w:rFonts w:ascii="Times New Roman" w:hAnsi="Times New Roman"/>
          <w:b w:val="0"/>
          <w:sz w:val="24"/>
        </w:rPr>
        <w:t xml:space="preserve">The </w:t>
      </w:r>
      <w:r>
        <w:rPr>
          <w:rFonts w:ascii="Times New Roman" w:hAnsi="Times New Roman"/>
          <w:b w:val="0"/>
          <w:sz w:val="24"/>
        </w:rPr>
        <w:t xml:space="preserve">approved submission included </w:t>
      </w:r>
      <w:r w:rsidRPr="00E648A9">
        <w:rPr>
          <w:rFonts w:ascii="Times New Roman" w:hAnsi="Times New Roman"/>
          <w:i/>
          <w:sz w:val="24"/>
        </w:rPr>
        <w:t>Attachment 4: YARH Discussion Guide for Individual Interviews</w:t>
      </w:r>
      <w:r>
        <w:rPr>
          <w:rFonts w:ascii="Times New Roman" w:hAnsi="Times New Roman"/>
          <w:b w:val="0"/>
          <w:sz w:val="24"/>
        </w:rPr>
        <w:t xml:space="preserve"> (March 2014) and </w:t>
      </w:r>
      <w:r w:rsidRPr="00E648A9">
        <w:rPr>
          <w:rFonts w:ascii="Times New Roman" w:hAnsi="Times New Roman"/>
          <w:i/>
          <w:sz w:val="24"/>
        </w:rPr>
        <w:t>Attachment 5: YARH Discussion Guide for Focus Groups</w:t>
      </w:r>
      <w:r>
        <w:rPr>
          <w:rFonts w:ascii="Times New Roman" w:hAnsi="Times New Roman"/>
          <w:b w:val="0"/>
          <w:sz w:val="24"/>
        </w:rPr>
        <w:t>. Each attachment included an introductory script and a list of topics for discussion (see Table 1).</w:t>
      </w:r>
    </w:p>
    <w:p w:rsidR="00E648A9" w:rsidRDefault="00E648A9" w:rsidP="00E648A9">
      <w:pPr>
        <w:pStyle w:val="Heading2Memo"/>
      </w:pPr>
      <w:r>
        <w:t xml:space="preserve">Revised Attachments </w:t>
      </w:r>
    </w:p>
    <w:p w:rsidR="00E648A9" w:rsidRDefault="00E648A9" w:rsidP="00523FC7">
      <w:pPr>
        <w:pStyle w:val="NormalSS"/>
        <w:ind w:firstLine="0"/>
      </w:pPr>
      <w:r>
        <w:t xml:space="preserve">Attachments 4 and 5 were revised in October 2014 to provide a list of potential questions. </w:t>
      </w:r>
      <w:r w:rsidRPr="007A5A52">
        <w:t xml:space="preserve">The same </w:t>
      </w:r>
      <w:r>
        <w:t xml:space="preserve">introductory script and </w:t>
      </w:r>
      <w:r w:rsidRPr="007A5A52">
        <w:t>discussion guide</w:t>
      </w:r>
      <w:r>
        <w:t xml:space="preserve"> </w:t>
      </w:r>
      <w:r w:rsidRPr="007A5A52">
        <w:t xml:space="preserve">will be used for both individual interviews and focus groups </w:t>
      </w:r>
      <w:r>
        <w:t xml:space="preserve">conducted </w:t>
      </w:r>
      <w:r w:rsidRPr="007A5A52">
        <w:t xml:space="preserve">during site visits to each grantee. </w:t>
      </w:r>
      <w:r>
        <w:t xml:space="preserve">The introductory script, which describes the purpose of the interview or focus group, was revised slightly for clarity. It will be used at all sites. The discussion guide, which will be used for all sites, covers topics related to the planning team structure, function, and partners, data access and analysis, identifying target populations and services required, as well as evaluation planning. </w:t>
      </w:r>
    </w:p>
    <w:p w:rsidR="00E648A9" w:rsidRDefault="00E648A9" w:rsidP="00523FC7">
      <w:pPr>
        <w:pStyle w:val="NormalSS"/>
        <w:ind w:firstLine="0"/>
      </w:pPr>
      <w:r>
        <w:t xml:space="preserve">There are no changes to the proposed </w:t>
      </w:r>
      <w:r w:rsidRPr="0055203B">
        <w:t xml:space="preserve">timing of the site visit, </w:t>
      </w:r>
      <w:r>
        <w:t xml:space="preserve">which will be coordinated </w:t>
      </w:r>
      <w:r w:rsidRPr="0055203B">
        <w:t>with grantees to ensure minimal disruption to the work of planning team members</w:t>
      </w:r>
      <w:r>
        <w:t>. Th</w:t>
      </w:r>
      <w:r w:rsidRPr="0055203B">
        <w:t>e interviews and focus groups</w:t>
      </w:r>
      <w:r>
        <w:t xml:space="preserve"> will be</w:t>
      </w:r>
      <w:r w:rsidRPr="0055203B">
        <w:t xml:space="preserve"> conducted during the </w:t>
      </w:r>
      <w:r>
        <w:t xml:space="preserve">site visit.  </w:t>
      </w:r>
    </w:p>
    <w:p w:rsidR="00E648A9" w:rsidRDefault="00E648A9" w:rsidP="00523FC7">
      <w:pPr>
        <w:pStyle w:val="NormalSS"/>
        <w:ind w:firstLine="0"/>
      </w:pPr>
      <w:r>
        <w:t xml:space="preserve">Attachment 7 is a new attachment that documents the request for a waiver of consent. This request was approved by the New England </w:t>
      </w:r>
      <w:proofErr w:type="spellStart"/>
      <w:r>
        <w:t>Instiutional</w:t>
      </w:r>
      <w:proofErr w:type="spellEnd"/>
      <w:r>
        <w:t xml:space="preserve"> Review Board, which approved the proposed study. </w:t>
      </w:r>
    </w:p>
    <w:p w:rsidR="00E648A9" w:rsidRDefault="00E648A9" w:rsidP="00E648A9">
      <w:pPr>
        <w:pStyle w:val="Heading2Memo"/>
      </w:pPr>
      <w:r w:rsidRPr="004272BD">
        <w:t xml:space="preserve">Amendment </w:t>
      </w:r>
      <w:r>
        <w:t>Request</w:t>
      </w:r>
    </w:p>
    <w:p w:rsidR="00E648A9" w:rsidRDefault="00E648A9" w:rsidP="00523FC7">
      <w:pPr>
        <w:pStyle w:val="NormalSS"/>
        <w:ind w:firstLine="0"/>
      </w:pPr>
      <w:r>
        <w:t xml:space="preserve">We are requesting approval of the attached discussion guides to be administered by members of the study team in individual interviews (Attachment 4 – Revised) and focus groups (Attachment 5 – Revised) during the site visits. </w:t>
      </w:r>
    </w:p>
    <w:p w:rsidR="00E648A9" w:rsidRPr="00E648A9" w:rsidRDefault="00E648A9" w:rsidP="00E648A9">
      <w:pPr>
        <w:pStyle w:val="NormalSS"/>
      </w:pPr>
    </w:p>
    <w:p w:rsidR="00E648A9" w:rsidRDefault="00E648A9">
      <w:pPr>
        <w:tabs>
          <w:tab w:val="clear" w:pos="432"/>
        </w:tabs>
        <w:spacing w:line="240" w:lineRule="auto"/>
        <w:ind w:firstLine="0"/>
        <w:jc w:val="left"/>
        <w:rPr>
          <w:b/>
        </w:rPr>
      </w:pPr>
      <w:r>
        <w:rPr>
          <w:b/>
        </w:rPr>
        <w:br w:type="page"/>
      </w:r>
    </w:p>
    <w:p w:rsidR="004B2C2B" w:rsidRPr="004B2C2B" w:rsidRDefault="004B2C2B" w:rsidP="00E648A9">
      <w:pPr>
        <w:pStyle w:val="NormalSS"/>
        <w:ind w:firstLine="0"/>
        <w:rPr>
          <w:b/>
        </w:rPr>
      </w:pPr>
      <w:r w:rsidRPr="004B2C2B">
        <w:rPr>
          <w:b/>
        </w:rPr>
        <w:lastRenderedPageBreak/>
        <w:t>Table 1: Topics of Discussion Proposed in March 2014</w:t>
      </w:r>
    </w:p>
    <w:tbl>
      <w:tblPr>
        <w:tblStyle w:val="TableGrid"/>
        <w:tblW w:w="0" w:type="auto"/>
        <w:tblInd w:w="115"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9475"/>
      </w:tblGrid>
      <w:tr w:rsidR="004B2C2B" w:rsidRPr="004B2C2B" w:rsidTr="00E648A9">
        <w:trPr>
          <w:trHeight w:val="305"/>
        </w:trPr>
        <w:tc>
          <w:tcPr>
            <w:tcW w:w="9475" w:type="dxa"/>
          </w:tcPr>
          <w:p w:rsidR="004B2C2B" w:rsidRPr="00E648A9" w:rsidRDefault="004B2C2B" w:rsidP="004B2C2B">
            <w:pPr>
              <w:pStyle w:val="ListParagraph"/>
              <w:numPr>
                <w:ilvl w:val="0"/>
                <w:numId w:val="38"/>
              </w:numPr>
              <w:tabs>
                <w:tab w:val="left" w:pos="360"/>
              </w:tabs>
              <w:spacing w:after="0"/>
              <w:ind w:right="0"/>
              <w:rPr>
                <w:b/>
                <w:sz w:val="20"/>
                <w:szCs w:val="20"/>
              </w:rPr>
            </w:pPr>
            <w:r w:rsidRPr="00E648A9">
              <w:rPr>
                <w:b/>
                <w:sz w:val="20"/>
                <w:szCs w:val="20"/>
              </w:rPr>
              <w:t>Planning team and partner relationships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Identifying and engaging the planning team members</w:t>
            </w:r>
          </w:p>
        </w:tc>
      </w:tr>
      <w:tr w:rsidR="004B2C2B" w:rsidRPr="004B2C2B" w:rsidTr="00E648A9">
        <w:trPr>
          <w:trHeight w:val="288"/>
        </w:trPr>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Establishing structure of planning team</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 xml:space="preserve">Establishing formal relationships with partners </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Developing informal relationships with partners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Establishing a communication system</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Establishing a decision-making process</w:t>
            </w:r>
          </w:p>
        </w:tc>
      </w:tr>
      <w:tr w:rsidR="004B2C2B" w:rsidRPr="004B2C2B" w:rsidTr="00E648A9">
        <w:tc>
          <w:tcPr>
            <w:tcW w:w="9475" w:type="dxa"/>
          </w:tcPr>
          <w:p w:rsidR="004B2C2B" w:rsidRPr="00E648A9" w:rsidRDefault="004B2C2B" w:rsidP="004B2C2B">
            <w:pPr>
              <w:pStyle w:val="ListParagraph"/>
              <w:numPr>
                <w:ilvl w:val="0"/>
                <w:numId w:val="38"/>
              </w:numPr>
              <w:tabs>
                <w:tab w:val="left" w:pos="360"/>
              </w:tabs>
              <w:spacing w:after="0"/>
              <w:ind w:right="0"/>
              <w:rPr>
                <w:b/>
                <w:sz w:val="20"/>
                <w:szCs w:val="20"/>
              </w:rPr>
            </w:pPr>
            <w:r w:rsidRPr="00E648A9">
              <w:rPr>
                <w:b/>
                <w:sz w:val="20"/>
                <w:szCs w:val="20"/>
              </w:rPr>
              <w:t>Administrative and primary data sources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Accessing administrative data sources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MOU/DUA in place</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MOU/DUA in progress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Analysis of administrative data</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Integrating individual-level or case/family-level data</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Analysis of integrated data</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Access to youth surveys or focus groups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Analysis of youth data</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Identifying new insights and/or providing support for existing ideas</w:t>
            </w:r>
          </w:p>
        </w:tc>
      </w:tr>
      <w:tr w:rsidR="004B2C2B" w:rsidRPr="004B2C2B" w:rsidTr="00E648A9">
        <w:tc>
          <w:tcPr>
            <w:tcW w:w="9475" w:type="dxa"/>
          </w:tcPr>
          <w:p w:rsidR="004B2C2B" w:rsidRPr="00E648A9" w:rsidRDefault="004B2C2B" w:rsidP="004B2C2B">
            <w:pPr>
              <w:pStyle w:val="ListParagraph"/>
              <w:numPr>
                <w:ilvl w:val="0"/>
                <w:numId w:val="38"/>
              </w:numPr>
              <w:tabs>
                <w:tab w:val="left" w:pos="360"/>
              </w:tabs>
              <w:spacing w:after="0"/>
              <w:ind w:right="0"/>
              <w:rPr>
                <w:b/>
                <w:sz w:val="20"/>
                <w:szCs w:val="20"/>
              </w:rPr>
            </w:pPr>
            <w:r w:rsidRPr="00E648A9">
              <w:rPr>
                <w:b/>
                <w:sz w:val="20"/>
                <w:szCs w:val="20"/>
              </w:rPr>
              <w:t>Defining and identifying at-risk youth</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Documenting starting definition of at-risk</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Refining definition of at-risk</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Developing rationale for changes in definition</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Identification of at-risk youth</w:t>
            </w:r>
          </w:p>
        </w:tc>
      </w:tr>
      <w:tr w:rsidR="004B2C2B" w:rsidRPr="004B2C2B" w:rsidTr="00E648A9">
        <w:tc>
          <w:tcPr>
            <w:tcW w:w="9475" w:type="dxa"/>
          </w:tcPr>
          <w:p w:rsidR="004B2C2B" w:rsidRPr="00E648A9" w:rsidRDefault="004B2C2B" w:rsidP="004B2C2B">
            <w:pPr>
              <w:pStyle w:val="ListParagraph"/>
              <w:numPr>
                <w:ilvl w:val="0"/>
                <w:numId w:val="38"/>
              </w:numPr>
              <w:tabs>
                <w:tab w:val="left" w:pos="360"/>
              </w:tabs>
              <w:spacing w:after="0"/>
              <w:ind w:right="0"/>
              <w:rPr>
                <w:b/>
                <w:sz w:val="20"/>
                <w:szCs w:val="20"/>
              </w:rPr>
            </w:pPr>
            <w:r w:rsidRPr="00E648A9">
              <w:rPr>
                <w:b/>
                <w:sz w:val="20"/>
                <w:szCs w:val="20"/>
              </w:rPr>
              <w:t>Current service provision</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Assessing current services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Conducting gap analysis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Documenting partner reaction</w:t>
            </w:r>
          </w:p>
        </w:tc>
      </w:tr>
      <w:tr w:rsidR="004B2C2B" w:rsidRPr="004B2C2B" w:rsidTr="00E648A9">
        <w:tc>
          <w:tcPr>
            <w:tcW w:w="9475" w:type="dxa"/>
          </w:tcPr>
          <w:p w:rsidR="004B2C2B" w:rsidRPr="00E648A9" w:rsidRDefault="004B2C2B" w:rsidP="004B2C2B">
            <w:pPr>
              <w:pStyle w:val="ListParagraph"/>
              <w:numPr>
                <w:ilvl w:val="0"/>
                <w:numId w:val="38"/>
              </w:numPr>
              <w:tabs>
                <w:tab w:val="left" w:pos="360"/>
              </w:tabs>
              <w:spacing w:after="0"/>
              <w:ind w:right="0"/>
              <w:rPr>
                <w:b/>
                <w:sz w:val="20"/>
                <w:szCs w:val="20"/>
              </w:rPr>
            </w:pPr>
            <w:r w:rsidRPr="00E648A9">
              <w:rPr>
                <w:b/>
                <w:sz w:val="20"/>
                <w:szCs w:val="20"/>
              </w:rPr>
              <w:t>Comprehensive Service Model</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Documenting theory of change – partnership</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Documenting theory of change – service delivery</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Developing a logic model for the service delivery</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Identifying evidence-based or evidence-informed interventions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Continuing current evidence-based or evidence-informed interventions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Adapting or modifying the evidence-based or evidence-informed services selected by your community</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Referral and Service Priorities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Identifying screening and assessment tools</w:t>
            </w:r>
          </w:p>
        </w:tc>
      </w:tr>
      <w:tr w:rsidR="004B2C2B" w:rsidRPr="004B2C2B" w:rsidTr="00E648A9">
        <w:tc>
          <w:tcPr>
            <w:tcW w:w="9475" w:type="dxa"/>
          </w:tcPr>
          <w:p w:rsidR="004B2C2B" w:rsidRPr="00E648A9" w:rsidRDefault="004B2C2B" w:rsidP="004B2C2B">
            <w:pPr>
              <w:pStyle w:val="ListParagraph"/>
              <w:numPr>
                <w:ilvl w:val="0"/>
                <w:numId w:val="38"/>
              </w:numPr>
              <w:tabs>
                <w:tab w:val="left" w:pos="360"/>
              </w:tabs>
              <w:spacing w:after="0"/>
              <w:ind w:right="0"/>
              <w:rPr>
                <w:b/>
                <w:sz w:val="20"/>
                <w:szCs w:val="20"/>
              </w:rPr>
            </w:pPr>
            <w:r w:rsidRPr="00E648A9">
              <w:rPr>
                <w:b/>
                <w:sz w:val="20"/>
                <w:szCs w:val="20"/>
              </w:rPr>
              <w:t>Evaluation Design</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Describing intended rigorous evaluation design</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Describe intervention services to be evaluated</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Describe the comparison services – to what will the new services be compared?</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Describe the youth/young adults who will be the target of the intervention</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Assessing partner support for evaluation design</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 xml:space="preserve">Selecting outcomes for the evaluation </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Determining target sample size</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Developing recruitment and enrollment processes</w:t>
            </w:r>
          </w:p>
        </w:tc>
      </w:tr>
      <w:tr w:rsidR="004B2C2B" w:rsidRPr="004B2C2B" w:rsidTr="00E648A9">
        <w:tc>
          <w:tcPr>
            <w:tcW w:w="9475" w:type="dxa"/>
          </w:tcPr>
          <w:p w:rsidR="004B2C2B" w:rsidRPr="00E648A9" w:rsidRDefault="004B2C2B" w:rsidP="004B2C2B">
            <w:pPr>
              <w:pStyle w:val="ListParagraph"/>
              <w:numPr>
                <w:ilvl w:val="1"/>
                <w:numId w:val="38"/>
              </w:numPr>
              <w:tabs>
                <w:tab w:val="left" w:pos="360"/>
              </w:tabs>
              <w:spacing w:after="0"/>
              <w:ind w:right="0"/>
              <w:rPr>
                <w:sz w:val="20"/>
                <w:szCs w:val="20"/>
              </w:rPr>
            </w:pPr>
            <w:r w:rsidRPr="00E648A9">
              <w:rPr>
                <w:sz w:val="20"/>
                <w:szCs w:val="20"/>
              </w:rPr>
              <w:t>Developing consent processes</w:t>
            </w:r>
          </w:p>
        </w:tc>
      </w:tr>
    </w:tbl>
    <w:p w:rsidR="00C8378F" w:rsidRPr="00C8378F" w:rsidRDefault="00C8378F" w:rsidP="004B2C2B">
      <w:pPr>
        <w:pStyle w:val="Heading2Memo"/>
        <w:rPr>
          <w:rFonts w:ascii="Times New Roman" w:hAnsi="Times New Roman"/>
          <w:b w:val="0"/>
          <w:sz w:val="24"/>
        </w:rPr>
      </w:pPr>
    </w:p>
    <w:sectPr w:rsidR="00C8378F" w:rsidRPr="00C8378F"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C0" w:rsidRDefault="00536EC0">
      <w:pPr>
        <w:spacing w:line="240" w:lineRule="auto"/>
      </w:pPr>
      <w:r>
        <w:separator/>
      </w:r>
    </w:p>
  </w:endnote>
  <w:endnote w:type="continuationSeparator" w:id="0">
    <w:p w:rsidR="00536EC0" w:rsidRDefault="00536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FD" w:rsidRDefault="00AC04FD">
    <w:pPr>
      <w:pStyle w:val="Footer"/>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FD" w:rsidRDefault="00AC04FD">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C0" w:rsidRDefault="00536EC0">
      <w:pPr>
        <w:ind w:firstLine="0"/>
      </w:pPr>
      <w:r>
        <w:separator/>
      </w:r>
    </w:p>
  </w:footnote>
  <w:footnote w:type="continuationSeparator" w:id="0">
    <w:p w:rsidR="00536EC0" w:rsidRDefault="00536EC0">
      <w:pPr>
        <w:spacing w:line="240" w:lineRule="auto"/>
        <w:ind w:firstLine="0"/>
      </w:pPr>
      <w:r>
        <w:separator/>
      </w:r>
    </w:p>
    <w:p w:rsidR="00536EC0" w:rsidRDefault="00536EC0">
      <w:pPr>
        <w:ind w:firstLine="0"/>
      </w:pPr>
      <w:r>
        <w:rPr>
          <w:i/>
        </w:rPr>
        <w:t>(</w:t>
      </w:r>
      <w:proofErr w:type="gramStart"/>
      <w:r>
        <w:rPr>
          <w:i/>
        </w:rPr>
        <w:t>continued</w:t>
      </w:r>
      <w:proofErr w:type="gramEnd"/>
      <w:r>
        <w:rPr>
          <w:i/>
        </w:rPr>
        <w:t>)</w:t>
      </w:r>
    </w:p>
  </w:footnote>
  <w:footnote w:type="continuationNotice" w:id="1">
    <w:p w:rsidR="00536EC0" w:rsidRDefault="00536E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FD" w:rsidRDefault="00AC04FD">
    <w:pPr>
      <w:tabs>
        <w:tab w:val="clear" w:pos="432"/>
        <w:tab w:val="left" w:pos="1260"/>
      </w:tabs>
      <w:spacing w:line="240" w:lineRule="auto"/>
      <w:ind w:firstLine="0"/>
      <w:rPr>
        <w:bCs/>
      </w:rPr>
    </w:pPr>
    <w:r>
      <w:rPr>
        <w:bCs/>
      </w:rPr>
      <w:t>MEMO TO:</w:t>
    </w:r>
    <w:r>
      <w:rPr>
        <w:bCs/>
      </w:rPr>
      <w:tab/>
    </w:r>
    <w:proofErr w:type="spellStart"/>
    <w:r>
      <w:rPr>
        <w:bCs/>
      </w:rPr>
      <w:t>afjak</w:t>
    </w:r>
    <w:proofErr w:type="spellEnd"/>
  </w:p>
  <w:p w:rsidR="00AC04FD" w:rsidRDefault="00AC04FD">
    <w:pPr>
      <w:tabs>
        <w:tab w:val="left" w:pos="-1109"/>
        <w:tab w:val="left" w:pos="-720"/>
        <w:tab w:val="left" w:pos="1260"/>
        <w:tab w:val="left" w:pos="7675"/>
      </w:tabs>
      <w:spacing w:line="240" w:lineRule="auto"/>
      <w:ind w:firstLine="0"/>
      <w:rPr>
        <w:bCs/>
      </w:rPr>
    </w:pPr>
    <w:r>
      <w:rPr>
        <w:bCs/>
      </w:rPr>
      <w:t>FROM:</w:t>
    </w:r>
    <w:r>
      <w:rPr>
        <w:bCs/>
      </w:rPr>
      <w:tab/>
    </w:r>
    <w:proofErr w:type="spellStart"/>
    <w:r>
      <w:rPr>
        <w:bCs/>
      </w:rPr>
      <w:t>fakfj</w:t>
    </w:r>
    <w:proofErr w:type="spellEnd"/>
  </w:p>
  <w:p w:rsidR="00AC04FD" w:rsidRDefault="00AC04FD">
    <w:pPr>
      <w:tabs>
        <w:tab w:val="left" w:pos="-1109"/>
        <w:tab w:val="left" w:pos="-720"/>
        <w:tab w:val="left" w:pos="1260"/>
        <w:tab w:val="left" w:pos="7675"/>
      </w:tabs>
      <w:spacing w:line="240" w:lineRule="auto"/>
      <w:ind w:firstLine="0"/>
      <w:rPr>
        <w:bCs/>
      </w:rPr>
    </w:pPr>
    <w:r>
      <w:rPr>
        <w:bCs/>
      </w:rPr>
      <w:t>DATE:</w:t>
    </w:r>
    <w:r>
      <w:rPr>
        <w:bCs/>
      </w:rPr>
      <w:tab/>
      <w:t>10/28/2011</w:t>
    </w:r>
  </w:p>
  <w:p w:rsidR="00AC04FD" w:rsidRDefault="00AC04FD">
    <w:pPr>
      <w:tabs>
        <w:tab w:val="left" w:pos="-1109"/>
        <w:tab w:val="left" w:pos="-720"/>
        <w:tab w:val="left" w:pos="1260"/>
        <w:tab w:val="left" w:pos="7675"/>
      </w:tabs>
      <w:spacing w:line="240" w:lineRule="auto"/>
      <w:ind w:firstLine="0"/>
      <w:rPr>
        <w:rStyle w:val="PageNumber"/>
        <w:bCs/>
      </w:rPr>
    </w:pPr>
    <w:r>
      <w:rPr>
        <w:bCs/>
      </w:rPr>
      <w:t>PAGE:</w:t>
    </w:r>
    <w:r>
      <w:rPr>
        <w:bCs/>
      </w:rPr>
      <w:tab/>
    </w:r>
    <w:r w:rsidR="002E2941">
      <w:rPr>
        <w:rStyle w:val="PageNumber"/>
        <w:bCs/>
      </w:rPr>
      <w:fldChar w:fldCharType="begin"/>
    </w:r>
    <w:r>
      <w:rPr>
        <w:rStyle w:val="PageNumber"/>
        <w:bCs/>
      </w:rPr>
      <w:instrText xml:space="preserve"> PAGE </w:instrText>
    </w:r>
    <w:r w:rsidR="002E2941">
      <w:rPr>
        <w:rStyle w:val="PageNumber"/>
        <w:bCs/>
      </w:rPr>
      <w:fldChar w:fldCharType="separate"/>
    </w:r>
    <w:r>
      <w:rPr>
        <w:rStyle w:val="PageNumber"/>
        <w:bCs/>
        <w:noProof/>
      </w:rPr>
      <w:t>2</w:t>
    </w:r>
    <w:r w:rsidR="002E2941">
      <w:rPr>
        <w:rStyle w:val="PageNumber"/>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FD" w:rsidRDefault="00AC04FD" w:rsidP="00733038">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FD" w:rsidRPr="00523FC7" w:rsidRDefault="00AC04FD" w:rsidP="00523FC7">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2B6B5A15"/>
    <w:multiLevelType w:val="singleLevel"/>
    <w:tmpl w:val="6E0658D6"/>
    <w:lvl w:ilvl="0">
      <w:start w:val="1"/>
      <w:numFmt w:val="decimal"/>
      <w:lvlText w:val="%1."/>
      <w:lvlJc w:val="left"/>
      <w:pPr>
        <w:tabs>
          <w:tab w:val="num" w:pos="360"/>
        </w:tabs>
        <w:ind w:left="360" w:hanging="360"/>
      </w:pPr>
    </w:lvl>
  </w:abstractNum>
  <w:abstractNum w:abstractNumId="5">
    <w:nsid w:val="2D5979C6"/>
    <w:multiLevelType w:val="hybridMultilevel"/>
    <w:tmpl w:val="F66AC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12898"/>
    <w:multiLevelType w:val="hybridMultilevel"/>
    <w:tmpl w:val="26921A96"/>
    <w:lvl w:ilvl="0" w:tplc="0F9E97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3">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F762C93"/>
    <w:multiLevelType w:val="hybridMultilevel"/>
    <w:tmpl w:val="32820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num>
  <w:num w:numId="3">
    <w:abstractNumId w:val="13"/>
  </w:num>
  <w:num w:numId="4">
    <w:abstractNumId w:val="0"/>
  </w:num>
  <w:num w:numId="5">
    <w:abstractNumId w:val="12"/>
  </w:num>
  <w:num w:numId="6">
    <w:abstractNumId w:val="4"/>
  </w:num>
  <w:num w:numId="7">
    <w:abstractNumId w:val="9"/>
  </w:num>
  <w:num w:numId="8">
    <w:abstractNumId w:val="8"/>
  </w:num>
  <w:num w:numId="9">
    <w:abstractNumId w:val="13"/>
  </w:num>
  <w:num w:numId="10">
    <w:abstractNumId w:val="0"/>
  </w:num>
  <w:num w:numId="11">
    <w:abstractNumId w:val="12"/>
  </w:num>
  <w:num w:numId="12">
    <w:abstractNumId w:val="4"/>
  </w:num>
  <w:num w:numId="13">
    <w:abstractNumId w:val="9"/>
  </w:num>
  <w:num w:numId="14">
    <w:abstractNumId w:val="8"/>
  </w:num>
  <w:num w:numId="15">
    <w:abstractNumId w:val="13"/>
  </w:num>
  <w:num w:numId="16">
    <w:abstractNumId w:val="0"/>
  </w:num>
  <w:num w:numId="17">
    <w:abstractNumId w:val="12"/>
  </w:num>
  <w:num w:numId="18">
    <w:abstractNumId w:val="4"/>
  </w:num>
  <w:num w:numId="19">
    <w:abstractNumId w:val="9"/>
  </w:num>
  <w:num w:numId="20">
    <w:abstractNumId w:val="1"/>
  </w:num>
  <w:num w:numId="21">
    <w:abstractNumId w:val="8"/>
  </w:num>
  <w:num w:numId="22">
    <w:abstractNumId w:val="13"/>
  </w:num>
  <w:num w:numId="23">
    <w:abstractNumId w:val="0"/>
  </w:num>
  <w:num w:numId="24">
    <w:abstractNumId w:val="12"/>
  </w:num>
  <w:num w:numId="25">
    <w:abstractNumId w:val="1"/>
  </w:num>
  <w:num w:numId="26">
    <w:abstractNumId w:val="3"/>
  </w:num>
  <w:num w:numId="27">
    <w:abstractNumId w:val="10"/>
  </w:num>
  <w:num w:numId="28">
    <w:abstractNumId w:val="10"/>
  </w:num>
  <w:num w:numId="29">
    <w:abstractNumId w:val="2"/>
  </w:num>
  <w:num w:numId="30">
    <w:abstractNumId w:val="2"/>
  </w:num>
  <w:num w:numId="31">
    <w:abstractNumId w:val="14"/>
  </w:num>
  <w:num w:numId="32">
    <w:abstractNumId w:val="9"/>
  </w:num>
  <w:num w:numId="33">
    <w:abstractNumId w:val="9"/>
  </w:num>
  <w:num w:numId="34">
    <w:abstractNumId w:val="11"/>
  </w:num>
  <w:num w:numId="35">
    <w:abstractNumId w:val="7"/>
  </w:num>
  <w:num w:numId="36">
    <w:abstractNumId w:val="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2"/>
  </w:compat>
  <w:rsids>
    <w:rsidRoot w:val="00732FB7"/>
    <w:rsid w:val="00000EB2"/>
    <w:rsid w:val="0000235B"/>
    <w:rsid w:val="00004D4D"/>
    <w:rsid w:val="00011C0F"/>
    <w:rsid w:val="00016D0F"/>
    <w:rsid w:val="00037D4E"/>
    <w:rsid w:val="0004452D"/>
    <w:rsid w:val="000468A0"/>
    <w:rsid w:val="00047872"/>
    <w:rsid w:val="00050B86"/>
    <w:rsid w:val="000579C1"/>
    <w:rsid w:val="000633A2"/>
    <w:rsid w:val="00076C64"/>
    <w:rsid w:val="000770BE"/>
    <w:rsid w:val="00082685"/>
    <w:rsid w:val="00082868"/>
    <w:rsid w:val="00083FE7"/>
    <w:rsid w:val="000A1412"/>
    <w:rsid w:val="000A25A4"/>
    <w:rsid w:val="000A47F6"/>
    <w:rsid w:val="000B371A"/>
    <w:rsid w:val="000C2B0B"/>
    <w:rsid w:val="000C5206"/>
    <w:rsid w:val="000D11A5"/>
    <w:rsid w:val="000D2534"/>
    <w:rsid w:val="000E0333"/>
    <w:rsid w:val="000E2E56"/>
    <w:rsid w:val="001265FF"/>
    <w:rsid w:val="0015331C"/>
    <w:rsid w:val="00156718"/>
    <w:rsid w:val="00170583"/>
    <w:rsid w:val="001707BE"/>
    <w:rsid w:val="00170925"/>
    <w:rsid w:val="00173CE0"/>
    <w:rsid w:val="00174615"/>
    <w:rsid w:val="00183F3E"/>
    <w:rsid w:val="00185094"/>
    <w:rsid w:val="001868C4"/>
    <w:rsid w:val="00190E55"/>
    <w:rsid w:val="0019797B"/>
    <w:rsid w:val="001D3FF7"/>
    <w:rsid w:val="001D468F"/>
    <w:rsid w:val="001D6EF4"/>
    <w:rsid w:val="001E2897"/>
    <w:rsid w:val="001F0C78"/>
    <w:rsid w:val="001F1831"/>
    <w:rsid w:val="00206A25"/>
    <w:rsid w:val="00212F85"/>
    <w:rsid w:val="00220B8E"/>
    <w:rsid w:val="00233D9B"/>
    <w:rsid w:val="0024708C"/>
    <w:rsid w:val="00247FDC"/>
    <w:rsid w:val="002515B4"/>
    <w:rsid w:val="002619D1"/>
    <w:rsid w:val="00275FF2"/>
    <w:rsid w:val="002A0256"/>
    <w:rsid w:val="002B12A3"/>
    <w:rsid w:val="002B569C"/>
    <w:rsid w:val="002B6A17"/>
    <w:rsid w:val="002C6AE0"/>
    <w:rsid w:val="002E2941"/>
    <w:rsid w:val="002F707D"/>
    <w:rsid w:val="00310967"/>
    <w:rsid w:val="00315CFD"/>
    <w:rsid w:val="00324043"/>
    <w:rsid w:val="00330106"/>
    <w:rsid w:val="0033236F"/>
    <w:rsid w:val="00342BE6"/>
    <w:rsid w:val="00356C27"/>
    <w:rsid w:val="003771FC"/>
    <w:rsid w:val="003814D4"/>
    <w:rsid w:val="003837E7"/>
    <w:rsid w:val="003A355C"/>
    <w:rsid w:val="003A3CDA"/>
    <w:rsid w:val="003A4CDC"/>
    <w:rsid w:val="003B06CA"/>
    <w:rsid w:val="003B4F97"/>
    <w:rsid w:val="003C0681"/>
    <w:rsid w:val="003C6B57"/>
    <w:rsid w:val="003C7111"/>
    <w:rsid w:val="003C7680"/>
    <w:rsid w:val="003F200F"/>
    <w:rsid w:val="003F7DD5"/>
    <w:rsid w:val="004174DC"/>
    <w:rsid w:val="00423753"/>
    <w:rsid w:val="00446834"/>
    <w:rsid w:val="00450E21"/>
    <w:rsid w:val="00465787"/>
    <w:rsid w:val="0047070C"/>
    <w:rsid w:val="00473218"/>
    <w:rsid w:val="00474E69"/>
    <w:rsid w:val="00495FA4"/>
    <w:rsid w:val="004A118E"/>
    <w:rsid w:val="004A610D"/>
    <w:rsid w:val="004B1D0F"/>
    <w:rsid w:val="004B2C2B"/>
    <w:rsid w:val="004C7419"/>
    <w:rsid w:val="004D5C42"/>
    <w:rsid w:val="004D670E"/>
    <w:rsid w:val="004E145E"/>
    <w:rsid w:val="004E485B"/>
    <w:rsid w:val="004F55EA"/>
    <w:rsid w:val="00506365"/>
    <w:rsid w:val="00506BF4"/>
    <w:rsid w:val="00510604"/>
    <w:rsid w:val="0051205C"/>
    <w:rsid w:val="005216B7"/>
    <w:rsid w:val="00523FC7"/>
    <w:rsid w:val="005322B1"/>
    <w:rsid w:val="00536EC0"/>
    <w:rsid w:val="005474AB"/>
    <w:rsid w:val="00554E36"/>
    <w:rsid w:val="00554EBD"/>
    <w:rsid w:val="00561227"/>
    <w:rsid w:val="0056211E"/>
    <w:rsid w:val="00574252"/>
    <w:rsid w:val="00591975"/>
    <w:rsid w:val="005A3A6F"/>
    <w:rsid w:val="005A4706"/>
    <w:rsid w:val="005B1399"/>
    <w:rsid w:val="005D0CA8"/>
    <w:rsid w:val="005D5E7D"/>
    <w:rsid w:val="005F10D9"/>
    <w:rsid w:val="005F1C22"/>
    <w:rsid w:val="005F502A"/>
    <w:rsid w:val="00602629"/>
    <w:rsid w:val="00607AD1"/>
    <w:rsid w:val="00615DE8"/>
    <w:rsid w:val="00632187"/>
    <w:rsid w:val="00650933"/>
    <w:rsid w:val="006511B7"/>
    <w:rsid w:val="00652415"/>
    <w:rsid w:val="00652708"/>
    <w:rsid w:val="00664315"/>
    <w:rsid w:val="00665825"/>
    <w:rsid w:val="006758EB"/>
    <w:rsid w:val="00690B08"/>
    <w:rsid w:val="0069412E"/>
    <w:rsid w:val="006946CD"/>
    <w:rsid w:val="00694755"/>
    <w:rsid w:val="006950ED"/>
    <w:rsid w:val="006A710F"/>
    <w:rsid w:val="006B1DE8"/>
    <w:rsid w:val="006D1E27"/>
    <w:rsid w:val="006E2A3C"/>
    <w:rsid w:val="006F655F"/>
    <w:rsid w:val="006F7FBC"/>
    <w:rsid w:val="00701EB7"/>
    <w:rsid w:val="00711FAB"/>
    <w:rsid w:val="00717966"/>
    <w:rsid w:val="00732201"/>
    <w:rsid w:val="00732FB7"/>
    <w:rsid w:val="00733038"/>
    <w:rsid w:val="00736EF5"/>
    <w:rsid w:val="007407FA"/>
    <w:rsid w:val="00743DC7"/>
    <w:rsid w:val="00744B8E"/>
    <w:rsid w:val="00753181"/>
    <w:rsid w:val="00760A41"/>
    <w:rsid w:val="00765C21"/>
    <w:rsid w:val="00772EBE"/>
    <w:rsid w:val="00794B01"/>
    <w:rsid w:val="007A490F"/>
    <w:rsid w:val="007B1E08"/>
    <w:rsid w:val="007C04EA"/>
    <w:rsid w:val="007C59F0"/>
    <w:rsid w:val="007D7ABA"/>
    <w:rsid w:val="007E4573"/>
    <w:rsid w:val="007E58DD"/>
    <w:rsid w:val="007E6D63"/>
    <w:rsid w:val="007E722C"/>
    <w:rsid w:val="007F45D3"/>
    <w:rsid w:val="00805700"/>
    <w:rsid w:val="00810D90"/>
    <w:rsid w:val="008138A2"/>
    <w:rsid w:val="008143AD"/>
    <w:rsid w:val="008158C2"/>
    <w:rsid w:val="00840C51"/>
    <w:rsid w:val="00842C83"/>
    <w:rsid w:val="0085676A"/>
    <w:rsid w:val="0086294F"/>
    <w:rsid w:val="008633BA"/>
    <w:rsid w:val="0086709F"/>
    <w:rsid w:val="00871328"/>
    <w:rsid w:val="00873D36"/>
    <w:rsid w:val="00874DE5"/>
    <w:rsid w:val="008758C4"/>
    <w:rsid w:val="00880CBA"/>
    <w:rsid w:val="0088717B"/>
    <w:rsid w:val="00890BEC"/>
    <w:rsid w:val="00894F97"/>
    <w:rsid w:val="0089738C"/>
    <w:rsid w:val="008B5D93"/>
    <w:rsid w:val="008B6298"/>
    <w:rsid w:val="008B67BF"/>
    <w:rsid w:val="008C36D5"/>
    <w:rsid w:val="008E2F6B"/>
    <w:rsid w:val="008E336C"/>
    <w:rsid w:val="008E403A"/>
    <w:rsid w:val="008E71C9"/>
    <w:rsid w:val="008F02F9"/>
    <w:rsid w:val="00900491"/>
    <w:rsid w:val="00901008"/>
    <w:rsid w:val="00901242"/>
    <w:rsid w:val="00901578"/>
    <w:rsid w:val="009025BD"/>
    <w:rsid w:val="0090696E"/>
    <w:rsid w:val="00911A74"/>
    <w:rsid w:val="009143AF"/>
    <w:rsid w:val="00920C13"/>
    <w:rsid w:val="00921B22"/>
    <w:rsid w:val="009224F0"/>
    <w:rsid w:val="00923E64"/>
    <w:rsid w:val="00925E91"/>
    <w:rsid w:val="00937384"/>
    <w:rsid w:val="00937DE0"/>
    <w:rsid w:val="00941227"/>
    <w:rsid w:val="00944016"/>
    <w:rsid w:val="009467D3"/>
    <w:rsid w:val="00951FD3"/>
    <w:rsid w:val="00956D58"/>
    <w:rsid w:val="00956D8E"/>
    <w:rsid w:val="00975331"/>
    <w:rsid w:val="0098138F"/>
    <w:rsid w:val="00984336"/>
    <w:rsid w:val="009A2384"/>
    <w:rsid w:val="009B3368"/>
    <w:rsid w:val="009B7B53"/>
    <w:rsid w:val="009C336A"/>
    <w:rsid w:val="009C4DD8"/>
    <w:rsid w:val="009D01F5"/>
    <w:rsid w:val="009D7395"/>
    <w:rsid w:val="009E6B73"/>
    <w:rsid w:val="009F06B2"/>
    <w:rsid w:val="00A13C79"/>
    <w:rsid w:val="00A16661"/>
    <w:rsid w:val="00A22251"/>
    <w:rsid w:val="00A33A68"/>
    <w:rsid w:val="00A40930"/>
    <w:rsid w:val="00A40F03"/>
    <w:rsid w:val="00A478A5"/>
    <w:rsid w:val="00A50355"/>
    <w:rsid w:val="00A625A7"/>
    <w:rsid w:val="00A70045"/>
    <w:rsid w:val="00A803EA"/>
    <w:rsid w:val="00AA56C6"/>
    <w:rsid w:val="00AA6CB1"/>
    <w:rsid w:val="00AB2226"/>
    <w:rsid w:val="00AC04FD"/>
    <w:rsid w:val="00AC16F3"/>
    <w:rsid w:val="00AC2780"/>
    <w:rsid w:val="00AD0145"/>
    <w:rsid w:val="00AD07BB"/>
    <w:rsid w:val="00AD1DB6"/>
    <w:rsid w:val="00AE53DE"/>
    <w:rsid w:val="00B0037A"/>
    <w:rsid w:val="00B074A2"/>
    <w:rsid w:val="00B24B32"/>
    <w:rsid w:val="00B3451A"/>
    <w:rsid w:val="00B36772"/>
    <w:rsid w:val="00B37EBC"/>
    <w:rsid w:val="00B523E1"/>
    <w:rsid w:val="00B66D14"/>
    <w:rsid w:val="00B75A96"/>
    <w:rsid w:val="00B81C50"/>
    <w:rsid w:val="00BB0531"/>
    <w:rsid w:val="00BC270B"/>
    <w:rsid w:val="00BE7736"/>
    <w:rsid w:val="00C04C33"/>
    <w:rsid w:val="00C04E63"/>
    <w:rsid w:val="00C14150"/>
    <w:rsid w:val="00C1478C"/>
    <w:rsid w:val="00C154ED"/>
    <w:rsid w:val="00C35A3F"/>
    <w:rsid w:val="00C44309"/>
    <w:rsid w:val="00C457D4"/>
    <w:rsid w:val="00C531E3"/>
    <w:rsid w:val="00C54564"/>
    <w:rsid w:val="00C56665"/>
    <w:rsid w:val="00C830CF"/>
    <w:rsid w:val="00C8378F"/>
    <w:rsid w:val="00C87826"/>
    <w:rsid w:val="00CA0852"/>
    <w:rsid w:val="00CC778A"/>
    <w:rsid w:val="00CD3B63"/>
    <w:rsid w:val="00CD49AD"/>
    <w:rsid w:val="00CF1178"/>
    <w:rsid w:val="00CF3922"/>
    <w:rsid w:val="00CF452E"/>
    <w:rsid w:val="00D03CDC"/>
    <w:rsid w:val="00D118EC"/>
    <w:rsid w:val="00D168D5"/>
    <w:rsid w:val="00D33D43"/>
    <w:rsid w:val="00D43E3B"/>
    <w:rsid w:val="00D54680"/>
    <w:rsid w:val="00D67A20"/>
    <w:rsid w:val="00D71703"/>
    <w:rsid w:val="00D73893"/>
    <w:rsid w:val="00D91AF2"/>
    <w:rsid w:val="00D94619"/>
    <w:rsid w:val="00D94FD6"/>
    <w:rsid w:val="00D965E1"/>
    <w:rsid w:val="00DB3040"/>
    <w:rsid w:val="00DB6F5C"/>
    <w:rsid w:val="00DC4AC9"/>
    <w:rsid w:val="00DD12B0"/>
    <w:rsid w:val="00DD2B26"/>
    <w:rsid w:val="00DD6EA5"/>
    <w:rsid w:val="00DE2B93"/>
    <w:rsid w:val="00DF55D9"/>
    <w:rsid w:val="00E1017D"/>
    <w:rsid w:val="00E11C5D"/>
    <w:rsid w:val="00E42BB0"/>
    <w:rsid w:val="00E50ADE"/>
    <w:rsid w:val="00E56C08"/>
    <w:rsid w:val="00E648A9"/>
    <w:rsid w:val="00E73DF1"/>
    <w:rsid w:val="00E74902"/>
    <w:rsid w:val="00E81E89"/>
    <w:rsid w:val="00E8266F"/>
    <w:rsid w:val="00EA0909"/>
    <w:rsid w:val="00EA5A1B"/>
    <w:rsid w:val="00EB4F20"/>
    <w:rsid w:val="00EC7A71"/>
    <w:rsid w:val="00ED597C"/>
    <w:rsid w:val="00EE08B0"/>
    <w:rsid w:val="00EE697B"/>
    <w:rsid w:val="00F04F78"/>
    <w:rsid w:val="00F05F60"/>
    <w:rsid w:val="00F11CB0"/>
    <w:rsid w:val="00F14616"/>
    <w:rsid w:val="00F14BB3"/>
    <w:rsid w:val="00F452E1"/>
    <w:rsid w:val="00F60E81"/>
    <w:rsid w:val="00F65530"/>
    <w:rsid w:val="00F7501D"/>
    <w:rsid w:val="00F82236"/>
    <w:rsid w:val="00F90E6A"/>
    <w:rsid w:val="00F9342B"/>
    <w:rsid w:val="00FA32DD"/>
    <w:rsid w:val="00FB05C4"/>
    <w:rsid w:val="00FB4847"/>
    <w:rsid w:val="00FB6B90"/>
    <w:rsid w:val="00FC6137"/>
    <w:rsid w:val="00FE3C09"/>
    <w:rsid w:val="00FE5BFD"/>
    <w:rsid w:val="00FE61E1"/>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74615"/>
    <w:pPr>
      <w:tabs>
        <w:tab w:val="left" w:pos="432"/>
      </w:tabs>
      <w:spacing w:line="480" w:lineRule="auto"/>
      <w:ind w:firstLine="432"/>
      <w:jc w:val="both"/>
    </w:pPr>
  </w:style>
  <w:style w:type="paragraph" w:styleId="Heading1">
    <w:name w:val="heading 1"/>
    <w:basedOn w:val="Normal"/>
    <w:next w:val="Normal"/>
    <w:link w:val="Heading1Char"/>
    <w:uiPriority w:val="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DB6F5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paragraph" w:customStyle="1" w:styleId="Default">
    <w:name w:val="Default"/>
    <w:rsid w:val="003C6B57"/>
    <w:pPr>
      <w:autoSpaceDE w:val="0"/>
      <w:autoSpaceDN w:val="0"/>
      <w:adjustRightInd w:val="0"/>
    </w:pPr>
    <w:rPr>
      <w:color w:val="000000"/>
    </w:rPr>
  </w:style>
  <w:style w:type="character" w:styleId="CommentReference">
    <w:name w:val="annotation reference"/>
    <w:basedOn w:val="DefaultParagraphFont"/>
    <w:uiPriority w:val="99"/>
    <w:semiHidden/>
    <w:unhideWhenUsed/>
    <w:rsid w:val="003C6B57"/>
    <w:rPr>
      <w:sz w:val="16"/>
      <w:szCs w:val="16"/>
    </w:rPr>
  </w:style>
  <w:style w:type="paragraph" w:styleId="CommentText">
    <w:name w:val="annotation text"/>
    <w:basedOn w:val="Normal"/>
    <w:link w:val="CommentTextChar"/>
    <w:uiPriority w:val="99"/>
    <w:semiHidden/>
    <w:unhideWhenUsed/>
    <w:rsid w:val="003C6B57"/>
    <w:pPr>
      <w:spacing w:line="240" w:lineRule="auto"/>
    </w:pPr>
    <w:rPr>
      <w:sz w:val="20"/>
      <w:szCs w:val="20"/>
    </w:rPr>
  </w:style>
  <w:style w:type="character" w:customStyle="1" w:styleId="CommentTextChar">
    <w:name w:val="Comment Text Char"/>
    <w:basedOn w:val="DefaultParagraphFont"/>
    <w:link w:val="CommentText"/>
    <w:uiPriority w:val="99"/>
    <w:semiHidden/>
    <w:rsid w:val="003C6B57"/>
    <w:rPr>
      <w:sz w:val="20"/>
      <w:szCs w:val="20"/>
    </w:rPr>
  </w:style>
  <w:style w:type="paragraph" w:styleId="CommentSubject">
    <w:name w:val="annotation subject"/>
    <w:basedOn w:val="CommentText"/>
    <w:next w:val="CommentText"/>
    <w:link w:val="CommentSubjectChar"/>
    <w:uiPriority w:val="99"/>
    <w:semiHidden/>
    <w:unhideWhenUsed/>
    <w:rsid w:val="003C6B57"/>
    <w:rPr>
      <w:b/>
      <w:bCs/>
    </w:rPr>
  </w:style>
  <w:style w:type="character" w:customStyle="1" w:styleId="CommentSubjectChar">
    <w:name w:val="Comment Subject Char"/>
    <w:basedOn w:val="CommentTextChar"/>
    <w:link w:val="CommentSubject"/>
    <w:uiPriority w:val="99"/>
    <w:semiHidden/>
    <w:rsid w:val="003C6B57"/>
    <w:rPr>
      <w:b/>
      <w:bCs/>
      <w:sz w:val="20"/>
      <w:szCs w:val="20"/>
    </w:rPr>
  </w:style>
  <w:style w:type="paragraph" w:styleId="Revision">
    <w:name w:val="Revision"/>
    <w:hidden/>
    <w:uiPriority w:val="99"/>
    <w:semiHidden/>
    <w:rsid w:val="003C6B57"/>
  </w:style>
  <w:style w:type="character" w:customStyle="1" w:styleId="NormalSSChar">
    <w:name w:val="NormalSS Char"/>
    <w:basedOn w:val="DefaultParagraphFont"/>
    <w:link w:val="NormalSS"/>
    <w:rsid w:val="003C6B57"/>
  </w:style>
  <w:style w:type="paragraph" w:styleId="DocumentMap">
    <w:name w:val="Document Map"/>
    <w:basedOn w:val="Normal"/>
    <w:link w:val="DocumentMapChar"/>
    <w:uiPriority w:val="99"/>
    <w:semiHidden/>
    <w:unhideWhenUsed/>
    <w:rsid w:val="003F20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200F"/>
    <w:rPr>
      <w:rFonts w:ascii="Tahoma" w:hAnsi="Tahoma" w:cs="Tahoma"/>
      <w:sz w:val="16"/>
      <w:szCs w:val="16"/>
    </w:rPr>
  </w:style>
  <w:style w:type="character" w:customStyle="1" w:styleId="Heading1Char">
    <w:name w:val="Heading 1 Char"/>
    <w:basedOn w:val="DefaultParagraphFont"/>
    <w:link w:val="Heading1"/>
    <w:uiPriority w:val="9"/>
    <w:rsid w:val="004B2C2B"/>
    <w:rPr>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9A8BA-A59B-422F-8E90-30B4A31DB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2EB535-AFE7-4DDE-83EC-BD37F61279D7}">
  <ds:schemaRefs>
    <ds:schemaRef ds:uri="http://schemas.microsoft.com/sharepoint/v3/contenttype/forms"/>
  </ds:schemaRefs>
</ds:datastoreItem>
</file>

<file path=customXml/itemProps3.xml><?xml version="1.0" encoding="utf-8"?>
<ds:datastoreItem xmlns:ds="http://schemas.openxmlformats.org/officeDocument/2006/customXml" ds:itemID="{E65420A3-03E2-4BA0-9957-AD3693401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22E5E5-2DE9-4173-90A1-FDB5976E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6241</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VOGEL</dc:creator>
  <dc:description>This template should just print out on plain paper.</dc:description>
  <cp:lastModifiedBy>Molly</cp:lastModifiedBy>
  <cp:revision>9</cp:revision>
  <cp:lastPrinted>2014-10-08T16:09:00Z</cp:lastPrinted>
  <dcterms:created xsi:type="dcterms:W3CDTF">2014-09-05T11:36:00Z</dcterms:created>
  <dcterms:modified xsi:type="dcterms:W3CDTF">2014-10-08T20:58:00Z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0x010100A0C03A15313BD74286008E3A4A4771A9</vt:lpwstr>
  </property>
</Properties>
</file>