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E9DBC" w14:textId="77777777" w:rsidR="007D6E75" w:rsidRPr="00FC15BC" w:rsidRDefault="007D6E75" w:rsidP="008111D2">
      <w:pPr>
        <w:spacing w:after="0" w:line="240" w:lineRule="auto"/>
        <w:jc w:val="center"/>
        <w:rPr>
          <w:rFonts w:cs="Times New Roman"/>
          <w:szCs w:val="24"/>
        </w:rPr>
      </w:pPr>
      <w:r w:rsidRPr="00FC15BC">
        <w:rPr>
          <w:rFonts w:cs="Times New Roman"/>
          <w:szCs w:val="24"/>
        </w:rPr>
        <w:t>Application to Use Burden/Hours from Generic PRA Clearance:</w:t>
      </w:r>
    </w:p>
    <w:p w14:paraId="0EBE9DBD" w14:textId="77777777" w:rsidR="007D6E75" w:rsidRPr="00FC15BC" w:rsidRDefault="007D6E75" w:rsidP="008111D2">
      <w:pPr>
        <w:spacing w:after="0" w:line="240" w:lineRule="auto"/>
        <w:jc w:val="center"/>
        <w:rPr>
          <w:rFonts w:cs="Times New Roman"/>
          <w:szCs w:val="24"/>
        </w:rPr>
      </w:pPr>
      <w:r w:rsidRPr="00FC15BC">
        <w:rPr>
          <w:rFonts w:cs="Times New Roman"/>
          <w:szCs w:val="24"/>
        </w:rPr>
        <w:t>Medicaid and CHIP State Plan, Waiver, and Program Submissions</w:t>
      </w:r>
    </w:p>
    <w:p w14:paraId="0EBE9DBE" w14:textId="77777777" w:rsidR="00DF098E" w:rsidRPr="00FC15BC" w:rsidRDefault="007D6E75" w:rsidP="008111D2">
      <w:pPr>
        <w:spacing w:after="0" w:line="240" w:lineRule="auto"/>
        <w:jc w:val="center"/>
        <w:rPr>
          <w:rFonts w:cs="Times New Roman"/>
          <w:szCs w:val="24"/>
        </w:rPr>
      </w:pPr>
      <w:r w:rsidRPr="00FC15BC">
        <w:rPr>
          <w:rFonts w:cs="Times New Roman"/>
          <w:szCs w:val="24"/>
        </w:rPr>
        <w:t>(CMS-10398, OMB 0938-1148)</w:t>
      </w:r>
    </w:p>
    <w:p w14:paraId="0EBE9DBF" w14:textId="77777777" w:rsidR="007D6E75" w:rsidRPr="00FC15BC" w:rsidRDefault="007D6E75" w:rsidP="008111D2">
      <w:pPr>
        <w:spacing w:after="0" w:line="240" w:lineRule="auto"/>
        <w:jc w:val="center"/>
        <w:rPr>
          <w:rFonts w:cs="Times New Roman"/>
          <w:szCs w:val="24"/>
        </w:rPr>
      </w:pPr>
    </w:p>
    <w:p w14:paraId="0EBE9DC0" w14:textId="57898D32" w:rsidR="009004E1" w:rsidRPr="00FC15BC" w:rsidRDefault="00CB646D" w:rsidP="00933223">
      <w:pPr>
        <w:spacing w:after="0" w:line="240" w:lineRule="auto"/>
        <w:jc w:val="center"/>
        <w:rPr>
          <w:rFonts w:cs="Times New Roman"/>
          <w:b/>
          <w:szCs w:val="24"/>
        </w:rPr>
      </w:pPr>
      <w:r w:rsidRPr="00FC15BC">
        <w:rPr>
          <w:rFonts w:cs="Times New Roman"/>
          <w:b/>
          <w:szCs w:val="24"/>
        </w:rPr>
        <w:t xml:space="preserve">Information Collection </w:t>
      </w:r>
      <w:r w:rsidR="00FE644A" w:rsidRPr="00FC15BC">
        <w:rPr>
          <w:rFonts w:cs="Times New Roman"/>
          <w:b/>
          <w:szCs w:val="24"/>
        </w:rPr>
        <w:t>#</w:t>
      </w:r>
      <w:r w:rsidR="0067562E" w:rsidRPr="00FC15BC">
        <w:rPr>
          <w:rFonts w:cs="Times New Roman"/>
          <w:b/>
          <w:szCs w:val="24"/>
        </w:rPr>
        <w:t xml:space="preserve">7:  CHIPRA Connecting Kids to Outreach and Enrollment Grants </w:t>
      </w:r>
      <w:r w:rsidR="00DA6A6A" w:rsidRPr="00FC15BC">
        <w:rPr>
          <w:rFonts w:cs="Times New Roman"/>
          <w:b/>
          <w:szCs w:val="24"/>
        </w:rPr>
        <w:t>[Cycle III (</w:t>
      </w:r>
      <w:r w:rsidR="0058452B">
        <w:rPr>
          <w:rFonts w:cs="Times New Roman"/>
          <w:b/>
          <w:szCs w:val="24"/>
        </w:rPr>
        <w:t>E</w:t>
      </w:r>
      <w:r w:rsidR="00D444AD" w:rsidRPr="00FC15BC">
        <w:rPr>
          <w:rFonts w:cs="Times New Roman"/>
          <w:b/>
          <w:szCs w:val="24"/>
        </w:rPr>
        <w:t>xtension</w:t>
      </w:r>
      <w:r w:rsidR="0058452B">
        <w:rPr>
          <w:rFonts w:cs="Times New Roman"/>
          <w:b/>
          <w:szCs w:val="24"/>
        </w:rPr>
        <w:t>, without change</w:t>
      </w:r>
      <w:r w:rsidR="00DA6A6A" w:rsidRPr="00FC15BC">
        <w:rPr>
          <w:rFonts w:cs="Times New Roman"/>
          <w:b/>
          <w:szCs w:val="24"/>
        </w:rPr>
        <w:t xml:space="preserve">) </w:t>
      </w:r>
      <w:r w:rsidR="0067562E" w:rsidRPr="00FC15BC">
        <w:rPr>
          <w:rFonts w:cs="Times New Roman"/>
          <w:b/>
          <w:szCs w:val="24"/>
        </w:rPr>
        <w:t>Cycle IV</w:t>
      </w:r>
      <w:r w:rsidR="00DA6A6A" w:rsidRPr="00FC15BC">
        <w:rPr>
          <w:rFonts w:cs="Times New Roman"/>
          <w:b/>
          <w:szCs w:val="24"/>
        </w:rPr>
        <w:t xml:space="preserve"> (</w:t>
      </w:r>
      <w:r w:rsidR="0058452B">
        <w:rPr>
          <w:rFonts w:cs="Times New Roman"/>
          <w:b/>
          <w:szCs w:val="24"/>
        </w:rPr>
        <w:t>N</w:t>
      </w:r>
      <w:r w:rsidR="00DA6A6A" w:rsidRPr="00FC15BC">
        <w:rPr>
          <w:rFonts w:cs="Times New Roman"/>
          <w:b/>
          <w:szCs w:val="24"/>
        </w:rPr>
        <w:t>ew</w:t>
      </w:r>
      <w:r w:rsidR="0067562E" w:rsidRPr="00FC15BC">
        <w:rPr>
          <w:rFonts w:cs="Times New Roman"/>
          <w:b/>
          <w:szCs w:val="24"/>
        </w:rPr>
        <w:t>)</w:t>
      </w:r>
      <w:r w:rsidR="00DA6A6A" w:rsidRPr="00FC15BC">
        <w:rPr>
          <w:rFonts w:cs="Times New Roman"/>
          <w:b/>
          <w:szCs w:val="24"/>
        </w:rPr>
        <w:t>]</w:t>
      </w:r>
      <w:r w:rsidR="0067562E" w:rsidRPr="00FC15BC">
        <w:rPr>
          <w:rFonts w:cs="Times New Roman"/>
          <w:b/>
          <w:szCs w:val="24"/>
        </w:rPr>
        <w:t xml:space="preserve"> Focused on Increasing Enrollment</w:t>
      </w:r>
      <w:r w:rsidR="00AC71F3" w:rsidRPr="00FC15BC">
        <w:rPr>
          <w:rFonts w:cs="Times New Roman"/>
          <w:b/>
          <w:szCs w:val="24"/>
        </w:rPr>
        <w:t xml:space="preserve"> of Native American and Alaskan Native Children</w:t>
      </w:r>
    </w:p>
    <w:p w14:paraId="0EBE9DC1" w14:textId="77777777" w:rsidR="009E3FAC" w:rsidRPr="00FC15BC" w:rsidRDefault="009E3FAC">
      <w:pPr>
        <w:spacing w:after="0" w:line="240" w:lineRule="auto"/>
        <w:jc w:val="center"/>
        <w:rPr>
          <w:rFonts w:cs="Times New Roman"/>
          <w:szCs w:val="24"/>
        </w:rPr>
      </w:pPr>
    </w:p>
    <w:p w14:paraId="0EBE9DC2" w14:textId="77777777" w:rsidR="007D6E75" w:rsidRPr="00FC15BC" w:rsidRDefault="007D6E75">
      <w:pPr>
        <w:spacing w:after="0" w:line="240" w:lineRule="auto"/>
        <w:jc w:val="center"/>
        <w:rPr>
          <w:rFonts w:cs="Times New Roman"/>
          <w:b/>
          <w:szCs w:val="24"/>
        </w:rPr>
      </w:pPr>
    </w:p>
    <w:p w14:paraId="0EBE9DC3" w14:textId="0B3BA97E" w:rsidR="007D6E75" w:rsidRPr="007D6208" w:rsidRDefault="000D3518" w:rsidP="008111D2">
      <w:pPr>
        <w:spacing w:after="0" w:line="240" w:lineRule="auto"/>
        <w:jc w:val="center"/>
        <w:rPr>
          <w:rFonts w:cs="Times New Roman"/>
          <w:b/>
          <w:szCs w:val="24"/>
        </w:rPr>
      </w:pPr>
      <w:r>
        <w:rPr>
          <w:rFonts w:cs="Times New Roman"/>
          <w:b/>
          <w:szCs w:val="24"/>
        </w:rPr>
        <w:t>April 2</w:t>
      </w:r>
      <w:r w:rsidR="0067562E" w:rsidRPr="007D6208">
        <w:rPr>
          <w:rFonts w:cs="Times New Roman"/>
          <w:b/>
          <w:szCs w:val="24"/>
        </w:rPr>
        <w:t>, 2015</w:t>
      </w:r>
    </w:p>
    <w:p w14:paraId="0EBE9DC4" w14:textId="77777777" w:rsidR="007D6E75" w:rsidRPr="007D6208" w:rsidRDefault="007D6E75" w:rsidP="008111D2">
      <w:pPr>
        <w:spacing w:after="0" w:line="240" w:lineRule="auto"/>
        <w:jc w:val="center"/>
        <w:rPr>
          <w:rFonts w:cs="Times New Roman"/>
          <w:szCs w:val="24"/>
        </w:rPr>
      </w:pPr>
    </w:p>
    <w:p w14:paraId="0EBE9DC5" w14:textId="77777777" w:rsidR="007D6E75" w:rsidRPr="007D6208" w:rsidRDefault="007D6E75" w:rsidP="008111D2">
      <w:pPr>
        <w:spacing w:after="0" w:line="240" w:lineRule="auto"/>
        <w:jc w:val="center"/>
        <w:rPr>
          <w:rFonts w:cs="Times New Roman"/>
          <w:szCs w:val="24"/>
        </w:rPr>
      </w:pPr>
    </w:p>
    <w:p w14:paraId="0EBE9DC6" w14:textId="77777777" w:rsidR="007D6E75" w:rsidRPr="007D6208" w:rsidRDefault="007D6E75" w:rsidP="008111D2">
      <w:pPr>
        <w:spacing w:after="0" w:line="240" w:lineRule="auto"/>
        <w:jc w:val="center"/>
        <w:rPr>
          <w:rFonts w:cs="Times New Roman"/>
          <w:szCs w:val="24"/>
        </w:rPr>
      </w:pPr>
    </w:p>
    <w:p w14:paraId="0EBE9DC7" w14:textId="77777777" w:rsidR="007D6E75" w:rsidRPr="007D6208" w:rsidRDefault="007D6E75" w:rsidP="008111D2">
      <w:pPr>
        <w:spacing w:after="0" w:line="240" w:lineRule="auto"/>
        <w:jc w:val="center"/>
        <w:rPr>
          <w:rFonts w:cs="Times New Roman"/>
          <w:szCs w:val="24"/>
        </w:rPr>
      </w:pPr>
      <w:r w:rsidRPr="007D6208">
        <w:rPr>
          <w:rFonts w:cs="Times New Roman"/>
          <w:szCs w:val="24"/>
        </w:rPr>
        <w:t>Center for Medicaid and CHIP Services (CMCS)</w:t>
      </w:r>
    </w:p>
    <w:p w14:paraId="0EBE9DC8" w14:textId="77777777" w:rsidR="007D6E75" w:rsidRPr="007D6208" w:rsidRDefault="007D6E75" w:rsidP="008111D2">
      <w:pPr>
        <w:spacing w:after="0" w:line="240" w:lineRule="auto"/>
        <w:jc w:val="center"/>
        <w:rPr>
          <w:rFonts w:cs="Times New Roman"/>
          <w:szCs w:val="24"/>
        </w:rPr>
      </w:pPr>
      <w:r w:rsidRPr="007D6208">
        <w:rPr>
          <w:rFonts w:cs="Times New Roman"/>
          <w:szCs w:val="24"/>
        </w:rPr>
        <w:t>Centers for Medicare &amp; Medicaid Services (CMS)</w:t>
      </w:r>
    </w:p>
    <w:p w14:paraId="0EBE9DC9" w14:textId="77777777" w:rsidR="007D6E75" w:rsidRPr="007D6208" w:rsidRDefault="007D6E75" w:rsidP="008111D2">
      <w:pPr>
        <w:spacing w:after="0" w:line="240" w:lineRule="auto"/>
        <w:rPr>
          <w:rFonts w:cs="Times New Roman"/>
          <w:szCs w:val="24"/>
        </w:rPr>
        <w:sectPr w:rsidR="007D6E75" w:rsidRPr="007D6208" w:rsidSect="007D6E75">
          <w:headerReference w:type="default" r:id="rId12"/>
          <w:footerReference w:type="default" r:id="rId13"/>
          <w:pgSz w:w="12240" w:h="15840" w:code="1"/>
          <w:pgMar w:top="1440" w:right="1440" w:bottom="1440" w:left="1440" w:header="720" w:footer="720" w:gutter="0"/>
          <w:cols w:space="720"/>
          <w:vAlign w:val="center"/>
          <w:docGrid w:linePitch="360"/>
        </w:sectPr>
      </w:pPr>
    </w:p>
    <w:p w14:paraId="07450262" w14:textId="71FFBE93" w:rsidR="00D82A42" w:rsidRDefault="00D82A42" w:rsidP="005878A5">
      <w:pPr>
        <w:pStyle w:val="Heading1"/>
        <w:rPr>
          <w:rFonts w:cs="Times New Roman"/>
          <w:szCs w:val="24"/>
        </w:rPr>
      </w:pPr>
      <w:r w:rsidRPr="007E0BD6">
        <w:lastRenderedPageBreak/>
        <w:t xml:space="preserve">CMS requests expedited approval of this collection instrument for release upon OMB approval.  An expedited approval is needed to </w:t>
      </w:r>
      <w:r w:rsidRPr="007E0BD6">
        <w:rPr>
          <w:rFonts w:cs="Times New Roman"/>
          <w:szCs w:val="24"/>
        </w:rPr>
        <w:t>minimize the disruption to timely grant reporting.</w:t>
      </w:r>
    </w:p>
    <w:p w14:paraId="7D7923AB" w14:textId="77777777" w:rsidR="00D82A42" w:rsidRDefault="00D82A42" w:rsidP="005878A5">
      <w:pPr>
        <w:pStyle w:val="Heading1"/>
        <w:rPr>
          <w:rFonts w:cs="Times New Roman"/>
          <w:szCs w:val="24"/>
        </w:rPr>
      </w:pPr>
    </w:p>
    <w:p w14:paraId="0EBE9DCC" w14:textId="78C8BEA3" w:rsidR="00E83C3E" w:rsidRPr="007D6208" w:rsidRDefault="003A5B6A" w:rsidP="005878A5">
      <w:pPr>
        <w:pStyle w:val="Heading1"/>
        <w:rPr>
          <w:rFonts w:cs="Times New Roman"/>
          <w:szCs w:val="24"/>
        </w:rPr>
      </w:pPr>
      <w:r w:rsidRPr="007D6208">
        <w:rPr>
          <w:rFonts w:cs="Times New Roman"/>
          <w:szCs w:val="24"/>
        </w:rPr>
        <w:t>Working backward from the most recent action, th</w:t>
      </w:r>
      <w:r w:rsidR="007E0AEF" w:rsidRPr="007D6208">
        <w:rPr>
          <w:rFonts w:cs="Times New Roman"/>
          <w:szCs w:val="24"/>
        </w:rPr>
        <w:t xml:space="preserve">is package </w:t>
      </w:r>
      <w:r w:rsidR="00AC2741" w:rsidRPr="007D6208">
        <w:rPr>
          <w:rFonts w:cs="Times New Roman"/>
          <w:szCs w:val="24"/>
        </w:rPr>
        <w:t xml:space="preserve">revises the </w:t>
      </w:r>
      <w:proofErr w:type="spellStart"/>
      <w:r w:rsidR="00251737" w:rsidRPr="007D6208">
        <w:rPr>
          <w:rFonts w:cs="Times New Roman"/>
          <w:szCs w:val="24"/>
        </w:rPr>
        <w:t>GenIC</w:t>
      </w:r>
      <w:proofErr w:type="spellEnd"/>
      <w:r w:rsidR="00251737" w:rsidRPr="007D6208">
        <w:rPr>
          <w:rFonts w:cs="Times New Roman"/>
          <w:szCs w:val="24"/>
        </w:rPr>
        <w:t xml:space="preserve"> </w:t>
      </w:r>
      <w:r w:rsidR="00AC2741" w:rsidRPr="007D6208">
        <w:rPr>
          <w:rFonts w:cs="Times New Roman"/>
          <w:szCs w:val="24"/>
        </w:rPr>
        <w:t xml:space="preserve">that was renewed on December 24, 2014, and revised on </w:t>
      </w:r>
      <w:r w:rsidR="00251737" w:rsidRPr="007D6208">
        <w:rPr>
          <w:rFonts w:cs="Times New Roman"/>
          <w:szCs w:val="24"/>
        </w:rPr>
        <w:t xml:space="preserve">March 14, 2014. The original package was approved </w:t>
      </w:r>
      <w:r w:rsidRPr="007D6208">
        <w:rPr>
          <w:rFonts w:cs="Times New Roman"/>
          <w:szCs w:val="24"/>
        </w:rPr>
        <w:t xml:space="preserve">by OMB </w:t>
      </w:r>
      <w:r w:rsidR="00251737" w:rsidRPr="007D6208">
        <w:rPr>
          <w:rFonts w:cs="Times New Roman"/>
          <w:szCs w:val="24"/>
        </w:rPr>
        <w:t xml:space="preserve">on </w:t>
      </w:r>
      <w:r w:rsidR="00E84E1B" w:rsidRPr="007D6208">
        <w:rPr>
          <w:rFonts w:cs="Times New Roman"/>
          <w:szCs w:val="24"/>
        </w:rPr>
        <w:t>May 1, 2012.</w:t>
      </w:r>
    </w:p>
    <w:p w14:paraId="0EBE9DCD" w14:textId="77777777" w:rsidR="00E83C3E" w:rsidRPr="007D6208" w:rsidRDefault="00E83C3E">
      <w:pPr>
        <w:pStyle w:val="Heading1"/>
        <w:rPr>
          <w:rFonts w:cs="Times New Roman"/>
          <w:szCs w:val="24"/>
        </w:rPr>
      </w:pPr>
    </w:p>
    <w:p w14:paraId="0EBE9DCE" w14:textId="77777777" w:rsidR="007D6E75" w:rsidRPr="007D6208" w:rsidRDefault="007D6E75">
      <w:pPr>
        <w:pStyle w:val="Heading1"/>
        <w:rPr>
          <w:rFonts w:cs="Times New Roman"/>
          <w:szCs w:val="24"/>
        </w:rPr>
      </w:pPr>
      <w:r w:rsidRPr="007D6208">
        <w:rPr>
          <w:rFonts w:cs="Times New Roman"/>
          <w:szCs w:val="24"/>
        </w:rPr>
        <w:t>A. Background</w:t>
      </w:r>
    </w:p>
    <w:p w14:paraId="04441F36" w14:textId="77777777" w:rsidR="00933202" w:rsidRPr="007D6208" w:rsidRDefault="00933202" w:rsidP="008111D2">
      <w:pPr>
        <w:spacing w:after="0" w:line="240" w:lineRule="auto"/>
        <w:rPr>
          <w:rFonts w:cs="Times New Roman"/>
          <w:szCs w:val="24"/>
        </w:rPr>
      </w:pPr>
    </w:p>
    <w:p w14:paraId="0EBE9DCF" w14:textId="77777777" w:rsidR="009B19E8" w:rsidRPr="007D6208" w:rsidRDefault="009B19E8" w:rsidP="008111D2">
      <w:pPr>
        <w:spacing w:after="0" w:line="240" w:lineRule="auto"/>
        <w:rPr>
          <w:rFonts w:cs="Times New Roman"/>
          <w:szCs w:val="24"/>
        </w:rPr>
      </w:pPr>
      <w:r w:rsidRPr="007D6208">
        <w:rPr>
          <w:rFonts w:cs="Times New Roman"/>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14:paraId="2685E862" w14:textId="77777777" w:rsidR="00F34937" w:rsidRPr="007D6208" w:rsidRDefault="00F34937" w:rsidP="008111D2">
      <w:pPr>
        <w:spacing w:after="0" w:line="240" w:lineRule="auto"/>
        <w:rPr>
          <w:rFonts w:cs="Times New Roman"/>
          <w:szCs w:val="24"/>
        </w:rPr>
      </w:pPr>
    </w:p>
    <w:p w14:paraId="244BD30F" w14:textId="77777777" w:rsidR="00AC71F3" w:rsidRPr="007D6208" w:rsidRDefault="00AC71F3" w:rsidP="00AC71F3">
      <w:pPr>
        <w:spacing w:after="0" w:line="240" w:lineRule="auto"/>
        <w:rPr>
          <w:rFonts w:cs="Times New Roman"/>
          <w:szCs w:val="24"/>
        </w:rPr>
      </w:pPr>
      <w:r w:rsidRPr="007D6208">
        <w:rPr>
          <w:rFonts w:cs="Times New Roman"/>
          <w:szCs w:val="24"/>
        </w:rPr>
        <w:t xml:space="preserve">The Children’s Health Insurance Program Reauthorization Act of 2009 (CHIPRA) </w:t>
      </w:r>
    </w:p>
    <w:p w14:paraId="0BECA58B" w14:textId="77777777" w:rsidR="00AC71F3" w:rsidRPr="007D6208" w:rsidRDefault="00AC71F3" w:rsidP="00AC71F3">
      <w:pPr>
        <w:spacing w:after="0" w:line="240" w:lineRule="auto"/>
        <w:rPr>
          <w:rFonts w:cs="Times New Roman"/>
          <w:szCs w:val="24"/>
        </w:rPr>
      </w:pPr>
      <w:proofErr w:type="gramStart"/>
      <w:r w:rsidRPr="007D6208">
        <w:rPr>
          <w:rFonts w:cs="Times New Roman"/>
          <w:szCs w:val="24"/>
        </w:rPr>
        <w:t>(Pub.</w:t>
      </w:r>
      <w:proofErr w:type="gramEnd"/>
      <w:r w:rsidRPr="007D6208">
        <w:rPr>
          <w:rFonts w:cs="Times New Roman"/>
          <w:szCs w:val="24"/>
        </w:rPr>
        <w:t xml:space="preserve"> L. 111-3), signed into law by President Obama on February 4, 2009, reauthorized the Children’s Health Insurance Program (CHIP) through federal fiscal year (FFY) 2013. </w:t>
      </w:r>
    </w:p>
    <w:p w14:paraId="1DB27E03" w14:textId="77777777" w:rsidR="00AC71F3" w:rsidRPr="007D6208" w:rsidRDefault="00AC71F3" w:rsidP="00AC71F3">
      <w:pPr>
        <w:spacing w:after="0" w:line="240" w:lineRule="auto"/>
        <w:rPr>
          <w:rFonts w:cs="Times New Roman"/>
          <w:szCs w:val="24"/>
        </w:rPr>
      </w:pPr>
      <w:r w:rsidRPr="007D6208">
        <w:rPr>
          <w:rFonts w:cs="Times New Roman"/>
          <w:szCs w:val="24"/>
        </w:rPr>
        <w:t>(The ACA extended CHIP funding through 2015.)  In addition to financing health coverage for low-income children, the law contained provisions aimed at reducing the number of children who were eligible for Medicaid or CHIP but are not enrolled and improving retention so that eligible children stay covered for as long as they qualified.  To support such efforts, CHIPRA provided a total of $100 million for outreach and enrollment activities, including $80 million for grants to states, local governments, community-based and non-profit organizations and others; $10 million in grant funds exclusively for Indian health care providers and tribal entities; and $10 million devoted to a national outreach and enrollment campaign.</w:t>
      </w:r>
    </w:p>
    <w:p w14:paraId="14255280" w14:textId="77777777" w:rsidR="00AC71F3" w:rsidRPr="007D6208" w:rsidRDefault="00AC71F3" w:rsidP="00AC71F3">
      <w:pPr>
        <w:spacing w:after="0" w:line="240" w:lineRule="auto"/>
        <w:rPr>
          <w:rFonts w:cs="Times New Roman"/>
          <w:szCs w:val="24"/>
        </w:rPr>
      </w:pPr>
    </w:p>
    <w:p w14:paraId="7A30BAF5" w14:textId="5820AFF1" w:rsidR="00F34937" w:rsidRPr="0060207A" w:rsidRDefault="00F34937" w:rsidP="00AC71F3">
      <w:pPr>
        <w:spacing w:after="0" w:line="240" w:lineRule="auto"/>
        <w:rPr>
          <w:rFonts w:cs="Times New Roman"/>
          <w:szCs w:val="24"/>
          <w:u w:val="single"/>
        </w:rPr>
      </w:pPr>
      <w:r w:rsidRPr="0060207A">
        <w:rPr>
          <w:rFonts w:cs="Times New Roman"/>
          <w:szCs w:val="24"/>
          <w:u w:val="single"/>
        </w:rPr>
        <w:t>Cycle I</w:t>
      </w:r>
      <w:r w:rsidR="0060207A" w:rsidRPr="0060207A">
        <w:rPr>
          <w:rFonts w:cs="Times New Roman"/>
          <w:szCs w:val="24"/>
          <w:u w:val="single"/>
        </w:rPr>
        <w:t xml:space="preserve"> (Completed)</w:t>
      </w:r>
    </w:p>
    <w:p w14:paraId="65536B46" w14:textId="77777777" w:rsidR="00AD577E" w:rsidRPr="007D6208" w:rsidRDefault="00AD577E" w:rsidP="00AC71F3">
      <w:pPr>
        <w:spacing w:after="0" w:line="240" w:lineRule="auto"/>
        <w:rPr>
          <w:rFonts w:cs="Times New Roman"/>
          <w:b/>
          <w:szCs w:val="24"/>
        </w:rPr>
      </w:pPr>
    </w:p>
    <w:p w14:paraId="3A815485" w14:textId="490B81F1" w:rsidR="00F34937" w:rsidRPr="007D6208" w:rsidRDefault="00AD577E" w:rsidP="008111D2">
      <w:pPr>
        <w:spacing w:after="0" w:line="240" w:lineRule="auto"/>
        <w:rPr>
          <w:rFonts w:cs="Times New Roman"/>
          <w:szCs w:val="24"/>
        </w:rPr>
      </w:pPr>
      <w:r w:rsidRPr="007D6208">
        <w:rPr>
          <w:rFonts w:cs="Times New Roman"/>
          <w:szCs w:val="24"/>
        </w:rPr>
        <w:t xml:space="preserve">The first $40 million in grants, entitled CHIPRA Outreach and Enrollment Grants (Cycle I), were awarded in September 2009, to 68 grantees in 42 states.  This was followed in April 2010 with awards amounting to $10 million in grants to 41 American Indian/Alaska Native (AI/AN) grantees in 19 states.  </w:t>
      </w:r>
    </w:p>
    <w:p w14:paraId="4C474A94" w14:textId="77777777" w:rsidR="00AD577E" w:rsidRPr="007D6208" w:rsidRDefault="00AD577E" w:rsidP="008111D2">
      <w:pPr>
        <w:spacing w:after="0" w:line="240" w:lineRule="auto"/>
        <w:rPr>
          <w:rFonts w:cs="Times New Roman"/>
          <w:szCs w:val="24"/>
        </w:rPr>
      </w:pPr>
    </w:p>
    <w:p w14:paraId="6B7C5DB7" w14:textId="06E177D5" w:rsidR="00F34937" w:rsidRPr="0060207A" w:rsidRDefault="00F34937" w:rsidP="008111D2">
      <w:pPr>
        <w:spacing w:after="0" w:line="240" w:lineRule="auto"/>
        <w:rPr>
          <w:rFonts w:cs="Times New Roman"/>
          <w:szCs w:val="24"/>
          <w:u w:val="single"/>
        </w:rPr>
      </w:pPr>
      <w:r w:rsidRPr="0060207A">
        <w:rPr>
          <w:rFonts w:cs="Times New Roman"/>
          <w:szCs w:val="24"/>
          <w:u w:val="single"/>
        </w:rPr>
        <w:t>Cycle II</w:t>
      </w:r>
      <w:r w:rsidR="0060207A" w:rsidRPr="0060207A">
        <w:rPr>
          <w:rFonts w:cs="Times New Roman"/>
          <w:szCs w:val="24"/>
          <w:u w:val="single"/>
        </w:rPr>
        <w:t xml:space="preserve"> (Completed)</w:t>
      </w:r>
    </w:p>
    <w:p w14:paraId="20D45FC2" w14:textId="77777777" w:rsidR="0060207A" w:rsidRPr="007D6208" w:rsidRDefault="0060207A" w:rsidP="008111D2">
      <w:pPr>
        <w:spacing w:after="0" w:line="240" w:lineRule="auto"/>
        <w:rPr>
          <w:rFonts w:cs="Times New Roman"/>
          <w:szCs w:val="24"/>
        </w:rPr>
      </w:pPr>
    </w:p>
    <w:p w14:paraId="1D243409" w14:textId="0F2D04AE" w:rsidR="00F34937" w:rsidRPr="007D6208" w:rsidRDefault="00AD577E" w:rsidP="008111D2">
      <w:pPr>
        <w:spacing w:after="0" w:line="240" w:lineRule="auto"/>
        <w:rPr>
          <w:rFonts w:cs="Times New Roman"/>
          <w:szCs w:val="24"/>
        </w:rPr>
      </w:pPr>
      <w:r w:rsidRPr="007D6208">
        <w:rPr>
          <w:rFonts w:cs="Times New Roman"/>
          <w:szCs w:val="24"/>
        </w:rPr>
        <w:t xml:space="preserve">The next cohort of CHIPRA Outreach and Enrollment </w:t>
      </w:r>
      <w:r w:rsidR="001664FE" w:rsidRPr="007D6208">
        <w:rPr>
          <w:rFonts w:cs="Times New Roman"/>
          <w:szCs w:val="24"/>
        </w:rPr>
        <w:t>Grants</w:t>
      </w:r>
      <w:r w:rsidRPr="007D6208">
        <w:rPr>
          <w:rFonts w:cs="Times New Roman"/>
          <w:szCs w:val="24"/>
        </w:rPr>
        <w:t xml:space="preserve"> was awarded in August 2011 with another $40 million going to 39 grantees in 23 states.</w:t>
      </w:r>
    </w:p>
    <w:p w14:paraId="6604DAB1" w14:textId="77777777" w:rsidR="00AD577E" w:rsidRPr="007D6208" w:rsidRDefault="00AD577E" w:rsidP="008111D2">
      <w:pPr>
        <w:spacing w:after="0" w:line="240" w:lineRule="auto"/>
        <w:rPr>
          <w:rFonts w:cs="Times New Roman"/>
          <w:szCs w:val="24"/>
        </w:rPr>
      </w:pPr>
    </w:p>
    <w:p w14:paraId="716BAC8D" w14:textId="5818E389" w:rsidR="00F34937" w:rsidRPr="0060207A" w:rsidRDefault="00F34937" w:rsidP="008111D2">
      <w:pPr>
        <w:spacing w:after="0" w:line="240" w:lineRule="auto"/>
        <w:rPr>
          <w:rFonts w:cs="Times New Roman"/>
          <w:b/>
          <w:szCs w:val="24"/>
          <w:u w:val="single"/>
        </w:rPr>
      </w:pPr>
      <w:r w:rsidRPr="0060207A">
        <w:rPr>
          <w:rFonts w:cs="Times New Roman"/>
          <w:szCs w:val="24"/>
          <w:u w:val="single"/>
        </w:rPr>
        <w:lastRenderedPageBreak/>
        <w:t>Cycle III</w:t>
      </w:r>
      <w:r w:rsidR="0060207A" w:rsidRPr="0060207A">
        <w:rPr>
          <w:rFonts w:cs="Times New Roman"/>
          <w:szCs w:val="24"/>
          <w:u w:val="single"/>
        </w:rPr>
        <w:t xml:space="preserve"> (Extension, Without</w:t>
      </w:r>
      <w:r w:rsidR="0060207A" w:rsidRPr="0060207A">
        <w:rPr>
          <w:rFonts w:cs="Times New Roman"/>
          <w:b/>
          <w:szCs w:val="24"/>
          <w:u w:val="single"/>
        </w:rPr>
        <w:t xml:space="preserve"> </w:t>
      </w:r>
      <w:r w:rsidR="0060207A" w:rsidRPr="0060207A">
        <w:rPr>
          <w:rFonts w:cs="Times New Roman"/>
          <w:szCs w:val="24"/>
          <w:u w:val="single"/>
        </w:rPr>
        <w:t>Change)</w:t>
      </w:r>
    </w:p>
    <w:p w14:paraId="7521E0AF" w14:textId="77777777" w:rsidR="00AC71F3" w:rsidRPr="007D6208" w:rsidRDefault="00AC71F3" w:rsidP="008111D2">
      <w:pPr>
        <w:spacing w:after="0" w:line="240" w:lineRule="auto"/>
        <w:rPr>
          <w:rFonts w:cs="Times New Roman"/>
          <w:b/>
          <w:szCs w:val="24"/>
          <w:u w:val="single"/>
        </w:rPr>
      </w:pPr>
    </w:p>
    <w:p w14:paraId="4AC78573" w14:textId="5B31EFC8" w:rsidR="00F34937" w:rsidRPr="007D6208" w:rsidRDefault="003953E8" w:rsidP="008111D2">
      <w:pPr>
        <w:spacing w:after="0" w:line="240" w:lineRule="auto"/>
        <w:rPr>
          <w:rFonts w:cs="Times New Roman"/>
          <w:szCs w:val="24"/>
        </w:rPr>
      </w:pPr>
      <w:r w:rsidRPr="007D6208">
        <w:rPr>
          <w:rFonts w:cs="Times New Roman"/>
          <w:szCs w:val="24"/>
        </w:rPr>
        <w:t xml:space="preserve">In July 2013, 41 Connecting Kids to Coverage Outreach and Enrollment Grants (Cycle III), totaling $32 million were awarded in 22 states.   These Cycle III grants support outreach strategies similar to those conducted in previous grant cycles, and also fund activities designed to help families understand new application procedures and health coverage opportunities, including Medicaid, CHIP and insurance affordability programs under the ACA.  The period of award for these grants </w:t>
      </w:r>
      <w:r w:rsidR="005E305A" w:rsidRPr="007D6208">
        <w:rPr>
          <w:rFonts w:cs="Times New Roman"/>
          <w:szCs w:val="24"/>
        </w:rPr>
        <w:t xml:space="preserve">is through FY2015 but we anticipate that at least half of the grantees will be approved for up to a one year </w:t>
      </w:r>
      <w:r w:rsidR="00AC71F3" w:rsidRPr="007D6208">
        <w:rPr>
          <w:rFonts w:cs="Times New Roman"/>
          <w:szCs w:val="24"/>
        </w:rPr>
        <w:t xml:space="preserve"> </w:t>
      </w:r>
      <w:r w:rsidR="005E305A" w:rsidRPr="007D6208">
        <w:rPr>
          <w:rFonts w:cs="Times New Roman"/>
          <w:szCs w:val="24"/>
        </w:rPr>
        <w:t>no cost extension which would extend these grants through FY2016.</w:t>
      </w:r>
    </w:p>
    <w:p w14:paraId="5401C9CF" w14:textId="77777777" w:rsidR="00F34937" w:rsidRPr="007D6208" w:rsidRDefault="00F34937" w:rsidP="008111D2">
      <w:pPr>
        <w:spacing w:after="0" w:line="240" w:lineRule="auto"/>
        <w:rPr>
          <w:rFonts w:cs="Times New Roman"/>
          <w:szCs w:val="24"/>
        </w:rPr>
      </w:pPr>
    </w:p>
    <w:p w14:paraId="291A2351" w14:textId="300C33A6" w:rsidR="00F34937" w:rsidRPr="0060207A" w:rsidRDefault="00F34937" w:rsidP="008111D2">
      <w:pPr>
        <w:spacing w:after="0" w:line="240" w:lineRule="auto"/>
        <w:rPr>
          <w:rFonts w:cs="Times New Roman"/>
          <w:szCs w:val="24"/>
          <w:u w:val="single"/>
        </w:rPr>
      </w:pPr>
      <w:r w:rsidRPr="0060207A">
        <w:rPr>
          <w:rFonts w:cs="Times New Roman"/>
          <w:szCs w:val="24"/>
          <w:u w:val="single"/>
        </w:rPr>
        <w:t>Cycle IV</w:t>
      </w:r>
      <w:r w:rsidR="0060207A" w:rsidRPr="0060207A">
        <w:rPr>
          <w:rFonts w:cs="Times New Roman"/>
          <w:szCs w:val="24"/>
          <w:u w:val="single"/>
        </w:rPr>
        <w:t xml:space="preserve"> (New)</w:t>
      </w:r>
    </w:p>
    <w:p w14:paraId="296EF6FD" w14:textId="77777777" w:rsidR="0067562E" w:rsidRPr="007D6208" w:rsidRDefault="0067562E" w:rsidP="0067562E">
      <w:pPr>
        <w:spacing w:after="0" w:line="240" w:lineRule="auto"/>
        <w:rPr>
          <w:rFonts w:cs="Times New Roman"/>
          <w:szCs w:val="24"/>
        </w:rPr>
      </w:pPr>
    </w:p>
    <w:p w14:paraId="21061371" w14:textId="0CC72CD5" w:rsidR="0067562E" w:rsidRPr="007D6208" w:rsidRDefault="004E3B09" w:rsidP="0067562E">
      <w:pPr>
        <w:spacing w:after="0" w:line="240" w:lineRule="auto"/>
        <w:rPr>
          <w:rFonts w:cs="Times New Roman"/>
          <w:szCs w:val="24"/>
        </w:rPr>
      </w:pPr>
      <w:r w:rsidRPr="007D6208">
        <w:rPr>
          <w:rFonts w:cs="Times New Roman"/>
          <w:szCs w:val="24"/>
        </w:rPr>
        <w:t>In November 2014, a</w:t>
      </w:r>
      <w:r w:rsidR="003953E8" w:rsidRPr="007D6208">
        <w:rPr>
          <w:rFonts w:cs="Times New Roman"/>
          <w:szCs w:val="24"/>
        </w:rPr>
        <w:t xml:space="preserve">n additional </w:t>
      </w:r>
      <w:r w:rsidR="0067562E" w:rsidRPr="007D6208">
        <w:rPr>
          <w:rFonts w:cs="Times New Roman"/>
          <w:szCs w:val="24"/>
        </w:rPr>
        <w:t>$4 million</w:t>
      </w:r>
      <w:r w:rsidR="003953E8" w:rsidRPr="007D6208">
        <w:rPr>
          <w:rFonts w:cs="Times New Roman"/>
          <w:szCs w:val="24"/>
        </w:rPr>
        <w:t xml:space="preserve"> in funding was awarded to 10</w:t>
      </w:r>
      <w:r w:rsidR="0067562E" w:rsidRPr="007D6208">
        <w:rPr>
          <w:rFonts w:cs="Times New Roman"/>
          <w:szCs w:val="24"/>
        </w:rPr>
        <w:t xml:space="preserve"> </w:t>
      </w:r>
      <w:r w:rsidR="00443FD1" w:rsidRPr="007D6208">
        <w:rPr>
          <w:rFonts w:cs="Times New Roman"/>
          <w:szCs w:val="24"/>
        </w:rPr>
        <w:t>AI /</w:t>
      </w:r>
      <w:bookmarkStart w:id="0" w:name="_GoBack"/>
      <w:bookmarkEnd w:id="0"/>
      <w:proofErr w:type="gramStart"/>
      <w:r w:rsidR="00443FD1" w:rsidRPr="007D6208">
        <w:rPr>
          <w:rFonts w:cs="Times New Roman"/>
          <w:szCs w:val="24"/>
        </w:rPr>
        <w:t>AN</w:t>
      </w:r>
      <w:proofErr w:type="gramEnd"/>
      <w:r w:rsidR="003953E8" w:rsidRPr="007D6208">
        <w:rPr>
          <w:rFonts w:cs="Times New Roman"/>
          <w:szCs w:val="24"/>
        </w:rPr>
        <w:t xml:space="preserve"> grantees </w:t>
      </w:r>
      <w:r w:rsidRPr="007D6208">
        <w:rPr>
          <w:rFonts w:cs="Times New Roman"/>
          <w:szCs w:val="24"/>
        </w:rPr>
        <w:t>inclu</w:t>
      </w:r>
      <w:r w:rsidR="00597063">
        <w:rPr>
          <w:rFonts w:cs="Times New Roman"/>
          <w:szCs w:val="24"/>
        </w:rPr>
        <w:t>ding</w:t>
      </w:r>
      <w:r w:rsidR="003953E8" w:rsidRPr="007D6208">
        <w:rPr>
          <w:rFonts w:cs="Times New Roman"/>
          <w:szCs w:val="24"/>
        </w:rPr>
        <w:t xml:space="preserve"> </w:t>
      </w:r>
      <w:r w:rsidR="0067562E" w:rsidRPr="007D6208">
        <w:rPr>
          <w:rFonts w:cs="Times New Roman"/>
          <w:szCs w:val="24"/>
        </w:rPr>
        <w:t>Indian health care providers and tribal entities</w:t>
      </w:r>
      <w:r w:rsidR="00AC71F3" w:rsidRPr="007D6208">
        <w:rPr>
          <w:rFonts w:cs="Times New Roman"/>
          <w:szCs w:val="24"/>
        </w:rPr>
        <w:t>.  The</w:t>
      </w:r>
      <w:r w:rsidRPr="007D6208">
        <w:rPr>
          <w:rFonts w:cs="Times New Roman"/>
          <w:szCs w:val="24"/>
        </w:rPr>
        <w:t>se grants share the same</w:t>
      </w:r>
      <w:r w:rsidR="00AC71F3" w:rsidRPr="007D6208">
        <w:rPr>
          <w:rFonts w:cs="Times New Roman"/>
          <w:szCs w:val="24"/>
        </w:rPr>
        <w:t xml:space="preserve"> broad goal, to </w:t>
      </w:r>
      <w:r w:rsidRPr="007D6208">
        <w:rPr>
          <w:rFonts w:cs="Times New Roman"/>
          <w:szCs w:val="24"/>
        </w:rPr>
        <w:t>increase</w:t>
      </w:r>
      <w:r w:rsidR="00AC71F3" w:rsidRPr="007D6208">
        <w:rPr>
          <w:rFonts w:cs="Times New Roman"/>
          <w:szCs w:val="24"/>
        </w:rPr>
        <w:t xml:space="preserve"> </w:t>
      </w:r>
      <w:r w:rsidRPr="007D6208">
        <w:rPr>
          <w:rFonts w:cs="Times New Roman"/>
          <w:szCs w:val="24"/>
        </w:rPr>
        <w:t xml:space="preserve">enrollment </w:t>
      </w:r>
      <w:r w:rsidR="00AC71F3" w:rsidRPr="007D6208">
        <w:rPr>
          <w:rFonts w:cs="Times New Roman"/>
          <w:szCs w:val="24"/>
        </w:rPr>
        <w:t xml:space="preserve">of children who are eligible for Medicaid and the </w:t>
      </w:r>
      <w:r w:rsidRPr="007D6208">
        <w:rPr>
          <w:rFonts w:cs="Times New Roman"/>
          <w:szCs w:val="24"/>
        </w:rPr>
        <w:t>CHIP</w:t>
      </w:r>
      <w:r w:rsidR="00AC71F3" w:rsidRPr="007D6208">
        <w:rPr>
          <w:rFonts w:cs="Times New Roman"/>
          <w:szCs w:val="24"/>
        </w:rPr>
        <w:t xml:space="preserve"> but are not enrolled, and to keep them covered for as long as they qualify.  </w:t>
      </w:r>
      <w:r w:rsidRPr="007D6208">
        <w:rPr>
          <w:rFonts w:cs="Times New Roman"/>
          <w:szCs w:val="24"/>
        </w:rPr>
        <w:t xml:space="preserve">These </w:t>
      </w:r>
      <w:r w:rsidR="002009DB" w:rsidRPr="007D6208">
        <w:rPr>
          <w:rFonts w:cs="Times New Roman"/>
          <w:szCs w:val="24"/>
        </w:rPr>
        <w:t xml:space="preserve">two year </w:t>
      </w:r>
      <w:r w:rsidRPr="007D6208">
        <w:rPr>
          <w:rFonts w:cs="Times New Roman"/>
          <w:szCs w:val="24"/>
        </w:rPr>
        <w:t xml:space="preserve">grants </w:t>
      </w:r>
      <w:r w:rsidR="00AC71F3" w:rsidRPr="007D6208">
        <w:rPr>
          <w:rFonts w:cs="Times New Roman"/>
          <w:szCs w:val="24"/>
        </w:rPr>
        <w:t xml:space="preserve">will help prepare AI/AN organizations and communities </w:t>
      </w:r>
      <w:r w:rsidRPr="007D6208">
        <w:rPr>
          <w:rFonts w:cs="Times New Roman"/>
          <w:szCs w:val="24"/>
        </w:rPr>
        <w:t xml:space="preserve">to </w:t>
      </w:r>
      <w:r w:rsidR="00AC71F3" w:rsidRPr="007D6208">
        <w:rPr>
          <w:rFonts w:cs="Times New Roman"/>
          <w:szCs w:val="24"/>
        </w:rPr>
        <w:t xml:space="preserve">reach out to those children who remain uninsured </w:t>
      </w:r>
      <w:r w:rsidRPr="007D6208">
        <w:rPr>
          <w:rFonts w:cs="Times New Roman"/>
          <w:szCs w:val="24"/>
        </w:rPr>
        <w:t xml:space="preserve">providing them and their families with </w:t>
      </w:r>
      <w:r w:rsidR="00AC71F3" w:rsidRPr="007D6208">
        <w:rPr>
          <w:rFonts w:cs="Times New Roman"/>
          <w:szCs w:val="24"/>
        </w:rPr>
        <w:t xml:space="preserve">enrollment assistance as well as improving the renewal processes </w:t>
      </w:r>
      <w:r w:rsidRPr="007D6208">
        <w:rPr>
          <w:rFonts w:cs="Times New Roman"/>
          <w:szCs w:val="24"/>
        </w:rPr>
        <w:t>so</w:t>
      </w:r>
      <w:r w:rsidR="00AC71F3" w:rsidRPr="007D6208">
        <w:rPr>
          <w:rFonts w:cs="Times New Roman"/>
          <w:szCs w:val="24"/>
        </w:rPr>
        <w:t xml:space="preserve"> children </w:t>
      </w:r>
      <w:r w:rsidRPr="007D6208">
        <w:rPr>
          <w:rFonts w:cs="Times New Roman"/>
          <w:szCs w:val="24"/>
        </w:rPr>
        <w:t>will</w:t>
      </w:r>
      <w:r w:rsidR="00AC71F3" w:rsidRPr="007D6208">
        <w:rPr>
          <w:rFonts w:cs="Times New Roman"/>
          <w:szCs w:val="24"/>
        </w:rPr>
        <w:t xml:space="preserve"> continue with their </w:t>
      </w:r>
      <w:r w:rsidRPr="007D6208">
        <w:rPr>
          <w:rFonts w:cs="Times New Roman"/>
          <w:szCs w:val="24"/>
        </w:rPr>
        <w:t xml:space="preserve">health care </w:t>
      </w:r>
      <w:r w:rsidR="00AC71F3" w:rsidRPr="007D6208">
        <w:rPr>
          <w:rFonts w:cs="Times New Roman"/>
          <w:szCs w:val="24"/>
        </w:rPr>
        <w:t>coverage.</w:t>
      </w:r>
      <w:r w:rsidR="002009DB" w:rsidRPr="007D6208">
        <w:rPr>
          <w:rFonts w:cs="Times New Roman"/>
          <w:szCs w:val="24"/>
        </w:rPr>
        <w:t xml:space="preserve">  The period of award for these grants is through FY2016 and there will not be any </w:t>
      </w:r>
      <w:proofErr w:type="gramStart"/>
      <w:r w:rsidR="002009DB" w:rsidRPr="007D6208">
        <w:rPr>
          <w:rFonts w:cs="Times New Roman"/>
          <w:szCs w:val="24"/>
        </w:rPr>
        <w:t>no</w:t>
      </w:r>
      <w:proofErr w:type="gramEnd"/>
      <w:r w:rsidR="002009DB" w:rsidRPr="007D6208">
        <w:rPr>
          <w:rFonts w:cs="Times New Roman"/>
          <w:szCs w:val="24"/>
        </w:rPr>
        <w:t xml:space="preserve"> cost extensions under this award.</w:t>
      </w:r>
    </w:p>
    <w:p w14:paraId="70133C40" w14:textId="77777777" w:rsidR="0067562E" w:rsidRPr="007D6208" w:rsidRDefault="0067562E" w:rsidP="0067562E">
      <w:pPr>
        <w:spacing w:after="0" w:line="240" w:lineRule="auto"/>
        <w:rPr>
          <w:rFonts w:cs="Times New Roman"/>
          <w:szCs w:val="24"/>
        </w:rPr>
      </w:pPr>
    </w:p>
    <w:p w14:paraId="0EBE9DD2" w14:textId="77777777" w:rsidR="007D6E75" w:rsidRPr="007D6208" w:rsidRDefault="007D6E75" w:rsidP="005878A5">
      <w:pPr>
        <w:pStyle w:val="Heading1"/>
        <w:rPr>
          <w:rFonts w:cs="Times New Roman"/>
          <w:szCs w:val="24"/>
        </w:rPr>
      </w:pPr>
      <w:r w:rsidRPr="007D6208">
        <w:rPr>
          <w:rFonts w:cs="Times New Roman"/>
          <w:szCs w:val="24"/>
        </w:rPr>
        <w:t>B. Description of Information Collection</w:t>
      </w:r>
    </w:p>
    <w:p w14:paraId="05DFF282" w14:textId="77777777" w:rsidR="00933202" w:rsidRPr="007D6208" w:rsidRDefault="00933202" w:rsidP="00F34937">
      <w:pPr>
        <w:spacing w:after="0" w:line="240" w:lineRule="auto"/>
        <w:rPr>
          <w:rFonts w:cs="Times New Roman"/>
          <w:szCs w:val="24"/>
        </w:rPr>
      </w:pPr>
    </w:p>
    <w:p w14:paraId="7D397366" w14:textId="1971E53B" w:rsidR="00AC71F3" w:rsidRPr="007D6208" w:rsidRDefault="00AC71F3" w:rsidP="00F34937">
      <w:pPr>
        <w:spacing w:after="0" w:line="240" w:lineRule="auto"/>
        <w:rPr>
          <w:rFonts w:cs="Times New Roman"/>
          <w:szCs w:val="24"/>
        </w:rPr>
      </w:pPr>
      <w:r w:rsidRPr="007D6208">
        <w:rPr>
          <w:rFonts w:cs="Times New Roman"/>
          <w:szCs w:val="24"/>
        </w:rPr>
        <w:t xml:space="preserve">Section 2113(d) of the Social Security Act requires that CMS publish enrollment data and annual reports to Congress on the grant-funded outreach and enrollment efforts. CMS has contracted with an external evaluator to assess, synthesize and report on the success and lessons of the CHPRA grants. In order to conduct the evaluation and meet Congressional requirements, CMS proposes to periodically </w:t>
      </w:r>
      <w:r w:rsidR="004E3B09" w:rsidRPr="007D6208">
        <w:rPr>
          <w:rFonts w:cs="Times New Roman"/>
          <w:szCs w:val="24"/>
        </w:rPr>
        <w:t xml:space="preserve">collect </w:t>
      </w:r>
      <w:r w:rsidRPr="007D6208">
        <w:rPr>
          <w:rFonts w:cs="Times New Roman"/>
          <w:szCs w:val="24"/>
        </w:rPr>
        <w:t xml:space="preserve">specific data and narrative information from each grantee.  </w:t>
      </w:r>
    </w:p>
    <w:p w14:paraId="39386A44" w14:textId="77777777" w:rsidR="00F34937" w:rsidRPr="007D6208" w:rsidRDefault="00F34937" w:rsidP="00F34937">
      <w:pPr>
        <w:spacing w:after="0" w:line="240" w:lineRule="auto"/>
        <w:rPr>
          <w:rFonts w:cs="Times New Roman"/>
          <w:b/>
          <w:szCs w:val="24"/>
          <w:u w:val="single"/>
        </w:rPr>
      </w:pPr>
    </w:p>
    <w:p w14:paraId="4122DF39" w14:textId="5CB2BB55" w:rsidR="00AD577E" w:rsidRPr="00833DAD" w:rsidRDefault="00F34937" w:rsidP="00F34937">
      <w:pPr>
        <w:spacing w:after="0" w:line="240" w:lineRule="auto"/>
        <w:rPr>
          <w:rFonts w:cs="Times New Roman"/>
          <w:szCs w:val="24"/>
          <w:u w:val="single"/>
        </w:rPr>
      </w:pPr>
      <w:r w:rsidRPr="00833DAD">
        <w:rPr>
          <w:rFonts w:cs="Times New Roman"/>
          <w:szCs w:val="24"/>
          <w:u w:val="single"/>
        </w:rPr>
        <w:t>Cycle III</w:t>
      </w:r>
      <w:r w:rsidR="00833DAD" w:rsidRPr="00833DAD">
        <w:rPr>
          <w:rFonts w:cs="Times New Roman"/>
          <w:szCs w:val="24"/>
          <w:u w:val="single"/>
        </w:rPr>
        <w:t xml:space="preserve"> (Extension, Without Change)</w:t>
      </w:r>
    </w:p>
    <w:p w14:paraId="06A6386D" w14:textId="5E40DC5E" w:rsidR="002009DB" w:rsidRPr="007D6208" w:rsidRDefault="002009DB" w:rsidP="00F34937">
      <w:pPr>
        <w:spacing w:after="0" w:line="240" w:lineRule="auto"/>
        <w:rPr>
          <w:rFonts w:cs="Times New Roman"/>
          <w:szCs w:val="24"/>
        </w:rPr>
      </w:pPr>
    </w:p>
    <w:p w14:paraId="6E98C9E9" w14:textId="24B9D46C" w:rsidR="00877EE8" w:rsidRPr="007D6208" w:rsidRDefault="002009DB" w:rsidP="00F34937">
      <w:pPr>
        <w:spacing w:after="0" w:line="240" w:lineRule="auto"/>
        <w:rPr>
          <w:rFonts w:cs="Times New Roman"/>
          <w:szCs w:val="24"/>
        </w:rPr>
      </w:pPr>
      <w:r w:rsidRPr="007D6208">
        <w:rPr>
          <w:rFonts w:cs="Times New Roman"/>
          <w:szCs w:val="24"/>
        </w:rPr>
        <w:t xml:space="preserve">The attached template is the same that </w:t>
      </w:r>
      <w:r w:rsidR="00DC3F84">
        <w:rPr>
          <w:rFonts w:cs="Times New Roman"/>
          <w:szCs w:val="24"/>
        </w:rPr>
        <w:t>is currently</w:t>
      </w:r>
      <w:r w:rsidRPr="007D6208">
        <w:rPr>
          <w:rFonts w:cs="Times New Roman"/>
          <w:szCs w:val="24"/>
        </w:rPr>
        <w:t xml:space="preserve"> approved for this data collection, and will continue to be used for those grantees with a no cost extension.  At the end of the grant</w:t>
      </w:r>
      <w:r w:rsidR="00877EE8" w:rsidRPr="007D6208">
        <w:rPr>
          <w:rFonts w:cs="Times New Roman"/>
          <w:szCs w:val="24"/>
        </w:rPr>
        <w:t xml:space="preserve"> period</w:t>
      </w:r>
      <w:r w:rsidRPr="007D6208">
        <w:rPr>
          <w:rFonts w:cs="Times New Roman"/>
          <w:szCs w:val="24"/>
        </w:rPr>
        <w:t xml:space="preserve">, and based on grantee experience, the evaluator will </w:t>
      </w:r>
      <w:r w:rsidR="007224E4" w:rsidRPr="007D6208">
        <w:rPr>
          <w:rFonts w:cs="Times New Roman"/>
          <w:szCs w:val="24"/>
        </w:rPr>
        <w:t>make</w:t>
      </w:r>
      <w:r w:rsidRPr="007D6208">
        <w:rPr>
          <w:rFonts w:cs="Times New Roman"/>
          <w:szCs w:val="24"/>
        </w:rPr>
        <w:t xml:space="preserve"> a slight amendment to the </w:t>
      </w:r>
      <w:r w:rsidR="00877EE8" w:rsidRPr="007D6208">
        <w:rPr>
          <w:rFonts w:cs="Times New Roman"/>
          <w:szCs w:val="24"/>
        </w:rPr>
        <w:t xml:space="preserve">existing </w:t>
      </w:r>
      <w:r w:rsidRPr="007D6208">
        <w:rPr>
          <w:rFonts w:cs="Times New Roman"/>
          <w:szCs w:val="24"/>
        </w:rPr>
        <w:t xml:space="preserve">template </w:t>
      </w:r>
      <w:r w:rsidR="007224E4" w:rsidRPr="007D6208">
        <w:rPr>
          <w:rFonts w:cs="Times New Roman"/>
          <w:szCs w:val="24"/>
        </w:rPr>
        <w:t>by</w:t>
      </w:r>
      <w:r w:rsidRPr="007D6208">
        <w:rPr>
          <w:rFonts w:cs="Times New Roman"/>
          <w:szCs w:val="24"/>
        </w:rPr>
        <w:t xml:space="preserve"> </w:t>
      </w:r>
      <w:r w:rsidR="00877EE8" w:rsidRPr="007D6208">
        <w:rPr>
          <w:rFonts w:cs="Times New Roman"/>
          <w:szCs w:val="24"/>
        </w:rPr>
        <w:t>expan</w:t>
      </w:r>
      <w:r w:rsidRPr="007D6208">
        <w:rPr>
          <w:rFonts w:cs="Times New Roman"/>
          <w:szCs w:val="24"/>
        </w:rPr>
        <w:t xml:space="preserve">ding </w:t>
      </w:r>
      <w:r w:rsidR="00877EE8" w:rsidRPr="007D6208">
        <w:rPr>
          <w:rFonts w:cs="Times New Roman"/>
          <w:szCs w:val="24"/>
        </w:rPr>
        <w:t xml:space="preserve">on </w:t>
      </w:r>
      <w:r w:rsidRPr="007D6208">
        <w:rPr>
          <w:rFonts w:cs="Times New Roman"/>
          <w:szCs w:val="24"/>
        </w:rPr>
        <w:t xml:space="preserve">several </w:t>
      </w:r>
      <w:r w:rsidR="00877EE8" w:rsidRPr="007D6208">
        <w:rPr>
          <w:rFonts w:cs="Times New Roman"/>
          <w:szCs w:val="24"/>
        </w:rPr>
        <w:t xml:space="preserve">of the </w:t>
      </w:r>
      <w:r w:rsidRPr="007D6208">
        <w:rPr>
          <w:rFonts w:cs="Times New Roman"/>
          <w:szCs w:val="24"/>
        </w:rPr>
        <w:t xml:space="preserve">questions </w:t>
      </w:r>
      <w:r w:rsidR="007224E4" w:rsidRPr="007D6208">
        <w:rPr>
          <w:rFonts w:cs="Times New Roman"/>
          <w:szCs w:val="24"/>
        </w:rPr>
        <w:t>in order for the</w:t>
      </w:r>
      <w:r w:rsidRPr="007D6208">
        <w:rPr>
          <w:rFonts w:cs="Times New Roman"/>
          <w:szCs w:val="24"/>
        </w:rPr>
        <w:t xml:space="preserve"> grantee </w:t>
      </w:r>
      <w:r w:rsidR="007224E4" w:rsidRPr="007D6208">
        <w:rPr>
          <w:rFonts w:cs="Times New Roman"/>
          <w:szCs w:val="24"/>
        </w:rPr>
        <w:t xml:space="preserve">to </w:t>
      </w:r>
      <w:r w:rsidRPr="007D6208">
        <w:rPr>
          <w:rFonts w:cs="Times New Roman"/>
          <w:szCs w:val="24"/>
        </w:rPr>
        <w:t>summarize their grant ex</w:t>
      </w:r>
      <w:r w:rsidR="007224E4" w:rsidRPr="007D6208">
        <w:rPr>
          <w:rFonts w:cs="Times New Roman"/>
          <w:szCs w:val="24"/>
        </w:rPr>
        <w:t xml:space="preserve">perience.  </w:t>
      </w:r>
      <w:r w:rsidR="00877EE8" w:rsidRPr="007D6208">
        <w:rPr>
          <w:rFonts w:cs="Times New Roman"/>
          <w:szCs w:val="24"/>
        </w:rPr>
        <w:t xml:space="preserve">Once the external evaluator has completed this simplified template, we will submit for </w:t>
      </w:r>
      <w:r w:rsidR="009E16DE" w:rsidRPr="007D6208">
        <w:rPr>
          <w:rFonts w:cs="Times New Roman"/>
          <w:szCs w:val="24"/>
        </w:rPr>
        <w:t>OMB</w:t>
      </w:r>
      <w:r w:rsidR="00877EE8" w:rsidRPr="007D6208">
        <w:rPr>
          <w:rFonts w:cs="Times New Roman"/>
          <w:szCs w:val="24"/>
        </w:rPr>
        <w:t xml:space="preserve"> approval.</w:t>
      </w:r>
    </w:p>
    <w:p w14:paraId="46AD9315" w14:textId="77777777" w:rsidR="00AD577E" w:rsidRPr="007D6208" w:rsidRDefault="00AD577E" w:rsidP="00F34937">
      <w:pPr>
        <w:spacing w:after="0" w:line="240" w:lineRule="auto"/>
        <w:rPr>
          <w:rFonts w:cs="Times New Roman"/>
          <w:szCs w:val="24"/>
        </w:rPr>
      </w:pPr>
    </w:p>
    <w:p w14:paraId="4D4B82F5" w14:textId="2B104614" w:rsidR="00AD577E" w:rsidRPr="00833DAD" w:rsidRDefault="00F34937" w:rsidP="00D4736A">
      <w:pPr>
        <w:spacing w:after="0" w:line="240" w:lineRule="auto"/>
        <w:rPr>
          <w:rFonts w:cs="Times New Roman"/>
          <w:szCs w:val="24"/>
          <w:u w:val="single"/>
        </w:rPr>
      </w:pPr>
      <w:r w:rsidRPr="00833DAD">
        <w:rPr>
          <w:rFonts w:cs="Times New Roman"/>
          <w:szCs w:val="24"/>
          <w:u w:val="single"/>
        </w:rPr>
        <w:t>Cycle IV</w:t>
      </w:r>
      <w:r w:rsidR="00833DAD" w:rsidRPr="00833DAD">
        <w:rPr>
          <w:rFonts w:cs="Times New Roman"/>
          <w:szCs w:val="24"/>
          <w:u w:val="single"/>
        </w:rPr>
        <w:t xml:space="preserve"> (New)</w:t>
      </w:r>
    </w:p>
    <w:p w14:paraId="11B42E74" w14:textId="77777777" w:rsidR="00F42137" w:rsidRPr="007D6208" w:rsidRDefault="00F42137" w:rsidP="00D4736A">
      <w:pPr>
        <w:spacing w:after="0" w:line="240" w:lineRule="auto"/>
        <w:rPr>
          <w:rFonts w:cs="Times New Roman"/>
          <w:szCs w:val="24"/>
        </w:rPr>
      </w:pPr>
    </w:p>
    <w:p w14:paraId="0EBE9DD4" w14:textId="500FAFE9" w:rsidR="00D12ABB" w:rsidRPr="007D6208" w:rsidRDefault="0032797D" w:rsidP="00D4736A">
      <w:pPr>
        <w:spacing w:after="0" w:line="240" w:lineRule="auto"/>
        <w:rPr>
          <w:rFonts w:cs="Times New Roman"/>
          <w:b/>
          <w:szCs w:val="24"/>
        </w:rPr>
      </w:pPr>
      <w:r w:rsidRPr="007D6208">
        <w:rPr>
          <w:rFonts w:cs="Times New Roman"/>
          <w:szCs w:val="24"/>
        </w:rPr>
        <w:t xml:space="preserve">The AI/AN Connecting Kids to Coverage Grant Semi-Annual Report Template </w:t>
      </w:r>
      <w:proofErr w:type="gramStart"/>
      <w:r w:rsidRPr="007D6208">
        <w:rPr>
          <w:rFonts w:cs="Times New Roman"/>
          <w:szCs w:val="24"/>
        </w:rPr>
        <w:t>is</w:t>
      </w:r>
      <w:proofErr w:type="gramEnd"/>
      <w:r w:rsidRPr="007D6208">
        <w:rPr>
          <w:rFonts w:cs="Times New Roman"/>
          <w:szCs w:val="24"/>
        </w:rPr>
        <w:t xml:space="preserve"> </w:t>
      </w:r>
      <w:r w:rsidR="00597063">
        <w:rPr>
          <w:rFonts w:cs="Times New Roman"/>
          <w:szCs w:val="24"/>
        </w:rPr>
        <w:t xml:space="preserve">also </w:t>
      </w:r>
      <w:r w:rsidRPr="007D6208">
        <w:rPr>
          <w:rFonts w:cs="Times New Roman"/>
          <w:szCs w:val="24"/>
        </w:rPr>
        <w:t>attached.</w:t>
      </w:r>
      <w:r w:rsidR="00877EE8" w:rsidRPr="007D6208">
        <w:rPr>
          <w:rFonts w:cs="Times New Roman"/>
          <w:szCs w:val="24"/>
        </w:rPr>
        <w:t xml:space="preserve">  We worked with the external evaluator to simplify the template based on grantee experience and in order to facilitate data collection for this population.</w:t>
      </w:r>
    </w:p>
    <w:p w14:paraId="2BF0FEB4" w14:textId="77777777" w:rsidR="0032797D" w:rsidRPr="007D6208" w:rsidRDefault="0032797D" w:rsidP="00D4736A">
      <w:pPr>
        <w:spacing w:after="0" w:line="240" w:lineRule="auto"/>
        <w:rPr>
          <w:rFonts w:cs="Times New Roman"/>
          <w:szCs w:val="24"/>
        </w:rPr>
      </w:pPr>
    </w:p>
    <w:p w14:paraId="2B6AFD79" w14:textId="13180D1A" w:rsidR="0032797D" w:rsidRPr="007D6208" w:rsidRDefault="0032797D" w:rsidP="0032797D">
      <w:pPr>
        <w:spacing w:after="0" w:line="240" w:lineRule="auto"/>
        <w:rPr>
          <w:rFonts w:cs="Times New Roman"/>
          <w:szCs w:val="24"/>
        </w:rPr>
      </w:pPr>
      <w:r w:rsidRPr="007D6208">
        <w:rPr>
          <w:rFonts w:cs="Times New Roman"/>
          <w:szCs w:val="24"/>
        </w:rPr>
        <w:lastRenderedPageBreak/>
        <w:t xml:space="preserve">The document is designed to allow grantees to answer the questions in the Microsoft Word document and return it to CMS for review. The attached </w:t>
      </w:r>
      <w:r w:rsidR="00597063">
        <w:rPr>
          <w:rFonts w:cs="Times New Roman"/>
          <w:szCs w:val="24"/>
        </w:rPr>
        <w:t xml:space="preserve">template </w:t>
      </w:r>
      <w:r w:rsidRPr="007D6208">
        <w:rPr>
          <w:rFonts w:cs="Times New Roman"/>
          <w:szCs w:val="24"/>
        </w:rPr>
        <w:t xml:space="preserve">(collection format) is designed to: </w:t>
      </w:r>
    </w:p>
    <w:p w14:paraId="428AD4E9" w14:textId="1CBB62DB" w:rsidR="0032797D" w:rsidRPr="007D6208" w:rsidRDefault="0032797D" w:rsidP="0032797D">
      <w:pPr>
        <w:pStyle w:val="ListParagraph"/>
        <w:numPr>
          <w:ilvl w:val="0"/>
          <w:numId w:val="14"/>
        </w:numPr>
        <w:spacing w:after="0" w:line="240" w:lineRule="auto"/>
        <w:rPr>
          <w:rFonts w:ascii="Times New Roman" w:hAnsi="Times New Roman"/>
          <w:sz w:val="24"/>
          <w:szCs w:val="24"/>
        </w:rPr>
      </w:pPr>
      <w:r w:rsidRPr="007D6208">
        <w:rPr>
          <w:rFonts w:ascii="Times New Roman" w:hAnsi="Times New Roman"/>
          <w:sz w:val="24"/>
          <w:szCs w:val="24"/>
        </w:rPr>
        <w:t>Recognize the diversity of grant project designs and approaches to outreach and enrollment, allow grantees flexibility to highlight key accomplishments, challenges, and lessons learned of their projects;</w:t>
      </w:r>
    </w:p>
    <w:p w14:paraId="6316D332" w14:textId="1A352399" w:rsidR="0032797D" w:rsidRPr="007D6208" w:rsidRDefault="0032797D" w:rsidP="0032797D">
      <w:pPr>
        <w:pStyle w:val="ListParagraph"/>
        <w:numPr>
          <w:ilvl w:val="0"/>
          <w:numId w:val="14"/>
        </w:numPr>
        <w:spacing w:after="0" w:line="240" w:lineRule="auto"/>
        <w:rPr>
          <w:rFonts w:ascii="Times New Roman" w:hAnsi="Times New Roman"/>
          <w:sz w:val="24"/>
          <w:szCs w:val="24"/>
        </w:rPr>
      </w:pPr>
      <w:r w:rsidRPr="007D6208">
        <w:rPr>
          <w:rFonts w:ascii="Times New Roman" w:hAnsi="Times New Roman"/>
          <w:sz w:val="24"/>
          <w:szCs w:val="24"/>
        </w:rPr>
        <w:t>Allow grantees to report on the strategies for outreach and enrollment that were most effective and least effective in enrolling children in Medicaid and CHIP;</w:t>
      </w:r>
    </w:p>
    <w:p w14:paraId="7DB11C39" w14:textId="45A09676" w:rsidR="0032797D" w:rsidRPr="007D6208" w:rsidRDefault="0032797D" w:rsidP="0032797D">
      <w:pPr>
        <w:pStyle w:val="ListParagraph"/>
        <w:numPr>
          <w:ilvl w:val="0"/>
          <w:numId w:val="14"/>
        </w:numPr>
        <w:spacing w:after="0" w:line="240" w:lineRule="auto"/>
        <w:rPr>
          <w:rFonts w:ascii="Times New Roman" w:hAnsi="Times New Roman"/>
          <w:sz w:val="24"/>
          <w:szCs w:val="24"/>
        </w:rPr>
      </w:pPr>
      <w:r w:rsidRPr="007D6208">
        <w:rPr>
          <w:rFonts w:ascii="Times New Roman" w:hAnsi="Times New Roman"/>
          <w:sz w:val="24"/>
          <w:szCs w:val="24"/>
        </w:rPr>
        <w:t xml:space="preserve">Provide consistency across the grant program in the </w:t>
      </w:r>
      <w:r w:rsidR="00597063">
        <w:rPr>
          <w:rFonts w:ascii="Times New Roman" w:hAnsi="Times New Roman"/>
          <w:sz w:val="24"/>
          <w:szCs w:val="24"/>
        </w:rPr>
        <w:t xml:space="preserve">report </w:t>
      </w:r>
      <w:r w:rsidRPr="007D6208">
        <w:rPr>
          <w:rFonts w:ascii="Times New Roman" w:hAnsi="Times New Roman"/>
          <w:sz w:val="24"/>
          <w:szCs w:val="24"/>
        </w:rPr>
        <w:t>structure, content, and format;</w:t>
      </w:r>
    </w:p>
    <w:p w14:paraId="5768054C" w14:textId="1E07484F" w:rsidR="0032797D" w:rsidRPr="007D6208" w:rsidRDefault="0032797D" w:rsidP="0032797D">
      <w:pPr>
        <w:pStyle w:val="ListParagraph"/>
        <w:numPr>
          <w:ilvl w:val="0"/>
          <w:numId w:val="14"/>
        </w:numPr>
        <w:spacing w:after="0" w:line="240" w:lineRule="auto"/>
        <w:rPr>
          <w:rFonts w:ascii="Times New Roman" w:hAnsi="Times New Roman"/>
          <w:sz w:val="24"/>
          <w:szCs w:val="24"/>
        </w:rPr>
      </w:pPr>
      <w:r w:rsidRPr="007D6208">
        <w:rPr>
          <w:rFonts w:ascii="Times New Roman" w:hAnsi="Times New Roman"/>
          <w:sz w:val="24"/>
          <w:szCs w:val="24"/>
        </w:rPr>
        <w:t xml:space="preserve">Allow for accurate and effective evaluation of </w:t>
      </w:r>
      <w:r w:rsidR="00597063">
        <w:rPr>
          <w:rFonts w:ascii="Times New Roman" w:hAnsi="Times New Roman"/>
          <w:sz w:val="24"/>
          <w:szCs w:val="24"/>
        </w:rPr>
        <w:t>grant</w:t>
      </w:r>
      <w:r w:rsidRPr="007D6208">
        <w:rPr>
          <w:rFonts w:ascii="Times New Roman" w:hAnsi="Times New Roman"/>
          <w:sz w:val="24"/>
          <w:szCs w:val="24"/>
        </w:rPr>
        <w:t xml:space="preserve"> outcomes and strategies </w:t>
      </w:r>
      <w:r w:rsidR="00597063">
        <w:rPr>
          <w:rFonts w:ascii="Times New Roman" w:hAnsi="Times New Roman"/>
          <w:sz w:val="24"/>
          <w:szCs w:val="24"/>
        </w:rPr>
        <w:t xml:space="preserve">as compared to the goals specified in their grant </w:t>
      </w:r>
      <w:r w:rsidRPr="007D6208">
        <w:rPr>
          <w:rFonts w:ascii="Times New Roman" w:hAnsi="Times New Roman"/>
          <w:sz w:val="24"/>
          <w:szCs w:val="24"/>
        </w:rPr>
        <w:t>proposal.</w:t>
      </w:r>
    </w:p>
    <w:p w14:paraId="79AA4774" w14:textId="77777777" w:rsidR="0032797D" w:rsidRPr="007D6208" w:rsidRDefault="0032797D" w:rsidP="0032797D">
      <w:pPr>
        <w:spacing w:after="0" w:line="240" w:lineRule="auto"/>
        <w:rPr>
          <w:rFonts w:cs="Times New Roman"/>
          <w:szCs w:val="24"/>
        </w:rPr>
      </w:pPr>
    </w:p>
    <w:p w14:paraId="2B280460" w14:textId="7F289E7E" w:rsidR="0032797D" w:rsidRPr="007D6208" w:rsidRDefault="0032797D" w:rsidP="0032797D">
      <w:pPr>
        <w:spacing w:after="0" w:line="240" w:lineRule="auto"/>
        <w:rPr>
          <w:rFonts w:cs="Times New Roman"/>
          <w:szCs w:val="24"/>
        </w:rPr>
      </w:pPr>
      <w:r w:rsidRPr="007D6208">
        <w:rPr>
          <w:rFonts w:cs="Times New Roman"/>
          <w:szCs w:val="24"/>
        </w:rPr>
        <w:t xml:space="preserve">For each Semi-Annual Report, the appropriate reporting period and due dates will be </w:t>
      </w:r>
      <w:r w:rsidR="00952F24" w:rsidRPr="007D6208">
        <w:rPr>
          <w:rFonts w:cs="Times New Roman"/>
          <w:szCs w:val="24"/>
        </w:rPr>
        <w:t>auto</w:t>
      </w:r>
      <w:r w:rsidR="00443FD1" w:rsidRPr="007D6208">
        <w:rPr>
          <w:rFonts w:cs="Times New Roman"/>
          <w:szCs w:val="24"/>
        </w:rPr>
        <w:t>-</w:t>
      </w:r>
      <w:r w:rsidRPr="007D6208">
        <w:rPr>
          <w:rFonts w:cs="Times New Roman"/>
          <w:szCs w:val="24"/>
        </w:rPr>
        <w:t xml:space="preserve">populated in the template where indicated.  All </w:t>
      </w:r>
      <w:r w:rsidR="00597063">
        <w:rPr>
          <w:rFonts w:cs="Times New Roman"/>
          <w:szCs w:val="24"/>
        </w:rPr>
        <w:t>ten</w:t>
      </w:r>
      <w:r w:rsidRPr="007D6208">
        <w:rPr>
          <w:rFonts w:cs="Times New Roman"/>
          <w:szCs w:val="24"/>
        </w:rPr>
        <w:t xml:space="preserve"> grantees will report on the attached template, questions one through </w:t>
      </w:r>
      <w:r w:rsidR="00597063">
        <w:rPr>
          <w:rFonts w:cs="Times New Roman"/>
          <w:szCs w:val="24"/>
        </w:rPr>
        <w:t>fourteen</w:t>
      </w:r>
      <w:r w:rsidRPr="007D6208">
        <w:rPr>
          <w:rFonts w:cs="Times New Roman"/>
          <w:szCs w:val="24"/>
        </w:rPr>
        <w:t>.</w:t>
      </w:r>
    </w:p>
    <w:p w14:paraId="5E9A6967" w14:textId="77777777" w:rsidR="0032797D" w:rsidRPr="007D6208" w:rsidRDefault="0032797D" w:rsidP="0032797D">
      <w:pPr>
        <w:spacing w:after="0" w:line="240" w:lineRule="auto"/>
        <w:rPr>
          <w:rFonts w:cs="Times New Roman"/>
          <w:szCs w:val="24"/>
        </w:rPr>
      </w:pPr>
    </w:p>
    <w:p w14:paraId="64CA8123" w14:textId="13E398E8" w:rsidR="0032797D" w:rsidRPr="007D6208" w:rsidRDefault="0032797D" w:rsidP="0032797D">
      <w:pPr>
        <w:spacing w:after="0" w:line="240" w:lineRule="auto"/>
        <w:rPr>
          <w:rFonts w:cs="Times New Roman"/>
          <w:szCs w:val="24"/>
        </w:rPr>
      </w:pPr>
      <w:r w:rsidRPr="007D6208">
        <w:rPr>
          <w:rFonts w:cs="Times New Roman"/>
          <w:szCs w:val="24"/>
        </w:rPr>
        <w:t>We are requesting approval of this information collection for reporting in Federal fiscal years 2015 through 201</w:t>
      </w:r>
      <w:r w:rsidR="00952F24" w:rsidRPr="007D6208">
        <w:rPr>
          <w:rFonts w:cs="Times New Roman"/>
          <w:szCs w:val="24"/>
        </w:rPr>
        <w:t>7</w:t>
      </w:r>
      <w:r w:rsidRPr="007D6208">
        <w:rPr>
          <w:rFonts w:cs="Times New Roman"/>
          <w:szCs w:val="24"/>
        </w:rPr>
        <w:t xml:space="preserve">. We require grantees to complete a Final Report </w:t>
      </w:r>
      <w:r w:rsidR="00597063">
        <w:rPr>
          <w:rFonts w:cs="Times New Roman"/>
          <w:szCs w:val="24"/>
        </w:rPr>
        <w:t>at the end of the</w:t>
      </w:r>
      <w:r w:rsidRPr="007D6208">
        <w:rPr>
          <w:rFonts w:cs="Times New Roman"/>
          <w:szCs w:val="24"/>
        </w:rPr>
        <w:t xml:space="preserve"> grant program. The Final Report </w:t>
      </w:r>
      <w:r w:rsidR="00597063" w:rsidRPr="00597063">
        <w:rPr>
          <w:rFonts w:cs="Times New Roman"/>
          <w:szCs w:val="24"/>
        </w:rPr>
        <w:t xml:space="preserve">template </w:t>
      </w:r>
      <w:r w:rsidRPr="007D6208">
        <w:rPr>
          <w:rFonts w:cs="Times New Roman"/>
          <w:szCs w:val="24"/>
        </w:rPr>
        <w:t xml:space="preserve">will be submitted separately for </w:t>
      </w:r>
      <w:r w:rsidR="009E16DE" w:rsidRPr="007D6208">
        <w:rPr>
          <w:rFonts w:cs="Times New Roman"/>
          <w:szCs w:val="24"/>
        </w:rPr>
        <w:t>OMB</w:t>
      </w:r>
      <w:r w:rsidRPr="007D6208">
        <w:rPr>
          <w:rFonts w:cs="Times New Roman"/>
          <w:szCs w:val="24"/>
        </w:rPr>
        <w:t xml:space="preserve"> approval.</w:t>
      </w:r>
    </w:p>
    <w:p w14:paraId="1492DB63" w14:textId="77777777" w:rsidR="0032797D" w:rsidRPr="007D6208" w:rsidRDefault="0032797D" w:rsidP="00D4736A">
      <w:pPr>
        <w:spacing w:after="0" w:line="240" w:lineRule="auto"/>
        <w:rPr>
          <w:rFonts w:cs="Times New Roman"/>
          <w:szCs w:val="24"/>
        </w:rPr>
      </w:pPr>
    </w:p>
    <w:p w14:paraId="0EBE9DD5" w14:textId="77777777" w:rsidR="007D6E75" w:rsidRDefault="007D6E75" w:rsidP="005878A5">
      <w:pPr>
        <w:pStyle w:val="Heading1"/>
        <w:rPr>
          <w:rFonts w:cs="Times New Roman"/>
          <w:szCs w:val="24"/>
        </w:rPr>
      </w:pPr>
      <w:r w:rsidRPr="007D6208">
        <w:rPr>
          <w:rFonts w:cs="Times New Roman"/>
          <w:szCs w:val="24"/>
        </w:rPr>
        <w:t>C. Deviations from Generic Request</w:t>
      </w:r>
    </w:p>
    <w:p w14:paraId="24BE70EA" w14:textId="77777777" w:rsidR="0082611A" w:rsidRPr="0082611A" w:rsidRDefault="0082611A" w:rsidP="0082611A">
      <w:pPr>
        <w:spacing w:after="0" w:line="240" w:lineRule="auto"/>
      </w:pPr>
    </w:p>
    <w:p w14:paraId="0EBE9DD6" w14:textId="77777777" w:rsidR="007D6E75" w:rsidRPr="007D6208" w:rsidRDefault="009B19E8" w:rsidP="008111D2">
      <w:pPr>
        <w:spacing w:after="0" w:line="240" w:lineRule="auto"/>
        <w:rPr>
          <w:rFonts w:cs="Times New Roman"/>
          <w:szCs w:val="24"/>
        </w:rPr>
      </w:pPr>
      <w:r w:rsidRPr="007D6208">
        <w:rPr>
          <w:rFonts w:cs="Times New Roman"/>
          <w:szCs w:val="24"/>
        </w:rPr>
        <w:t>No deviations are requested.</w:t>
      </w:r>
    </w:p>
    <w:p w14:paraId="0EBE9DD7" w14:textId="77777777" w:rsidR="008111D2" w:rsidRPr="007D6208" w:rsidRDefault="008111D2" w:rsidP="005878A5">
      <w:pPr>
        <w:pStyle w:val="Heading1"/>
        <w:rPr>
          <w:rFonts w:cs="Times New Roman"/>
          <w:szCs w:val="24"/>
        </w:rPr>
      </w:pPr>
    </w:p>
    <w:p w14:paraId="0EBE9DD8" w14:textId="77777777" w:rsidR="007D6E75" w:rsidRDefault="007D6E75">
      <w:pPr>
        <w:pStyle w:val="Heading1"/>
        <w:rPr>
          <w:rFonts w:cs="Times New Roman"/>
          <w:szCs w:val="24"/>
        </w:rPr>
      </w:pPr>
      <w:r w:rsidRPr="007D6208">
        <w:rPr>
          <w:rFonts w:cs="Times New Roman"/>
          <w:szCs w:val="24"/>
        </w:rPr>
        <w:t>D. Burden Hour Deduction</w:t>
      </w:r>
    </w:p>
    <w:p w14:paraId="1DEBB453" w14:textId="77777777" w:rsidR="0082611A" w:rsidRDefault="0082611A" w:rsidP="0082611A">
      <w:pPr>
        <w:spacing w:after="0" w:line="240" w:lineRule="auto"/>
      </w:pPr>
    </w:p>
    <w:p w14:paraId="621AD269" w14:textId="04126CF6" w:rsidR="00BA59E9" w:rsidRDefault="00BA59E9" w:rsidP="00BA59E9">
      <w:pPr>
        <w:spacing w:after="0" w:line="240" w:lineRule="auto"/>
      </w:pPr>
      <w:r w:rsidRPr="003523B9">
        <w:t>The total approved burden ceiling of the generic ICR is 154,104 hours, and CMS previ</w:t>
      </w:r>
      <w:r w:rsidR="00A601B8" w:rsidRPr="003523B9">
        <w:t xml:space="preserve">ously requested to use </w:t>
      </w:r>
      <w:r w:rsidR="00A601B8" w:rsidRPr="003523B9">
        <w:t>69,330</w:t>
      </w:r>
      <w:r w:rsidR="00A601B8" w:rsidRPr="003523B9">
        <w:t>.25</w:t>
      </w:r>
      <w:r w:rsidRPr="003523B9">
        <w:t xml:space="preserve"> hours, leav</w:t>
      </w:r>
      <w:r w:rsidR="00FD1492" w:rsidRPr="003523B9">
        <w:t xml:space="preserve">ing our burden ceiling at </w:t>
      </w:r>
      <w:r w:rsidR="00FD1492" w:rsidRPr="003523B9">
        <w:t>84</w:t>
      </w:r>
      <w:r w:rsidR="00034FC2" w:rsidRPr="003523B9">
        <w:t>,</w:t>
      </w:r>
      <w:r w:rsidR="00FD1492" w:rsidRPr="003523B9">
        <w:t>773</w:t>
      </w:r>
      <w:r w:rsidRPr="003523B9">
        <w:t>.75 hours.</w:t>
      </w:r>
    </w:p>
    <w:p w14:paraId="3A06F69D" w14:textId="77777777" w:rsidR="00BA59E9" w:rsidRDefault="00BA59E9" w:rsidP="00BA59E9">
      <w:pPr>
        <w:spacing w:after="0" w:line="240" w:lineRule="auto"/>
      </w:pPr>
    </w:p>
    <w:p w14:paraId="26132631" w14:textId="77777777" w:rsidR="00534950" w:rsidRPr="00534950" w:rsidRDefault="00534950" w:rsidP="005349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i/>
          <w:szCs w:val="24"/>
        </w:rPr>
      </w:pPr>
      <w:r w:rsidRPr="00534950">
        <w:rPr>
          <w:rFonts w:cs="Times New Roman"/>
          <w:i/>
          <w:szCs w:val="24"/>
        </w:rPr>
        <w:t>Wage Estimates</w:t>
      </w:r>
    </w:p>
    <w:p w14:paraId="47ACE7D0" w14:textId="77777777" w:rsidR="00534950" w:rsidRPr="0082611A" w:rsidRDefault="00534950" w:rsidP="005349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b/>
          <w:szCs w:val="24"/>
          <w:u w:val="single"/>
        </w:rPr>
      </w:pPr>
    </w:p>
    <w:p w14:paraId="4F45F160" w14:textId="68EA8839" w:rsidR="00534950" w:rsidRDefault="00534950" w:rsidP="00534950">
      <w:pPr>
        <w:spacing w:after="0" w:line="240" w:lineRule="auto"/>
        <w:rPr>
          <w:rFonts w:cs="Times New Roman"/>
          <w:szCs w:val="24"/>
        </w:rPr>
      </w:pPr>
      <w:r w:rsidRPr="007D6208">
        <w:rPr>
          <w:rFonts w:cs="Times New Roman"/>
          <w:szCs w:val="24"/>
        </w:rPr>
        <w:t>To derive average costs, we used data from the U.S. Bureau of Labor Statistics’ May 2014 National Occupational Employment and Wage Estimates for all salary estimates (http://www.bls.gov/oes/current/oes_nat.htm#43-0000). In this regard, the following table presents the me</w:t>
      </w:r>
      <w:r w:rsidR="007018EE">
        <w:rPr>
          <w:rFonts w:cs="Times New Roman"/>
          <w:szCs w:val="24"/>
        </w:rPr>
        <w:t>an</w:t>
      </w:r>
      <w:r w:rsidRPr="007D6208">
        <w:rPr>
          <w:rFonts w:cs="Times New Roman"/>
          <w:szCs w:val="24"/>
        </w:rPr>
        <w:t xml:space="preserve"> hourly wage, the cost of fringe benefits (calculated at 100 percent of salary), and the adjusted hourly wage.</w:t>
      </w:r>
    </w:p>
    <w:p w14:paraId="4949CF69" w14:textId="77777777" w:rsidR="00534950" w:rsidRPr="007D6208" w:rsidRDefault="00534950" w:rsidP="00534950">
      <w:pPr>
        <w:spacing w:after="0" w:line="240" w:lineRule="auto"/>
        <w:rPr>
          <w:rFonts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09"/>
        <w:gridCol w:w="1733"/>
        <w:gridCol w:w="1738"/>
        <w:gridCol w:w="2469"/>
      </w:tblGrid>
      <w:tr w:rsidR="00534950" w:rsidRPr="00833FAF" w14:paraId="722876DA" w14:textId="77777777" w:rsidTr="005335AB">
        <w:trPr>
          <w:trHeight w:val="800"/>
          <w:tblHeader/>
        </w:trPr>
        <w:tc>
          <w:tcPr>
            <w:tcW w:w="1701" w:type="dxa"/>
            <w:shd w:val="clear" w:color="auto" w:fill="auto"/>
          </w:tcPr>
          <w:p w14:paraId="2FA6B953" w14:textId="77777777" w:rsidR="00534950" w:rsidRPr="00933223" w:rsidRDefault="00534950" w:rsidP="005335AB">
            <w:pPr>
              <w:spacing w:after="0" w:line="240" w:lineRule="auto"/>
              <w:rPr>
                <w:rFonts w:cs="Times New Roman"/>
                <w:b/>
                <w:szCs w:val="24"/>
              </w:rPr>
            </w:pPr>
            <w:r w:rsidRPr="00933223">
              <w:rPr>
                <w:rFonts w:cs="Times New Roman"/>
                <w:b/>
                <w:szCs w:val="24"/>
              </w:rPr>
              <w:t>Occupation Title</w:t>
            </w:r>
          </w:p>
        </w:tc>
        <w:tc>
          <w:tcPr>
            <w:tcW w:w="1809" w:type="dxa"/>
            <w:shd w:val="clear" w:color="auto" w:fill="auto"/>
          </w:tcPr>
          <w:p w14:paraId="2A207840" w14:textId="77777777" w:rsidR="00534950" w:rsidRPr="00933223" w:rsidRDefault="00534950" w:rsidP="005335AB">
            <w:pPr>
              <w:spacing w:after="0" w:line="240" w:lineRule="auto"/>
              <w:rPr>
                <w:rFonts w:cs="Times New Roman"/>
                <w:b/>
                <w:szCs w:val="24"/>
              </w:rPr>
            </w:pPr>
            <w:r w:rsidRPr="00933223">
              <w:rPr>
                <w:rFonts w:cs="Times New Roman"/>
                <w:b/>
                <w:szCs w:val="24"/>
              </w:rPr>
              <w:t>Occupation Code</w:t>
            </w:r>
          </w:p>
        </w:tc>
        <w:tc>
          <w:tcPr>
            <w:tcW w:w="1733" w:type="dxa"/>
            <w:shd w:val="clear" w:color="auto" w:fill="auto"/>
          </w:tcPr>
          <w:p w14:paraId="3AB1F396" w14:textId="77777777" w:rsidR="00534950" w:rsidRPr="00933223" w:rsidRDefault="00534950" w:rsidP="005335AB">
            <w:pPr>
              <w:spacing w:after="0" w:line="240" w:lineRule="auto"/>
              <w:rPr>
                <w:rFonts w:cs="Times New Roman"/>
                <w:b/>
                <w:szCs w:val="24"/>
              </w:rPr>
            </w:pPr>
            <w:r w:rsidRPr="00933223">
              <w:rPr>
                <w:rFonts w:cs="Times New Roman"/>
                <w:b/>
                <w:szCs w:val="24"/>
              </w:rPr>
              <w:t>Mean Hourly Wage ($/</w:t>
            </w:r>
            <w:proofErr w:type="spellStart"/>
            <w:r w:rsidRPr="00933223">
              <w:rPr>
                <w:rFonts w:cs="Times New Roman"/>
                <w:b/>
                <w:szCs w:val="24"/>
              </w:rPr>
              <w:t>hr</w:t>
            </w:r>
            <w:proofErr w:type="spellEnd"/>
            <w:r w:rsidRPr="00933223">
              <w:rPr>
                <w:rFonts w:cs="Times New Roman"/>
                <w:b/>
                <w:szCs w:val="24"/>
              </w:rPr>
              <w:t>)</w:t>
            </w:r>
          </w:p>
        </w:tc>
        <w:tc>
          <w:tcPr>
            <w:tcW w:w="1738" w:type="dxa"/>
            <w:shd w:val="clear" w:color="auto" w:fill="auto"/>
          </w:tcPr>
          <w:p w14:paraId="57DA8E25" w14:textId="77777777" w:rsidR="00534950" w:rsidRPr="00933223" w:rsidRDefault="00534950" w:rsidP="005335AB">
            <w:pPr>
              <w:spacing w:after="0" w:line="240" w:lineRule="auto"/>
              <w:rPr>
                <w:rFonts w:cs="Times New Roman"/>
                <w:b/>
                <w:szCs w:val="24"/>
              </w:rPr>
            </w:pPr>
            <w:r w:rsidRPr="00933223">
              <w:rPr>
                <w:rFonts w:cs="Times New Roman"/>
                <w:b/>
                <w:szCs w:val="24"/>
              </w:rPr>
              <w:t>Fringe Benefit ($/</w:t>
            </w:r>
            <w:proofErr w:type="spellStart"/>
            <w:r w:rsidRPr="00933223">
              <w:rPr>
                <w:rFonts w:cs="Times New Roman"/>
                <w:b/>
                <w:szCs w:val="24"/>
              </w:rPr>
              <w:t>hr</w:t>
            </w:r>
            <w:proofErr w:type="spellEnd"/>
            <w:r w:rsidRPr="00933223">
              <w:rPr>
                <w:rFonts w:cs="Times New Roman"/>
                <w:b/>
                <w:szCs w:val="24"/>
              </w:rPr>
              <w:t>)</w:t>
            </w:r>
          </w:p>
        </w:tc>
        <w:tc>
          <w:tcPr>
            <w:tcW w:w="2469" w:type="dxa"/>
            <w:shd w:val="clear" w:color="auto" w:fill="auto"/>
          </w:tcPr>
          <w:p w14:paraId="768BF44F" w14:textId="77777777" w:rsidR="00534950" w:rsidRPr="00933223" w:rsidRDefault="00534950" w:rsidP="005335AB">
            <w:pPr>
              <w:spacing w:after="0" w:line="240" w:lineRule="auto"/>
              <w:rPr>
                <w:rFonts w:cs="Times New Roman"/>
                <w:b/>
                <w:szCs w:val="24"/>
              </w:rPr>
            </w:pPr>
            <w:r w:rsidRPr="00933223">
              <w:rPr>
                <w:rFonts w:cs="Times New Roman"/>
                <w:b/>
                <w:szCs w:val="24"/>
              </w:rPr>
              <w:t>Adjusted Hourly Wage ($/</w:t>
            </w:r>
            <w:proofErr w:type="spellStart"/>
            <w:r w:rsidRPr="00933223">
              <w:rPr>
                <w:rFonts w:cs="Times New Roman"/>
                <w:b/>
                <w:szCs w:val="24"/>
              </w:rPr>
              <w:t>hr</w:t>
            </w:r>
            <w:proofErr w:type="spellEnd"/>
            <w:r w:rsidRPr="00933223">
              <w:rPr>
                <w:rFonts w:cs="Times New Roman"/>
                <w:b/>
                <w:szCs w:val="24"/>
              </w:rPr>
              <w:t>)</w:t>
            </w:r>
          </w:p>
        </w:tc>
      </w:tr>
      <w:tr w:rsidR="00534950" w:rsidRPr="007D6208" w14:paraId="7C4C4ABC" w14:textId="77777777" w:rsidTr="005335AB">
        <w:tc>
          <w:tcPr>
            <w:tcW w:w="1701" w:type="dxa"/>
            <w:shd w:val="clear" w:color="auto" w:fill="auto"/>
          </w:tcPr>
          <w:p w14:paraId="156488A7" w14:textId="77777777" w:rsidR="00534950" w:rsidRPr="007D6208" w:rsidRDefault="00534950" w:rsidP="005335AB">
            <w:pPr>
              <w:spacing w:after="0" w:line="240" w:lineRule="auto"/>
              <w:rPr>
                <w:rFonts w:cs="Times New Roman"/>
                <w:szCs w:val="24"/>
              </w:rPr>
            </w:pPr>
            <w:r w:rsidRPr="007D6208">
              <w:rPr>
                <w:rFonts w:cs="Times New Roman"/>
                <w:szCs w:val="24"/>
              </w:rPr>
              <w:t>Community and Social Service Occupations</w:t>
            </w:r>
          </w:p>
        </w:tc>
        <w:tc>
          <w:tcPr>
            <w:tcW w:w="1809" w:type="dxa"/>
            <w:shd w:val="clear" w:color="auto" w:fill="auto"/>
          </w:tcPr>
          <w:p w14:paraId="4CDB2118" w14:textId="77777777" w:rsidR="00534950" w:rsidRPr="007D6208" w:rsidRDefault="00534950" w:rsidP="005335AB">
            <w:pPr>
              <w:spacing w:after="0" w:line="240" w:lineRule="auto"/>
              <w:rPr>
                <w:rFonts w:cs="Times New Roman"/>
                <w:szCs w:val="24"/>
              </w:rPr>
            </w:pPr>
            <w:r w:rsidRPr="007D6208">
              <w:rPr>
                <w:rFonts w:cs="Times New Roman"/>
                <w:szCs w:val="24"/>
              </w:rPr>
              <w:t>21-0000</w:t>
            </w:r>
          </w:p>
        </w:tc>
        <w:tc>
          <w:tcPr>
            <w:tcW w:w="1733" w:type="dxa"/>
            <w:shd w:val="clear" w:color="auto" w:fill="auto"/>
          </w:tcPr>
          <w:p w14:paraId="0D9178ED" w14:textId="75130ECE" w:rsidR="00534950" w:rsidRPr="007D6208" w:rsidRDefault="00937464" w:rsidP="005335AB">
            <w:pPr>
              <w:spacing w:after="0" w:line="240" w:lineRule="auto"/>
              <w:rPr>
                <w:rFonts w:cs="Times New Roman"/>
                <w:szCs w:val="24"/>
              </w:rPr>
            </w:pPr>
            <w:r>
              <w:rPr>
                <w:rFonts w:cs="Times New Roman"/>
                <w:szCs w:val="24"/>
              </w:rPr>
              <w:t>21.79</w:t>
            </w:r>
          </w:p>
        </w:tc>
        <w:tc>
          <w:tcPr>
            <w:tcW w:w="1738" w:type="dxa"/>
            <w:shd w:val="clear" w:color="auto" w:fill="auto"/>
          </w:tcPr>
          <w:p w14:paraId="20D8E275" w14:textId="202F2748" w:rsidR="00534950" w:rsidRPr="007D6208" w:rsidRDefault="00937464" w:rsidP="005335AB">
            <w:pPr>
              <w:spacing w:after="0" w:line="240" w:lineRule="auto"/>
              <w:rPr>
                <w:rFonts w:cs="Times New Roman"/>
                <w:szCs w:val="24"/>
              </w:rPr>
            </w:pPr>
            <w:r>
              <w:rPr>
                <w:rFonts w:cs="Times New Roman"/>
                <w:szCs w:val="24"/>
              </w:rPr>
              <w:t>21.79</w:t>
            </w:r>
          </w:p>
        </w:tc>
        <w:tc>
          <w:tcPr>
            <w:tcW w:w="2469" w:type="dxa"/>
            <w:shd w:val="clear" w:color="auto" w:fill="auto"/>
          </w:tcPr>
          <w:p w14:paraId="3B746B7C" w14:textId="66A6A598" w:rsidR="00534950" w:rsidRPr="007D6208" w:rsidRDefault="00937464" w:rsidP="005335AB">
            <w:pPr>
              <w:spacing w:after="0" w:line="240" w:lineRule="auto"/>
              <w:rPr>
                <w:rFonts w:cs="Times New Roman"/>
                <w:szCs w:val="24"/>
              </w:rPr>
            </w:pPr>
            <w:r w:rsidRPr="00937464">
              <w:rPr>
                <w:rFonts w:cs="Times New Roman"/>
                <w:szCs w:val="24"/>
              </w:rPr>
              <w:t>43.58</w:t>
            </w:r>
          </w:p>
        </w:tc>
      </w:tr>
    </w:tbl>
    <w:p w14:paraId="15DC1492" w14:textId="77777777" w:rsidR="00534950" w:rsidRPr="007D6208" w:rsidRDefault="00534950" w:rsidP="005349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szCs w:val="24"/>
        </w:rPr>
      </w:pPr>
    </w:p>
    <w:p w14:paraId="4CC03DDA" w14:textId="370DEBB3" w:rsidR="00534950" w:rsidRDefault="00534950" w:rsidP="00534950">
      <w:pPr>
        <w:spacing w:after="0" w:line="240" w:lineRule="auto"/>
      </w:pPr>
      <w:r w:rsidRPr="007D6208">
        <w:rPr>
          <w:rFonts w:cs="Times New Roman"/>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0611AEDD" w14:textId="77777777" w:rsidR="00534950" w:rsidRDefault="00534950" w:rsidP="00BA59E9">
      <w:pPr>
        <w:spacing w:after="0" w:line="240" w:lineRule="auto"/>
      </w:pPr>
    </w:p>
    <w:p w14:paraId="6F6DFF84" w14:textId="2C17F085" w:rsidR="00534950" w:rsidRPr="00534950" w:rsidRDefault="00534950" w:rsidP="00BA59E9">
      <w:pPr>
        <w:spacing w:after="0" w:line="240" w:lineRule="auto"/>
        <w:rPr>
          <w:i/>
        </w:rPr>
      </w:pPr>
      <w:r w:rsidRPr="00534950">
        <w:rPr>
          <w:i/>
        </w:rPr>
        <w:t>Burden Estimates</w:t>
      </w:r>
    </w:p>
    <w:p w14:paraId="383E83D7" w14:textId="77777777" w:rsidR="00534950" w:rsidRDefault="00534950" w:rsidP="00BA59E9">
      <w:pPr>
        <w:spacing w:after="0" w:line="240" w:lineRule="auto"/>
      </w:pPr>
    </w:p>
    <w:p w14:paraId="6060B6DF" w14:textId="152139E4" w:rsidR="00534950" w:rsidRDefault="00534950" w:rsidP="00534950">
      <w:pPr>
        <w:spacing w:after="0" w:line="240" w:lineRule="auto"/>
        <w:rPr>
          <w:szCs w:val="24"/>
          <w:u w:val="single"/>
        </w:rPr>
      </w:pPr>
      <w:r w:rsidRPr="0082611A">
        <w:rPr>
          <w:szCs w:val="24"/>
          <w:u w:val="single"/>
        </w:rPr>
        <w:t>Cycle III</w:t>
      </w:r>
      <w:r w:rsidR="00700CC2">
        <w:rPr>
          <w:szCs w:val="24"/>
          <w:u w:val="single"/>
        </w:rPr>
        <w:t xml:space="preserve"> (Extension, Without Change)</w:t>
      </w:r>
    </w:p>
    <w:p w14:paraId="79547894" w14:textId="77777777" w:rsidR="00534950" w:rsidRPr="0082611A" w:rsidRDefault="00534950" w:rsidP="00534950">
      <w:pPr>
        <w:spacing w:after="0" w:line="240" w:lineRule="auto"/>
        <w:rPr>
          <w:szCs w:val="24"/>
          <w:u w:val="single"/>
        </w:rPr>
      </w:pPr>
    </w:p>
    <w:p w14:paraId="38A2B15D" w14:textId="77777777" w:rsidR="00534950" w:rsidRPr="0082611A" w:rsidRDefault="00534950" w:rsidP="00534950">
      <w:pPr>
        <w:spacing w:after="0" w:line="240" w:lineRule="auto"/>
        <w:rPr>
          <w:szCs w:val="24"/>
        </w:rPr>
      </w:pPr>
      <w:r w:rsidRPr="0082611A">
        <w:rPr>
          <w:szCs w:val="24"/>
        </w:rPr>
        <w:t xml:space="preserve">CMS estimates that each grantee will </w:t>
      </w:r>
      <w:proofErr w:type="gramStart"/>
      <w:r w:rsidRPr="0082611A">
        <w:rPr>
          <w:szCs w:val="24"/>
        </w:rPr>
        <w:t xml:space="preserve">complete  </w:t>
      </w:r>
      <w:r>
        <w:rPr>
          <w:szCs w:val="24"/>
        </w:rPr>
        <w:t>data</w:t>
      </w:r>
      <w:proofErr w:type="gramEnd"/>
      <w:r>
        <w:rPr>
          <w:szCs w:val="24"/>
        </w:rPr>
        <w:t xml:space="preserve"> </w:t>
      </w:r>
      <w:r w:rsidRPr="0082611A">
        <w:rPr>
          <w:szCs w:val="24"/>
        </w:rPr>
        <w:t>collection and submission to CMS twice a year</w:t>
      </w:r>
      <w:r>
        <w:rPr>
          <w:szCs w:val="24"/>
        </w:rPr>
        <w:t xml:space="preserve"> within 20 hours per submission </w:t>
      </w:r>
      <w:r w:rsidRPr="0082611A">
        <w:rPr>
          <w:szCs w:val="24"/>
        </w:rPr>
        <w:t>for three years. There is a potential universe of 41 respondents, so the total burden deducted from the</w:t>
      </w:r>
      <w:r>
        <w:rPr>
          <w:szCs w:val="24"/>
        </w:rPr>
        <w:t xml:space="preserve"> total for this request is 1,640 </w:t>
      </w:r>
      <w:r w:rsidRPr="0082611A">
        <w:rPr>
          <w:szCs w:val="24"/>
        </w:rPr>
        <w:t>hours.</w:t>
      </w:r>
    </w:p>
    <w:p w14:paraId="547B1054" w14:textId="77777777" w:rsidR="00534950" w:rsidRPr="0082611A" w:rsidRDefault="00534950" w:rsidP="00534950">
      <w:pPr>
        <w:spacing w:after="0" w:line="240" w:lineRule="auto"/>
        <w:rPr>
          <w:szCs w:val="24"/>
        </w:rPr>
      </w:pPr>
    </w:p>
    <w:p w14:paraId="102E54AA" w14:textId="10714A7E" w:rsidR="00534950" w:rsidRPr="0082611A" w:rsidRDefault="00534950" w:rsidP="00534950">
      <w:pPr>
        <w:spacing w:after="0" w:line="240" w:lineRule="auto"/>
        <w:rPr>
          <w:szCs w:val="24"/>
        </w:rPr>
      </w:pPr>
      <w:r w:rsidRPr="0082611A">
        <w:rPr>
          <w:szCs w:val="24"/>
        </w:rPr>
        <w:t>To complete and return the templates, we estimate an average cost of $</w:t>
      </w:r>
      <w:r w:rsidR="002B3A76" w:rsidRPr="002B3A76">
        <w:rPr>
          <w:szCs w:val="24"/>
        </w:rPr>
        <w:t>43.58</w:t>
      </w:r>
      <w:r w:rsidRPr="0082611A">
        <w:rPr>
          <w:szCs w:val="24"/>
        </w:rPr>
        <w:t xml:space="preserve"> per hour, which is equivalent to the 2014 base salary of a Community and Social Service Occupation employee from the U.S. Bureau of Labor Statistics’ May 2014 National Occupational Employment and Wage Estimates (as referenced above) and a comparable position to grantee employees likely responsible for completing and returning the templates. Under the above scenario, the total annual cost to respondents is $</w:t>
      </w:r>
      <w:r w:rsidR="00CB1289">
        <w:rPr>
          <w:szCs w:val="24"/>
        </w:rPr>
        <w:t>71</w:t>
      </w:r>
      <w:r w:rsidRPr="0082611A">
        <w:rPr>
          <w:szCs w:val="24"/>
        </w:rPr>
        <w:t>,</w:t>
      </w:r>
      <w:r w:rsidR="00CB1289">
        <w:rPr>
          <w:szCs w:val="24"/>
        </w:rPr>
        <w:t>471</w:t>
      </w:r>
      <w:r w:rsidRPr="0082611A">
        <w:rPr>
          <w:szCs w:val="24"/>
        </w:rPr>
        <w:t xml:space="preserve"> ($</w:t>
      </w:r>
      <w:r w:rsidR="002B3A76" w:rsidRPr="002B3A76">
        <w:rPr>
          <w:szCs w:val="24"/>
        </w:rPr>
        <w:t>43.58</w:t>
      </w:r>
      <w:r w:rsidRPr="0082611A">
        <w:rPr>
          <w:szCs w:val="24"/>
        </w:rPr>
        <w:t xml:space="preserve"> per hour * 1,640 hours).</w:t>
      </w:r>
    </w:p>
    <w:p w14:paraId="78168CEC" w14:textId="77777777" w:rsidR="00534950" w:rsidRDefault="00534950" w:rsidP="00BA59E9">
      <w:pPr>
        <w:spacing w:after="0" w:line="240" w:lineRule="auto"/>
      </w:pPr>
    </w:p>
    <w:p w14:paraId="291549D4" w14:textId="36B6A7D6" w:rsidR="00534950" w:rsidRDefault="00534950" w:rsidP="00534950">
      <w:pPr>
        <w:spacing w:after="0" w:line="240" w:lineRule="auto"/>
        <w:rPr>
          <w:szCs w:val="24"/>
          <w:u w:val="single"/>
        </w:rPr>
      </w:pPr>
      <w:r w:rsidRPr="0082611A">
        <w:rPr>
          <w:szCs w:val="24"/>
          <w:u w:val="single"/>
        </w:rPr>
        <w:t>Cycle IV</w:t>
      </w:r>
      <w:r w:rsidR="00700CC2">
        <w:rPr>
          <w:szCs w:val="24"/>
          <w:u w:val="single"/>
        </w:rPr>
        <w:t xml:space="preserve"> (New)</w:t>
      </w:r>
    </w:p>
    <w:p w14:paraId="30BE067C" w14:textId="77777777" w:rsidR="00534950" w:rsidRPr="0082611A" w:rsidRDefault="00534950" w:rsidP="00534950">
      <w:pPr>
        <w:spacing w:after="0" w:line="240" w:lineRule="auto"/>
        <w:rPr>
          <w:szCs w:val="24"/>
          <w:u w:val="single"/>
        </w:rPr>
      </w:pPr>
    </w:p>
    <w:p w14:paraId="050B8CEE" w14:textId="77777777" w:rsidR="00534950" w:rsidRDefault="00534950" w:rsidP="00534950">
      <w:pPr>
        <w:spacing w:after="0" w:line="240" w:lineRule="auto"/>
        <w:rPr>
          <w:szCs w:val="24"/>
        </w:rPr>
      </w:pPr>
      <w:r w:rsidRPr="0082611A">
        <w:rPr>
          <w:szCs w:val="24"/>
        </w:rPr>
        <w:t xml:space="preserve">CMS estimates that each grantee will complete the collection of data and submission to </w:t>
      </w:r>
      <w:r>
        <w:rPr>
          <w:szCs w:val="24"/>
        </w:rPr>
        <w:t>CMS twice a year.  Each response will take 20 hours to complete and we are requesting this collection continue</w:t>
      </w:r>
      <w:r w:rsidRPr="0082611A">
        <w:rPr>
          <w:szCs w:val="24"/>
        </w:rPr>
        <w:t xml:space="preserve"> for two years. There is a potential universe of 10 respondents, so the total burden deducted from the tot</w:t>
      </w:r>
      <w:r>
        <w:rPr>
          <w:szCs w:val="24"/>
        </w:rPr>
        <w:t xml:space="preserve">al for this request will be 400 </w:t>
      </w:r>
      <w:r w:rsidRPr="0082611A">
        <w:rPr>
          <w:szCs w:val="24"/>
        </w:rPr>
        <w:t>hours.</w:t>
      </w:r>
    </w:p>
    <w:p w14:paraId="272A3DAF" w14:textId="77777777" w:rsidR="00534950" w:rsidRDefault="00534950" w:rsidP="00534950">
      <w:pPr>
        <w:spacing w:after="0" w:line="240" w:lineRule="auto"/>
        <w:rPr>
          <w:szCs w:val="24"/>
        </w:rPr>
      </w:pPr>
    </w:p>
    <w:p w14:paraId="1A8D3765" w14:textId="14B0468E" w:rsidR="00534950" w:rsidRPr="0082611A" w:rsidRDefault="00534950" w:rsidP="00534950">
      <w:pPr>
        <w:spacing w:after="0" w:line="240" w:lineRule="auto"/>
        <w:rPr>
          <w:szCs w:val="24"/>
        </w:rPr>
      </w:pPr>
      <w:r w:rsidRPr="0082611A">
        <w:t>To complete and return the templates, we estimate an average cost of $</w:t>
      </w:r>
      <w:r w:rsidR="00CA398D" w:rsidRPr="00937464">
        <w:rPr>
          <w:rFonts w:cs="Times New Roman"/>
          <w:szCs w:val="24"/>
        </w:rPr>
        <w:t>43.58</w:t>
      </w:r>
      <w:r w:rsidRPr="0082611A">
        <w:t xml:space="preserve"> per hour, which is equivalent to the 2014 base salary of a Community and Social Service Occupation employee from the U.S. Bureau of Labor Statistics’ May 2014 National Occupational Employment and Wage Estimates (as referenced above) and a comparable position to grantee employees likely responsible for completing and returning the templates. Under the above scenario, the total annual </w:t>
      </w:r>
      <w:r>
        <w:t>cost to respondents is $</w:t>
      </w:r>
      <w:r w:rsidR="00CA398D" w:rsidRPr="00CA398D">
        <w:t>17,432</w:t>
      </w:r>
      <w:r>
        <w:t xml:space="preserve"> </w:t>
      </w:r>
      <w:r w:rsidRPr="0082611A">
        <w:t>($</w:t>
      </w:r>
      <w:r w:rsidR="00CA398D" w:rsidRPr="00937464">
        <w:rPr>
          <w:rFonts w:cs="Times New Roman"/>
          <w:szCs w:val="24"/>
        </w:rPr>
        <w:t>43.58</w:t>
      </w:r>
      <w:r w:rsidRPr="0082611A">
        <w:t xml:space="preserve"> per hour * 400 hours).</w:t>
      </w:r>
    </w:p>
    <w:p w14:paraId="5E130A9D" w14:textId="77777777" w:rsidR="004D4420" w:rsidRDefault="004D4420" w:rsidP="00BA59E9">
      <w:pPr>
        <w:spacing w:after="0" w:line="240" w:lineRule="auto"/>
      </w:pPr>
    </w:p>
    <w:p w14:paraId="18ADADA5" w14:textId="77777777" w:rsidR="004D4420" w:rsidRPr="00534950" w:rsidRDefault="004D4420" w:rsidP="004D4420">
      <w:pPr>
        <w:spacing w:after="0" w:line="240" w:lineRule="auto"/>
        <w:rPr>
          <w:i/>
        </w:rPr>
      </w:pPr>
      <w:r w:rsidRPr="00534950">
        <w:rPr>
          <w:i/>
        </w:rPr>
        <w:t>Burden Summary</w:t>
      </w:r>
    </w:p>
    <w:p w14:paraId="59EB625D" w14:textId="77777777" w:rsidR="004D4420" w:rsidRPr="0082611A" w:rsidRDefault="004D4420" w:rsidP="004D4420">
      <w:pPr>
        <w:spacing w:after="0" w:line="240" w:lineRule="auto"/>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599"/>
        <w:gridCol w:w="1430"/>
        <w:gridCol w:w="1332"/>
        <w:gridCol w:w="1012"/>
        <w:gridCol w:w="1256"/>
        <w:gridCol w:w="1425"/>
      </w:tblGrid>
      <w:tr w:rsidR="004D4420" w:rsidRPr="00725BDA" w14:paraId="749AFFAC" w14:textId="77777777" w:rsidTr="00933223">
        <w:trPr>
          <w:trHeight w:val="800"/>
          <w:tblHeader/>
        </w:trPr>
        <w:tc>
          <w:tcPr>
            <w:tcW w:w="1414" w:type="dxa"/>
            <w:shd w:val="clear" w:color="auto" w:fill="auto"/>
          </w:tcPr>
          <w:p w14:paraId="3629784E" w14:textId="77777777" w:rsidR="004D4420" w:rsidRPr="00725BDA" w:rsidRDefault="004D4420" w:rsidP="00630105">
            <w:pPr>
              <w:spacing w:after="0" w:line="240" w:lineRule="auto"/>
              <w:rPr>
                <w:rFonts w:cs="Times New Roman"/>
                <w:b/>
                <w:szCs w:val="24"/>
              </w:rPr>
            </w:pPr>
            <w:r>
              <w:rPr>
                <w:rFonts w:cs="Times New Roman"/>
                <w:b/>
                <w:szCs w:val="24"/>
              </w:rPr>
              <w:t>Cycle</w:t>
            </w:r>
          </w:p>
        </w:tc>
        <w:tc>
          <w:tcPr>
            <w:tcW w:w="1599" w:type="dxa"/>
            <w:shd w:val="clear" w:color="auto" w:fill="auto"/>
          </w:tcPr>
          <w:p w14:paraId="6FF91F1A" w14:textId="77777777" w:rsidR="004D4420" w:rsidRPr="00725BDA" w:rsidRDefault="004D4420" w:rsidP="00630105">
            <w:pPr>
              <w:spacing w:after="0" w:line="240" w:lineRule="auto"/>
              <w:rPr>
                <w:rFonts w:cs="Times New Roman"/>
                <w:b/>
                <w:szCs w:val="24"/>
              </w:rPr>
            </w:pPr>
            <w:r>
              <w:rPr>
                <w:rFonts w:cs="Times New Roman"/>
                <w:b/>
                <w:szCs w:val="24"/>
              </w:rPr>
              <w:t>Respondents</w:t>
            </w:r>
          </w:p>
        </w:tc>
        <w:tc>
          <w:tcPr>
            <w:tcW w:w="1430" w:type="dxa"/>
            <w:shd w:val="clear" w:color="auto" w:fill="auto"/>
          </w:tcPr>
          <w:p w14:paraId="432B0F52" w14:textId="77777777" w:rsidR="004D4420" w:rsidRPr="00725BDA" w:rsidRDefault="004D4420" w:rsidP="00630105">
            <w:pPr>
              <w:spacing w:after="0" w:line="240" w:lineRule="auto"/>
              <w:rPr>
                <w:rFonts w:cs="Times New Roman"/>
                <w:b/>
                <w:szCs w:val="24"/>
              </w:rPr>
            </w:pPr>
            <w:r>
              <w:rPr>
                <w:rFonts w:cs="Times New Roman"/>
                <w:b/>
                <w:szCs w:val="24"/>
              </w:rPr>
              <w:t>Responses per Respondent</w:t>
            </w:r>
          </w:p>
        </w:tc>
        <w:tc>
          <w:tcPr>
            <w:tcW w:w="1332" w:type="dxa"/>
            <w:shd w:val="clear" w:color="auto" w:fill="auto"/>
          </w:tcPr>
          <w:p w14:paraId="65F7A5C3" w14:textId="77777777" w:rsidR="004D4420" w:rsidRPr="00725BDA" w:rsidRDefault="004D4420" w:rsidP="00630105">
            <w:pPr>
              <w:spacing w:after="0" w:line="240" w:lineRule="auto"/>
              <w:rPr>
                <w:rFonts w:cs="Times New Roman"/>
                <w:b/>
                <w:szCs w:val="24"/>
              </w:rPr>
            </w:pPr>
            <w:r>
              <w:rPr>
                <w:rFonts w:cs="Times New Roman"/>
                <w:b/>
                <w:szCs w:val="24"/>
              </w:rPr>
              <w:t>Burden per Response (hours)</w:t>
            </w:r>
          </w:p>
        </w:tc>
        <w:tc>
          <w:tcPr>
            <w:tcW w:w="1012" w:type="dxa"/>
          </w:tcPr>
          <w:p w14:paraId="689F1609" w14:textId="77777777" w:rsidR="004D4420" w:rsidRPr="00725BDA" w:rsidRDefault="004D4420" w:rsidP="00630105">
            <w:pPr>
              <w:spacing w:after="0" w:line="240" w:lineRule="auto"/>
              <w:rPr>
                <w:rFonts w:cs="Times New Roman"/>
                <w:b/>
                <w:szCs w:val="24"/>
              </w:rPr>
            </w:pPr>
            <w:r>
              <w:rPr>
                <w:rFonts w:cs="Times New Roman"/>
                <w:b/>
                <w:szCs w:val="24"/>
              </w:rPr>
              <w:t>Total Annual Burden (hours)</w:t>
            </w:r>
          </w:p>
        </w:tc>
        <w:tc>
          <w:tcPr>
            <w:tcW w:w="1256" w:type="dxa"/>
          </w:tcPr>
          <w:p w14:paraId="3A1D3C33" w14:textId="2D70F524" w:rsidR="004D4420" w:rsidRPr="00725BDA" w:rsidRDefault="004D4420" w:rsidP="00630105">
            <w:pPr>
              <w:spacing w:after="0" w:line="240" w:lineRule="auto"/>
              <w:rPr>
                <w:rFonts w:cs="Times New Roman"/>
                <w:b/>
                <w:szCs w:val="24"/>
              </w:rPr>
            </w:pPr>
            <w:r>
              <w:rPr>
                <w:rFonts w:cs="Times New Roman"/>
                <w:b/>
                <w:szCs w:val="24"/>
              </w:rPr>
              <w:t>Labor cost of Reporting</w:t>
            </w:r>
            <w:r w:rsidR="001A24FD">
              <w:rPr>
                <w:rFonts w:cs="Times New Roman"/>
                <w:b/>
                <w:szCs w:val="24"/>
              </w:rPr>
              <w:t xml:space="preserve"> </w:t>
            </w:r>
            <w:r w:rsidR="001A24FD" w:rsidRPr="00725BDA">
              <w:rPr>
                <w:rFonts w:cs="Times New Roman"/>
                <w:b/>
                <w:szCs w:val="24"/>
              </w:rPr>
              <w:t>($/</w:t>
            </w:r>
            <w:proofErr w:type="spellStart"/>
            <w:r w:rsidR="001A24FD" w:rsidRPr="00725BDA">
              <w:rPr>
                <w:rFonts w:cs="Times New Roman"/>
                <w:b/>
                <w:szCs w:val="24"/>
              </w:rPr>
              <w:t>hr</w:t>
            </w:r>
            <w:proofErr w:type="spellEnd"/>
            <w:r w:rsidR="001A24FD" w:rsidRPr="00725BDA">
              <w:rPr>
                <w:rFonts w:cs="Times New Roman"/>
                <w:b/>
                <w:szCs w:val="24"/>
              </w:rPr>
              <w:t>)</w:t>
            </w:r>
          </w:p>
        </w:tc>
        <w:tc>
          <w:tcPr>
            <w:tcW w:w="1425" w:type="dxa"/>
            <w:shd w:val="clear" w:color="auto" w:fill="auto"/>
          </w:tcPr>
          <w:p w14:paraId="0E9B3DB5" w14:textId="029DF075" w:rsidR="004D4420" w:rsidRPr="00725BDA" w:rsidRDefault="006D75BC" w:rsidP="006D75BC">
            <w:pPr>
              <w:spacing w:after="0" w:line="240" w:lineRule="auto"/>
              <w:rPr>
                <w:rFonts w:cs="Times New Roman"/>
                <w:b/>
                <w:szCs w:val="24"/>
              </w:rPr>
            </w:pPr>
            <w:r>
              <w:rPr>
                <w:rFonts w:cs="Times New Roman"/>
                <w:b/>
                <w:szCs w:val="24"/>
              </w:rPr>
              <w:t>Total Cost</w:t>
            </w:r>
            <w:r w:rsidR="004D4420" w:rsidRPr="00725BDA">
              <w:rPr>
                <w:rFonts w:cs="Times New Roman"/>
                <w:b/>
                <w:szCs w:val="24"/>
              </w:rPr>
              <w:t xml:space="preserve"> ($)</w:t>
            </w:r>
          </w:p>
        </w:tc>
      </w:tr>
      <w:tr w:rsidR="004D4420" w:rsidRPr="007D6208" w14:paraId="10E2A274" w14:textId="77777777" w:rsidTr="00933223">
        <w:tc>
          <w:tcPr>
            <w:tcW w:w="1414" w:type="dxa"/>
            <w:shd w:val="clear" w:color="auto" w:fill="auto"/>
          </w:tcPr>
          <w:p w14:paraId="794F6F27" w14:textId="15A7B469" w:rsidR="004D4420" w:rsidRPr="007D6208" w:rsidRDefault="004D4420" w:rsidP="00630105">
            <w:pPr>
              <w:spacing w:after="0" w:line="240" w:lineRule="auto"/>
              <w:rPr>
                <w:rFonts w:cs="Times New Roman"/>
                <w:szCs w:val="24"/>
              </w:rPr>
            </w:pPr>
            <w:r>
              <w:rPr>
                <w:rFonts w:cs="Times New Roman"/>
                <w:szCs w:val="24"/>
              </w:rPr>
              <w:t>III</w:t>
            </w:r>
          </w:p>
        </w:tc>
        <w:tc>
          <w:tcPr>
            <w:tcW w:w="1599" w:type="dxa"/>
            <w:shd w:val="clear" w:color="auto" w:fill="auto"/>
          </w:tcPr>
          <w:p w14:paraId="77682D2A" w14:textId="77777777" w:rsidR="004D4420" w:rsidRPr="007D6208" w:rsidRDefault="004D4420" w:rsidP="00630105">
            <w:pPr>
              <w:spacing w:after="0" w:line="240" w:lineRule="auto"/>
              <w:rPr>
                <w:rFonts w:cs="Times New Roman"/>
                <w:szCs w:val="24"/>
              </w:rPr>
            </w:pPr>
            <w:r>
              <w:rPr>
                <w:rFonts w:cs="Times New Roman"/>
                <w:szCs w:val="24"/>
              </w:rPr>
              <w:t>41</w:t>
            </w:r>
          </w:p>
        </w:tc>
        <w:tc>
          <w:tcPr>
            <w:tcW w:w="1430" w:type="dxa"/>
            <w:shd w:val="clear" w:color="auto" w:fill="auto"/>
          </w:tcPr>
          <w:p w14:paraId="7299AA27" w14:textId="77777777" w:rsidR="004D4420" w:rsidRPr="007D6208" w:rsidRDefault="004D4420" w:rsidP="00630105">
            <w:pPr>
              <w:spacing w:after="0" w:line="240" w:lineRule="auto"/>
              <w:rPr>
                <w:rFonts w:cs="Times New Roman"/>
                <w:szCs w:val="24"/>
              </w:rPr>
            </w:pPr>
            <w:r>
              <w:rPr>
                <w:rFonts w:cs="Times New Roman"/>
                <w:szCs w:val="24"/>
              </w:rPr>
              <w:t>2</w:t>
            </w:r>
          </w:p>
        </w:tc>
        <w:tc>
          <w:tcPr>
            <w:tcW w:w="1332" w:type="dxa"/>
            <w:shd w:val="clear" w:color="auto" w:fill="auto"/>
          </w:tcPr>
          <w:p w14:paraId="0C218ACA" w14:textId="77777777" w:rsidR="004D4420" w:rsidRPr="007D6208" w:rsidRDefault="004D4420" w:rsidP="00630105">
            <w:pPr>
              <w:spacing w:after="0" w:line="240" w:lineRule="auto"/>
              <w:rPr>
                <w:rFonts w:cs="Times New Roman"/>
                <w:szCs w:val="24"/>
              </w:rPr>
            </w:pPr>
            <w:r>
              <w:rPr>
                <w:rFonts w:cs="Times New Roman"/>
                <w:szCs w:val="24"/>
              </w:rPr>
              <w:t>20</w:t>
            </w:r>
          </w:p>
        </w:tc>
        <w:tc>
          <w:tcPr>
            <w:tcW w:w="1012" w:type="dxa"/>
          </w:tcPr>
          <w:p w14:paraId="7DD61B28" w14:textId="77777777" w:rsidR="004D4420" w:rsidRPr="007D6208" w:rsidRDefault="004D4420" w:rsidP="00630105">
            <w:pPr>
              <w:spacing w:after="0" w:line="240" w:lineRule="auto"/>
              <w:rPr>
                <w:rFonts w:cs="Times New Roman"/>
                <w:szCs w:val="24"/>
              </w:rPr>
            </w:pPr>
            <w:r>
              <w:rPr>
                <w:rFonts w:cs="Times New Roman"/>
                <w:szCs w:val="24"/>
              </w:rPr>
              <w:t>1,640</w:t>
            </w:r>
          </w:p>
        </w:tc>
        <w:tc>
          <w:tcPr>
            <w:tcW w:w="1256" w:type="dxa"/>
          </w:tcPr>
          <w:p w14:paraId="19DCBB14" w14:textId="5BBE50BD" w:rsidR="004D4420" w:rsidRPr="007D6208" w:rsidRDefault="001A24FD" w:rsidP="00630105">
            <w:pPr>
              <w:spacing w:after="0" w:line="240" w:lineRule="auto"/>
              <w:rPr>
                <w:rFonts w:cs="Times New Roman"/>
                <w:szCs w:val="24"/>
              </w:rPr>
            </w:pPr>
            <w:r w:rsidRPr="00937464">
              <w:rPr>
                <w:rFonts w:cs="Times New Roman"/>
                <w:szCs w:val="24"/>
              </w:rPr>
              <w:t>43.58</w:t>
            </w:r>
          </w:p>
        </w:tc>
        <w:tc>
          <w:tcPr>
            <w:tcW w:w="1425" w:type="dxa"/>
            <w:shd w:val="clear" w:color="auto" w:fill="auto"/>
          </w:tcPr>
          <w:p w14:paraId="4401B752" w14:textId="033C950D" w:rsidR="004D4420" w:rsidRPr="007D6208" w:rsidRDefault="00D517D9" w:rsidP="00630105">
            <w:pPr>
              <w:spacing w:after="0" w:line="240" w:lineRule="auto"/>
              <w:rPr>
                <w:rFonts w:cs="Times New Roman"/>
                <w:szCs w:val="24"/>
              </w:rPr>
            </w:pPr>
            <w:r>
              <w:rPr>
                <w:szCs w:val="24"/>
              </w:rPr>
              <w:t>71</w:t>
            </w:r>
            <w:r w:rsidRPr="0082611A">
              <w:rPr>
                <w:szCs w:val="24"/>
              </w:rPr>
              <w:t>,</w:t>
            </w:r>
            <w:r>
              <w:rPr>
                <w:szCs w:val="24"/>
              </w:rPr>
              <w:t>471</w:t>
            </w:r>
          </w:p>
        </w:tc>
      </w:tr>
      <w:tr w:rsidR="004D4420" w:rsidRPr="007D6208" w14:paraId="41E3275E" w14:textId="77777777" w:rsidTr="00933223">
        <w:tc>
          <w:tcPr>
            <w:tcW w:w="1414" w:type="dxa"/>
            <w:shd w:val="clear" w:color="auto" w:fill="auto"/>
          </w:tcPr>
          <w:p w14:paraId="617EF190" w14:textId="77777777" w:rsidR="004D4420" w:rsidRDefault="004D4420" w:rsidP="00630105">
            <w:pPr>
              <w:spacing w:after="0" w:line="240" w:lineRule="auto"/>
              <w:rPr>
                <w:rFonts w:cs="Times New Roman"/>
                <w:szCs w:val="24"/>
              </w:rPr>
            </w:pPr>
            <w:r>
              <w:rPr>
                <w:rFonts w:cs="Times New Roman"/>
                <w:szCs w:val="24"/>
              </w:rPr>
              <w:t>IV</w:t>
            </w:r>
          </w:p>
        </w:tc>
        <w:tc>
          <w:tcPr>
            <w:tcW w:w="1599" w:type="dxa"/>
            <w:shd w:val="clear" w:color="auto" w:fill="auto"/>
          </w:tcPr>
          <w:p w14:paraId="5E060EB5" w14:textId="77777777" w:rsidR="004D4420" w:rsidRDefault="004D4420" w:rsidP="00630105">
            <w:pPr>
              <w:spacing w:after="0" w:line="240" w:lineRule="auto"/>
              <w:rPr>
                <w:rFonts w:cs="Times New Roman"/>
                <w:szCs w:val="24"/>
              </w:rPr>
            </w:pPr>
            <w:r>
              <w:rPr>
                <w:rFonts w:cs="Times New Roman"/>
                <w:szCs w:val="24"/>
              </w:rPr>
              <w:t>10</w:t>
            </w:r>
          </w:p>
        </w:tc>
        <w:tc>
          <w:tcPr>
            <w:tcW w:w="1430" w:type="dxa"/>
            <w:shd w:val="clear" w:color="auto" w:fill="auto"/>
          </w:tcPr>
          <w:p w14:paraId="296F1716" w14:textId="77777777" w:rsidR="004D4420" w:rsidRDefault="004D4420" w:rsidP="00630105">
            <w:pPr>
              <w:spacing w:after="0" w:line="240" w:lineRule="auto"/>
              <w:rPr>
                <w:rFonts w:cs="Times New Roman"/>
                <w:szCs w:val="24"/>
              </w:rPr>
            </w:pPr>
            <w:r>
              <w:rPr>
                <w:rFonts w:cs="Times New Roman"/>
                <w:szCs w:val="24"/>
              </w:rPr>
              <w:t>2</w:t>
            </w:r>
          </w:p>
        </w:tc>
        <w:tc>
          <w:tcPr>
            <w:tcW w:w="1332" w:type="dxa"/>
            <w:shd w:val="clear" w:color="auto" w:fill="auto"/>
          </w:tcPr>
          <w:p w14:paraId="25D57EF6" w14:textId="77777777" w:rsidR="004D4420" w:rsidRDefault="004D4420" w:rsidP="00630105">
            <w:pPr>
              <w:spacing w:after="0" w:line="240" w:lineRule="auto"/>
              <w:rPr>
                <w:rFonts w:cs="Times New Roman"/>
                <w:szCs w:val="24"/>
              </w:rPr>
            </w:pPr>
            <w:r>
              <w:rPr>
                <w:rFonts w:cs="Times New Roman"/>
                <w:szCs w:val="24"/>
              </w:rPr>
              <w:t>20</w:t>
            </w:r>
          </w:p>
        </w:tc>
        <w:tc>
          <w:tcPr>
            <w:tcW w:w="1012" w:type="dxa"/>
          </w:tcPr>
          <w:p w14:paraId="0A74604A" w14:textId="77777777" w:rsidR="004D4420" w:rsidRDefault="004D4420" w:rsidP="00630105">
            <w:pPr>
              <w:spacing w:after="0" w:line="240" w:lineRule="auto"/>
              <w:rPr>
                <w:rFonts w:cs="Times New Roman"/>
                <w:szCs w:val="24"/>
              </w:rPr>
            </w:pPr>
            <w:r>
              <w:rPr>
                <w:rFonts w:cs="Times New Roman"/>
                <w:szCs w:val="24"/>
              </w:rPr>
              <w:t>400</w:t>
            </w:r>
          </w:p>
        </w:tc>
        <w:tc>
          <w:tcPr>
            <w:tcW w:w="1256" w:type="dxa"/>
          </w:tcPr>
          <w:p w14:paraId="2D9E9DD9" w14:textId="4F814784" w:rsidR="004D4420" w:rsidRDefault="001A24FD" w:rsidP="00630105">
            <w:pPr>
              <w:spacing w:after="0" w:line="240" w:lineRule="auto"/>
              <w:rPr>
                <w:rFonts w:cs="Times New Roman"/>
                <w:szCs w:val="24"/>
              </w:rPr>
            </w:pPr>
            <w:r w:rsidRPr="00937464">
              <w:rPr>
                <w:rFonts w:cs="Times New Roman"/>
                <w:szCs w:val="24"/>
              </w:rPr>
              <w:t>43.58</w:t>
            </w:r>
          </w:p>
        </w:tc>
        <w:tc>
          <w:tcPr>
            <w:tcW w:w="1425" w:type="dxa"/>
            <w:shd w:val="clear" w:color="auto" w:fill="auto"/>
          </w:tcPr>
          <w:p w14:paraId="391A52B1" w14:textId="598D24D3" w:rsidR="004D4420" w:rsidRDefault="00CA398D" w:rsidP="00630105">
            <w:pPr>
              <w:spacing w:after="0" w:line="240" w:lineRule="auto"/>
              <w:rPr>
                <w:rFonts w:cs="Times New Roman"/>
                <w:szCs w:val="24"/>
              </w:rPr>
            </w:pPr>
            <w:r w:rsidRPr="00CA398D">
              <w:rPr>
                <w:rFonts w:cs="Times New Roman"/>
                <w:szCs w:val="24"/>
              </w:rPr>
              <w:t>17,432</w:t>
            </w:r>
          </w:p>
        </w:tc>
      </w:tr>
      <w:tr w:rsidR="004D4420" w:rsidRPr="007D6208" w14:paraId="0D2E5162" w14:textId="77777777" w:rsidTr="00933223">
        <w:tc>
          <w:tcPr>
            <w:tcW w:w="1414" w:type="dxa"/>
            <w:shd w:val="clear" w:color="auto" w:fill="auto"/>
          </w:tcPr>
          <w:p w14:paraId="426A1D89" w14:textId="5DC0D0C6" w:rsidR="004D4420" w:rsidRPr="00933223" w:rsidRDefault="004D4420" w:rsidP="004444C1">
            <w:pPr>
              <w:spacing w:after="0" w:line="240" w:lineRule="auto"/>
              <w:rPr>
                <w:rFonts w:cs="Times New Roman"/>
                <w:b/>
                <w:szCs w:val="24"/>
              </w:rPr>
            </w:pPr>
            <w:r>
              <w:rPr>
                <w:rFonts w:cs="Times New Roman"/>
                <w:b/>
                <w:szCs w:val="24"/>
              </w:rPr>
              <w:t>Total*</w:t>
            </w:r>
          </w:p>
        </w:tc>
        <w:tc>
          <w:tcPr>
            <w:tcW w:w="1599" w:type="dxa"/>
            <w:shd w:val="clear" w:color="auto" w:fill="auto"/>
          </w:tcPr>
          <w:p w14:paraId="7BFBE92E" w14:textId="131C11C4" w:rsidR="004D4420" w:rsidRDefault="004D4420" w:rsidP="00630105">
            <w:pPr>
              <w:spacing w:after="0" w:line="240" w:lineRule="auto"/>
              <w:rPr>
                <w:rFonts w:cs="Times New Roman"/>
                <w:szCs w:val="24"/>
              </w:rPr>
            </w:pPr>
            <w:r>
              <w:rPr>
                <w:rFonts w:cs="Times New Roman"/>
                <w:szCs w:val="24"/>
              </w:rPr>
              <w:t>1</w:t>
            </w:r>
            <w:r w:rsidR="009027AE">
              <w:rPr>
                <w:rFonts w:cs="Times New Roman"/>
                <w:szCs w:val="24"/>
              </w:rPr>
              <w:t>0</w:t>
            </w:r>
          </w:p>
        </w:tc>
        <w:tc>
          <w:tcPr>
            <w:tcW w:w="1430" w:type="dxa"/>
            <w:shd w:val="clear" w:color="auto" w:fill="auto"/>
          </w:tcPr>
          <w:p w14:paraId="0A2D96CE" w14:textId="21B19C60" w:rsidR="004D4420" w:rsidRDefault="009027AE" w:rsidP="009027AE">
            <w:pPr>
              <w:spacing w:after="0" w:line="240" w:lineRule="auto"/>
              <w:rPr>
                <w:rFonts w:cs="Times New Roman"/>
                <w:szCs w:val="24"/>
              </w:rPr>
            </w:pPr>
            <w:r>
              <w:rPr>
                <w:rFonts w:cs="Times New Roman"/>
                <w:szCs w:val="24"/>
              </w:rPr>
              <w:t>2</w:t>
            </w:r>
          </w:p>
        </w:tc>
        <w:tc>
          <w:tcPr>
            <w:tcW w:w="1332" w:type="dxa"/>
            <w:shd w:val="clear" w:color="auto" w:fill="auto"/>
          </w:tcPr>
          <w:p w14:paraId="11FF1183" w14:textId="744A4C0B" w:rsidR="004D4420" w:rsidRDefault="009027AE" w:rsidP="009027AE">
            <w:pPr>
              <w:spacing w:after="0" w:line="240" w:lineRule="auto"/>
              <w:rPr>
                <w:rFonts w:cs="Times New Roman"/>
                <w:szCs w:val="24"/>
              </w:rPr>
            </w:pPr>
            <w:r>
              <w:rPr>
                <w:rFonts w:cs="Times New Roman"/>
                <w:szCs w:val="24"/>
              </w:rPr>
              <w:t>2</w:t>
            </w:r>
            <w:r w:rsidR="004D4420">
              <w:rPr>
                <w:rFonts w:cs="Times New Roman"/>
                <w:szCs w:val="24"/>
              </w:rPr>
              <w:t>0</w:t>
            </w:r>
          </w:p>
        </w:tc>
        <w:tc>
          <w:tcPr>
            <w:tcW w:w="1012" w:type="dxa"/>
          </w:tcPr>
          <w:p w14:paraId="014F9CAB" w14:textId="61542D97" w:rsidR="004D4420" w:rsidRDefault="009027AE" w:rsidP="00630105">
            <w:pPr>
              <w:spacing w:after="0" w:line="240" w:lineRule="auto"/>
              <w:rPr>
                <w:rFonts w:cs="Times New Roman"/>
                <w:szCs w:val="24"/>
              </w:rPr>
            </w:pPr>
            <w:r>
              <w:rPr>
                <w:rFonts w:cs="Times New Roman"/>
                <w:szCs w:val="24"/>
              </w:rPr>
              <w:t>400</w:t>
            </w:r>
          </w:p>
        </w:tc>
        <w:tc>
          <w:tcPr>
            <w:tcW w:w="1256" w:type="dxa"/>
          </w:tcPr>
          <w:p w14:paraId="663A09EF" w14:textId="2589B167" w:rsidR="004D4420" w:rsidRDefault="001A24FD" w:rsidP="00630105">
            <w:pPr>
              <w:spacing w:after="0" w:line="240" w:lineRule="auto"/>
              <w:rPr>
                <w:rFonts w:cs="Times New Roman"/>
                <w:szCs w:val="24"/>
              </w:rPr>
            </w:pPr>
            <w:r w:rsidRPr="00937464">
              <w:rPr>
                <w:rFonts w:cs="Times New Roman"/>
                <w:szCs w:val="24"/>
              </w:rPr>
              <w:t>43.58</w:t>
            </w:r>
          </w:p>
        </w:tc>
        <w:tc>
          <w:tcPr>
            <w:tcW w:w="1425" w:type="dxa"/>
            <w:shd w:val="clear" w:color="auto" w:fill="auto"/>
          </w:tcPr>
          <w:p w14:paraId="5B9C1068" w14:textId="19637FF2" w:rsidR="004D4420" w:rsidRDefault="00CA398D" w:rsidP="00630105">
            <w:pPr>
              <w:spacing w:after="0" w:line="240" w:lineRule="auto"/>
              <w:rPr>
                <w:rFonts w:cs="Times New Roman"/>
                <w:szCs w:val="24"/>
              </w:rPr>
            </w:pPr>
            <w:r w:rsidRPr="00CA398D">
              <w:rPr>
                <w:rFonts w:cs="Times New Roman"/>
                <w:szCs w:val="24"/>
              </w:rPr>
              <w:t>17,432</w:t>
            </w:r>
          </w:p>
        </w:tc>
      </w:tr>
    </w:tbl>
    <w:p w14:paraId="72FE9B28" w14:textId="6F66147B" w:rsidR="003F468F" w:rsidRDefault="004D4420" w:rsidP="004444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t xml:space="preserve">*The burden for Cycle III has been deducted from our umbrella allotment on </w:t>
      </w:r>
      <w:r w:rsidRPr="003A5B6A">
        <w:t>December 24, 2014</w:t>
      </w:r>
      <w:r>
        <w:t xml:space="preserve">. </w:t>
      </w:r>
      <w:r w:rsidR="009027AE">
        <w:t>To avoid double counting, t</w:t>
      </w:r>
      <w:r>
        <w:t>his package does not propose any burden with respect to Cycle III.</w:t>
      </w:r>
      <w:r w:rsidR="004444C1">
        <w:t xml:space="preserve">  </w:t>
      </w:r>
      <w:r w:rsidR="009027AE">
        <w:t xml:space="preserve">This </w:t>
      </w:r>
      <w:proofErr w:type="spellStart"/>
      <w:r w:rsidR="004444C1">
        <w:t>GenIC</w:t>
      </w:r>
      <w:proofErr w:type="spellEnd"/>
      <w:r w:rsidR="004444C1">
        <w:t xml:space="preserve"> package </w:t>
      </w:r>
      <w:r w:rsidR="009027AE">
        <w:t xml:space="preserve">requests </w:t>
      </w:r>
      <w:r w:rsidR="004444C1">
        <w:t xml:space="preserve">the continuation of Cycle III (without any program changes or adjustments) and </w:t>
      </w:r>
      <w:r w:rsidR="009027AE">
        <w:t>an increase of 400 hours to start Cycle IV.</w:t>
      </w:r>
    </w:p>
    <w:p w14:paraId="63456DFC" w14:textId="77777777" w:rsidR="009027AE" w:rsidRPr="004004CB" w:rsidRDefault="009027AE" w:rsidP="00933223">
      <w:pPr>
        <w:spacing w:after="0" w:line="240" w:lineRule="auto"/>
      </w:pPr>
    </w:p>
    <w:p w14:paraId="0EBE9DDD" w14:textId="77777777" w:rsidR="007D6E75" w:rsidRPr="008111D2" w:rsidRDefault="007D6E75" w:rsidP="005878A5">
      <w:pPr>
        <w:pStyle w:val="Heading1"/>
      </w:pPr>
      <w:r w:rsidRPr="008111D2">
        <w:t>E. Timeline</w:t>
      </w:r>
    </w:p>
    <w:p w14:paraId="0EAEC6DC" w14:textId="77777777" w:rsidR="004004CB" w:rsidRDefault="004004CB" w:rsidP="0032797D">
      <w:pPr>
        <w:spacing w:after="0" w:line="240" w:lineRule="auto"/>
        <w:rPr>
          <w:szCs w:val="24"/>
        </w:rPr>
      </w:pPr>
    </w:p>
    <w:p w14:paraId="18649AD0" w14:textId="49E10FAD" w:rsidR="0032797D" w:rsidRDefault="0032797D" w:rsidP="0032797D">
      <w:pPr>
        <w:spacing w:after="0" w:line="240" w:lineRule="auto"/>
        <w:rPr>
          <w:szCs w:val="24"/>
        </w:rPr>
      </w:pPr>
      <w:r w:rsidRPr="0032797D">
        <w:rPr>
          <w:szCs w:val="24"/>
        </w:rPr>
        <w:t>The CHIPRA Cycle I</w:t>
      </w:r>
      <w:r w:rsidR="00443FD1">
        <w:rPr>
          <w:szCs w:val="24"/>
        </w:rPr>
        <w:t xml:space="preserve">V </w:t>
      </w:r>
      <w:r w:rsidRPr="0032797D">
        <w:rPr>
          <w:szCs w:val="24"/>
        </w:rPr>
        <w:t xml:space="preserve">Semi-Annual Report template is designed to collect reports twice annually for two years. </w:t>
      </w:r>
      <w:r>
        <w:rPr>
          <w:szCs w:val="24"/>
        </w:rPr>
        <w:t xml:space="preserve"> </w:t>
      </w:r>
      <w:r w:rsidR="000720DB">
        <w:rPr>
          <w:szCs w:val="24"/>
        </w:rPr>
        <w:t xml:space="preserve">CMS </w:t>
      </w:r>
      <w:r w:rsidRPr="0032797D">
        <w:rPr>
          <w:szCs w:val="24"/>
        </w:rPr>
        <w:t xml:space="preserve">will not </w:t>
      </w:r>
      <w:r w:rsidR="000720DB">
        <w:rPr>
          <w:szCs w:val="24"/>
        </w:rPr>
        <w:t>approve</w:t>
      </w:r>
      <w:r w:rsidR="00933223">
        <w:rPr>
          <w:szCs w:val="24"/>
        </w:rPr>
        <w:t xml:space="preserve"> no-</w:t>
      </w:r>
      <w:r w:rsidRPr="0032797D">
        <w:rPr>
          <w:szCs w:val="24"/>
        </w:rPr>
        <w:t>cost extensions for these grants.</w:t>
      </w:r>
    </w:p>
    <w:p w14:paraId="40834552" w14:textId="77777777" w:rsidR="0032797D" w:rsidRPr="0032797D" w:rsidRDefault="0032797D" w:rsidP="0032797D">
      <w:pPr>
        <w:spacing w:after="0" w:line="240" w:lineRule="auto"/>
        <w:rPr>
          <w:szCs w:val="24"/>
        </w:rPr>
      </w:pPr>
    </w:p>
    <w:p w14:paraId="089C3EAE" w14:textId="443A8B6A" w:rsidR="0032797D" w:rsidRDefault="0032797D" w:rsidP="0032797D">
      <w:pPr>
        <w:spacing w:after="0" w:line="240" w:lineRule="auto"/>
        <w:rPr>
          <w:szCs w:val="24"/>
        </w:rPr>
      </w:pPr>
      <w:r w:rsidRPr="0032797D">
        <w:rPr>
          <w:szCs w:val="24"/>
        </w:rPr>
        <w:t xml:space="preserve">Because grant financial and program reporting customarily falls on the end of a fiscal quarter and this grant award did not coincide with a fiscal quarter, the semi-annual program reporting periods were adjusted to coincide with the fiscal quarter. The following </w:t>
      </w:r>
      <w:r w:rsidR="00952F24">
        <w:rPr>
          <w:szCs w:val="24"/>
        </w:rPr>
        <w:t xml:space="preserve">chart includes </w:t>
      </w:r>
      <w:r w:rsidRPr="0032797D">
        <w:rPr>
          <w:szCs w:val="24"/>
        </w:rPr>
        <w:t xml:space="preserve">the planned program reporting periods and report due dates for </w:t>
      </w:r>
      <w:r w:rsidR="00443FD1">
        <w:rPr>
          <w:szCs w:val="24"/>
        </w:rPr>
        <w:t>the Cycle</w:t>
      </w:r>
      <w:r w:rsidR="00952F24">
        <w:rPr>
          <w:szCs w:val="24"/>
        </w:rPr>
        <w:t xml:space="preserve"> IV </w:t>
      </w:r>
      <w:r w:rsidRPr="0032797D">
        <w:rPr>
          <w:szCs w:val="24"/>
        </w:rPr>
        <w:t>grants</w:t>
      </w:r>
      <w:r w:rsidR="00952F24">
        <w:rPr>
          <w:szCs w:val="24"/>
        </w:rPr>
        <w:t xml:space="preserve"> which coincide with the remaining reporting periods for the Cycle III grants</w:t>
      </w:r>
      <w:r w:rsidRPr="0032797D">
        <w:rPr>
          <w:szCs w:val="24"/>
        </w:rPr>
        <w:t>.</w:t>
      </w:r>
    </w:p>
    <w:p w14:paraId="0918B911" w14:textId="77777777" w:rsidR="0032797D" w:rsidRPr="00D86D3B" w:rsidRDefault="0032797D" w:rsidP="0032797D">
      <w:pPr>
        <w:spacing w:after="0" w:line="240" w:lineRule="auto"/>
        <w:rPr>
          <w:rFonts w:cs="Times New Roman"/>
          <w:szCs w:val="24"/>
        </w:rPr>
      </w:pPr>
    </w:p>
    <w:tbl>
      <w:tblPr>
        <w:tblStyle w:val="TableGrid"/>
        <w:tblW w:w="9450" w:type="dxa"/>
        <w:tblInd w:w="108" w:type="dxa"/>
        <w:tblLook w:val="04A0" w:firstRow="1" w:lastRow="0" w:firstColumn="1" w:lastColumn="0" w:noHBand="0" w:noVBand="1"/>
      </w:tblPr>
      <w:tblGrid>
        <w:gridCol w:w="4267"/>
        <w:gridCol w:w="1980"/>
        <w:gridCol w:w="3203"/>
      </w:tblGrid>
      <w:tr w:rsidR="0032797D" w:rsidRPr="00D86D3B" w14:paraId="47A7A696" w14:textId="77777777" w:rsidTr="0082611A">
        <w:trPr>
          <w:trHeight w:val="346"/>
        </w:trPr>
        <w:tc>
          <w:tcPr>
            <w:tcW w:w="4267" w:type="dxa"/>
            <w:tcBorders>
              <w:bottom w:val="single" w:sz="12" w:space="0" w:color="auto"/>
            </w:tcBorders>
            <w:vAlign w:val="bottom"/>
          </w:tcPr>
          <w:p w14:paraId="14806D29" w14:textId="77777777" w:rsidR="0032797D" w:rsidRPr="00D86D3B" w:rsidRDefault="0032797D" w:rsidP="00A229CE">
            <w:pPr>
              <w:rPr>
                <w:rFonts w:cs="Times New Roman"/>
                <w:szCs w:val="24"/>
              </w:rPr>
            </w:pPr>
            <w:r w:rsidRPr="00D86D3B">
              <w:rPr>
                <w:rFonts w:cs="Times New Roman"/>
                <w:szCs w:val="24"/>
              </w:rPr>
              <w:t>Reporting Period</w:t>
            </w:r>
          </w:p>
        </w:tc>
        <w:tc>
          <w:tcPr>
            <w:tcW w:w="1980" w:type="dxa"/>
            <w:tcBorders>
              <w:bottom w:val="single" w:sz="12" w:space="0" w:color="auto"/>
            </w:tcBorders>
            <w:vAlign w:val="bottom"/>
          </w:tcPr>
          <w:p w14:paraId="1DE88946" w14:textId="6D896C34" w:rsidR="0032797D" w:rsidRPr="00D86D3B" w:rsidRDefault="0032797D" w:rsidP="00A229CE">
            <w:pPr>
              <w:rPr>
                <w:rFonts w:cs="Times New Roman"/>
                <w:szCs w:val="24"/>
              </w:rPr>
            </w:pPr>
          </w:p>
        </w:tc>
        <w:tc>
          <w:tcPr>
            <w:tcW w:w="3203" w:type="dxa"/>
            <w:tcBorders>
              <w:bottom w:val="single" w:sz="12" w:space="0" w:color="auto"/>
            </w:tcBorders>
            <w:vAlign w:val="bottom"/>
          </w:tcPr>
          <w:p w14:paraId="7CE711ED" w14:textId="77777777" w:rsidR="0032797D" w:rsidRPr="00D86D3B" w:rsidRDefault="0032797D" w:rsidP="00A229CE">
            <w:pPr>
              <w:rPr>
                <w:rFonts w:cs="Times New Roman"/>
                <w:szCs w:val="24"/>
              </w:rPr>
            </w:pPr>
            <w:r w:rsidRPr="00D86D3B">
              <w:rPr>
                <w:rFonts w:cs="Times New Roman"/>
                <w:szCs w:val="24"/>
              </w:rPr>
              <w:t>Due Date</w:t>
            </w:r>
          </w:p>
        </w:tc>
      </w:tr>
      <w:tr w:rsidR="0032797D" w:rsidRPr="00D86D3B" w14:paraId="6CD9BBCB" w14:textId="77777777" w:rsidTr="0082611A">
        <w:trPr>
          <w:trHeight w:val="346"/>
        </w:trPr>
        <w:tc>
          <w:tcPr>
            <w:tcW w:w="4267" w:type="dxa"/>
            <w:tcBorders>
              <w:top w:val="single" w:sz="12" w:space="0" w:color="auto"/>
            </w:tcBorders>
            <w:vAlign w:val="bottom"/>
          </w:tcPr>
          <w:p w14:paraId="05AE9B24" w14:textId="77777777" w:rsidR="0032797D" w:rsidRPr="00D86D3B" w:rsidRDefault="0032797D" w:rsidP="00A229CE">
            <w:pPr>
              <w:rPr>
                <w:rFonts w:cs="Times New Roman"/>
                <w:szCs w:val="24"/>
              </w:rPr>
            </w:pPr>
            <w:r>
              <w:rPr>
                <w:rFonts w:cs="Times New Roman"/>
                <w:szCs w:val="24"/>
              </w:rPr>
              <w:t>November 12, 2014 to June 30, 2015</w:t>
            </w:r>
          </w:p>
        </w:tc>
        <w:tc>
          <w:tcPr>
            <w:tcW w:w="1980" w:type="dxa"/>
            <w:tcBorders>
              <w:top w:val="single" w:sz="12" w:space="0" w:color="auto"/>
            </w:tcBorders>
            <w:vAlign w:val="bottom"/>
          </w:tcPr>
          <w:p w14:paraId="168274F8" w14:textId="0E61734D" w:rsidR="0032797D" w:rsidRPr="00D86D3B" w:rsidRDefault="0032797D" w:rsidP="000B7E43">
            <w:pPr>
              <w:rPr>
                <w:rFonts w:cs="Times New Roman"/>
                <w:szCs w:val="24"/>
              </w:rPr>
            </w:pPr>
            <w:r>
              <w:rPr>
                <w:rFonts w:cs="Times New Roman"/>
                <w:szCs w:val="24"/>
              </w:rPr>
              <w:t xml:space="preserve">TBD based on </w:t>
            </w:r>
            <w:r w:rsidR="000B7E43">
              <w:rPr>
                <w:rFonts w:cs="Times New Roman"/>
                <w:szCs w:val="24"/>
              </w:rPr>
              <w:t>OMB</w:t>
            </w:r>
            <w:r>
              <w:rPr>
                <w:rFonts w:cs="Times New Roman"/>
                <w:szCs w:val="24"/>
              </w:rPr>
              <w:t xml:space="preserve"> approval</w:t>
            </w:r>
          </w:p>
        </w:tc>
        <w:tc>
          <w:tcPr>
            <w:tcW w:w="3203" w:type="dxa"/>
            <w:tcBorders>
              <w:top w:val="single" w:sz="12" w:space="0" w:color="auto"/>
            </w:tcBorders>
            <w:vAlign w:val="bottom"/>
          </w:tcPr>
          <w:p w14:paraId="25CE0D1C" w14:textId="4B911156" w:rsidR="0032797D" w:rsidRPr="00D86D3B" w:rsidRDefault="0032797D" w:rsidP="000B7E43">
            <w:pPr>
              <w:rPr>
                <w:rFonts w:cs="Times New Roman"/>
                <w:szCs w:val="24"/>
              </w:rPr>
            </w:pPr>
            <w:r>
              <w:rPr>
                <w:rFonts w:cs="Times New Roman"/>
                <w:szCs w:val="24"/>
              </w:rPr>
              <w:t xml:space="preserve">TBD based on </w:t>
            </w:r>
            <w:r w:rsidR="000B7E43">
              <w:rPr>
                <w:rFonts w:cs="Times New Roman"/>
                <w:szCs w:val="24"/>
              </w:rPr>
              <w:t>OMB</w:t>
            </w:r>
            <w:r>
              <w:rPr>
                <w:rFonts w:cs="Times New Roman"/>
                <w:szCs w:val="24"/>
              </w:rPr>
              <w:t xml:space="preserve"> approval</w:t>
            </w:r>
          </w:p>
        </w:tc>
      </w:tr>
      <w:tr w:rsidR="0032797D" w:rsidRPr="00D86D3B" w14:paraId="45442A86" w14:textId="77777777" w:rsidTr="0082611A">
        <w:trPr>
          <w:trHeight w:val="346"/>
        </w:trPr>
        <w:tc>
          <w:tcPr>
            <w:tcW w:w="4267" w:type="dxa"/>
            <w:vAlign w:val="bottom"/>
          </w:tcPr>
          <w:p w14:paraId="780645AA" w14:textId="77777777" w:rsidR="0032797D" w:rsidRPr="00D86D3B" w:rsidRDefault="0032797D" w:rsidP="00A229CE">
            <w:pPr>
              <w:rPr>
                <w:rFonts w:cs="Times New Roman"/>
                <w:szCs w:val="24"/>
              </w:rPr>
            </w:pPr>
            <w:r>
              <w:rPr>
                <w:rFonts w:cs="Times New Roman"/>
                <w:szCs w:val="24"/>
              </w:rPr>
              <w:t>July 1, 2015 to December 31, 2015</w:t>
            </w:r>
          </w:p>
        </w:tc>
        <w:tc>
          <w:tcPr>
            <w:tcW w:w="1980" w:type="dxa"/>
            <w:vAlign w:val="bottom"/>
          </w:tcPr>
          <w:p w14:paraId="23AB92C1" w14:textId="77777777" w:rsidR="0032797D" w:rsidRPr="00D86D3B" w:rsidRDefault="0032797D" w:rsidP="00A229CE">
            <w:pPr>
              <w:rPr>
                <w:rFonts w:cs="Times New Roman"/>
                <w:szCs w:val="24"/>
              </w:rPr>
            </w:pPr>
            <w:r>
              <w:rPr>
                <w:rFonts w:cs="Times New Roman"/>
                <w:szCs w:val="24"/>
              </w:rPr>
              <w:t>July 1, 2015</w:t>
            </w:r>
          </w:p>
        </w:tc>
        <w:tc>
          <w:tcPr>
            <w:tcW w:w="3203" w:type="dxa"/>
            <w:vAlign w:val="bottom"/>
          </w:tcPr>
          <w:p w14:paraId="0829C3AB" w14:textId="77777777" w:rsidR="0032797D" w:rsidRPr="00D86D3B" w:rsidRDefault="0032797D" w:rsidP="00A229CE">
            <w:pPr>
              <w:rPr>
                <w:rFonts w:cs="Times New Roman"/>
                <w:szCs w:val="24"/>
              </w:rPr>
            </w:pPr>
            <w:r>
              <w:rPr>
                <w:rFonts w:cs="Times New Roman"/>
                <w:szCs w:val="24"/>
              </w:rPr>
              <w:t>December 31, 2015</w:t>
            </w:r>
          </w:p>
        </w:tc>
      </w:tr>
      <w:tr w:rsidR="0032797D" w:rsidRPr="00D86D3B" w14:paraId="0B1DCD3E" w14:textId="77777777" w:rsidTr="0082611A">
        <w:trPr>
          <w:trHeight w:val="346"/>
        </w:trPr>
        <w:tc>
          <w:tcPr>
            <w:tcW w:w="4267" w:type="dxa"/>
            <w:vAlign w:val="bottom"/>
          </w:tcPr>
          <w:p w14:paraId="63202162" w14:textId="77777777" w:rsidR="0032797D" w:rsidRPr="00D86D3B" w:rsidRDefault="0032797D" w:rsidP="00A229CE">
            <w:pPr>
              <w:rPr>
                <w:rFonts w:cs="Times New Roman"/>
                <w:szCs w:val="24"/>
              </w:rPr>
            </w:pPr>
            <w:r>
              <w:rPr>
                <w:rFonts w:cs="Times New Roman"/>
                <w:szCs w:val="24"/>
              </w:rPr>
              <w:t>January 1, 2016 to June 30, 2016</w:t>
            </w:r>
          </w:p>
        </w:tc>
        <w:tc>
          <w:tcPr>
            <w:tcW w:w="1980" w:type="dxa"/>
            <w:vAlign w:val="bottom"/>
          </w:tcPr>
          <w:p w14:paraId="62AD8A1C" w14:textId="77777777" w:rsidR="0032797D" w:rsidRPr="00D86D3B" w:rsidRDefault="0032797D" w:rsidP="00A229CE">
            <w:pPr>
              <w:rPr>
                <w:rFonts w:cs="Times New Roman"/>
                <w:szCs w:val="24"/>
              </w:rPr>
            </w:pPr>
            <w:r>
              <w:rPr>
                <w:rFonts w:cs="Times New Roman"/>
                <w:szCs w:val="24"/>
              </w:rPr>
              <w:t>January 1, 2016</w:t>
            </w:r>
          </w:p>
        </w:tc>
        <w:tc>
          <w:tcPr>
            <w:tcW w:w="3203" w:type="dxa"/>
            <w:vAlign w:val="bottom"/>
          </w:tcPr>
          <w:p w14:paraId="36984863" w14:textId="77777777" w:rsidR="0032797D" w:rsidRPr="00D86D3B" w:rsidRDefault="0032797D" w:rsidP="00A229CE">
            <w:pPr>
              <w:rPr>
                <w:rFonts w:cs="Times New Roman"/>
                <w:szCs w:val="24"/>
              </w:rPr>
            </w:pPr>
            <w:r>
              <w:rPr>
                <w:rFonts w:cs="Times New Roman"/>
                <w:szCs w:val="24"/>
              </w:rPr>
              <w:t>June 30, 2016</w:t>
            </w:r>
          </w:p>
        </w:tc>
      </w:tr>
      <w:tr w:rsidR="0032797D" w:rsidRPr="00D86D3B" w14:paraId="3FAEC0D9" w14:textId="77777777" w:rsidTr="0082611A">
        <w:trPr>
          <w:trHeight w:val="346"/>
        </w:trPr>
        <w:tc>
          <w:tcPr>
            <w:tcW w:w="4267" w:type="dxa"/>
            <w:vAlign w:val="bottom"/>
          </w:tcPr>
          <w:p w14:paraId="11577DBF" w14:textId="77777777" w:rsidR="0032797D" w:rsidRPr="00D86D3B" w:rsidRDefault="0032797D" w:rsidP="00A229CE">
            <w:pPr>
              <w:rPr>
                <w:rFonts w:cs="Times New Roman"/>
                <w:szCs w:val="24"/>
              </w:rPr>
            </w:pPr>
            <w:r>
              <w:rPr>
                <w:rFonts w:cs="Times New Roman"/>
                <w:szCs w:val="24"/>
              </w:rPr>
              <w:t>July 1, 2016 to November 11, 2016</w:t>
            </w:r>
          </w:p>
        </w:tc>
        <w:tc>
          <w:tcPr>
            <w:tcW w:w="1980" w:type="dxa"/>
            <w:vAlign w:val="bottom"/>
          </w:tcPr>
          <w:p w14:paraId="647FC108" w14:textId="77777777" w:rsidR="0032797D" w:rsidRPr="00D86D3B" w:rsidRDefault="0032797D" w:rsidP="00A229CE">
            <w:pPr>
              <w:rPr>
                <w:rFonts w:cs="Times New Roman"/>
                <w:szCs w:val="24"/>
              </w:rPr>
            </w:pPr>
            <w:r>
              <w:rPr>
                <w:rFonts w:cs="Times New Roman"/>
                <w:szCs w:val="24"/>
              </w:rPr>
              <w:t>July 1, 2016</w:t>
            </w:r>
          </w:p>
        </w:tc>
        <w:tc>
          <w:tcPr>
            <w:tcW w:w="3203" w:type="dxa"/>
            <w:vAlign w:val="bottom"/>
          </w:tcPr>
          <w:p w14:paraId="141D3609" w14:textId="3AE6506D" w:rsidR="0032797D" w:rsidRPr="00D86D3B" w:rsidRDefault="0032797D" w:rsidP="00A229CE">
            <w:pPr>
              <w:rPr>
                <w:rFonts w:cs="Times New Roman"/>
                <w:szCs w:val="24"/>
              </w:rPr>
            </w:pPr>
            <w:r>
              <w:rPr>
                <w:rFonts w:cs="Times New Roman"/>
                <w:szCs w:val="24"/>
              </w:rPr>
              <w:t>November</w:t>
            </w:r>
            <w:r w:rsidR="000B7E43">
              <w:rPr>
                <w:rFonts w:cs="Times New Roman"/>
                <w:szCs w:val="24"/>
              </w:rPr>
              <w:t xml:space="preserve"> </w:t>
            </w:r>
            <w:r>
              <w:rPr>
                <w:rFonts w:cs="Times New Roman"/>
                <w:szCs w:val="24"/>
              </w:rPr>
              <w:t>11, 2016</w:t>
            </w:r>
          </w:p>
        </w:tc>
      </w:tr>
    </w:tbl>
    <w:p w14:paraId="2E292CE9" w14:textId="77777777" w:rsidR="0032797D" w:rsidRDefault="0032797D" w:rsidP="0032797D">
      <w:pPr>
        <w:tabs>
          <w:tab w:val="left" w:pos="720"/>
          <w:tab w:val="left" w:pos="1440"/>
          <w:tab w:val="right" w:pos="8640"/>
        </w:tabs>
        <w:spacing w:after="0" w:line="240" w:lineRule="auto"/>
        <w:rPr>
          <w:rFonts w:eastAsia="Times" w:cs="Times New Roman"/>
          <w:szCs w:val="24"/>
        </w:rPr>
      </w:pPr>
    </w:p>
    <w:p w14:paraId="444BE588" w14:textId="77777777" w:rsidR="001C03D7" w:rsidRPr="001C03D7" w:rsidRDefault="001C03D7" w:rsidP="001C03D7">
      <w:pPr>
        <w:spacing w:after="0" w:line="240" w:lineRule="auto"/>
        <w:rPr>
          <w:szCs w:val="24"/>
        </w:rPr>
      </w:pPr>
    </w:p>
    <w:p w14:paraId="2EB16308" w14:textId="1752EB35" w:rsidR="001C03D7" w:rsidRPr="001C03D7" w:rsidRDefault="001C03D7" w:rsidP="001C03D7">
      <w:pPr>
        <w:spacing w:after="0" w:line="240" w:lineRule="auto"/>
        <w:rPr>
          <w:szCs w:val="24"/>
        </w:rPr>
      </w:pPr>
      <w:r w:rsidRPr="001C03D7">
        <w:rPr>
          <w:szCs w:val="24"/>
        </w:rPr>
        <w:t>Note that the first</w:t>
      </w:r>
      <w:r w:rsidR="00952F24">
        <w:rPr>
          <w:szCs w:val="24"/>
        </w:rPr>
        <w:t xml:space="preserve"> Cycle IV</w:t>
      </w:r>
      <w:r w:rsidRPr="001C03D7">
        <w:rPr>
          <w:szCs w:val="24"/>
        </w:rPr>
        <w:t xml:space="preserve"> report is delayed</w:t>
      </w:r>
      <w:r w:rsidR="00952F24">
        <w:rPr>
          <w:szCs w:val="24"/>
        </w:rPr>
        <w:t xml:space="preserve"> until approval of this PRA request</w:t>
      </w:r>
      <w:r w:rsidRPr="001C03D7">
        <w:rPr>
          <w:szCs w:val="24"/>
        </w:rPr>
        <w:t xml:space="preserve">.  Grantees currently have no </w:t>
      </w:r>
      <w:r w:rsidR="009E16DE">
        <w:rPr>
          <w:szCs w:val="24"/>
        </w:rPr>
        <w:t>OMB</w:t>
      </w:r>
      <w:r w:rsidRPr="001C03D7">
        <w:rPr>
          <w:szCs w:val="24"/>
        </w:rPr>
        <w:t xml:space="preserve">-approved instrument to submit their periodic grant </w:t>
      </w:r>
      <w:r w:rsidR="00443FD1" w:rsidRPr="001C03D7">
        <w:rPr>
          <w:szCs w:val="24"/>
        </w:rPr>
        <w:t>reports;</w:t>
      </w:r>
      <w:r w:rsidRPr="001C03D7">
        <w:rPr>
          <w:szCs w:val="24"/>
        </w:rPr>
        <w:t xml:space="preserve"> therefore we will be requesting approval of this collection as soon as possible to minimize the disrup</w:t>
      </w:r>
      <w:r>
        <w:rPr>
          <w:szCs w:val="24"/>
        </w:rPr>
        <w:t>tion to timely grant reporting.</w:t>
      </w:r>
    </w:p>
    <w:p w14:paraId="3511DFB0" w14:textId="77777777" w:rsidR="002B008B" w:rsidRPr="001C03D7" w:rsidRDefault="002B008B" w:rsidP="001C03D7">
      <w:pPr>
        <w:spacing w:after="0" w:line="240" w:lineRule="auto"/>
        <w:rPr>
          <w:szCs w:val="24"/>
        </w:rPr>
      </w:pPr>
    </w:p>
    <w:p w14:paraId="7E392CC9" w14:textId="77777777" w:rsidR="001C03D7" w:rsidRPr="001C03D7" w:rsidRDefault="001C03D7" w:rsidP="001C03D7">
      <w:pPr>
        <w:spacing w:after="0" w:line="240" w:lineRule="auto"/>
        <w:rPr>
          <w:szCs w:val="24"/>
        </w:rPr>
      </w:pPr>
      <w:r w:rsidRPr="001C03D7">
        <w:rPr>
          <w:szCs w:val="24"/>
        </w:rPr>
        <w:t>The following attachments are provided for this information collection:</w:t>
      </w:r>
    </w:p>
    <w:p w14:paraId="31B13C28" w14:textId="77777777" w:rsidR="002B008B" w:rsidRDefault="002B008B" w:rsidP="001C03D7">
      <w:pPr>
        <w:spacing w:after="0" w:line="240" w:lineRule="auto"/>
        <w:rPr>
          <w:szCs w:val="24"/>
        </w:rPr>
      </w:pPr>
    </w:p>
    <w:p w14:paraId="118D1C5D" w14:textId="57BD137A" w:rsidR="0098404A" w:rsidRPr="0082611A" w:rsidRDefault="001C03D7" w:rsidP="0082611A">
      <w:pPr>
        <w:pStyle w:val="ListParagraph"/>
        <w:numPr>
          <w:ilvl w:val="0"/>
          <w:numId w:val="15"/>
        </w:numPr>
        <w:spacing w:after="0" w:line="240" w:lineRule="auto"/>
        <w:rPr>
          <w:rFonts w:ascii="Times New Roman" w:hAnsi="Times New Roman"/>
          <w:sz w:val="24"/>
          <w:szCs w:val="24"/>
        </w:rPr>
      </w:pPr>
      <w:r w:rsidRPr="0082611A">
        <w:rPr>
          <w:rFonts w:ascii="Times New Roman" w:hAnsi="Times New Roman"/>
          <w:sz w:val="24"/>
          <w:szCs w:val="24"/>
        </w:rPr>
        <w:t xml:space="preserve">Attachment A – </w:t>
      </w:r>
      <w:r w:rsidR="00443FD1" w:rsidRPr="0082611A">
        <w:rPr>
          <w:rFonts w:ascii="Times New Roman" w:hAnsi="Times New Roman"/>
          <w:sz w:val="24"/>
          <w:szCs w:val="24"/>
        </w:rPr>
        <w:t>Cycle III Semi-Annual Report Template CHIPRA</w:t>
      </w:r>
      <w:r w:rsidRPr="0082611A">
        <w:rPr>
          <w:rFonts w:ascii="Times New Roman" w:hAnsi="Times New Roman"/>
          <w:sz w:val="24"/>
          <w:szCs w:val="24"/>
        </w:rPr>
        <w:t xml:space="preserve"> Connecting Kids to Coverage Outreach and Enrollment Grant</w:t>
      </w:r>
    </w:p>
    <w:p w14:paraId="2D90A198" w14:textId="043C7785" w:rsidR="0032797D" w:rsidRPr="0082611A" w:rsidRDefault="00952F24" w:rsidP="0082611A">
      <w:pPr>
        <w:pStyle w:val="ListParagraph"/>
        <w:numPr>
          <w:ilvl w:val="0"/>
          <w:numId w:val="15"/>
        </w:numPr>
        <w:spacing w:after="0" w:line="240" w:lineRule="auto"/>
        <w:rPr>
          <w:rFonts w:ascii="Times New Roman" w:hAnsi="Times New Roman"/>
          <w:sz w:val="24"/>
          <w:szCs w:val="24"/>
        </w:rPr>
      </w:pPr>
      <w:r w:rsidRPr="0082611A">
        <w:rPr>
          <w:rFonts w:ascii="Times New Roman" w:hAnsi="Times New Roman"/>
          <w:sz w:val="24"/>
          <w:szCs w:val="24"/>
        </w:rPr>
        <w:t xml:space="preserve">Attachment B </w:t>
      </w:r>
      <w:r w:rsidR="00443FD1" w:rsidRPr="0082611A">
        <w:rPr>
          <w:rFonts w:ascii="Times New Roman" w:hAnsi="Times New Roman"/>
          <w:sz w:val="24"/>
          <w:szCs w:val="24"/>
        </w:rPr>
        <w:t>–</w:t>
      </w:r>
      <w:r w:rsidRPr="0082611A">
        <w:rPr>
          <w:rFonts w:ascii="Times New Roman" w:hAnsi="Times New Roman"/>
          <w:sz w:val="24"/>
          <w:szCs w:val="24"/>
        </w:rPr>
        <w:t xml:space="preserve"> </w:t>
      </w:r>
      <w:r w:rsidR="00443FD1" w:rsidRPr="0082611A">
        <w:rPr>
          <w:rFonts w:ascii="Times New Roman" w:hAnsi="Times New Roman"/>
          <w:sz w:val="24"/>
          <w:szCs w:val="24"/>
        </w:rPr>
        <w:t xml:space="preserve">Cycle IV Semi-Annual Report Template </w:t>
      </w:r>
      <w:r w:rsidRPr="0082611A">
        <w:rPr>
          <w:rFonts w:ascii="Times New Roman" w:hAnsi="Times New Roman"/>
          <w:sz w:val="24"/>
          <w:szCs w:val="24"/>
        </w:rPr>
        <w:t>CHIPRA Connecting Kids to Coverag</w:t>
      </w:r>
      <w:r w:rsidR="00443FD1" w:rsidRPr="0082611A">
        <w:rPr>
          <w:rFonts w:ascii="Times New Roman" w:hAnsi="Times New Roman"/>
          <w:sz w:val="24"/>
          <w:szCs w:val="24"/>
        </w:rPr>
        <w:t>e Outreach and Enrollment Grant</w:t>
      </w:r>
      <w:r w:rsidR="001C03D7" w:rsidRPr="0082611A">
        <w:rPr>
          <w:rFonts w:ascii="Times New Roman" w:hAnsi="Times New Roman"/>
          <w:sz w:val="24"/>
          <w:szCs w:val="24"/>
        </w:rPr>
        <w:t>s Focused on Increasing Enrollment of America</w:t>
      </w:r>
      <w:r w:rsidR="0082611A">
        <w:rPr>
          <w:rFonts w:ascii="Times New Roman" w:hAnsi="Times New Roman"/>
          <w:sz w:val="24"/>
          <w:szCs w:val="24"/>
        </w:rPr>
        <w:t>n Indian/Alaska Native Children</w:t>
      </w:r>
    </w:p>
    <w:sectPr w:rsidR="0032797D" w:rsidRPr="0082611A"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A1556" w14:textId="77777777" w:rsidR="004C3132" w:rsidRDefault="004C3132" w:rsidP="008111D2">
      <w:pPr>
        <w:spacing w:after="0" w:line="240" w:lineRule="auto"/>
      </w:pPr>
      <w:r>
        <w:separator/>
      </w:r>
    </w:p>
  </w:endnote>
  <w:endnote w:type="continuationSeparator" w:id="0">
    <w:p w14:paraId="5103CB57" w14:textId="77777777" w:rsidR="004C3132" w:rsidRDefault="004C3132" w:rsidP="008111D2">
      <w:pPr>
        <w:spacing w:after="0" w:line="240" w:lineRule="auto"/>
      </w:pPr>
      <w:r>
        <w:continuationSeparator/>
      </w:r>
    </w:p>
  </w:endnote>
  <w:endnote w:type="continuationNotice" w:id="1">
    <w:p w14:paraId="402BC466" w14:textId="77777777" w:rsidR="004C3132" w:rsidRDefault="004C31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6A490" w14:textId="77777777" w:rsidR="004C3132" w:rsidRDefault="004C31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67AED" w14:textId="77777777" w:rsidR="004C3132" w:rsidRDefault="004C3132" w:rsidP="008111D2">
      <w:pPr>
        <w:spacing w:after="0" w:line="240" w:lineRule="auto"/>
      </w:pPr>
      <w:r>
        <w:separator/>
      </w:r>
    </w:p>
  </w:footnote>
  <w:footnote w:type="continuationSeparator" w:id="0">
    <w:p w14:paraId="45A8A87A" w14:textId="77777777" w:rsidR="004C3132" w:rsidRDefault="004C3132" w:rsidP="008111D2">
      <w:pPr>
        <w:spacing w:after="0" w:line="240" w:lineRule="auto"/>
      </w:pPr>
      <w:r>
        <w:continuationSeparator/>
      </w:r>
    </w:p>
  </w:footnote>
  <w:footnote w:type="continuationNotice" w:id="1">
    <w:p w14:paraId="6AD11FAD" w14:textId="77777777" w:rsidR="004C3132" w:rsidRDefault="004C313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EEE5E" w14:textId="77777777" w:rsidR="004C3132" w:rsidRDefault="004C31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21F42A4"/>
    <w:multiLevelType w:val="hybridMultilevel"/>
    <w:tmpl w:val="AC525F0C"/>
    <w:lvl w:ilvl="0" w:tplc="02D2891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AF32AE"/>
    <w:multiLevelType w:val="hybridMultilevel"/>
    <w:tmpl w:val="E22C3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043260"/>
    <w:multiLevelType w:val="hybridMultilevel"/>
    <w:tmpl w:val="1742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1351EF"/>
    <w:multiLevelType w:val="hybridMultilevel"/>
    <w:tmpl w:val="0C2A2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6"/>
  </w:num>
  <w:num w:numId="4">
    <w:abstractNumId w:val="11"/>
  </w:num>
  <w:num w:numId="5">
    <w:abstractNumId w:val="2"/>
  </w:num>
  <w:num w:numId="6">
    <w:abstractNumId w:val="3"/>
  </w:num>
  <w:num w:numId="7">
    <w:abstractNumId w:val="4"/>
  </w:num>
  <w:num w:numId="8">
    <w:abstractNumId w:val="9"/>
  </w:num>
  <w:num w:numId="9">
    <w:abstractNumId w:val="0"/>
  </w:num>
  <w:num w:numId="10">
    <w:abstractNumId w:val="12"/>
  </w:num>
  <w:num w:numId="11">
    <w:abstractNumId w:val="1"/>
  </w:num>
  <w:num w:numId="12">
    <w:abstractNumId w:val="8"/>
  </w:num>
  <w:num w:numId="13">
    <w:abstractNumId w:val="14"/>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34FC2"/>
    <w:rsid w:val="000362BD"/>
    <w:rsid w:val="00043D0E"/>
    <w:rsid w:val="00065AB6"/>
    <w:rsid w:val="000712B4"/>
    <w:rsid w:val="000720DB"/>
    <w:rsid w:val="00074938"/>
    <w:rsid w:val="000A4125"/>
    <w:rsid w:val="000B7E43"/>
    <w:rsid w:val="000D1CFD"/>
    <w:rsid w:val="000D3518"/>
    <w:rsid w:val="000E55DA"/>
    <w:rsid w:val="000F75EE"/>
    <w:rsid w:val="00111672"/>
    <w:rsid w:val="001213D3"/>
    <w:rsid w:val="00122C0E"/>
    <w:rsid w:val="00124B7A"/>
    <w:rsid w:val="001664FE"/>
    <w:rsid w:val="00175A39"/>
    <w:rsid w:val="001831C2"/>
    <w:rsid w:val="00185CB4"/>
    <w:rsid w:val="001A1FC6"/>
    <w:rsid w:val="001A24FD"/>
    <w:rsid w:val="001C03D7"/>
    <w:rsid w:val="001D197A"/>
    <w:rsid w:val="001D5EEF"/>
    <w:rsid w:val="001E1FA0"/>
    <w:rsid w:val="001E66B6"/>
    <w:rsid w:val="001F2628"/>
    <w:rsid w:val="0020026D"/>
    <w:rsid w:val="002009DB"/>
    <w:rsid w:val="00210C36"/>
    <w:rsid w:val="00222B4F"/>
    <w:rsid w:val="00251737"/>
    <w:rsid w:val="00252D20"/>
    <w:rsid w:val="00262B47"/>
    <w:rsid w:val="00270765"/>
    <w:rsid w:val="0027114C"/>
    <w:rsid w:val="002B008B"/>
    <w:rsid w:val="002B3A76"/>
    <w:rsid w:val="002C1C0B"/>
    <w:rsid w:val="002F53DC"/>
    <w:rsid w:val="003248D0"/>
    <w:rsid w:val="00325F87"/>
    <w:rsid w:val="0032797D"/>
    <w:rsid w:val="00335313"/>
    <w:rsid w:val="0034095A"/>
    <w:rsid w:val="003523B9"/>
    <w:rsid w:val="003627C8"/>
    <w:rsid w:val="003918B4"/>
    <w:rsid w:val="003953E8"/>
    <w:rsid w:val="003A5B6A"/>
    <w:rsid w:val="003B4C5A"/>
    <w:rsid w:val="003B747B"/>
    <w:rsid w:val="003D2682"/>
    <w:rsid w:val="003D536E"/>
    <w:rsid w:val="003F21A2"/>
    <w:rsid w:val="003F3B34"/>
    <w:rsid w:val="003F468F"/>
    <w:rsid w:val="003F4D04"/>
    <w:rsid w:val="004004CB"/>
    <w:rsid w:val="00403079"/>
    <w:rsid w:val="00405CF9"/>
    <w:rsid w:val="004322B5"/>
    <w:rsid w:val="00432C17"/>
    <w:rsid w:val="00443FD1"/>
    <w:rsid w:val="004444C1"/>
    <w:rsid w:val="00445135"/>
    <w:rsid w:val="00465B2D"/>
    <w:rsid w:val="00467E98"/>
    <w:rsid w:val="00474257"/>
    <w:rsid w:val="00475EF8"/>
    <w:rsid w:val="00483058"/>
    <w:rsid w:val="004A0A30"/>
    <w:rsid w:val="004B0DF4"/>
    <w:rsid w:val="004B13E8"/>
    <w:rsid w:val="004C3132"/>
    <w:rsid w:val="004C5B26"/>
    <w:rsid w:val="004D4420"/>
    <w:rsid w:val="004E3B09"/>
    <w:rsid w:val="00501785"/>
    <w:rsid w:val="0052333E"/>
    <w:rsid w:val="0052552A"/>
    <w:rsid w:val="00525652"/>
    <w:rsid w:val="00534950"/>
    <w:rsid w:val="0058452B"/>
    <w:rsid w:val="005878A5"/>
    <w:rsid w:val="00597063"/>
    <w:rsid w:val="00597229"/>
    <w:rsid w:val="00597FDF"/>
    <w:rsid w:val="005B6A37"/>
    <w:rsid w:val="005C580D"/>
    <w:rsid w:val="005D001F"/>
    <w:rsid w:val="005E2A9A"/>
    <w:rsid w:val="005E305A"/>
    <w:rsid w:val="005E3B79"/>
    <w:rsid w:val="005E52BE"/>
    <w:rsid w:val="0060207A"/>
    <w:rsid w:val="006026DA"/>
    <w:rsid w:val="00647812"/>
    <w:rsid w:val="0067562E"/>
    <w:rsid w:val="00685368"/>
    <w:rsid w:val="006C0B96"/>
    <w:rsid w:val="006C40FD"/>
    <w:rsid w:val="006C4626"/>
    <w:rsid w:val="006D6A5D"/>
    <w:rsid w:val="006D75BC"/>
    <w:rsid w:val="006F4FF9"/>
    <w:rsid w:val="00700CC2"/>
    <w:rsid w:val="007018EE"/>
    <w:rsid w:val="00707666"/>
    <w:rsid w:val="0071650B"/>
    <w:rsid w:val="00716824"/>
    <w:rsid w:val="007224E4"/>
    <w:rsid w:val="00723A9E"/>
    <w:rsid w:val="00761709"/>
    <w:rsid w:val="0076576D"/>
    <w:rsid w:val="007B4856"/>
    <w:rsid w:val="007D6208"/>
    <w:rsid w:val="007D6E75"/>
    <w:rsid w:val="007E0AEF"/>
    <w:rsid w:val="007E0BD6"/>
    <w:rsid w:val="007F1711"/>
    <w:rsid w:val="00802598"/>
    <w:rsid w:val="008111D2"/>
    <w:rsid w:val="0082611A"/>
    <w:rsid w:val="00833DAD"/>
    <w:rsid w:val="00833FAF"/>
    <w:rsid w:val="00836E8F"/>
    <w:rsid w:val="00873459"/>
    <w:rsid w:val="00877EE8"/>
    <w:rsid w:val="0088756F"/>
    <w:rsid w:val="008B1525"/>
    <w:rsid w:val="008C11BC"/>
    <w:rsid w:val="008C70AC"/>
    <w:rsid w:val="008C77C9"/>
    <w:rsid w:val="008D52D1"/>
    <w:rsid w:val="008E6143"/>
    <w:rsid w:val="008F2AED"/>
    <w:rsid w:val="009004E1"/>
    <w:rsid w:val="009027AE"/>
    <w:rsid w:val="00933202"/>
    <w:rsid w:val="00933223"/>
    <w:rsid w:val="00937464"/>
    <w:rsid w:val="0095297C"/>
    <w:rsid w:val="00952F24"/>
    <w:rsid w:val="00980840"/>
    <w:rsid w:val="0098404A"/>
    <w:rsid w:val="009903AB"/>
    <w:rsid w:val="00996D68"/>
    <w:rsid w:val="009B094C"/>
    <w:rsid w:val="009B19E8"/>
    <w:rsid w:val="009C2F36"/>
    <w:rsid w:val="009C74F9"/>
    <w:rsid w:val="009D0BE8"/>
    <w:rsid w:val="009E16DE"/>
    <w:rsid w:val="009E1EC4"/>
    <w:rsid w:val="009E3FAC"/>
    <w:rsid w:val="009E7CCB"/>
    <w:rsid w:val="00A138F7"/>
    <w:rsid w:val="00A601B8"/>
    <w:rsid w:val="00A70CE7"/>
    <w:rsid w:val="00A718B4"/>
    <w:rsid w:val="00AA37EC"/>
    <w:rsid w:val="00AB01BC"/>
    <w:rsid w:val="00AC2741"/>
    <w:rsid w:val="00AC71F3"/>
    <w:rsid w:val="00AD577E"/>
    <w:rsid w:val="00AE1BD8"/>
    <w:rsid w:val="00B151B4"/>
    <w:rsid w:val="00B34B2F"/>
    <w:rsid w:val="00B43BBD"/>
    <w:rsid w:val="00B532F3"/>
    <w:rsid w:val="00B67C5A"/>
    <w:rsid w:val="00B87957"/>
    <w:rsid w:val="00BA2142"/>
    <w:rsid w:val="00BA5489"/>
    <w:rsid w:val="00BA59E9"/>
    <w:rsid w:val="00BB109D"/>
    <w:rsid w:val="00BD32FA"/>
    <w:rsid w:val="00C2142E"/>
    <w:rsid w:val="00C94C5E"/>
    <w:rsid w:val="00CA398D"/>
    <w:rsid w:val="00CB1289"/>
    <w:rsid w:val="00CB241F"/>
    <w:rsid w:val="00CB646D"/>
    <w:rsid w:val="00CC3E7D"/>
    <w:rsid w:val="00CF2318"/>
    <w:rsid w:val="00CF6C1D"/>
    <w:rsid w:val="00D12ABB"/>
    <w:rsid w:val="00D12F79"/>
    <w:rsid w:val="00D215B4"/>
    <w:rsid w:val="00D42E31"/>
    <w:rsid w:val="00D444AD"/>
    <w:rsid w:val="00D46C38"/>
    <w:rsid w:val="00D4736A"/>
    <w:rsid w:val="00D517D9"/>
    <w:rsid w:val="00D82A42"/>
    <w:rsid w:val="00D84DA5"/>
    <w:rsid w:val="00DA6A6A"/>
    <w:rsid w:val="00DC3F84"/>
    <w:rsid w:val="00DD794C"/>
    <w:rsid w:val="00DE2830"/>
    <w:rsid w:val="00DF098E"/>
    <w:rsid w:val="00E83C3E"/>
    <w:rsid w:val="00E84E1B"/>
    <w:rsid w:val="00E93F3F"/>
    <w:rsid w:val="00EA4AB1"/>
    <w:rsid w:val="00EB1115"/>
    <w:rsid w:val="00EC152C"/>
    <w:rsid w:val="00EE1AD1"/>
    <w:rsid w:val="00EF3A74"/>
    <w:rsid w:val="00EF7A8D"/>
    <w:rsid w:val="00F01D40"/>
    <w:rsid w:val="00F04F6D"/>
    <w:rsid w:val="00F303E4"/>
    <w:rsid w:val="00F34393"/>
    <w:rsid w:val="00F34937"/>
    <w:rsid w:val="00F35548"/>
    <w:rsid w:val="00F42137"/>
    <w:rsid w:val="00F44522"/>
    <w:rsid w:val="00F52AA4"/>
    <w:rsid w:val="00F53A1B"/>
    <w:rsid w:val="00F54374"/>
    <w:rsid w:val="00FB3D21"/>
    <w:rsid w:val="00FC0015"/>
    <w:rsid w:val="00FC15BC"/>
    <w:rsid w:val="00FD1492"/>
    <w:rsid w:val="00FE644A"/>
    <w:rsid w:val="00FF1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E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525"/>
    <w:rPr>
      <w:rFonts w:ascii="Times New Roman" w:hAnsi="Times New Roman"/>
      <w:sz w:val="24"/>
    </w:rPr>
  </w:style>
  <w:style w:type="paragraph" w:styleId="Heading1">
    <w:name w:val="heading 1"/>
    <w:basedOn w:val="Normal"/>
    <w:next w:val="Normal"/>
    <w:link w:val="Heading1Char"/>
    <w:autoRedefine/>
    <w:uiPriority w:val="9"/>
    <w:qFormat/>
    <w:rsid w:val="005878A5"/>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8A5"/>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unhideWhenUsed/>
    <w:rsid w:val="00D12F79"/>
    <w:rPr>
      <w:sz w:val="16"/>
      <w:szCs w:val="16"/>
    </w:rPr>
  </w:style>
  <w:style w:type="paragraph" w:styleId="CommentText">
    <w:name w:val="annotation text"/>
    <w:basedOn w:val="Normal"/>
    <w:link w:val="CommentTextChar"/>
    <w:unhideWhenUsed/>
    <w:rsid w:val="00D12F79"/>
    <w:pPr>
      <w:spacing w:line="240" w:lineRule="auto"/>
    </w:pPr>
    <w:rPr>
      <w:sz w:val="20"/>
      <w:szCs w:val="20"/>
    </w:rPr>
  </w:style>
  <w:style w:type="character" w:customStyle="1" w:styleId="CommentTextChar">
    <w:name w:val="Comment Text Char"/>
    <w:basedOn w:val="DefaultParagraphFont"/>
    <w:link w:val="CommentText"/>
    <w:rsid w:val="00D12F7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12F79"/>
    <w:rPr>
      <w:b/>
      <w:bCs/>
    </w:rPr>
  </w:style>
  <w:style w:type="character" w:customStyle="1" w:styleId="CommentSubjectChar">
    <w:name w:val="Comment Subject Char"/>
    <w:basedOn w:val="CommentTextChar"/>
    <w:link w:val="CommentSubject"/>
    <w:uiPriority w:val="99"/>
    <w:semiHidden/>
    <w:rsid w:val="00D12F79"/>
    <w:rPr>
      <w:rFonts w:ascii="Times New Roman" w:hAnsi="Times New Roman"/>
      <w:b/>
      <w:bCs/>
      <w:sz w:val="20"/>
      <w:szCs w:val="20"/>
    </w:rPr>
  </w:style>
  <w:style w:type="paragraph" w:styleId="Revision">
    <w:name w:val="Revision"/>
    <w:hidden/>
    <w:uiPriority w:val="99"/>
    <w:semiHidden/>
    <w:rsid w:val="00D12F79"/>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525"/>
    <w:rPr>
      <w:rFonts w:ascii="Times New Roman" w:hAnsi="Times New Roman"/>
      <w:sz w:val="24"/>
    </w:rPr>
  </w:style>
  <w:style w:type="paragraph" w:styleId="Heading1">
    <w:name w:val="heading 1"/>
    <w:basedOn w:val="Normal"/>
    <w:next w:val="Normal"/>
    <w:link w:val="Heading1Char"/>
    <w:autoRedefine/>
    <w:uiPriority w:val="9"/>
    <w:qFormat/>
    <w:rsid w:val="005878A5"/>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8A5"/>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unhideWhenUsed/>
    <w:rsid w:val="00D12F79"/>
    <w:rPr>
      <w:sz w:val="16"/>
      <w:szCs w:val="16"/>
    </w:rPr>
  </w:style>
  <w:style w:type="paragraph" w:styleId="CommentText">
    <w:name w:val="annotation text"/>
    <w:basedOn w:val="Normal"/>
    <w:link w:val="CommentTextChar"/>
    <w:unhideWhenUsed/>
    <w:rsid w:val="00D12F79"/>
    <w:pPr>
      <w:spacing w:line="240" w:lineRule="auto"/>
    </w:pPr>
    <w:rPr>
      <w:sz w:val="20"/>
      <w:szCs w:val="20"/>
    </w:rPr>
  </w:style>
  <w:style w:type="character" w:customStyle="1" w:styleId="CommentTextChar">
    <w:name w:val="Comment Text Char"/>
    <w:basedOn w:val="DefaultParagraphFont"/>
    <w:link w:val="CommentText"/>
    <w:rsid w:val="00D12F7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12F79"/>
    <w:rPr>
      <w:b/>
      <w:bCs/>
    </w:rPr>
  </w:style>
  <w:style w:type="character" w:customStyle="1" w:styleId="CommentSubjectChar">
    <w:name w:val="Comment Subject Char"/>
    <w:basedOn w:val="CommentTextChar"/>
    <w:link w:val="CommentSubject"/>
    <w:uiPriority w:val="99"/>
    <w:semiHidden/>
    <w:rsid w:val="00D12F79"/>
    <w:rPr>
      <w:rFonts w:ascii="Times New Roman" w:hAnsi="Times New Roman"/>
      <w:b/>
      <w:bCs/>
      <w:sz w:val="20"/>
      <w:szCs w:val="20"/>
    </w:rPr>
  </w:style>
  <w:style w:type="paragraph" w:styleId="Revision">
    <w:name w:val="Revision"/>
    <w:hidden/>
    <w:uiPriority w:val="99"/>
    <w:semiHidden/>
    <w:rsid w:val="00D12F7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7" ma:contentTypeDescription="Create a new document." ma:contentTypeScope="" ma:versionID="25e4346ebf3ad60232614924acbe40f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4aad569243786a106b494020004d7a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F16AC-8646-4BDF-9D8C-49CF48DFBC40}">
  <ds:schemaRefs>
    <ds:schemaRef ds:uri="http://schemas.openxmlformats.org/package/2006/metadata/core-properties"/>
    <ds:schemaRef ds:uri="http://schemas.microsoft.com/sharepoint/v3"/>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schemas.microsoft.com/sharepoint/v4"/>
    <ds:schemaRef ds:uri="http://purl.org/dc/dcmitype/"/>
  </ds:schemaRefs>
</ds:datastoreItem>
</file>

<file path=customXml/itemProps2.xml><?xml version="1.0" encoding="utf-8"?>
<ds:datastoreItem xmlns:ds="http://schemas.openxmlformats.org/officeDocument/2006/customXml" ds:itemID="{F2A2E0D0-D5F6-4D63-9EF1-566EAACD508A}">
  <ds:schemaRefs>
    <ds:schemaRef ds:uri="http://schemas.microsoft.com/sharepoint/v3/contenttype/forms"/>
  </ds:schemaRefs>
</ds:datastoreItem>
</file>

<file path=customXml/itemProps3.xml><?xml version="1.0" encoding="utf-8"?>
<ds:datastoreItem xmlns:ds="http://schemas.openxmlformats.org/officeDocument/2006/customXml" ds:itemID="{B0F6478D-EE6C-40AA-9E61-97CF5946F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8E1BBE-CB45-47FB-8BAD-46AA132E8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1885</Words>
  <Characters>10747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2</cp:revision>
  <cp:lastPrinted>2015-04-14T14:13:00Z</cp:lastPrinted>
  <dcterms:created xsi:type="dcterms:W3CDTF">2015-04-15T12:47:00Z</dcterms:created>
  <dcterms:modified xsi:type="dcterms:W3CDTF">2015-04-15T12:47:00Z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-1996352415</vt:i4>
  </property>
  <property fmtid="{D5CDD505-2E9C-101B-9397-08002B2CF9AE}" pid="3" name="_NewReviewCycle">
    <vt:lpwstr/>
  </property>
  <property fmtid="{D5CDD505-2E9C-101B-9397-08002B2CF9AE}" pid="4" name="_EmailSubject">
    <vt:lpwstr>Gen-IC #7</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-529664384</vt:i4>
  </property>
  <property fmtid="{D5CDD505-2E9C-101B-9397-08002B2CF9AE}" pid="8" name="ContentTypeId">
    <vt:lpwstr>0x0101000C11A5BC1D6FBC4F9C3FC202B0ABB03D</vt:lpwstr>
  </property>
  <property fmtid="{D5CDD505-2E9C-101B-9397-08002B2CF9AE}" pid="9" name="_ReviewingToolsShownOnce">
    <vt:lpwstr/>
  </property>
</Properties>
</file>