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888" w:rsidRDefault="007D0888" w:rsidP="005140AD">
      <w:pPr>
        <w:tabs>
          <w:tab w:val="center" w:pos="4680"/>
        </w:tabs>
        <w:spacing w:line="242" w:lineRule="auto"/>
        <w:jc w:val="center"/>
        <w:rPr>
          <w:sz w:val="24"/>
        </w:rPr>
      </w:pPr>
      <w:r>
        <w:rPr>
          <w:b/>
          <w:bCs/>
          <w:sz w:val="24"/>
        </w:rPr>
        <w:t xml:space="preserve">SUPPORTING STATEMENT FOR </w:t>
      </w:r>
      <w:r w:rsidR="003C6B86">
        <w:rPr>
          <w:b/>
          <w:bCs/>
          <w:sz w:val="24"/>
        </w:rPr>
        <w:t xml:space="preserve">THE </w:t>
      </w:r>
    </w:p>
    <w:p w:rsidR="006D1266" w:rsidRDefault="007D0888" w:rsidP="005140AD">
      <w:pPr>
        <w:spacing w:line="242" w:lineRule="auto"/>
        <w:jc w:val="center"/>
        <w:rPr>
          <w:b/>
          <w:bCs/>
          <w:sz w:val="24"/>
        </w:rPr>
      </w:pPr>
      <w:r>
        <w:rPr>
          <w:b/>
          <w:bCs/>
          <w:sz w:val="24"/>
        </w:rPr>
        <w:t xml:space="preserve">HOME OFFICE COST STATEMENT </w:t>
      </w:r>
      <w:r w:rsidR="003C6B86" w:rsidRPr="003C6B86">
        <w:rPr>
          <w:b/>
          <w:bCs/>
          <w:sz w:val="24"/>
        </w:rPr>
        <w:t xml:space="preserve"> </w:t>
      </w:r>
    </w:p>
    <w:p w:rsidR="007D0888" w:rsidRDefault="003C6B86" w:rsidP="005140AD">
      <w:pPr>
        <w:spacing w:line="242" w:lineRule="auto"/>
        <w:jc w:val="center"/>
        <w:rPr>
          <w:b/>
          <w:bCs/>
          <w:sz w:val="24"/>
        </w:rPr>
      </w:pPr>
      <w:r>
        <w:rPr>
          <w:b/>
          <w:bCs/>
          <w:sz w:val="24"/>
        </w:rPr>
        <w:t>FORM CMS-287-05</w:t>
      </w:r>
    </w:p>
    <w:p w:rsidR="007D0888" w:rsidRDefault="007D0888" w:rsidP="005140AD">
      <w:pPr>
        <w:spacing w:line="242" w:lineRule="auto"/>
        <w:rPr>
          <w:sz w:val="24"/>
        </w:rPr>
      </w:pPr>
    </w:p>
    <w:p w:rsidR="007D0888" w:rsidRDefault="007D0888" w:rsidP="005140AD">
      <w:pPr>
        <w:tabs>
          <w:tab w:val="left" w:pos="450"/>
        </w:tabs>
        <w:spacing w:line="242" w:lineRule="auto"/>
        <w:rPr>
          <w:sz w:val="24"/>
        </w:rPr>
      </w:pPr>
      <w:r>
        <w:rPr>
          <w:b/>
          <w:bCs/>
          <w:sz w:val="24"/>
        </w:rPr>
        <w:t>A.</w:t>
      </w:r>
      <w:r>
        <w:rPr>
          <w:b/>
          <w:bCs/>
          <w:sz w:val="24"/>
        </w:rPr>
        <w:tab/>
      </w:r>
      <w:r>
        <w:rPr>
          <w:b/>
          <w:bCs/>
          <w:sz w:val="24"/>
          <w:u w:val="single"/>
        </w:rPr>
        <w:t>BACKGROUND</w:t>
      </w:r>
    </w:p>
    <w:p w:rsidR="007D0888" w:rsidRDefault="007D0888" w:rsidP="005140AD">
      <w:pPr>
        <w:tabs>
          <w:tab w:val="left" w:pos="540"/>
        </w:tabs>
        <w:spacing w:line="242" w:lineRule="auto"/>
        <w:rPr>
          <w:sz w:val="24"/>
        </w:rPr>
      </w:pPr>
    </w:p>
    <w:p w:rsidR="007D0888" w:rsidRDefault="007D0888" w:rsidP="005140AD">
      <w:pPr>
        <w:rPr>
          <w:sz w:val="24"/>
        </w:rPr>
      </w:pPr>
      <w:r>
        <w:rPr>
          <w:sz w:val="24"/>
        </w:rPr>
        <w:t>CMS is requesting the Office of Management and Budget (OMB)</w:t>
      </w:r>
      <w:r w:rsidR="006D1266">
        <w:rPr>
          <w:sz w:val="24"/>
        </w:rPr>
        <w:t xml:space="preserve"> </w:t>
      </w:r>
      <w:r w:rsidR="003C6B86">
        <w:rPr>
          <w:sz w:val="24"/>
        </w:rPr>
        <w:t xml:space="preserve">review and approve this extension request for the </w:t>
      </w:r>
      <w:r>
        <w:rPr>
          <w:sz w:val="24"/>
        </w:rPr>
        <w:t>Form CMS-287-05</w:t>
      </w:r>
      <w:r w:rsidR="003C6B86">
        <w:rPr>
          <w:sz w:val="24"/>
        </w:rPr>
        <w:t>,</w:t>
      </w:r>
      <w:r>
        <w:rPr>
          <w:sz w:val="24"/>
        </w:rPr>
        <w:t xml:space="preserve"> </w:t>
      </w:r>
      <w:r w:rsidRPr="00B16772">
        <w:rPr>
          <w:sz w:val="24"/>
        </w:rPr>
        <w:t>Home Office Cost Statement</w:t>
      </w:r>
      <w:r>
        <w:rPr>
          <w:sz w:val="24"/>
        </w:rPr>
        <w:t xml:space="preserve">. </w:t>
      </w:r>
      <w:r w:rsidR="00EF4628">
        <w:rPr>
          <w:sz w:val="24"/>
        </w:rPr>
        <w:t xml:space="preserve">Home Office Cost Statements </w:t>
      </w:r>
      <w:r w:rsidR="003C6B86">
        <w:rPr>
          <w:sz w:val="24"/>
        </w:rPr>
        <w:t>are</w:t>
      </w:r>
      <w:r w:rsidR="003C6B86" w:rsidRPr="00B16772">
        <w:rPr>
          <w:sz w:val="24"/>
        </w:rPr>
        <w:t xml:space="preserve"> </w:t>
      </w:r>
      <w:r w:rsidRPr="00B16772">
        <w:rPr>
          <w:sz w:val="24"/>
        </w:rPr>
        <w:t xml:space="preserve">filed annually by </w:t>
      </w:r>
      <w:r w:rsidR="00EF4628">
        <w:rPr>
          <w:sz w:val="24"/>
        </w:rPr>
        <w:t>chain organization</w:t>
      </w:r>
      <w:r w:rsidR="00B52A07">
        <w:rPr>
          <w:sz w:val="24"/>
        </w:rPr>
        <w:t>s</w:t>
      </w:r>
      <w:r w:rsidR="00EF4628">
        <w:rPr>
          <w:sz w:val="24"/>
        </w:rPr>
        <w:t xml:space="preserve"> </w:t>
      </w:r>
      <w:r w:rsidRPr="00B16772">
        <w:rPr>
          <w:sz w:val="24"/>
        </w:rPr>
        <w:t xml:space="preserve">to report </w:t>
      </w:r>
      <w:r w:rsidR="00B52A07">
        <w:rPr>
          <w:sz w:val="24"/>
        </w:rPr>
        <w:t xml:space="preserve">costs directly related to services furnished to individual providers that are related to patient care plus an appropriate share of indirect costs.  </w:t>
      </w:r>
    </w:p>
    <w:p w:rsidR="007D0888" w:rsidRDefault="007D0888" w:rsidP="005140AD">
      <w:pPr>
        <w:spacing w:line="242" w:lineRule="auto"/>
        <w:rPr>
          <w:sz w:val="24"/>
        </w:rPr>
      </w:pPr>
    </w:p>
    <w:p w:rsidR="007D0888" w:rsidRPr="00916083" w:rsidRDefault="007D0888" w:rsidP="005140AD">
      <w:pPr>
        <w:tabs>
          <w:tab w:val="left" w:pos="450"/>
        </w:tabs>
        <w:spacing w:line="242" w:lineRule="auto"/>
        <w:rPr>
          <w:b/>
          <w:sz w:val="24"/>
        </w:rPr>
      </w:pPr>
      <w:r w:rsidRPr="00916083">
        <w:rPr>
          <w:b/>
          <w:sz w:val="24"/>
        </w:rPr>
        <w:t>B.</w:t>
      </w:r>
      <w:r w:rsidRPr="00916083">
        <w:rPr>
          <w:b/>
          <w:sz w:val="24"/>
        </w:rPr>
        <w:tab/>
      </w:r>
      <w:r w:rsidRPr="00916083">
        <w:rPr>
          <w:b/>
          <w:bCs/>
          <w:sz w:val="24"/>
          <w:u w:val="single"/>
        </w:rPr>
        <w:t>J</w:t>
      </w:r>
      <w:r>
        <w:rPr>
          <w:b/>
          <w:bCs/>
          <w:sz w:val="24"/>
          <w:u w:val="single"/>
        </w:rPr>
        <w:t>USTIFICATION</w:t>
      </w:r>
    </w:p>
    <w:p w:rsidR="007D0888" w:rsidRDefault="007D0888" w:rsidP="005140AD">
      <w:pPr>
        <w:spacing w:line="242" w:lineRule="auto"/>
        <w:rPr>
          <w:sz w:val="24"/>
          <w:u w:val="single"/>
        </w:rPr>
      </w:pPr>
    </w:p>
    <w:p w:rsidR="007D0888" w:rsidRDefault="007D0888" w:rsidP="005140AD">
      <w:pPr>
        <w:numPr>
          <w:ilvl w:val="0"/>
          <w:numId w:val="8"/>
        </w:numPr>
        <w:tabs>
          <w:tab w:val="left" w:pos="810"/>
        </w:tabs>
        <w:spacing w:line="242" w:lineRule="auto"/>
        <w:ind w:hanging="990"/>
        <w:rPr>
          <w:sz w:val="24"/>
        </w:rPr>
      </w:pPr>
      <w:r>
        <w:rPr>
          <w:sz w:val="24"/>
          <w:u w:val="single"/>
        </w:rPr>
        <w:t>Need and Legal Basis</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 xml:space="preserve">Providers of services participating in the Medicare program are required under sections 1815(a) and 1861(v)(1)(A) of the Social Security Act (42 U.S.C. 1395g) to submit annual information to achieve settlement of costs for health care services rendered to Medicare beneficiaries. </w:t>
      </w:r>
      <w:r w:rsidR="003A5C40">
        <w:rPr>
          <w:sz w:val="24"/>
        </w:rPr>
        <w:t xml:space="preserve">In addition, regulations at 42 CFR </w:t>
      </w:r>
      <w:r w:rsidR="0048645F">
        <w:rPr>
          <w:sz w:val="24"/>
        </w:rPr>
        <w:t>413.17</w:t>
      </w:r>
      <w:r w:rsidR="008B2113">
        <w:rPr>
          <w:sz w:val="24"/>
        </w:rPr>
        <w:t>, 413.20</w:t>
      </w:r>
      <w:r w:rsidR="0048645F">
        <w:rPr>
          <w:sz w:val="24"/>
        </w:rPr>
        <w:t xml:space="preserve"> and </w:t>
      </w:r>
      <w:proofErr w:type="gramStart"/>
      <w:r w:rsidR="003A5C40">
        <w:rPr>
          <w:sz w:val="24"/>
        </w:rPr>
        <w:t>413.2</w:t>
      </w:r>
      <w:r w:rsidR="008B2113">
        <w:rPr>
          <w:sz w:val="24"/>
        </w:rPr>
        <w:t>4</w:t>
      </w:r>
      <w:r w:rsidR="003A5C40">
        <w:rPr>
          <w:sz w:val="24"/>
        </w:rPr>
        <w:t xml:space="preserve">  require</w:t>
      </w:r>
      <w:proofErr w:type="gramEnd"/>
      <w:r w:rsidR="003A5C40">
        <w:rPr>
          <w:sz w:val="24"/>
        </w:rPr>
        <w:t xml:space="preserve"> adequate cost data and cost reports from providers on an annual basis.</w:t>
      </w:r>
    </w:p>
    <w:p w:rsidR="008B2113" w:rsidRDefault="008B2113" w:rsidP="005140AD">
      <w:pPr>
        <w:spacing w:line="242" w:lineRule="auto"/>
        <w:ind w:left="810"/>
        <w:rPr>
          <w:sz w:val="24"/>
        </w:rPr>
      </w:pPr>
    </w:p>
    <w:p w:rsidR="008B2113" w:rsidRPr="00930897" w:rsidRDefault="008B2113" w:rsidP="008B2113">
      <w:pPr>
        <w:tabs>
          <w:tab w:val="left" w:pos="-1152"/>
          <w:tab w:val="left" w:pos="-720"/>
          <w:tab w:val="left" w:pos="0"/>
          <w:tab w:val="left" w:pos="720"/>
        </w:tabs>
        <w:ind w:left="720"/>
        <w:rPr>
          <w:sz w:val="24"/>
        </w:rPr>
      </w:pPr>
      <w:r w:rsidRPr="00930897">
        <w:rPr>
          <w:sz w:val="24"/>
        </w:rPr>
        <w:t>The CMS-</w:t>
      </w:r>
      <w:r>
        <w:rPr>
          <w:sz w:val="24"/>
        </w:rPr>
        <w:t>287-05</w:t>
      </w:r>
      <w:r w:rsidRPr="00930897">
        <w:rPr>
          <w:sz w:val="24"/>
        </w:rPr>
        <w:t xml:space="preserve"> cost </w:t>
      </w:r>
      <w:r>
        <w:rPr>
          <w:sz w:val="24"/>
        </w:rPr>
        <w:t>statement</w:t>
      </w:r>
      <w:r w:rsidRPr="00930897">
        <w:rPr>
          <w:sz w:val="24"/>
        </w:rPr>
        <w:t xml:space="preserve"> is needed to determine </w:t>
      </w:r>
      <w:r>
        <w:rPr>
          <w:sz w:val="24"/>
        </w:rPr>
        <w:t xml:space="preserve">individual Medicare provider’s </w:t>
      </w:r>
      <w:r w:rsidRPr="00930897">
        <w:rPr>
          <w:sz w:val="24"/>
        </w:rPr>
        <w:t>re</w:t>
      </w:r>
      <w:r>
        <w:rPr>
          <w:sz w:val="24"/>
        </w:rPr>
        <w:t xml:space="preserve">asonable costs incurred in </w:t>
      </w:r>
      <w:r w:rsidRPr="00930897">
        <w:rPr>
          <w:sz w:val="24"/>
        </w:rPr>
        <w:t xml:space="preserve">furnishing </w:t>
      </w:r>
      <w:r>
        <w:rPr>
          <w:sz w:val="24"/>
        </w:rPr>
        <w:t>treatment for</w:t>
      </w:r>
      <w:r w:rsidRPr="00930897">
        <w:rPr>
          <w:sz w:val="24"/>
        </w:rPr>
        <w:t xml:space="preserve"> Medicare beneficiaries</w:t>
      </w:r>
      <w:r>
        <w:rPr>
          <w:sz w:val="24"/>
        </w:rPr>
        <w:t xml:space="preserve"> and reimbursement due to or due from an individual Medicare provider</w:t>
      </w:r>
      <w:r w:rsidRPr="00930897">
        <w:rPr>
          <w:sz w:val="24"/>
        </w:rPr>
        <w:t>.</w:t>
      </w:r>
    </w:p>
    <w:p w:rsidR="007D0888" w:rsidRDefault="007D0888" w:rsidP="005140AD">
      <w:pPr>
        <w:spacing w:line="242" w:lineRule="auto"/>
        <w:ind w:left="720"/>
        <w:rPr>
          <w:sz w:val="24"/>
        </w:rPr>
      </w:pPr>
    </w:p>
    <w:p w:rsidR="007D0888" w:rsidRPr="00916083" w:rsidRDefault="007D0888" w:rsidP="005140AD">
      <w:pPr>
        <w:numPr>
          <w:ilvl w:val="0"/>
          <w:numId w:val="8"/>
        </w:numPr>
        <w:tabs>
          <w:tab w:val="left" w:pos="810"/>
        </w:tabs>
        <w:spacing w:line="242" w:lineRule="auto"/>
        <w:ind w:hanging="990"/>
        <w:rPr>
          <w:sz w:val="24"/>
          <w:u w:val="single"/>
        </w:rPr>
      </w:pPr>
      <w:r>
        <w:rPr>
          <w:sz w:val="24"/>
          <w:u w:val="single"/>
        </w:rPr>
        <w:t>Information Users</w:t>
      </w:r>
    </w:p>
    <w:p w:rsidR="007D0888" w:rsidRDefault="007D0888" w:rsidP="005140AD">
      <w:pPr>
        <w:spacing w:line="242" w:lineRule="auto"/>
        <w:rPr>
          <w:sz w:val="24"/>
        </w:rPr>
      </w:pPr>
    </w:p>
    <w:p w:rsidR="003A5C40" w:rsidRDefault="003A5C40" w:rsidP="005140AD">
      <w:pPr>
        <w:spacing w:line="242" w:lineRule="auto"/>
        <w:ind w:left="810"/>
        <w:rPr>
          <w:sz w:val="24"/>
        </w:rPr>
      </w:pPr>
      <w:r>
        <w:rPr>
          <w:sz w:val="24"/>
        </w:rPr>
        <w:t xml:space="preserve"> The </w:t>
      </w:r>
      <w:r w:rsidR="008B2113">
        <w:rPr>
          <w:sz w:val="24"/>
        </w:rPr>
        <w:t xml:space="preserve">home office </w:t>
      </w:r>
      <w:r>
        <w:rPr>
          <w:sz w:val="24"/>
        </w:rPr>
        <w:t>cost statements are required to be filed with the Medicare Administrative Contractor (MAC)</w:t>
      </w:r>
      <w:r w:rsidR="008B2113">
        <w:rPr>
          <w:sz w:val="24"/>
        </w:rPr>
        <w:t xml:space="preserve"> for the home office as well as the chain provider’s MAC</w:t>
      </w:r>
      <w:r>
        <w:rPr>
          <w:sz w:val="24"/>
        </w:rPr>
        <w:t>.  The functions of the MAC are described in section 1816 of the Social Security Act.</w:t>
      </w:r>
    </w:p>
    <w:p w:rsidR="007D0888" w:rsidRDefault="007D0888" w:rsidP="005140AD">
      <w:pPr>
        <w:spacing w:line="242" w:lineRule="auto"/>
        <w:ind w:left="1440"/>
        <w:rPr>
          <w:sz w:val="24"/>
        </w:rPr>
      </w:pPr>
    </w:p>
    <w:p w:rsidR="007D0888" w:rsidRDefault="007D0888" w:rsidP="003E200F">
      <w:pPr>
        <w:pStyle w:val="BodyTextIndent"/>
        <w:tabs>
          <w:tab w:val="left" w:pos="1170"/>
        </w:tabs>
        <w:ind w:left="720" w:firstLine="0"/>
        <w:jc w:val="left"/>
      </w:pPr>
      <w:r>
        <w:t>T</w:t>
      </w:r>
      <w:r w:rsidRPr="00B50888">
        <w:t xml:space="preserve">he </w:t>
      </w:r>
      <w:r>
        <w:t>h</w:t>
      </w:r>
      <w:r w:rsidRPr="00B50888">
        <w:t xml:space="preserve">ome </w:t>
      </w:r>
      <w:r>
        <w:t>o</w:t>
      </w:r>
      <w:r w:rsidRPr="00B50888">
        <w:t xml:space="preserve">ffice </w:t>
      </w:r>
      <w:r>
        <w:t>c</w:t>
      </w:r>
      <w:r w:rsidRPr="00B50888">
        <w:t xml:space="preserve">ost </w:t>
      </w:r>
      <w:r>
        <w:t>s</w:t>
      </w:r>
      <w:r w:rsidRPr="00B50888">
        <w:t>tatement</w:t>
      </w:r>
      <w:r w:rsidR="008B2113">
        <w:t xml:space="preserve"> is</w:t>
      </w:r>
      <w:r w:rsidRPr="00B50888">
        <w:t xml:space="preserve"> a supporting statement of the </w:t>
      </w:r>
      <w:r w:rsidR="00E433DD">
        <w:t xml:space="preserve">costs </w:t>
      </w:r>
      <w:proofErr w:type="gramStart"/>
      <w:r w:rsidR="00E433DD">
        <w:t xml:space="preserve">associated </w:t>
      </w:r>
      <w:r w:rsidR="00940EED">
        <w:t xml:space="preserve"> </w:t>
      </w:r>
      <w:r w:rsidR="00E433DD">
        <w:t>with</w:t>
      </w:r>
      <w:proofErr w:type="gramEnd"/>
      <w:r w:rsidR="00E433DD">
        <w:t xml:space="preserve"> the chain </w:t>
      </w:r>
      <w:r w:rsidRPr="00B50888">
        <w:t>provider</w:t>
      </w:r>
      <w:r w:rsidR="00E433DD">
        <w:t>’s</w:t>
      </w:r>
      <w:r w:rsidRPr="00B50888">
        <w:t xml:space="preserve"> cost report</w:t>
      </w:r>
      <w:r w:rsidR="00E433DD">
        <w:t>.</w:t>
      </w:r>
      <w:r w:rsidRPr="00B50888">
        <w:t xml:space="preserve"> </w:t>
      </w:r>
      <w:r>
        <w:t xml:space="preserve"> </w:t>
      </w:r>
    </w:p>
    <w:p w:rsidR="00940EED" w:rsidRDefault="00940EED" w:rsidP="00940EED">
      <w:pPr>
        <w:pStyle w:val="BodyTextIndent"/>
        <w:tabs>
          <w:tab w:val="left" w:pos="1170"/>
        </w:tabs>
        <w:ind w:left="360" w:firstLine="1080"/>
        <w:jc w:val="left"/>
      </w:pPr>
    </w:p>
    <w:p w:rsidR="007D0888" w:rsidRPr="00F25A5A" w:rsidRDefault="003A5C40" w:rsidP="005140AD">
      <w:pPr>
        <w:numPr>
          <w:ilvl w:val="0"/>
          <w:numId w:val="8"/>
        </w:numPr>
        <w:tabs>
          <w:tab w:val="left" w:pos="810"/>
        </w:tabs>
        <w:spacing w:line="242" w:lineRule="auto"/>
        <w:ind w:hanging="990"/>
        <w:rPr>
          <w:sz w:val="24"/>
          <w:u w:val="single"/>
        </w:rPr>
      </w:pPr>
      <w:r>
        <w:rPr>
          <w:sz w:val="24"/>
          <w:u w:val="single"/>
        </w:rPr>
        <w:t xml:space="preserve">Use of  </w:t>
      </w:r>
      <w:r w:rsidR="007D0888" w:rsidRPr="00F25A5A">
        <w:rPr>
          <w:sz w:val="24"/>
          <w:u w:val="single"/>
        </w:rPr>
        <w:t>Information Technology</w:t>
      </w:r>
    </w:p>
    <w:p w:rsidR="007D0888" w:rsidRPr="00F25A5A" w:rsidRDefault="007D0888" w:rsidP="005140AD">
      <w:pPr>
        <w:rPr>
          <w:sz w:val="24"/>
        </w:rPr>
      </w:pPr>
    </w:p>
    <w:p w:rsidR="007D0888" w:rsidRDefault="007D0888" w:rsidP="005140AD">
      <w:pPr>
        <w:ind w:left="720"/>
        <w:rPr>
          <w:sz w:val="24"/>
        </w:rPr>
      </w:pPr>
      <w:r w:rsidRPr="00F25A5A">
        <w:rPr>
          <w:sz w:val="24"/>
        </w:rPr>
        <w:t>CMS does not have verifiable data on the number of chain home offices currently using an automated financial management system to produce all or part of this home office cost statement.  However, as chain home offices increasingly use automated systems, the burden will significantly reduce.  Many home office cost statements are now produced by a combination of manual and automated means (e.g., accounting records are maintained in an automated system but the cost statement is still assembled manually).  Currently there are no plans to automate the home office cost statement due to the complexity and diversity of the various components within the chain.  </w:t>
      </w:r>
    </w:p>
    <w:p w:rsidR="00940EED" w:rsidRDefault="00940EED" w:rsidP="005140AD">
      <w:pPr>
        <w:ind w:left="720"/>
        <w:rPr>
          <w:sz w:val="24"/>
        </w:rPr>
      </w:pPr>
    </w:p>
    <w:p w:rsidR="00940EED" w:rsidRPr="00F25A5A" w:rsidRDefault="00940EED" w:rsidP="005140AD">
      <w:pPr>
        <w:ind w:left="720"/>
        <w:rPr>
          <w:sz w:val="24"/>
        </w:rPr>
      </w:pPr>
    </w:p>
    <w:p w:rsidR="007D0888" w:rsidRPr="00D97F42" w:rsidRDefault="007D0888" w:rsidP="005140AD">
      <w:pPr>
        <w:spacing w:line="242" w:lineRule="auto"/>
        <w:rPr>
          <w:b/>
          <w:sz w:val="24"/>
        </w:rPr>
      </w:pPr>
    </w:p>
    <w:p w:rsidR="007D0888" w:rsidRPr="00916083" w:rsidRDefault="007D0888" w:rsidP="005140AD">
      <w:pPr>
        <w:numPr>
          <w:ilvl w:val="0"/>
          <w:numId w:val="8"/>
        </w:numPr>
        <w:tabs>
          <w:tab w:val="left" w:pos="810"/>
        </w:tabs>
        <w:spacing w:line="242" w:lineRule="auto"/>
        <w:ind w:hanging="990"/>
        <w:rPr>
          <w:sz w:val="24"/>
          <w:u w:val="single"/>
        </w:rPr>
      </w:pPr>
      <w:r>
        <w:rPr>
          <w:sz w:val="24"/>
          <w:u w:val="single"/>
        </w:rPr>
        <w:t xml:space="preserve">Duplication </w:t>
      </w:r>
      <w:r w:rsidR="00F5553B">
        <w:rPr>
          <w:sz w:val="24"/>
          <w:u w:val="single"/>
        </w:rPr>
        <w:t>of Efforts</w:t>
      </w:r>
    </w:p>
    <w:p w:rsidR="007D0888" w:rsidRDefault="007D0888" w:rsidP="005140AD">
      <w:pPr>
        <w:spacing w:line="242" w:lineRule="auto"/>
        <w:rPr>
          <w:sz w:val="24"/>
        </w:rPr>
      </w:pPr>
    </w:p>
    <w:p w:rsidR="007D0888" w:rsidRDefault="00F5553B" w:rsidP="006D1266">
      <w:pPr>
        <w:ind w:left="720"/>
        <w:rPr>
          <w:sz w:val="24"/>
        </w:rPr>
      </w:pPr>
      <w:r>
        <w:rPr>
          <w:sz w:val="24"/>
        </w:rPr>
        <w:t>This information collected does not duplicate any other effort and the information cannot be obtained from any other source.</w:t>
      </w:r>
    </w:p>
    <w:p w:rsidR="006D1266" w:rsidRDefault="006D1266" w:rsidP="006D1266">
      <w:pPr>
        <w:ind w:left="720"/>
        <w:rPr>
          <w:sz w:val="24"/>
        </w:rPr>
      </w:pPr>
    </w:p>
    <w:p w:rsidR="007D0888" w:rsidRPr="00916083" w:rsidRDefault="007D0888" w:rsidP="005140AD">
      <w:pPr>
        <w:numPr>
          <w:ilvl w:val="0"/>
          <w:numId w:val="8"/>
        </w:numPr>
        <w:tabs>
          <w:tab w:val="left" w:pos="810"/>
        </w:tabs>
        <w:spacing w:line="242" w:lineRule="auto"/>
        <w:ind w:hanging="990"/>
        <w:rPr>
          <w:sz w:val="24"/>
          <w:u w:val="single"/>
        </w:rPr>
      </w:pPr>
      <w:r>
        <w:rPr>
          <w:sz w:val="24"/>
          <w:u w:val="single"/>
        </w:rPr>
        <w:t>Small Business</w:t>
      </w:r>
    </w:p>
    <w:p w:rsidR="007D0888" w:rsidRDefault="007D0888" w:rsidP="005140AD">
      <w:pPr>
        <w:spacing w:line="242" w:lineRule="auto"/>
        <w:ind w:left="810"/>
        <w:rPr>
          <w:sz w:val="24"/>
        </w:rPr>
      </w:pPr>
    </w:p>
    <w:p w:rsidR="007D0888" w:rsidRDefault="007D0888" w:rsidP="00940EED">
      <w:pPr>
        <w:tabs>
          <w:tab w:val="left" w:pos="-1152"/>
          <w:tab w:val="left" w:pos="-720"/>
          <w:tab w:val="left" w:pos="0"/>
          <w:tab w:val="left" w:pos="720"/>
        </w:tabs>
        <w:ind w:left="720"/>
        <w:rPr>
          <w:sz w:val="24"/>
        </w:rPr>
      </w:pPr>
      <w:r>
        <w:rPr>
          <w:sz w:val="24"/>
        </w:rPr>
        <w:t>Th</w:t>
      </w:r>
      <w:r w:rsidR="00E433DD">
        <w:rPr>
          <w:sz w:val="24"/>
        </w:rPr>
        <w:t xml:space="preserve">e home office cost statement </w:t>
      </w:r>
      <w:r>
        <w:rPr>
          <w:sz w:val="24"/>
        </w:rPr>
        <w:t>form</w:t>
      </w:r>
      <w:r w:rsidR="00E433DD">
        <w:rPr>
          <w:sz w:val="24"/>
        </w:rPr>
        <w:t>s</w:t>
      </w:r>
      <w:r>
        <w:rPr>
          <w:sz w:val="24"/>
        </w:rPr>
        <w:t xml:space="preserve"> ha</w:t>
      </w:r>
      <w:r w:rsidR="00E433DD">
        <w:rPr>
          <w:sz w:val="24"/>
        </w:rPr>
        <w:t>ve</w:t>
      </w:r>
      <w:r>
        <w:rPr>
          <w:sz w:val="24"/>
        </w:rPr>
        <w:t xml:space="preserve"> been designed with a view toward</w:t>
      </w:r>
      <w:r w:rsidR="00F5553B">
        <w:rPr>
          <w:sz w:val="24"/>
        </w:rPr>
        <w:t>s</w:t>
      </w:r>
      <w:r>
        <w:rPr>
          <w:sz w:val="24"/>
        </w:rPr>
        <w:t xml:space="preserve"> minimizing the reporting burden for small chain organizations.  </w:t>
      </w:r>
      <w:r w:rsidR="00E433DD">
        <w:rPr>
          <w:sz w:val="24"/>
        </w:rPr>
        <w:t xml:space="preserve">The home office cost statement is collected as infrequently as possible (annually) and only the worksheets that are necessary for determining proper allocation of costs are completed.  </w:t>
      </w:r>
    </w:p>
    <w:p w:rsidR="007D0888" w:rsidRDefault="007D0888" w:rsidP="005140AD">
      <w:pPr>
        <w:spacing w:line="242" w:lineRule="auto"/>
        <w:ind w:left="810"/>
        <w:rPr>
          <w:sz w:val="24"/>
        </w:rPr>
      </w:pPr>
    </w:p>
    <w:p w:rsidR="007D0888" w:rsidRPr="00916083" w:rsidRDefault="007D0888" w:rsidP="005140AD">
      <w:pPr>
        <w:numPr>
          <w:ilvl w:val="0"/>
          <w:numId w:val="8"/>
        </w:numPr>
        <w:tabs>
          <w:tab w:val="left" w:pos="810"/>
        </w:tabs>
        <w:spacing w:line="242" w:lineRule="auto"/>
        <w:ind w:hanging="990"/>
        <w:rPr>
          <w:sz w:val="24"/>
          <w:u w:val="single"/>
        </w:rPr>
      </w:pPr>
      <w:r>
        <w:rPr>
          <w:sz w:val="24"/>
          <w:u w:val="single"/>
        </w:rPr>
        <w:t>Less Frequent Collection</w:t>
      </w:r>
    </w:p>
    <w:p w:rsidR="007D0888" w:rsidRDefault="007D0888" w:rsidP="005140AD">
      <w:pPr>
        <w:spacing w:line="242" w:lineRule="auto"/>
        <w:ind w:left="720"/>
        <w:rPr>
          <w:sz w:val="24"/>
        </w:rPr>
      </w:pPr>
      <w:r>
        <w:rPr>
          <w:sz w:val="24"/>
        </w:rPr>
        <w:t xml:space="preserve"> </w:t>
      </w:r>
    </w:p>
    <w:p w:rsidR="007D0888" w:rsidRDefault="007D0888" w:rsidP="005140AD">
      <w:pPr>
        <w:ind w:left="720"/>
        <w:rPr>
          <w:sz w:val="24"/>
        </w:rPr>
      </w:pPr>
      <w:r w:rsidRPr="00761BC2">
        <w:rPr>
          <w:sz w:val="24"/>
        </w:rPr>
        <w:t xml:space="preserve">If </w:t>
      </w:r>
      <w:r w:rsidR="006D1266">
        <w:rPr>
          <w:sz w:val="24"/>
        </w:rPr>
        <w:t>the annual cost statement is not filed</w:t>
      </w:r>
      <w:r w:rsidRPr="00761BC2">
        <w:rPr>
          <w:sz w:val="24"/>
        </w:rPr>
        <w:t>, CMS w</w:t>
      </w:r>
      <w:r w:rsidR="00107B7C">
        <w:rPr>
          <w:sz w:val="24"/>
        </w:rPr>
        <w:t>ill</w:t>
      </w:r>
      <w:r w:rsidRPr="00761BC2">
        <w:rPr>
          <w:sz w:val="24"/>
        </w:rPr>
        <w:t xml:space="preserve"> be unable to determine whether proper payments are being paid under Medicare.</w:t>
      </w:r>
      <w:r>
        <w:rPr>
          <w:sz w:val="24"/>
        </w:rPr>
        <w:t xml:space="preserve">  </w:t>
      </w:r>
      <w:r w:rsidRPr="00627EC3">
        <w:rPr>
          <w:sz w:val="24"/>
        </w:rPr>
        <w:t xml:space="preserve">In addition, if an entity fails to file a home office cost statement, the contractor has the authority to eliminate any home office costs </w:t>
      </w:r>
      <w:r>
        <w:rPr>
          <w:sz w:val="24"/>
        </w:rPr>
        <w:t>claimed on the various provider</w:t>
      </w:r>
      <w:r w:rsidRPr="00627EC3">
        <w:rPr>
          <w:sz w:val="24"/>
        </w:rPr>
        <w:t>s</w:t>
      </w:r>
      <w:r>
        <w:rPr>
          <w:sz w:val="24"/>
        </w:rPr>
        <w:t>’</w:t>
      </w:r>
      <w:r w:rsidRPr="00627EC3">
        <w:rPr>
          <w:sz w:val="24"/>
        </w:rPr>
        <w:t xml:space="preserve"> (within the chain) cost reports</w:t>
      </w:r>
      <w:r>
        <w:rPr>
          <w:sz w:val="24"/>
        </w:rPr>
        <w:t>.</w:t>
      </w:r>
    </w:p>
    <w:p w:rsidR="007D0888" w:rsidRDefault="007D0888" w:rsidP="005140AD">
      <w:pPr>
        <w:spacing w:line="242" w:lineRule="auto"/>
        <w:ind w:left="720"/>
        <w:rPr>
          <w:sz w:val="24"/>
        </w:rPr>
      </w:pPr>
    </w:p>
    <w:p w:rsidR="007D0888" w:rsidRDefault="007D0888" w:rsidP="005140AD">
      <w:pPr>
        <w:numPr>
          <w:ilvl w:val="0"/>
          <w:numId w:val="8"/>
        </w:numPr>
        <w:tabs>
          <w:tab w:val="left" w:pos="810"/>
        </w:tabs>
        <w:spacing w:line="242" w:lineRule="auto"/>
        <w:ind w:hanging="990"/>
        <w:rPr>
          <w:sz w:val="24"/>
          <w:u w:val="single"/>
        </w:rPr>
      </w:pPr>
      <w:r>
        <w:rPr>
          <w:sz w:val="24"/>
          <w:u w:val="single"/>
        </w:rPr>
        <w:t>Special Circumstances</w:t>
      </w:r>
    </w:p>
    <w:p w:rsidR="007D0888" w:rsidRDefault="007D0888" w:rsidP="005140AD">
      <w:pPr>
        <w:spacing w:line="242" w:lineRule="auto"/>
        <w:ind w:firstLine="720"/>
        <w:rPr>
          <w:sz w:val="24"/>
          <w:u w:val="single"/>
        </w:rPr>
      </w:pPr>
    </w:p>
    <w:p w:rsidR="007D0888" w:rsidRDefault="007D0888" w:rsidP="005140AD">
      <w:pPr>
        <w:spacing w:line="242" w:lineRule="auto"/>
        <w:ind w:left="810"/>
        <w:rPr>
          <w:sz w:val="24"/>
        </w:rPr>
      </w:pPr>
      <w:r>
        <w:rPr>
          <w:sz w:val="24"/>
        </w:rPr>
        <w:t>This information collection complies with all general information collection guidelines in 5 CFR 1320.6</w:t>
      </w:r>
      <w:r w:rsidR="00F5553B">
        <w:rPr>
          <w:sz w:val="24"/>
        </w:rPr>
        <w:t>, without the existence of special circumstances</w:t>
      </w:r>
      <w:r>
        <w:rPr>
          <w:sz w:val="24"/>
        </w:rPr>
        <w:t>.</w:t>
      </w:r>
    </w:p>
    <w:p w:rsidR="00B166F8" w:rsidRDefault="00B166F8" w:rsidP="005140AD">
      <w:pPr>
        <w:spacing w:line="242" w:lineRule="auto"/>
        <w:ind w:left="810"/>
        <w:rPr>
          <w:sz w:val="24"/>
        </w:rPr>
      </w:pPr>
    </w:p>
    <w:p w:rsidR="00B166F8" w:rsidRDefault="00B166F8" w:rsidP="005140AD">
      <w:pPr>
        <w:spacing w:line="242" w:lineRule="auto"/>
        <w:ind w:left="810"/>
        <w:rPr>
          <w:sz w:val="24"/>
        </w:rPr>
      </w:pPr>
    </w:p>
    <w:p w:rsidR="007D0888" w:rsidRDefault="007D0888" w:rsidP="005140AD">
      <w:pPr>
        <w:numPr>
          <w:ilvl w:val="0"/>
          <w:numId w:val="8"/>
        </w:numPr>
        <w:tabs>
          <w:tab w:val="left" w:pos="810"/>
        </w:tabs>
        <w:spacing w:line="242" w:lineRule="auto"/>
        <w:ind w:hanging="990"/>
        <w:rPr>
          <w:sz w:val="24"/>
          <w:u w:val="single"/>
        </w:rPr>
      </w:pPr>
      <w:r>
        <w:rPr>
          <w:sz w:val="24"/>
          <w:u w:val="single"/>
        </w:rPr>
        <w:t>Federal Register Notice</w:t>
      </w:r>
    </w:p>
    <w:p w:rsidR="007D0888" w:rsidRDefault="007D0888" w:rsidP="005140AD">
      <w:pPr>
        <w:spacing w:line="242" w:lineRule="auto"/>
        <w:rPr>
          <w:sz w:val="24"/>
        </w:rPr>
      </w:pPr>
    </w:p>
    <w:p w:rsidR="007D0888" w:rsidRDefault="007D0888" w:rsidP="005140AD">
      <w:pPr>
        <w:spacing w:line="242" w:lineRule="auto"/>
        <w:ind w:left="810"/>
        <w:rPr>
          <w:sz w:val="24"/>
        </w:rPr>
      </w:pPr>
      <w:r w:rsidRPr="00A5541D">
        <w:rPr>
          <w:sz w:val="24"/>
        </w:rPr>
        <w:t xml:space="preserve">The </w:t>
      </w:r>
      <w:r>
        <w:rPr>
          <w:sz w:val="24"/>
        </w:rPr>
        <w:t xml:space="preserve">60 day </w:t>
      </w:r>
      <w:r w:rsidRPr="00B01BA3">
        <w:rPr>
          <w:sz w:val="24"/>
          <w:u w:val="single"/>
        </w:rPr>
        <w:t>Federal Register</w:t>
      </w:r>
      <w:r w:rsidRPr="00A5541D">
        <w:rPr>
          <w:sz w:val="24"/>
        </w:rPr>
        <w:t xml:space="preserve"> </w:t>
      </w:r>
      <w:r>
        <w:rPr>
          <w:sz w:val="24"/>
        </w:rPr>
        <w:t xml:space="preserve">notice </w:t>
      </w:r>
      <w:r w:rsidR="00B01BA3">
        <w:rPr>
          <w:sz w:val="24"/>
        </w:rPr>
        <w:t xml:space="preserve">was published on </w:t>
      </w:r>
      <w:r w:rsidR="00B01BA3" w:rsidRPr="00B01BA3">
        <w:rPr>
          <w:sz w:val="24"/>
        </w:rPr>
        <w:t>April 18, 2014</w:t>
      </w:r>
      <w:r w:rsidR="00B01BA3">
        <w:rPr>
          <w:sz w:val="24"/>
        </w:rPr>
        <w:t>.</w:t>
      </w:r>
      <w:r w:rsidR="00E91205">
        <w:rPr>
          <w:sz w:val="24"/>
        </w:rPr>
        <w:t xml:space="preserve"> </w:t>
      </w:r>
      <w:r w:rsidRPr="00A5541D">
        <w:rPr>
          <w:sz w:val="24"/>
        </w:rPr>
        <w:t xml:space="preserve"> </w:t>
      </w:r>
      <w:r>
        <w:rPr>
          <w:sz w:val="24"/>
        </w:rPr>
        <w:t xml:space="preserve"> </w:t>
      </w:r>
    </w:p>
    <w:p w:rsidR="007D0888" w:rsidRDefault="007D0888" w:rsidP="005140AD">
      <w:pPr>
        <w:spacing w:line="242" w:lineRule="auto"/>
        <w:rPr>
          <w:sz w:val="24"/>
        </w:rPr>
      </w:pPr>
    </w:p>
    <w:p w:rsidR="007D0888" w:rsidRDefault="007D0888" w:rsidP="005140AD">
      <w:pPr>
        <w:numPr>
          <w:ilvl w:val="0"/>
          <w:numId w:val="8"/>
        </w:numPr>
        <w:tabs>
          <w:tab w:val="left" w:pos="810"/>
        </w:tabs>
        <w:spacing w:line="242" w:lineRule="auto"/>
        <w:ind w:hanging="990"/>
        <w:rPr>
          <w:sz w:val="24"/>
          <w:u w:val="single"/>
        </w:rPr>
      </w:pPr>
      <w:r>
        <w:rPr>
          <w:sz w:val="24"/>
          <w:u w:val="single"/>
        </w:rPr>
        <w:t>Payment/Gift to Respondent</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There is no payment or gift to respondents.</w:t>
      </w:r>
    </w:p>
    <w:p w:rsidR="007D0888" w:rsidRDefault="007D0888" w:rsidP="005140AD">
      <w:pPr>
        <w:spacing w:line="242" w:lineRule="auto"/>
        <w:rPr>
          <w:sz w:val="24"/>
        </w:rPr>
      </w:pPr>
    </w:p>
    <w:p w:rsidR="007D0888" w:rsidRPr="00916083" w:rsidRDefault="007D0888" w:rsidP="005140AD">
      <w:pPr>
        <w:numPr>
          <w:ilvl w:val="0"/>
          <w:numId w:val="8"/>
        </w:numPr>
        <w:tabs>
          <w:tab w:val="left" w:pos="810"/>
        </w:tabs>
        <w:spacing w:line="242" w:lineRule="auto"/>
        <w:ind w:hanging="1080"/>
        <w:rPr>
          <w:sz w:val="24"/>
          <w:u w:val="single"/>
        </w:rPr>
      </w:pPr>
      <w:r>
        <w:rPr>
          <w:sz w:val="24"/>
          <w:u w:val="single"/>
        </w:rPr>
        <w:t>Confidentiality</w:t>
      </w:r>
    </w:p>
    <w:p w:rsidR="007D0888" w:rsidRDefault="007D0888" w:rsidP="005140AD">
      <w:pPr>
        <w:spacing w:line="242" w:lineRule="auto"/>
        <w:rPr>
          <w:sz w:val="24"/>
        </w:rPr>
      </w:pPr>
    </w:p>
    <w:p w:rsidR="007D0888" w:rsidRDefault="00F5553B" w:rsidP="00107B7C">
      <w:pPr>
        <w:spacing w:line="242" w:lineRule="auto"/>
        <w:ind w:left="810"/>
        <w:rPr>
          <w:sz w:val="24"/>
        </w:rPr>
      </w:pPr>
      <w:r>
        <w:rPr>
          <w:sz w:val="24"/>
        </w:rPr>
        <w:t xml:space="preserve">Confidentiality is not assured. Medicare cost </w:t>
      </w:r>
      <w:r w:rsidR="00107B7C">
        <w:rPr>
          <w:sz w:val="24"/>
        </w:rPr>
        <w:t>statements</w:t>
      </w:r>
      <w:r>
        <w:rPr>
          <w:sz w:val="24"/>
        </w:rPr>
        <w:t xml:space="preserve"> are subject to disclosure under the Freedom of Information Act.</w:t>
      </w:r>
    </w:p>
    <w:p w:rsidR="0006106E" w:rsidRDefault="0006106E" w:rsidP="00107B7C">
      <w:pPr>
        <w:spacing w:line="242" w:lineRule="auto"/>
        <w:ind w:left="810"/>
        <w:rPr>
          <w:sz w:val="24"/>
        </w:rPr>
      </w:pPr>
    </w:p>
    <w:p w:rsidR="007D0888" w:rsidRPr="00916083" w:rsidRDefault="007D0888" w:rsidP="005140AD">
      <w:pPr>
        <w:numPr>
          <w:ilvl w:val="0"/>
          <w:numId w:val="8"/>
        </w:numPr>
        <w:tabs>
          <w:tab w:val="left" w:pos="810"/>
        </w:tabs>
        <w:spacing w:line="242" w:lineRule="auto"/>
        <w:ind w:hanging="1080"/>
        <w:rPr>
          <w:sz w:val="24"/>
          <w:u w:val="single"/>
        </w:rPr>
      </w:pPr>
      <w:r>
        <w:rPr>
          <w:sz w:val="24"/>
          <w:u w:val="single"/>
        </w:rPr>
        <w:t>Sensitive Questions</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There are no questions of a sensitive nature.</w:t>
      </w:r>
    </w:p>
    <w:p w:rsidR="007D0888" w:rsidRDefault="007D0888" w:rsidP="005140AD">
      <w:pPr>
        <w:spacing w:line="242" w:lineRule="auto"/>
        <w:rPr>
          <w:sz w:val="24"/>
        </w:rPr>
      </w:pPr>
    </w:p>
    <w:p w:rsidR="0006106E" w:rsidRDefault="0006106E">
      <w:pPr>
        <w:widowControl/>
        <w:autoSpaceDE/>
        <w:autoSpaceDN/>
        <w:adjustRightInd/>
        <w:rPr>
          <w:sz w:val="24"/>
          <w:u w:val="single"/>
        </w:rPr>
      </w:pPr>
      <w:r>
        <w:rPr>
          <w:sz w:val="24"/>
          <w:u w:val="single"/>
        </w:rPr>
        <w:br w:type="page"/>
      </w:r>
    </w:p>
    <w:p w:rsidR="007D0888" w:rsidRPr="00916083" w:rsidRDefault="007D0888" w:rsidP="005140AD">
      <w:pPr>
        <w:numPr>
          <w:ilvl w:val="0"/>
          <w:numId w:val="8"/>
        </w:numPr>
        <w:tabs>
          <w:tab w:val="left" w:pos="810"/>
        </w:tabs>
        <w:spacing w:line="242" w:lineRule="auto"/>
        <w:ind w:left="810" w:hanging="450"/>
        <w:rPr>
          <w:sz w:val="24"/>
          <w:u w:val="single"/>
        </w:rPr>
      </w:pPr>
      <w:r>
        <w:rPr>
          <w:sz w:val="24"/>
          <w:u w:val="single"/>
        </w:rPr>
        <w:lastRenderedPageBreak/>
        <w:t>Estimate of Burden (Hours &amp; Wages)</w:t>
      </w:r>
    </w:p>
    <w:p w:rsidR="007D0888" w:rsidRDefault="007D0888" w:rsidP="005140AD">
      <w:pPr>
        <w:spacing w:line="242" w:lineRule="auto"/>
        <w:rPr>
          <w:sz w:val="24"/>
        </w:rPr>
      </w:pPr>
    </w:p>
    <w:p w:rsidR="006B5E06" w:rsidRDefault="006B5E06" w:rsidP="00424218">
      <w:pPr>
        <w:pStyle w:val="ListParagraph"/>
      </w:pPr>
    </w:p>
    <w:tbl>
      <w:tblPr>
        <w:tblStyle w:val="TableGrid"/>
        <w:tblW w:w="6228" w:type="dxa"/>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618"/>
        <w:gridCol w:w="900"/>
        <w:gridCol w:w="1710"/>
      </w:tblGrid>
      <w:tr w:rsidR="0006106E" w:rsidRPr="00DA564C" w:rsidTr="00940EED">
        <w:trPr>
          <w:trHeight w:val="432"/>
        </w:trPr>
        <w:tc>
          <w:tcPr>
            <w:tcW w:w="4518" w:type="dxa"/>
            <w:gridSpan w:val="2"/>
            <w:noWrap/>
          </w:tcPr>
          <w:p w:rsidR="0006106E" w:rsidRPr="00940EED" w:rsidRDefault="0006106E" w:rsidP="0006106E">
            <w:pPr>
              <w:widowControl/>
              <w:autoSpaceDE/>
              <w:autoSpaceDN/>
              <w:adjustRightInd/>
              <w:rPr>
                <w:sz w:val="24"/>
              </w:rPr>
            </w:pPr>
            <w:r w:rsidRPr="00940EED">
              <w:rPr>
                <w:sz w:val="24"/>
              </w:rPr>
              <w:t>Number  of Home Office cost statements as of 12/31/2013</w:t>
            </w:r>
          </w:p>
        </w:tc>
        <w:tc>
          <w:tcPr>
            <w:tcW w:w="1710" w:type="dxa"/>
            <w:noWrap/>
          </w:tcPr>
          <w:p w:rsidR="0006106E" w:rsidRPr="00940EED" w:rsidRDefault="0006106E" w:rsidP="0006106E">
            <w:pPr>
              <w:widowControl/>
              <w:autoSpaceDE/>
              <w:autoSpaceDN/>
              <w:adjustRightInd/>
              <w:jc w:val="right"/>
              <w:rPr>
                <w:sz w:val="24"/>
              </w:rPr>
            </w:pPr>
            <w:r w:rsidRPr="00940EED">
              <w:rPr>
                <w:sz w:val="24"/>
              </w:rPr>
              <w:t>1,686</w:t>
            </w:r>
          </w:p>
        </w:tc>
      </w:tr>
      <w:tr w:rsidR="0006106E" w:rsidRPr="00DA564C" w:rsidTr="00940EED">
        <w:trPr>
          <w:trHeight w:val="432"/>
        </w:trPr>
        <w:tc>
          <w:tcPr>
            <w:tcW w:w="3618" w:type="dxa"/>
            <w:noWrap/>
          </w:tcPr>
          <w:p w:rsidR="0006106E" w:rsidRPr="00940EED" w:rsidRDefault="0006106E" w:rsidP="0006106E">
            <w:pPr>
              <w:widowControl/>
              <w:autoSpaceDE/>
              <w:autoSpaceDN/>
              <w:adjustRightInd/>
              <w:rPr>
                <w:sz w:val="24"/>
              </w:rPr>
            </w:pPr>
            <w:r w:rsidRPr="00940EED">
              <w:rPr>
                <w:sz w:val="24"/>
              </w:rPr>
              <w:t>Number of hours of reporting</w:t>
            </w:r>
          </w:p>
        </w:tc>
        <w:tc>
          <w:tcPr>
            <w:tcW w:w="900" w:type="dxa"/>
            <w:noWrap/>
          </w:tcPr>
          <w:p w:rsidR="0006106E" w:rsidRPr="00940EED" w:rsidRDefault="0006106E" w:rsidP="0006106E">
            <w:pPr>
              <w:widowControl/>
              <w:autoSpaceDE/>
              <w:autoSpaceDN/>
              <w:adjustRightInd/>
              <w:jc w:val="right"/>
              <w:rPr>
                <w:sz w:val="24"/>
              </w:rPr>
            </w:pPr>
            <w:r w:rsidRPr="00940EED">
              <w:rPr>
                <w:sz w:val="24"/>
              </w:rPr>
              <w:t>138</w:t>
            </w:r>
          </w:p>
        </w:tc>
        <w:tc>
          <w:tcPr>
            <w:tcW w:w="1710" w:type="dxa"/>
            <w:noWrap/>
          </w:tcPr>
          <w:p w:rsidR="0006106E" w:rsidRPr="00940EED" w:rsidRDefault="0006106E" w:rsidP="0006106E">
            <w:pPr>
              <w:widowControl/>
              <w:autoSpaceDE/>
              <w:autoSpaceDN/>
              <w:adjustRightInd/>
              <w:rPr>
                <w:sz w:val="24"/>
              </w:rPr>
            </w:pPr>
          </w:p>
        </w:tc>
      </w:tr>
      <w:tr w:rsidR="0006106E" w:rsidRPr="00DA564C" w:rsidTr="00940EED">
        <w:trPr>
          <w:trHeight w:val="432"/>
        </w:trPr>
        <w:tc>
          <w:tcPr>
            <w:tcW w:w="3618" w:type="dxa"/>
            <w:noWrap/>
          </w:tcPr>
          <w:p w:rsidR="0006106E" w:rsidRPr="00940EED" w:rsidRDefault="0006106E" w:rsidP="0006106E">
            <w:pPr>
              <w:widowControl/>
              <w:autoSpaceDE/>
              <w:autoSpaceDN/>
              <w:adjustRightInd/>
              <w:rPr>
                <w:sz w:val="24"/>
              </w:rPr>
            </w:pPr>
            <w:r w:rsidRPr="00940EED">
              <w:rPr>
                <w:sz w:val="24"/>
              </w:rPr>
              <w:t>Number of hours of record keeping</w:t>
            </w:r>
          </w:p>
        </w:tc>
        <w:tc>
          <w:tcPr>
            <w:tcW w:w="900" w:type="dxa"/>
            <w:noWrap/>
          </w:tcPr>
          <w:p w:rsidR="0006106E" w:rsidRPr="00940EED" w:rsidRDefault="0006106E" w:rsidP="0006106E">
            <w:pPr>
              <w:widowControl/>
              <w:autoSpaceDE/>
              <w:autoSpaceDN/>
              <w:adjustRightInd/>
              <w:jc w:val="right"/>
              <w:rPr>
                <w:sz w:val="24"/>
              </w:rPr>
            </w:pPr>
            <w:r w:rsidRPr="00940EED">
              <w:rPr>
                <w:sz w:val="24"/>
              </w:rPr>
              <w:t>328</w:t>
            </w:r>
          </w:p>
        </w:tc>
        <w:tc>
          <w:tcPr>
            <w:tcW w:w="1710" w:type="dxa"/>
            <w:noWrap/>
          </w:tcPr>
          <w:p w:rsidR="0006106E" w:rsidRPr="00940EED" w:rsidRDefault="0006106E" w:rsidP="0006106E">
            <w:pPr>
              <w:widowControl/>
              <w:autoSpaceDE/>
              <w:autoSpaceDN/>
              <w:adjustRightInd/>
              <w:jc w:val="right"/>
              <w:rPr>
                <w:sz w:val="24"/>
              </w:rPr>
            </w:pPr>
            <w:r w:rsidRPr="00940EED">
              <w:rPr>
                <w:sz w:val="24"/>
              </w:rPr>
              <w:t>466</w:t>
            </w:r>
          </w:p>
        </w:tc>
      </w:tr>
      <w:tr w:rsidR="0006106E" w:rsidRPr="00DA564C" w:rsidTr="00940EED">
        <w:trPr>
          <w:trHeight w:val="432"/>
        </w:trPr>
        <w:tc>
          <w:tcPr>
            <w:tcW w:w="3618" w:type="dxa"/>
            <w:noWrap/>
          </w:tcPr>
          <w:p w:rsidR="0006106E" w:rsidRPr="00940EED" w:rsidRDefault="0006106E" w:rsidP="0006106E">
            <w:pPr>
              <w:widowControl/>
              <w:autoSpaceDE/>
              <w:autoSpaceDN/>
              <w:adjustRightInd/>
              <w:rPr>
                <w:sz w:val="24"/>
              </w:rPr>
            </w:pPr>
            <w:r w:rsidRPr="00940EED">
              <w:rPr>
                <w:sz w:val="24"/>
              </w:rPr>
              <w:t>Total # of hours</w:t>
            </w:r>
          </w:p>
        </w:tc>
        <w:tc>
          <w:tcPr>
            <w:tcW w:w="900" w:type="dxa"/>
            <w:noWrap/>
          </w:tcPr>
          <w:p w:rsidR="0006106E" w:rsidRPr="00940EED" w:rsidRDefault="0006106E" w:rsidP="0006106E">
            <w:pPr>
              <w:widowControl/>
              <w:autoSpaceDE/>
              <w:autoSpaceDN/>
              <w:adjustRightInd/>
              <w:rPr>
                <w:sz w:val="24"/>
              </w:rPr>
            </w:pPr>
          </w:p>
        </w:tc>
        <w:tc>
          <w:tcPr>
            <w:tcW w:w="1710" w:type="dxa"/>
            <w:noWrap/>
          </w:tcPr>
          <w:p w:rsidR="0006106E" w:rsidRPr="00940EED" w:rsidRDefault="0006106E" w:rsidP="0006106E">
            <w:pPr>
              <w:widowControl/>
              <w:autoSpaceDE/>
              <w:autoSpaceDN/>
              <w:adjustRightInd/>
              <w:jc w:val="right"/>
              <w:rPr>
                <w:sz w:val="24"/>
              </w:rPr>
            </w:pPr>
            <w:r w:rsidRPr="00940EED">
              <w:rPr>
                <w:sz w:val="24"/>
              </w:rPr>
              <w:t>785,676</w:t>
            </w:r>
          </w:p>
        </w:tc>
      </w:tr>
      <w:tr w:rsidR="0006106E" w:rsidRPr="00DA564C" w:rsidTr="00940EED">
        <w:trPr>
          <w:trHeight w:val="432"/>
        </w:trPr>
        <w:tc>
          <w:tcPr>
            <w:tcW w:w="3618" w:type="dxa"/>
            <w:noWrap/>
          </w:tcPr>
          <w:p w:rsidR="0006106E" w:rsidRPr="00940EED" w:rsidRDefault="0006106E" w:rsidP="0006106E">
            <w:pPr>
              <w:widowControl/>
              <w:autoSpaceDE/>
              <w:autoSpaceDN/>
              <w:adjustRightInd/>
              <w:rPr>
                <w:sz w:val="24"/>
              </w:rPr>
            </w:pPr>
            <w:r w:rsidRPr="00940EED">
              <w:rPr>
                <w:sz w:val="24"/>
              </w:rPr>
              <w:t>Standard rate per hour</w:t>
            </w:r>
          </w:p>
        </w:tc>
        <w:tc>
          <w:tcPr>
            <w:tcW w:w="900" w:type="dxa"/>
            <w:noWrap/>
          </w:tcPr>
          <w:p w:rsidR="0006106E" w:rsidRPr="00940EED" w:rsidRDefault="0006106E" w:rsidP="0006106E">
            <w:pPr>
              <w:widowControl/>
              <w:autoSpaceDE/>
              <w:autoSpaceDN/>
              <w:adjustRightInd/>
              <w:rPr>
                <w:sz w:val="24"/>
              </w:rPr>
            </w:pPr>
          </w:p>
        </w:tc>
        <w:tc>
          <w:tcPr>
            <w:tcW w:w="1710" w:type="dxa"/>
            <w:noWrap/>
          </w:tcPr>
          <w:p w:rsidR="0006106E" w:rsidRPr="00940EED" w:rsidRDefault="0006106E" w:rsidP="0006106E">
            <w:pPr>
              <w:widowControl/>
              <w:autoSpaceDE/>
              <w:autoSpaceDN/>
              <w:adjustRightInd/>
              <w:jc w:val="right"/>
              <w:rPr>
                <w:sz w:val="24"/>
              </w:rPr>
            </w:pPr>
            <w:r w:rsidRPr="00940EED">
              <w:rPr>
                <w:sz w:val="24"/>
              </w:rPr>
              <w:t>$20</w:t>
            </w:r>
          </w:p>
        </w:tc>
      </w:tr>
      <w:tr w:rsidR="0006106E" w:rsidRPr="00DA564C" w:rsidTr="00940EED">
        <w:trPr>
          <w:trHeight w:val="432"/>
        </w:trPr>
        <w:tc>
          <w:tcPr>
            <w:tcW w:w="3618" w:type="dxa"/>
            <w:noWrap/>
          </w:tcPr>
          <w:p w:rsidR="0006106E" w:rsidRPr="00940EED" w:rsidRDefault="0006106E" w:rsidP="0006106E">
            <w:pPr>
              <w:widowControl/>
              <w:autoSpaceDE/>
              <w:autoSpaceDN/>
              <w:adjustRightInd/>
              <w:rPr>
                <w:sz w:val="24"/>
              </w:rPr>
            </w:pPr>
            <w:r w:rsidRPr="00940EED">
              <w:rPr>
                <w:sz w:val="24"/>
              </w:rPr>
              <w:t xml:space="preserve">Total respondent cost estimate </w:t>
            </w:r>
          </w:p>
        </w:tc>
        <w:tc>
          <w:tcPr>
            <w:tcW w:w="900" w:type="dxa"/>
            <w:noWrap/>
          </w:tcPr>
          <w:p w:rsidR="0006106E" w:rsidRPr="00940EED" w:rsidRDefault="0006106E" w:rsidP="0006106E">
            <w:pPr>
              <w:widowControl/>
              <w:autoSpaceDE/>
              <w:autoSpaceDN/>
              <w:adjustRightInd/>
              <w:rPr>
                <w:sz w:val="24"/>
              </w:rPr>
            </w:pPr>
          </w:p>
        </w:tc>
        <w:tc>
          <w:tcPr>
            <w:tcW w:w="1710" w:type="dxa"/>
            <w:noWrap/>
          </w:tcPr>
          <w:p w:rsidR="0006106E" w:rsidRPr="00940EED" w:rsidRDefault="0006106E" w:rsidP="00940EED">
            <w:pPr>
              <w:widowControl/>
              <w:autoSpaceDE/>
              <w:autoSpaceDN/>
              <w:adjustRightInd/>
              <w:jc w:val="right"/>
              <w:rPr>
                <w:sz w:val="24"/>
              </w:rPr>
            </w:pPr>
            <w:r w:rsidRPr="00940EED">
              <w:rPr>
                <w:sz w:val="24"/>
              </w:rPr>
              <w:t>$1</w:t>
            </w:r>
            <w:r w:rsidR="00940EED">
              <w:rPr>
                <w:sz w:val="24"/>
              </w:rPr>
              <w:t>5,713,520</w:t>
            </w:r>
          </w:p>
        </w:tc>
      </w:tr>
    </w:tbl>
    <w:p w:rsidR="006B5E06" w:rsidRPr="00DA564C" w:rsidRDefault="006B5E06" w:rsidP="006B5E06">
      <w:pPr>
        <w:spacing w:line="242" w:lineRule="auto"/>
        <w:rPr>
          <w:sz w:val="24"/>
          <w:u w:val="single"/>
        </w:rPr>
      </w:pPr>
    </w:p>
    <w:p w:rsidR="007D0888" w:rsidRDefault="007D0888" w:rsidP="005140AD">
      <w:pPr>
        <w:numPr>
          <w:ilvl w:val="0"/>
          <w:numId w:val="8"/>
        </w:numPr>
        <w:tabs>
          <w:tab w:val="left" w:pos="810"/>
        </w:tabs>
        <w:spacing w:line="242" w:lineRule="auto"/>
        <w:ind w:hanging="1080"/>
        <w:rPr>
          <w:sz w:val="24"/>
          <w:u w:val="single"/>
        </w:rPr>
      </w:pPr>
      <w:r>
        <w:rPr>
          <w:sz w:val="24"/>
          <w:u w:val="single"/>
        </w:rPr>
        <w:t>Capital Costs</w:t>
      </w:r>
    </w:p>
    <w:p w:rsidR="007D0888" w:rsidRPr="00916083" w:rsidRDefault="007D0888" w:rsidP="005140AD">
      <w:pPr>
        <w:spacing w:line="242" w:lineRule="auto"/>
        <w:ind w:left="360"/>
        <w:rPr>
          <w:sz w:val="24"/>
          <w:u w:val="single"/>
        </w:rPr>
      </w:pPr>
    </w:p>
    <w:p w:rsidR="007D0888" w:rsidRDefault="007D0888" w:rsidP="005140AD">
      <w:pPr>
        <w:spacing w:line="242" w:lineRule="auto"/>
        <w:ind w:left="810"/>
        <w:rPr>
          <w:sz w:val="24"/>
        </w:rPr>
      </w:pPr>
      <w:r>
        <w:rPr>
          <w:sz w:val="24"/>
        </w:rPr>
        <w:t xml:space="preserve">There are no capital costs. </w:t>
      </w:r>
    </w:p>
    <w:p w:rsidR="00B166F8" w:rsidRDefault="00B166F8" w:rsidP="005140AD">
      <w:pPr>
        <w:spacing w:line="242" w:lineRule="auto"/>
        <w:rPr>
          <w:sz w:val="24"/>
        </w:rPr>
      </w:pPr>
    </w:p>
    <w:p w:rsidR="00D23D18" w:rsidRDefault="00D23D18" w:rsidP="00D23D18">
      <w:pPr>
        <w:numPr>
          <w:ilvl w:val="0"/>
          <w:numId w:val="8"/>
        </w:numPr>
        <w:tabs>
          <w:tab w:val="num" w:pos="900"/>
        </w:tabs>
        <w:spacing w:line="242" w:lineRule="auto"/>
        <w:ind w:hanging="1080"/>
        <w:rPr>
          <w:sz w:val="24"/>
          <w:u w:val="single"/>
        </w:rPr>
      </w:pPr>
      <w:r w:rsidRPr="00706B06">
        <w:rPr>
          <w:sz w:val="24"/>
          <w:u w:val="single"/>
        </w:rPr>
        <w:t>Cost to Federal Government</w:t>
      </w:r>
    </w:p>
    <w:p w:rsidR="00D23D18" w:rsidRDefault="00D23D18" w:rsidP="00D23D18">
      <w:pPr>
        <w:spacing w:line="242" w:lineRule="auto"/>
        <w:ind w:left="270"/>
        <w:rPr>
          <w:sz w:val="24"/>
          <w:u w:val="single"/>
        </w:rPr>
      </w:pPr>
    </w:p>
    <w:tbl>
      <w:tblPr>
        <w:tblStyle w:val="TableGrid"/>
        <w:tblW w:w="7502" w:type="dxa"/>
        <w:tblInd w:w="935" w:type="dxa"/>
        <w:tblLook w:val="00A0" w:firstRow="1" w:lastRow="0" w:firstColumn="1" w:lastColumn="0" w:noHBand="0" w:noVBand="0"/>
      </w:tblPr>
      <w:tblGrid>
        <w:gridCol w:w="4480"/>
        <w:gridCol w:w="1340"/>
        <w:gridCol w:w="266"/>
        <w:gridCol w:w="1416"/>
      </w:tblGrid>
      <w:tr w:rsidR="00D23D18" w:rsidRPr="006E0D87" w:rsidTr="00940EED">
        <w:trPr>
          <w:trHeight w:val="315"/>
        </w:trPr>
        <w:tc>
          <w:tcPr>
            <w:tcW w:w="6086" w:type="dxa"/>
            <w:gridSpan w:val="3"/>
            <w:tcBorders>
              <w:top w:val="nil"/>
              <w:left w:val="nil"/>
              <w:bottom w:val="nil"/>
              <w:right w:val="nil"/>
            </w:tcBorders>
            <w:noWrap/>
          </w:tcPr>
          <w:p w:rsidR="00D23D18" w:rsidRPr="006E0D87" w:rsidRDefault="00D23D18" w:rsidP="00836797">
            <w:pPr>
              <w:widowControl/>
              <w:autoSpaceDE/>
              <w:autoSpaceDN/>
              <w:adjustRightInd/>
              <w:rPr>
                <w:color w:val="000000"/>
                <w:sz w:val="24"/>
                <w:u w:val="single"/>
              </w:rPr>
            </w:pPr>
            <w:r w:rsidRPr="006E0D87">
              <w:rPr>
                <w:color w:val="000000"/>
                <w:sz w:val="24"/>
                <w:u w:val="single"/>
              </w:rPr>
              <w:t>Annual cost to Medicare Contractors</w:t>
            </w:r>
            <w:r w:rsidRPr="006E0D87">
              <w:rPr>
                <w:color w:val="000000"/>
                <w:sz w:val="24"/>
              </w:rPr>
              <w:t>:</w:t>
            </w:r>
          </w:p>
        </w:tc>
        <w:tc>
          <w:tcPr>
            <w:tcW w:w="1416" w:type="dxa"/>
            <w:tcBorders>
              <w:top w:val="nil"/>
              <w:left w:val="nil"/>
              <w:bottom w:val="nil"/>
              <w:right w:val="nil"/>
            </w:tcBorders>
            <w:noWrap/>
          </w:tcPr>
          <w:p w:rsidR="00D23D18" w:rsidRPr="006E0D87" w:rsidRDefault="00D23D18" w:rsidP="00836797">
            <w:pPr>
              <w:widowControl/>
              <w:autoSpaceDE/>
              <w:autoSpaceDN/>
              <w:adjustRightInd/>
              <w:rPr>
                <w:szCs w:val="20"/>
              </w:rPr>
            </w:pPr>
          </w:p>
        </w:tc>
      </w:tr>
      <w:tr w:rsidR="00D23D18" w:rsidRPr="006E0D87" w:rsidTr="00940EED">
        <w:trPr>
          <w:trHeight w:val="300"/>
        </w:trPr>
        <w:tc>
          <w:tcPr>
            <w:tcW w:w="6086" w:type="dxa"/>
            <w:gridSpan w:val="3"/>
            <w:vMerge w:val="restart"/>
            <w:tcBorders>
              <w:top w:val="nil"/>
              <w:left w:val="nil"/>
              <w:bottom w:val="nil"/>
              <w:right w:val="nil"/>
            </w:tcBorders>
          </w:tcPr>
          <w:p w:rsidR="00D23D18" w:rsidRPr="006E0D87" w:rsidRDefault="00D23D18" w:rsidP="00836797">
            <w:pPr>
              <w:widowControl/>
              <w:autoSpaceDE/>
              <w:autoSpaceDN/>
              <w:adjustRightInd/>
              <w:rPr>
                <w:color w:val="000000"/>
                <w:sz w:val="24"/>
              </w:rPr>
            </w:pPr>
            <w:r w:rsidRPr="006E0D87">
              <w:rPr>
                <w:color w:val="000000"/>
                <w:sz w:val="24"/>
              </w:rPr>
              <w:t>Annual cost</w:t>
            </w:r>
            <w:r>
              <w:rPr>
                <w:color w:val="000000"/>
                <w:sz w:val="24"/>
              </w:rPr>
              <w:t>s</w:t>
            </w:r>
            <w:r w:rsidRPr="006E0D87">
              <w:rPr>
                <w:color w:val="000000"/>
                <w:sz w:val="24"/>
              </w:rPr>
              <w:t xml:space="preserve"> incurred </w:t>
            </w:r>
            <w:r>
              <w:rPr>
                <w:color w:val="000000"/>
                <w:sz w:val="24"/>
              </w:rPr>
              <w:t xml:space="preserve">are </w:t>
            </w:r>
            <w:r w:rsidRPr="006E0D87">
              <w:rPr>
                <w:color w:val="000000"/>
                <w:sz w:val="24"/>
              </w:rPr>
              <w:t xml:space="preserve">related to processing information contained on the forms, particularly associated with achieving settlements.  Medicare contractors' </w:t>
            </w:r>
            <w:r>
              <w:rPr>
                <w:color w:val="000000"/>
                <w:sz w:val="24"/>
              </w:rPr>
              <w:t xml:space="preserve">processing </w:t>
            </w:r>
            <w:r w:rsidRPr="006E0D87">
              <w:rPr>
                <w:color w:val="000000"/>
                <w:sz w:val="24"/>
              </w:rPr>
              <w:t>costs are based on estimates provided by the Office of Financial Management</w:t>
            </w:r>
            <w:r>
              <w:rPr>
                <w:color w:val="000000"/>
                <w:sz w:val="24"/>
              </w:rPr>
              <w:t xml:space="preserve"> (OFM)</w:t>
            </w:r>
            <w:r w:rsidRPr="006E0D87">
              <w:rPr>
                <w:color w:val="000000"/>
                <w:sz w:val="24"/>
              </w:rPr>
              <w:t>.</w:t>
            </w:r>
          </w:p>
        </w:tc>
        <w:tc>
          <w:tcPr>
            <w:tcW w:w="1416" w:type="dxa"/>
            <w:tcBorders>
              <w:top w:val="nil"/>
              <w:left w:val="nil"/>
              <w:bottom w:val="nil"/>
              <w:right w:val="nil"/>
            </w:tcBorders>
            <w:noWrap/>
          </w:tcPr>
          <w:p w:rsidR="00D23D18" w:rsidRPr="006E0D87" w:rsidRDefault="00D23D18" w:rsidP="00836797">
            <w:pPr>
              <w:widowControl/>
              <w:autoSpaceDE/>
              <w:autoSpaceDN/>
              <w:adjustRightInd/>
              <w:rPr>
                <w:szCs w:val="20"/>
              </w:rPr>
            </w:pPr>
          </w:p>
        </w:tc>
      </w:tr>
      <w:tr w:rsidR="00D23D18" w:rsidRPr="006E0D87" w:rsidTr="00940EED">
        <w:trPr>
          <w:trHeight w:val="300"/>
        </w:trPr>
        <w:tc>
          <w:tcPr>
            <w:tcW w:w="6086" w:type="dxa"/>
            <w:gridSpan w:val="3"/>
            <w:vMerge/>
            <w:tcBorders>
              <w:top w:val="nil"/>
              <w:left w:val="nil"/>
              <w:bottom w:val="nil"/>
              <w:right w:val="nil"/>
            </w:tcBorders>
          </w:tcPr>
          <w:p w:rsidR="00D23D18" w:rsidRPr="006E0D87" w:rsidRDefault="00D23D18" w:rsidP="00836797">
            <w:pPr>
              <w:widowControl/>
              <w:autoSpaceDE/>
              <w:autoSpaceDN/>
              <w:adjustRightInd/>
              <w:rPr>
                <w:color w:val="000000"/>
                <w:sz w:val="24"/>
              </w:rPr>
            </w:pPr>
          </w:p>
        </w:tc>
        <w:tc>
          <w:tcPr>
            <w:tcW w:w="1416" w:type="dxa"/>
            <w:tcBorders>
              <w:top w:val="nil"/>
              <w:left w:val="nil"/>
              <w:bottom w:val="nil"/>
              <w:right w:val="nil"/>
            </w:tcBorders>
            <w:noWrap/>
          </w:tcPr>
          <w:p w:rsidR="00D23D18" w:rsidRPr="006E0D87" w:rsidRDefault="00D23D18" w:rsidP="00836797">
            <w:pPr>
              <w:widowControl/>
              <w:autoSpaceDE/>
              <w:autoSpaceDN/>
              <w:adjustRightInd/>
              <w:rPr>
                <w:szCs w:val="20"/>
              </w:rPr>
            </w:pPr>
          </w:p>
        </w:tc>
      </w:tr>
      <w:tr w:rsidR="00D23D18" w:rsidRPr="006E0D87" w:rsidTr="00940EED">
        <w:trPr>
          <w:trHeight w:val="300"/>
        </w:trPr>
        <w:tc>
          <w:tcPr>
            <w:tcW w:w="6086" w:type="dxa"/>
            <w:gridSpan w:val="3"/>
            <w:vMerge/>
            <w:tcBorders>
              <w:top w:val="nil"/>
              <w:left w:val="nil"/>
              <w:bottom w:val="nil"/>
              <w:right w:val="nil"/>
            </w:tcBorders>
          </w:tcPr>
          <w:p w:rsidR="00D23D18" w:rsidRPr="006E0D87" w:rsidRDefault="00D23D18" w:rsidP="00836797">
            <w:pPr>
              <w:widowControl/>
              <w:autoSpaceDE/>
              <w:autoSpaceDN/>
              <w:adjustRightInd/>
              <w:rPr>
                <w:color w:val="000000"/>
                <w:sz w:val="24"/>
              </w:rPr>
            </w:pPr>
          </w:p>
        </w:tc>
        <w:tc>
          <w:tcPr>
            <w:tcW w:w="1416" w:type="dxa"/>
            <w:tcBorders>
              <w:top w:val="nil"/>
              <w:left w:val="nil"/>
              <w:bottom w:val="nil"/>
              <w:right w:val="nil"/>
            </w:tcBorders>
            <w:noWrap/>
          </w:tcPr>
          <w:p w:rsidR="00D23D18" w:rsidRPr="006E0D87" w:rsidRDefault="00D23D18" w:rsidP="00836797">
            <w:pPr>
              <w:widowControl/>
              <w:autoSpaceDE/>
              <w:autoSpaceDN/>
              <w:adjustRightInd/>
              <w:rPr>
                <w:szCs w:val="20"/>
              </w:rPr>
            </w:pPr>
          </w:p>
        </w:tc>
      </w:tr>
      <w:tr w:rsidR="00D23D18" w:rsidRPr="006E0D87" w:rsidTr="00940EED">
        <w:trPr>
          <w:trHeight w:val="315"/>
        </w:trPr>
        <w:tc>
          <w:tcPr>
            <w:tcW w:w="6086" w:type="dxa"/>
            <w:gridSpan w:val="3"/>
            <w:vMerge/>
            <w:tcBorders>
              <w:top w:val="nil"/>
              <w:left w:val="nil"/>
              <w:bottom w:val="nil"/>
              <w:right w:val="nil"/>
            </w:tcBorders>
          </w:tcPr>
          <w:p w:rsidR="00D23D18" w:rsidRPr="006E0D87" w:rsidRDefault="00D23D18" w:rsidP="00836797">
            <w:pPr>
              <w:widowControl/>
              <w:autoSpaceDE/>
              <w:autoSpaceDN/>
              <w:adjustRightInd/>
              <w:rPr>
                <w:color w:val="000000"/>
                <w:sz w:val="24"/>
              </w:rPr>
            </w:pPr>
          </w:p>
        </w:tc>
        <w:tc>
          <w:tcPr>
            <w:tcW w:w="1416" w:type="dxa"/>
            <w:tcBorders>
              <w:top w:val="nil"/>
              <w:left w:val="nil"/>
              <w:bottom w:val="nil"/>
              <w:right w:val="nil"/>
            </w:tcBorders>
            <w:noWrap/>
          </w:tcPr>
          <w:p w:rsidR="00D23D18" w:rsidRPr="00DA564C" w:rsidRDefault="00D23D18" w:rsidP="00836797">
            <w:pPr>
              <w:widowControl/>
              <w:autoSpaceDE/>
              <w:autoSpaceDN/>
              <w:adjustRightInd/>
              <w:rPr>
                <w:color w:val="000000"/>
                <w:sz w:val="24"/>
                <w:u w:val="single"/>
              </w:rPr>
            </w:pPr>
            <w:r w:rsidRPr="00DA564C">
              <w:rPr>
                <w:color w:val="000000"/>
                <w:sz w:val="24"/>
                <w:u w:val="single"/>
              </w:rPr>
              <w:t xml:space="preserve"> 3,352,000</w:t>
            </w:r>
          </w:p>
        </w:tc>
      </w:tr>
      <w:tr w:rsidR="00D23D18" w:rsidRPr="006E0D87" w:rsidTr="00940EED">
        <w:trPr>
          <w:trHeight w:val="300"/>
        </w:trPr>
        <w:tc>
          <w:tcPr>
            <w:tcW w:w="4480" w:type="dxa"/>
            <w:tcBorders>
              <w:top w:val="nil"/>
              <w:left w:val="nil"/>
              <w:bottom w:val="nil"/>
              <w:right w:val="nil"/>
            </w:tcBorders>
            <w:noWrap/>
          </w:tcPr>
          <w:p w:rsidR="00D23D18" w:rsidRPr="006E0D87" w:rsidRDefault="00D23D18" w:rsidP="00836797">
            <w:pPr>
              <w:widowControl/>
              <w:autoSpaceDE/>
              <w:autoSpaceDN/>
              <w:adjustRightInd/>
              <w:rPr>
                <w:szCs w:val="20"/>
              </w:rPr>
            </w:pPr>
          </w:p>
        </w:tc>
        <w:tc>
          <w:tcPr>
            <w:tcW w:w="1340" w:type="dxa"/>
            <w:tcBorders>
              <w:top w:val="nil"/>
              <w:left w:val="nil"/>
              <w:bottom w:val="nil"/>
              <w:right w:val="nil"/>
            </w:tcBorders>
            <w:noWrap/>
          </w:tcPr>
          <w:p w:rsidR="00D23D18" w:rsidRPr="006E0D87" w:rsidRDefault="00D23D18" w:rsidP="00836797">
            <w:pPr>
              <w:widowControl/>
              <w:autoSpaceDE/>
              <w:autoSpaceDN/>
              <w:adjustRightInd/>
              <w:rPr>
                <w:szCs w:val="20"/>
              </w:rPr>
            </w:pPr>
          </w:p>
        </w:tc>
        <w:tc>
          <w:tcPr>
            <w:tcW w:w="266" w:type="dxa"/>
            <w:tcBorders>
              <w:top w:val="nil"/>
              <w:left w:val="nil"/>
              <w:bottom w:val="nil"/>
              <w:right w:val="nil"/>
            </w:tcBorders>
            <w:noWrap/>
          </w:tcPr>
          <w:p w:rsidR="00D23D18" w:rsidRPr="006E0D87" w:rsidRDefault="00D23D18" w:rsidP="00836797">
            <w:pPr>
              <w:widowControl/>
              <w:autoSpaceDE/>
              <w:autoSpaceDN/>
              <w:adjustRightInd/>
              <w:rPr>
                <w:szCs w:val="20"/>
              </w:rPr>
            </w:pPr>
          </w:p>
        </w:tc>
        <w:tc>
          <w:tcPr>
            <w:tcW w:w="1416" w:type="dxa"/>
            <w:tcBorders>
              <w:top w:val="nil"/>
              <w:left w:val="nil"/>
              <w:bottom w:val="nil"/>
              <w:right w:val="nil"/>
            </w:tcBorders>
            <w:noWrap/>
          </w:tcPr>
          <w:p w:rsidR="00D23D18" w:rsidRPr="00DA564C" w:rsidRDefault="00D23D18" w:rsidP="00836797">
            <w:pPr>
              <w:widowControl/>
              <w:autoSpaceDE/>
              <w:autoSpaceDN/>
              <w:adjustRightInd/>
              <w:rPr>
                <w:szCs w:val="20"/>
                <w:u w:val="double"/>
              </w:rPr>
            </w:pPr>
            <w:r w:rsidRPr="00DA564C">
              <w:rPr>
                <w:szCs w:val="20"/>
                <w:u w:val="double"/>
              </w:rPr>
              <w:t xml:space="preserve">                      </w:t>
            </w:r>
          </w:p>
        </w:tc>
      </w:tr>
      <w:tr w:rsidR="00D23D18" w:rsidRPr="006E0D87" w:rsidTr="00940EED">
        <w:trPr>
          <w:trHeight w:val="315"/>
        </w:trPr>
        <w:tc>
          <w:tcPr>
            <w:tcW w:w="6086" w:type="dxa"/>
            <w:gridSpan w:val="3"/>
            <w:tcBorders>
              <w:top w:val="nil"/>
              <w:left w:val="nil"/>
              <w:bottom w:val="nil"/>
              <w:right w:val="nil"/>
            </w:tcBorders>
            <w:noWrap/>
          </w:tcPr>
          <w:p w:rsidR="00D23D18" w:rsidRPr="006E0D87" w:rsidRDefault="00D23D18" w:rsidP="00836797">
            <w:pPr>
              <w:widowControl/>
              <w:autoSpaceDE/>
              <w:autoSpaceDN/>
              <w:adjustRightInd/>
              <w:rPr>
                <w:color w:val="000000"/>
                <w:sz w:val="24"/>
                <w:u w:val="single"/>
              </w:rPr>
            </w:pPr>
            <w:r w:rsidRPr="006E0D87">
              <w:rPr>
                <w:color w:val="000000"/>
                <w:sz w:val="24"/>
                <w:u w:val="single"/>
              </w:rPr>
              <w:t>Total Federal Cost</w:t>
            </w:r>
          </w:p>
        </w:tc>
        <w:tc>
          <w:tcPr>
            <w:tcW w:w="1416" w:type="dxa"/>
            <w:tcBorders>
              <w:top w:val="nil"/>
              <w:left w:val="nil"/>
              <w:bottom w:val="nil"/>
              <w:right w:val="nil"/>
            </w:tcBorders>
            <w:noWrap/>
          </w:tcPr>
          <w:p w:rsidR="00D23D18" w:rsidRPr="00DA564C" w:rsidRDefault="00D23D18" w:rsidP="00836797">
            <w:pPr>
              <w:widowControl/>
              <w:autoSpaceDE/>
              <w:autoSpaceDN/>
              <w:adjustRightInd/>
              <w:rPr>
                <w:color w:val="000000"/>
                <w:sz w:val="24"/>
                <w:u w:val="double"/>
              </w:rPr>
            </w:pPr>
            <w:r w:rsidRPr="00DA564C">
              <w:rPr>
                <w:color w:val="000000"/>
                <w:sz w:val="24"/>
                <w:u w:val="double"/>
              </w:rPr>
              <w:t xml:space="preserve">$3,352,000    </w:t>
            </w:r>
          </w:p>
        </w:tc>
      </w:tr>
    </w:tbl>
    <w:p w:rsidR="00B166F8" w:rsidRDefault="00B166F8" w:rsidP="005140AD">
      <w:pPr>
        <w:spacing w:line="242" w:lineRule="auto"/>
        <w:rPr>
          <w:sz w:val="24"/>
        </w:rPr>
      </w:pPr>
    </w:p>
    <w:p w:rsidR="007D0888" w:rsidRDefault="007D20C9" w:rsidP="005140AD">
      <w:pPr>
        <w:numPr>
          <w:ilvl w:val="0"/>
          <w:numId w:val="8"/>
        </w:numPr>
        <w:tabs>
          <w:tab w:val="left" w:pos="810"/>
        </w:tabs>
        <w:spacing w:line="242" w:lineRule="auto"/>
        <w:ind w:hanging="1080"/>
        <w:rPr>
          <w:sz w:val="24"/>
          <w:u w:val="single"/>
        </w:rPr>
      </w:pPr>
      <w:r>
        <w:rPr>
          <w:sz w:val="24"/>
          <w:u w:val="single"/>
        </w:rPr>
        <w:t>Changes to Burden</w:t>
      </w:r>
    </w:p>
    <w:p w:rsidR="00B4613E" w:rsidRDefault="00B4613E" w:rsidP="00B4613E">
      <w:pPr>
        <w:tabs>
          <w:tab w:val="left" w:pos="810"/>
        </w:tabs>
        <w:spacing w:line="242" w:lineRule="auto"/>
        <w:rPr>
          <w:sz w:val="24"/>
          <w:u w:val="single"/>
        </w:rPr>
      </w:pPr>
    </w:p>
    <w:p w:rsidR="00A91223" w:rsidRPr="001B31FC" w:rsidRDefault="00A91223" w:rsidP="00A91223">
      <w:pPr>
        <w:tabs>
          <w:tab w:val="left" w:pos="-2154"/>
          <w:tab w:val="left" w:pos="-1440"/>
          <w:tab w:val="left" w:pos="-1164"/>
          <w:tab w:val="left" w:pos="540"/>
          <w:tab w:val="left" w:pos="720"/>
        </w:tabs>
        <w:spacing w:line="272" w:lineRule="auto"/>
        <w:ind w:left="720"/>
        <w:rPr>
          <w:sz w:val="24"/>
        </w:rPr>
      </w:pPr>
      <w:r w:rsidRPr="001B31FC">
        <w:rPr>
          <w:sz w:val="24"/>
        </w:rPr>
        <w:t xml:space="preserve">The </w:t>
      </w:r>
      <w:r>
        <w:rPr>
          <w:sz w:val="24"/>
        </w:rPr>
        <w:t>change</w:t>
      </w:r>
      <w:r w:rsidRPr="001B31FC">
        <w:rPr>
          <w:sz w:val="24"/>
        </w:rPr>
        <w:t xml:space="preserve"> in burden is due to two factors:  1) the number of respondents </w:t>
      </w:r>
      <w:r>
        <w:rPr>
          <w:sz w:val="24"/>
        </w:rPr>
        <w:t xml:space="preserve">increased from 1,541 </w:t>
      </w:r>
      <w:r w:rsidRPr="001B31FC">
        <w:rPr>
          <w:sz w:val="24"/>
        </w:rPr>
        <w:t>in 201</w:t>
      </w:r>
      <w:r>
        <w:rPr>
          <w:sz w:val="24"/>
        </w:rPr>
        <w:t>1</w:t>
      </w:r>
      <w:r w:rsidRPr="001B31FC">
        <w:rPr>
          <w:sz w:val="24"/>
        </w:rPr>
        <w:t xml:space="preserve"> to </w:t>
      </w:r>
      <w:r>
        <w:rPr>
          <w:sz w:val="24"/>
        </w:rPr>
        <w:t>1,686</w:t>
      </w:r>
      <w:r w:rsidRPr="001B31FC">
        <w:rPr>
          <w:sz w:val="24"/>
        </w:rPr>
        <w:t xml:space="preserve"> in 2014; and 2) the standard rate increased from $15 per hour in 2010 to $20 per hour in 2014.  </w:t>
      </w:r>
    </w:p>
    <w:p w:rsidR="00B4613E" w:rsidRPr="00B4613E" w:rsidRDefault="00B4613E" w:rsidP="00B4613E">
      <w:pPr>
        <w:tabs>
          <w:tab w:val="left" w:pos="810"/>
        </w:tabs>
        <w:spacing w:line="242" w:lineRule="auto"/>
        <w:ind w:left="720"/>
        <w:rPr>
          <w:sz w:val="24"/>
        </w:rPr>
      </w:pPr>
      <w:r w:rsidRPr="00B4613E">
        <w:rPr>
          <w:sz w:val="24"/>
        </w:rPr>
        <w:t>  </w:t>
      </w:r>
    </w:p>
    <w:p w:rsidR="007D0888" w:rsidRPr="00DA564C" w:rsidRDefault="007D0888" w:rsidP="005140AD">
      <w:pPr>
        <w:numPr>
          <w:ilvl w:val="0"/>
          <w:numId w:val="8"/>
        </w:numPr>
        <w:tabs>
          <w:tab w:val="left" w:pos="810"/>
        </w:tabs>
        <w:spacing w:line="242" w:lineRule="auto"/>
        <w:ind w:hanging="1080"/>
        <w:rPr>
          <w:sz w:val="24"/>
          <w:u w:val="single"/>
        </w:rPr>
      </w:pPr>
      <w:r w:rsidRPr="00DA564C">
        <w:rPr>
          <w:sz w:val="24"/>
          <w:u w:val="single"/>
        </w:rPr>
        <w:t>Publication and Tabulation Dates</w:t>
      </w:r>
    </w:p>
    <w:p w:rsidR="007D0888" w:rsidRDefault="007D0888" w:rsidP="005140AD">
      <w:pPr>
        <w:spacing w:line="242" w:lineRule="auto"/>
        <w:ind w:firstLine="1440"/>
        <w:rPr>
          <w:sz w:val="24"/>
        </w:rPr>
      </w:pPr>
    </w:p>
    <w:p w:rsidR="007D0888" w:rsidRDefault="007D0888" w:rsidP="005140AD">
      <w:pPr>
        <w:spacing w:line="242" w:lineRule="auto"/>
        <w:ind w:left="810"/>
        <w:rPr>
          <w:sz w:val="24"/>
        </w:rPr>
      </w:pPr>
      <w:r>
        <w:rPr>
          <w:sz w:val="24"/>
        </w:rPr>
        <w:t>The</w:t>
      </w:r>
      <w:r w:rsidR="006B5E06">
        <w:rPr>
          <w:sz w:val="24"/>
        </w:rPr>
        <w:t xml:space="preserve"> data submitted on the cost statement is not published or tabulated. </w:t>
      </w:r>
      <w:r>
        <w:rPr>
          <w:sz w:val="24"/>
        </w:rPr>
        <w:t xml:space="preserve"> </w:t>
      </w:r>
    </w:p>
    <w:p w:rsidR="007D0888" w:rsidRDefault="007D0888" w:rsidP="005140AD">
      <w:pPr>
        <w:spacing w:line="242" w:lineRule="auto"/>
        <w:rPr>
          <w:sz w:val="24"/>
        </w:rPr>
      </w:pPr>
    </w:p>
    <w:p w:rsidR="007D0888" w:rsidRPr="00916083" w:rsidRDefault="007D0888" w:rsidP="005140AD">
      <w:pPr>
        <w:numPr>
          <w:ilvl w:val="0"/>
          <w:numId w:val="8"/>
        </w:numPr>
        <w:tabs>
          <w:tab w:val="left" w:pos="810"/>
        </w:tabs>
        <w:spacing w:line="242" w:lineRule="auto"/>
        <w:ind w:hanging="1080"/>
        <w:rPr>
          <w:sz w:val="24"/>
          <w:u w:val="single"/>
        </w:rPr>
      </w:pPr>
      <w:r>
        <w:rPr>
          <w:sz w:val="24"/>
          <w:u w:val="single"/>
        </w:rPr>
        <w:t>Expiration Date</w:t>
      </w:r>
    </w:p>
    <w:p w:rsidR="007D0888" w:rsidRDefault="007D0888" w:rsidP="005140AD">
      <w:pPr>
        <w:spacing w:line="242" w:lineRule="auto"/>
        <w:ind w:left="1440"/>
        <w:rPr>
          <w:sz w:val="24"/>
        </w:rPr>
      </w:pPr>
    </w:p>
    <w:p w:rsidR="00107B7C" w:rsidRDefault="006B5E06" w:rsidP="00107B7C">
      <w:pPr>
        <w:spacing w:line="242" w:lineRule="auto"/>
        <w:ind w:left="810"/>
        <w:rPr>
          <w:sz w:val="24"/>
        </w:rPr>
      </w:pPr>
      <w:r>
        <w:rPr>
          <w:sz w:val="24"/>
        </w:rPr>
        <w:t>CMS would like an exemption from displaying the expiration date as these forms are used on</w:t>
      </w:r>
      <w:r w:rsidR="00107B7C">
        <w:rPr>
          <w:sz w:val="24"/>
        </w:rPr>
        <w:t xml:space="preserve"> </w:t>
      </w:r>
      <w:r>
        <w:rPr>
          <w:sz w:val="24"/>
        </w:rPr>
        <w:t>a continuing basis and change infrequently.</w:t>
      </w:r>
    </w:p>
    <w:p w:rsidR="00107B7C" w:rsidRDefault="00107B7C" w:rsidP="00107B7C">
      <w:pPr>
        <w:spacing w:line="242" w:lineRule="auto"/>
        <w:ind w:left="810"/>
        <w:rPr>
          <w:sz w:val="24"/>
        </w:rPr>
      </w:pPr>
    </w:p>
    <w:p w:rsidR="007D0888" w:rsidRPr="00107B7C" w:rsidRDefault="007D0888" w:rsidP="00107B7C">
      <w:pPr>
        <w:numPr>
          <w:ilvl w:val="0"/>
          <w:numId w:val="8"/>
        </w:numPr>
        <w:tabs>
          <w:tab w:val="left" w:pos="810"/>
        </w:tabs>
        <w:spacing w:line="242" w:lineRule="auto"/>
        <w:ind w:hanging="1080"/>
        <w:rPr>
          <w:sz w:val="24"/>
          <w:u w:val="single"/>
        </w:rPr>
      </w:pPr>
      <w:r w:rsidRPr="00107B7C">
        <w:rPr>
          <w:sz w:val="24"/>
          <w:u w:val="single"/>
        </w:rPr>
        <w:t>Certification Statement</w:t>
      </w:r>
    </w:p>
    <w:p w:rsidR="007D0888" w:rsidRPr="00107B7C" w:rsidRDefault="007D0888" w:rsidP="00107B7C">
      <w:pPr>
        <w:tabs>
          <w:tab w:val="left" w:pos="810"/>
        </w:tabs>
        <w:spacing w:line="242" w:lineRule="auto"/>
        <w:ind w:left="1350"/>
        <w:rPr>
          <w:sz w:val="24"/>
          <w:u w:val="single"/>
        </w:rPr>
      </w:pPr>
    </w:p>
    <w:p w:rsidR="007D0888" w:rsidRPr="00107B7C" w:rsidRDefault="007D0888" w:rsidP="00107B7C">
      <w:pPr>
        <w:spacing w:line="242" w:lineRule="auto"/>
        <w:ind w:left="810"/>
        <w:rPr>
          <w:sz w:val="24"/>
        </w:rPr>
      </w:pPr>
      <w:r w:rsidRPr="00107B7C">
        <w:rPr>
          <w:sz w:val="24"/>
        </w:rPr>
        <w:t>There are no exceptions to the certification statement.</w:t>
      </w:r>
      <w:bookmarkStart w:id="0" w:name="_GoBack"/>
      <w:bookmarkEnd w:id="0"/>
    </w:p>
    <w:sectPr w:rsidR="007D0888" w:rsidRPr="00107B7C"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37" w:rsidRDefault="00A71C37">
      <w:r>
        <w:separator/>
      </w:r>
    </w:p>
  </w:endnote>
  <w:endnote w:type="continuationSeparator" w:id="0">
    <w:p w:rsidR="00A71C37" w:rsidRDefault="00A7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37" w:rsidRDefault="00A71C37">
      <w:r>
        <w:separator/>
      </w:r>
    </w:p>
  </w:footnote>
  <w:footnote w:type="continuationSeparator" w:id="0">
    <w:p w:rsidR="00A71C37" w:rsidRDefault="00A71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22B5"/>
    <w:multiLevelType w:val="hybridMultilevel"/>
    <w:tmpl w:val="A9B2908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C31EE7"/>
    <w:multiLevelType w:val="hybridMultilevel"/>
    <w:tmpl w:val="7E724A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3E75935"/>
    <w:multiLevelType w:val="multilevel"/>
    <w:tmpl w:val="62281B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5E2594B"/>
    <w:multiLevelType w:val="multilevel"/>
    <w:tmpl w:val="040900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00E2A88"/>
    <w:multiLevelType w:val="hybridMultilevel"/>
    <w:tmpl w:val="5950AD6E"/>
    <w:lvl w:ilvl="0" w:tplc="CA8E3076">
      <w:start w:val="1"/>
      <w:numFmt w:val="decimal"/>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A03FED"/>
    <w:multiLevelType w:val="hybridMultilevel"/>
    <w:tmpl w:val="349A558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CF4916"/>
    <w:multiLevelType w:val="multilevel"/>
    <w:tmpl w:val="62281B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A695637"/>
    <w:multiLevelType w:val="hybridMultilevel"/>
    <w:tmpl w:val="7C2C48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509474E7"/>
    <w:multiLevelType w:val="multilevel"/>
    <w:tmpl w:val="9250B350"/>
    <w:lvl w:ilvl="0">
      <w:start w:val="1"/>
      <w:numFmt w:val="lowerLetter"/>
      <w:lvlText w:val="%1."/>
      <w:lvlJc w:val="left"/>
      <w:pPr>
        <w:tabs>
          <w:tab w:val="num" w:pos="1530"/>
        </w:tabs>
        <w:ind w:left="1530" w:hanging="360"/>
      </w:pPr>
      <w:rPr>
        <w:rFonts w:cs="Times New Roman"/>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3690"/>
        </w:tabs>
        <w:ind w:left="3690" w:hanging="360"/>
      </w:pPr>
      <w:rPr>
        <w:rFonts w:cs="Times New Roman"/>
      </w:rPr>
    </w:lvl>
    <w:lvl w:ilvl="4">
      <w:start w:val="1"/>
      <w:numFmt w:val="lowerLetter"/>
      <w:lvlText w:val="%5."/>
      <w:lvlJc w:val="left"/>
      <w:pPr>
        <w:tabs>
          <w:tab w:val="num" w:pos="4410"/>
        </w:tabs>
        <w:ind w:left="4410" w:hanging="360"/>
      </w:pPr>
      <w:rPr>
        <w:rFonts w:cs="Times New Roman"/>
      </w:rPr>
    </w:lvl>
    <w:lvl w:ilvl="5">
      <w:start w:val="1"/>
      <w:numFmt w:val="lowerRoman"/>
      <w:lvlText w:val="%6."/>
      <w:lvlJc w:val="right"/>
      <w:pPr>
        <w:tabs>
          <w:tab w:val="num" w:pos="5130"/>
        </w:tabs>
        <w:ind w:left="5130" w:hanging="180"/>
      </w:pPr>
      <w:rPr>
        <w:rFonts w:cs="Times New Roman"/>
      </w:rPr>
    </w:lvl>
    <w:lvl w:ilvl="6">
      <w:start w:val="1"/>
      <w:numFmt w:val="decimal"/>
      <w:lvlText w:val="%7."/>
      <w:lvlJc w:val="left"/>
      <w:pPr>
        <w:tabs>
          <w:tab w:val="num" w:pos="5850"/>
        </w:tabs>
        <w:ind w:left="5850" w:hanging="360"/>
      </w:pPr>
      <w:rPr>
        <w:rFonts w:cs="Times New Roman"/>
      </w:rPr>
    </w:lvl>
    <w:lvl w:ilvl="7">
      <w:start w:val="1"/>
      <w:numFmt w:val="lowerLetter"/>
      <w:lvlText w:val="%8."/>
      <w:lvlJc w:val="left"/>
      <w:pPr>
        <w:tabs>
          <w:tab w:val="num" w:pos="6570"/>
        </w:tabs>
        <w:ind w:left="6570" w:hanging="360"/>
      </w:pPr>
      <w:rPr>
        <w:rFonts w:cs="Times New Roman"/>
      </w:rPr>
    </w:lvl>
    <w:lvl w:ilvl="8">
      <w:start w:val="1"/>
      <w:numFmt w:val="lowerRoman"/>
      <w:lvlText w:val="%9."/>
      <w:lvlJc w:val="right"/>
      <w:pPr>
        <w:tabs>
          <w:tab w:val="num" w:pos="7290"/>
        </w:tabs>
        <w:ind w:left="7290" w:hanging="180"/>
      </w:pPr>
      <w:rPr>
        <w:rFonts w:cs="Times New Roman"/>
      </w:rPr>
    </w:lvl>
  </w:abstractNum>
  <w:abstractNum w:abstractNumId="9">
    <w:nsid w:val="57BF7D91"/>
    <w:multiLevelType w:val="hybridMultilevel"/>
    <w:tmpl w:val="F04C16C4"/>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0">
    <w:nsid w:val="59556B28"/>
    <w:multiLevelType w:val="hybridMultilevel"/>
    <w:tmpl w:val="49D85412"/>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nsid w:val="64D04946"/>
    <w:multiLevelType w:val="hybridMultilevel"/>
    <w:tmpl w:val="DFE85576"/>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2">
    <w:nsid w:val="661325F1"/>
    <w:multiLevelType w:val="hybridMultilevel"/>
    <w:tmpl w:val="8C6EE2E0"/>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3">
    <w:nsid w:val="760F7BF2"/>
    <w:multiLevelType w:val="hybridMultilevel"/>
    <w:tmpl w:val="16DE81A6"/>
    <w:lvl w:ilvl="0" w:tplc="DB106D32">
      <w:start w:val="1"/>
      <w:numFmt w:val="decimal"/>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7E2704C8"/>
    <w:multiLevelType w:val="hybridMultilevel"/>
    <w:tmpl w:val="DFE85576"/>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num w:numId="1">
    <w:abstractNumId w:val="0"/>
  </w:num>
  <w:num w:numId="2">
    <w:abstractNumId w:val="2"/>
  </w:num>
  <w:num w:numId="3">
    <w:abstractNumId w:val="6"/>
  </w:num>
  <w:num w:numId="4">
    <w:abstractNumId w:val="3"/>
  </w:num>
  <w:num w:numId="5">
    <w:abstractNumId w:val="10"/>
  </w:num>
  <w:num w:numId="6">
    <w:abstractNumId w:val="5"/>
  </w:num>
  <w:num w:numId="7">
    <w:abstractNumId w:val="1"/>
  </w:num>
  <w:num w:numId="8">
    <w:abstractNumId w:val="4"/>
  </w:num>
  <w:num w:numId="9">
    <w:abstractNumId w:val="14"/>
  </w:num>
  <w:num w:numId="10">
    <w:abstractNumId w:val="12"/>
  </w:num>
  <w:num w:numId="11">
    <w:abstractNumId w:val="9"/>
  </w:num>
  <w:num w:numId="12">
    <w:abstractNumId w:val="13"/>
  </w:num>
  <w:num w:numId="13">
    <w:abstractNumId w:val="8"/>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D1"/>
    <w:rsid w:val="00047D4B"/>
    <w:rsid w:val="0006106E"/>
    <w:rsid w:val="00073198"/>
    <w:rsid w:val="00081174"/>
    <w:rsid w:val="00081ABD"/>
    <w:rsid w:val="000B46FF"/>
    <w:rsid w:val="000C171A"/>
    <w:rsid w:val="000E3671"/>
    <w:rsid w:val="000E5016"/>
    <w:rsid w:val="00107B7C"/>
    <w:rsid w:val="00122CC1"/>
    <w:rsid w:val="00122FE9"/>
    <w:rsid w:val="001332BB"/>
    <w:rsid w:val="001666B5"/>
    <w:rsid w:val="00167448"/>
    <w:rsid w:val="00181BF7"/>
    <w:rsid w:val="00184B3F"/>
    <w:rsid w:val="0018604E"/>
    <w:rsid w:val="00210186"/>
    <w:rsid w:val="00215034"/>
    <w:rsid w:val="00237684"/>
    <w:rsid w:val="00242613"/>
    <w:rsid w:val="00244926"/>
    <w:rsid w:val="00253C8A"/>
    <w:rsid w:val="00266D1E"/>
    <w:rsid w:val="0027000A"/>
    <w:rsid w:val="00275DEB"/>
    <w:rsid w:val="002A2B9E"/>
    <w:rsid w:val="002A6EF8"/>
    <w:rsid w:val="002B431A"/>
    <w:rsid w:val="002C084A"/>
    <w:rsid w:val="002F28D7"/>
    <w:rsid w:val="002F64E8"/>
    <w:rsid w:val="003050FB"/>
    <w:rsid w:val="00321004"/>
    <w:rsid w:val="00364490"/>
    <w:rsid w:val="0036590C"/>
    <w:rsid w:val="00375BF0"/>
    <w:rsid w:val="0037792E"/>
    <w:rsid w:val="00384026"/>
    <w:rsid w:val="003A5C40"/>
    <w:rsid w:val="003C0710"/>
    <w:rsid w:val="003C3A26"/>
    <w:rsid w:val="003C6B86"/>
    <w:rsid w:val="003E200F"/>
    <w:rsid w:val="003F6431"/>
    <w:rsid w:val="004041AB"/>
    <w:rsid w:val="00405D02"/>
    <w:rsid w:val="00424218"/>
    <w:rsid w:val="004448D6"/>
    <w:rsid w:val="00444951"/>
    <w:rsid w:val="00454F4F"/>
    <w:rsid w:val="00460F9A"/>
    <w:rsid w:val="0048227C"/>
    <w:rsid w:val="0048645F"/>
    <w:rsid w:val="00491BB7"/>
    <w:rsid w:val="004A3041"/>
    <w:rsid w:val="004C13E4"/>
    <w:rsid w:val="004C7FAB"/>
    <w:rsid w:val="004E6C0F"/>
    <w:rsid w:val="004F1193"/>
    <w:rsid w:val="005006B0"/>
    <w:rsid w:val="005059A6"/>
    <w:rsid w:val="005140AD"/>
    <w:rsid w:val="00525BB5"/>
    <w:rsid w:val="00534AD1"/>
    <w:rsid w:val="00580ADC"/>
    <w:rsid w:val="005A64C3"/>
    <w:rsid w:val="00627EC3"/>
    <w:rsid w:val="00644F34"/>
    <w:rsid w:val="00672A24"/>
    <w:rsid w:val="00693C1E"/>
    <w:rsid w:val="006B5E06"/>
    <w:rsid w:val="006D1266"/>
    <w:rsid w:val="006D6E8B"/>
    <w:rsid w:val="006E0D87"/>
    <w:rsid w:val="006E61C2"/>
    <w:rsid w:val="006F4C76"/>
    <w:rsid w:val="0070658D"/>
    <w:rsid w:val="00706B06"/>
    <w:rsid w:val="007201B2"/>
    <w:rsid w:val="00733471"/>
    <w:rsid w:val="00742D3A"/>
    <w:rsid w:val="0075440C"/>
    <w:rsid w:val="00761BC2"/>
    <w:rsid w:val="007624E3"/>
    <w:rsid w:val="007D0888"/>
    <w:rsid w:val="007D20C9"/>
    <w:rsid w:val="007D2B82"/>
    <w:rsid w:val="007E3951"/>
    <w:rsid w:val="00817069"/>
    <w:rsid w:val="00861CF6"/>
    <w:rsid w:val="00873EB9"/>
    <w:rsid w:val="008B2113"/>
    <w:rsid w:val="008E1E41"/>
    <w:rsid w:val="00916083"/>
    <w:rsid w:val="00940EED"/>
    <w:rsid w:val="00944807"/>
    <w:rsid w:val="0098552C"/>
    <w:rsid w:val="009B6351"/>
    <w:rsid w:val="009E55C1"/>
    <w:rsid w:val="009F504C"/>
    <w:rsid w:val="00A035C3"/>
    <w:rsid w:val="00A1659B"/>
    <w:rsid w:val="00A5541D"/>
    <w:rsid w:val="00A66F2C"/>
    <w:rsid w:val="00A71C37"/>
    <w:rsid w:val="00A91223"/>
    <w:rsid w:val="00AC112A"/>
    <w:rsid w:val="00AC6271"/>
    <w:rsid w:val="00AE3758"/>
    <w:rsid w:val="00AF4C6F"/>
    <w:rsid w:val="00AF7BED"/>
    <w:rsid w:val="00B01BA3"/>
    <w:rsid w:val="00B12785"/>
    <w:rsid w:val="00B166F8"/>
    <w:rsid w:val="00B16772"/>
    <w:rsid w:val="00B269C3"/>
    <w:rsid w:val="00B27975"/>
    <w:rsid w:val="00B32DB5"/>
    <w:rsid w:val="00B4613E"/>
    <w:rsid w:val="00B46909"/>
    <w:rsid w:val="00B50888"/>
    <w:rsid w:val="00B52A07"/>
    <w:rsid w:val="00B54FA5"/>
    <w:rsid w:val="00B61FD1"/>
    <w:rsid w:val="00B65F53"/>
    <w:rsid w:val="00B90B49"/>
    <w:rsid w:val="00BB349D"/>
    <w:rsid w:val="00BC5A84"/>
    <w:rsid w:val="00BF1C19"/>
    <w:rsid w:val="00C05FA5"/>
    <w:rsid w:val="00C23699"/>
    <w:rsid w:val="00C34C92"/>
    <w:rsid w:val="00C677E1"/>
    <w:rsid w:val="00C70986"/>
    <w:rsid w:val="00C726F5"/>
    <w:rsid w:val="00CC610F"/>
    <w:rsid w:val="00CD2A93"/>
    <w:rsid w:val="00CD728B"/>
    <w:rsid w:val="00CE5E76"/>
    <w:rsid w:val="00CF2384"/>
    <w:rsid w:val="00D04828"/>
    <w:rsid w:val="00D14C6D"/>
    <w:rsid w:val="00D23D18"/>
    <w:rsid w:val="00D414F2"/>
    <w:rsid w:val="00D449CF"/>
    <w:rsid w:val="00D61ACD"/>
    <w:rsid w:val="00D86C1C"/>
    <w:rsid w:val="00D97F42"/>
    <w:rsid w:val="00DA564C"/>
    <w:rsid w:val="00DE5CA1"/>
    <w:rsid w:val="00E22978"/>
    <w:rsid w:val="00E246F3"/>
    <w:rsid w:val="00E30B21"/>
    <w:rsid w:val="00E341FE"/>
    <w:rsid w:val="00E37256"/>
    <w:rsid w:val="00E433DD"/>
    <w:rsid w:val="00E43FBC"/>
    <w:rsid w:val="00E6159B"/>
    <w:rsid w:val="00E91205"/>
    <w:rsid w:val="00EA2E8B"/>
    <w:rsid w:val="00EC28D8"/>
    <w:rsid w:val="00EE1B58"/>
    <w:rsid w:val="00EF4628"/>
    <w:rsid w:val="00F06143"/>
    <w:rsid w:val="00F11BF2"/>
    <w:rsid w:val="00F164C6"/>
    <w:rsid w:val="00F25A5A"/>
    <w:rsid w:val="00F26F31"/>
    <w:rsid w:val="00F358B6"/>
    <w:rsid w:val="00F5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E76"/>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E5E76"/>
    <w:rPr>
      <w:rFonts w:cs="Times New Roman"/>
    </w:rPr>
  </w:style>
  <w:style w:type="paragraph" w:styleId="BodyTextIndent">
    <w:name w:val="Body Text Indent"/>
    <w:basedOn w:val="Normal"/>
    <w:link w:val="BodyTextIndentChar"/>
    <w:uiPriority w:val="99"/>
    <w:rsid w:val="00CE5E76"/>
    <w:pPr>
      <w:spacing w:line="242" w:lineRule="auto"/>
      <w:ind w:firstLine="1440"/>
      <w:jc w:val="both"/>
    </w:pPr>
    <w:rPr>
      <w:sz w:val="24"/>
    </w:rPr>
  </w:style>
  <w:style w:type="character" w:customStyle="1" w:styleId="BodyTextIndentChar">
    <w:name w:val="Body Text Indent Char"/>
    <w:basedOn w:val="DefaultParagraphFont"/>
    <w:link w:val="BodyTextIndent"/>
    <w:uiPriority w:val="99"/>
    <w:semiHidden/>
    <w:rsid w:val="00655810"/>
    <w:rPr>
      <w:sz w:val="20"/>
      <w:szCs w:val="24"/>
    </w:rPr>
  </w:style>
  <w:style w:type="paragraph" w:styleId="BodyTextIndent2">
    <w:name w:val="Body Text Indent 2"/>
    <w:basedOn w:val="Normal"/>
    <w:link w:val="BodyTextIndent2Char"/>
    <w:uiPriority w:val="99"/>
    <w:rsid w:val="00CE5E76"/>
    <w:pPr>
      <w:spacing w:line="242" w:lineRule="auto"/>
      <w:ind w:firstLine="2160"/>
      <w:jc w:val="both"/>
    </w:pPr>
    <w:rPr>
      <w:sz w:val="24"/>
    </w:rPr>
  </w:style>
  <w:style w:type="character" w:customStyle="1" w:styleId="BodyTextIndent2Char">
    <w:name w:val="Body Text Indent 2 Char"/>
    <w:basedOn w:val="DefaultParagraphFont"/>
    <w:link w:val="BodyTextIndent2"/>
    <w:uiPriority w:val="99"/>
    <w:semiHidden/>
    <w:rsid w:val="00655810"/>
    <w:rPr>
      <w:sz w:val="20"/>
      <w:szCs w:val="24"/>
    </w:rPr>
  </w:style>
  <w:style w:type="paragraph" w:styleId="BodyTextIndent3">
    <w:name w:val="Body Text Indent 3"/>
    <w:basedOn w:val="Normal"/>
    <w:link w:val="BodyTextIndent3Char"/>
    <w:uiPriority w:val="99"/>
    <w:rsid w:val="00CE5E76"/>
    <w:pPr>
      <w:tabs>
        <w:tab w:val="left" w:pos="-1440"/>
      </w:tabs>
      <w:spacing w:line="242" w:lineRule="auto"/>
      <w:ind w:left="1440"/>
      <w:jc w:val="both"/>
    </w:pPr>
    <w:rPr>
      <w:sz w:val="24"/>
    </w:rPr>
  </w:style>
  <w:style w:type="character" w:customStyle="1" w:styleId="BodyTextIndent3Char">
    <w:name w:val="Body Text Indent 3 Char"/>
    <w:basedOn w:val="DefaultParagraphFont"/>
    <w:link w:val="BodyTextIndent3"/>
    <w:uiPriority w:val="99"/>
    <w:semiHidden/>
    <w:rsid w:val="00655810"/>
    <w:rPr>
      <w:sz w:val="16"/>
      <w:szCs w:val="16"/>
    </w:rPr>
  </w:style>
  <w:style w:type="character" w:customStyle="1" w:styleId="EmailStyle22">
    <w:name w:val="EmailStyle22"/>
    <w:basedOn w:val="DefaultParagraphFont"/>
    <w:uiPriority w:val="99"/>
    <w:semiHidden/>
    <w:rsid w:val="002F64E8"/>
    <w:rPr>
      <w:rFonts w:ascii="Arial Narrow" w:hAnsi="Arial Narrow" w:cs="Times New Roman"/>
      <w:color w:val="auto"/>
      <w:sz w:val="24"/>
      <w:szCs w:val="24"/>
      <w:u w:val="none"/>
    </w:rPr>
  </w:style>
  <w:style w:type="paragraph" w:styleId="Header">
    <w:name w:val="header"/>
    <w:basedOn w:val="Normal"/>
    <w:link w:val="HeaderChar"/>
    <w:uiPriority w:val="99"/>
    <w:rsid w:val="00F164C6"/>
    <w:pPr>
      <w:tabs>
        <w:tab w:val="center" w:pos="4320"/>
        <w:tab w:val="right" w:pos="8640"/>
      </w:tabs>
    </w:pPr>
  </w:style>
  <w:style w:type="character" w:customStyle="1" w:styleId="HeaderChar">
    <w:name w:val="Header Char"/>
    <w:basedOn w:val="DefaultParagraphFont"/>
    <w:link w:val="Header"/>
    <w:uiPriority w:val="99"/>
    <w:semiHidden/>
    <w:rsid w:val="00655810"/>
    <w:rPr>
      <w:sz w:val="20"/>
      <w:szCs w:val="24"/>
    </w:rPr>
  </w:style>
  <w:style w:type="paragraph" w:styleId="Footer">
    <w:name w:val="footer"/>
    <w:basedOn w:val="Normal"/>
    <w:link w:val="FooterChar"/>
    <w:uiPriority w:val="99"/>
    <w:rsid w:val="00F164C6"/>
    <w:pPr>
      <w:tabs>
        <w:tab w:val="center" w:pos="4320"/>
        <w:tab w:val="right" w:pos="8640"/>
      </w:tabs>
    </w:pPr>
  </w:style>
  <w:style w:type="character" w:customStyle="1" w:styleId="FooterChar">
    <w:name w:val="Footer Char"/>
    <w:basedOn w:val="DefaultParagraphFont"/>
    <w:link w:val="Footer"/>
    <w:uiPriority w:val="99"/>
    <w:semiHidden/>
    <w:rsid w:val="00655810"/>
    <w:rPr>
      <w:sz w:val="20"/>
      <w:szCs w:val="24"/>
    </w:rPr>
  </w:style>
  <w:style w:type="paragraph" w:styleId="FootnoteText">
    <w:name w:val="footnote text"/>
    <w:basedOn w:val="Normal"/>
    <w:link w:val="FootnoteTextChar"/>
    <w:uiPriority w:val="99"/>
    <w:semiHidden/>
    <w:rsid w:val="00F164C6"/>
    <w:rPr>
      <w:szCs w:val="20"/>
    </w:rPr>
  </w:style>
  <w:style w:type="character" w:customStyle="1" w:styleId="FootnoteTextChar">
    <w:name w:val="Footnote Text Char"/>
    <w:basedOn w:val="DefaultParagraphFont"/>
    <w:link w:val="FootnoteText"/>
    <w:uiPriority w:val="99"/>
    <w:semiHidden/>
    <w:rsid w:val="00655810"/>
    <w:rPr>
      <w:sz w:val="20"/>
      <w:szCs w:val="20"/>
    </w:rPr>
  </w:style>
  <w:style w:type="paragraph" w:styleId="ListParagraph">
    <w:name w:val="List Paragraph"/>
    <w:basedOn w:val="Normal"/>
    <w:uiPriority w:val="99"/>
    <w:qFormat/>
    <w:rsid w:val="00706B06"/>
    <w:pPr>
      <w:ind w:left="720"/>
      <w:contextualSpacing/>
    </w:pPr>
  </w:style>
  <w:style w:type="paragraph" w:styleId="BalloonText">
    <w:name w:val="Balloon Text"/>
    <w:basedOn w:val="Normal"/>
    <w:link w:val="BalloonTextChar"/>
    <w:uiPriority w:val="99"/>
    <w:semiHidden/>
    <w:unhideWhenUsed/>
    <w:rsid w:val="00B4613E"/>
    <w:rPr>
      <w:rFonts w:ascii="Tahoma" w:hAnsi="Tahoma" w:cs="Tahoma"/>
      <w:sz w:val="16"/>
      <w:szCs w:val="16"/>
    </w:rPr>
  </w:style>
  <w:style w:type="character" w:customStyle="1" w:styleId="BalloonTextChar">
    <w:name w:val="Balloon Text Char"/>
    <w:basedOn w:val="DefaultParagraphFont"/>
    <w:link w:val="BalloonText"/>
    <w:uiPriority w:val="99"/>
    <w:semiHidden/>
    <w:rsid w:val="00B4613E"/>
    <w:rPr>
      <w:rFonts w:ascii="Tahoma" w:hAnsi="Tahoma" w:cs="Tahoma"/>
      <w:sz w:val="16"/>
      <w:szCs w:val="16"/>
    </w:rPr>
  </w:style>
  <w:style w:type="character" w:styleId="CommentReference">
    <w:name w:val="annotation reference"/>
    <w:basedOn w:val="DefaultParagraphFont"/>
    <w:uiPriority w:val="99"/>
    <w:semiHidden/>
    <w:unhideWhenUsed/>
    <w:rsid w:val="0098552C"/>
    <w:rPr>
      <w:sz w:val="16"/>
      <w:szCs w:val="16"/>
    </w:rPr>
  </w:style>
  <w:style w:type="paragraph" w:styleId="CommentText">
    <w:name w:val="annotation text"/>
    <w:basedOn w:val="Normal"/>
    <w:link w:val="CommentTextChar"/>
    <w:uiPriority w:val="99"/>
    <w:semiHidden/>
    <w:unhideWhenUsed/>
    <w:rsid w:val="0098552C"/>
    <w:rPr>
      <w:szCs w:val="20"/>
    </w:rPr>
  </w:style>
  <w:style w:type="character" w:customStyle="1" w:styleId="CommentTextChar">
    <w:name w:val="Comment Text Char"/>
    <w:basedOn w:val="DefaultParagraphFont"/>
    <w:link w:val="CommentText"/>
    <w:uiPriority w:val="99"/>
    <w:semiHidden/>
    <w:rsid w:val="0098552C"/>
    <w:rPr>
      <w:sz w:val="20"/>
      <w:szCs w:val="20"/>
    </w:rPr>
  </w:style>
  <w:style w:type="paragraph" w:styleId="CommentSubject">
    <w:name w:val="annotation subject"/>
    <w:basedOn w:val="CommentText"/>
    <w:next w:val="CommentText"/>
    <w:link w:val="CommentSubjectChar"/>
    <w:uiPriority w:val="99"/>
    <w:semiHidden/>
    <w:unhideWhenUsed/>
    <w:rsid w:val="0098552C"/>
    <w:rPr>
      <w:b/>
      <w:bCs/>
    </w:rPr>
  </w:style>
  <w:style w:type="character" w:customStyle="1" w:styleId="CommentSubjectChar">
    <w:name w:val="Comment Subject Char"/>
    <w:basedOn w:val="CommentTextChar"/>
    <w:link w:val="CommentSubject"/>
    <w:uiPriority w:val="99"/>
    <w:semiHidden/>
    <w:rsid w:val="0098552C"/>
    <w:rPr>
      <w:b/>
      <w:bCs/>
      <w:sz w:val="20"/>
      <w:szCs w:val="20"/>
    </w:rPr>
  </w:style>
  <w:style w:type="table" w:styleId="TableGrid">
    <w:name w:val="Table Grid"/>
    <w:basedOn w:val="TableNormal"/>
    <w:uiPriority w:val="59"/>
    <w:rsid w:val="00486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6106E"/>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E76"/>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E5E76"/>
    <w:rPr>
      <w:rFonts w:cs="Times New Roman"/>
    </w:rPr>
  </w:style>
  <w:style w:type="paragraph" w:styleId="BodyTextIndent">
    <w:name w:val="Body Text Indent"/>
    <w:basedOn w:val="Normal"/>
    <w:link w:val="BodyTextIndentChar"/>
    <w:uiPriority w:val="99"/>
    <w:rsid w:val="00CE5E76"/>
    <w:pPr>
      <w:spacing w:line="242" w:lineRule="auto"/>
      <w:ind w:firstLine="1440"/>
      <w:jc w:val="both"/>
    </w:pPr>
    <w:rPr>
      <w:sz w:val="24"/>
    </w:rPr>
  </w:style>
  <w:style w:type="character" w:customStyle="1" w:styleId="BodyTextIndentChar">
    <w:name w:val="Body Text Indent Char"/>
    <w:basedOn w:val="DefaultParagraphFont"/>
    <w:link w:val="BodyTextIndent"/>
    <w:uiPriority w:val="99"/>
    <w:semiHidden/>
    <w:rsid w:val="00655810"/>
    <w:rPr>
      <w:sz w:val="20"/>
      <w:szCs w:val="24"/>
    </w:rPr>
  </w:style>
  <w:style w:type="paragraph" w:styleId="BodyTextIndent2">
    <w:name w:val="Body Text Indent 2"/>
    <w:basedOn w:val="Normal"/>
    <w:link w:val="BodyTextIndent2Char"/>
    <w:uiPriority w:val="99"/>
    <w:rsid w:val="00CE5E76"/>
    <w:pPr>
      <w:spacing w:line="242" w:lineRule="auto"/>
      <w:ind w:firstLine="2160"/>
      <w:jc w:val="both"/>
    </w:pPr>
    <w:rPr>
      <w:sz w:val="24"/>
    </w:rPr>
  </w:style>
  <w:style w:type="character" w:customStyle="1" w:styleId="BodyTextIndent2Char">
    <w:name w:val="Body Text Indent 2 Char"/>
    <w:basedOn w:val="DefaultParagraphFont"/>
    <w:link w:val="BodyTextIndent2"/>
    <w:uiPriority w:val="99"/>
    <w:semiHidden/>
    <w:rsid w:val="00655810"/>
    <w:rPr>
      <w:sz w:val="20"/>
      <w:szCs w:val="24"/>
    </w:rPr>
  </w:style>
  <w:style w:type="paragraph" w:styleId="BodyTextIndent3">
    <w:name w:val="Body Text Indent 3"/>
    <w:basedOn w:val="Normal"/>
    <w:link w:val="BodyTextIndent3Char"/>
    <w:uiPriority w:val="99"/>
    <w:rsid w:val="00CE5E76"/>
    <w:pPr>
      <w:tabs>
        <w:tab w:val="left" w:pos="-1440"/>
      </w:tabs>
      <w:spacing w:line="242" w:lineRule="auto"/>
      <w:ind w:left="1440"/>
      <w:jc w:val="both"/>
    </w:pPr>
    <w:rPr>
      <w:sz w:val="24"/>
    </w:rPr>
  </w:style>
  <w:style w:type="character" w:customStyle="1" w:styleId="BodyTextIndent3Char">
    <w:name w:val="Body Text Indent 3 Char"/>
    <w:basedOn w:val="DefaultParagraphFont"/>
    <w:link w:val="BodyTextIndent3"/>
    <w:uiPriority w:val="99"/>
    <w:semiHidden/>
    <w:rsid w:val="00655810"/>
    <w:rPr>
      <w:sz w:val="16"/>
      <w:szCs w:val="16"/>
    </w:rPr>
  </w:style>
  <w:style w:type="character" w:customStyle="1" w:styleId="EmailStyle22">
    <w:name w:val="EmailStyle22"/>
    <w:basedOn w:val="DefaultParagraphFont"/>
    <w:uiPriority w:val="99"/>
    <w:semiHidden/>
    <w:rsid w:val="002F64E8"/>
    <w:rPr>
      <w:rFonts w:ascii="Arial Narrow" w:hAnsi="Arial Narrow" w:cs="Times New Roman"/>
      <w:color w:val="auto"/>
      <w:sz w:val="24"/>
      <w:szCs w:val="24"/>
      <w:u w:val="none"/>
    </w:rPr>
  </w:style>
  <w:style w:type="paragraph" w:styleId="Header">
    <w:name w:val="header"/>
    <w:basedOn w:val="Normal"/>
    <w:link w:val="HeaderChar"/>
    <w:uiPriority w:val="99"/>
    <w:rsid w:val="00F164C6"/>
    <w:pPr>
      <w:tabs>
        <w:tab w:val="center" w:pos="4320"/>
        <w:tab w:val="right" w:pos="8640"/>
      </w:tabs>
    </w:pPr>
  </w:style>
  <w:style w:type="character" w:customStyle="1" w:styleId="HeaderChar">
    <w:name w:val="Header Char"/>
    <w:basedOn w:val="DefaultParagraphFont"/>
    <w:link w:val="Header"/>
    <w:uiPriority w:val="99"/>
    <w:semiHidden/>
    <w:rsid w:val="00655810"/>
    <w:rPr>
      <w:sz w:val="20"/>
      <w:szCs w:val="24"/>
    </w:rPr>
  </w:style>
  <w:style w:type="paragraph" w:styleId="Footer">
    <w:name w:val="footer"/>
    <w:basedOn w:val="Normal"/>
    <w:link w:val="FooterChar"/>
    <w:uiPriority w:val="99"/>
    <w:rsid w:val="00F164C6"/>
    <w:pPr>
      <w:tabs>
        <w:tab w:val="center" w:pos="4320"/>
        <w:tab w:val="right" w:pos="8640"/>
      </w:tabs>
    </w:pPr>
  </w:style>
  <w:style w:type="character" w:customStyle="1" w:styleId="FooterChar">
    <w:name w:val="Footer Char"/>
    <w:basedOn w:val="DefaultParagraphFont"/>
    <w:link w:val="Footer"/>
    <w:uiPriority w:val="99"/>
    <w:semiHidden/>
    <w:rsid w:val="00655810"/>
    <w:rPr>
      <w:sz w:val="20"/>
      <w:szCs w:val="24"/>
    </w:rPr>
  </w:style>
  <w:style w:type="paragraph" w:styleId="FootnoteText">
    <w:name w:val="footnote text"/>
    <w:basedOn w:val="Normal"/>
    <w:link w:val="FootnoteTextChar"/>
    <w:uiPriority w:val="99"/>
    <w:semiHidden/>
    <w:rsid w:val="00F164C6"/>
    <w:rPr>
      <w:szCs w:val="20"/>
    </w:rPr>
  </w:style>
  <w:style w:type="character" w:customStyle="1" w:styleId="FootnoteTextChar">
    <w:name w:val="Footnote Text Char"/>
    <w:basedOn w:val="DefaultParagraphFont"/>
    <w:link w:val="FootnoteText"/>
    <w:uiPriority w:val="99"/>
    <w:semiHidden/>
    <w:rsid w:val="00655810"/>
    <w:rPr>
      <w:sz w:val="20"/>
      <w:szCs w:val="20"/>
    </w:rPr>
  </w:style>
  <w:style w:type="paragraph" w:styleId="ListParagraph">
    <w:name w:val="List Paragraph"/>
    <w:basedOn w:val="Normal"/>
    <w:uiPriority w:val="99"/>
    <w:qFormat/>
    <w:rsid w:val="00706B06"/>
    <w:pPr>
      <w:ind w:left="720"/>
      <w:contextualSpacing/>
    </w:pPr>
  </w:style>
  <w:style w:type="paragraph" w:styleId="BalloonText">
    <w:name w:val="Balloon Text"/>
    <w:basedOn w:val="Normal"/>
    <w:link w:val="BalloonTextChar"/>
    <w:uiPriority w:val="99"/>
    <w:semiHidden/>
    <w:unhideWhenUsed/>
    <w:rsid w:val="00B4613E"/>
    <w:rPr>
      <w:rFonts w:ascii="Tahoma" w:hAnsi="Tahoma" w:cs="Tahoma"/>
      <w:sz w:val="16"/>
      <w:szCs w:val="16"/>
    </w:rPr>
  </w:style>
  <w:style w:type="character" w:customStyle="1" w:styleId="BalloonTextChar">
    <w:name w:val="Balloon Text Char"/>
    <w:basedOn w:val="DefaultParagraphFont"/>
    <w:link w:val="BalloonText"/>
    <w:uiPriority w:val="99"/>
    <w:semiHidden/>
    <w:rsid w:val="00B4613E"/>
    <w:rPr>
      <w:rFonts w:ascii="Tahoma" w:hAnsi="Tahoma" w:cs="Tahoma"/>
      <w:sz w:val="16"/>
      <w:szCs w:val="16"/>
    </w:rPr>
  </w:style>
  <w:style w:type="character" w:styleId="CommentReference">
    <w:name w:val="annotation reference"/>
    <w:basedOn w:val="DefaultParagraphFont"/>
    <w:uiPriority w:val="99"/>
    <w:semiHidden/>
    <w:unhideWhenUsed/>
    <w:rsid w:val="0098552C"/>
    <w:rPr>
      <w:sz w:val="16"/>
      <w:szCs w:val="16"/>
    </w:rPr>
  </w:style>
  <w:style w:type="paragraph" w:styleId="CommentText">
    <w:name w:val="annotation text"/>
    <w:basedOn w:val="Normal"/>
    <w:link w:val="CommentTextChar"/>
    <w:uiPriority w:val="99"/>
    <w:semiHidden/>
    <w:unhideWhenUsed/>
    <w:rsid w:val="0098552C"/>
    <w:rPr>
      <w:szCs w:val="20"/>
    </w:rPr>
  </w:style>
  <w:style w:type="character" w:customStyle="1" w:styleId="CommentTextChar">
    <w:name w:val="Comment Text Char"/>
    <w:basedOn w:val="DefaultParagraphFont"/>
    <w:link w:val="CommentText"/>
    <w:uiPriority w:val="99"/>
    <w:semiHidden/>
    <w:rsid w:val="0098552C"/>
    <w:rPr>
      <w:sz w:val="20"/>
      <w:szCs w:val="20"/>
    </w:rPr>
  </w:style>
  <w:style w:type="paragraph" w:styleId="CommentSubject">
    <w:name w:val="annotation subject"/>
    <w:basedOn w:val="CommentText"/>
    <w:next w:val="CommentText"/>
    <w:link w:val="CommentSubjectChar"/>
    <w:uiPriority w:val="99"/>
    <w:semiHidden/>
    <w:unhideWhenUsed/>
    <w:rsid w:val="0098552C"/>
    <w:rPr>
      <w:b/>
      <w:bCs/>
    </w:rPr>
  </w:style>
  <w:style w:type="character" w:customStyle="1" w:styleId="CommentSubjectChar">
    <w:name w:val="Comment Subject Char"/>
    <w:basedOn w:val="CommentTextChar"/>
    <w:link w:val="CommentSubject"/>
    <w:uiPriority w:val="99"/>
    <w:semiHidden/>
    <w:rsid w:val="0098552C"/>
    <w:rPr>
      <w:b/>
      <w:bCs/>
      <w:sz w:val="20"/>
      <w:szCs w:val="20"/>
    </w:rPr>
  </w:style>
  <w:style w:type="table" w:styleId="TableGrid">
    <w:name w:val="Table Grid"/>
    <w:basedOn w:val="TableNormal"/>
    <w:uiPriority w:val="59"/>
    <w:rsid w:val="00486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6106E"/>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57942">
      <w:marLeft w:val="0"/>
      <w:marRight w:val="0"/>
      <w:marTop w:val="0"/>
      <w:marBottom w:val="0"/>
      <w:divBdr>
        <w:top w:val="none" w:sz="0" w:space="0" w:color="auto"/>
        <w:left w:val="none" w:sz="0" w:space="0" w:color="auto"/>
        <w:bottom w:val="none" w:sz="0" w:space="0" w:color="auto"/>
        <w:right w:val="none" w:sz="0" w:space="0" w:color="auto"/>
      </w:divBdr>
    </w:div>
    <w:div w:id="324357943">
      <w:marLeft w:val="0"/>
      <w:marRight w:val="0"/>
      <w:marTop w:val="0"/>
      <w:marBottom w:val="0"/>
      <w:divBdr>
        <w:top w:val="none" w:sz="0" w:space="0" w:color="auto"/>
        <w:left w:val="none" w:sz="0" w:space="0" w:color="auto"/>
        <w:bottom w:val="none" w:sz="0" w:space="0" w:color="auto"/>
        <w:right w:val="none" w:sz="0" w:space="0" w:color="auto"/>
      </w:divBdr>
    </w:div>
    <w:div w:id="324357944">
      <w:marLeft w:val="0"/>
      <w:marRight w:val="0"/>
      <w:marTop w:val="0"/>
      <w:marBottom w:val="0"/>
      <w:divBdr>
        <w:top w:val="none" w:sz="0" w:space="0" w:color="auto"/>
        <w:left w:val="none" w:sz="0" w:space="0" w:color="auto"/>
        <w:bottom w:val="none" w:sz="0" w:space="0" w:color="auto"/>
        <w:right w:val="none" w:sz="0" w:space="0" w:color="auto"/>
      </w:divBdr>
    </w:div>
    <w:div w:id="1731922086">
      <w:bodyDiv w:val="1"/>
      <w:marLeft w:val="0"/>
      <w:marRight w:val="0"/>
      <w:marTop w:val="0"/>
      <w:marBottom w:val="0"/>
      <w:divBdr>
        <w:top w:val="none" w:sz="0" w:space="0" w:color="auto"/>
        <w:left w:val="none" w:sz="0" w:space="0" w:color="auto"/>
        <w:bottom w:val="none" w:sz="0" w:space="0" w:color="auto"/>
        <w:right w:val="none" w:sz="0" w:space="0" w:color="auto"/>
      </w:divBdr>
    </w:div>
    <w:div w:id="17355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 FOR FORM CMS-222</vt:lpstr>
    </vt:vector>
  </TitlesOfParts>
  <Company>CMS</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creator>CMS</dc:creator>
  <cp:lastModifiedBy>WILLIAM PARHAM</cp:lastModifiedBy>
  <cp:revision>2</cp:revision>
  <cp:lastPrinted>2014-04-03T19:53:00Z</cp:lastPrinted>
  <dcterms:created xsi:type="dcterms:W3CDTF">2014-04-17T18:44:00Z</dcterms:created>
  <dcterms:modified xsi:type="dcterms:W3CDTF">2014-04-17T18:44:00Z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408089819</vt:i4>
  </property>
  <property fmtid="{D5CDD505-2E9C-101B-9397-08002B2CF9AE}" pid="3" name="_NewReviewCycle">
    <vt:lpwstr/>
  </property>
  <property fmtid="{D5CDD505-2E9C-101B-9397-08002B2CF9AE}" pid="4" name="_EmailSubject">
    <vt:lpwstr>Home Office Cost Statement PRA renewal</vt:lpwstr>
  </property>
  <property fmtid="{D5CDD505-2E9C-101B-9397-08002B2CF9AE}" pid="5" name="_AuthorEmail">
    <vt:lpwstr>Yaakov.Feinstein@cms.hhs.gov</vt:lpwstr>
  </property>
  <property fmtid="{D5CDD505-2E9C-101B-9397-08002B2CF9AE}" pid="6" name="_AuthorEmailDisplayName">
    <vt:lpwstr>Feinstein, Yaakov M.(CMS/CM)</vt:lpwstr>
  </property>
  <property fmtid="{D5CDD505-2E9C-101B-9397-08002B2CF9AE}" pid="7" name="_PreviousAdHocReviewCycleID">
    <vt:i4>769363369</vt:i4>
  </property>
  <property fmtid="{D5CDD505-2E9C-101B-9397-08002B2CF9AE}" pid="8" name="_ReviewingToolsShownOnce">
    <vt:lpwstr/>
  </property>
</Properties>
</file>