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C2" w:rsidRDefault="005C3DC2" w:rsidP="005C3DC2">
      <w:pPr>
        <w:ind w:left="1440" w:firstLine="720"/>
      </w:pPr>
    </w:p>
    <w:p w:rsidR="005C3DC2" w:rsidRDefault="005C3DC2" w:rsidP="005C3DC2">
      <w:pPr>
        <w:ind w:left="1440" w:firstLine="720"/>
      </w:pPr>
    </w:p>
    <w:p w:rsidR="005C3DC2" w:rsidRDefault="005C3DC2" w:rsidP="005C3DC2">
      <w:pPr>
        <w:ind w:left="1440" w:firstLine="720"/>
      </w:pPr>
    </w:p>
    <w:p w:rsidR="005C3DC2" w:rsidRPr="00CA02BF" w:rsidRDefault="00CA02BF" w:rsidP="005C3DC2">
      <w:pPr>
        <w:ind w:left="1440" w:firstLine="720"/>
        <w:rPr>
          <w:sz w:val="32"/>
          <w:szCs w:val="32"/>
        </w:rPr>
      </w:pPr>
      <w:r>
        <w:t xml:space="preserve">       </w:t>
      </w:r>
      <w:r w:rsidR="005C3DC2" w:rsidRPr="00CA02BF">
        <w:rPr>
          <w:sz w:val="32"/>
          <w:szCs w:val="32"/>
        </w:rPr>
        <w:t>Supporting Statement A for</w:t>
      </w:r>
    </w:p>
    <w:p w:rsidR="005C3DC2" w:rsidRDefault="005C3DC2" w:rsidP="005C3DC2">
      <w:pPr>
        <w:ind w:left="1440" w:firstLine="720"/>
        <w:rPr>
          <w:sz w:val="28"/>
          <w:szCs w:val="28"/>
        </w:rPr>
      </w:pPr>
    </w:p>
    <w:p w:rsidR="00680E77" w:rsidRDefault="005C3DC2" w:rsidP="005C3DC2">
      <w:pPr>
        <w:ind w:left="1440" w:firstLine="720"/>
        <w:rPr>
          <w:sz w:val="28"/>
          <w:szCs w:val="28"/>
        </w:rPr>
      </w:pPr>
      <w:r>
        <w:rPr>
          <w:sz w:val="28"/>
          <w:szCs w:val="28"/>
        </w:rPr>
        <w:t xml:space="preserve">         </w:t>
      </w:r>
    </w:p>
    <w:p w:rsidR="00CA02BF" w:rsidRDefault="00680E77" w:rsidP="005C3DC2">
      <w:pPr>
        <w:ind w:left="1440" w:firstLine="720"/>
        <w:rPr>
          <w:sz w:val="28"/>
          <w:szCs w:val="28"/>
        </w:rPr>
      </w:pPr>
      <w:r>
        <w:rPr>
          <w:sz w:val="28"/>
          <w:szCs w:val="28"/>
        </w:rPr>
        <w:t xml:space="preserve">          </w:t>
      </w:r>
      <w:r w:rsidR="005974BD">
        <w:rPr>
          <w:sz w:val="28"/>
          <w:szCs w:val="28"/>
        </w:rPr>
        <w:t xml:space="preserve">    </w:t>
      </w:r>
    </w:p>
    <w:p w:rsidR="00CA02BF" w:rsidRDefault="00CA02BF" w:rsidP="005C3DC2">
      <w:pPr>
        <w:ind w:left="1440" w:firstLine="720"/>
        <w:rPr>
          <w:sz w:val="28"/>
          <w:szCs w:val="28"/>
        </w:rPr>
      </w:pPr>
    </w:p>
    <w:p w:rsidR="00CA02BF" w:rsidRDefault="00CA02BF" w:rsidP="005C3DC2">
      <w:pPr>
        <w:ind w:left="1440" w:firstLine="720"/>
        <w:rPr>
          <w:sz w:val="28"/>
          <w:szCs w:val="28"/>
        </w:rPr>
      </w:pPr>
    </w:p>
    <w:p w:rsidR="005C3DC2" w:rsidRDefault="006806E8" w:rsidP="006806E8">
      <w:pPr>
        <w:jc w:val="center"/>
        <w:rPr>
          <w:sz w:val="32"/>
          <w:szCs w:val="32"/>
        </w:rPr>
      </w:pPr>
      <w:r>
        <w:rPr>
          <w:sz w:val="32"/>
          <w:szCs w:val="32"/>
        </w:rPr>
        <w:t>Database of Cognitive Training and Remediation Studies (NIMH)</w:t>
      </w:r>
    </w:p>
    <w:p w:rsidR="00967AAE" w:rsidRDefault="00967AAE" w:rsidP="005C3DC2">
      <w:pPr>
        <w:ind w:left="1440" w:firstLine="720"/>
        <w:rPr>
          <w:sz w:val="32"/>
          <w:szCs w:val="32"/>
        </w:rPr>
      </w:pPr>
    </w:p>
    <w:p w:rsidR="00967AAE" w:rsidRDefault="00967AAE" w:rsidP="00967AAE">
      <w:pPr>
        <w:ind w:left="1440" w:firstLine="720"/>
        <w:rPr>
          <w:sz w:val="32"/>
          <w:szCs w:val="32"/>
        </w:rPr>
      </w:pPr>
      <w:r>
        <w:rPr>
          <w:sz w:val="32"/>
          <w:szCs w:val="32"/>
        </w:rPr>
        <w:t xml:space="preserve">                    </w:t>
      </w:r>
    </w:p>
    <w:p w:rsidR="00967AAE" w:rsidRDefault="00967AAE" w:rsidP="00967AAE">
      <w:pPr>
        <w:ind w:left="1440" w:firstLine="720"/>
        <w:rPr>
          <w:sz w:val="32"/>
          <w:szCs w:val="32"/>
        </w:rPr>
      </w:pPr>
    </w:p>
    <w:p w:rsidR="00967AAE" w:rsidRDefault="00967AAE" w:rsidP="00967AAE">
      <w:pPr>
        <w:ind w:left="1440" w:firstLine="720"/>
        <w:rPr>
          <w:sz w:val="32"/>
          <w:szCs w:val="32"/>
        </w:rPr>
      </w:pPr>
    </w:p>
    <w:p w:rsidR="00967AAE" w:rsidRDefault="00967AAE" w:rsidP="00967AAE">
      <w:pPr>
        <w:ind w:left="1440" w:firstLine="720"/>
        <w:rPr>
          <w:sz w:val="32"/>
          <w:szCs w:val="32"/>
        </w:rPr>
      </w:pPr>
      <w:r>
        <w:rPr>
          <w:sz w:val="32"/>
          <w:szCs w:val="32"/>
        </w:rPr>
        <w:t xml:space="preserve">                      Date</w:t>
      </w:r>
    </w:p>
    <w:p w:rsidR="00967AAE" w:rsidRDefault="00967AAE" w:rsidP="00967AAE">
      <w:pPr>
        <w:ind w:left="1440" w:firstLine="720"/>
        <w:rPr>
          <w:sz w:val="32"/>
          <w:szCs w:val="32"/>
        </w:rPr>
      </w:pPr>
    </w:p>
    <w:p w:rsidR="00967AAE" w:rsidRPr="00C813FE" w:rsidRDefault="00C813FE" w:rsidP="006E3614">
      <w:pPr>
        <w:jc w:val="center"/>
        <w:rPr>
          <w:strike/>
          <w:color w:val="FF0000"/>
          <w:sz w:val="32"/>
          <w:szCs w:val="32"/>
        </w:rPr>
      </w:pPr>
      <w:r>
        <w:rPr>
          <w:sz w:val="32"/>
          <w:szCs w:val="32"/>
        </w:rPr>
        <w:t>10/08/2014</w:t>
      </w:r>
    </w:p>
    <w:p w:rsidR="00EF5CAC" w:rsidRPr="00967AAE" w:rsidRDefault="00EF5CAC" w:rsidP="00967AAE">
      <w:pPr>
        <w:rPr>
          <w:color w:val="FF0000"/>
          <w:sz w:val="32"/>
          <w:szCs w:val="32"/>
        </w:rPr>
      </w:pPr>
      <w:r>
        <w:rPr>
          <w:color w:val="FF0000"/>
          <w:sz w:val="32"/>
          <w:szCs w:val="32"/>
        </w:rPr>
        <w:t xml:space="preserve">                        </w:t>
      </w:r>
    </w:p>
    <w:p w:rsidR="00967AAE" w:rsidRPr="00967AAE" w:rsidRDefault="00967AAE" w:rsidP="00967AAE">
      <w:pPr>
        <w:rPr>
          <w:color w:val="0000FF"/>
          <w:sz w:val="32"/>
          <w:szCs w:val="32"/>
        </w:rPr>
      </w:pPr>
    </w:p>
    <w:p w:rsidR="005C3DC2" w:rsidRPr="00680E77" w:rsidRDefault="005C3DC2" w:rsidP="005C3DC2">
      <w:pPr>
        <w:rPr>
          <w:color w:val="FF0000"/>
          <w:sz w:val="32"/>
          <w:szCs w:val="32"/>
        </w:rPr>
      </w:pPr>
    </w:p>
    <w:p w:rsidR="005C3DC2" w:rsidRDefault="005C3DC2" w:rsidP="005C3DC2">
      <w:pPr>
        <w:rPr>
          <w:color w:val="0000FF"/>
          <w:sz w:val="32"/>
          <w:szCs w:val="32"/>
        </w:rPr>
      </w:pPr>
    </w:p>
    <w:p w:rsidR="005C3DC2" w:rsidRDefault="005C3DC2" w:rsidP="005C3DC2">
      <w:pPr>
        <w:rPr>
          <w:color w:val="0000FF"/>
          <w:sz w:val="32"/>
          <w:szCs w:val="32"/>
        </w:rPr>
      </w:pPr>
    </w:p>
    <w:p w:rsidR="005C3DC2" w:rsidRDefault="005C3DC2" w:rsidP="005C3DC2">
      <w:pPr>
        <w:rPr>
          <w:color w:val="0000FF"/>
          <w:sz w:val="32"/>
          <w:szCs w:val="32"/>
        </w:rPr>
      </w:pPr>
    </w:p>
    <w:p w:rsidR="005C3DC2" w:rsidRDefault="005C3DC2" w:rsidP="005C3DC2">
      <w:pPr>
        <w:rPr>
          <w:color w:val="0000FF"/>
          <w:sz w:val="32"/>
          <w:szCs w:val="32"/>
        </w:rPr>
      </w:pPr>
    </w:p>
    <w:p w:rsidR="005C3DC2" w:rsidRDefault="005C3DC2" w:rsidP="005C3DC2">
      <w:pPr>
        <w:rPr>
          <w:color w:val="0000FF"/>
          <w:sz w:val="32"/>
          <w:szCs w:val="32"/>
        </w:rPr>
      </w:pPr>
    </w:p>
    <w:p w:rsidR="006405E9" w:rsidRDefault="006405E9" w:rsidP="006405E9">
      <w:pPr>
        <w:rPr>
          <w:color w:val="000000"/>
        </w:rPr>
      </w:pPr>
      <w:r>
        <w:rPr>
          <w:color w:val="000000"/>
        </w:rPr>
        <w:t>Sarah E. Morris, Ph.D.</w:t>
      </w:r>
    </w:p>
    <w:p w:rsidR="006405E9" w:rsidRDefault="006405E9" w:rsidP="006405E9">
      <w:pPr>
        <w:rPr>
          <w:color w:val="000000"/>
        </w:rPr>
      </w:pPr>
      <w:r>
        <w:rPr>
          <w:color w:val="000000"/>
        </w:rPr>
        <w:t>Program Officer</w:t>
      </w:r>
    </w:p>
    <w:p w:rsidR="006405E9" w:rsidRDefault="006405E9" w:rsidP="006405E9">
      <w:pPr>
        <w:rPr>
          <w:color w:val="000000"/>
        </w:rPr>
      </w:pPr>
      <w:r>
        <w:rPr>
          <w:color w:val="000000"/>
        </w:rPr>
        <w:t>Schizophrenia Spectrum Disorders Research Program</w:t>
      </w:r>
    </w:p>
    <w:p w:rsidR="006405E9" w:rsidRDefault="006405E9" w:rsidP="006405E9">
      <w:pPr>
        <w:rPr>
          <w:color w:val="000000"/>
        </w:rPr>
      </w:pPr>
      <w:r>
        <w:rPr>
          <w:color w:val="000000"/>
        </w:rPr>
        <w:t>Division of Adult Translational Research</w:t>
      </w:r>
    </w:p>
    <w:p w:rsidR="006405E9" w:rsidRDefault="006405E9" w:rsidP="006405E9">
      <w:pPr>
        <w:rPr>
          <w:color w:val="000000"/>
        </w:rPr>
      </w:pPr>
      <w:r>
        <w:rPr>
          <w:color w:val="000000"/>
        </w:rPr>
        <w:t>National Institute of Mental Health</w:t>
      </w:r>
    </w:p>
    <w:p w:rsidR="006405E9" w:rsidRDefault="006405E9" w:rsidP="006405E9">
      <w:pPr>
        <w:rPr>
          <w:color w:val="000000"/>
        </w:rPr>
      </w:pPr>
      <w:r>
        <w:rPr>
          <w:color w:val="000000"/>
        </w:rPr>
        <w:t xml:space="preserve">6001 Executive Blvd, Room 7122, MSC 9625 </w:t>
      </w:r>
    </w:p>
    <w:p w:rsidR="006405E9" w:rsidRDefault="006405E9" w:rsidP="006405E9">
      <w:pPr>
        <w:rPr>
          <w:color w:val="000000"/>
        </w:rPr>
      </w:pPr>
      <w:r>
        <w:rPr>
          <w:color w:val="000000"/>
        </w:rPr>
        <w:t>Bethesda, MD 20892</w:t>
      </w:r>
    </w:p>
    <w:p w:rsidR="006405E9" w:rsidRDefault="006405E9" w:rsidP="006405E9">
      <w:pPr>
        <w:rPr>
          <w:color w:val="000000"/>
        </w:rPr>
      </w:pPr>
      <w:r>
        <w:rPr>
          <w:color w:val="000000"/>
        </w:rPr>
        <w:t>Ph</w:t>
      </w:r>
      <w:r w:rsidR="001C2C28">
        <w:rPr>
          <w:color w:val="000000"/>
        </w:rPr>
        <w:t>one</w:t>
      </w:r>
      <w:r>
        <w:rPr>
          <w:color w:val="000000"/>
        </w:rPr>
        <w:t>: 301-443-9233</w:t>
      </w:r>
    </w:p>
    <w:p w:rsidR="006405E9" w:rsidRDefault="006405E9" w:rsidP="006405E9">
      <w:pPr>
        <w:rPr>
          <w:color w:val="000000"/>
        </w:rPr>
      </w:pPr>
      <w:r>
        <w:rPr>
          <w:color w:val="000000"/>
        </w:rPr>
        <w:t>Fax: 301-443-4611</w:t>
      </w:r>
    </w:p>
    <w:p w:rsidR="006405E9" w:rsidRDefault="008F5167" w:rsidP="006405E9">
      <w:pPr>
        <w:rPr>
          <w:color w:val="000000"/>
        </w:rPr>
      </w:pPr>
      <w:hyperlink r:id="rId9" w:history="1">
        <w:r w:rsidR="006405E9">
          <w:rPr>
            <w:rStyle w:val="Hyperlink"/>
          </w:rPr>
          <w:t>sarah.morris@nih.gov</w:t>
        </w:r>
      </w:hyperlink>
    </w:p>
    <w:p w:rsidR="005C3DC2" w:rsidRDefault="005C3DC2" w:rsidP="005C3DC2">
      <w:pPr>
        <w:rPr>
          <w:sz w:val="32"/>
          <w:szCs w:val="32"/>
        </w:rPr>
      </w:pPr>
    </w:p>
    <w:p w:rsidR="005C3DC2" w:rsidRDefault="005C3DC2" w:rsidP="005C3DC2">
      <w:pPr>
        <w:rPr>
          <w:sz w:val="32"/>
          <w:szCs w:val="32"/>
        </w:rPr>
      </w:pPr>
    </w:p>
    <w:p w:rsidR="005C3DC2" w:rsidRDefault="005C3DC2" w:rsidP="005C3DC2">
      <w:pPr>
        <w:rPr>
          <w:sz w:val="32"/>
          <w:szCs w:val="32"/>
        </w:rPr>
      </w:pPr>
    </w:p>
    <w:p w:rsidR="00EF5CAC" w:rsidRDefault="00EF5CAC" w:rsidP="00253C78">
      <w:pPr>
        <w:tabs>
          <w:tab w:val="left" w:pos="3510"/>
        </w:tabs>
        <w:jc w:val="center"/>
      </w:pPr>
    </w:p>
    <w:p w:rsidR="00253C78" w:rsidRPr="00C40824" w:rsidRDefault="00253C78" w:rsidP="00253C78">
      <w:pPr>
        <w:tabs>
          <w:tab w:val="left" w:pos="3510"/>
        </w:tabs>
        <w:jc w:val="center"/>
        <w:rPr>
          <w:b/>
          <w:caps/>
        </w:rPr>
      </w:pPr>
      <w:r w:rsidRPr="00C40824">
        <w:rPr>
          <w:b/>
          <w:caps/>
        </w:rPr>
        <w:lastRenderedPageBreak/>
        <w:t>Table of contents</w:t>
      </w:r>
    </w:p>
    <w:p w:rsidR="00253C78" w:rsidRPr="00C40824" w:rsidRDefault="00253C78" w:rsidP="00C40824">
      <w:pPr>
        <w:pStyle w:val="TOC1"/>
      </w:pPr>
      <w:r w:rsidRPr="005B07A6">
        <w:fldChar w:fldCharType="begin"/>
      </w:r>
      <w:r w:rsidRPr="005B07A6">
        <w:instrText xml:space="preserve"> TOC \o "1-2" \u </w:instrText>
      </w:r>
      <w:r w:rsidRPr="005B07A6">
        <w:fldChar w:fldCharType="separate"/>
      </w:r>
      <w:r w:rsidRPr="00C40824">
        <w:t>A.</w:t>
      </w:r>
      <w:r w:rsidRPr="00C40824">
        <w:tab/>
        <w:t>JUSTIFICATION</w:t>
      </w:r>
      <w:r w:rsidRPr="00C40824">
        <w:tab/>
      </w:r>
    </w:p>
    <w:p w:rsidR="00253C78" w:rsidRPr="005B07A6" w:rsidRDefault="00253C78" w:rsidP="00253C78">
      <w:pPr>
        <w:pStyle w:val="TOC2"/>
        <w:rPr>
          <w:noProof/>
          <w:sz w:val="24"/>
          <w:szCs w:val="24"/>
        </w:rPr>
      </w:pPr>
      <w:r w:rsidRPr="005B07A6">
        <w:rPr>
          <w:noProof/>
          <w:sz w:val="24"/>
          <w:szCs w:val="24"/>
        </w:rPr>
        <w:t>A.1</w:t>
      </w:r>
      <w:r w:rsidRPr="005B07A6">
        <w:rPr>
          <w:noProof/>
          <w:sz w:val="24"/>
          <w:szCs w:val="24"/>
        </w:rPr>
        <w:tab/>
        <w:t>Circumstances Making the Collection of Information Necessary</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A.2.</w:t>
      </w:r>
      <w:r w:rsidRPr="005B07A6">
        <w:rPr>
          <w:noProof/>
          <w:sz w:val="24"/>
          <w:szCs w:val="24"/>
        </w:rPr>
        <w:tab/>
        <w:t>Purpose and Use of the Information COLLECTION</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A.3</w:t>
      </w:r>
      <w:r w:rsidRPr="005B07A6">
        <w:rPr>
          <w:noProof/>
          <w:sz w:val="24"/>
          <w:szCs w:val="24"/>
        </w:rPr>
        <w:tab/>
        <w:t>Use of Information Technology and Burden Reduction</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A.4</w:t>
      </w:r>
      <w:r w:rsidRPr="005B07A6">
        <w:rPr>
          <w:noProof/>
          <w:sz w:val="24"/>
          <w:szCs w:val="24"/>
        </w:rPr>
        <w:tab/>
        <w:t>Efforts to Identify Duplication and Use of Similar Information</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A.5</w:t>
      </w:r>
      <w:r w:rsidRPr="005B07A6">
        <w:rPr>
          <w:noProof/>
          <w:sz w:val="24"/>
          <w:szCs w:val="24"/>
        </w:rPr>
        <w:tab/>
        <w:t>Impact on Small Businesses or Other Small Entities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A.6</w:t>
      </w:r>
      <w:r w:rsidRPr="005B07A6">
        <w:rPr>
          <w:noProof/>
          <w:sz w:val="24"/>
          <w:szCs w:val="24"/>
        </w:rPr>
        <w:tab/>
        <w:t>Consequences of Collecting the Information Less Frequently</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A.7</w:t>
      </w:r>
      <w:r w:rsidRPr="005B07A6">
        <w:rPr>
          <w:noProof/>
          <w:sz w:val="24"/>
          <w:szCs w:val="24"/>
        </w:rPr>
        <w:tab/>
        <w:t>Special Circumstances Relating to the Guidelines of 5 CFR 1320.5</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A.8</w:t>
      </w:r>
      <w:r w:rsidRPr="005B07A6">
        <w:rPr>
          <w:noProof/>
          <w:sz w:val="24"/>
          <w:szCs w:val="24"/>
        </w:rPr>
        <w:tab/>
        <w:t>Comments in Response to the Federal Register Notice and Efforts to Consult Outside Agency</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A.9</w:t>
      </w:r>
      <w:r w:rsidRPr="005B07A6">
        <w:rPr>
          <w:noProof/>
          <w:sz w:val="24"/>
          <w:szCs w:val="24"/>
        </w:rPr>
        <w:tab/>
        <w:t>Explanation of Any Payment of Gift to Respondents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A.10</w:t>
      </w:r>
      <w:r w:rsidRPr="005B07A6">
        <w:rPr>
          <w:noProof/>
          <w:sz w:val="24"/>
          <w:szCs w:val="24"/>
        </w:rPr>
        <w:tab/>
        <w:t>Assurance of Confidentiality Provided to Respondents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A.11</w:t>
      </w:r>
      <w:r w:rsidRPr="005B07A6">
        <w:rPr>
          <w:noProof/>
          <w:sz w:val="24"/>
          <w:szCs w:val="24"/>
        </w:rPr>
        <w:tab/>
        <w:t>Justification for Sensitive Questions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A.12</w:t>
      </w:r>
      <w:r w:rsidRPr="005B07A6">
        <w:rPr>
          <w:noProof/>
          <w:sz w:val="24"/>
          <w:szCs w:val="24"/>
        </w:rPr>
        <w:tab/>
        <w:t>Estimates of Hour Burden Including Annualized Hourly Costs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A.13</w:t>
      </w:r>
      <w:r w:rsidRPr="005B07A6">
        <w:rPr>
          <w:noProof/>
          <w:sz w:val="24"/>
          <w:szCs w:val="24"/>
        </w:rPr>
        <w:tab/>
        <w:t>Estimate of Other Total Annual Cost Burden to Respondents or Record</w:t>
      </w:r>
    </w:p>
    <w:p w:rsidR="00253C78" w:rsidRPr="005B07A6" w:rsidRDefault="00253C78" w:rsidP="00253C78">
      <w:pPr>
        <w:pStyle w:val="TOC2"/>
        <w:rPr>
          <w:noProof/>
          <w:sz w:val="24"/>
          <w:szCs w:val="24"/>
        </w:rPr>
      </w:pPr>
      <w:r w:rsidRPr="005B07A6">
        <w:rPr>
          <w:noProof/>
          <w:sz w:val="24"/>
          <w:szCs w:val="24"/>
        </w:rPr>
        <w:tab/>
        <w:t xml:space="preserve"> keepers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A.14</w:t>
      </w:r>
      <w:r w:rsidRPr="005B07A6">
        <w:rPr>
          <w:noProof/>
          <w:sz w:val="24"/>
          <w:szCs w:val="24"/>
        </w:rPr>
        <w:tab/>
        <w:t>Annualized Cost to the Federal Government</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A.15</w:t>
      </w:r>
      <w:r w:rsidRPr="005B07A6">
        <w:rPr>
          <w:noProof/>
          <w:sz w:val="24"/>
          <w:szCs w:val="24"/>
        </w:rPr>
        <w:tab/>
        <w:t>Explanation for Program Changes or Adjustments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A.16</w:t>
      </w:r>
      <w:r w:rsidRPr="005B07A6">
        <w:rPr>
          <w:noProof/>
          <w:sz w:val="24"/>
          <w:szCs w:val="24"/>
        </w:rPr>
        <w:tab/>
        <w:t>Plans for Tabulation and Publication and Project Time Schedule</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A.17</w:t>
      </w:r>
      <w:r w:rsidRPr="005B07A6">
        <w:rPr>
          <w:noProof/>
          <w:sz w:val="24"/>
          <w:szCs w:val="24"/>
        </w:rPr>
        <w:tab/>
        <w:t>Reason(s) Display of OMB Expiration Date is Inappropriate</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A.18</w:t>
      </w:r>
      <w:r w:rsidRPr="005B07A6">
        <w:rPr>
          <w:noProof/>
          <w:sz w:val="24"/>
          <w:szCs w:val="24"/>
        </w:rPr>
        <w:tab/>
        <w:t>Exceptions to Certification for Paperwork Reduction Act Submissions</w:t>
      </w:r>
      <w:r w:rsidRPr="005B07A6">
        <w:rPr>
          <w:noProof/>
          <w:sz w:val="24"/>
          <w:szCs w:val="24"/>
        </w:rPr>
        <w:tab/>
      </w:r>
    </w:p>
    <w:p w:rsidR="005C3DC2" w:rsidRDefault="00253C78" w:rsidP="00253C78">
      <w:pPr>
        <w:rPr>
          <w:caps/>
          <w:noProof/>
        </w:rPr>
      </w:pPr>
      <w:r w:rsidRPr="005B07A6">
        <w:rPr>
          <w:caps/>
          <w:noProof/>
        </w:rPr>
        <w:fldChar w:fldCharType="end"/>
      </w:r>
    </w:p>
    <w:p w:rsidR="00680E77" w:rsidRDefault="00680E77" w:rsidP="00253C78">
      <w:pPr>
        <w:rPr>
          <w:caps/>
          <w:noProof/>
        </w:rPr>
      </w:pPr>
    </w:p>
    <w:p w:rsidR="00680E77" w:rsidRDefault="00680E77" w:rsidP="00253C78">
      <w:pPr>
        <w:rPr>
          <w:caps/>
          <w:noProof/>
        </w:rPr>
      </w:pPr>
    </w:p>
    <w:p w:rsidR="00680E77" w:rsidRDefault="00680E77" w:rsidP="00253C78">
      <w:pPr>
        <w:rPr>
          <w:caps/>
          <w:noProof/>
        </w:rPr>
      </w:pPr>
    </w:p>
    <w:p w:rsidR="00680E77" w:rsidRDefault="00680E77" w:rsidP="00253C78">
      <w:pPr>
        <w:rPr>
          <w:caps/>
          <w:noProof/>
        </w:rPr>
      </w:pPr>
    </w:p>
    <w:p w:rsidR="00680E77" w:rsidRDefault="00680E77" w:rsidP="00253C78">
      <w:pPr>
        <w:rPr>
          <w:caps/>
          <w:noProof/>
        </w:rPr>
      </w:pPr>
    </w:p>
    <w:p w:rsidR="00680E77" w:rsidRDefault="00680E77" w:rsidP="00253C78">
      <w:pPr>
        <w:rPr>
          <w:caps/>
          <w:noProof/>
        </w:rPr>
      </w:pPr>
    </w:p>
    <w:p w:rsidR="00680E77" w:rsidRDefault="00680E77" w:rsidP="00253C78">
      <w:pPr>
        <w:rPr>
          <w:caps/>
          <w:noProof/>
        </w:rPr>
      </w:pPr>
    </w:p>
    <w:p w:rsidR="00680E77" w:rsidRDefault="00680E77" w:rsidP="00253C78">
      <w:pPr>
        <w:rPr>
          <w:caps/>
          <w:noProof/>
        </w:rPr>
      </w:pPr>
    </w:p>
    <w:p w:rsidR="00B03572" w:rsidRDefault="008B3519" w:rsidP="000203F5">
      <w:pPr>
        <w:jc w:val="center"/>
        <w:rPr>
          <w:b/>
        </w:rPr>
      </w:pPr>
      <w:r>
        <w:rPr>
          <w:b/>
        </w:rPr>
        <w:br w:type="page"/>
      </w:r>
    </w:p>
    <w:p w:rsidR="000203F5" w:rsidRDefault="000203F5" w:rsidP="000203F5">
      <w:pPr>
        <w:jc w:val="center"/>
        <w:rPr>
          <w:b/>
          <w:caps/>
        </w:rPr>
      </w:pPr>
      <w:r w:rsidRPr="000203F5">
        <w:rPr>
          <w:b/>
          <w:caps/>
        </w:rPr>
        <w:lastRenderedPageBreak/>
        <w:t>List of Attachments</w:t>
      </w:r>
    </w:p>
    <w:p w:rsidR="00B03572" w:rsidRDefault="00B03572" w:rsidP="00B03572">
      <w:pPr>
        <w:spacing w:line="480" w:lineRule="auto"/>
        <w:ind w:left="360"/>
        <w:rPr>
          <w:b/>
          <w:caps/>
        </w:rPr>
      </w:pPr>
    </w:p>
    <w:p w:rsidR="00B03572" w:rsidRPr="00B03572" w:rsidRDefault="00B03572" w:rsidP="00B03572">
      <w:pPr>
        <w:pStyle w:val="ListParagraph"/>
        <w:numPr>
          <w:ilvl w:val="0"/>
          <w:numId w:val="4"/>
        </w:numPr>
        <w:spacing w:line="480" w:lineRule="auto"/>
        <w:rPr>
          <w:b/>
        </w:rPr>
      </w:pPr>
      <w:r w:rsidRPr="00433488">
        <w:t>Attachment 1:</w:t>
      </w:r>
      <w:r w:rsidRPr="00B03572">
        <w:rPr>
          <w:b/>
        </w:rPr>
        <w:t xml:space="preserve"> </w:t>
      </w:r>
      <w:r w:rsidR="00526A30">
        <w:rPr>
          <w:lang w:val="en"/>
        </w:rPr>
        <w:t>Cognitive Remediation Experts Workshop (CREW) Member</w:t>
      </w:r>
    </w:p>
    <w:p w:rsidR="00B03572" w:rsidRPr="00C813FE" w:rsidRDefault="00B03572" w:rsidP="00B03572">
      <w:pPr>
        <w:pStyle w:val="ListParagraph"/>
        <w:numPr>
          <w:ilvl w:val="0"/>
          <w:numId w:val="4"/>
        </w:numPr>
        <w:spacing w:line="480" w:lineRule="auto"/>
        <w:rPr>
          <w:b/>
        </w:rPr>
      </w:pPr>
      <w:r w:rsidRPr="00433488">
        <w:t xml:space="preserve">Attachment 2: </w:t>
      </w:r>
      <w:r w:rsidR="00A2044C" w:rsidRPr="00433488">
        <w:t>Experts</w:t>
      </w:r>
      <w:r w:rsidR="00A2044C">
        <w:t xml:space="preserve"> in CR for schizophrenia</w:t>
      </w:r>
    </w:p>
    <w:p w:rsidR="00C813FE" w:rsidRDefault="00C813FE" w:rsidP="00B03572">
      <w:pPr>
        <w:pStyle w:val="ListParagraph"/>
        <w:numPr>
          <w:ilvl w:val="0"/>
          <w:numId w:val="4"/>
        </w:numPr>
        <w:spacing w:line="480" w:lineRule="auto"/>
        <w:rPr>
          <w:b/>
        </w:rPr>
      </w:pPr>
      <w:r>
        <w:t>Attachment 3: Data Submission Agreement</w:t>
      </w:r>
    </w:p>
    <w:p w:rsidR="00B03572" w:rsidRPr="00433488" w:rsidRDefault="000203F5" w:rsidP="00433488">
      <w:pPr>
        <w:spacing w:line="480" w:lineRule="auto"/>
        <w:rPr>
          <w:b/>
        </w:rPr>
      </w:pPr>
      <w:r w:rsidRPr="00433488">
        <w:rPr>
          <w:b/>
          <w:caps/>
        </w:rPr>
        <w:br w:type="page"/>
      </w:r>
    </w:p>
    <w:p w:rsidR="00BF4042" w:rsidRPr="00C37610" w:rsidRDefault="00BF4042" w:rsidP="00BF4042">
      <w:pPr>
        <w:pStyle w:val="P1-StandPara"/>
        <w:tabs>
          <w:tab w:val="left" w:pos="720"/>
          <w:tab w:val="right" w:leader="dot" w:pos="9504"/>
        </w:tabs>
        <w:spacing w:before="120" w:after="120"/>
        <w:ind w:firstLine="0"/>
        <w:rPr>
          <w:b/>
          <w:sz w:val="24"/>
          <w:szCs w:val="24"/>
        </w:rPr>
      </w:pPr>
      <w:r w:rsidRPr="00C37610">
        <w:rPr>
          <w:b/>
          <w:sz w:val="24"/>
          <w:szCs w:val="24"/>
        </w:rPr>
        <w:lastRenderedPageBreak/>
        <w:t>A.1</w:t>
      </w:r>
      <w:r w:rsidRPr="00C37610">
        <w:rPr>
          <w:b/>
          <w:sz w:val="24"/>
          <w:szCs w:val="24"/>
        </w:rPr>
        <w:tab/>
        <w:t>Circumstances Making the Collection of Information Necessary</w:t>
      </w:r>
    </w:p>
    <w:p w:rsidR="00833789" w:rsidRDefault="00833789" w:rsidP="00BF4042">
      <w:r>
        <w:t xml:space="preserve">In the last decade, the National Institute of Mental Health (NIMH) has funded more than fifteen studies of cognitive remediation </w:t>
      </w:r>
      <w:r w:rsidR="0031109A">
        <w:t xml:space="preserve">(CR) </w:t>
      </w:r>
      <w:r>
        <w:t>in schizophrenia. There has been a great deal of variability among these projects with regard to the specific type of intervention used, the age and degree of cognitive impairment of the patients, the length of the treatment and follow-up period</w:t>
      </w:r>
      <w:r w:rsidRPr="00833789">
        <w:t xml:space="preserve"> </w:t>
      </w:r>
      <w:r>
        <w:t xml:space="preserve">and the types of measures used to assess proximal and distal outcomes. The results of these studies have been mixed, with some showing promise for improving cognition and functioning and others showing no improvement beyond the tasks used in the training. </w:t>
      </w:r>
      <w:r w:rsidR="00B04F4D">
        <w:t xml:space="preserve">Due to the importance of cognition as a treatment target in schizophrenia and the appeal of non-pharmacological, computerized interventions with the potential for widespread implementation, this remains a very active area of research. </w:t>
      </w:r>
    </w:p>
    <w:p w:rsidR="00B04F4D" w:rsidRDefault="00B04F4D" w:rsidP="00BF4042"/>
    <w:p w:rsidR="004B1B2C" w:rsidRDefault="0031109A" w:rsidP="004B1B2C">
      <w:r>
        <w:t>As the largest funder of research on CR in schizophrenia, i</w:t>
      </w:r>
      <w:r w:rsidR="004B1B2C">
        <w:t xml:space="preserve">n order to maximize the informational return on its research investment and increase the public benefit derived from existing studies, NIMH is interested in compiling and curating an integrated database that includes study- and subject-level data from studies of cognitive remediation in schizophrenia (regardless of funding source). The Database of Cognitive Training and Remediation </w:t>
      </w:r>
      <w:r w:rsidR="009418F5">
        <w:t xml:space="preserve">Studies </w:t>
      </w:r>
      <w:r w:rsidR="004B1B2C">
        <w:t xml:space="preserve">(DCTRS) would provide a repository for investigators who want to share their data. The integrated database would allow NIMH staff and approved investigators to test novel hypotheses about patient characteristics and treatment features that are associated with optimal treatment outcomes using existing rather than investing in new data collection efforts. </w:t>
      </w:r>
    </w:p>
    <w:p w:rsidR="004B1B2C" w:rsidRDefault="004B1B2C" w:rsidP="004B1B2C"/>
    <w:p w:rsidR="004B1B2C" w:rsidRDefault="00AD4308" w:rsidP="004B1B2C">
      <w:r>
        <w:t>P</w:t>
      </w:r>
      <w:r w:rsidR="004B1B2C">
        <w:t xml:space="preserve">ublished cognitive remediation studies </w:t>
      </w:r>
      <w:r>
        <w:t xml:space="preserve">typically </w:t>
      </w:r>
      <w:r w:rsidR="004B1B2C">
        <w:t>include a modest number of subjects (</w:t>
      </w:r>
      <w:r w:rsidR="00A344F5">
        <w:t>approximately 60</w:t>
      </w:r>
      <w:r w:rsidR="0031109A">
        <w:t xml:space="preserve"> per study</w:t>
      </w:r>
      <w:r w:rsidR="00A344F5">
        <w:t>). Combining data into an integrated database would allow greater statistical power to detect treatment effects, moderating variables, and individual differences that might be important for targeting treatment or for the development of new treatments. It would also allow direct comparisons of different types of cognitive remediation approaches.</w:t>
      </w:r>
      <w:r w:rsidR="0000732D">
        <w:t xml:space="preserve"> Taken together, these types of analyses on an integrated database will provide rapid answers which will advance science in this area and will help NIMH to be more strategic in its funding of future studies of cognitive remediation in schizophrenia.</w:t>
      </w:r>
    </w:p>
    <w:p w:rsidR="004B1B2C" w:rsidRDefault="004B1B2C" w:rsidP="004B1B2C"/>
    <w:p w:rsidR="004645B4" w:rsidRDefault="00CC42A6" w:rsidP="00CF10B4">
      <w:r>
        <w:t>The information to be collected will include details about the study and intervention</w:t>
      </w:r>
      <w:r w:rsidR="008A4023">
        <w:t>,</w:t>
      </w:r>
      <w:r>
        <w:t xml:space="preserve"> and subject-level data from assessments (e.g., of cognition, symptoms, everyday functioning) conducted during the study (see section A.2. for detail).</w:t>
      </w:r>
    </w:p>
    <w:p w:rsidR="00CC42A6" w:rsidRDefault="00CC42A6" w:rsidP="00CF10B4"/>
    <w:p w:rsidR="0031109A" w:rsidRDefault="0031109A" w:rsidP="007B2FDB">
      <w:pPr>
        <w:pStyle w:val="BodyText"/>
        <w:tabs>
          <w:tab w:val="left" w:pos="434"/>
        </w:tabs>
        <w:ind w:left="0"/>
        <w:rPr>
          <w:rFonts w:ascii="Times New Roman" w:hAnsi="Times New Roman"/>
          <w:sz w:val="24"/>
          <w:szCs w:val="24"/>
        </w:rPr>
      </w:pPr>
      <w:r>
        <w:rPr>
          <w:rFonts w:ascii="Times New Roman" w:hAnsi="Times New Roman"/>
          <w:sz w:val="24"/>
          <w:szCs w:val="24"/>
        </w:rPr>
        <w:t xml:space="preserve">Because some of the interventions are published by their developers for commercial purposes and some of the investigators are pursuing FDA approval for their interventions, there is reluctance among this scientific community to share data directly with each other. NIMH, however, is </w:t>
      </w:r>
      <w:r w:rsidR="00DC2A20">
        <w:rPr>
          <w:rFonts w:ascii="Times New Roman" w:hAnsi="Times New Roman"/>
          <w:sz w:val="24"/>
          <w:szCs w:val="24"/>
        </w:rPr>
        <w:t xml:space="preserve">in </w:t>
      </w:r>
      <w:r>
        <w:rPr>
          <w:rFonts w:ascii="Times New Roman" w:hAnsi="Times New Roman"/>
          <w:sz w:val="24"/>
          <w:szCs w:val="24"/>
        </w:rPr>
        <w:t>a position to serve as a neutral repository. It is unlikely that any individual investigator could compile this data and to develop this valuable scientific resource to the community.</w:t>
      </w:r>
    </w:p>
    <w:p w:rsidR="0031109A" w:rsidRDefault="0031109A" w:rsidP="007B2FDB">
      <w:pPr>
        <w:pStyle w:val="BodyText"/>
        <w:tabs>
          <w:tab w:val="left" w:pos="434"/>
        </w:tabs>
        <w:ind w:left="0"/>
        <w:rPr>
          <w:rFonts w:ascii="Times New Roman" w:hAnsi="Times New Roman"/>
          <w:sz w:val="24"/>
          <w:szCs w:val="24"/>
        </w:rPr>
      </w:pPr>
    </w:p>
    <w:p w:rsidR="007B2FDB" w:rsidRPr="00B53CDA" w:rsidRDefault="007B2FDB" w:rsidP="007B2FDB">
      <w:pPr>
        <w:pStyle w:val="BodyText"/>
        <w:tabs>
          <w:tab w:val="left" w:pos="434"/>
        </w:tabs>
        <w:ind w:left="0"/>
        <w:rPr>
          <w:rFonts w:ascii="Times New Roman" w:hAnsi="Times New Roman"/>
          <w:sz w:val="24"/>
          <w:szCs w:val="24"/>
        </w:rPr>
      </w:pPr>
      <w:r>
        <w:rPr>
          <w:rFonts w:ascii="Times New Roman" w:hAnsi="Times New Roman"/>
          <w:sz w:val="24"/>
          <w:szCs w:val="24"/>
        </w:rPr>
        <w:lastRenderedPageBreak/>
        <w:t>I</w:t>
      </w:r>
      <w:r w:rsidRPr="00B53CDA">
        <w:rPr>
          <w:rFonts w:ascii="Times New Roman" w:hAnsi="Times New Roman"/>
          <w:sz w:val="24"/>
          <w:szCs w:val="24"/>
        </w:rPr>
        <w:t xml:space="preserve">nformation collected from the </w:t>
      </w:r>
      <w:r>
        <w:rPr>
          <w:rFonts w:ascii="Times New Roman" w:hAnsi="Times New Roman"/>
          <w:sz w:val="24"/>
          <w:szCs w:val="24"/>
        </w:rPr>
        <w:t xml:space="preserve">individuals submitting data to the database, </w:t>
      </w:r>
      <w:r w:rsidRPr="00B53CDA">
        <w:rPr>
          <w:rFonts w:ascii="Times New Roman" w:hAnsi="Times New Roman"/>
          <w:sz w:val="24"/>
          <w:szCs w:val="24"/>
        </w:rPr>
        <w:t>as part of</w:t>
      </w:r>
      <w:r w:rsidRPr="00B53CDA">
        <w:rPr>
          <w:rFonts w:ascii="Times New Roman" w:hAnsi="Times New Roman"/>
          <w:w w:val="99"/>
          <w:sz w:val="24"/>
          <w:szCs w:val="24"/>
        </w:rPr>
        <w:t xml:space="preserve"> </w:t>
      </w:r>
      <w:r w:rsidRPr="00B53CDA">
        <w:rPr>
          <w:rFonts w:ascii="Times New Roman" w:hAnsi="Times New Roman"/>
          <w:sz w:val="24"/>
          <w:szCs w:val="24"/>
        </w:rPr>
        <w:t xml:space="preserve">the </w:t>
      </w:r>
      <w:r>
        <w:rPr>
          <w:rFonts w:ascii="Times New Roman" w:hAnsi="Times New Roman"/>
          <w:sz w:val="24"/>
          <w:szCs w:val="24"/>
        </w:rPr>
        <w:t xml:space="preserve">submission agreement </w:t>
      </w:r>
      <w:r w:rsidRPr="00B53CDA">
        <w:rPr>
          <w:rFonts w:ascii="Times New Roman" w:hAnsi="Times New Roman"/>
          <w:sz w:val="24"/>
          <w:szCs w:val="24"/>
        </w:rPr>
        <w:t>and submission certification, may be made public in part or in whole for tracking and reporting</w:t>
      </w:r>
      <w:r w:rsidRPr="00B53CDA">
        <w:rPr>
          <w:rFonts w:ascii="Times New Roman" w:hAnsi="Times New Roman"/>
          <w:w w:val="99"/>
          <w:sz w:val="24"/>
          <w:szCs w:val="24"/>
        </w:rPr>
        <w:t xml:space="preserve"> </w:t>
      </w:r>
      <w:r w:rsidRPr="00B53CDA">
        <w:rPr>
          <w:rFonts w:ascii="Times New Roman" w:hAnsi="Times New Roman"/>
          <w:sz w:val="24"/>
          <w:szCs w:val="24"/>
        </w:rPr>
        <w:t xml:space="preserve">purposes. This Privacy Act Notification is provided pursuant to Public Law 93-579, Privacy Act of 1974, </w:t>
      </w:r>
      <w:proofErr w:type="gramStart"/>
      <w:r w:rsidRPr="00B53CDA">
        <w:rPr>
          <w:rFonts w:ascii="Times New Roman" w:hAnsi="Times New Roman"/>
          <w:sz w:val="24"/>
          <w:szCs w:val="24"/>
        </w:rPr>
        <w:t>5</w:t>
      </w:r>
      <w:proofErr w:type="gramEnd"/>
      <w:r w:rsidRPr="00B53CDA">
        <w:rPr>
          <w:rFonts w:ascii="Times New Roman" w:hAnsi="Times New Roman"/>
          <w:sz w:val="24"/>
          <w:szCs w:val="24"/>
        </w:rPr>
        <w:t xml:space="preserve"> </w:t>
      </w:r>
      <w:r w:rsidRPr="00B53CDA">
        <w:rPr>
          <w:rFonts w:ascii="Times New Roman" w:hAnsi="Times New Roman"/>
          <w:sz w:val="24"/>
          <w:szCs w:val="24"/>
          <w:u w:color="000000"/>
        </w:rPr>
        <w:t xml:space="preserve">U.S.C. </w:t>
      </w:r>
      <w:r w:rsidRPr="00B53CDA">
        <w:rPr>
          <w:rFonts w:ascii="Times New Roman" w:hAnsi="Times New Roman"/>
          <w:sz w:val="24"/>
          <w:szCs w:val="24"/>
        </w:rPr>
        <w:t>Section</w:t>
      </w:r>
      <w:r w:rsidRPr="00B53CDA">
        <w:rPr>
          <w:rFonts w:ascii="Times New Roman" w:hAnsi="Times New Roman"/>
          <w:sz w:val="24"/>
          <w:szCs w:val="24"/>
          <w:u w:color="000000"/>
        </w:rPr>
        <w:t xml:space="preserve"> 552a. Aut</w:t>
      </w:r>
      <w:r w:rsidRPr="00B53CDA">
        <w:rPr>
          <w:rFonts w:ascii="Times New Roman" w:hAnsi="Times New Roman"/>
          <w:sz w:val="24"/>
          <w:szCs w:val="24"/>
        </w:rPr>
        <w:t>hority for the collection of the information requested below from the submitter</w:t>
      </w:r>
      <w:r w:rsidRPr="00B53CDA">
        <w:rPr>
          <w:rFonts w:ascii="Times New Roman" w:hAnsi="Times New Roman"/>
          <w:w w:val="99"/>
          <w:sz w:val="24"/>
          <w:szCs w:val="24"/>
        </w:rPr>
        <w:t xml:space="preserve"> c</w:t>
      </w:r>
      <w:r w:rsidRPr="00B53CDA">
        <w:rPr>
          <w:rFonts w:ascii="Times New Roman" w:hAnsi="Times New Roman"/>
          <w:sz w:val="24"/>
          <w:szCs w:val="24"/>
        </w:rPr>
        <w:t>omes from the authorities regarding the establishment of the National Institutes of Health, its genera</w:t>
      </w:r>
      <w:r w:rsidRPr="00B53CDA">
        <w:rPr>
          <w:rFonts w:ascii="Times New Roman" w:hAnsi="Times New Roman"/>
          <w:w w:val="99"/>
          <w:sz w:val="24"/>
          <w:szCs w:val="24"/>
        </w:rPr>
        <w:t xml:space="preserve">l </w:t>
      </w:r>
      <w:r w:rsidRPr="00B53CDA">
        <w:rPr>
          <w:rFonts w:ascii="Times New Roman" w:hAnsi="Times New Roman"/>
          <w:sz w:val="24"/>
          <w:szCs w:val="24"/>
        </w:rPr>
        <w:t>authority to conduct and fund research and to provide training assistance, and its general authority to</w:t>
      </w:r>
      <w:r w:rsidRPr="00B53CDA">
        <w:rPr>
          <w:rFonts w:ascii="Times New Roman" w:hAnsi="Times New Roman"/>
          <w:w w:val="99"/>
          <w:sz w:val="24"/>
          <w:szCs w:val="24"/>
        </w:rPr>
        <w:t xml:space="preserve"> </w:t>
      </w:r>
      <w:r w:rsidRPr="00B53CDA">
        <w:rPr>
          <w:rFonts w:ascii="Times New Roman" w:hAnsi="Times New Roman"/>
          <w:sz w:val="24"/>
          <w:szCs w:val="24"/>
        </w:rPr>
        <w:t>ma</w:t>
      </w:r>
      <w:r w:rsidRPr="00B53CDA">
        <w:rPr>
          <w:rFonts w:ascii="Times New Roman" w:hAnsi="Times New Roman"/>
          <w:sz w:val="24"/>
          <w:szCs w:val="24"/>
          <w:u w:color="000000"/>
        </w:rPr>
        <w:t>intain records in connec</w:t>
      </w:r>
      <w:r w:rsidRPr="00B53CDA">
        <w:rPr>
          <w:rFonts w:ascii="Times New Roman" w:hAnsi="Times New Roman"/>
          <w:sz w:val="24"/>
          <w:szCs w:val="24"/>
        </w:rPr>
        <w:t>tion with these and its other functions (42 U.S.C. 203, 241, 289l-1 and 44 U.S.</w:t>
      </w:r>
      <w:r w:rsidRPr="00B53CDA">
        <w:rPr>
          <w:rFonts w:ascii="Times New Roman" w:hAnsi="Times New Roman"/>
          <w:w w:val="99"/>
          <w:sz w:val="24"/>
          <w:szCs w:val="24"/>
        </w:rPr>
        <w:t>C.</w:t>
      </w:r>
      <w:r w:rsidRPr="00B53CDA">
        <w:rPr>
          <w:rFonts w:ascii="Times New Roman" w:hAnsi="Times New Roman"/>
          <w:sz w:val="24"/>
          <w:szCs w:val="24"/>
        </w:rPr>
        <w:t xml:space="preserve"> 3101), and Section 301 and 493 of the Public Health Service Act. These records will be</w:t>
      </w:r>
      <w:r w:rsidRPr="00B53CDA">
        <w:rPr>
          <w:rFonts w:ascii="Times New Roman" w:hAnsi="Times New Roman"/>
          <w:w w:val="99"/>
          <w:sz w:val="24"/>
          <w:szCs w:val="24"/>
        </w:rPr>
        <w:t xml:space="preserve"> </w:t>
      </w:r>
      <w:r w:rsidRPr="00B53CDA">
        <w:rPr>
          <w:rFonts w:ascii="Times New Roman" w:hAnsi="Times New Roman"/>
          <w:sz w:val="24"/>
          <w:szCs w:val="24"/>
        </w:rPr>
        <w:t xml:space="preserve">maintained in </w:t>
      </w:r>
      <w:r w:rsidRPr="00B53CDA">
        <w:rPr>
          <w:rFonts w:ascii="Times New Roman" w:hAnsi="Times New Roman"/>
          <w:w w:val="99"/>
          <w:sz w:val="24"/>
          <w:szCs w:val="24"/>
        </w:rPr>
        <w:t>ac</w:t>
      </w:r>
      <w:r w:rsidRPr="00B53CDA">
        <w:rPr>
          <w:rFonts w:ascii="Times New Roman" w:hAnsi="Times New Roman"/>
          <w:sz w:val="24"/>
          <w:szCs w:val="24"/>
        </w:rPr>
        <w:t xml:space="preserve">cordance with the Privacy Act System of Record Notice 09-25-0200 </w:t>
      </w:r>
      <w:r w:rsidRPr="00B53CDA">
        <w:rPr>
          <w:rFonts w:ascii="Times New Roman" w:hAnsi="Times New Roman"/>
          <w:color w:val="0000FF"/>
          <w:sz w:val="24"/>
          <w:szCs w:val="24"/>
          <w:u w:color="0000FF"/>
        </w:rPr>
        <w:t>(</w:t>
      </w:r>
      <w:hyperlink r:id="rId10" w:history="1">
        <w:r w:rsidRPr="00B53CDA">
          <w:rPr>
            <w:rStyle w:val="Hyperlink"/>
            <w:rFonts w:ascii="Times New Roman" w:hAnsi="Times New Roman"/>
            <w:sz w:val="24"/>
            <w:szCs w:val="24"/>
            <w:u w:color="0000FF"/>
          </w:rPr>
          <w:t>http://oma.od.nih.gov/ms/privacy/pa-files/0200.htm</w:t>
        </w:r>
      </w:hyperlink>
      <w:r w:rsidRPr="00B53CDA">
        <w:rPr>
          <w:rFonts w:ascii="Times New Roman" w:hAnsi="Times New Roman"/>
          <w:color w:val="000000"/>
          <w:sz w:val="24"/>
          <w:szCs w:val="24"/>
        </w:rPr>
        <w:t xml:space="preserve">) covering “Clinical, Basic and Population-based </w:t>
      </w:r>
      <w:r w:rsidRPr="00B53CDA">
        <w:rPr>
          <w:rFonts w:ascii="Times New Roman" w:hAnsi="Times New Roman"/>
          <w:sz w:val="24"/>
          <w:szCs w:val="24"/>
        </w:rPr>
        <w:t xml:space="preserve">Research Studies of the National Institutes of Health (NIH), HHS/NIH/OD.” </w:t>
      </w:r>
      <w:r>
        <w:rPr>
          <w:rFonts w:ascii="Times New Roman" w:hAnsi="Times New Roman"/>
          <w:sz w:val="24"/>
          <w:szCs w:val="24"/>
        </w:rPr>
        <w:t>The NIH System of Record Notice was previously published in the Federal register on</w:t>
      </w:r>
      <w:r w:rsidR="006E3614">
        <w:rPr>
          <w:rFonts w:ascii="Times New Roman" w:hAnsi="Times New Roman"/>
          <w:sz w:val="24"/>
          <w:szCs w:val="24"/>
        </w:rPr>
        <w:t xml:space="preserve"> September 26, 2002, Vol 67, No 187.</w:t>
      </w:r>
      <w:r>
        <w:rPr>
          <w:rFonts w:ascii="Times New Roman" w:hAnsi="Times New Roman"/>
          <w:sz w:val="24"/>
          <w:szCs w:val="24"/>
        </w:rPr>
        <w:t xml:space="preserve"> </w:t>
      </w:r>
      <w:r w:rsidR="006E3614">
        <w:rPr>
          <w:rFonts w:ascii="Times New Roman" w:hAnsi="Times New Roman"/>
          <w:sz w:val="24"/>
          <w:szCs w:val="24"/>
        </w:rPr>
        <w:t>(</w:t>
      </w:r>
      <w:r w:rsidR="006E3614" w:rsidRPr="006E3614">
        <w:rPr>
          <w:rFonts w:ascii="Times New Roman" w:hAnsi="Times New Roman"/>
          <w:sz w:val="24"/>
          <w:szCs w:val="24"/>
        </w:rPr>
        <w:t>http://www.gpo.gov/fdsys/pkg/FR-2002-09-26/pdf/02-23965.pdf</w:t>
      </w:r>
      <w:r w:rsidR="006E3614">
        <w:rPr>
          <w:rFonts w:ascii="Times New Roman" w:hAnsi="Times New Roman"/>
          <w:sz w:val="24"/>
          <w:szCs w:val="24"/>
        </w:rPr>
        <w:t>).</w:t>
      </w:r>
    </w:p>
    <w:p w:rsidR="00BF4042" w:rsidRPr="00041715" w:rsidRDefault="00BF4042" w:rsidP="00BF4042"/>
    <w:p w:rsidR="006E557B" w:rsidRPr="00D61E21" w:rsidRDefault="006E557B" w:rsidP="006E557B">
      <w:pPr>
        <w:pStyle w:val="Heading2"/>
        <w:spacing w:after="0" w:line="480" w:lineRule="auto"/>
        <w:ind w:left="0" w:firstLine="0"/>
        <w:rPr>
          <w:sz w:val="24"/>
          <w:szCs w:val="24"/>
        </w:rPr>
      </w:pPr>
      <w:bookmarkStart w:id="0" w:name="_Toc443881743"/>
      <w:bookmarkStart w:id="1" w:name="_Toc451592232"/>
      <w:bookmarkStart w:id="2" w:name="_Toc5610273"/>
      <w:bookmarkStart w:id="3" w:name="_Toc99178779"/>
      <w:r>
        <w:rPr>
          <w:sz w:val="24"/>
          <w:szCs w:val="24"/>
        </w:rPr>
        <w:t xml:space="preserve">A.2    </w:t>
      </w:r>
      <w:r w:rsidRPr="00D61E21">
        <w:rPr>
          <w:sz w:val="24"/>
          <w:szCs w:val="24"/>
        </w:rPr>
        <w:t>Purpose and Use of the Information</w:t>
      </w:r>
      <w:bookmarkEnd w:id="0"/>
      <w:bookmarkEnd w:id="1"/>
      <w:bookmarkEnd w:id="2"/>
      <w:bookmarkEnd w:id="3"/>
      <w:r w:rsidRPr="00D61E21">
        <w:rPr>
          <w:sz w:val="24"/>
          <w:szCs w:val="24"/>
        </w:rPr>
        <w:t xml:space="preserve"> Collection</w:t>
      </w:r>
    </w:p>
    <w:p w:rsidR="00CF4B66" w:rsidRDefault="00CF4B66" w:rsidP="00CF4B66">
      <w:r>
        <w:t xml:space="preserve">The information in the database would include both subject-level and study-level data. Subject-level data would consist of the following: ratings of symptom severity and </w:t>
      </w:r>
      <w:r w:rsidR="00CC42A6">
        <w:t>everyday</w:t>
      </w:r>
      <w:r>
        <w:t xml:space="preserve"> functioning, scores on cognitive measures, medication type and dose, information about treatment and illness history (e.g., age at first hospitalization for psychiatric illness, number of psychiatric hospitalizations), number of treatment sessions completed, and demographic information about participants (age, gender, race/ethnicity, marital status) and participant’s parents (education level). Study-level information would include the </w:t>
      </w:r>
      <w:r w:rsidR="00EB0B04">
        <w:t xml:space="preserve">principal investigator’s </w:t>
      </w:r>
      <w:r>
        <w:t>name</w:t>
      </w:r>
      <w:r w:rsidR="00EB0B04">
        <w:t>, email address, phone number</w:t>
      </w:r>
      <w:r w:rsidR="001C7C54">
        <w:t xml:space="preserve">, </w:t>
      </w:r>
      <w:r w:rsidR="00EB0B04">
        <w:t>institution</w:t>
      </w:r>
      <w:r w:rsidR="001C7C54">
        <w:t xml:space="preserve"> and F</w:t>
      </w:r>
      <w:r w:rsidR="008A4023">
        <w:t>ederal</w:t>
      </w:r>
      <w:r w:rsidR="003220D9">
        <w:t>-</w:t>
      </w:r>
      <w:r w:rsidR="008A4023">
        <w:t xml:space="preserve">wide </w:t>
      </w:r>
      <w:r w:rsidR="001C7C54">
        <w:t>A</w:t>
      </w:r>
      <w:r w:rsidR="008A4023">
        <w:t>ssurance</w:t>
      </w:r>
      <w:r w:rsidR="001C7C54">
        <w:t xml:space="preserve"> number</w:t>
      </w:r>
      <w:r w:rsidR="00EB0B04">
        <w:t>; the</w:t>
      </w:r>
      <w:r>
        <w:t xml:space="preserve"> start and end dates of the study, </w:t>
      </w:r>
      <w:r w:rsidR="001C7C54">
        <w:t xml:space="preserve">Certificate of Confidentiality status, </w:t>
      </w:r>
      <w:r>
        <w:t>type and duration of treatment, the treatment targets, information about the individuals who administered the intervention and assessments (i.e., employed by the study or by the clinical setting, degree of training), procedures for randomizing assig</w:t>
      </w:r>
      <w:r w:rsidR="00EB0B04">
        <w:t xml:space="preserve">nment and blinding assessments, subject payment information, </w:t>
      </w:r>
      <w:r>
        <w:t xml:space="preserve">eligibility criteria, types of assessment administered and the schedule of administration and information about publications reporting the results of the study. </w:t>
      </w:r>
    </w:p>
    <w:p w:rsidR="005A3688" w:rsidRDefault="005A3688" w:rsidP="00CF4B66"/>
    <w:p w:rsidR="00182331" w:rsidRDefault="005A3688" w:rsidP="00CF4B66">
      <w:r>
        <w:t>Inevitably, there will be differences and overlap in the</w:t>
      </w:r>
      <w:r w:rsidR="00182331">
        <w:t xml:space="preserve"> specific </w:t>
      </w:r>
      <w:r>
        <w:t xml:space="preserve">measures used </w:t>
      </w:r>
      <w:r w:rsidR="00182331">
        <w:t xml:space="preserve">by the study investigators </w:t>
      </w:r>
      <w:r>
        <w:t xml:space="preserve">to collect data for each study. </w:t>
      </w:r>
      <w:r w:rsidR="00EB0B04">
        <w:t xml:space="preserve">Not all studies have collected (or will collect) the same data or used the same assessment tools. </w:t>
      </w:r>
      <w:r>
        <w:t xml:space="preserve">NIMH staff on the DCTRS workgroup will curate the data in order to maximize the amount of overlap in data among studies (e.g., combining across versions of tests when possible or converting individual </w:t>
      </w:r>
      <w:r w:rsidR="00E4320D">
        <w:t xml:space="preserve">item </w:t>
      </w:r>
      <w:r>
        <w:t xml:space="preserve">scores to standardized factor scores) so that sample sizes for the purposes of </w:t>
      </w:r>
      <w:r w:rsidR="00E4320D">
        <w:t xml:space="preserve">combined </w:t>
      </w:r>
      <w:r>
        <w:t xml:space="preserve">analyses are as large as possible. </w:t>
      </w:r>
    </w:p>
    <w:p w:rsidR="00182331" w:rsidRDefault="00182331" w:rsidP="00CF4B66"/>
    <w:p w:rsidR="00EB0B04" w:rsidRDefault="00182331" w:rsidP="00182331">
      <w:r>
        <w:t>The information to be collected will be used by NIMH program staff and by approved extramural investigators for the purposes of examining the efficacy of CR on various outcome measures</w:t>
      </w:r>
      <w:r w:rsidR="00EB0B04">
        <w:t xml:space="preserve"> (such as cognitive changes or improvement in everyday functioning)</w:t>
      </w:r>
      <w:r>
        <w:t>, potential moderators of treatment effects</w:t>
      </w:r>
      <w:r w:rsidR="00EB0B04">
        <w:t xml:space="preserve"> (such as patient age)</w:t>
      </w:r>
      <w:r>
        <w:t xml:space="preserve">, and other scientific </w:t>
      </w:r>
      <w:r>
        <w:lastRenderedPageBreak/>
        <w:t xml:space="preserve">inquiries regarding CR in schizophrenia. This information will allow program staff to make strategic decisions about NIMH funding for new studies of CR in schizophrenia and will allow the scientific community to make maximal use of existing data to reduce the need to collect new data that can be answered using existing data, conduct preliminary tests of novel hypotheses prior to starting a new study, and inform new studies to address gaps in the existing body of knowledge. </w:t>
      </w:r>
      <w:r w:rsidR="00EB0B04">
        <w:t xml:space="preserve">The information regarding the study PI (e.g., name, email address, phone number, </w:t>
      </w:r>
      <w:r w:rsidR="009D30B4">
        <w:t>and institution</w:t>
      </w:r>
      <w:r w:rsidR="00EB0B04">
        <w:t xml:space="preserve">) will allow DCTRS staff to communicate with the PI during the data submission </w:t>
      </w:r>
      <w:r w:rsidR="00BF7703">
        <w:t>process</w:t>
      </w:r>
      <w:r w:rsidR="00EB0B04">
        <w:t>.</w:t>
      </w:r>
      <w:r w:rsidR="00A136F7">
        <w:t xml:space="preserve"> The negative consequences of not collecting this data are likely to be slowing of progress in this scientific area and the possibility that meta-analyses (in contrast to “mega-analyses” using subject-level data) will distort the results of research in this area because they cannot examine treatment effects and moderators using subject-level data.</w:t>
      </w:r>
    </w:p>
    <w:p w:rsidR="00A136F7" w:rsidRDefault="00A136F7" w:rsidP="00182331"/>
    <w:p w:rsidR="00A136F7" w:rsidRDefault="00A136F7" w:rsidP="00182331">
      <w:r>
        <w:t xml:space="preserve">The collected information will be reviewed by the DCTRS workgroup (consisting of staff from the NIMH Division of Adult Translational Research, Division of Services and Intervention Research, and NIMH Clinical Research Datasets </w:t>
      </w:r>
      <w:r w:rsidR="00FD365F">
        <w:t xml:space="preserve">group). The data will be reviewed for errors and inconsistencies (e.g., in computing total scores, extreme outliers), screened to ensure that no potentially identifying information is included, and integrated across studies, using standardized data dictionaries developed by the DCTRS workgroup. The database will be stored on a secure NIMH server. Investigators who wish to access the data will submit a signed NIMH Data Access Request and Use Certification (DUC) form </w:t>
      </w:r>
      <w:r w:rsidR="006E3614">
        <w:t>(OMB# 0925-0667</w:t>
      </w:r>
      <w:r w:rsidR="00C66EBD">
        <w:t>; Expiration Date: 01/31/2016</w:t>
      </w:r>
      <w:r w:rsidR="006E3614">
        <w:t xml:space="preserve">) </w:t>
      </w:r>
      <w:r w:rsidR="00FD365F">
        <w:t xml:space="preserve">and, if the request is approved, </w:t>
      </w:r>
      <w:r w:rsidR="009E2BE4">
        <w:t>the investigator is notified via email</w:t>
      </w:r>
      <w:r w:rsidR="00FA2274">
        <w:t>.</w:t>
      </w:r>
      <w:r w:rsidR="006E3614">
        <w:t xml:space="preserve"> </w:t>
      </w:r>
    </w:p>
    <w:p w:rsidR="00EB0B04" w:rsidRDefault="00EB0B04" w:rsidP="00182331"/>
    <w:p w:rsidR="006E557B" w:rsidRPr="00D61E21" w:rsidRDefault="00FA2274" w:rsidP="006E557B">
      <w:pPr>
        <w:pStyle w:val="Heading2"/>
        <w:spacing w:after="0" w:line="480" w:lineRule="auto"/>
        <w:ind w:left="0" w:firstLine="0"/>
        <w:rPr>
          <w:sz w:val="24"/>
          <w:szCs w:val="24"/>
        </w:rPr>
      </w:pPr>
      <w:bookmarkStart w:id="4" w:name="_Toc443881744"/>
      <w:bookmarkStart w:id="5" w:name="_Toc451592233"/>
      <w:bookmarkStart w:id="6" w:name="_Toc5610274"/>
      <w:bookmarkStart w:id="7" w:name="_Toc99178780"/>
      <w:r>
        <w:rPr>
          <w:sz w:val="24"/>
          <w:szCs w:val="24"/>
        </w:rPr>
        <w:t>A</w:t>
      </w:r>
      <w:r w:rsidR="006E557B">
        <w:rPr>
          <w:sz w:val="24"/>
          <w:szCs w:val="24"/>
        </w:rPr>
        <w:t xml:space="preserve">.3     </w:t>
      </w:r>
      <w:r w:rsidR="006E557B" w:rsidRPr="00D61E21">
        <w:rPr>
          <w:sz w:val="24"/>
          <w:szCs w:val="24"/>
        </w:rPr>
        <w:t>Use of Information Technology and Burden Reduction</w:t>
      </w:r>
      <w:bookmarkEnd w:id="4"/>
      <w:bookmarkEnd w:id="5"/>
      <w:bookmarkEnd w:id="6"/>
      <w:bookmarkEnd w:id="7"/>
    </w:p>
    <w:p w:rsidR="001C7C54" w:rsidRDefault="001C7C54" w:rsidP="006E557B">
      <w:r>
        <w:t xml:space="preserve">Information about the investigator </w:t>
      </w:r>
      <w:r w:rsidR="00BB55E2">
        <w:t xml:space="preserve">and the study </w:t>
      </w:r>
      <w:r>
        <w:t>is collected using the NIMH DCTRS Data Submission Agreement (DSA)</w:t>
      </w:r>
      <w:r w:rsidR="00C66EBD">
        <w:t xml:space="preserve"> (Attachment 3)</w:t>
      </w:r>
      <w:r>
        <w:t xml:space="preserve">. The DSA consists of a set of terms and conditions to be signed by the PI of the study and their institutional official and a Study Information Form. </w:t>
      </w:r>
      <w:r w:rsidR="00BB55E2">
        <w:t xml:space="preserve">The terms and conditions must include the Federal-Wide Assurance number of the investigator’s affiliated institution and be co-signed by an NIH-recognized Business/Institutional Official. The signed terms and conditions can be scanned and emailed to DCTRS. </w:t>
      </w:r>
      <w:r>
        <w:t xml:space="preserve">The Study Information Form is an electronic form (in Word format) that can be completed electronically and returned to DCTRS as an email attachment. </w:t>
      </w:r>
      <w:r w:rsidR="00BB55E2">
        <w:t>The responses on th</w:t>
      </w:r>
      <w:r w:rsidR="008B3519">
        <w:t xml:space="preserve">e </w:t>
      </w:r>
      <w:r w:rsidR="00BB55E2">
        <w:t xml:space="preserve">form </w:t>
      </w:r>
      <w:r w:rsidR="008B3519">
        <w:t xml:space="preserve">will then be </w:t>
      </w:r>
      <w:r w:rsidR="00BB55E2">
        <w:t xml:space="preserve">saved as </w:t>
      </w:r>
      <w:r w:rsidR="002834B1">
        <w:t>formatted text and added to the database.</w:t>
      </w:r>
    </w:p>
    <w:p w:rsidR="002834B1" w:rsidRDefault="002834B1" w:rsidP="006E557B"/>
    <w:p w:rsidR="002834B1" w:rsidRDefault="002834B1" w:rsidP="006E557B">
      <w:r>
        <w:t xml:space="preserve">The study information form lists the following items that </w:t>
      </w:r>
      <w:r w:rsidR="008B3519">
        <w:t>c</w:t>
      </w:r>
      <w:r>
        <w:t xml:space="preserve">ontributing PIs are requested to submit: </w:t>
      </w:r>
    </w:p>
    <w:p w:rsidR="002834B1" w:rsidRDefault="002834B1" w:rsidP="00A2044C">
      <w:pPr>
        <w:pStyle w:val="ListParagraph"/>
        <w:numPr>
          <w:ilvl w:val="0"/>
          <w:numId w:val="5"/>
        </w:numPr>
      </w:pPr>
      <w:r w:rsidRPr="002834B1">
        <w:t xml:space="preserve">De-identified data (SPSS, SAS, Excel, TXT or RTF format), including variable names, definitions and value labels (this could be incorporated into the data file or in the form of a data dictionary or a codebook). </w:t>
      </w:r>
    </w:p>
    <w:p w:rsidR="002834B1" w:rsidRPr="00A2044C" w:rsidRDefault="002834B1" w:rsidP="00A2044C">
      <w:pPr>
        <w:pStyle w:val="ListParagraph"/>
        <w:numPr>
          <w:ilvl w:val="0"/>
          <w:numId w:val="5"/>
        </w:numPr>
        <w:rPr>
          <w:b/>
        </w:rPr>
      </w:pPr>
      <w:r w:rsidRPr="002834B1">
        <w:t>A complete set of the forms</w:t>
      </w:r>
      <w:r w:rsidRPr="00A2044C">
        <w:rPr>
          <w:b/>
        </w:rPr>
        <w:t xml:space="preserve"> </w:t>
      </w:r>
      <w:r w:rsidRPr="002834B1">
        <w:t>that were used to collect data</w:t>
      </w:r>
    </w:p>
    <w:p w:rsidR="00A2044C" w:rsidRDefault="00F00D7F" w:rsidP="00A2044C">
      <w:pPr>
        <w:pStyle w:val="ListParagraph"/>
        <w:numPr>
          <w:ilvl w:val="0"/>
          <w:numId w:val="5"/>
        </w:numPr>
      </w:pPr>
      <w:r>
        <w:t>If the results of the study have been published, a copy of the m</w:t>
      </w:r>
      <w:r w:rsidR="002834B1" w:rsidRPr="002834B1">
        <w:t>anuscript</w:t>
      </w:r>
    </w:p>
    <w:p w:rsidR="002834B1" w:rsidRPr="002834B1" w:rsidRDefault="008B3519" w:rsidP="00A2044C">
      <w:pPr>
        <w:pStyle w:val="ListParagraph"/>
        <w:numPr>
          <w:ilvl w:val="0"/>
          <w:numId w:val="5"/>
        </w:numPr>
      </w:pPr>
      <w:r>
        <w:t>The study protocol, including a</w:t>
      </w:r>
      <w:r w:rsidR="002834B1" w:rsidRPr="002834B1">
        <w:t>n assessment schedule The eligibility criteria</w:t>
      </w:r>
      <w:r w:rsidR="002834B1" w:rsidRPr="00A2044C">
        <w:rPr>
          <w:b/>
        </w:rPr>
        <w:t xml:space="preserve"> </w:t>
      </w:r>
      <w:r w:rsidR="002834B1" w:rsidRPr="002834B1">
        <w:t>that were used for this study</w:t>
      </w:r>
    </w:p>
    <w:p w:rsidR="002834B1" w:rsidRDefault="002834B1" w:rsidP="006E557B"/>
    <w:p w:rsidR="00F00D7F" w:rsidRDefault="00F00D7F" w:rsidP="006E557B">
      <w:r>
        <w:t>The</w:t>
      </w:r>
      <w:r w:rsidR="002F034F">
        <w:t>se items are typically available as digital files and can be sent to DCTRS as email attachments (with encryption and password-protection for the data files). The study forms are sometimes only in paper format and require scanning before sending.</w:t>
      </w:r>
    </w:p>
    <w:p w:rsidR="00115581" w:rsidRDefault="00115581" w:rsidP="006E557B"/>
    <w:p w:rsidR="006E557B" w:rsidRPr="008B3519" w:rsidRDefault="003209BA" w:rsidP="00115581">
      <w:pPr>
        <w:pStyle w:val="PlainText"/>
        <w:rPr>
          <w:rFonts w:ascii="Times New Roman" w:hAnsi="Times New Roman" w:cs="Times New Roman"/>
          <w:sz w:val="24"/>
          <w:szCs w:val="24"/>
        </w:rPr>
      </w:pPr>
      <w:r w:rsidRPr="006405E9">
        <w:rPr>
          <w:rFonts w:ascii="Times New Roman" w:hAnsi="Times New Roman" w:cs="Times New Roman"/>
          <w:sz w:val="24"/>
          <w:szCs w:val="24"/>
        </w:rPr>
        <w:t xml:space="preserve">Privacy Impact Assessment (PIA) was </w:t>
      </w:r>
      <w:r w:rsidR="006405E9" w:rsidRPr="006405E9">
        <w:rPr>
          <w:rFonts w:ascii="Times New Roman" w:hAnsi="Times New Roman" w:cs="Times New Roman"/>
          <w:sz w:val="24"/>
          <w:szCs w:val="24"/>
        </w:rPr>
        <w:t xml:space="preserve">completed </w:t>
      </w:r>
      <w:r w:rsidRPr="006405E9">
        <w:rPr>
          <w:rFonts w:ascii="Times New Roman" w:hAnsi="Times New Roman" w:cs="Times New Roman"/>
          <w:sz w:val="24"/>
          <w:szCs w:val="24"/>
        </w:rPr>
        <w:t>for the database being used to collect the information</w:t>
      </w:r>
      <w:r w:rsidR="000203F5">
        <w:rPr>
          <w:rFonts w:ascii="Times New Roman" w:hAnsi="Times New Roman" w:cs="Times New Roman"/>
          <w:sz w:val="24"/>
          <w:szCs w:val="24"/>
        </w:rPr>
        <w:t xml:space="preserve"> and approved on 12/07/2013</w:t>
      </w:r>
      <w:r w:rsidRPr="006405E9">
        <w:rPr>
          <w:rFonts w:ascii="Times New Roman" w:hAnsi="Times New Roman" w:cs="Times New Roman"/>
          <w:sz w:val="24"/>
          <w:szCs w:val="24"/>
        </w:rPr>
        <w:t>.</w:t>
      </w:r>
      <w:r w:rsidR="008B3519" w:rsidRPr="006405E9">
        <w:rPr>
          <w:rFonts w:ascii="Times New Roman" w:hAnsi="Times New Roman" w:cs="Times New Roman"/>
          <w:sz w:val="24"/>
          <w:szCs w:val="24"/>
        </w:rPr>
        <w:t xml:space="preserve"> </w:t>
      </w:r>
    </w:p>
    <w:p w:rsidR="006E557B" w:rsidRDefault="006E557B" w:rsidP="006E557B">
      <w:pPr>
        <w:rPr>
          <w:color w:val="FF0000"/>
        </w:rPr>
      </w:pPr>
    </w:p>
    <w:p w:rsidR="006E557B" w:rsidRPr="00D61E21" w:rsidRDefault="006E557B" w:rsidP="006E557B">
      <w:pPr>
        <w:pStyle w:val="Heading2"/>
        <w:spacing w:after="0" w:line="480" w:lineRule="auto"/>
        <w:ind w:left="720" w:hanging="720"/>
        <w:rPr>
          <w:sz w:val="24"/>
          <w:szCs w:val="24"/>
        </w:rPr>
      </w:pPr>
      <w:bookmarkStart w:id="8" w:name="_Toc443881745"/>
      <w:bookmarkStart w:id="9" w:name="_Toc451592234"/>
      <w:bookmarkStart w:id="10" w:name="_Toc5610275"/>
      <w:bookmarkStart w:id="11" w:name="_Toc99178781"/>
      <w:r>
        <w:rPr>
          <w:sz w:val="24"/>
          <w:szCs w:val="24"/>
        </w:rPr>
        <w:t>A.4</w:t>
      </w:r>
      <w:r w:rsidRPr="00D61E21">
        <w:rPr>
          <w:sz w:val="24"/>
          <w:szCs w:val="24"/>
        </w:rPr>
        <w:tab/>
        <w:t>Efforts to Identify Duplication and Use of Similar Information</w:t>
      </w:r>
      <w:bookmarkEnd w:id="8"/>
      <w:bookmarkEnd w:id="9"/>
      <w:bookmarkEnd w:id="10"/>
      <w:bookmarkEnd w:id="11"/>
    </w:p>
    <w:p w:rsidR="00314898" w:rsidRDefault="00314898" w:rsidP="006E557B">
      <w:r>
        <w:t xml:space="preserve">Although there have been a few meta-analyses of data from studies of </w:t>
      </w:r>
      <w:r w:rsidR="00E4320D">
        <w:t>CR</w:t>
      </w:r>
      <w:r>
        <w:t xml:space="preserve"> in schizophrenia published in recent years, these analyses do not included subject-level data. </w:t>
      </w:r>
    </w:p>
    <w:p w:rsidR="00314898" w:rsidRDefault="00314898" w:rsidP="006E557B"/>
    <w:p w:rsidR="00314898" w:rsidRDefault="00E4320D" w:rsidP="006E557B">
      <w:r>
        <w:t xml:space="preserve">Based on ongoing monitoring of the scientific publications in this area, </w:t>
      </w:r>
      <w:r w:rsidR="00314898">
        <w:t xml:space="preserve">there is no database that combines subject-level data </w:t>
      </w:r>
      <w:r>
        <w:t>across</w:t>
      </w:r>
      <w:r w:rsidR="00314898">
        <w:t xml:space="preserve"> CR studies in schizophrenia. In April 2013, NIMH </w:t>
      </w:r>
      <w:proofErr w:type="gramStart"/>
      <w:r w:rsidR="00314898">
        <w:t>staff who are</w:t>
      </w:r>
      <w:proofErr w:type="gramEnd"/>
      <w:r w:rsidR="00314898">
        <w:t xml:space="preserve"> leading the DCTRS project met with the members of the </w:t>
      </w:r>
      <w:r w:rsidR="00314898">
        <w:rPr>
          <w:lang w:val="en"/>
        </w:rPr>
        <w:t>Cognitive Remediation Experts Workshop (CREW). The CREW is an international group of researchers who develop and test new CR interventions for schizophrenia</w:t>
      </w:r>
      <w:r w:rsidR="001C2C28">
        <w:rPr>
          <w:lang w:val="en"/>
        </w:rPr>
        <w:t xml:space="preserve"> (</w:t>
      </w:r>
      <w:r w:rsidR="000203F5">
        <w:rPr>
          <w:lang w:val="en"/>
        </w:rPr>
        <w:t xml:space="preserve">Attachment </w:t>
      </w:r>
      <w:r w:rsidR="00A2044C">
        <w:rPr>
          <w:lang w:val="en"/>
        </w:rPr>
        <w:t>1</w:t>
      </w:r>
      <w:r w:rsidR="000203F5">
        <w:rPr>
          <w:lang w:val="en"/>
        </w:rPr>
        <w:t>)</w:t>
      </w:r>
      <w:r w:rsidR="00314898">
        <w:rPr>
          <w:lang w:val="en"/>
        </w:rPr>
        <w:t>.</w:t>
      </w:r>
      <w:r>
        <w:rPr>
          <w:lang w:val="en"/>
        </w:rPr>
        <w:t xml:space="preserve"> NIMH staff described the plan</w:t>
      </w:r>
      <w:r w:rsidR="003D2C2D">
        <w:rPr>
          <w:lang w:val="en"/>
        </w:rPr>
        <w:t xml:space="preserve">s for compiling and sharing the </w:t>
      </w:r>
      <w:r>
        <w:rPr>
          <w:lang w:val="en"/>
        </w:rPr>
        <w:t>database to the committee and there was consensus that (1) no other similar database existed and (2) that it would be useful to the scientific community.</w:t>
      </w:r>
      <w:r w:rsidR="00314898">
        <w:rPr>
          <w:lang w:val="en"/>
        </w:rPr>
        <w:t xml:space="preserve"> </w:t>
      </w:r>
    </w:p>
    <w:p w:rsidR="00314898" w:rsidRDefault="00314898" w:rsidP="006E557B"/>
    <w:p w:rsidR="00B41EC6" w:rsidRDefault="00B41EC6" w:rsidP="00B41EC6">
      <w:pPr>
        <w:pStyle w:val="Heading2"/>
        <w:spacing w:after="0" w:line="480" w:lineRule="auto"/>
        <w:ind w:left="720" w:hanging="720"/>
        <w:rPr>
          <w:sz w:val="24"/>
          <w:szCs w:val="24"/>
        </w:rPr>
      </w:pPr>
      <w:bookmarkStart w:id="12" w:name="_Toc443881746"/>
      <w:bookmarkStart w:id="13" w:name="_Toc451592235"/>
      <w:bookmarkStart w:id="14" w:name="_Toc5610276"/>
      <w:bookmarkStart w:id="15" w:name="_Toc99178782"/>
      <w:r>
        <w:rPr>
          <w:sz w:val="24"/>
          <w:szCs w:val="24"/>
        </w:rPr>
        <w:t>A.5</w:t>
      </w:r>
      <w:r w:rsidRPr="00D61E21">
        <w:rPr>
          <w:sz w:val="24"/>
          <w:szCs w:val="24"/>
        </w:rPr>
        <w:tab/>
        <w:t>Impact on Small Businesses or Other Small Entities</w:t>
      </w:r>
      <w:bookmarkEnd w:id="12"/>
      <w:bookmarkEnd w:id="13"/>
      <w:bookmarkEnd w:id="14"/>
      <w:bookmarkEnd w:id="15"/>
    </w:p>
    <w:p w:rsidR="00B41EC6" w:rsidRDefault="00E4320D" w:rsidP="006E557B">
      <w:r>
        <w:t>We do not anticipate receiving data from small businesses/</w:t>
      </w:r>
      <w:r w:rsidR="00BF7703">
        <w:t>entities</w:t>
      </w:r>
      <w:r>
        <w:t xml:space="preserve">. Although there may be publishers of cognitive remediation programs that could be qualified as small businesses, they typically have academic partners who would </w:t>
      </w:r>
      <w:r w:rsidR="00BA5032">
        <w:t>be responsible for contributing data if they choose to do so.</w:t>
      </w:r>
    </w:p>
    <w:p w:rsidR="00B41EC6" w:rsidRDefault="00B41EC6" w:rsidP="006E557B"/>
    <w:p w:rsidR="00B41EC6" w:rsidRPr="00D61E21" w:rsidRDefault="00B41EC6" w:rsidP="00B41EC6">
      <w:pPr>
        <w:pStyle w:val="Heading2"/>
        <w:spacing w:after="0" w:line="480" w:lineRule="auto"/>
        <w:ind w:left="720" w:hanging="720"/>
        <w:rPr>
          <w:sz w:val="24"/>
          <w:szCs w:val="24"/>
        </w:rPr>
      </w:pPr>
      <w:bookmarkStart w:id="16" w:name="_Toc443881747"/>
      <w:bookmarkStart w:id="17" w:name="_Toc451592236"/>
      <w:bookmarkStart w:id="18" w:name="_Toc5610277"/>
      <w:bookmarkStart w:id="19" w:name="_Toc99178783"/>
      <w:r>
        <w:rPr>
          <w:sz w:val="24"/>
          <w:szCs w:val="24"/>
        </w:rPr>
        <w:t>A.6</w:t>
      </w:r>
      <w:r w:rsidRPr="00D61E21">
        <w:rPr>
          <w:sz w:val="24"/>
          <w:szCs w:val="24"/>
        </w:rPr>
        <w:tab/>
        <w:t>Consequences of Collecting the Information Less Frequently</w:t>
      </w:r>
      <w:bookmarkEnd w:id="16"/>
      <w:bookmarkEnd w:id="17"/>
      <w:bookmarkEnd w:id="18"/>
      <w:bookmarkEnd w:id="19"/>
    </w:p>
    <w:p w:rsidR="00B41EC6" w:rsidRDefault="00BA5032" w:rsidP="00B41EC6">
      <w:r>
        <w:t>Data and supporting materials are collected only once for each study (after a study is completed). There is no ongoing data collection or re-contact, except when necessary shortly after the submission in order for the DCTRS team to inquire about any issues that are identified during the data checking process.</w:t>
      </w:r>
    </w:p>
    <w:p w:rsidR="00BA5032" w:rsidRDefault="00BA5032" w:rsidP="00B41EC6"/>
    <w:p w:rsidR="00BA5032" w:rsidRDefault="00BA5032" w:rsidP="00BA5032">
      <w:r>
        <w:t>If the data are not collected, progress in this scientific area will be slowed and it is possible that meta-analyses (in contrast to “mega-analyses” using subject-level data) will distort the results of research in this area because they cannot examine treatment effects and moderators using subject-level data. NIMH will not be able to be as strategic in awarding new grants to improve CR for schizophrenia without the information from the integrated database.</w:t>
      </w:r>
    </w:p>
    <w:p w:rsidR="00BA5032" w:rsidRDefault="00BA5032" w:rsidP="00BA5032"/>
    <w:p w:rsidR="00B41EC6" w:rsidRPr="00D61E21" w:rsidRDefault="00B41EC6" w:rsidP="00BF7703">
      <w:pPr>
        <w:pStyle w:val="Heading2"/>
        <w:spacing w:after="0" w:line="480" w:lineRule="auto"/>
        <w:ind w:left="720" w:hanging="720"/>
        <w:rPr>
          <w:sz w:val="24"/>
          <w:szCs w:val="24"/>
        </w:rPr>
      </w:pPr>
      <w:bookmarkStart w:id="20" w:name="_Toc443881748"/>
      <w:bookmarkStart w:id="21" w:name="_Toc451592237"/>
      <w:bookmarkStart w:id="22" w:name="_Toc5610278"/>
      <w:bookmarkStart w:id="23" w:name="_Toc99178784"/>
      <w:r>
        <w:rPr>
          <w:sz w:val="24"/>
          <w:szCs w:val="24"/>
        </w:rPr>
        <w:t>A.7</w:t>
      </w:r>
      <w:r w:rsidR="00BF7703">
        <w:rPr>
          <w:sz w:val="24"/>
          <w:szCs w:val="24"/>
        </w:rPr>
        <w:tab/>
      </w:r>
      <w:r w:rsidRPr="00D61E21">
        <w:rPr>
          <w:sz w:val="24"/>
          <w:szCs w:val="24"/>
        </w:rPr>
        <w:t>Special Circumstances Relating to the Guidelines of 5 CFR 1320.5</w:t>
      </w:r>
      <w:bookmarkEnd w:id="20"/>
      <w:bookmarkEnd w:id="21"/>
      <w:bookmarkEnd w:id="22"/>
      <w:bookmarkEnd w:id="23"/>
    </w:p>
    <w:p w:rsidR="00B41EC6" w:rsidRDefault="00BA5032" w:rsidP="006E557B">
      <w:r>
        <w:t>Not applicable.</w:t>
      </w:r>
    </w:p>
    <w:p w:rsidR="0005035B" w:rsidRPr="00D61E21" w:rsidRDefault="0005035B" w:rsidP="00BA5032">
      <w:pPr>
        <w:pStyle w:val="Heading2"/>
        <w:spacing w:after="0" w:line="240" w:lineRule="auto"/>
        <w:ind w:left="720" w:hanging="720"/>
        <w:rPr>
          <w:sz w:val="24"/>
          <w:szCs w:val="24"/>
        </w:rPr>
      </w:pPr>
      <w:bookmarkStart w:id="24" w:name="_Toc443881749"/>
      <w:bookmarkStart w:id="25" w:name="_Toc451592238"/>
      <w:bookmarkStart w:id="26" w:name="_Toc5610279"/>
      <w:bookmarkStart w:id="27" w:name="_Toc99178785"/>
      <w:r>
        <w:rPr>
          <w:sz w:val="24"/>
          <w:szCs w:val="24"/>
        </w:rPr>
        <w:lastRenderedPageBreak/>
        <w:t>A.8</w:t>
      </w:r>
      <w:r w:rsidRPr="00D61E21">
        <w:rPr>
          <w:sz w:val="24"/>
          <w:szCs w:val="24"/>
        </w:rPr>
        <w:tab/>
        <w:t>Comments in Response to the Federal Register Notice and Efforts to Consult Outside Agency</w:t>
      </w:r>
      <w:bookmarkEnd w:id="24"/>
      <w:bookmarkEnd w:id="25"/>
      <w:bookmarkEnd w:id="26"/>
      <w:bookmarkEnd w:id="27"/>
    </w:p>
    <w:p w:rsidR="00BA5032" w:rsidRDefault="00BA5032" w:rsidP="0005035B"/>
    <w:p w:rsidR="00A2044C" w:rsidRDefault="00190B7D" w:rsidP="00A2044C">
      <w:r>
        <w:t xml:space="preserve">A </w:t>
      </w:r>
      <w:r w:rsidR="00A2044C">
        <w:t>Federal Register Notice was published on April 15, 2014, Vol. 79 FR 08533 (</w:t>
      </w:r>
      <w:r w:rsidR="00A2044C" w:rsidRPr="00A2044C">
        <w:t>https://www.federalregister.gov/articles/2014/04/15/2014-08533/proposed-collection-60-day-comment-request-nimh-database-of-cognitive-training-and-remediation</w:t>
      </w:r>
      <w:r w:rsidR="00A2044C">
        <w:t>).</w:t>
      </w:r>
      <w:r>
        <w:t xml:space="preserve"> No public comments were received. </w:t>
      </w:r>
    </w:p>
    <w:p w:rsidR="00A2044C" w:rsidRDefault="00A2044C" w:rsidP="0005035B"/>
    <w:p w:rsidR="003D2C2D" w:rsidRDefault="003D2C2D" w:rsidP="0005035B">
      <w:r>
        <w:t>In addition to the meeting with the CREW committee described in Section A.4</w:t>
      </w:r>
      <w:r w:rsidR="00722AF8">
        <w:t xml:space="preserve"> at which the plans for creating the database were reviewed</w:t>
      </w:r>
      <w:r>
        <w:t xml:space="preserve">, the DCTRS workgroup </w:t>
      </w:r>
      <w:r w:rsidR="00722AF8">
        <w:t xml:space="preserve">asked </w:t>
      </w:r>
      <w:r w:rsidR="0066537B">
        <w:t>five</w:t>
      </w:r>
      <w:r w:rsidR="00722AF8">
        <w:t xml:space="preserve"> experts in CR for schizophrenia</w:t>
      </w:r>
      <w:r w:rsidR="0066537B">
        <w:t xml:space="preserve"> (</w:t>
      </w:r>
      <w:r w:rsidR="00A2044C">
        <w:t xml:space="preserve">Attachment 2) </w:t>
      </w:r>
      <w:r w:rsidR="00722AF8">
        <w:t xml:space="preserve">to </w:t>
      </w:r>
      <w:r w:rsidR="0066537B">
        <w:t xml:space="preserve">complete the Study Information Form and provide the requested materials. This effort allowed DCTRS staff to evaluate the feasibility of integrating data across studies, to determine whether there would be sufficient overlap of data among studies, and to begin testing procedures for quality assurance. In addition, two of the experts were asked to </w:t>
      </w:r>
      <w:r>
        <w:t xml:space="preserve">review the Data Submission Agreement. </w:t>
      </w:r>
      <w:r w:rsidR="0066537B">
        <w:t>F</w:t>
      </w:r>
      <w:r>
        <w:t xml:space="preserve">eedback </w:t>
      </w:r>
      <w:r w:rsidR="0066537B">
        <w:t xml:space="preserve">from these individuals </w:t>
      </w:r>
      <w:r>
        <w:t xml:space="preserve">was positive with regard to the format </w:t>
      </w:r>
      <w:r w:rsidR="0066537B">
        <w:t xml:space="preserve">and ease of use </w:t>
      </w:r>
      <w:r>
        <w:t xml:space="preserve">of the </w:t>
      </w:r>
      <w:r w:rsidR="0066537B">
        <w:t xml:space="preserve">Study Information </w:t>
      </w:r>
      <w:r>
        <w:t>form</w:t>
      </w:r>
      <w:r w:rsidR="0066537B">
        <w:t xml:space="preserve"> and the potential utility of the database to the scientific community.</w:t>
      </w:r>
      <w:r>
        <w:t xml:space="preserve"> </w:t>
      </w:r>
    </w:p>
    <w:p w:rsidR="003D2C2D" w:rsidRDefault="003D2C2D" w:rsidP="0005035B"/>
    <w:p w:rsidR="003D2C2D" w:rsidRDefault="003D2C2D" w:rsidP="0005035B">
      <w:r>
        <w:t>The DCTRS workgroup</w:t>
      </w:r>
      <w:r w:rsidR="00526A30">
        <w:t xml:space="preserve">, comprised of NIMH staff, </w:t>
      </w:r>
      <w:r>
        <w:t xml:space="preserve">will be in frequent communication with members of this scientific community. We anticipate that they will not only be the contributors to the database but also the primary users of the database. This communication will be in the form of meetings with the CREW committee at future scientific conferences </w:t>
      </w:r>
      <w:r w:rsidR="00722AF8">
        <w:t xml:space="preserve">(the committee has regular meetings every two years) </w:t>
      </w:r>
      <w:r>
        <w:t xml:space="preserve">and in response to inquiries from individual scientists. </w:t>
      </w:r>
    </w:p>
    <w:p w:rsidR="003D2C2D" w:rsidRDefault="003D2C2D" w:rsidP="0005035B"/>
    <w:p w:rsidR="0005035B" w:rsidRPr="00D61E21" w:rsidRDefault="0005035B" w:rsidP="0005035B">
      <w:pPr>
        <w:pStyle w:val="Heading2"/>
        <w:spacing w:after="0" w:line="480" w:lineRule="auto"/>
        <w:ind w:left="720" w:hanging="720"/>
        <w:rPr>
          <w:sz w:val="24"/>
          <w:szCs w:val="24"/>
        </w:rPr>
      </w:pPr>
      <w:bookmarkStart w:id="28" w:name="_Toc443881750"/>
      <w:bookmarkStart w:id="29" w:name="_Toc451592239"/>
      <w:bookmarkStart w:id="30" w:name="_Toc5610280"/>
      <w:bookmarkStart w:id="31" w:name="_Toc99178786"/>
      <w:r>
        <w:rPr>
          <w:sz w:val="24"/>
          <w:szCs w:val="24"/>
        </w:rPr>
        <w:t>A.9</w:t>
      </w:r>
      <w:r w:rsidRPr="00D61E21">
        <w:rPr>
          <w:sz w:val="24"/>
          <w:szCs w:val="24"/>
        </w:rPr>
        <w:tab/>
        <w:t>Explanation of Any Payment of Gift to Respondents</w:t>
      </w:r>
      <w:bookmarkEnd w:id="28"/>
      <w:bookmarkEnd w:id="29"/>
      <w:bookmarkEnd w:id="30"/>
      <w:bookmarkEnd w:id="31"/>
    </w:p>
    <w:p w:rsidR="00722AF8" w:rsidRDefault="00722AF8" w:rsidP="0005035B">
      <w:r>
        <w:t>No payment of gift will be provided to respondents.</w:t>
      </w:r>
    </w:p>
    <w:p w:rsidR="0005035B" w:rsidRDefault="0005035B" w:rsidP="00253C78">
      <w:pPr>
        <w:rPr>
          <w:color w:val="FF0000"/>
          <w:sz w:val="32"/>
          <w:szCs w:val="32"/>
        </w:rPr>
      </w:pPr>
    </w:p>
    <w:p w:rsidR="0005035B" w:rsidRPr="00D61E21" w:rsidRDefault="0005035B" w:rsidP="0005035B">
      <w:pPr>
        <w:pStyle w:val="Heading2"/>
        <w:spacing w:after="0" w:line="480" w:lineRule="auto"/>
        <w:ind w:left="720" w:hanging="720"/>
        <w:rPr>
          <w:sz w:val="24"/>
          <w:szCs w:val="24"/>
        </w:rPr>
      </w:pPr>
      <w:bookmarkStart w:id="32" w:name="_Toc443881751"/>
      <w:bookmarkStart w:id="33" w:name="_Toc451592240"/>
      <w:bookmarkStart w:id="34" w:name="_Toc5610281"/>
      <w:bookmarkStart w:id="35" w:name="_Toc99178787"/>
      <w:r>
        <w:rPr>
          <w:sz w:val="24"/>
          <w:szCs w:val="24"/>
        </w:rPr>
        <w:t>A.10</w:t>
      </w:r>
      <w:r w:rsidRPr="00D61E21">
        <w:rPr>
          <w:sz w:val="24"/>
          <w:szCs w:val="24"/>
        </w:rPr>
        <w:tab/>
        <w:t>Assurance of Confidentiality Provided to Respondents</w:t>
      </w:r>
      <w:bookmarkEnd w:id="32"/>
      <w:bookmarkEnd w:id="33"/>
      <w:bookmarkEnd w:id="34"/>
      <w:bookmarkEnd w:id="35"/>
    </w:p>
    <w:p w:rsidR="00B53CDA" w:rsidRPr="00B53CDA" w:rsidRDefault="00B53CDA" w:rsidP="00B53CDA">
      <w:pPr>
        <w:pStyle w:val="BodyText"/>
        <w:tabs>
          <w:tab w:val="left" w:pos="434"/>
        </w:tabs>
        <w:ind w:left="0"/>
        <w:rPr>
          <w:rFonts w:ascii="Times New Roman" w:hAnsi="Times New Roman"/>
          <w:sz w:val="24"/>
          <w:szCs w:val="24"/>
        </w:rPr>
      </w:pPr>
      <w:r>
        <w:rPr>
          <w:rFonts w:ascii="Times New Roman" w:hAnsi="Times New Roman"/>
          <w:sz w:val="24"/>
          <w:szCs w:val="24"/>
        </w:rPr>
        <w:t>In the terms and conditions to be signed by submitting investigators prior to providing any study-related data, submitters are informed of the following: “I</w:t>
      </w:r>
      <w:r w:rsidRPr="00B53CDA">
        <w:rPr>
          <w:rFonts w:ascii="Times New Roman" w:hAnsi="Times New Roman"/>
          <w:sz w:val="24"/>
          <w:szCs w:val="24"/>
        </w:rPr>
        <w:t>nformation collected from the Submitter, as part of</w:t>
      </w:r>
      <w:r w:rsidRPr="00B53CDA">
        <w:rPr>
          <w:rFonts w:ascii="Times New Roman" w:hAnsi="Times New Roman"/>
          <w:w w:val="99"/>
          <w:sz w:val="24"/>
          <w:szCs w:val="24"/>
        </w:rPr>
        <w:t xml:space="preserve"> </w:t>
      </w:r>
      <w:r w:rsidRPr="00B53CDA">
        <w:rPr>
          <w:rFonts w:ascii="Times New Roman" w:hAnsi="Times New Roman"/>
          <w:sz w:val="24"/>
          <w:szCs w:val="24"/>
        </w:rPr>
        <w:t xml:space="preserve">the </w:t>
      </w:r>
      <w:r>
        <w:rPr>
          <w:rFonts w:ascii="Times New Roman" w:hAnsi="Times New Roman"/>
          <w:sz w:val="24"/>
          <w:szCs w:val="24"/>
        </w:rPr>
        <w:t xml:space="preserve">submission agreement </w:t>
      </w:r>
      <w:r w:rsidRPr="00B53CDA">
        <w:rPr>
          <w:rFonts w:ascii="Times New Roman" w:hAnsi="Times New Roman"/>
          <w:sz w:val="24"/>
          <w:szCs w:val="24"/>
        </w:rPr>
        <w:t>and submission certification, may be made public in part or in whole for tracking and reporting</w:t>
      </w:r>
      <w:r w:rsidRPr="00B53CDA">
        <w:rPr>
          <w:rFonts w:ascii="Times New Roman" w:hAnsi="Times New Roman"/>
          <w:w w:val="99"/>
          <w:sz w:val="24"/>
          <w:szCs w:val="24"/>
        </w:rPr>
        <w:t xml:space="preserve"> </w:t>
      </w:r>
      <w:r w:rsidRPr="00B53CDA">
        <w:rPr>
          <w:rFonts w:ascii="Times New Roman" w:hAnsi="Times New Roman"/>
          <w:sz w:val="24"/>
          <w:szCs w:val="24"/>
        </w:rPr>
        <w:t xml:space="preserve">purposes. This Privacy Act Notification is provided pursuant to Public Law 93-579, Privacy Act of 1974, </w:t>
      </w:r>
      <w:proofErr w:type="gramStart"/>
      <w:r w:rsidRPr="00B53CDA">
        <w:rPr>
          <w:rFonts w:ascii="Times New Roman" w:hAnsi="Times New Roman"/>
          <w:sz w:val="24"/>
          <w:szCs w:val="24"/>
        </w:rPr>
        <w:t>5</w:t>
      </w:r>
      <w:proofErr w:type="gramEnd"/>
      <w:r w:rsidRPr="00B53CDA">
        <w:rPr>
          <w:rFonts w:ascii="Times New Roman" w:hAnsi="Times New Roman"/>
          <w:sz w:val="24"/>
          <w:szCs w:val="24"/>
        </w:rPr>
        <w:t xml:space="preserve"> </w:t>
      </w:r>
      <w:r w:rsidRPr="00B53CDA">
        <w:rPr>
          <w:rFonts w:ascii="Times New Roman" w:hAnsi="Times New Roman"/>
          <w:sz w:val="24"/>
          <w:szCs w:val="24"/>
          <w:u w:color="000000"/>
        </w:rPr>
        <w:t xml:space="preserve">U.S.C. </w:t>
      </w:r>
      <w:r w:rsidRPr="00B53CDA">
        <w:rPr>
          <w:rFonts w:ascii="Times New Roman" w:hAnsi="Times New Roman"/>
          <w:sz w:val="24"/>
          <w:szCs w:val="24"/>
        </w:rPr>
        <w:t>Section</w:t>
      </w:r>
      <w:r w:rsidRPr="00B53CDA">
        <w:rPr>
          <w:rFonts w:ascii="Times New Roman" w:hAnsi="Times New Roman"/>
          <w:sz w:val="24"/>
          <w:szCs w:val="24"/>
          <w:u w:color="000000"/>
        </w:rPr>
        <w:t xml:space="preserve"> 552a. Aut</w:t>
      </w:r>
      <w:r w:rsidRPr="00B53CDA">
        <w:rPr>
          <w:rFonts w:ascii="Times New Roman" w:hAnsi="Times New Roman"/>
          <w:sz w:val="24"/>
          <w:szCs w:val="24"/>
        </w:rPr>
        <w:t>hority for the collection of the information requested below from the submitter</w:t>
      </w:r>
      <w:r w:rsidRPr="00B53CDA">
        <w:rPr>
          <w:rFonts w:ascii="Times New Roman" w:hAnsi="Times New Roman"/>
          <w:w w:val="99"/>
          <w:sz w:val="24"/>
          <w:szCs w:val="24"/>
        </w:rPr>
        <w:t xml:space="preserve"> c</w:t>
      </w:r>
      <w:r w:rsidRPr="00B53CDA">
        <w:rPr>
          <w:rFonts w:ascii="Times New Roman" w:hAnsi="Times New Roman"/>
          <w:sz w:val="24"/>
          <w:szCs w:val="24"/>
        </w:rPr>
        <w:t>omes from the authorities regarding the establishment of the National Institutes of Health, its genera</w:t>
      </w:r>
      <w:r w:rsidRPr="00B53CDA">
        <w:rPr>
          <w:rFonts w:ascii="Times New Roman" w:hAnsi="Times New Roman"/>
          <w:w w:val="99"/>
          <w:sz w:val="24"/>
          <w:szCs w:val="24"/>
        </w:rPr>
        <w:t xml:space="preserve">l </w:t>
      </w:r>
      <w:r w:rsidRPr="00B53CDA">
        <w:rPr>
          <w:rFonts w:ascii="Times New Roman" w:hAnsi="Times New Roman"/>
          <w:sz w:val="24"/>
          <w:szCs w:val="24"/>
        </w:rPr>
        <w:t>authority to conduct and fund research and to provide training assistance, and its general authority to</w:t>
      </w:r>
      <w:r w:rsidRPr="00B53CDA">
        <w:rPr>
          <w:rFonts w:ascii="Times New Roman" w:hAnsi="Times New Roman"/>
          <w:w w:val="99"/>
          <w:sz w:val="24"/>
          <w:szCs w:val="24"/>
        </w:rPr>
        <w:t xml:space="preserve"> </w:t>
      </w:r>
      <w:r w:rsidRPr="00B53CDA">
        <w:rPr>
          <w:rFonts w:ascii="Times New Roman" w:hAnsi="Times New Roman"/>
          <w:sz w:val="24"/>
          <w:szCs w:val="24"/>
        </w:rPr>
        <w:t>ma</w:t>
      </w:r>
      <w:r w:rsidRPr="00B53CDA">
        <w:rPr>
          <w:rFonts w:ascii="Times New Roman" w:hAnsi="Times New Roman"/>
          <w:sz w:val="24"/>
          <w:szCs w:val="24"/>
          <w:u w:color="000000"/>
        </w:rPr>
        <w:t>intain records in connec</w:t>
      </w:r>
      <w:r w:rsidRPr="00B53CDA">
        <w:rPr>
          <w:rFonts w:ascii="Times New Roman" w:hAnsi="Times New Roman"/>
          <w:sz w:val="24"/>
          <w:szCs w:val="24"/>
        </w:rPr>
        <w:t>tion with these and its other functions (42 U.S.C. 203, 241, 289l-1 and 44 U.S.</w:t>
      </w:r>
      <w:r w:rsidRPr="00B53CDA">
        <w:rPr>
          <w:rFonts w:ascii="Times New Roman" w:hAnsi="Times New Roman"/>
          <w:w w:val="99"/>
          <w:sz w:val="24"/>
          <w:szCs w:val="24"/>
        </w:rPr>
        <w:t>C.</w:t>
      </w:r>
      <w:r w:rsidRPr="00B53CDA">
        <w:rPr>
          <w:rFonts w:ascii="Times New Roman" w:hAnsi="Times New Roman"/>
          <w:sz w:val="24"/>
          <w:szCs w:val="24"/>
        </w:rPr>
        <w:t xml:space="preserve"> 3101), and Section 301 and 493 of the Public Health Service Act. These records will be</w:t>
      </w:r>
      <w:r w:rsidRPr="00B53CDA">
        <w:rPr>
          <w:rFonts w:ascii="Times New Roman" w:hAnsi="Times New Roman"/>
          <w:w w:val="99"/>
          <w:sz w:val="24"/>
          <w:szCs w:val="24"/>
        </w:rPr>
        <w:t xml:space="preserve"> </w:t>
      </w:r>
      <w:r w:rsidRPr="00B53CDA">
        <w:rPr>
          <w:rFonts w:ascii="Times New Roman" w:hAnsi="Times New Roman"/>
          <w:sz w:val="24"/>
          <w:szCs w:val="24"/>
        </w:rPr>
        <w:t xml:space="preserve">maintained in </w:t>
      </w:r>
      <w:r w:rsidRPr="00B53CDA">
        <w:rPr>
          <w:rFonts w:ascii="Times New Roman" w:hAnsi="Times New Roman"/>
          <w:w w:val="99"/>
          <w:sz w:val="24"/>
          <w:szCs w:val="24"/>
        </w:rPr>
        <w:t>ac</w:t>
      </w:r>
      <w:r w:rsidRPr="00B53CDA">
        <w:rPr>
          <w:rFonts w:ascii="Times New Roman" w:hAnsi="Times New Roman"/>
          <w:sz w:val="24"/>
          <w:szCs w:val="24"/>
        </w:rPr>
        <w:t xml:space="preserve">cordance with the Privacy Act System of Record Notice 09-25-0200 </w:t>
      </w:r>
      <w:r w:rsidRPr="00B53CDA">
        <w:rPr>
          <w:rFonts w:ascii="Times New Roman" w:hAnsi="Times New Roman"/>
          <w:color w:val="0000FF"/>
          <w:sz w:val="24"/>
          <w:szCs w:val="24"/>
          <w:u w:color="0000FF"/>
        </w:rPr>
        <w:t>(</w:t>
      </w:r>
      <w:hyperlink r:id="rId11" w:history="1">
        <w:r w:rsidRPr="00B53CDA">
          <w:rPr>
            <w:rStyle w:val="Hyperlink"/>
            <w:rFonts w:ascii="Times New Roman" w:hAnsi="Times New Roman"/>
            <w:sz w:val="24"/>
            <w:szCs w:val="24"/>
            <w:u w:color="0000FF"/>
          </w:rPr>
          <w:t>http://oma.od.nih.gov/ms/privacy/pa-files/0200.htm</w:t>
        </w:r>
      </w:hyperlink>
      <w:r w:rsidRPr="00B53CDA">
        <w:rPr>
          <w:rFonts w:ascii="Times New Roman" w:hAnsi="Times New Roman"/>
          <w:color w:val="000000"/>
          <w:sz w:val="24"/>
          <w:szCs w:val="24"/>
        </w:rPr>
        <w:t xml:space="preserve">) covering </w:t>
      </w:r>
      <w:r w:rsidR="00D96D26">
        <w:rPr>
          <w:rFonts w:ascii="Times New Roman" w:hAnsi="Times New Roman"/>
          <w:color w:val="000000"/>
          <w:sz w:val="24"/>
          <w:szCs w:val="24"/>
        </w:rPr>
        <w:t>‘</w:t>
      </w:r>
      <w:r w:rsidRPr="00B53CDA">
        <w:rPr>
          <w:rFonts w:ascii="Times New Roman" w:hAnsi="Times New Roman"/>
          <w:color w:val="000000"/>
          <w:sz w:val="24"/>
          <w:szCs w:val="24"/>
        </w:rPr>
        <w:t xml:space="preserve">Clinical, Basic and Population-based </w:t>
      </w:r>
      <w:r w:rsidRPr="00B53CDA">
        <w:rPr>
          <w:rFonts w:ascii="Times New Roman" w:hAnsi="Times New Roman"/>
          <w:sz w:val="24"/>
          <w:szCs w:val="24"/>
        </w:rPr>
        <w:t>Research Studies of the National Institut</w:t>
      </w:r>
      <w:r w:rsidR="00D96D26">
        <w:rPr>
          <w:rFonts w:ascii="Times New Roman" w:hAnsi="Times New Roman"/>
          <w:sz w:val="24"/>
          <w:szCs w:val="24"/>
        </w:rPr>
        <w:t xml:space="preserve">es of Health (NIH), </w:t>
      </w:r>
      <w:r w:rsidR="00D96D26">
        <w:rPr>
          <w:rFonts w:ascii="Times New Roman" w:hAnsi="Times New Roman"/>
          <w:sz w:val="24"/>
          <w:szCs w:val="24"/>
        </w:rPr>
        <w:lastRenderedPageBreak/>
        <w:t>HHS/NIH/OD.’</w:t>
      </w:r>
      <w:r w:rsidRPr="00B53CDA">
        <w:rPr>
          <w:rFonts w:ascii="Times New Roman" w:hAnsi="Times New Roman"/>
          <w:sz w:val="24"/>
          <w:szCs w:val="24"/>
        </w:rPr>
        <w:t xml:space="preserve"> </w:t>
      </w:r>
      <w:r w:rsidR="00526A30" w:rsidRPr="00526A30">
        <w:rPr>
          <w:rFonts w:ascii="Times New Roman" w:hAnsi="Times New Roman"/>
          <w:sz w:val="24"/>
          <w:szCs w:val="24"/>
        </w:rPr>
        <w:t xml:space="preserve"> </w:t>
      </w:r>
      <w:r w:rsidR="00526A30">
        <w:rPr>
          <w:rFonts w:ascii="Times New Roman" w:hAnsi="Times New Roman"/>
          <w:sz w:val="24"/>
          <w:szCs w:val="24"/>
        </w:rPr>
        <w:t xml:space="preserve">The NIH System of Record Notice was previously published in the Federal register on September 26, 2002, </w:t>
      </w:r>
      <w:proofErr w:type="spellStart"/>
      <w:r w:rsidR="00526A30">
        <w:rPr>
          <w:rFonts w:ascii="Times New Roman" w:hAnsi="Times New Roman"/>
          <w:sz w:val="24"/>
          <w:szCs w:val="24"/>
        </w:rPr>
        <w:t>Vol</w:t>
      </w:r>
      <w:proofErr w:type="spellEnd"/>
      <w:r w:rsidR="00526A30">
        <w:rPr>
          <w:rFonts w:ascii="Times New Roman" w:hAnsi="Times New Roman"/>
          <w:sz w:val="24"/>
          <w:szCs w:val="24"/>
        </w:rPr>
        <w:t xml:space="preserve"> 67, No 187. (</w:t>
      </w:r>
      <w:r w:rsidR="00526A30" w:rsidRPr="006E3614">
        <w:rPr>
          <w:rFonts w:ascii="Times New Roman" w:hAnsi="Times New Roman"/>
          <w:sz w:val="24"/>
          <w:szCs w:val="24"/>
        </w:rPr>
        <w:t>http://www.gpo.gov/fdsys/pkg/FR-2002-09-26/pdf/02-23965.pdf</w:t>
      </w:r>
      <w:r w:rsidR="00526A30">
        <w:rPr>
          <w:rFonts w:ascii="Times New Roman" w:hAnsi="Times New Roman"/>
          <w:sz w:val="24"/>
          <w:szCs w:val="24"/>
        </w:rPr>
        <w:t xml:space="preserve">).  </w:t>
      </w:r>
      <w:r w:rsidRPr="00B53CDA">
        <w:rPr>
          <w:rFonts w:ascii="Times New Roman" w:hAnsi="Times New Roman"/>
          <w:sz w:val="24"/>
          <w:szCs w:val="24"/>
        </w:rPr>
        <w:t>The primary uses of this</w:t>
      </w:r>
      <w:r w:rsidRPr="00B53CDA">
        <w:rPr>
          <w:rFonts w:ascii="Times New Roman" w:hAnsi="Times New Roman"/>
          <w:w w:val="99"/>
          <w:sz w:val="24"/>
          <w:szCs w:val="24"/>
        </w:rPr>
        <w:t xml:space="preserve"> </w:t>
      </w:r>
      <w:r w:rsidRPr="00B53CDA">
        <w:rPr>
          <w:rFonts w:ascii="Times New Roman" w:hAnsi="Times New Roman"/>
          <w:sz w:val="24"/>
          <w:szCs w:val="24"/>
        </w:rPr>
        <w:t>information are to document, track, and monitor and evaluate the submission of data from clinical, basic,</w:t>
      </w:r>
      <w:r w:rsidRPr="00B53CDA">
        <w:rPr>
          <w:rFonts w:ascii="Times New Roman" w:hAnsi="Times New Roman"/>
          <w:w w:val="99"/>
          <w:sz w:val="24"/>
          <w:szCs w:val="24"/>
        </w:rPr>
        <w:t xml:space="preserve"> </w:t>
      </w:r>
      <w:r w:rsidRPr="00B53CDA">
        <w:rPr>
          <w:rFonts w:ascii="Times New Roman" w:hAnsi="Times New Roman"/>
          <w:sz w:val="24"/>
          <w:szCs w:val="24"/>
        </w:rPr>
        <w:t>and population-based research activities and to notify submitters in the event a potential error in the</w:t>
      </w:r>
      <w:r w:rsidRPr="00B53CDA">
        <w:rPr>
          <w:rFonts w:ascii="Times New Roman" w:hAnsi="Times New Roman"/>
          <w:w w:val="99"/>
          <w:sz w:val="24"/>
          <w:szCs w:val="24"/>
        </w:rPr>
        <w:t xml:space="preserve"> </w:t>
      </w:r>
      <w:r w:rsidRPr="00B53CDA">
        <w:rPr>
          <w:rFonts w:ascii="Times New Roman" w:hAnsi="Times New Roman"/>
          <w:sz w:val="24"/>
          <w:szCs w:val="24"/>
        </w:rPr>
        <w:t>dataset is identified or in the event of updates or other changes to the database.</w:t>
      </w:r>
      <w:r>
        <w:rPr>
          <w:rFonts w:ascii="Times New Roman" w:hAnsi="Times New Roman"/>
          <w:sz w:val="24"/>
          <w:szCs w:val="24"/>
        </w:rPr>
        <w:t>”</w:t>
      </w:r>
    </w:p>
    <w:p w:rsidR="00B53CDA" w:rsidRDefault="00B53CDA" w:rsidP="0005035B"/>
    <w:p w:rsidR="00C8522D" w:rsidRPr="00C8522D" w:rsidRDefault="00D96D26" w:rsidP="00C8522D">
      <w:pPr>
        <w:rPr>
          <w:vanish/>
        </w:rPr>
      </w:pPr>
      <w:r>
        <w:t>As noted in the Terms and conditions of the Data Submission Agreement, t</w:t>
      </w:r>
      <w:r w:rsidR="00F3509E">
        <w:t xml:space="preserve">he name of the Principal Investigator will be included in the DCTRS database and included in data released to individuals who have requested access to the database. The PI name will help the users of the database to easily identify the studies that are included in the database. No other information collected about the individuals contributing data to the DCTRS database will be released. </w:t>
      </w:r>
    </w:p>
    <w:p w:rsidR="0005035B" w:rsidRPr="0005035B" w:rsidRDefault="0005035B" w:rsidP="0005035B">
      <w:pPr>
        <w:rPr>
          <w:color w:val="FF0000"/>
        </w:rPr>
      </w:pPr>
    </w:p>
    <w:p w:rsidR="0005035B" w:rsidRDefault="0005035B" w:rsidP="0005035B"/>
    <w:p w:rsidR="0005035B" w:rsidRPr="00D61E21" w:rsidRDefault="0005035B" w:rsidP="001C142B">
      <w:pPr>
        <w:pStyle w:val="Heading2"/>
        <w:spacing w:after="0" w:line="480" w:lineRule="auto"/>
        <w:ind w:left="0" w:firstLine="0"/>
        <w:rPr>
          <w:sz w:val="24"/>
          <w:szCs w:val="24"/>
        </w:rPr>
      </w:pPr>
      <w:bookmarkStart w:id="36" w:name="_Toc443881752"/>
      <w:bookmarkStart w:id="37" w:name="_Toc451592241"/>
      <w:bookmarkStart w:id="38" w:name="_Toc5610282"/>
      <w:bookmarkStart w:id="39" w:name="_Toc99178788"/>
      <w:r>
        <w:rPr>
          <w:sz w:val="24"/>
          <w:szCs w:val="24"/>
        </w:rPr>
        <w:t>A.11</w:t>
      </w:r>
      <w:r w:rsidRPr="00D61E21">
        <w:rPr>
          <w:sz w:val="24"/>
          <w:szCs w:val="24"/>
        </w:rPr>
        <w:tab/>
        <w:t>Justification for Sensitive Questions</w:t>
      </w:r>
      <w:bookmarkEnd w:id="36"/>
      <w:bookmarkEnd w:id="37"/>
      <w:bookmarkEnd w:id="38"/>
      <w:bookmarkEnd w:id="39"/>
    </w:p>
    <w:p w:rsidR="009A697A" w:rsidRDefault="009A697A" w:rsidP="0005035B">
      <w:r>
        <w:t>DCTRS includes data regarding participants’ psychiatric diagnosis, medication type and dose and illness/treatment history (age of onset of psychiatric symptoms, age at first treatment for psychiatric symptoms, age at first psychiatric hospitalization, total number of psychiatric hospitalizations, number of psychiatric hospitalizations in the last year), to the extent that it is included in data from submitting studies. This information is important in order to characterize the subjects included in the database and to examine whether these clinical characteristics are associated with differences in outcomes of CR intervention. For example, it would be important to know whether more severely ill individuals</w:t>
      </w:r>
      <w:r w:rsidR="002F7598">
        <w:t xml:space="preserve"> or those with longer duration of illness </w:t>
      </w:r>
      <w:r>
        <w:t>have a reduced therapeutic response to CR or whether specific medications have a potentiating or dampening effect on response to CR.</w:t>
      </w:r>
    </w:p>
    <w:p w:rsidR="009A697A" w:rsidRDefault="009A697A" w:rsidP="0005035B"/>
    <w:p w:rsidR="003D627E" w:rsidRDefault="00A15365" w:rsidP="0005035B">
      <w:r>
        <w:t>In the Terms and Conditions of the Data Submission Agreement, contributing PIs are asked to attest that “</w:t>
      </w:r>
      <w:r w:rsidRPr="00A15365">
        <w:t>data were collected pursuant to an informed consent that is not inconsistent with the data submission</w:t>
      </w:r>
      <w:r>
        <w:t>.” For studies that have already been comple</w:t>
      </w:r>
      <w:r w:rsidR="003D627E">
        <w:t>ted, DCTRS will not require that researchers re-contact participants. For future studies of CR for schizophrenia funded by NIMH, program staff will encourage investigators to include language regarding sharing data via DCTRS in their consent forms.</w:t>
      </w:r>
      <w:r w:rsidR="00053D8D">
        <w:t xml:space="preserve"> </w:t>
      </w:r>
    </w:p>
    <w:p w:rsidR="003D627E" w:rsidRDefault="003D627E" w:rsidP="0005035B"/>
    <w:p w:rsidR="00A15365" w:rsidRDefault="00A15365" w:rsidP="00A15365">
      <w:r>
        <w:t>No other data of a sensitive nature are requested from contributors or included in DCTRS.</w:t>
      </w:r>
    </w:p>
    <w:p w:rsidR="003D627E" w:rsidRDefault="003D627E" w:rsidP="00A15365"/>
    <w:p w:rsidR="003D627E" w:rsidRDefault="003D627E" w:rsidP="003D627E">
      <w:r>
        <w:t>In addition, in the Terms and Conditions of the Data Submission Agreement, contributing PIs are asked to attest that “</w:t>
      </w:r>
      <w:r w:rsidRPr="003D627E">
        <w:t xml:space="preserve">the data have been ‘de-identified’ according to the following criterion: the identities of subjects cannot be readily ascertained or otherwise associated with the data by the repository staff or secondary data users (45 C.F.R. 46.102(f)). Submitter further agrees not to disclose the identities of research participants to DCTRS in the future and to verify that data lack identifiers after submission. Submitter agrees to </w:t>
      </w:r>
      <w:r w:rsidRPr="003D627E">
        <w:lastRenderedPageBreak/>
        <w:t>notify NIMH as soon as possible if, upon review of DCTRS data, the Submitter discovers identifying information in that data.</w:t>
      </w:r>
      <w:r>
        <w:t>”</w:t>
      </w:r>
    </w:p>
    <w:p w:rsidR="003D627E" w:rsidRDefault="003D627E" w:rsidP="003D627E"/>
    <w:p w:rsidR="003D627E" w:rsidRDefault="003D627E" w:rsidP="00A15365">
      <w:r>
        <w:t>Upon submission of the data, the repository staff performs a quality control review to ensure that no personally identifiable information (PII) is contained in the dataset or supporting documentation. Only data that have undergone this quality control review are approved for sharing with the research community.</w:t>
      </w:r>
    </w:p>
    <w:p w:rsidR="000811DE" w:rsidRDefault="000811DE" w:rsidP="00A15365"/>
    <w:p w:rsidR="000811DE" w:rsidRPr="000811DE" w:rsidRDefault="000811DE" w:rsidP="000811DE">
      <w:r w:rsidRPr="000811DE">
        <w:t xml:space="preserve">The </w:t>
      </w:r>
      <w:r>
        <w:t xml:space="preserve">DCTRS </w:t>
      </w:r>
      <w:r w:rsidRPr="000811DE">
        <w:t>dataset</w:t>
      </w:r>
      <w:r>
        <w:t xml:space="preserve"> </w:t>
      </w:r>
      <w:r w:rsidRPr="000811DE">
        <w:t>will be stored on NIMH’s Clinical Trials Operations and Biostatistics Unit (CTOB) ‘Q’ drive, which only CTOB staff have access to. </w:t>
      </w:r>
      <w:r w:rsidR="00DB502E">
        <w:t xml:space="preserve">An excel file containing the names, email addresses and institutions of the contributing investigators will be stored on an NIMH SharePoint site that only members of the DCTRS team can access. </w:t>
      </w:r>
      <w:r w:rsidRPr="000811DE">
        <w:t xml:space="preserve"> </w:t>
      </w:r>
    </w:p>
    <w:p w:rsidR="000811DE" w:rsidRDefault="000811DE" w:rsidP="00A15365"/>
    <w:p w:rsidR="007C16BD" w:rsidRDefault="007C16BD" w:rsidP="007C16BD">
      <w:pPr>
        <w:pStyle w:val="Heading2"/>
        <w:tabs>
          <w:tab w:val="clear" w:pos="1152"/>
          <w:tab w:val="left" w:pos="450"/>
        </w:tabs>
        <w:spacing w:after="0" w:line="480" w:lineRule="auto"/>
        <w:ind w:left="720" w:hanging="720"/>
        <w:jc w:val="left"/>
      </w:pPr>
      <w:r>
        <w:rPr>
          <w:sz w:val="24"/>
          <w:szCs w:val="24"/>
        </w:rPr>
        <w:t>A.12</w:t>
      </w:r>
      <w:r>
        <w:rPr>
          <w:sz w:val="24"/>
          <w:szCs w:val="24"/>
        </w:rPr>
        <w:tab/>
      </w:r>
      <w:r w:rsidRPr="00D61E21">
        <w:rPr>
          <w:sz w:val="24"/>
          <w:szCs w:val="24"/>
        </w:rPr>
        <w:t>Estimates of Hour Burden Including Annualized Hourly Costs</w:t>
      </w:r>
      <w:r w:rsidRPr="003E3ABB">
        <w:t xml:space="preserve"> </w:t>
      </w:r>
    </w:p>
    <w:p w:rsidR="00DB502E" w:rsidRDefault="00DB502E" w:rsidP="007C16BD">
      <w:r>
        <w:t>The values in the tables below assume that all effort in completion of forms and preparation of materials is completed by the Principal Investigator,</w:t>
      </w:r>
      <w:r w:rsidR="008F7FDB">
        <w:t xml:space="preserve"> but we anticipate that Principal Investigators may also have a Research Assistant assist with the process, </w:t>
      </w:r>
      <w:r w:rsidR="003E42D8">
        <w:t xml:space="preserve">so Respondent Costs </w:t>
      </w:r>
      <w:r>
        <w:t xml:space="preserve">might </w:t>
      </w:r>
      <w:r w:rsidR="003E42D8">
        <w:t xml:space="preserve">be </w:t>
      </w:r>
      <w:r w:rsidR="008F7FDB">
        <w:t xml:space="preserve">somewhat </w:t>
      </w:r>
      <w:r>
        <w:t>over-estimate</w:t>
      </w:r>
      <w:r w:rsidR="003E42D8">
        <w:t xml:space="preserve">d </w:t>
      </w:r>
      <w:r w:rsidR="008F7FDB">
        <w:t xml:space="preserve">depending on </w:t>
      </w:r>
      <w:r w:rsidR="003E42D8">
        <w:t xml:space="preserve">the extent </w:t>
      </w:r>
      <w:r w:rsidR="008F7FDB">
        <w:t xml:space="preserve">to which </w:t>
      </w:r>
      <w:r w:rsidR="003E42D8">
        <w:t>some of th</w:t>
      </w:r>
      <w:r w:rsidR="008F7FDB">
        <w:t>e</w:t>
      </w:r>
      <w:r w:rsidR="003E42D8">
        <w:t xml:space="preserve"> effort will be by Research Assistants. </w:t>
      </w:r>
    </w:p>
    <w:p w:rsidR="00D1428C" w:rsidRDefault="00D1428C" w:rsidP="007C16BD"/>
    <w:p w:rsidR="00D1428C" w:rsidRDefault="00D1428C" w:rsidP="007C16BD">
      <w:r>
        <w:t xml:space="preserve">Individuals who completed the </w:t>
      </w:r>
      <w:r w:rsidR="004E43D5">
        <w:t xml:space="preserve">Data Submission Agreement which includes </w:t>
      </w:r>
      <w:r w:rsidR="00DA34EE">
        <w:t>the Submitter</w:t>
      </w:r>
      <w:r w:rsidR="004E43D5">
        <w:t xml:space="preserve"> Information and Certification, </w:t>
      </w:r>
      <w:r>
        <w:t>Study Information form and su</w:t>
      </w:r>
      <w:r w:rsidR="004E43D5">
        <w:t>pporting</w:t>
      </w:r>
      <w:r>
        <w:t xml:space="preserve"> materials (as described in Section A.8) reported that it took them, on average</w:t>
      </w:r>
      <w:r w:rsidRPr="00D96D26">
        <w:t xml:space="preserve">, a total of </w:t>
      </w:r>
      <w:r w:rsidR="00D96D26">
        <w:t>5</w:t>
      </w:r>
      <w:r w:rsidRPr="00D96D26">
        <w:t xml:space="preserve"> hours</w:t>
      </w:r>
      <w:r>
        <w:t xml:space="preserve">, and that most of that time was spent getting the digital data file(s) and documentation “cleaned up” (e.g., making sure that variable names and labels were clear) and ready to send. </w:t>
      </w:r>
    </w:p>
    <w:p w:rsidR="00D1428C" w:rsidRDefault="00D1428C" w:rsidP="007C16BD"/>
    <w:p w:rsidR="00D1428C" w:rsidRDefault="00D1428C" w:rsidP="007C16BD">
      <w:r>
        <w:t xml:space="preserve">According to a PubMed search, </w:t>
      </w:r>
      <w:r w:rsidR="00755043">
        <w:t xml:space="preserve">40 trials of CR in schizophrenia have been published in the last 5 years and there continues to be intense scientific interest in the topic. Our </w:t>
      </w:r>
      <w:r w:rsidR="00D96D26">
        <w:t xml:space="preserve">annualized </w:t>
      </w:r>
      <w:r w:rsidR="00755043">
        <w:t xml:space="preserve">estimates of burden assume </w:t>
      </w:r>
      <w:r w:rsidR="00880E9D">
        <w:t xml:space="preserve">a 5-year time frame in which </w:t>
      </w:r>
      <w:r w:rsidR="00755043">
        <w:t xml:space="preserve">approximately 70% of the studies published in the last 5 years and approximately 30 </w:t>
      </w:r>
      <w:r w:rsidR="00880E9D">
        <w:t xml:space="preserve">future </w:t>
      </w:r>
      <w:r w:rsidR="00755043">
        <w:t xml:space="preserve">trials </w:t>
      </w:r>
      <w:r w:rsidR="00880E9D">
        <w:t xml:space="preserve">completed in the next 5 years </w:t>
      </w:r>
      <w:r w:rsidR="00755043">
        <w:t>will be contributed to the database</w:t>
      </w:r>
      <w:r w:rsidR="00D73F0A">
        <w:t>, for a total of 60 studies to be included</w:t>
      </w:r>
      <w:r w:rsidR="00755043">
        <w:t>.</w:t>
      </w:r>
      <w:r w:rsidR="00140BE0">
        <w:t xml:space="preserve"> </w:t>
      </w:r>
      <w:r w:rsidR="00D73F0A">
        <w:t xml:space="preserve">Some investigators will have more than one study, but for the purposes of estimating burden, we treat each study as a separate data submission. </w:t>
      </w:r>
      <w:r w:rsidR="00140BE0">
        <w:t xml:space="preserve">The annual hour burden will be greater during the first year of the database as we compile a backlog of already-published studies and a reduction in burden in subsequent years as only new studies are added to the database. The values in table A12-1 are averages over </w:t>
      </w:r>
      <w:proofErr w:type="gramStart"/>
      <w:r w:rsidR="00140BE0">
        <w:t>a</w:t>
      </w:r>
      <w:r w:rsidR="00D73F0A">
        <w:t xml:space="preserve"> </w:t>
      </w:r>
      <w:r w:rsidR="00140BE0">
        <w:t>5</w:t>
      </w:r>
      <w:proofErr w:type="gramEnd"/>
      <w:r w:rsidR="00140BE0">
        <w:t>-year duration of the project</w:t>
      </w:r>
      <w:r w:rsidR="00D73F0A">
        <w:t>.</w:t>
      </w:r>
      <w:r w:rsidR="00D96D26">
        <w:t xml:space="preserve"> It is difficult to estimate the burden beyond this timeframe because the number of studies is likely to change depending on the results of future research.</w:t>
      </w:r>
    </w:p>
    <w:p w:rsidR="00DB502E" w:rsidRDefault="00DB502E" w:rsidP="007C16BD"/>
    <w:p w:rsidR="006405E9" w:rsidRDefault="006405E9" w:rsidP="007C16BD"/>
    <w:p w:rsidR="006405E9" w:rsidRDefault="006405E9" w:rsidP="007C16BD"/>
    <w:p w:rsidR="009D17E5" w:rsidRDefault="009D17E5" w:rsidP="007C16BD"/>
    <w:tbl>
      <w:tblPr>
        <w:tblW w:w="0" w:type="auto"/>
        <w:jc w:val="center"/>
        <w:tblInd w:w="-1478" w:type="dxa"/>
        <w:tblLayout w:type="fixed"/>
        <w:tblCellMar>
          <w:left w:w="120" w:type="dxa"/>
          <w:right w:w="120" w:type="dxa"/>
        </w:tblCellMar>
        <w:tblLook w:val="0000" w:firstRow="0" w:lastRow="0" w:firstColumn="0" w:lastColumn="0" w:noHBand="0" w:noVBand="0"/>
      </w:tblPr>
      <w:tblGrid>
        <w:gridCol w:w="1434"/>
        <w:gridCol w:w="1980"/>
        <w:gridCol w:w="1800"/>
        <w:gridCol w:w="1613"/>
        <w:gridCol w:w="1080"/>
      </w:tblGrid>
      <w:tr w:rsidR="007C16BD" w:rsidRPr="007C16BD" w:rsidTr="004E3123">
        <w:trPr>
          <w:cantSplit/>
          <w:jc w:val="center"/>
        </w:trPr>
        <w:tc>
          <w:tcPr>
            <w:tcW w:w="7907" w:type="dxa"/>
            <w:gridSpan w:val="5"/>
            <w:tcBorders>
              <w:top w:val="single" w:sz="24" w:space="0" w:color="auto"/>
              <w:left w:val="single" w:sz="24" w:space="0" w:color="auto"/>
              <w:bottom w:val="single" w:sz="24" w:space="0" w:color="auto"/>
              <w:right w:val="single" w:sz="24" w:space="0" w:color="auto"/>
            </w:tcBorders>
            <w:shd w:val="pct10" w:color="auto" w:fill="FFFFFF"/>
          </w:tcPr>
          <w:p w:rsidR="007C16BD" w:rsidRPr="008F7FDB" w:rsidRDefault="007C16BD" w:rsidP="00CD679B">
            <w:pPr>
              <w:jc w:val="center"/>
              <w:rPr>
                <w:b/>
              </w:rPr>
            </w:pPr>
          </w:p>
          <w:p w:rsidR="007C16BD" w:rsidRPr="008F7FDB" w:rsidRDefault="007C16BD" w:rsidP="00CD679B">
            <w:pPr>
              <w:jc w:val="center"/>
              <w:rPr>
                <w:b/>
              </w:rPr>
            </w:pPr>
            <w:r w:rsidRPr="008F7FDB">
              <w:rPr>
                <w:b/>
              </w:rPr>
              <w:t xml:space="preserve">A.12 - 1    </w:t>
            </w:r>
            <w:r w:rsidRPr="008F7FDB">
              <w:rPr>
                <w:b/>
                <w:smallCaps/>
              </w:rPr>
              <w:t>Estimates  of  Hour Burden</w:t>
            </w:r>
          </w:p>
          <w:p w:rsidR="007C16BD" w:rsidRPr="008F7FDB" w:rsidRDefault="007C16BD" w:rsidP="00CD679B">
            <w:pPr>
              <w:jc w:val="center"/>
            </w:pPr>
          </w:p>
        </w:tc>
      </w:tr>
      <w:tr w:rsidR="007C16BD" w:rsidRPr="007C16BD" w:rsidTr="004E3123">
        <w:trPr>
          <w:cantSplit/>
          <w:trHeight w:val="403"/>
          <w:jc w:val="center"/>
        </w:trPr>
        <w:tc>
          <w:tcPr>
            <w:tcW w:w="1434" w:type="dxa"/>
            <w:tcBorders>
              <w:top w:val="single" w:sz="24" w:space="0" w:color="auto"/>
              <w:left w:val="single" w:sz="20" w:space="0" w:color="auto"/>
            </w:tcBorders>
            <w:shd w:val="clear" w:color="auto" w:fill="FFFFFF"/>
          </w:tcPr>
          <w:p w:rsidR="007C16BD" w:rsidRPr="008F7FDB" w:rsidRDefault="008F7FDB" w:rsidP="00CD679B">
            <w:r>
              <w:rPr>
                <w:b/>
              </w:rPr>
              <w:t>Form</w:t>
            </w:r>
          </w:p>
        </w:tc>
        <w:tc>
          <w:tcPr>
            <w:tcW w:w="1980" w:type="dxa"/>
            <w:tcBorders>
              <w:top w:val="single" w:sz="24" w:space="0" w:color="auto"/>
              <w:left w:val="single" w:sz="6" w:space="0" w:color="auto"/>
            </w:tcBorders>
          </w:tcPr>
          <w:p w:rsidR="007C16BD" w:rsidRPr="008F7FDB" w:rsidRDefault="007C16BD" w:rsidP="00CD679B">
            <w:pPr>
              <w:rPr>
                <w:b/>
              </w:rPr>
            </w:pPr>
            <w:r w:rsidRPr="008F7FDB">
              <w:rPr>
                <w:b/>
              </w:rPr>
              <w:t xml:space="preserve">Number of </w:t>
            </w:r>
          </w:p>
          <w:p w:rsidR="007C16BD" w:rsidRPr="008F7FDB" w:rsidRDefault="007C16BD" w:rsidP="00CD679B">
            <w:r w:rsidRPr="008F7FDB">
              <w:rPr>
                <w:b/>
              </w:rPr>
              <w:t>Respondents</w:t>
            </w:r>
          </w:p>
        </w:tc>
        <w:tc>
          <w:tcPr>
            <w:tcW w:w="1800" w:type="dxa"/>
            <w:tcBorders>
              <w:top w:val="single" w:sz="24" w:space="0" w:color="auto"/>
              <w:left w:val="single" w:sz="6" w:space="0" w:color="auto"/>
            </w:tcBorders>
          </w:tcPr>
          <w:p w:rsidR="007C16BD" w:rsidRPr="008F7FDB" w:rsidRDefault="007C16BD" w:rsidP="00CD679B">
            <w:pPr>
              <w:rPr>
                <w:b/>
              </w:rPr>
            </w:pPr>
            <w:r w:rsidRPr="008F7FDB">
              <w:rPr>
                <w:b/>
              </w:rPr>
              <w:t xml:space="preserve">Frequency of </w:t>
            </w:r>
          </w:p>
          <w:p w:rsidR="007C16BD" w:rsidRPr="008F7FDB" w:rsidRDefault="007C16BD" w:rsidP="00EB58D4">
            <w:r w:rsidRPr="00EB58D4">
              <w:rPr>
                <w:b/>
              </w:rPr>
              <w:t>Response</w:t>
            </w:r>
          </w:p>
        </w:tc>
        <w:tc>
          <w:tcPr>
            <w:tcW w:w="1613" w:type="dxa"/>
            <w:tcBorders>
              <w:top w:val="single" w:sz="24" w:space="0" w:color="auto"/>
              <w:left w:val="single" w:sz="6" w:space="0" w:color="auto"/>
            </w:tcBorders>
          </w:tcPr>
          <w:p w:rsidR="007C16BD" w:rsidRPr="008F7FDB" w:rsidRDefault="007C16BD" w:rsidP="00CD679B">
            <w:pPr>
              <w:rPr>
                <w:b/>
              </w:rPr>
            </w:pPr>
            <w:r w:rsidRPr="008F7FDB">
              <w:rPr>
                <w:b/>
              </w:rPr>
              <w:t>Average</w:t>
            </w:r>
          </w:p>
          <w:p w:rsidR="007C16BD" w:rsidRPr="008F7FDB" w:rsidRDefault="007C16BD" w:rsidP="00CD679B">
            <w:pPr>
              <w:rPr>
                <w:b/>
              </w:rPr>
            </w:pPr>
            <w:r w:rsidRPr="008F7FDB">
              <w:rPr>
                <w:b/>
              </w:rPr>
              <w:t>Time per</w:t>
            </w:r>
          </w:p>
          <w:p w:rsidR="004E43D5" w:rsidRDefault="007C16BD" w:rsidP="00CD679B">
            <w:pPr>
              <w:rPr>
                <w:b/>
              </w:rPr>
            </w:pPr>
            <w:r w:rsidRPr="008F7FDB">
              <w:rPr>
                <w:b/>
              </w:rPr>
              <w:t>Response</w:t>
            </w:r>
            <w:r w:rsidR="004E43D5">
              <w:rPr>
                <w:b/>
              </w:rPr>
              <w:t xml:space="preserve"> </w:t>
            </w:r>
          </w:p>
          <w:p w:rsidR="007C16BD" w:rsidRPr="008F7FDB" w:rsidRDefault="004E43D5" w:rsidP="00CD679B">
            <w:r>
              <w:rPr>
                <w:b/>
              </w:rPr>
              <w:t>(in hours)</w:t>
            </w:r>
          </w:p>
        </w:tc>
        <w:tc>
          <w:tcPr>
            <w:tcW w:w="1080" w:type="dxa"/>
            <w:tcBorders>
              <w:top w:val="single" w:sz="24" w:space="0" w:color="auto"/>
              <w:left w:val="single" w:sz="6" w:space="0" w:color="auto"/>
              <w:right w:val="single" w:sz="24" w:space="0" w:color="auto"/>
            </w:tcBorders>
          </w:tcPr>
          <w:p w:rsidR="007C16BD" w:rsidRPr="008F7FDB" w:rsidRDefault="007C16BD" w:rsidP="00CD679B">
            <w:pPr>
              <w:jc w:val="center"/>
              <w:rPr>
                <w:b/>
              </w:rPr>
            </w:pPr>
            <w:r w:rsidRPr="008F7FDB">
              <w:rPr>
                <w:b/>
              </w:rPr>
              <w:t xml:space="preserve">Annual Hour </w:t>
            </w:r>
          </w:p>
          <w:p w:rsidR="007C16BD" w:rsidRPr="008F7FDB" w:rsidRDefault="007C16BD" w:rsidP="00CD679B">
            <w:pPr>
              <w:jc w:val="center"/>
            </w:pPr>
            <w:r w:rsidRPr="008F7FDB">
              <w:rPr>
                <w:b/>
              </w:rPr>
              <w:t>Burden</w:t>
            </w:r>
          </w:p>
        </w:tc>
      </w:tr>
      <w:tr w:rsidR="007C16BD" w:rsidRPr="007C16BD" w:rsidTr="004E3123">
        <w:trPr>
          <w:cantSplit/>
          <w:trHeight w:val="403"/>
          <w:jc w:val="center"/>
        </w:trPr>
        <w:tc>
          <w:tcPr>
            <w:tcW w:w="1434" w:type="dxa"/>
            <w:tcBorders>
              <w:top w:val="single" w:sz="6" w:space="0" w:color="auto"/>
              <w:left w:val="single" w:sz="20" w:space="0" w:color="auto"/>
            </w:tcBorders>
            <w:shd w:val="clear" w:color="auto" w:fill="FFFFFF"/>
          </w:tcPr>
          <w:p w:rsidR="007C16BD" w:rsidRPr="008F7FDB" w:rsidRDefault="00D1428C" w:rsidP="00CD679B">
            <w:r>
              <w:t xml:space="preserve">Data Submission Agreement </w:t>
            </w:r>
          </w:p>
        </w:tc>
        <w:tc>
          <w:tcPr>
            <w:tcW w:w="1980" w:type="dxa"/>
            <w:tcBorders>
              <w:top w:val="single" w:sz="6" w:space="0" w:color="auto"/>
              <w:left w:val="single" w:sz="6" w:space="0" w:color="auto"/>
            </w:tcBorders>
          </w:tcPr>
          <w:p w:rsidR="007C16BD" w:rsidRPr="008F7FDB" w:rsidRDefault="00D73F0A" w:rsidP="00140BE0">
            <w:pPr>
              <w:jc w:val="center"/>
            </w:pPr>
            <w:r>
              <w:rPr>
                <w:smallCaps/>
              </w:rPr>
              <w:t>12</w:t>
            </w:r>
          </w:p>
        </w:tc>
        <w:tc>
          <w:tcPr>
            <w:tcW w:w="1800" w:type="dxa"/>
            <w:tcBorders>
              <w:top w:val="single" w:sz="6" w:space="0" w:color="auto"/>
              <w:left w:val="single" w:sz="6" w:space="0" w:color="auto"/>
            </w:tcBorders>
          </w:tcPr>
          <w:p w:rsidR="007C16BD" w:rsidRPr="008F7FDB" w:rsidRDefault="00755043" w:rsidP="00755043">
            <w:pPr>
              <w:jc w:val="center"/>
            </w:pPr>
            <w:r>
              <w:rPr>
                <w:smallCaps/>
              </w:rPr>
              <w:t>1</w:t>
            </w:r>
          </w:p>
        </w:tc>
        <w:tc>
          <w:tcPr>
            <w:tcW w:w="1613" w:type="dxa"/>
            <w:tcBorders>
              <w:top w:val="single" w:sz="6" w:space="0" w:color="auto"/>
              <w:left w:val="single" w:sz="6" w:space="0" w:color="auto"/>
            </w:tcBorders>
          </w:tcPr>
          <w:p w:rsidR="007C16BD" w:rsidRPr="008F7FDB" w:rsidRDefault="00755043" w:rsidP="00EB58D4">
            <w:pPr>
              <w:jc w:val="center"/>
            </w:pPr>
            <w:r>
              <w:t>5</w:t>
            </w:r>
          </w:p>
        </w:tc>
        <w:tc>
          <w:tcPr>
            <w:tcW w:w="1080" w:type="dxa"/>
            <w:tcBorders>
              <w:top w:val="single" w:sz="6" w:space="0" w:color="auto"/>
              <w:left w:val="single" w:sz="6" w:space="0" w:color="auto"/>
              <w:right w:val="single" w:sz="24" w:space="0" w:color="auto"/>
            </w:tcBorders>
          </w:tcPr>
          <w:p w:rsidR="007C16BD" w:rsidRPr="008F7FDB" w:rsidRDefault="00140BE0" w:rsidP="00140BE0">
            <w:pPr>
              <w:jc w:val="center"/>
            </w:pPr>
            <w:r>
              <w:t>60</w:t>
            </w:r>
          </w:p>
        </w:tc>
      </w:tr>
      <w:tr w:rsidR="007C16BD" w:rsidRPr="007C16BD" w:rsidTr="004E3123">
        <w:trPr>
          <w:cantSplit/>
          <w:trHeight w:val="403"/>
          <w:jc w:val="center"/>
        </w:trPr>
        <w:tc>
          <w:tcPr>
            <w:tcW w:w="1434" w:type="dxa"/>
            <w:tcBorders>
              <w:top w:val="single" w:sz="6" w:space="0" w:color="auto"/>
              <w:left w:val="single" w:sz="20" w:space="0" w:color="auto"/>
              <w:bottom w:val="single" w:sz="24" w:space="0" w:color="auto"/>
            </w:tcBorders>
            <w:shd w:val="clear" w:color="auto" w:fill="FFFFFF"/>
          </w:tcPr>
          <w:p w:rsidR="007C16BD" w:rsidRPr="008F7FDB" w:rsidRDefault="007C16BD" w:rsidP="00CD679B">
            <w:pPr>
              <w:pStyle w:val="Heading2"/>
              <w:rPr>
                <w:sz w:val="24"/>
              </w:rPr>
            </w:pPr>
            <w:r w:rsidRPr="008F7FDB">
              <w:t>Totals</w:t>
            </w:r>
          </w:p>
        </w:tc>
        <w:tc>
          <w:tcPr>
            <w:tcW w:w="1980" w:type="dxa"/>
            <w:tcBorders>
              <w:top w:val="single" w:sz="6" w:space="0" w:color="auto"/>
              <w:left w:val="single" w:sz="6" w:space="0" w:color="auto"/>
              <w:bottom w:val="single" w:sz="24" w:space="0" w:color="auto"/>
            </w:tcBorders>
          </w:tcPr>
          <w:p w:rsidR="007C16BD" w:rsidRPr="008F7FDB" w:rsidRDefault="00D73F0A" w:rsidP="00140BE0">
            <w:pPr>
              <w:jc w:val="center"/>
            </w:pPr>
            <w:r>
              <w:rPr>
                <w:smallCaps/>
              </w:rPr>
              <w:t>12</w:t>
            </w:r>
          </w:p>
        </w:tc>
        <w:tc>
          <w:tcPr>
            <w:tcW w:w="1800" w:type="dxa"/>
            <w:tcBorders>
              <w:top w:val="single" w:sz="6" w:space="0" w:color="auto"/>
              <w:left w:val="single" w:sz="6" w:space="0" w:color="auto"/>
              <w:bottom w:val="single" w:sz="24" w:space="0" w:color="auto"/>
            </w:tcBorders>
            <w:shd w:val="pct10" w:color="auto" w:fill="FFFFFF"/>
          </w:tcPr>
          <w:p w:rsidR="007C16BD" w:rsidRPr="008F7FDB" w:rsidRDefault="007C16BD" w:rsidP="00CD679B"/>
        </w:tc>
        <w:tc>
          <w:tcPr>
            <w:tcW w:w="1613" w:type="dxa"/>
            <w:tcBorders>
              <w:top w:val="single" w:sz="6" w:space="0" w:color="auto"/>
              <w:left w:val="single" w:sz="6" w:space="0" w:color="auto"/>
              <w:bottom w:val="single" w:sz="24" w:space="0" w:color="auto"/>
            </w:tcBorders>
            <w:shd w:val="pct10" w:color="auto" w:fill="FFFFFF"/>
          </w:tcPr>
          <w:p w:rsidR="007C16BD" w:rsidRPr="008F7FDB" w:rsidRDefault="007C16BD" w:rsidP="00EB58D4">
            <w:pPr>
              <w:jc w:val="center"/>
            </w:pPr>
          </w:p>
        </w:tc>
        <w:tc>
          <w:tcPr>
            <w:tcW w:w="1080" w:type="dxa"/>
            <w:tcBorders>
              <w:top w:val="single" w:sz="6" w:space="0" w:color="auto"/>
              <w:left w:val="single" w:sz="6" w:space="0" w:color="auto"/>
              <w:bottom w:val="single" w:sz="24" w:space="0" w:color="auto"/>
              <w:right w:val="single" w:sz="24" w:space="0" w:color="auto"/>
            </w:tcBorders>
          </w:tcPr>
          <w:p w:rsidR="007C16BD" w:rsidRDefault="00140BE0" w:rsidP="00EB58D4">
            <w:pPr>
              <w:jc w:val="center"/>
              <w:rPr>
                <w:smallCaps/>
              </w:rPr>
            </w:pPr>
            <w:r>
              <w:rPr>
                <w:smallCaps/>
              </w:rPr>
              <w:t>60</w:t>
            </w:r>
          </w:p>
          <w:p w:rsidR="00EB58D4" w:rsidRPr="008F7FDB" w:rsidRDefault="00EB58D4" w:rsidP="00EB58D4">
            <w:pPr>
              <w:jc w:val="center"/>
              <w:rPr>
                <w:smallCaps/>
              </w:rPr>
            </w:pPr>
          </w:p>
          <w:p w:rsidR="007C16BD" w:rsidRPr="008F7FDB" w:rsidRDefault="007C16BD" w:rsidP="00EB58D4">
            <w:pPr>
              <w:jc w:val="center"/>
            </w:pPr>
          </w:p>
        </w:tc>
      </w:tr>
    </w:tbl>
    <w:p w:rsidR="007C16BD" w:rsidRPr="007C16BD" w:rsidRDefault="007C16BD" w:rsidP="007C16BD">
      <w:pPr>
        <w:rPr>
          <w:smallCaps/>
          <w:color w:val="FF0000"/>
        </w:rPr>
      </w:pPr>
    </w:p>
    <w:p w:rsidR="00967AAE" w:rsidRPr="00EB58D4" w:rsidRDefault="00967AAE" w:rsidP="00967AAE">
      <w:pPr>
        <w:jc w:val="center"/>
        <w:rPr>
          <w:b/>
          <w:smallCaps/>
        </w:rPr>
      </w:pPr>
      <w:r w:rsidRPr="00EB58D4">
        <w:rPr>
          <w:b/>
          <w:smallCaps/>
        </w:rPr>
        <w:t>A.12 - 2   Annualized Cost To Respondents</w:t>
      </w:r>
    </w:p>
    <w:p w:rsidR="00967AAE" w:rsidRDefault="00967AAE" w:rsidP="00967AAE"/>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620"/>
        <w:gridCol w:w="1345"/>
        <w:gridCol w:w="1445"/>
        <w:gridCol w:w="990"/>
        <w:gridCol w:w="1638"/>
      </w:tblGrid>
      <w:tr w:rsidR="00EB58D4" w:rsidRPr="00EB58D4" w:rsidTr="00D73F0A">
        <w:tc>
          <w:tcPr>
            <w:tcW w:w="1530" w:type="dxa"/>
          </w:tcPr>
          <w:p w:rsidR="009C2538" w:rsidRPr="009D17E5" w:rsidRDefault="009C2538" w:rsidP="00B06047">
            <w:pPr>
              <w:rPr>
                <w:b/>
              </w:rPr>
            </w:pPr>
            <w:r w:rsidRPr="009D17E5">
              <w:rPr>
                <w:b/>
              </w:rPr>
              <w:t>Type of Respondents</w:t>
            </w:r>
          </w:p>
        </w:tc>
        <w:tc>
          <w:tcPr>
            <w:tcW w:w="1620" w:type="dxa"/>
          </w:tcPr>
          <w:p w:rsidR="009C2538" w:rsidRPr="009D17E5" w:rsidRDefault="009C2538" w:rsidP="00B06047">
            <w:pPr>
              <w:rPr>
                <w:b/>
              </w:rPr>
            </w:pPr>
            <w:r w:rsidRPr="009D17E5">
              <w:rPr>
                <w:b/>
              </w:rPr>
              <w:t>Number of Respondents</w:t>
            </w:r>
          </w:p>
        </w:tc>
        <w:tc>
          <w:tcPr>
            <w:tcW w:w="1345" w:type="dxa"/>
          </w:tcPr>
          <w:p w:rsidR="009C2538" w:rsidRPr="009D17E5" w:rsidRDefault="009C2538" w:rsidP="00B06047">
            <w:pPr>
              <w:rPr>
                <w:b/>
              </w:rPr>
            </w:pPr>
            <w:r w:rsidRPr="009D17E5">
              <w:rPr>
                <w:b/>
              </w:rPr>
              <w:t>Frequency of Response</w:t>
            </w:r>
          </w:p>
        </w:tc>
        <w:tc>
          <w:tcPr>
            <w:tcW w:w="1445" w:type="dxa"/>
          </w:tcPr>
          <w:p w:rsidR="009C2538" w:rsidRPr="009D17E5" w:rsidRDefault="009C2538" w:rsidP="00EB58D4">
            <w:pPr>
              <w:rPr>
                <w:b/>
              </w:rPr>
            </w:pPr>
            <w:r w:rsidRPr="009D17E5">
              <w:rPr>
                <w:b/>
              </w:rPr>
              <w:t>Average Time per Respondent</w:t>
            </w:r>
          </w:p>
        </w:tc>
        <w:tc>
          <w:tcPr>
            <w:tcW w:w="990" w:type="dxa"/>
          </w:tcPr>
          <w:p w:rsidR="009C2538" w:rsidRPr="009D17E5" w:rsidRDefault="009C2538" w:rsidP="00B06047">
            <w:pPr>
              <w:rPr>
                <w:b/>
              </w:rPr>
            </w:pPr>
            <w:r w:rsidRPr="009D17E5">
              <w:rPr>
                <w:b/>
              </w:rPr>
              <w:t>Hourly Wage Rate</w:t>
            </w:r>
          </w:p>
        </w:tc>
        <w:tc>
          <w:tcPr>
            <w:tcW w:w="1638" w:type="dxa"/>
          </w:tcPr>
          <w:p w:rsidR="009C2538" w:rsidRPr="009D17E5" w:rsidRDefault="009C2538" w:rsidP="00B06047">
            <w:pPr>
              <w:rPr>
                <w:b/>
              </w:rPr>
            </w:pPr>
            <w:r w:rsidRPr="009D17E5">
              <w:rPr>
                <w:b/>
              </w:rPr>
              <w:t>Respondent</w:t>
            </w:r>
          </w:p>
          <w:p w:rsidR="009C2538" w:rsidRPr="009D17E5" w:rsidRDefault="009C2538" w:rsidP="00B06047">
            <w:pPr>
              <w:rPr>
                <w:b/>
              </w:rPr>
            </w:pPr>
            <w:r w:rsidRPr="009D17E5">
              <w:rPr>
                <w:b/>
              </w:rPr>
              <w:t>Cost</w:t>
            </w:r>
          </w:p>
        </w:tc>
      </w:tr>
      <w:tr w:rsidR="00EB58D4" w:rsidRPr="00EB58D4" w:rsidTr="00D73F0A">
        <w:tc>
          <w:tcPr>
            <w:tcW w:w="1530" w:type="dxa"/>
          </w:tcPr>
          <w:p w:rsidR="009C2538" w:rsidRPr="00EB58D4" w:rsidRDefault="00CD570A" w:rsidP="00EB58D4">
            <w:r>
              <w:t>Researchers</w:t>
            </w:r>
          </w:p>
        </w:tc>
        <w:tc>
          <w:tcPr>
            <w:tcW w:w="1620" w:type="dxa"/>
          </w:tcPr>
          <w:p w:rsidR="009C2538" w:rsidRPr="00EB58D4" w:rsidRDefault="00140BE0" w:rsidP="00EB58D4">
            <w:pPr>
              <w:jc w:val="center"/>
            </w:pPr>
            <w:r>
              <w:t>12</w:t>
            </w:r>
          </w:p>
        </w:tc>
        <w:tc>
          <w:tcPr>
            <w:tcW w:w="1345" w:type="dxa"/>
          </w:tcPr>
          <w:p w:rsidR="009C2538" w:rsidRPr="00EB58D4" w:rsidRDefault="00EB58D4" w:rsidP="00EB58D4">
            <w:pPr>
              <w:jc w:val="center"/>
            </w:pPr>
            <w:r w:rsidRPr="00EB58D4">
              <w:t>1</w:t>
            </w:r>
          </w:p>
        </w:tc>
        <w:tc>
          <w:tcPr>
            <w:tcW w:w="1445" w:type="dxa"/>
          </w:tcPr>
          <w:p w:rsidR="009C2538" w:rsidRPr="00EB58D4" w:rsidRDefault="00EB58D4" w:rsidP="00EB58D4">
            <w:pPr>
              <w:jc w:val="center"/>
            </w:pPr>
            <w:r w:rsidRPr="00EB58D4">
              <w:t>5.00</w:t>
            </w:r>
          </w:p>
        </w:tc>
        <w:tc>
          <w:tcPr>
            <w:tcW w:w="990" w:type="dxa"/>
          </w:tcPr>
          <w:p w:rsidR="009C2538" w:rsidRPr="00EB58D4" w:rsidRDefault="009C2538" w:rsidP="00F47DEC">
            <w:pPr>
              <w:jc w:val="center"/>
            </w:pPr>
            <w:r w:rsidRPr="00EB58D4">
              <w:t>$</w:t>
            </w:r>
            <w:r w:rsidR="00F47DEC">
              <w:t>69.87</w:t>
            </w:r>
          </w:p>
        </w:tc>
        <w:tc>
          <w:tcPr>
            <w:tcW w:w="1638" w:type="dxa"/>
          </w:tcPr>
          <w:p w:rsidR="009C2538" w:rsidRPr="00EB58D4" w:rsidRDefault="00EB58D4" w:rsidP="00D54A89">
            <w:pPr>
              <w:jc w:val="center"/>
            </w:pPr>
            <w:r w:rsidRPr="00EB58D4">
              <w:t>$</w:t>
            </w:r>
            <w:r w:rsidR="00D54A89">
              <w:t>349.35</w:t>
            </w:r>
          </w:p>
        </w:tc>
      </w:tr>
      <w:tr w:rsidR="00EB58D4" w:rsidRPr="00EB58D4" w:rsidTr="00D73F0A">
        <w:tc>
          <w:tcPr>
            <w:tcW w:w="1530" w:type="dxa"/>
          </w:tcPr>
          <w:p w:rsidR="009C2538" w:rsidRPr="00EB58D4" w:rsidRDefault="009C2538" w:rsidP="00B06047">
            <w:r w:rsidRPr="00EB58D4">
              <w:t>Totals</w:t>
            </w:r>
          </w:p>
        </w:tc>
        <w:tc>
          <w:tcPr>
            <w:tcW w:w="1620" w:type="dxa"/>
          </w:tcPr>
          <w:p w:rsidR="009C2538" w:rsidRPr="00EB58D4" w:rsidRDefault="00140BE0" w:rsidP="00140BE0">
            <w:pPr>
              <w:jc w:val="center"/>
            </w:pPr>
            <w:r>
              <w:t>12</w:t>
            </w:r>
          </w:p>
        </w:tc>
        <w:tc>
          <w:tcPr>
            <w:tcW w:w="1345" w:type="dxa"/>
          </w:tcPr>
          <w:p w:rsidR="009C2538" w:rsidRPr="00EB58D4" w:rsidRDefault="00EB58D4" w:rsidP="00EB58D4">
            <w:pPr>
              <w:jc w:val="center"/>
            </w:pPr>
            <w:r w:rsidRPr="00EB58D4">
              <w:t>1</w:t>
            </w:r>
          </w:p>
        </w:tc>
        <w:tc>
          <w:tcPr>
            <w:tcW w:w="1445" w:type="dxa"/>
          </w:tcPr>
          <w:p w:rsidR="009C2538" w:rsidRPr="00EB58D4" w:rsidRDefault="00EB58D4" w:rsidP="00EB58D4">
            <w:pPr>
              <w:jc w:val="center"/>
            </w:pPr>
            <w:r w:rsidRPr="00EB58D4">
              <w:t>5.00</w:t>
            </w:r>
          </w:p>
        </w:tc>
        <w:tc>
          <w:tcPr>
            <w:tcW w:w="990" w:type="dxa"/>
          </w:tcPr>
          <w:p w:rsidR="009C2538" w:rsidRPr="00EB58D4" w:rsidRDefault="00EB58D4" w:rsidP="00F47DEC">
            <w:pPr>
              <w:jc w:val="center"/>
            </w:pPr>
            <w:r w:rsidRPr="00EB58D4">
              <w:t>$</w:t>
            </w:r>
            <w:r w:rsidR="00F47DEC">
              <w:t>69.87</w:t>
            </w:r>
          </w:p>
        </w:tc>
        <w:tc>
          <w:tcPr>
            <w:tcW w:w="1638" w:type="dxa"/>
          </w:tcPr>
          <w:p w:rsidR="009C2538" w:rsidRPr="00EB58D4" w:rsidRDefault="00EB58D4" w:rsidP="00D54A89">
            <w:pPr>
              <w:jc w:val="center"/>
            </w:pPr>
            <w:r w:rsidRPr="00EB58D4">
              <w:t>$</w:t>
            </w:r>
            <w:r w:rsidR="00D54A89">
              <w:t>349.35</w:t>
            </w:r>
          </w:p>
        </w:tc>
      </w:tr>
    </w:tbl>
    <w:p w:rsidR="00967AAE" w:rsidRDefault="00967AAE" w:rsidP="00967AAE"/>
    <w:p w:rsidR="005C2EEB" w:rsidRDefault="005C2EEB" w:rsidP="005C2EEB">
      <w:proofErr w:type="gramStart"/>
      <w:r>
        <w:t xml:space="preserve">Bureau of Labor Statistics/Occupational Employment “Life, Physical, and Social Scientist” </w:t>
      </w:r>
      <w:hyperlink r:id="rId12" w:history="1">
        <w:r w:rsidRPr="00B33D81">
          <w:rPr>
            <w:rStyle w:val="Hyperlink"/>
          </w:rPr>
          <w:t>http://www.bls.gov/oes/current/oes_13644.htm#19-0000</w:t>
        </w:r>
      </w:hyperlink>
      <w:r>
        <w:t>, occupational code 19-2099.</w:t>
      </w:r>
      <w:proofErr w:type="gramEnd"/>
    </w:p>
    <w:p w:rsidR="00F47DEC" w:rsidRDefault="00F47DEC" w:rsidP="00967AAE"/>
    <w:p w:rsidR="00F47DEC" w:rsidRDefault="00F47DEC" w:rsidP="00967AAE"/>
    <w:p w:rsidR="0093431F" w:rsidRDefault="0093431F" w:rsidP="00195823">
      <w:pPr>
        <w:pStyle w:val="Heading2"/>
        <w:tabs>
          <w:tab w:val="clear" w:pos="1152"/>
          <w:tab w:val="left" w:pos="450"/>
        </w:tabs>
        <w:spacing w:after="0" w:line="240" w:lineRule="auto"/>
        <w:ind w:left="720" w:hanging="720"/>
        <w:jc w:val="left"/>
        <w:rPr>
          <w:sz w:val="24"/>
          <w:szCs w:val="24"/>
        </w:rPr>
      </w:pPr>
      <w:bookmarkStart w:id="40" w:name="_Toc443881756"/>
      <w:bookmarkStart w:id="41" w:name="_Toc451592243"/>
      <w:bookmarkStart w:id="42" w:name="_Toc5610284"/>
      <w:bookmarkStart w:id="43" w:name="_Toc99178790"/>
      <w:r>
        <w:rPr>
          <w:sz w:val="24"/>
          <w:szCs w:val="24"/>
        </w:rPr>
        <w:t>A.13</w:t>
      </w:r>
      <w:r w:rsidRPr="00D61E21">
        <w:rPr>
          <w:sz w:val="24"/>
          <w:szCs w:val="24"/>
        </w:rPr>
        <w:tab/>
        <w:t>Estimate of Other Total Annual Cost</w:t>
      </w:r>
      <w:r w:rsidR="00BC4E67">
        <w:rPr>
          <w:sz w:val="24"/>
          <w:szCs w:val="24"/>
        </w:rPr>
        <w:t xml:space="preserve"> Burden to Respondents or Record </w:t>
      </w:r>
      <w:r>
        <w:rPr>
          <w:sz w:val="24"/>
          <w:szCs w:val="24"/>
        </w:rPr>
        <w:t>K</w:t>
      </w:r>
      <w:r w:rsidRPr="00D61E21">
        <w:rPr>
          <w:sz w:val="24"/>
          <w:szCs w:val="24"/>
        </w:rPr>
        <w:t>eepers</w:t>
      </w:r>
      <w:bookmarkEnd w:id="40"/>
      <w:bookmarkEnd w:id="41"/>
      <w:bookmarkEnd w:id="42"/>
      <w:bookmarkEnd w:id="43"/>
    </w:p>
    <w:p w:rsidR="00195823" w:rsidRPr="00195823" w:rsidRDefault="00195823" w:rsidP="00195823">
      <w:pPr>
        <w:pStyle w:val="P1-StandPara"/>
        <w:spacing w:line="240" w:lineRule="auto"/>
      </w:pPr>
    </w:p>
    <w:p w:rsidR="00195823" w:rsidRPr="008F6DB5" w:rsidRDefault="00195823" w:rsidP="00195823">
      <w:pPr>
        <w:pStyle w:val="P1-StandPara"/>
        <w:spacing w:line="240" w:lineRule="auto"/>
        <w:rPr>
          <w:sz w:val="24"/>
          <w:szCs w:val="24"/>
        </w:rPr>
      </w:pPr>
      <w:r w:rsidRPr="008F6DB5">
        <w:rPr>
          <w:sz w:val="24"/>
          <w:szCs w:val="24"/>
        </w:rPr>
        <w:t>There are no additional costs other than the respondents’ burden given in A.12.</w:t>
      </w:r>
    </w:p>
    <w:p w:rsidR="00195823" w:rsidRDefault="00195823" w:rsidP="00195823">
      <w:pPr>
        <w:pStyle w:val="P1-StandPara"/>
        <w:spacing w:line="240" w:lineRule="auto"/>
      </w:pPr>
    </w:p>
    <w:p w:rsidR="00E36A07" w:rsidRDefault="00E36A07" w:rsidP="00195823">
      <w:pPr>
        <w:pStyle w:val="Heading2"/>
        <w:tabs>
          <w:tab w:val="clear" w:pos="1152"/>
          <w:tab w:val="left" w:pos="720"/>
        </w:tabs>
        <w:spacing w:after="0" w:line="240" w:lineRule="auto"/>
        <w:ind w:left="0" w:firstLine="0"/>
        <w:rPr>
          <w:sz w:val="24"/>
          <w:szCs w:val="24"/>
        </w:rPr>
      </w:pPr>
      <w:bookmarkStart w:id="44" w:name="_Toc443881757"/>
      <w:bookmarkStart w:id="45" w:name="_Toc451592244"/>
      <w:bookmarkStart w:id="46" w:name="_Toc5610285"/>
      <w:bookmarkStart w:id="47" w:name="_Toc99178791"/>
      <w:r>
        <w:rPr>
          <w:sz w:val="24"/>
          <w:szCs w:val="24"/>
        </w:rPr>
        <w:t>A.</w:t>
      </w:r>
      <w:r w:rsidRPr="00D61E21">
        <w:rPr>
          <w:sz w:val="24"/>
          <w:szCs w:val="24"/>
        </w:rPr>
        <w:t>14</w:t>
      </w:r>
      <w:r w:rsidRPr="00D61E21">
        <w:rPr>
          <w:sz w:val="24"/>
          <w:szCs w:val="24"/>
        </w:rPr>
        <w:tab/>
        <w:t>Annualized Cost to the Federal Government</w:t>
      </w:r>
      <w:bookmarkEnd w:id="44"/>
      <w:bookmarkEnd w:id="45"/>
      <w:bookmarkEnd w:id="46"/>
      <w:bookmarkEnd w:id="47"/>
      <w:r w:rsidRPr="00D61E21">
        <w:rPr>
          <w:sz w:val="24"/>
          <w:szCs w:val="24"/>
        </w:rPr>
        <w:t xml:space="preserve">  </w:t>
      </w:r>
    </w:p>
    <w:p w:rsidR="00941D9F" w:rsidRPr="00941D9F" w:rsidRDefault="00941D9F" w:rsidP="00941D9F">
      <w:pPr>
        <w:pStyle w:val="P1-StandPara"/>
        <w:spacing w:line="240" w:lineRule="auto"/>
      </w:pPr>
    </w:p>
    <w:tbl>
      <w:tblPr>
        <w:tblStyle w:val="TableGrid"/>
        <w:tblW w:w="9018" w:type="dxa"/>
        <w:tblLook w:val="04A0" w:firstRow="1" w:lastRow="0" w:firstColumn="1" w:lastColumn="0" w:noHBand="0" w:noVBand="1"/>
      </w:tblPr>
      <w:tblGrid>
        <w:gridCol w:w="2268"/>
        <w:gridCol w:w="1980"/>
        <w:gridCol w:w="1530"/>
        <w:gridCol w:w="1620"/>
        <w:gridCol w:w="1620"/>
      </w:tblGrid>
      <w:tr w:rsidR="00FE5D0D" w:rsidTr="00FE5D0D">
        <w:tc>
          <w:tcPr>
            <w:tcW w:w="2268" w:type="dxa"/>
            <w:shd w:val="clear" w:color="auto" w:fill="D9D9D9" w:themeFill="background1" w:themeFillShade="D9"/>
          </w:tcPr>
          <w:p w:rsidR="00FE5D0D" w:rsidRPr="001606A0" w:rsidRDefault="00FE5D0D" w:rsidP="00195823">
            <w:pPr>
              <w:pStyle w:val="P1-StandPara"/>
              <w:spacing w:line="240" w:lineRule="auto"/>
              <w:ind w:firstLine="0"/>
              <w:rPr>
                <w:b/>
              </w:rPr>
            </w:pPr>
            <w:r w:rsidRPr="001606A0">
              <w:rPr>
                <w:b/>
              </w:rPr>
              <w:t>Staff</w:t>
            </w:r>
          </w:p>
        </w:tc>
        <w:tc>
          <w:tcPr>
            <w:tcW w:w="1980" w:type="dxa"/>
            <w:shd w:val="clear" w:color="auto" w:fill="D9D9D9" w:themeFill="background1" w:themeFillShade="D9"/>
          </w:tcPr>
          <w:p w:rsidR="00FE5D0D" w:rsidRPr="001606A0" w:rsidRDefault="00FE5D0D" w:rsidP="00195823">
            <w:pPr>
              <w:pStyle w:val="P1-StandPara"/>
              <w:spacing w:line="240" w:lineRule="auto"/>
              <w:ind w:firstLine="0"/>
              <w:rPr>
                <w:b/>
              </w:rPr>
            </w:pPr>
            <w:r w:rsidRPr="001606A0">
              <w:rPr>
                <w:b/>
              </w:rPr>
              <w:t>Grade/Salary</w:t>
            </w:r>
          </w:p>
          <w:p w:rsidR="00FE5D0D" w:rsidRPr="001606A0" w:rsidRDefault="00FE5D0D" w:rsidP="00195823">
            <w:pPr>
              <w:pStyle w:val="P1-StandPara"/>
              <w:spacing w:line="240" w:lineRule="auto"/>
              <w:ind w:firstLine="0"/>
              <w:rPr>
                <w:b/>
              </w:rPr>
            </w:pPr>
            <w:r w:rsidRPr="001606A0">
              <w:rPr>
                <w:b/>
              </w:rPr>
              <w:t>(Percent FTE or Effort)</w:t>
            </w:r>
          </w:p>
        </w:tc>
        <w:tc>
          <w:tcPr>
            <w:tcW w:w="1530" w:type="dxa"/>
            <w:shd w:val="clear" w:color="auto" w:fill="D9D9D9" w:themeFill="background1" w:themeFillShade="D9"/>
          </w:tcPr>
          <w:p w:rsidR="00FE5D0D" w:rsidRPr="001606A0" w:rsidRDefault="00FE5D0D" w:rsidP="00195823">
            <w:pPr>
              <w:pStyle w:val="P1-StandPara"/>
              <w:spacing w:line="240" w:lineRule="auto"/>
              <w:ind w:firstLine="0"/>
              <w:rPr>
                <w:b/>
              </w:rPr>
            </w:pPr>
            <w:r>
              <w:rPr>
                <w:b/>
              </w:rPr>
              <w:t>Repository Operations Time (in hours)</w:t>
            </w:r>
          </w:p>
        </w:tc>
        <w:tc>
          <w:tcPr>
            <w:tcW w:w="1620" w:type="dxa"/>
            <w:shd w:val="clear" w:color="auto" w:fill="D9D9D9" w:themeFill="background1" w:themeFillShade="D9"/>
          </w:tcPr>
          <w:p w:rsidR="00FE5D0D" w:rsidRPr="001606A0" w:rsidRDefault="00FE5D0D" w:rsidP="00B33A52">
            <w:pPr>
              <w:pStyle w:val="P1-StandPara"/>
              <w:spacing w:line="240" w:lineRule="auto"/>
              <w:ind w:firstLine="0"/>
              <w:rPr>
                <w:b/>
              </w:rPr>
            </w:pPr>
            <w:r w:rsidRPr="001606A0">
              <w:rPr>
                <w:b/>
              </w:rPr>
              <w:t xml:space="preserve">NIMH Repository </w:t>
            </w:r>
            <w:r>
              <w:rPr>
                <w:b/>
              </w:rPr>
              <w:t>H</w:t>
            </w:r>
            <w:r w:rsidRPr="001606A0">
              <w:rPr>
                <w:b/>
              </w:rPr>
              <w:t xml:space="preserve">ourly Rate </w:t>
            </w:r>
          </w:p>
        </w:tc>
        <w:tc>
          <w:tcPr>
            <w:tcW w:w="1620" w:type="dxa"/>
            <w:shd w:val="clear" w:color="auto" w:fill="D9D9D9" w:themeFill="background1" w:themeFillShade="D9"/>
          </w:tcPr>
          <w:p w:rsidR="00FE5D0D" w:rsidRPr="001606A0" w:rsidRDefault="00FE5D0D" w:rsidP="00195823">
            <w:pPr>
              <w:pStyle w:val="P1-StandPara"/>
              <w:spacing w:line="240" w:lineRule="auto"/>
              <w:ind w:firstLine="0"/>
              <w:rPr>
                <w:b/>
              </w:rPr>
            </w:pPr>
            <w:r w:rsidRPr="00C32AD3">
              <w:rPr>
                <w:b/>
              </w:rPr>
              <w:t xml:space="preserve">Repository Operation </w:t>
            </w:r>
          </w:p>
          <w:p w:rsidR="00FE5D0D" w:rsidRPr="001606A0" w:rsidRDefault="00FE5D0D" w:rsidP="00195823">
            <w:pPr>
              <w:pStyle w:val="P1-StandPara"/>
              <w:spacing w:line="240" w:lineRule="auto"/>
              <w:ind w:firstLine="0"/>
              <w:rPr>
                <w:b/>
              </w:rPr>
            </w:pPr>
            <w:r w:rsidRPr="001606A0">
              <w:rPr>
                <w:b/>
              </w:rPr>
              <w:t xml:space="preserve">Cost </w:t>
            </w:r>
          </w:p>
        </w:tc>
      </w:tr>
      <w:tr w:rsidR="00FE5D0D" w:rsidTr="00FE5D0D">
        <w:tc>
          <w:tcPr>
            <w:tcW w:w="2268" w:type="dxa"/>
          </w:tcPr>
          <w:p w:rsidR="00FE5D0D" w:rsidRDefault="00FE5D0D" w:rsidP="00195823">
            <w:pPr>
              <w:pStyle w:val="P1-StandPara"/>
              <w:spacing w:line="240" w:lineRule="auto"/>
              <w:ind w:firstLine="0"/>
            </w:pPr>
            <w:r>
              <w:t>Repository Operations Staff Tier 1</w:t>
            </w:r>
          </w:p>
        </w:tc>
        <w:tc>
          <w:tcPr>
            <w:tcW w:w="1980" w:type="dxa"/>
          </w:tcPr>
          <w:p w:rsidR="00FE5D0D" w:rsidRDefault="004D0D6B" w:rsidP="00666CCA">
            <w:pPr>
              <w:pStyle w:val="P1-StandPara"/>
              <w:spacing w:line="240" w:lineRule="auto"/>
              <w:ind w:firstLine="0"/>
            </w:pPr>
            <w:r>
              <w:t>$46,036</w:t>
            </w:r>
            <w:r w:rsidR="00B7162A">
              <w:t xml:space="preserve"> (&lt; 2% </w:t>
            </w:r>
            <w:r w:rsidR="00666CCA">
              <w:t>Effort</w:t>
            </w:r>
            <w:r w:rsidR="00B7162A">
              <w:t>)</w:t>
            </w:r>
          </w:p>
        </w:tc>
        <w:tc>
          <w:tcPr>
            <w:tcW w:w="1530" w:type="dxa"/>
          </w:tcPr>
          <w:p w:rsidR="00FE5D0D" w:rsidRDefault="00FE5D0D" w:rsidP="00195823">
            <w:pPr>
              <w:pStyle w:val="P1-StandPara"/>
              <w:spacing w:line="240" w:lineRule="auto"/>
              <w:ind w:firstLine="0"/>
            </w:pPr>
            <w:r>
              <w:t>36</w:t>
            </w:r>
          </w:p>
        </w:tc>
        <w:tc>
          <w:tcPr>
            <w:tcW w:w="1620" w:type="dxa"/>
          </w:tcPr>
          <w:p w:rsidR="00FE5D0D" w:rsidRDefault="004D0D6B" w:rsidP="00F45119">
            <w:pPr>
              <w:pStyle w:val="P1-StandPara"/>
              <w:spacing w:line="240" w:lineRule="auto"/>
              <w:ind w:firstLine="0"/>
            </w:pPr>
            <w:r>
              <w:t>22.06</w:t>
            </w:r>
          </w:p>
        </w:tc>
        <w:tc>
          <w:tcPr>
            <w:tcW w:w="1620" w:type="dxa"/>
          </w:tcPr>
          <w:p w:rsidR="00FE5D0D" w:rsidRDefault="00BE5226" w:rsidP="004D0D6B">
            <w:pPr>
              <w:pStyle w:val="P1-StandPara"/>
              <w:spacing w:line="240" w:lineRule="auto"/>
              <w:ind w:firstLine="0"/>
            </w:pPr>
            <w:r>
              <w:t xml:space="preserve">     </w:t>
            </w:r>
            <w:r w:rsidR="004D0D6B">
              <w:t>794.02</w:t>
            </w:r>
          </w:p>
        </w:tc>
      </w:tr>
      <w:tr w:rsidR="00FE5D0D" w:rsidTr="00FE5D0D">
        <w:tc>
          <w:tcPr>
            <w:tcW w:w="2268" w:type="dxa"/>
          </w:tcPr>
          <w:p w:rsidR="00FE5D0D" w:rsidRDefault="00FE5D0D" w:rsidP="00195823">
            <w:pPr>
              <w:pStyle w:val="P1-StandPara"/>
              <w:spacing w:line="240" w:lineRule="auto"/>
              <w:ind w:firstLine="0"/>
            </w:pPr>
            <w:r>
              <w:t>Repository Operations Staff Tier 2</w:t>
            </w:r>
          </w:p>
        </w:tc>
        <w:tc>
          <w:tcPr>
            <w:tcW w:w="1980" w:type="dxa"/>
          </w:tcPr>
          <w:p w:rsidR="00FE5D0D" w:rsidRDefault="004D0D6B" w:rsidP="00666CCA">
            <w:pPr>
              <w:pStyle w:val="P1-StandPara"/>
              <w:spacing w:line="240" w:lineRule="auto"/>
              <w:ind w:firstLine="0"/>
            </w:pPr>
            <w:r>
              <w:t>$149</w:t>
            </w:r>
            <w:r w:rsidR="005B2C9D">
              <w:t>,</w:t>
            </w:r>
            <w:r>
              <w:t>994</w:t>
            </w:r>
            <w:r w:rsidR="00B7162A">
              <w:t xml:space="preserve"> (&lt; 2% </w:t>
            </w:r>
            <w:r w:rsidR="00666CCA">
              <w:t>Effort</w:t>
            </w:r>
            <w:r w:rsidR="00B7162A">
              <w:t>)</w:t>
            </w:r>
          </w:p>
        </w:tc>
        <w:tc>
          <w:tcPr>
            <w:tcW w:w="1530" w:type="dxa"/>
          </w:tcPr>
          <w:p w:rsidR="00FE5D0D" w:rsidRDefault="00FE5D0D" w:rsidP="00195823">
            <w:pPr>
              <w:pStyle w:val="P1-StandPara"/>
              <w:spacing w:line="240" w:lineRule="auto"/>
              <w:ind w:firstLine="0"/>
            </w:pPr>
            <w:r>
              <w:t>36</w:t>
            </w:r>
          </w:p>
        </w:tc>
        <w:tc>
          <w:tcPr>
            <w:tcW w:w="1620" w:type="dxa"/>
          </w:tcPr>
          <w:p w:rsidR="00FE5D0D" w:rsidRDefault="004D0D6B" w:rsidP="005B2C9D">
            <w:pPr>
              <w:pStyle w:val="P1-StandPara"/>
              <w:spacing w:line="240" w:lineRule="auto"/>
              <w:ind w:firstLine="0"/>
            </w:pPr>
            <w:r>
              <w:t>7</w:t>
            </w:r>
            <w:r w:rsidR="005B2C9D">
              <w:t>9</w:t>
            </w:r>
            <w:r>
              <w:t>.06</w:t>
            </w:r>
          </w:p>
        </w:tc>
        <w:tc>
          <w:tcPr>
            <w:tcW w:w="1620" w:type="dxa"/>
          </w:tcPr>
          <w:p w:rsidR="00D54A89" w:rsidRDefault="00BE5226" w:rsidP="004D0D6B">
            <w:pPr>
              <w:pStyle w:val="P1-StandPara"/>
              <w:spacing w:line="240" w:lineRule="auto"/>
              <w:ind w:firstLine="0"/>
            </w:pPr>
            <w:r>
              <w:t xml:space="preserve">   </w:t>
            </w:r>
            <w:r w:rsidR="004D0D6B">
              <w:t>2846.02</w:t>
            </w:r>
          </w:p>
        </w:tc>
      </w:tr>
      <w:tr w:rsidR="00FE5D0D" w:rsidTr="00FE5D0D">
        <w:tc>
          <w:tcPr>
            <w:tcW w:w="2268" w:type="dxa"/>
          </w:tcPr>
          <w:p w:rsidR="00FE5D0D" w:rsidRDefault="00FE5D0D" w:rsidP="00195823">
            <w:pPr>
              <w:pStyle w:val="P1-StandPara"/>
              <w:spacing w:line="240" w:lineRule="auto"/>
              <w:ind w:firstLine="0"/>
            </w:pPr>
            <w:r>
              <w:t>DCTRS Workgroup (monthly meetings)</w:t>
            </w:r>
          </w:p>
        </w:tc>
        <w:tc>
          <w:tcPr>
            <w:tcW w:w="1980" w:type="dxa"/>
          </w:tcPr>
          <w:p w:rsidR="00FE5D0D" w:rsidRDefault="00FE5D0D" w:rsidP="00195823">
            <w:pPr>
              <w:pStyle w:val="P1-StandPara"/>
              <w:spacing w:line="240" w:lineRule="auto"/>
              <w:ind w:firstLine="0"/>
            </w:pPr>
          </w:p>
        </w:tc>
        <w:tc>
          <w:tcPr>
            <w:tcW w:w="1530" w:type="dxa"/>
          </w:tcPr>
          <w:p w:rsidR="00FE5D0D" w:rsidRDefault="00FE5D0D" w:rsidP="00195823">
            <w:pPr>
              <w:pStyle w:val="P1-StandPara"/>
              <w:spacing w:line="240" w:lineRule="auto"/>
              <w:ind w:firstLine="0"/>
            </w:pPr>
          </w:p>
        </w:tc>
        <w:tc>
          <w:tcPr>
            <w:tcW w:w="1620" w:type="dxa"/>
          </w:tcPr>
          <w:p w:rsidR="00FE5D0D" w:rsidRDefault="00FE5D0D" w:rsidP="00195823">
            <w:pPr>
              <w:pStyle w:val="P1-StandPara"/>
              <w:spacing w:line="240" w:lineRule="auto"/>
              <w:ind w:firstLine="0"/>
            </w:pPr>
          </w:p>
        </w:tc>
        <w:tc>
          <w:tcPr>
            <w:tcW w:w="1620" w:type="dxa"/>
          </w:tcPr>
          <w:p w:rsidR="00FE5D0D" w:rsidRDefault="00FE5D0D" w:rsidP="00195823">
            <w:pPr>
              <w:pStyle w:val="P1-StandPara"/>
              <w:spacing w:line="240" w:lineRule="auto"/>
              <w:ind w:firstLine="0"/>
            </w:pPr>
          </w:p>
        </w:tc>
      </w:tr>
      <w:tr w:rsidR="00FE5D0D" w:rsidTr="00FE5D0D">
        <w:tc>
          <w:tcPr>
            <w:tcW w:w="2268" w:type="dxa"/>
          </w:tcPr>
          <w:p w:rsidR="00FE5D0D" w:rsidRDefault="00FE5D0D" w:rsidP="0031145D">
            <w:pPr>
              <w:pStyle w:val="P1-StandPara"/>
              <w:spacing w:line="240" w:lineRule="auto"/>
              <w:ind w:left="360" w:firstLine="0"/>
            </w:pPr>
            <w:r>
              <w:t>Division Director</w:t>
            </w:r>
          </w:p>
        </w:tc>
        <w:tc>
          <w:tcPr>
            <w:tcW w:w="1980" w:type="dxa"/>
          </w:tcPr>
          <w:p w:rsidR="003371AE" w:rsidRDefault="002B3117" w:rsidP="00B7162A">
            <w:pPr>
              <w:pStyle w:val="P1-StandPara"/>
              <w:spacing w:line="240" w:lineRule="auto"/>
              <w:ind w:firstLine="0"/>
            </w:pPr>
            <w:r>
              <w:t>GS-15</w:t>
            </w:r>
            <w:r w:rsidR="003371AE">
              <w:t xml:space="preserve"> Step 4 (137,494) </w:t>
            </w:r>
          </w:p>
          <w:p w:rsidR="00FE5D0D" w:rsidRDefault="002B3117" w:rsidP="00B7162A">
            <w:pPr>
              <w:pStyle w:val="P1-StandPara"/>
              <w:spacing w:line="240" w:lineRule="auto"/>
              <w:ind w:firstLine="0"/>
            </w:pPr>
            <w:r>
              <w:t>(</w:t>
            </w:r>
            <w:r w:rsidR="00B7162A">
              <w:t>&lt; 1</w:t>
            </w:r>
            <w:r>
              <w:t xml:space="preserve">% </w:t>
            </w:r>
            <w:r w:rsidR="00B7162A">
              <w:t>FTE</w:t>
            </w:r>
            <w:r>
              <w:t>)</w:t>
            </w:r>
          </w:p>
        </w:tc>
        <w:tc>
          <w:tcPr>
            <w:tcW w:w="1530" w:type="dxa"/>
          </w:tcPr>
          <w:p w:rsidR="00FE5D0D" w:rsidRDefault="00FE5D0D" w:rsidP="00195823">
            <w:pPr>
              <w:pStyle w:val="P1-StandPara"/>
              <w:spacing w:line="240" w:lineRule="auto"/>
              <w:ind w:firstLine="0"/>
            </w:pPr>
            <w:r>
              <w:t>12</w:t>
            </w:r>
          </w:p>
        </w:tc>
        <w:tc>
          <w:tcPr>
            <w:tcW w:w="1620" w:type="dxa"/>
          </w:tcPr>
          <w:p w:rsidR="00FE5D0D" w:rsidRDefault="006F2A95" w:rsidP="006F2A95">
            <w:pPr>
              <w:pStyle w:val="P1-StandPara"/>
              <w:spacing w:line="240" w:lineRule="auto"/>
              <w:ind w:firstLine="0"/>
            </w:pPr>
            <w:r>
              <w:t>$ 65.88</w:t>
            </w:r>
          </w:p>
        </w:tc>
        <w:tc>
          <w:tcPr>
            <w:tcW w:w="1620" w:type="dxa"/>
          </w:tcPr>
          <w:p w:rsidR="00FE5D0D" w:rsidRDefault="00BE5226" w:rsidP="00195823">
            <w:pPr>
              <w:pStyle w:val="P1-StandPara"/>
              <w:spacing w:line="240" w:lineRule="auto"/>
              <w:ind w:firstLine="0"/>
            </w:pPr>
            <w:r>
              <w:t xml:space="preserve">     </w:t>
            </w:r>
            <w:r w:rsidR="00D54A89">
              <w:t>790.56</w:t>
            </w:r>
          </w:p>
        </w:tc>
      </w:tr>
      <w:tr w:rsidR="00FE5D0D" w:rsidTr="00FE5D0D">
        <w:tc>
          <w:tcPr>
            <w:tcW w:w="2268" w:type="dxa"/>
          </w:tcPr>
          <w:p w:rsidR="00FE5D0D" w:rsidRDefault="00FE5D0D" w:rsidP="0031145D">
            <w:pPr>
              <w:pStyle w:val="P1-StandPara"/>
              <w:spacing w:line="240" w:lineRule="auto"/>
              <w:ind w:left="360" w:firstLine="0"/>
            </w:pPr>
            <w:r>
              <w:lastRenderedPageBreak/>
              <w:t>Branch Chief</w:t>
            </w:r>
          </w:p>
        </w:tc>
        <w:tc>
          <w:tcPr>
            <w:tcW w:w="1980" w:type="dxa"/>
          </w:tcPr>
          <w:p w:rsidR="003371AE" w:rsidRDefault="007B1D9E" w:rsidP="00B7162A">
            <w:pPr>
              <w:pStyle w:val="P1-StandPara"/>
              <w:spacing w:line="240" w:lineRule="auto"/>
              <w:ind w:firstLine="0"/>
            </w:pPr>
            <w:r>
              <w:t>GS</w:t>
            </w:r>
            <w:r w:rsidR="002B3117">
              <w:t>-14</w:t>
            </w:r>
            <w:r w:rsidR="003371AE">
              <w:t xml:space="preserve"> Step 4</w:t>
            </w:r>
            <w:r w:rsidR="002B3117">
              <w:t xml:space="preserve"> </w:t>
            </w:r>
            <w:r w:rsidR="003371AE">
              <w:t xml:space="preserve">(116,887) </w:t>
            </w:r>
          </w:p>
          <w:p w:rsidR="00FE5D0D" w:rsidRDefault="002B3117" w:rsidP="00B7162A">
            <w:pPr>
              <w:pStyle w:val="P1-StandPara"/>
              <w:spacing w:line="240" w:lineRule="auto"/>
              <w:ind w:firstLine="0"/>
            </w:pPr>
            <w:r>
              <w:t>(</w:t>
            </w:r>
            <w:r w:rsidR="00B7162A">
              <w:t>&lt; 1% FTE</w:t>
            </w:r>
            <w:r>
              <w:t>)</w:t>
            </w:r>
          </w:p>
        </w:tc>
        <w:tc>
          <w:tcPr>
            <w:tcW w:w="1530" w:type="dxa"/>
          </w:tcPr>
          <w:p w:rsidR="00FE5D0D" w:rsidRDefault="00FE5D0D" w:rsidP="00195823">
            <w:pPr>
              <w:pStyle w:val="P1-StandPara"/>
              <w:spacing w:line="240" w:lineRule="auto"/>
              <w:ind w:firstLine="0"/>
            </w:pPr>
            <w:r>
              <w:t>12</w:t>
            </w:r>
          </w:p>
        </w:tc>
        <w:tc>
          <w:tcPr>
            <w:tcW w:w="1620" w:type="dxa"/>
          </w:tcPr>
          <w:p w:rsidR="00FE5D0D" w:rsidRDefault="006F2A95" w:rsidP="003371AE">
            <w:pPr>
              <w:pStyle w:val="P1-StandPara"/>
              <w:spacing w:line="240" w:lineRule="auto"/>
              <w:ind w:firstLine="0"/>
            </w:pPr>
            <w:r>
              <w:t>$ 56.0</w:t>
            </w:r>
            <w:r w:rsidR="003371AE">
              <w:t>1</w:t>
            </w:r>
          </w:p>
        </w:tc>
        <w:tc>
          <w:tcPr>
            <w:tcW w:w="1620" w:type="dxa"/>
          </w:tcPr>
          <w:p w:rsidR="00FE5D0D" w:rsidRDefault="00BE5226" w:rsidP="00195823">
            <w:pPr>
              <w:pStyle w:val="P1-StandPara"/>
              <w:spacing w:line="240" w:lineRule="auto"/>
              <w:ind w:firstLine="0"/>
            </w:pPr>
            <w:r>
              <w:t xml:space="preserve">     </w:t>
            </w:r>
            <w:r w:rsidR="00D54A89">
              <w:t>672.00</w:t>
            </w:r>
          </w:p>
        </w:tc>
      </w:tr>
      <w:tr w:rsidR="00FE5D0D" w:rsidTr="00FE5D0D">
        <w:tc>
          <w:tcPr>
            <w:tcW w:w="2268" w:type="dxa"/>
          </w:tcPr>
          <w:p w:rsidR="00FE5D0D" w:rsidRDefault="00FE5D0D" w:rsidP="0031145D">
            <w:pPr>
              <w:pStyle w:val="P1-StandPara"/>
              <w:spacing w:line="240" w:lineRule="auto"/>
              <w:ind w:left="360" w:firstLine="0"/>
            </w:pPr>
            <w:r>
              <w:t>Program Officer</w:t>
            </w:r>
          </w:p>
        </w:tc>
        <w:tc>
          <w:tcPr>
            <w:tcW w:w="1980" w:type="dxa"/>
          </w:tcPr>
          <w:p w:rsidR="003371AE" w:rsidRDefault="00FE5D0D" w:rsidP="00B7162A">
            <w:pPr>
              <w:pStyle w:val="P1-StandPara"/>
              <w:spacing w:line="240" w:lineRule="auto"/>
              <w:ind w:firstLine="0"/>
            </w:pPr>
            <w:r>
              <w:t>GS-14</w:t>
            </w:r>
            <w:r w:rsidR="003371AE">
              <w:t xml:space="preserve"> Step 4 </w:t>
            </w:r>
            <w:r>
              <w:t xml:space="preserve"> </w:t>
            </w:r>
            <w:r w:rsidR="003371AE">
              <w:t xml:space="preserve">(109,804) </w:t>
            </w:r>
          </w:p>
          <w:p w:rsidR="00FE5D0D" w:rsidRDefault="00FE5D0D" w:rsidP="00B7162A">
            <w:pPr>
              <w:pStyle w:val="P1-StandPara"/>
              <w:spacing w:line="240" w:lineRule="auto"/>
              <w:ind w:firstLine="0"/>
            </w:pPr>
            <w:r>
              <w:t>(</w:t>
            </w:r>
            <w:r w:rsidR="00B7162A">
              <w:t>&lt; 1% FTE</w:t>
            </w:r>
            <w:r>
              <w:t>)</w:t>
            </w:r>
          </w:p>
        </w:tc>
        <w:tc>
          <w:tcPr>
            <w:tcW w:w="1530" w:type="dxa"/>
          </w:tcPr>
          <w:p w:rsidR="00FE5D0D" w:rsidRDefault="00FE5D0D" w:rsidP="00195823">
            <w:pPr>
              <w:pStyle w:val="P1-StandPara"/>
              <w:spacing w:line="240" w:lineRule="auto"/>
              <w:ind w:firstLine="0"/>
            </w:pPr>
            <w:r>
              <w:t>12</w:t>
            </w:r>
          </w:p>
        </w:tc>
        <w:tc>
          <w:tcPr>
            <w:tcW w:w="1620" w:type="dxa"/>
          </w:tcPr>
          <w:p w:rsidR="00FE5D0D" w:rsidRDefault="007B1D9E" w:rsidP="00195823">
            <w:pPr>
              <w:pStyle w:val="P1-StandPara"/>
              <w:spacing w:line="240" w:lineRule="auto"/>
              <w:ind w:firstLine="0"/>
            </w:pPr>
            <w:r>
              <w:t>$ 56.00</w:t>
            </w:r>
          </w:p>
        </w:tc>
        <w:tc>
          <w:tcPr>
            <w:tcW w:w="1620" w:type="dxa"/>
          </w:tcPr>
          <w:p w:rsidR="00FE5D0D" w:rsidRDefault="00BE5226" w:rsidP="00195823">
            <w:pPr>
              <w:pStyle w:val="P1-StandPara"/>
              <w:spacing w:line="240" w:lineRule="auto"/>
              <w:ind w:firstLine="0"/>
            </w:pPr>
            <w:r>
              <w:t xml:space="preserve">     </w:t>
            </w:r>
            <w:r w:rsidR="00D54A89">
              <w:t>672.00</w:t>
            </w:r>
          </w:p>
        </w:tc>
      </w:tr>
      <w:tr w:rsidR="00FE5D0D" w:rsidTr="00FE5D0D">
        <w:tc>
          <w:tcPr>
            <w:tcW w:w="2268" w:type="dxa"/>
          </w:tcPr>
          <w:p w:rsidR="00FE5D0D" w:rsidRDefault="00FE5D0D" w:rsidP="0031145D">
            <w:pPr>
              <w:pStyle w:val="P1-StandPara"/>
              <w:spacing w:line="240" w:lineRule="auto"/>
              <w:ind w:left="360" w:firstLine="0"/>
            </w:pPr>
            <w:r>
              <w:t>Statistician</w:t>
            </w:r>
          </w:p>
        </w:tc>
        <w:tc>
          <w:tcPr>
            <w:tcW w:w="1980" w:type="dxa"/>
          </w:tcPr>
          <w:p w:rsidR="003371AE" w:rsidRDefault="00D54A89" w:rsidP="00195823">
            <w:pPr>
              <w:pStyle w:val="P1-StandPara"/>
              <w:spacing w:line="240" w:lineRule="auto"/>
              <w:ind w:firstLine="0"/>
            </w:pPr>
            <w:r>
              <w:t>GS -12</w:t>
            </w:r>
            <w:r w:rsidR="003371AE">
              <w:t xml:space="preserve"> Step 3 (80,662)</w:t>
            </w:r>
          </w:p>
          <w:p w:rsidR="00FE5D0D" w:rsidRDefault="00B7162A" w:rsidP="00195823">
            <w:pPr>
              <w:pStyle w:val="P1-StandPara"/>
              <w:spacing w:line="240" w:lineRule="auto"/>
              <w:ind w:firstLine="0"/>
            </w:pPr>
            <w:r>
              <w:t>(&lt; 1% FTE)</w:t>
            </w:r>
          </w:p>
        </w:tc>
        <w:tc>
          <w:tcPr>
            <w:tcW w:w="1530" w:type="dxa"/>
          </w:tcPr>
          <w:p w:rsidR="00FE5D0D" w:rsidRDefault="00FE5D0D" w:rsidP="00195823">
            <w:pPr>
              <w:pStyle w:val="P1-StandPara"/>
              <w:spacing w:line="240" w:lineRule="auto"/>
              <w:ind w:firstLine="0"/>
            </w:pPr>
            <w:r>
              <w:t>12</w:t>
            </w:r>
          </w:p>
        </w:tc>
        <w:tc>
          <w:tcPr>
            <w:tcW w:w="1620" w:type="dxa"/>
          </w:tcPr>
          <w:p w:rsidR="00FE5D0D" w:rsidRDefault="00BE5226" w:rsidP="00195823">
            <w:pPr>
              <w:pStyle w:val="P1-StandPara"/>
              <w:spacing w:line="240" w:lineRule="auto"/>
              <w:ind w:firstLine="0"/>
            </w:pPr>
            <w:r>
              <w:t>$38.65</w:t>
            </w:r>
          </w:p>
        </w:tc>
        <w:tc>
          <w:tcPr>
            <w:tcW w:w="1620" w:type="dxa"/>
          </w:tcPr>
          <w:p w:rsidR="00FE5D0D" w:rsidRDefault="00BE5226" w:rsidP="00195823">
            <w:pPr>
              <w:pStyle w:val="P1-StandPara"/>
              <w:spacing w:line="240" w:lineRule="auto"/>
              <w:ind w:firstLine="0"/>
            </w:pPr>
            <w:r>
              <w:t xml:space="preserve">     463.80</w:t>
            </w:r>
          </w:p>
        </w:tc>
      </w:tr>
      <w:tr w:rsidR="00FE5D0D" w:rsidTr="00FE5D0D">
        <w:tc>
          <w:tcPr>
            <w:tcW w:w="2268" w:type="dxa"/>
          </w:tcPr>
          <w:p w:rsidR="00FE5D0D" w:rsidRDefault="00FE5D0D" w:rsidP="0031145D">
            <w:pPr>
              <w:pStyle w:val="P1-StandPara"/>
              <w:spacing w:line="240" w:lineRule="auto"/>
              <w:ind w:left="360" w:firstLine="0"/>
            </w:pPr>
            <w:r>
              <w:t>Contractor</w:t>
            </w:r>
          </w:p>
        </w:tc>
        <w:tc>
          <w:tcPr>
            <w:tcW w:w="1980" w:type="dxa"/>
          </w:tcPr>
          <w:p w:rsidR="00FE5D0D" w:rsidRDefault="005B2C9D" w:rsidP="00666CCA">
            <w:pPr>
              <w:pStyle w:val="P1-StandPara"/>
              <w:spacing w:line="240" w:lineRule="auto"/>
              <w:ind w:firstLine="0"/>
            </w:pPr>
            <w:r>
              <w:t>$149,994</w:t>
            </w:r>
            <w:r w:rsidR="00FE5D0D">
              <w:t xml:space="preserve"> (</w:t>
            </w:r>
            <w:r w:rsidR="00B7162A">
              <w:t>&lt; 1</w:t>
            </w:r>
            <w:r w:rsidR="00FE5D0D">
              <w:t xml:space="preserve">% </w:t>
            </w:r>
            <w:r w:rsidR="00B7162A">
              <w:t>FTE</w:t>
            </w:r>
            <w:r w:rsidR="00FE5D0D">
              <w:t>)</w:t>
            </w:r>
          </w:p>
        </w:tc>
        <w:tc>
          <w:tcPr>
            <w:tcW w:w="1530" w:type="dxa"/>
          </w:tcPr>
          <w:p w:rsidR="00FE5D0D" w:rsidRDefault="00FE5D0D" w:rsidP="00195823">
            <w:pPr>
              <w:pStyle w:val="P1-StandPara"/>
              <w:spacing w:line="240" w:lineRule="auto"/>
              <w:ind w:firstLine="0"/>
            </w:pPr>
            <w:r>
              <w:t>12</w:t>
            </w:r>
          </w:p>
        </w:tc>
        <w:tc>
          <w:tcPr>
            <w:tcW w:w="1620" w:type="dxa"/>
          </w:tcPr>
          <w:p w:rsidR="00FE5D0D" w:rsidRDefault="005B2C9D" w:rsidP="005B2C9D">
            <w:pPr>
              <w:pStyle w:val="P1-StandPara"/>
              <w:spacing w:line="240" w:lineRule="auto"/>
              <w:ind w:firstLine="0"/>
            </w:pPr>
            <w:r>
              <w:t>$79.06</w:t>
            </w:r>
          </w:p>
        </w:tc>
        <w:tc>
          <w:tcPr>
            <w:tcW w:w="1620" w:type="dxa"/>
          </w:tcPr>
          <w:p w:rsidR="00FE5D0D" w:rsidRDefault="00BE5226" w:rsidP="005B2C9D">
            <w:pPr>
              <w:pStyle w:val="P1-StandPara"/>
              <w:spacing w:line="240" w:lineRule="auto"/>
              <w:ind w:firstLine="0"/>
            </w:pPr>
            <w:r>
              <w:t xml:space="preserve">     </w:t>
            </w:r>
            <w:r w:rsidR="005B2C9D">
              <w:t>948.67</w:t>
            </w:r>
          </w:p>
        </w:tc>
      </w:tr>
      <w:tr w:rsidR="00FE5D0D" w:rsidTr="00FE5D0D">
        <w:tc>
          <w:tcPr>
            <w:tcW w:w="2268" w:type="dxa"/>
          </w:tcPr>
          <w:p w:rsidR="00FE5D0D" w:rsidRDefault="00FE5D0D" w:rsidP="0031145D">
            <w:pPr>
              <w:pStyle w:val="P1-StandPara"/>
              <w:spacing w:line="240" w:lineRule="auto"/>
              <w:ind w:firstLine="0"/>
            </w:pPr>
            <w:r>
              <w:t>Total Annual Costs</w:t>
            </w:r>
          </w:p>
        </w:tc>
        <w:tc>
          <w:tcPr>
            <w:tcW w:w="1980" w:type="dxa"/>
          </w:tcPr>
          <w:p w:rsidR="00FE5D0D" w:rsidRDefault="00FE5D0D" w:rsidP="00195823">
            <w:pPr>
              <w:pStyle w:val="P1-StandPara"/>
              <w:spacing w:line="240" w:lineRule="auto"/>
              <w:ind w:firstLine="0"/>
            </w:pPr>
          </w:p>
        </w:tc>
        <w:tc>
          <w:tcPr>
            <w:tcW w:w="1530" w:type="dxa"/>
          </w:tcPr>
          <w:p w:rsidR="00FE5D0D" w:rsidRDefault="00FE5D0D" w:rsidP="00195823">
            <w:pPr>
              <w:pStyle w:val="P1-StandPara"/>
              <w:spacing w:line="240" w:lineRule="auto"/>
              <w:ind w:firstLine="0"/>
            </w:pPr>
          </w:p>
        </w:tc>
        <w:tc>
          <w:tcPr>
            <w:tcW w:w="1620" w:type="dxa"/>
          </w:tcPr>
          <w:p w:rsidR="00FE5D0D" w:rsidRDefault="00FE5D0D" w:rsidP="00195823">
            <w:pPr>
              <w:pStyle w:val="P1-StandPara"/>
              <w:spacing w:line="240" w:lineRule="auto"/>
              <w:ind w:firstLine="0"/>
            </w:pPr>
          </w:p>
        </w:tc>
        <w:tc>
          <w:tcPr>
            <w:tcW w:w="1620" w:type="dxa"/>
          </w:tcPr>
          <w:p w:rsidR="00FE5D0D" w:rsidRDefault="00BE5226" w:rsidP="00195823">
            <w:pPr>
              <w:pStyle w:val="P1-StandPara"/>
              <w:spacing w:line="240" w:lineRule="auto"/>
              <w:ind w:firstLine="0"/>
            </w:pPr>
            <w:r>
              <w:t xml:space="preserve">$ </w:t>
            </w:r>
            <w:r w:rsidR="005B2C9D">
              <w:t>7187.06</w:t>
            </w:r>
          </w:p>
        </w:tc>
      </w:tr>
    </w:tbl>
    <w:p w:rsidR="00195823" w:rsidRDefault="00195823" w:rsidP="00195823">
      <w:pPr>
        <w:pStyle w:val="P1-StandPara"/>
        <w:spacing w:line="240" w:lineRule="auto"/>
      </w:pPr>
    </w:p>
    <w:p w:rsidR="00F47DEC" w:rsidRDefault="00F47DEC" w:rsidP="00195823">
      <w:r>
        <w:t xml:space="preserve">Salary/Wage Source: Office of Personnel Management 2014 General Schedule Locality </w:t>
      </w:r>
      <w:r w:rsidR="00D54A89">
        <w:t>Salary Table for various GS-levels</w:t>
      </w:r>
      <w:r w:rsidR="004E3123">
        <w:t xml:space="preserve">; </w:t>
      </w:r>
    </w:p>
    <w:p w:rsidR="005C2EEB" w:rsidRDefault="005C2EEB" w:rsidP="00195823">
      <w:bookmarkStart w:id="48" w:name="_GoBack"/>
      <w:bookmarkEnd w:id="48"/>
    </w:p>
    <w:p w:rsidR="00D452A7" w:rsidRDefault="008172E7" w:rsidP="00195823">
      <w:r>
        <w:t>*Tier 1 = $</w:t>
      </w:r>
      <w:r w:rsidR="005B2C9D">
        <w:t>22.06</w:t>
      </w:r>
      <w:r>
        <w:t>/</w:t>
      </w:r>
      <w:proofErr w:type="spellStart"/>
      <w:r>
        <w:t>hr</w:t>
      </w:r>
      <w:proofErr w:type="spellEnd"/>
      <w:r>
        <w:t>; Tier 2 = $</w:t>
      </w:r>
      <w:r w:rsidR="005B2C9D">
        <w:t>79.06</w:t>
      </w:r>
      <w:r>
        <w:t>/</w:t>
      </w:r>
      <w:proofErr w:type="spellStart"/>
      <w:r>
        <w:t>hr</w:t>
      </w:r>
      <w:proofErr w:type="spellEnd"/>
    </w:p>
    <w:p w:rsidR="008172E7" w:rsidRDefault="008172E7" w:rsidP="00195823"/>
    <w:p w:rsidR="0022378D" w:rsidRPr="008F6DB5" w:rsidRDefault="00F47DEC" w:rsidP="00DA34EE">
      <w:pPr>
        <w:pStyle w:val="P1-StandPara"/>
        <w:spacing w:line="240" w:lineRule="auto"/>
        <w:ind w:firstLine="0"/>
        <w:rPr>
          <w:sz w:val="24"/>
          <w:szCs w:val="24"/>
        </w:rPr>
      </w:pPr>
      <w:r>
        <w:rPr>
          <w:sz w:val="24"/>
          <w:szCs w:val="24"/>
        </w:rPr>
        <w:t xml:space="preserve">The total costs of the DCTRS </w:t>
      </w:r>
      <w:r w:rsidR="00BE5226">
        <w:rPr>
          <w:sz w:val="24"/>
          <w:szCs w:val="24"/>
        </w:rPr>
        <w:t xml:space="preserve">to the Federal government over three years </w:t>
      </w:r>
      <w:r>
        <w:rPr>
          <w:sz w:val="24"/>
          <w:szCs w:val="24"/>
        </w:rPr>
        <w:t xml:space="preserve">will be </w:t>
      </w:r>
      <w:r w:rsidR="00BE5226">
        <w:rPr>
          <w:sz w:val="24"/>
          <w:szCs w:val="24"/>
        </w:rPr>
        <w:t>$</w:t>
      </w:r>
      <w:r w:rsidR="00036DDD">
        <w:rPr>
          <w:sz w:val="24"/>
          <w:szCs w:val="24"/>
        </w:rPr>
        <w:t>21,561.19</w:t>
      </w:r>
      <w:r>
        <w:rPr>
          <w:sz w:val="24"/>
          <w:szCs w:val="24"/>
        </w:rPr>
        <w:t>.</w:t>
      </w:r>
      <w:r w:rsidR="00BE5226">
        <w:rPr>
          <w:sz w:val="24"/>
          <w:szCs w:val="24"/>
        </w:rPr>
        <w:t xml:space="preserve"> </w:t>
      </w:r>
      <w:r w:rsidR="0022378D" w:rsidRPr="008F6DB5">
        <w:rPr>
          <w:sz w:val="24"/>
          <w:szCs w:val="24"/>
        </w:rPr>
        <w:t xml:space="preserve">These costs are based on the estimated effort needed to processes approximately 12 new Data Submission Agreements per year and the effort of the 4-person workgroup meeting once per month. </w:t>
      </w:r>
      <w:r w:rsidR="0022378D">
        <w:rPr>
          <w:sz w:val="24"/>
          <w:szCs w:val="24"/>
        </w:rPr>
        <w:t xml:space="preserve">Approximately 3 hours of Tier 1 staff are needed to manage the submission of documents and data, update the list of submitted projects, manipulate the data to fit the database structure and perform quality assurance checks. Approximately 3 hours of Tier 2 staff time is needed to review the data from each measure for unusual values, to follow up with the submitting investigator with questions, check that the measures used in the study correspond to those in the database, and other tasks. </w:t>
      </w:r>
      <w:r w:rsidR="0022378D" w:rsidRPr="008F6DB5">
        <w:rPr>
          <w:sz w:val="24"/>
          <w:szCs w:val="24"/>
        </w:rPr>
        <w:t xml:space="preserve">These estimates are derived from the experience of the DCTRS team in compiling data from 5 sample studies as described in Section A.8. </w:t>
      </w:r>
      <w:r w:rsidR="0022378D">
        <w:rPr>
          <w:sz w:val="24"/>
          <w:szCs w:val="24"/>
        </w:rPr>
        <w:t xml:space="preserve">There are no additional costs for supplies or equipment. Although we anticipate that this database will continue to grow and serve as a resource for more than 5 years, it is difficult to project the rate of new data submissions </w:t>
      </w:r>
      <w:r w:rsidR="00761E74">
        <w:rPr>
          <w:sz w:val="24"/>
          <w:szCs w:val="24"/>
        </w:rPr>
        <w:t>more than 5 years from now. The total cost of the DCTRS data submission over a 5 year period is anticipated to be approximately $</w:t>
      </w:r>
      <w:r w:rsidR="00BE5226">
        <w:rPr>
          <w:sz w:val="24"/>
          <w:szCs w:val="24"/>
        </w:rPr>
        <w:t>3</w:t>
      </w:r>
      <w:r w:rsidR="00036DDD">
        <w:rPr>
          <w:sz w:val="24"/>
          <w:szCs w:val="24"/>
        </w:rPr>
        <w:t>6</w:t>
      </w:r>
      <w:r w:rsidR="00761E74">
        <w:rPr>
          <w:sz w:val="24"/>
          <w:szCs w:val="24"/>
        </w:rPr>
        <w:t>,000.</w:t>
      </w:r>
    </w:p>
    <w:p w:rsidR="00D452A7" w:rsidRDefault="00D452A7" w:rsidP="00195823"/>
    <w:p w:rsidR="00E36A07" w:rsidRPr="00D61E21" w:rsidRDefault="00E36A07" w:rsidP="00E36A07">
      <w:pPr>
        <w:pStyle w:val="Heading2"/>
        <w:tabs>
          <w:tab w:val="clear" w:pos="1152"/>
          <w:tab w:val="left" w:pos="720"/>
        </w:tabs>
        <w:spacing w:after="0" w:line="480" w:lineRule="auto"/>
        <w:ind w:left="0" w:firstLine="0"/>
        <w:rPr>
          <w:sz w:val="24"/>
          <w:szCs w:val="24"/>
        </w:rPr>
      </w:pPr>
      <w:bookmarkStart w:id="49" w:name="_Toc443881758"/>
      <w:bookmarkStart w:id="50" w:name="_Toc451592245"/>
      <w:bookmarkStart w:id="51" w:name="_Toc5610286"/>
      <w:bookmarkStart w:id="52" w:name="_Toc99178792"/>
      <w:r>
        <w:rPr>
          <w:sz w:val="24"/>
          <w:szCs w:val="24"/>
        </w:rPr>
        <w:t>A.</w:t>
      </w:r>
      <w:r w:rsidRPr="00D61E21">
        <w:rPr>
          <w:sz w:val="24"/>
          <w:szCs w:val="24"/>
        </w:rPr>
        <w:t>15</w:t>
      </w:r>
      <w:r w:rsidRPr="00D61E21">
        <w:rPr>
          <w:sz w:val="24"/>
          <w:szCs w:val="24"/>
        </w:rPr>
        <w:tab/>
        <w:t>Explanation for Program Changes or Adjustments</w:t>
      </w:r>
      <w:bookmarkEnd w:id="49"/>
      <w:bookmarkEnd w:id="50"/>
      <w:bookmarkEnd w:id="51"/>
      <w:bookmarkEnd w:id="52"/>
    </w:p>
    <w:p w:rsidR="006405E9" w:rsidRDefault="00D73F0A" w:rsidP="0093431F">
      <w:r>
        <w:t xml:space="preserve">This is a new data collection. </w:t>
      </w:r>
    </w:p>
    <w:p w:rsidR="0093431F" w:rsidRDefault="0093431F" w:rsidP="0093431F"/>
    <w:p w:rsidR="00807E31" w:rsidRDefault="00807E31" w:rsidP="00807E31">
      <w:pPr>
        <w:pStyle w:val="Heading2"/>
        <w:tabs>
          <w:tab w:val="clear" w:pos="1152"/>
          <w:tab w:val="left" w:pos="720"/>
        </w:tabs>
        <w:spacing w:after="0" w:line="480" w:lineRule="auto"/>
        <w:ind w:left="0" w:firstLine="0"/>
        <w:rPr>
          <w:sz w:val="24"/>
          <w:szCs w:val="24"/>
        </w:rPr>
      </w:pPr>
      <w:bookmarkStart w:id="53" w:name="_Toc443881759"/>
      <w:bookmarkStart w:id="54" w:name="_Toc451592246"/>
      <w:bookmarkStart w:id="55" w:name="_Toc5610287"/>
      <w:bookmarkStart w:id="56" w:name="_Toc99178793"/>
      <w:r>
        <w:rPr>
          <w:sz w:val="24"/>
          <w:szCs w:val="24"/>
        </w:rPr>
        <w:t>A.</w:t>
      </w:r>
      <w:r w:rsidRPr="00D61E21">
        <w:rPr>
          <w:sz w:val="24"/>
          <w:szCs w:val="24"/>
        </w:rPr>
        <w:t>16</w:t>
      </w:r>
      <w:r w:rsidRPr="00D61E21">
        <w:rPr>
          <w:sz w:val="24"/>
          <w:szCs w:val="24"/>
        </w:rPr>
        <w:tab/>
        <w:t>Plans for Tabulation and Publication and Project Time Schedule</w:t>
      </w:r>
      <w:bookmarkEnd w:id="53"/>
      <w:bookmarkEnd w:id="54"/>
      <w:bookmarkEnd w:id="55"/>
      <w:bookmarkEnd w:id="56"/>
    </w:p>
    <w:p w:rsidR="006405E9" w:rsidRDefault="006405E9" w:rsidP="006405E9">
      <w:bookmarkStart w:id="57" w:name="_Toc443881760"/>
      <w:bookmarkStart w:id="58" w:name="_Toc451592247"/>
      <w:bookmarkStart w:id="59" w:name="_Toc5610288"/>
      <w:bookmarkStart w:id="60" w:name="_Toc99178794"/>
      <w:r>
        <w:t xml:space="preserve">NIMH anticipates that the bulk of the analyses and publications of the data in DCTRS will be done by investigators who request access to the database to test hypotheses regarding cognitive remediation in schizophrenia. It is likely, however, that in order to publicize the availability of this scientific resource to the community, NIMH staff will write and submit for publication a paper that describes the size and scope of the database and includes some statistical analyses (e.g., testing preliminary hypotheses about the </w:t>
      </w:r>
      <w:r>
        <w:lastRenderedPageBreak/>
        <w:t xml:space="preserve">efficacy of CR for younger compared to older participants or the relationships between duration of treatment and cognitive outcomes). </w:t>
      </w:r>
    </w:p>
    <w:p w:rsidR="006405E9" w:rsidRDefault="006405E9" w:rsidP="006405E9"/>
    <w:p w:rsidR="00FA266C" w:rsidRPr="0093431F" w:rsidRDefault="00FA266C" w:rsidP="006405E9"/>
    <w:tbl>
      <w:tblPr>
        <w:tblW w:w="0" w:type="auto"/>
        <w:jc w:val="center"/>
        <w:tblLayout w:type="fixed"/>
        <w:tblCellMar>
          <w:left w:w="120" w:type="dxa"/>
          <w:right w:w="120" w:type="dxa"/>
        </w:tblCellMar>
        <w:tblLook w:val="0000" w:firstRow="0" w:lastRow="0" w:firstColumn="0" w:lastColumn="0" w:noHBand="0" w:noVBand="0"/>
      </w:tblPr>
      <w:tblGrid>
        <w:gridCol w:w="2430"/>
        <w:gridCol w:w="3240"/>
      </w:tblGrid>
      <w:tr w:rsidR="006405E9" w:rsidTr="009128D2">
        <w:trPr>
          <w:cantSplit/>
          <w:trHeight w:val="403"/>
          <w:jc w:val="center"/>
        </w:trPr>
        <w:tc>
          <w:tcPr>
            <w:tcW w:w="5670" w:type="dxa"/>
            <w:gridSpan w:val="2"/>
            <w:tcBorders>
              <w:top w:val="single" w:sz="24" w:space="0" w:color="auto"/>
              <w:left w:val="single" w:sz="24" w:space="0" w:color="auto"/>
              <w:right w:val="single" w:sz="24" w:space="0" w:color="auto"/>
            </w:tcBorders>
            <w:shd w:val="pct20" w:color="auto" w:fill="FFFFFF"/>
          </w:tcPr>
          <w:p w:rsidR="006405E9" w:rsidRPr="00106ADA" w:rsidRDefault="006405E9" w:rsidP="00912C75">
            <w:pPr>
              <w:jc w:val="center"/>
              <w:rPr>
                <w:b/>
              </w:rPr>
            </w:pPr>
          </w:p>
          <w:p w:rsidR="006405E9" w:rsidRPr="00106ADA" w:rsidRDefault="006405E9" w:rsidP="00912C75">
            <w:pPr>
              <w:jc w:val="center"/>
            </w:pPr>
            <w:r w:rsidRPr="00106ADA">
              <w:rPr>
                <w:b/>
              </w:rPr>
              <w:t>A.16 - 1  Project Time Schedule</w:t>
            </w:r>
          </w:p>
          <w:p w:rsidR="006405E9" w:rsidRPr="00106ADA" w:rsidRDefault="006405E9" w:rsidP="00912C75">
            <w:pPr>
              <w:jc w:val="center"/>
            </w:pPr>
          </w:p>
        </w:tc>
      </w:tr>
      <w:tr w:rsidR="006405E9" w:rsidTr="009128D2">
        <w:trPr>
          <w:cantSplit/>
          <w:trHeight w:val="403"/>
          <w:jc w:val="center"/>
        </w:trPr>
        <w:tc>
          <w:tcPr>
            <w:tcW w:w="2430" w:type="dxa"/>
            <w:tcBorders>
              <w:top w:val="single" w:sz="6" w:space="0" w:color="auto"/>
              <w:left w:val="single" w:sz="24" w:space="0" w:color="auto"/>
            </w:tcBorders>
            <w:shd w:val="pct5" w:color="auto" w:fill="FFFFFF"/>
          </w:tcPr>
          <w:p w:rsidR="006405E9" w:rsidRPr="00106ADA" w:rsidRDefault="006405E9" w:rsidP="00912C75">
            <w:r w:rsidRPr="00106ADA">
              <w:rPr>
                <w:b/>
              </w:rPr>
              <w:tab/>
              <w:t>Activity</w:t>
            </w:r>
          </w:p>
        </w:tc>
        <w:tc>
          <w:tcPr>
            <w:tcW w:w="3240" w:type="dxa"/>
            <w:tcBorders>
              <w:top w:val="single" w:sz="6" w:space="0" w:color="auto"/>
              <w:left w:val="single" w:sz="6" w:space="0" w:color="auto"/>
              <w:right w:val="single" w:sz="24" w:space="0" w:color="auto"/>
            </w:tcBorders>
            <w:shd w:val="pct5" w:color="auto" w:fill="FFFFFF"/>
          </w:tcPr>
          <w:p w:rsidR="006405E9" w:rsidRPr="00106ADA" w:rsidRDefault="006405E9" w:rsidP="00912C75">
            <w:r w:rsidRPr="00106ADA">
              <w:rPr>
                <w:b/>
              </w:rPr>
              <w:tab/>
              <w:t>Time Schedule</w:t>
            </w:r>
          </w:p>
        </w:tc>
      </w:tr>
      <w:tr w:rsidR="006405E9" w:rsidTr="009128D2">
        <w:trPr>
          <w:cantSplit/>
          <w:trHeight w:val="403"/>
          <w:jc w:val="center"/>
        </w:trPr>
        <w:tc>
          <w:tcPr>
            <w:tcW w:w="2430" w:type="dxa"/>
            <w:tcBorders>
              <w:top w:val="single" w:sz="6" w:space="0" w:color="auto"/>
              <w:left w:val="single" w:sz="24" w:space="0" w:color="auto"/>
            </w:tcBorders>
            <w:shd w:val="clear" w:color="auto" w:fill="FFFFFF"/>
          </w:tcPr>
          <w:p w:rsidR="006405E9" w:rsidRPr="00106ADA" w:rsidRDefault="006405E9" w:rsidP="00912C75">
            <w:r>
              <w:t>Begin solicitation of data submission</w:t>
            </w:r>
          </w:p>
        </w:tc>
        <w:tc>
          <w:tcPr>
            <w:tcW w:w="3240" w:type="dxa"/>
            <w:tcBorders>
              <w:top w:val="single" w:sz="6" w:space="0" w:color="auto"/>
              <w:left w:val="single" w:sz="6" w:space="0" w:color="auto"/>
              <w:right w:val="single" w:sz="24" w:space="0" w:color="auto"/>
            </w:tcBorders>
            <w:shd w:val="clear" w:color="auto" w:fill="FFFFFF"/>
          </w:tcPr>
          <w:p w:rsidR="006405E9" w:rsidRPr="00106ADA" w:rsidRDefault="006405E9" w:rsidP="00912C75">
            <w:r w:rsidRPr="00106ADA">
              <w:t>1 - 2 months after OMB approval</w:t>
            </w:r>
          </w:p>
        </w:tc>
      </w:tr>
      <w:tr w:rsidR="006405E9" w:rsidTr="009128D2">
        <w:trPr>
          <w:cantSplit/>
          <w:trHeight w:val="403"/>
          <w:jc w:val="center"/>
        </w:trPr>
        <w:tc>
          <w:tcPr>
            <w:tcW w:w="2430" w:type="dxa"/>
            <w:tcBorders>
              <w:top w:val="single" w:sz="6" w:space="0" w:color="auto"/>
              <w:left w:val="single" w:sz="24" w:space="0" w:color="auto"/>
            </w:tcBorders>
            <w:shd w:val="clear" w:color="auto" w:fill="FFFFFF"/>
          </w:tcPr>
          <w:p w:rsidR="006405E9" w:rsidRPr="00106ADA" w:rsidRDefault="006405E9" w:rsidP="00912C75">
            <w:r>
              <w:t>Provide submission instructions and documentation in response to inquiries</w:t>
            </w:r>
          </w:p>
        </w:tc>
        <w:tc>
          <w:tcPr>
            <w:tcW w:w="3240" w:type="dxa"/>
            <w:tcBorders>
              <w:top w:val="single" w:sz="6" w:space="0" w:color="auto"/>
              <w:left w:val="single" w:sz="6" w:space="0" w:color="auto"/>
              <w:right w:val="single" w:sz="24" w:space="0" w:color="auto"/>
            </w:tcBorders>
            <w:shd w:val="clear" w:color="auto" w:fill="FFFFFF"/>
          </w:tcPr>
          <w:p w:rsidR="006405E9" w:rsidRPr="00106ADA" w:rsidRDefault="006405E9" w:rsidP="00912C75">
            <w:r>
              <w:t>Ongoing basis starting 1-2 months after OMB approval</w:t>
            </w:r>
          </w:p>
        </w:tc>
      </w:tr>
      <w:tr w:rsidR="006405E9" w:rsidTr="009128D2">
        <w:trPr>
          <w:cantSplit/>
          <w:trHeight w:val="403"/>
          <w:jc w:val="center"/>
        </w:trPr>
        <w:tc>
          <w:tcPr>
            <w:tcW w:w="2430" w:type="dxa"/>
            <w:tcBorders>
              <w:top w:val="single" w:sz="6" w:space="0" w:color="auto"/>
              <w:left w:val="single" w:sz="24" w:space="0" w:color="auto"/>
            </w:tcBorders>
            <w:shd w:val="clear" w:color="auto" w:fill="FFFFFF"/>
          </w:tcPr>
          <w:p w:rsidR="006405E9" w:rsidRPr="00106ADA" w:rsidRDefault="006405E9" w:rsidP="00912C75">
            <w:r>
              <w:t>Initial a</w:t>
            </w:r>
            <w:r w:rsidRPr="00106ADA">
              <w:t>nalyses</w:t>
            </w:r>
            <w:r>
              <w:t xml:space="preserve"> of combined data</w:t>
            </w:r>
          </w:p>
        </w:tc>
        <w:tc>
          <w:tcPr>
            <w:tcW w:w="3240" w:type="dxa"/>
            <w:tcBorders>
              <w:top w:val="single" w:sz="6" w:space="0" w:color="auto"/>
              <w:left w:val="single" w:sz="6" w:space="0" w:color="auto"/>
              <w:right w:val="single" w:sz="24" w:space="0" w:color="auto"/>
            </w:tcBorders>
            <w:shd w:val="clear" w:color="auto" w:fill="FFFFFF"/>
          </w:tcPr>
          <w:p w:rsidR="006405E9" w:rsidRPr="00106ADA" w:rsidRDefault="006405E9" w:rsidP="00912C75">
            <w:r>
              <w:t>8</w:t>
            </w:r>
            <w:r w:rsidRPr="00106ADA">
              <w:t xml:space="preserve"> months after OMB approval</w:t>
            </w:r>
          </w:p>
        </w:tc>
      </w:tr>
      <w:tr w:rsidR="006405E9" w:rsidTr="009128D2">
        <w:trPr>
          <w:cantSplit/>
          <w:trHeight w:val="403"/>
          <w:jc w:val="center"/>
        </w:trPr>
        <w:tc>
          <w:tcPr>
            <w:tcW w:w="2430" w:type="dxa"/>
            <w:tcBorders>
              <w:top w:val="single" w:sz="6" w:space="0" w:color="auto"/>
              <w:left w:val="single" w:sz="24" w:space="0" w:color="auto"/>
              <w:bottom w:val="single" w:sz="24" w:space="0" w:color="auto"/>
            </w:tcBorders>
            <w:shd w:val="clear" w:color="auto" w:fill="FFFFFF"/>
          </w:tcPr>
          <w:p w:rsidR="006405E9" w:rsidRPr="00106ADA" w:rsidRDefault="006405E9" w:rsidP="00912C75">
            <w:r w:rsidRPr="00106ADA">
              <w:t>Publication</w:t>
            </w:r>
            <w:r>
              <w:t xml:space="preserve"> of initial descriptive data about dataset and initial inquiries (see text)</w:t>
            </w:r>
          </w:p>
        </w:tc>
        <w:tc>
          <w:tcPr>
            <w:tcW w:w="3240" w:type="dxa"/>
            <w:tcBorders>
              <w:top w:val="single" w:sz="6" w:space="0" w:color="auto"/>
              <w:left w:val="single" w:sz="6" w:space="0" w:color="auto"/>
              <w:bottom w:val="single" w:sz="24" w:space="0" w:color="auto"/>
              <w:right w:val="single" w:sz="24" w:space="0" w:color="auto"/>
            </w:tcBorders>
            <w:shd w:val="clear" w:color="auto" w:fill="FFFFFF"/>
          </w:tcPr>
          <w:p w:rsidR="006405E9" w:rsidRPr="00106ADA" w:rsidRDefault="006405E9" w:rsidP="00912C75">
            <w:r w:rsidRPr="00106ADA">
              <w:t>1</w:t>
            </w:r>
            <w:r>
              <w:t>2</w:t>
            </w:r>
            <w:r w:rsidRPr="00106ADA">
              <w:t xml:space="preserve"> months after OMB approval</w:t>
            </w:r>
          </w:p>
          <w:p w:rsidR="006405E9" w:rsidRPr="00106ADA" w:rsidRDefault="006405E9" w:rsidP="00912C75"/>
        </w:tc>
      </w:tr>
    </w:tbl>
    <w:p w:rsidR="006405E9" w:rsidRDefault="006405E9" w:rsidP="006405E9"/>
    <w:p w:rsidR="00807E31" w:rsidRPr="00D61E21" w:rsidRDefault="00807E31" w:rsidP="00807E31">
      <w:pPr>
        <w:pStyle w:val="Heading2"/>
        <w:tabs>
          <w:tab w:val="clear" w:pos="1152"/>
          <w:tab w:val="left" w:pos="720"/>
        </w:tabs>
        <w:spacing w:after="0" w:line="480" w:lineRule="auto"/>
        <w:ind w:left="0" w:firstLine="0"/>
        <w:rPr>
          <w:sz w:val="24"/>
          <w:szCs w:val="24"/>
        </w:rPr>
      </w:pPr>
      <w:r>
        <w:rPr>
          <w:sz w:val="24"/>
          <w:szCs w:val="24"/>
        </w:rPr>
        <w:t>A.</w:t>
      </w:r>
      <w:r w:rsidRPr="00D61E21">
        <w:rPr>
          <w:sz w:val="24"/>
          <w:szCs w:val="24"/>
        </w:rPr>
        <w:t>17</w:t>
      </w:r>
      <w:r w:rsidRPr="00D61E21">
        <w:rPr>
          <w:sz w:val="24"/>
          <w:szCs w:val="24"/>
        </w:rPr>
        <w:tab/>
        <w:t>Reason(s) Display of OMB Expiration Date is Inappropriate</w:t>
      </w:r>
      <w:bookmarkEnd w:id="57"/>
      <w:bookmarkEnd w:id="58"/>
      <w:bookmarkEnd w:id="59"/>
      <w:bookmarkEnd w:id="60"/>
    </w:p>
    <w:p w:rsidR="00D73F0A" w:rsidRDefault="00D73F0A" w:rsidP="00807E31">
      <w:r>
        <w:t>Not applicable.</w:t>
      </w:r>
    </w:p>
    <w:p w:rsidR="00807E31" w:rsidRPr="008F048F" w:rsidRDefault="00D73F0A" w:rsidP="00807E31">
      <w:pPr>
        <w:rPr>
          <w:color w:val="FF0000"/>
        </w:rPr>
      </w:pPr>
      <w:r w:rsidRPr="008F048F">
        <w:rPr>
          <w:color w:val="FF0000"/>
        </w:rPr>
        <w:t xml:space="preserve"> </w:t>
      </w:r>
    </w:p>
    <w:p w:rsidR="00807E31" w:rsidRPr="006405E9" w:rsidRDefault="00807E31" w:rsidP="00807E31">
      <w:pPr>
        <w:pStyle w:val="Heading2"/>
        <w:tabs>
          <w:tab w:val="clear" w:pos="1152"/>
          <w:tab w:val="left" w:pos="720"/>
        </w:tabs>
        <w:spacing w:after="0" w:line="480" w:lineRule="auto"/>
        <w:ind w:left="0" w:firstLine="0"/>
        <w:rPr>
          <w:sz w:val="24"/>
          <w:szCs w:val="24"/>
        </w:rPr>
      </w:pPr>
      <w:bookmarkStart w:id="61" w:name="_Toc443881761"/>
      <w:bookmarkStart w:id="62" w:name="_Toc451592248"/>
      <w:bookmarkStart w:id="63" w:name="_Toc5610289"/>
      <w:bookmarkStart w:id="64" w:name="_Toc99178795"/>
      <w:r w:rsidRPr="006405E9">
        <w:rPr>
          <w:sz w:val="24"/>
          <w:szCs w:val="24"/>
        </w:rPr>
        <w:t>A.18</w:t>
      </w:r>
      <w:r w:rsidRPr="006405E9">
        <w:rPr>
          <w:sz w:val="24"/>
          <w:szCs w:val="24"/>
        </w:rPr>
        <w:tab/>
        <w:t>Exceptions to Certification for Paperwork Reduction Act Submissions</w:t>
      </w:r>
      <w:bookmarkEnd w:id="61"/>
      <w:bookmarkEnd w:id="62"/>
      <w:bookmarkEnd w:id="63"/>
      <w:bookmarkEnd w:id="64"/>
    </w:p>
    <w:p w:rsidR="00D73F0A" w:rsidRDefault="00D73F0A" w:rsidP="009F61A6">
      <w:r>
        <w:t>Not applicable.</w:t>
      </w:r>
    </w:p>
    <w:p w:rsidR="00C8522D" w:rsidRPr="00C8522D" w:rsidRDefault="00C8522D" w:rsidP="00C8522D">
      <w:pPr>
        <w:rPr>
          <w:vanish/>
        </w:rPr>
      </w:pPr>
    </w:p>
    <w:p w:rsidR="009F61A6" w:rsidRDefault="009F61A6" w:rsidP="0093431F">
      <w:pPr>
        <w:rPr>
          <w:color w:val="FF0000"/>
        </w:rPr>
      </w:pPr>
    </w:p>
    <w:p w:rsidR="009F61A6" w:rsidRDefault="009F61A6" w:rsidP="0093431F">
      <w:pPr>
        <w:rPr>
          <w:color w:val="FF0000"/>
        </w:rPr>
      </w:pPr>
    </w:p>
    <w:p w:rsidR="009F61A6" w:rsidRDefault="009F61A6" w:rsidP="0093431F">
      <w:pPr>
        <w:rPr>
          <w:color w:val="FF0000"/>
        </w:rPr>
      </w:pPr>
    </w:p>
    <w:p w:rsidR="009F61A6" w:rsidRDefault="009F61A6" w:rsidP="0093431F">
      <w:pPr>
        <w:rPr>
          <w:color w:val="FF0000"/>
        </w:rPr>
      </w:pPr>
    </w:p>
    <w:p w:rsidR="009F61A6" w:rsidRDefault="009F61A6" w:rsidP="0093431F">
      <w:pPr>
        <w:rPr>
          <w:color w:val="FF0000"/>
        </w:rPr>
      </w:pPr>
    </w:p>
    <w:p w:rsidR="009F61A6" w:rsidRDefault="009F61A6" w:rsidP="0093431F">
      <w:pPr>
        <w:rPr>
          <w:color w:val="FF0000"/>
        </w:rPr>
      </w:pPr>
    </w:p>
    <w:p w:rsidR="009F61A6" w:rsidRDefault="009F61A6" w:rsidP="0093431F">
      <w:pPr>
        <w:rPr>
          <w:color w:val="FF0000"/>
        </w:rPr>
      </w:pPr>
    </w:p>
    <w:p w:rsidR="009F61A6" w:rsidRDefault="009F61A6" w:rsidP="0093431F">
      <w:pPr>
        <w:rPr>
          <w:color w:val="FF0000"/>
        </w:rPr>
      </w:pPr>
    </w:p>
    <w:p w:rsidR="0093431F" w:rsidRDefault="0093431F" w:rsidP="0093431F"/>
    <w:sectPr w:rsidR="0093431F">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167" w:rsidRDefault="008F5167">
      <w:r>
        <w:separator/>
      </w:r>
    </w:p>
  </w:endnote>
  <w:endnote w:type="continuationSeparator" w:id="0">
    <w:p w:rsidR="008F5167" w:rsidRDefault="008F5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C75" w:rsidRDefault="00912C75"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2C75" w:rsidRDefault="00912C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C75" w:rsidRDefault="00912C75"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2EEB">
      <w:rPr>
        <w:rStyle w:val="PageNumber"/>
        <w:noProof/>
      </w:rPr>
      <w:t>13</w:t>
    </w:r>
    <w:r>
      <w:rPr>
        <w:rStyle w:val="PageNumber"/>
      </w:rPr>
      <w:fldChar w:fldCharType="end"/>
    </w:r>
  </w:p>
  <w:p w:rsidR="00912C75" w:rsidRDefault="00912C75"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167" w:rsidRDefault="008F5167">
      <w:r>
        <w:separator/>
      </w:r>
    </w:p>
  </w:footnote>
  <w:footnote w:type="continuationSeparator" w:id="0">
    <w:p w:rsidR="008F5167" w:rsidRDefault="008F51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A4AE6"/>
    <w:multiLevelType w:val="hybridMultilevel"/>
    <w:tmpl w:val="44EECAEC"/>
    <w:lvl w:ilvl="0" w:tplc="42FAFCBC">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FC86CDA"/>
    <w:multiLevelType w:val="hybridMultilevel"/>
    <w:tmpl w:val="47CCC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3">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7BD27665"/>
    <w:multiLevelType w:val="hybridMultilevel"/>
    <w:tmpl w:val="C0063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0E"/>
    <w:rsid w:val="0000732D"/>
    <w:rsid w:val="000203F5"/>
    <w:rsid w:val="00036DDD"/>
    <w:rsid w:val="00041715"/>
    <w:rsid w:val="000465BA"/>
    <w:rsid w:val="0005035B"/>
    <w:rsid w:val="00053D8D"/>
    <w:rsid w:val="00067402"/>
    <w:rsid w:val="000811DE"/>
    <w:rsid w:val="000A074A"/>
    <w:rsid w:val="000E50F7"/>
    <w:rsid w:val="001023FD"/>
    <w:rsid w:val="00107FC3"/>
    <w:rsid w:val="00115581"/>
    <w:rsid w:val="001201E0"/>
    <w:rsid w:val="00131913"/>
    <w:rsid w:val="00140BE0"/>
    <w:rsid w:val="001606A0"/>
    <w:rsid w:val="0016182C"/>
    <w:rsid w:val="00182331"/>
    <w:rsid w:val="00190B7D"/>
    <w:rsid w:val="00191755"/>
    <w:rsid w:val="00195823"/>
    <w:rsid w:val="001B6B85"/>
    <w:rsid w:val="001C142B"/>
    <w:rsid w:val="001C2C28"/>
    <w:rsid w:val="001C5404"/>
    <w:rsid w:val="001C7C54"/>
    <w:rsid w:val="001E2C04"/>
    <w:rsid w:val="001F3E4A"/>
    <w:rsid w:val="00203280"/>
    <w:rsid w:val="00214413"/>
    <w:rsid w:val="00215843"/>
    <w:rsid w:val="00221CB3"/>
    <w:rsid w:val="0022378D"/>
    <w:rsid w:val="0023373B"/>
    <w:rsid w:val="0024029C"/>
    <w:rsid w:val="00253C78"/>
    <w:rsid w:val="0026021E"/>
    <w:rsid w:val="00261ADB"/>
    <w:rsid w:val="002834B1"/>
    <w:rsid w:val="002A5B21"/>
    <w:rsid w:val="002B1DA5"/>
    <w:rsid w:val="002B3117"/>
    <w:rsid w:val="002B705F"/>
    <w:rsid w:val="002D2CA0"/>
    <w:rsid w:val="002E1650"/>
    <w:rsid w:val="002F034F"/>
    <w:rsid w:val="002F7598"/>
    <w:rsid w:val="0031109A"/>
    <w:rsid w:val="0031145D"/>
    <w:rsid w:val="00314898"/>
    <w:rsid w:val="003209BA"/>
    <w:rsid w:val="003220D9"/>
    <w:rsid w:val="00326840"/>
    <w:rsid w:val="003353F4"/>
    <w:rsid w:val="003371AE"/>
    <w:rsid w:val="00337F92"/>
    <w:rsid w:val="00367314"/>
    <w:rsid w:val="00371EE3"/>
    <w:rsid w:val="0038462D"/>
    <w:rsid w:val="003901D7"/>
    <w:rsid w:val="003B3547"/>
    <w:rsid w:val="003D2C2D"/>
    <w:rsid w:val="003D5CAD"/>
    <w:rsid w:val="003D627E"/>
    <w:rsid w:val="003E2B9D"/>
    <w:rsid w:val="003E42D8"/>
    <w:rsid w:val="003E5D3E"/>
    <w:rsid w:val="003F2A73"/>
    <w:rsid w:val="0043003B"/>
    <w:rsid w:val="00433488"/>
    <w:rsid w:val="00460BCD"/>
    <w:rsid w:val="004645B4"/>
    <w:rsid w:val="004A127B"/>
    <w:rsid w:val="004A70E1"/>
    <w:rsid w:val="004B1B2C"/>
    <w:rsid w:val="004C16AD"/>
    <w:rsid w:val="004C6ED8"/>
    <w:rsid w:val="004D0D6B"/>
    <w:rsid w:val="004E0D6A"/>
    <w:rsid w:val="004E3123"/>
    <w:rsid w:val="004E43D5"/>
    <w:rsid w:val="004F460D"/>
    <w:rsid w:val="00526A30"/>
    <w:rsid w:val="00563174"/>
    <w:rsid w:val="005974BD"/>
    <w:rsid w:val="005A3688"/>
    <w:rsid w:val="005B2C9D"/>
    <w:rsid w:val="005C2EEB"/>
    <w:rsid w:val="005C3DC2"/>
    <w:rsid w:val="005D278F"/>
    <w:rsid w:val="005D2A2F"/>
    <w:rsid w:val="005D3103"/>
    <w:rsid w:val="005E25E3"/>
    <w:rsid w:val="005E35D6"/>
    <w:rsid w:val="006405E9"/>
    <w:rsid w:val="00647117"/>
    <w:rsid w:val="0066537B"/>
    <w:rsid w:val="00666CCA"/>
    <w:rsid w:val="006806E8"/>
    <w:rsid w:val="00680E77"/>
    <w:rsid w:val="006C42ED"/>
    <w:rsid w:val="006C5DF2"/>
    <w:rsid w:val="006E3614"/>
    <w:rsid w:val="006E557B"/>
    <w:rsid w:val="006F2A95"/>
    <w:rsid w:val="006F79F9"/>
    <w:rsid w:val="00722AF8"/>
    <w:rsid w:val="0072518E"/>
    <w:rsid w:val="00741EE3"/>
    <w:rsid w:val="00755043"/>
    <w:rsid w:val="00761E74"/>
    <w:rsid w:val="00772676"/>
    <w:rsid w:val="007922C2"/>
    <w:rsid w:val="007B1D9E"/>
    <w:rsid w:val="007B2FDB"/>
    <w:rsid w:val="007C16BD"/>
    <w:rsid w:val="007D2631"/>
    <w:rsid w:val="0080794E"/>
    <w:rsid w:val="00807E31"/>
    <w:rsid w:val="008172E7"/>
    <w:rsid w:val="00833789"/>
    <w:rsid w:val="00835A43"/>
    <w:rsid w:val="0085671F"/>
    <w:rsid w:val="00856E5B"/>
    <w:rsid w:val="00873E09"/>
    <w:rsid w:val="00880E9D"/>
    <w:rsid w:val="008A4023"/>
    <w:rsid w:val="008B3519"/>
    <w:rsid w:val="008C310E"/>
    <w:rsid w:val="008F048F"/>
    <w:rsid w:val="008F48BE"/>
    <w:rsid w:val="008F5167"/>
    <w:rsid w:val="008F6DB5"/>
    <w:rsid w:val="008F734E"/>
    <w:rsid w:val="008F7FDB"/>
    <w:rsid w:val="009128D2"/>
    <w:rsid w:val="00912C75"/>
    <w:rsid w:val="0093431F"/>
    <w:rsid w:val="0093631E"/>
    <w:rsid w:val="009418F5"/>
    <w:rsid w:val="00941D9F"/>
    <w:rsid w:val="00946C63"/>
    <w:rsid w:val="00967AAE"/>
    <w:rsid w:val="009814EE"/>
    <w:rsid w:val="009965F7"/>
    <w:rsid w:val="009A697A"/>
    <w:rsid w:val="009B01FB"/>
    <w:rsid w:val="009C2538"/>
    <w:rsid w:val="009D17E5"/>
    <w:rsid w:val="009D30B4"/>
    <w:rsid w:val="009E2BE4"/>
    <w:rsid w:val="009F61A6"/>
    <w:rsid w:val="00A05163"/>
    <w:rsid w:val="00A10AC6"/>
    <w:rsid w:val="00A136F7"/>
    <w:rsid w:val="00A15365"/>
    <w:rsid w:val="00A2044C"/>
    <w:rsid w:val="00A344F5"/>
    <w:rsid w:val="00A617E5"/>
    <w:rsid w:val="00A71760"/>
    <w:rsid w:val="00A848B6"/>
    <w:rsid w:val="00AA0A3B"/>
    <w:rsid w:val="00AC5F21"/>
    <w:rsid w:val="00AD4308"/>
    <w:rsid w:val="00AE3AE5"/>
    <w:rsid w:val="00B03572"/>
    <w:rsid w:val="00B0479F"/>
    <w:rsid w:val="00B04F4D"/>
    <w:rsid w:val="00B06047"/>
    <w:rsid w:val="00B079F2"/>
    <w:rsid w:val="00B33A52"/>
    <w:rsid w:val="00B41EC6"/>
    <w:rsid w:val="00B5111F"/>
    <w:rsid w:val="00B53CDA"/>
    <w:rsid w:val="00B56401"/>
    <w:rsid w:val="00B7162A"/>
    <w:rsid w:val="00BA5032"/>
    <w:rsid w:val="00BB1EF2"/>
    <w:rsid w:val="00BB55E2"/>
    <w:rsid w:val="00BC4E67"/>
    <w:rsid w:val="00BD2E7A"/>
    <w:rsid w:val="00BD6179"/>
    <w:rsid w:val="00BE5226"/>
    <w:rsid w:val="00BF4042"/>
    <w:rsid w:val="00BF4ED9"/>
    <w:rsid w:val="00BF7703"/>
    <w:rsid w:val="00C32AD3"/>
    <w:rsid w:val="00C40824"/>
    <w:rsid w:val="00C66EBD"/>
    <w:rsid w:val="00C72A82"/>
    <w:rsid w:val="00C813FE"/>
    <w:rsid w:val="00C8522D"/>
    <w:rsid w:val="00C903F0"/>
    <w:rsid w:val="00C938C0"/>
    <w:rsid w:val="00C94EE3"/>
    <w:rsid w:val="00CA02BF"/>
    <w:rsid w:val="00CA5E71"/>
    <w:rsid w:val="00CC42A6"/>
    <w:rsid w:val="00CD1251"/>
    <w:rsid w:val="00CD2DFC"/>
    <w:rsid w:val="00CD51A6"/>
    <w:rsid w:val="00CD570A"/>
    <w:rsid w:val="00CD679B"/>
    <w:rsid w:val="00CF10B4"/>
    <w:rsid w:val="00CF4B66"/>
    <w:rsid w:val="00CF55FF"/>
    <w:rsid w:val="00D05880"/>
    <w:rsid w:val="00D1428C"/>
    <w:rsid w:val="00D23882"/>
    <w:rsid w:val="00D31907"/>
    <w:rsid w:val="00D452A7"/>
    <w:rsid w:val="00D5053E"/>
    <w:rsid w:val="00D54A89"/>
    <w:rsid w:val="00D565E0"/>
    <w:rsid w:val="00D576BA"/>
    <w:rsid w:val="00D57802"/>
    <w:rsid w:val="00D73F0A"/>
    <w:rsid w:val="00D905D9"/>
    <w:rsid w:val="00D96D26"/>
    <w:rsid w:val="00DA34EE"/>
    <w:rsid w:val="00DB502E"/>
    <w:rsid w:val="00DC2A20"/>
    <w:rsid w:val="00DF0C00"/>
    <w:rsid w:val="00E01156"/>
    <w:rsid w:val="00E01C55"/>
    <w:rsid w:val="00E07353"/>
    <w:rsid w:val="00E36A07"/>
    <w:rsid w:val="00E4320D"/>
    <w:rsid w:val="00E8483E"/>
    <w:rsid w:val="00EB0B04"/>
    <w:rsid w:val="00EB2444"/>
    <w:rsid w:val="00EB58D4"/>
    <w:rsid w:val="00EC0FEE"/>
    <w:rsid w:val="00EC31FC"/>
    <w:rsid w:val="00ED50CB"/>
    <w:rsid w:val="00EF5CAC"/>
    <w:rsid w:val="00F00D7F"/>
    <w:rsid w:val="00F0705E"/>
    <w:rsid w:val="00F1120E"/>
    <w:rsid w:val="00F13B70"/>
    <w:rsid w:val="00F23A50"/>
    <w:rsid w:val="00F3509E"/>
    <w:rsid w:val="00F45119"/>
    <w:rsid w:val="00F460A8"/>
    <w:rsid w:val="00F46FE5"/>
    <w:rsid w:val="00F47DEC"/>
    <w:rsid w:val="00F62334"/>
    <w:rsid w:val="00FA2274"/>
    <w:rsid w:val="00FA266C"/>
    <w:rsid w:val="00FD11FD"/>
    <w:rsid w:val="00FD16B4"/>
    <w:rsid w:val="00FD365F"/>
    <w:rsid w:val="00FE5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C40824"/>
    <w:pPr>
      <w:tabs>
        <w:tab w:val="left" w:pos="0"/>
        <w:tab w:val="left" w:pos="720"/>
        <w:tab w:val="right" w:leader="dot" w:pos="9494"/>
      </w:tabs>
      <w:spacing w:before="120" w:after="120" w:line="480" w:lineRule="auto"/>
      <w:jc w:val="both"/>
    </w:pPr>
    <w:rPr>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link w:val="PlainText"/>
    <w:uiPriority w:val="99"/>
    <w:rsid w:val="00F23A50"/>
    <w:rPr>
      <w:rFonts w:ascii="Courier New" w:eastAsia="Calibri" w:hAnsi="Courier New" w:cs="Courier New"/>
    </w:rPr>
  </w:style>
  <w:style w:type="character" w:styleId="CommentReference">
    <w:name w:val="annotation reference"/>
    <w:rsid w:val="006806E8"/>
    <w:rPr>
      <w:sz w:val="16"/>
      <w:szCs w:val="16"/>
    </w:rPr>
  </w:style>
  <w:style w:type="paragraph" w:styleId="CommentText">
    <w:name w:val="annotation text"/>
    <w:basedOn w:val="Normal"/>
    <w:link w:val="CommentTextChar"/>
    <w:rsid w:val="006806E8"/>
    <w:rPr>
      <w:sz w:val="20"/>
      <w:szCs w:val="20"/>
    </w:rPr>
  </w:style>
  <w:style w:type="character" w:customStyle="1" w:styleId="CommentTextChar">
    <w:name w:val="Comment Text Char"/>
    <w:basedOn w:val="DefaultParagraphFont"/>
    <w:link w:val="CommentText"/>
    <w:rsid w:val="006806E8"/>
  </w:style>
  <w:style w:type="paragraph" w:styleId="CommentSubject">
    <w:name w:val="annotation subject"/>
    <w:basedOn w:val="CommentText"/>
    <w:next w:val="CommentText"/>
    <w:link w:val="CommentSubjectChar"/>
    <w:rsid w:val="006806E8"/>
    <w:rPr>
      <w:b/>
      <w:bCs/>
    </w:rPr>
  </w:style>
  <w:style w:type="character" w:customStyle="1" w:styleId="CommentSubjectChar">
    <w:name w:val="Comment Subject Char"/>
    <w:link w:val="CommentSubject"/>
    <w:rsid w:val="006806E8"/>
    <w:rPr>
      <w:b/>
      <w:bCs/>
    </w:rPr>
  </w:style>
  <w:style w:type="paragraph" w:styleId="BalloonText">
    <w:name w:val="Balloon Text"/>
    <w:basedOn w:val="Normal"/>
    <w:link w:val="BalloonTextChar"/>
    <w:rsid w:val="006806E8"/>
    <w:rPr>
      <w:rFonts w:ascii="Tahoma" w:hAnsi="Tahoma" w:cs="Tahoma"/>
      <w:sz w:val="16"/>
      <w:szCs w:val="16"/>
    </w:rPr>
  </w:style>
  <w:style w:type="character" w:customStyle="1" w:styleId="BalloonTextChar">
    <w:name w:val="Balloon Text Char"/>
    <w:link w:val="BalloonText"/>
    <w:rsid w:val="006806E8"/>
    <w:rPr>
      <w:rFonts w:ascii="Tahoma" w:hAnsi="Tahoma" w:cs="Tahoma"/>
      <w:sz w:val="16"/>
      <w:szCs w:val="16"/>
    </w:rPr>
  </w:style>
  <w:style w:type="paragraph" w:styleId="BodyText">
    <w:name w:val="Body Text"/>
    <w:basedOn w:val="Normal"/>
    <w:link w:val="BodyTextChar"/>
    <w:uiPriority w:val="1"/>
    <w:qFormat/>
    <w:rsid w:val="00B53CDA"/>
    <w:pPr>
      <w:widowControl w:val="0"/>
      <w:ind w:left="100"/>
    </w:pPr>
    <w:rPr>
      <w:rFonts w:ascii="Arial" w:eastAsia="Arial" w:hAnsi="Arial"/>
      <w:sz w:val="20"/>
      <w:szCs w:val="20"/>
    </w:rPr>
  </w:style>
  <w:style w:type="character" w:customStyle="1" w:styleId="BodyTextChar">
    <w:name w:val="Body Text Char"/>
    <w:link w:val="BodyText"/>
    <w:uiPriority w:val="1"/>
    <w:rsid w:val="00B53CDA"/>
    <w:rPr>
      <w:rFonts w:ascii="Arial" w:eastAsia="Arial" w:hAnsi="Arial"/>
    </w:rPr>
  </w:style>
  <w:style w:type="character" w:styleId="FollowedHyperlink">
    <w:name w:val="FollowedHyperlink"/>
    <w:rsid w:val="007B2FDB"/>
    <w:rPr>
      <w:color w:val="800080"/>
      <w:u w:val="single"/>
    </w:rPr>
  </w:style>
  <w:style w:type="paragraph" w:styleId="ListParagraph">
    <w:name w:val="List Paragraph"/>
    <w:basedOn w:val="Normal"/>
    <w:uiPriority w:val="34"/>
    <w:qFormat/>
    <w:rsid w:val="000203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C40824"/>
    <w:pPr>
      <w:tabs>
        <w:tab w:val="left" w:pos="0"/>
        <w:tab w:val="left" w:pos="720"/>
        <w:tab w:val="right" w:leader="dot" w:pos="9494"/>
      </w:tabs>
      <w:spacing w:before="120" w:after="120" w:line="480" w:lineRule="auto"/>
      <w:jc w:val="both"/>
    </w:pPr>
    <w:rPr>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link w:val="PlainText"/>
    <w:uiPriority w:val="99"/>
    <w:rsid w:val="00F23A50"/>
    <w:rPr>
      <w:rFonts w:ascii="Courier New" w:eastAsia="Calibri" w:hAnsi="Courier New" w:cs="Courier New"/>
    </w:rPr>
  </w:style>
  <w:style w:type="character" w:styleId="CommentReference">
    <w:name w:val="annotation reference"/>
    <w:rsid w:val="006806E8"/>
    <w:rPr>
      <w:sz w:val="16"/>
      <w:szCs w:val="16"/>
    </w:rPr>
  </w:style>
  <w:style w:type="paragraph" w:styleId="CommentText">
    <w:name w:val="annotation text"/>
    <w:basedOn w:val="Normal"/>
    <w:link w:val="CommentTextChar"/>
    <w:rsid w:val="006806E8"/>
    <w:rPr>
      <w:sz w:val="20"/>
      <w:szCs w:val="20"/>
    </w:rPr>
  </w:style>
  <w:style w:type="character" w:customStyle="1" w:styleId="CommentTextChar">
    <w:name w:val="Comment Text Char"/>
    <w:basedOn w:val="DefaultParagraphFont"/>
    <w:link w:val="CommentText"/>
    <w:rsid w:val="006806E8"/>
  </w:style>
  <w:style w:type="paragraph" w:styleId="CommentSubject">
    <w:name w:val="annotation subject"/>
    <w:basedOn w:val="CommentText"/>
    <w:next w:val="CommentText"/>
    <w:link w:val="CommentSubjectChar"/>
    <w:rsid w:val="006806E8"/>
    <w:rPr>
      <w:b/>
      <w:bCs/>
    </w:rPr>
  </w:style>
  <w:style w:type="character" w:customStyle="1" w:styleId="CommentSubjectChar">
    <w:name w:val="Comment Subject Char"/>
    <w:link w:val="CommentSubject"/>
    <w:rsid w:val="006806E8"/>
    <w:rPr>
      <w:b/>
      <w:bCs/>
    </w:rPr>
  </w:style>
  <w:style w:type="paragraph" w:styleId="BalloonText">
    <w:name w:val="Balloon Text"/>
    <w:basedOn w:val="Normal"/>
    <w:link w:val="BalloonTextChar"/>
    <w:rsid w:val="006806E8"/>
    <w:rPr>
      <w:rFonts w:ascii="Tahoma" w:hAnsi="Tahoma" w:cs="Tahoma"/>
      <w:sz w:val="16"/>
      <w:szCs w:val="16"/>
    </w:rPr>
  </w:style>
  <w:style w:type="character" w:customStyle="1" w:styleId="BalloonTextChar">
    <w:name w:val="Balloon Text Char"/>
    <w:link w:val="BalloonText"/>
    <w:rsid w:val="006806E8"/>
    <w:rPr>
      <w:rFonts w:ascii="Tahoma" w:hAnsi="Tahoma" w:cs="Tahoma"/>
      <w:sz w:val="16"/>
      <w:szCs w:val="16"/>
    </w:rPr>
  </w:style>
  <w:style w:type="paragraph" w:styleId="BodyText">
    <w:name w:val="Body Text"/>
    <w:basedOn w:val="Normal"/>
    <w:link w:val="BodyTextChar"/>
    <w:uiPriority w:val="1"/>
    <w:qFormat/>
    <w:rsid w:val="00B53CDA"/>
    <w:pPr>
      <w:widowControl w:val="0"/>
      <w:ind w:left="100"/>
    </w:pPr>
    <w:rPr>
      <w:rFonts w:ascii="Arial" w:eastAsia="Arial" w:hAnsi="Arial"/>
      <w:sz w:val="20"/>
      <w:szCs w:val="20"/>
    </w:rPr>
  </w:style>
  <w:style w:type="character" w:customStyle="1" w:styleId="BodyTextChar">
    <w:name w:val="Body Text Char"/>
    <w:link w:val="BodyText"/>
    <w:uiPriority w:val="1"/>
    <w:rsid w:val="00B53CDA"/>
    <w:rPr>
      <w:rFonts w:ascii="Arial" w:eastAsia="Arial" w:hAnsi="Arial"/>
    </w:rPr>
  </w:style>
  <w:style w:type="character" w:styleId="FollowedHyperlink">
    <w:name w:val="FollowedHyperlink"/>
    <w:rsid w:val="007B2FDB"/>
    <w:rPr>
      <w:color w:val="800080"/>
      <w:u w:val="single"/>
    </w:rPr>
  </w:style>
  <w:style w:type="paragraph" w:styleId="ListParagraph">
    <w:name w:val="List Paragraph"/>
    <w:basedOn w:val="Normal"/>
    <w:uiPriority w:val="34"/>
    <w:qFormat/>
    <w:rsid w:val="000203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367068">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1525243376">
      <w:bodyDiv w:val="1"/>
      <w:marLeft w:val="0"/>
      <w:marRight w:val="0"/>
      <w:marTop w:val="0"/>
      <w:marBottom w:val="0"/>
      <w:divBdr>
        <w:top w:val="none" w:sz="0" w:space="0" w:color="auto"/>
        <w:left w:val="none" w:sz="0" w:space="0" w:color="auto"/>
        <w:bottom w:val="none" w:sz="0" w:space="0" w:color="auto"/>
        <w:right w:val="none" w:sz="0" w:space="0" w:color="auto"/>
      </w:divBdr>
    </w:div>
    <w:div w:id="1600140170">
      <w:bodyDiv w:val="1"/>
      <w:marLeft w:val="0"/>
      <w:marRight w:val="0"/>
      <w:marTop w:val="0"/>
      <w:marBottom w:val="0"/>
      <w:divBdr>
        <w:top w:val="none" w:sz="0" w:space="0" w:color="auto"/>
        <w:left w:val="none" w:sz="0" w:space="0" w:color="auto"/>
        <w:bottom w:val="none" w:sz="0" w:space="0" w:color="auto"/>
        <w:right w:val="none" w:sz="0" w:space="0" w:color="auto"/>
      </w:divBdr>
    </w:div>
    <w:div w:id="1613972848">
      <w:bodyDiv w:val="1"/>
      <w:marLeft w:val="0"/>
      <w:marRight w:val="0"/>
      <w:marTop w:val="0"/>
      <w:marBottom w:val="0"/>
      <w:divBdr>
        <w:top w:val="none" w:sz="0" w:space="0" w:color="auto"/>
        <w:left w:val="none" w:sz="0" w:space="0" w:color="auto"/>
        <w:bottom w:val="none" w:sz="0" w:space="0" w:color="auto"/>
        <w:right w:val="none" w:sz="0" w:space="0" w:color="auto"/>
      </w:divBdr>
    </w:div>
    <w:div w:id="20578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_13644.htm#19-00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ma.od.nih.gov/ms/privacy/pa-files/02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ma.od.nih.gov/ms/privacy/pa-files/0200.htm" TargetMode="External"/><Relationship Id="rId4" Type="http://schemas.microsoft.com/office/2007/relationships/stylesWithEffects" Target="stylesWithEffects.xml"/><Relationship Id="rId9" Type="http://schemas.openxmlformats.org/officeDocument/2006/relationships/hyperlink" Target="mailto:sarah.morris@nih.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4EA28-AC5C-4503-9651-05B044E58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4141</Words>
  <Characters>23604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Supporting Statement 'A' Preparation - 04/05/2011</vt:lpstr>
    </vt:vector>
  </TitlesOfParts>
  <Company>National Institute of Mental Health</Company>
  <LinksUpToDate>false</LinksUpToDate>
  <CharactersWithSpaces>27690</CharactersWithSpaces>
  <SharedDoc>false</SharedDoc>
  <HLinks>
    <vt:vector size="36" baseType="variant">
      <vt:variant>
        <vt:i4>8060995</vt:i4>
      </vt:variant>
      <vt:variant>
        <vt:i4>18</vt:i4>
      </vt:variant>
      <vt:variant>
        <vt:i4>0</vt:i4>
      </vt:variant>
      <vt:variant>
        <vt:i4>5</vt:i4>
      </vt:variant>
      <vt:variant>
        <vt:lpwstr>http://www.law.cornell.edu/uscode/html/uscode42/usc_sup_01_42_10_6A_20_III_30_E.html</vt:lpwstr>
      </vt:variant>
      <vt:variant>
        <vt:lpwstr/>
      </vt:variant>
      <vt:variant>
        <vt:i4>917630</vt:i4>
      </vt:variant>
      <vt:variant>
        <vt:i4>15</vt:i4>
      </vt:variant>
      <vt:variant>
        <vt:i4>0</vt:i4>
      </vt:variant>
      <vt:variant>
        <vt:i4>5</vt:i4>
      </vt:variant>
      <vt:variant>
        <vt:lpwstr>http://www.law.cornell.edu/uscode/html/uscode42/usc_sec_42_00000286----000-.html</vt:lpwstr>
      </vt:variant>
      <vt:variant>
        <vt:lpwstr/>
      </vt:variant>
      <vt:variant>
        <vt:i4>8060997</vt:i4>
      </vt:variant>
      <vt:variant>
        <vt:i4>12</vt:i4>
      </vt:variant>
      <vt:variant>
        <vt:i4>0</vt:i4>
      </vt:variant>
      <vt:variant>
        <vt:i4>5</vt:i4>
      </vt:variant>
      <vt:variant>
        <vt:lpwstr>http://www.law.cornell.edu/uscode/html/uscode42/usc_sup_01_42_10_6A_20_III_30_C.html</vt:lpwstr>
      </vt:variant>
      <vt:variant>
        <vt:lpwstr/>
      </vt:variant>
      <vt:variant>
        <vt:i4>8060996</vt:i4>
      </vt:variant>
      <vt:variant>
        <vt:i4>9</vt:i4>
      </vt:variant>
      <vt:variant>
        <vt:i4>0</vt:i4>
      </vt:variant>
      <vt:variant>
        <vt:i4>5</vt:i4>
      </vt:variant>
      <vt:variant>
        <vt:lpwstr>http://www.law.cornell.edu/uscode/html/uscode42/usc_sup_01_42_10_6A_20_III_30_B.html</vt:lpwstr>
      </vt:variant>
      <vt:variant>
        <vt:lpwstr/>
      </vt:variant>
      <vt:variant>
        <vt:i4>131193</vt:i4>
      </vt:variant>
      <vt:variant>
        <vt:i4>6</vt:i4>
      </vt:variant>
      <vt:variant>
        <vt:i4>0</vt:i4>
      </vt:variant>
      <vt:variant>
        <vt:i4>5</vt:i4>
      </vt:variant>
      <vt:variant>
        <vt:lpwstr>http://www.law.cornell.edu/uscode/html/uscode42/usc_sec_42_00000241----000-.html</vt:lpwstr>
      </vt:variant>
      <vt:variant>
        <vt:lpwstr/>
      </vt:variant>
      <vt:variant>
        <vt:i4>6619246</vt:i4>
      </vt:variant>
      <vt:variant>
        <vt:i4>3</vt:i4>
      </vt:variant>
      <vt:variant>
        <vt:i4>0</vt:i4>
      </vt:variant>
      <vt:variant>
        <vt:i4>5</vt:i4>
      </vt:variant>
      <vt:variant>
        <vt:lpwstr>http://www.law.cornell.edu/uscode/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- 04/05/2011</dc:title>
  <dc:subject>Supporting Statement 'A' Preparation - 04/05/2011</dc:subject>
  <dc:creator>OD/USER</dc:creator>
  <cp:keywords>Supporting Statement 'A' Preparation - 04/05/2011</cp:keywords>
  <cp:lastModifiedBy>Abdelmouti, Tawanda (NIH/NCI) [E]</cp:lastModifiedBy>
  <cp:revision>2</cp:revision>
  <cp:lastPrinted>2013-11-07T14:08:00Z</cp:lastPrinted>
  <dcterms:created xsi:type="dcterms:W3CDTF">2014-10-27T18:47:00Z</dcterms:created>
  <dcterms:modified xsi:type="dcterms:W3CDTF">2014-10-27T18:47:00Z</dcterms:modified>
</cp:coreProperties>
</file>