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C9" w:rsidRPr="00DC793F" w:rsidRDefault="006F16C9" w:rsidP="006F16C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C793F">
        <w:rPr>
          <w:b/>
          <w:sz w:val="36"/>
          <w:szCs w:val="36"/>
        </w:rPr>
        <w:t xml:space="preserve">Attachment </w:t>
      </w:r>
      <w:r w:rsidR="005A2DB3" w:rsidRPr="00DC793F">
        <w:rPr>
          <w:b/>
          <w:sz w:val="36"/>
          <w:szCs w:val="36"/>
        </w:rPr>
        <w:t>4</w:t>
      </w:r>
      <w:r w:rsidRPr="00DC793F">
        <w:rPr>
          <w:b/>
          <w:sz w:val="36"/>
          <w:szCs w:val="36"/>
        </w:rPr>
        <w:t xml:space="preserve"> </w:t>
      </w:r>
    </w:p>
    <w:p w:rsidR="006F16C9" w:rsidRPr="00DC793F" w:rsidRDefault="006F16C9" w:rsidP="006F16C9">
      <w:pPr>
        <w:jc w:val="center"/>
        <w:rPr>
          <w:b/>
          <w:sz w:val="36"/>
          <w:szCs w:val="36"/>
        </w:rPr>
      </w:pPr>
      <w:r w:rsidRPr="00DC793F">
        <w:rPr>
          <w:b/>
          <w:sz w:val="36"/>
          <w:szCs w:val="36"/>
        </w:rPr>
        <w:t>Evidence for Incentives</w:t>
      </w:r>
    </w:p>
    <w:p w:rsidR="006F16C9" w:rsidRPr="00DC793F" w:rsidRDefault="006F16C9" w:rsidP="006F16C9">
      <w:pPr>
        <w:jc w:val="center"/>
        <w:rPr>
          <w:b/>
        </w:rPr>
      </w:pPr>
      <w:r w:rsidRPr="00DC793F">
        <w:rPr>
          <w:b/>
        </w:rPr>
        <w:t>Prepared by Westat, March 31, 2014</w:t>
      </w:r>
    </w:p>
    <w:p w:rsidR="006F16C9" w:rsidRPr="00DC793F" w:rsidRDefault="006F16C9" w:rsidP="006F16C9">
      <w:pPr>
        <w:pStyle w:val="Heading1"/>
        <w:rPr>
          <w:rFonts w:ascii="Times New Roman" w:hAnsi="Times New Roman"/>
          <w:b/>
          <w:color w:val="auto"/>
        </w:rPr>
      </w:pPr>
      <w:r w:rsidRPr="00DC793F">
        <w:rPr>
          <w:rFonts w:ascii="Times New Roman" w:hAnsi="Times New Roman"/>
          <w:b/>
          <w:color w:val="auto"/>
        </w:rPr>
        <w:t>Federal Studies involving Incentives (2012 – present)</w:t>
      </w:r>
    </w:p>
    <w:tbl>
      <w:tblPr>
        <w:tblW w:w="9990" w:type="dxa"/>
        <w:tblInd w:w="-162" w:type="dxa"/>
        <w:tblLook w:val="04A0" w:firstRow="1" w:lastRow="0" w:firstColumn="1" w:lastColumn="0" w:noHBand="0" w:noVBand="1"/>
      </w:tblPr>
      <w:tblGrid>
        <w:gridCol w:w="2127"/>
        <w:gridCol w:w="1023"/>
        <w:gridCol w:w="990"/>
        <w:gridCol w:w="1440"/>
        <w:gridCol w:w="3060"/>
        <w:gridCol w:w="1350"/>
      </w:tblGrid>
      <w:tr w:rsidR="00D45C89" w:rsidRPr="00DC793F" w:rsidTr="00D45C89">
        <w:trPr>
          <w:trHeight w:val="864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</w:tcPr>
          <w:p w:rsidR="00D45C89" w:rsidRPr="00DC793F" w:rsidRDefault="00D45C89" w:rsidP="00BA3BEA">
            <w:pPr>
              <w:rPr>
                <w:rFonts w:eastAsia="Times New Roman"/>
                <w:bCs/>
                <w:color w:val="FFFFFF"/>
                <w:sz w:val="20"/>
              </w:rPr>
            </w:pPr>
            <w:r w:rsidRPr="00DC793F">
              <w:rPr>
                <w:rFonts w:eastAsia="Times New Roman"/>
                <w:bCs/>
                <w:color w:val="FFFFFF"/>
                <w:sz w:val="20"/>
              </w:rPr>
              <w:t>Client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bCs/>
                <w:color w:val="FFFFFF"/>
                <w:sz w:val="20"/>
              </w:rPr>
            </w:pPr>
            <w:r w:rsidRPr="00DC793F">
              <w:rPr>
                <w:rFonts w:eastAsia="Times New Roman"/>
                <w:bCs/>
                <w:color w:val="FFFFFF"/>
                <w:sz w:val="20"/>
              </w:rPr>
              <w:t>Interview Length (minutes)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bCs/>
                <w:color w:val="FFFFFF"/>
                <w:sz w:val="20"/>
              </w:rPr>
            </w:pPr>
            <w:r w:rsidRPr="00DC793F">
              <w:rPr>
                <w:rFonts w:eastAsia="Times New Roman"/>
                <w:bCs/>
                <w:color w:val="FFFFFF"/>
                <w:sz w:val="20"/>
              </w:rPr>
              <w:t>Incentive Amount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</w:tcPr>
          <w:p w:rsidR="00D45C89" w:rsidRPr="00DC793F" w:rsidRDefault="00D45C89" w:rsidP="00BA3BEA">
            <w:pPr>
              <w:rPr>
                <w:rFonts w:eastAsia="Times New Roman"/>
                <w:bCs/>
                <w:color w:val="FFFFFF"/>
                <w:sz w:val="20"/>
              </w:rPr>
            </w:pPr>
            <w:r w:rsidRPr="00DC793F">
              <w:rPr>
                <w:rFonts w:eastAsia="Times New Roman"/>
                <w:bCs/>
                <w:color w:val="FFFFFF"/>
                <w:sz w:val="20"/>
              </w:rPr>
              <w:t>Interview type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D45C89" w:rsidRPr="00DC793F" w:rsidRDefault="00D45C89" w:rsidP="00BA3BEA">
            <w:pPr>
              <w:rPr>
                <w:rFonts w:eastAsia="Times New Roman"/>
                <w:bCs/>
                <w:color w:val="FFFFFF"/>
                <w:sz w:val="20"/>
              </w:rPr>
            </w:pPr>
            <w:r w:rsidRPr="00DC793F">
              <w:rPr>
                <w:rFonts w:eastAsia="Times New Roman"/>
                <w:bCs/>
                <w:color w:val="FFFFFF"/>
                <w:sz w:val="20"/>
              </w:rPr>
              <w:t>Population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</w:tcPr>
          <w:p w:rsidR="00D45C89" w:rsidRPr="00DC793F" w:rsidRDefault="00D45C89" w:rsidP="00D45C89">
            <w:pPr>
              <w:ind w:left="0" w:firstLine="0"/>
              <w:rPr>
                <w:rFonts w:eastAsia="Times New Roman"/>
                <w:bCs/>
                <w:color w:val="FFFFFF"/>
                <w:sz w:val="20"/>
              </w:rPr>
            </w:pPr>
            <w:r w:rsidRPr="00D45C89">
              <w:rPr>
                <w:rFonts w:eastAsia="Times New Roman"/>
                <w:bCs/>
                <w:color w:val="FFFFFF"/>
                <w:sz w:val="20"/>
              </w:rPr>
              <w:t>OMB Clearance Number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Bureau of Justice Statistics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$ 40.00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Crime victims in last 12 months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45C89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1121-0325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7/31/2015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NCI FLASHE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$75.00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Youth ages 12-17 and parents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45C89" w:rsidRDefault="00D45C89" w:rsidP="00BD3001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0925-0589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Food and Nutrition Services, USDA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$60.00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SNAP recipients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45C89" w:rsidRDefault="00D45C89" w:rsidP="00BD3001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0584-0564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10/31/2017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Department of Health and Human Services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$50.00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Mix of respondents with different  health issues, smokers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45C89" w:rsidRDefault="00D45C89" w:rsidP="008D4C64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0925-0589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HINTS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$50.00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Mix of cancer patients and general population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45C89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0925-0589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HINTS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$50.00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18 years or older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45C89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0925-0589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Bureau of Justice Statistics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$50.00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Crime victim within last 12 months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45C89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1121-0325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7/31/2015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Bureau of Justice Statistics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$40.00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Crime victim within past 12 months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1121-0325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7/31/2015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NCI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 xml:space="preserve"> $40.00 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In-person, followed by phone interview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Respondents with android cell phones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</w:tcPr>
          <w:p w:rsidR="00D45C89" w:rsidRPr="00DC793F" w:rsidRDefault="00D45C89" w:rsidP="00BD3001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0925-0642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08/31/2017</w:t>
            </w:r>
          </w:p>
        </w:tc>
      </w:tr>
      <w:tr w:rsidR="00D45C89" w:rsidRPr="00DC793F" w:rsidTr="00D45C89">
        <w:trPr>
          <w:trHeight w:val="300"/>
        </w:trPr>
        <w:tc>
          <w:tcPr>
            <w:tcW w:w="212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tabs>
                <w:tab w:val="left" w:pos="0"/>
              </w:tabs>
              <w:ind w:left="0" w:right="116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NCI</w:t>
            </w:r>
          </w:p>
        </w:tc>
        <w:tc>
          <w:tcPr>
            <w:tcW w:w="102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BA3BE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$50.00</w:t>
            </w:r>
          </w:p>
        </w:tc>
        <w:tc>
          <w:tcPr>
            <w:tcW w:w="14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In-person</w:t>
            </w:r>
          </w:p>
        </w:tc>
        <w:tc>
          <w:tcPr>
            <w:tcW w:w="30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hideMark/>
          </w:tcPr>
          <w:p w:rsidR="00D45C89" w:rsidRPr="00DC793F" w:rsidRDefault="00D45C89" w:rsidP="006F16C9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C793F">
              <w:rPr>
                <w:rFonts w:eastAsia="Times New Roman"/>
                <w:color w:val="000000"/>
                <w:sz w:val="20"/>
                <w:szCs w:val="20"/>
              </w:rPr>
              <w:t>General population, mix of ethnicity, gender, &amp; education</w:t>
            </w:r>
          </w:p>
        </w:tc>
        <w:tc>
          <w:tcPr>
            <w:tcW w:w="135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</w:tcPr>
          <w:p w:rsidR="00D45C89" w:rsidRPr="00DC793F" w:rsidRDefault="00D45C89" w:rsidP="00BD3001">
            <w:pPr>
              <w:ind w:left="0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D45C89">
              <w:rPr>
                <w:rFonts w:eastAsia="Times New Roman"/>
                <w:color w:val="000000"/>
                <w:sz w:val="20"/>
                <w:szCs w:val="20"/>
              </w:rPr>
              <w:t>0925-0645</w:t>
            </w:r>
            <w:r w:rsidR="00BD3001">
              <w:rPr>
                <w:rFonts w:eastAsia="Times New Roman"/>
                <w:color w:val="000000"/>
                <w:sz w:val="20"/>
                <w:szCs w:val="20"/>
              </w:rPr>
              <w:t>, expiry 12/31/2014</w:t>
            </w:r>
          </w:p>
        </w:tc>
      </w:tr>
    </w:tbl>
    <w:p w:rsidR="006F16C9" w:rsidRPr="00DC793F" w:rsidRDefault="006F16C9" w:rsidP="006F16C9">
      <w:pPr>
        <w:rPr>
          <w:sz w:val="20"/>
          <w:szCs w:val="20"/>
        </w:rPr>
      </w:pPr>
    </w:p>
    <w:p w:rsidR="006F16C9" w:rsidRPr="00DC793F" w:rsidRDefault="006F16C9">
      <w:pPr>
        <w:rPr>
          <w:sz w:val="20"/>
          <w:szCs w:val="20"/>
        </w:rPr>
      </w:pPr>
      <w:r w:rsidRPr="00DC793F">
        <w:rPr>
          <w:sz w:val="20"/>
          <w:szCs w:val="20"/>
        </w:rPr>
        <w:br w:type="page"/>
      </w:r>
    </w:p>
    <w:p w:rsidR="006F16C9" w:rsidRPr="00DC793F" w:rsidRDefault="006F16C9" w:rsidP="006F16C9">
      <w:pPr>
        <w:pStyle w:val="Heading1"/>
        <w:rPr>
          <w:rFonts w:ascii="Times New Roman" w:hAnsi="Times New Roman"/>
          <w:b/>
          <w:color w:val="auto"/>
        </w:rPr>
      </w:pPr>
      <w:r w:rsidRPr="00DC793F">
        <w:rPr>
          <w:rFonts w:ascii="Times New Roman" w:hAnsi="Times New Roman"/>
          <w:b/>
          <w:color w:val="auto"/>
        </w:rPr>
        <w:t>Correlation between Recruiting Effort and Incentive Amounts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265"/>
        <w:gridCol w:w="5015"/>
        <w:gridCol w:w="1360"/>
      </w:tblGrid>
      <w:tr w:rsidR="006F16C9" w:rsidRPr="00DC793F" w:rsidTr="00BA3BEA">
        <w:trPr>
          <w:trHeight w:val="1152"/>
        </w:trPr>
        <w:tc>
          <w:tcPr>
            <w:tcW w:w="226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4F81BD"/>
            <w:noWrap/>
            <w:vAlign w:val="bottom"/>
            <w:hideMark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FFFFFF"/>
              </w:rPr>
            </w:pPr>
            <w:r w:rsidRPr="00DC793F">
              <w:rPr>
                <w:rFonts w:eastAsia="Times New Roman"/>
                <w:bCs/>
                <w:color w:val="FFFFFF"/>
              </w:rPr>
              <w:t>Incentive Amounts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4F81BD"/>
            <w:noWrap/>
            <w:vAlign w:val="bottom"/>
            <w:hideMark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FFFFFF"/>
              </w:rPr>
            </w:pPr>
            <w:r w:rsidRPr="00DC793F">
              <w:rPr>
                <w:rFonts w:eastAsia="Times New Roman"/>
                <w:bCs/>
                <w:color w:val="FFFFFF"/>
              </w:rPr>
              <w:t>Average number of recruiting hours spent per respondent scheduled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4F81BD"/>
            <w:noWrap/>
            <w:vAlign w:val="bottom"/>
            <w:hideMark/>
          </w:tcPr>
          <w:p w:rsidR="006F16C9" w:rsidRPr="00DC793F" w:rsidRDefault="006F16C9" w:rsidP="00BA3BEA">
            <w:pPr>
              <w:rPr>
                <w:rFonts w:eastAsia="Times New Roman"/>
                <w:bCs/>
                <w:color w:val="FFFFFF"/>
              </w:rPr>
            </w:pPr>
            <w:r w:rsidRPr="00DC793F">
              <w:rPr>
                <w:rFonts w:eastAsia="Times New Roman"/>
                <w:bCs/>
                <w:color w:val="FFFFFF"/>
              </w:rPr>
              <w:t>n</w:t>
            </w:r>
          </w:p>
          <w:p w:rsidR="006F16C9" w:rsidRPr="00DC793F" w:rsidRDefault="006F16C9" w:rsidP="006F16C9">
            <w:pPr>
              <w:ind w:left="7" w:hanging="7"/>
              <w:rPr>
                <w:rFonts w:eastAsia="Times New Roman"/>
                <w:bCs/>
                <w:color w:val="FFFFFF"/>
              </w:rPr>
            </w:pPr>
            <w:r w:rsidRPr="00DC793F">
              <w:rPr>
                <w:rFonts w:eastAsia="Times New Roman"/>
                <w:bCs/>
                <w:color w:val="FFFFFF"/>
                <w:sz w:val="16"/>
              </w:rPr>
              <w:t>(Number of tasks included in calculation)</w:t>
            </w:r>
          </w:p>
        </w:tc>
      </w:tr>
      <w:tr w:rsidR="006F16C9" w:rsidRPr="00DC793F" w:rsidTr="00BA3BEA">
        <w:trPr>
          <w:trHeight w:val="432"/>
        </w:trPr>
        <w:tc>
          <w:tcPr>
            <w:tcW w:w="226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$60-75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1.91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6</w:t>
            </w:r>
          </w:p>
        </w:tc>
      </w:tr>
      <w:tr w:rsidR="006F16C9" w:rsidRPr="00DC793F" w:rsidTr="00BA3BEA">
        <w:trPr>
          <w:trHeight w:val="432"/>
        </w:trPr>
        <w:tc>
          <w:tcPr>
            <w:tcW w:w="226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$50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3.99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8</w:t>
            </w:r>
          </w:p>
        </w:tc>
      </w:tr>
      <w:tr w:rsidR="006F16C9" w:rsidRPr="00DC793F" w:rsidTr="00BA3BEA">
        <w:trPr>
          <w:trHeight w:val="432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$40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5.11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6C9" w:rsidRPr="00DC793F" w:rsidRDefault="006F16C9" w:rsidP="00BA3BEA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DC793F">
              <w:rPr>
                <w:rFonts w:eastAsia="Times New Roman"/>
                <w:bCs/>
                <w:color w:val="000000"/>
              </w:rPr>
              <w:t>6</w:t>
            </w:r>
          </w:p>
        </w:tc>
      </w:tr>
    </w:tbl>
    <w:p w:rsidR="006F16C9" w:rsidRPr="00DC793F" w:rsidRDefault="006F16C9" w:rsidP="006F16C9"/>
    <w:p w:rsidR="006F16C9" w:rsidRPr="00DC793F" w:rsidRDefault="006F16C9" w:rsidP="006F16C9"/>
    <w:p w:rsidR="006F16C9" w:rsidRPr="00DC793F" w:rsidRDefault="009F7645" w:rsidP="006F16C9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16C9" w:rsidRPr="00DC793F" w:rsidRDefault="006F16C9">
      <w:r w:rsidRPr="00DC793F">
        <w:br w:type="page"/>
      </w:r>
    </w:p>
    <w:p w:rsidR="006F16C9" w:rsidRPr="00DC793F" w:rsidRDefault="006F16C9" w:rsidP="006F16C9">
      <w:pPr>
        <w:pStyle w:val="Title"/>
        <w:rPr>
          <w:rFonts w:ascii="Times New Roman" w:hAnsi="Times New Roman"/>
          <w:b/>
          <w:color w:val="auto"/>
          <w:sz w:val="28"/>
          <w:szCs w:val="28"/>
        </w:rPr>
      </w:pPr>
      <w:r w:rsidRPr="00DC793F">
        <w:rPr>
          <w:rFonts w:ascii="Times New Roman" w:hAnsi="Times New Roman"/>
          <w:b/>
          <w:color w:val="auto"/>
          <w:sz w:val="28"/>
          <w:szCs w:val="28"/>
        </w:rPr>
        <w:t>Sample Impact of Incentive on Recruitment Budget</w:t>
      </w:r>
    </w:p>
    <w:p w:rsidR="006F16C9" w:rsidRPr="00DC793F" w:rsidRDefault="006F16C9" w:rsidP="006F16C9">
      <w:pPr>
        <w:pStyle w:val="Heading1"/>
        <w:rPr>
          <w:rFonts w:ascii="Times New Roman" w:hAnsi="Times New Roman"/>
          <w:b/>
          <w:color w:val="auto"/>
          <w:sz w:val="24"/>
          <w:szCs w:val="24"/>
        </w:rPr>
      </w:pPr>
      <w:r w:rsidRPr="00DC793F">
        <w:rPr>
          <w:rFonts w:ascii="Times New Roman" w:hAnsi="Times New Roman"/>
          <w:b/>
          <w:color w:val="auto"/>
          <w:sz w:val="24"/>
          <w:szCs w:val="24"/>
        </w:rPr>
        <w:t>Scope of Work</w:t>
      </w:r>
    </w:p>
    <w:p w:rsidR="006F16C9" w:rsidRPr="00DC793F" w:rsidRDefault="006F16C9" w:rsidP="006F16C9">
      <w:r w:rsidRPr="00DC793F">
        <w:t>Recruit and conduct 8 focus groups, each group 90 minutes with 5-7 women</w:t>
      </w:r>
    </w:p>
    <w:p w:rsidR="006F16C9" w:rsidRPr="00DC793F" w:rsidRDefault="006F16C9" w:rsidP="006F16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2 with inactive, white women of childbearing age</w:t>
      </w:r>
    </w:p>
    <w:p w:rsidR="006F16C9" w:rsidRPr="00DC793F" w:rsidRDefault="006F16C9" w:rsidP="006F16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2 with inactive, African-American women of childbearing age</w:t>
      </w:r>
    </w:p>
    <w:p w:rsidR="006F16C9" w:rsidRPr="00DC793F" w:rsidRDefault="006F16C9" w:rsidP="006F16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2 with inactive, Latina women of childbearing age</w:t>
      </w:r>
    </w:p>
    <w:p w:rsidR="006F16C9" w:rsidRPr="00DC793F" w:rsidRDefault="006F16C9" w:rsidP="006F16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2 with active women (mixed ethnicity) of childbearing age</w:t>
      </w:r>
    </w:p>
    <w:p w:rsidR="006F16C9" w:rsidRPr="00DC793F" w:rsidRDefault="006F16C9" w:rsidP="006C1B78">
      <w:pPr>
        <w:pStyle w:val="Heading1"/>
        <w:spacing w:before="0"/>
        <w:rPr>
          <w:rFonts w:ascii="Times New Roman" w:hAnsi="Times New Roman"/>
          <w:b/>
          <w:color w:val="auto"/>
          <w:sz w:val="24"/>
          <w:szCs w:val="24"/>
        </w:rPr>
      </w:pPr>
      <w:r w:rsidRPr="00DC793F">
        <w:rPr>
          <w:rFonts w:ascii="Times New Roman" w:hAnsi="Times New Roman"/>
          <w:b/>
          <w:color w:val="auto"/>
          <w:sz w:val="24"/>
          <w:szCs w:val="24"/>
        </w:rPr>
        <w:t>Recruitment Assumptions</w:t>
      </w:r>
    </w:p>
    <w:p w:rsidR="006F16C9" w:rsidRPr="00DC793F" w:rsidRDefault="006F16C9" w:rsidP="006C1B78">
      <w:pPr>
        <w:pStyle w:val="Heading3"/>
        <w:spacing w:before="0"/>
        <w:rPr>
          <w:rFonts w:ascii="Times New Roman" w:hAnsi="Times New Roman"/>
          <w:b w:val="0"/>
          <w:color w:val="auto"/>
        </w:rPr>
      </w:pPr>
      <w:r w:rsidRPr="00DC793F">
        <w:rPr>
          <w:rFonts w:ascii="Times New Roman" w:hAnsi="Times New Roman"/>
          <w:b w:val="0"/>
          <w:color w:val="auto"/>
        </w:rPr>
        <w:t>No-show rate</w:t>
      </w:r>
    </w:p>
    <w:p w:rsidR="006F16C9" w:rsidRPr="00DC793F" w:rsidRDefault="006F16C9" w:rsidP="006F16C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Typically, we would recruit 9 respondents to ensure that 5-7 show for the focus group itself.  As incentives decrease, the no-show rate increases.  Based on feedback from local facilities, lower incentives result in a no-show rate of more than 50%.</w:t>
      </w:r>
    </w:p>
    <w:p w:rsidR="006F16C9" w:rsidRPr="00DC793F" w:rsidRDefault="006F16C9" w:rsidP="006F16C9">
      <w:pPr>
        <w:pStyle w:val="Heading3"/>
        <w:rPr>
          <w:rFonts w:ascii="Times New Roman" w:hAnsi="Times New Roman"/>
          <w:b w:val="0"/>
          <w:color w:val="auto"/>
        </w:rPr>
      </w:pPr>
      <w:r w:rsidRPr="00DC793F">
        <w:rPr>
          <w:rFonts w:ascii="Times New Roman" w:hAnsi="Times New Roman"/>
          <w:b w:val="0"/>
          <w:color w:val="auto"/>
        </w:rPr>
        <w:t>Recruiting hours per respondent</w:t>
      </w:r>
    </w:p>
    <w:p w:rsidR="006C1B78" w:rsidRPr="00DC793F" w:rsidRDefault="006F16C9" w:rsidP="006C1B7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DC793F">
        <w:rPr>
          <w:rFonts w:ascii="Times New Roman" w:hAnsi="Times New Roman"/>
          <w:sz w:val="24"/>
          <w:szCs w:val="24"/>
        </w:rPr>
        <w:t>We have no experience recruiting for 90-minute focus groups with such a low incentive.  However, based on our experience recruiting for cognitive interviews (typically shorter) for smaller amounts, we estimate 6 recruiting hours per respondent for a $40 or $50 incentive.  As incentives decrease, recruiting effort (and recruiting hours) increase.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3024"/>
        <w:gridCol w:w="2433"/>
        <w:gridCol w:w="2395"/>
      </w:tblGrid>
      <w:tr w:rsidR="006F16C9" w:rsidRPr="00DC793F" w:rsidTr="006C1B78">
        <w:trPr>
          <w:trHeight w:val="1055"/>
        </w:trPr>
        <w:tc>
          <w:tcPr>
            <w:tcW w:w="1195" w:type="dxa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vAlign w:val="bottom"/>
          </w:tcPr>
          <w:p w:rsidR="006F16C9" w:rsidRPr="00DC793F" w:rsidRDefault="006C1B78" w:rsidP="006C1B78">
            <w:pPr>
              <w:ind w:left="0" w:firstLine="0"/>
              <w:rPr>
                <w:rFonts w:eastAsia="Times New Roman"/>
                <w:b/>
                <w:color w:val="000000"/>
              </w:rPr>
            </w:pPr>
            <w:r w:rsidRPr="00DC793F">
              <w:rPr>
                <w:rFonts w:eastAsia="Times New Roman"/>
                <w:b/>
                <w:color w:val="000000"/>
              </w:rPr>
              <w:t>I</w:t>
            </w:r>
            <w:r w:rsidR="006F16C9" w:rsidRPr="00DC793F">
              <w:rPr>
                <w:rFonts w:eastAsia="Times New Roman"/>
                <w:b/>
                <w:color w:val="000000"/>
              </w:rPr>
              <w:t>ncentive Amount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vAlign w:val="bottom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b/>
                <w:color w:val="000000"/>
              </w:rPr>
            </w:pPr>
            <w:r w:rsidRPr="00DC793F">
              <w:rPr>
                <w:rFonts w:eastAsia="Times New Roman"/>
                <w:b/>
                <w:color w:val="000000"/>
              </w:rPr>
              <w:t xml:space="preserve">Recruitment goals for each focus group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vAlign w:val="bottom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b/>
                <w:color w:val="000000"/>
              </w:rPr>
            </w:pPr>
            <w:r w:rsidRPr="00DC793F">
              <w:rPr>
                <w:rFonts w:eastAsia="Times New Roman"/>
                <w:b/>
                <w:color w:val="000000"/>
              </w:rPr>
              <w:t>Number of recruiting hours per respondent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vAlign w:val="bottom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b/>
                <w:color w:val="000000"/>
              </w:rPr>
            </w:pPr>
            <w:r w:rsidRPr="00DC793F">
              <w:rPr>
                <w:rFonts w:eastAsia="Times New Roman"/>
                <w:b/>
                <w:color w:val="000000"/>
              </w:rPr>
              <w:t xml:space="preserve">Increase in budget </w:t>
            </w:r>
            <w:r w:rsidR="006C1B78" w:rsidRPr="00DC793F">
              <w:rPr>
                <w:rFonts w:eastAsia="Times New Roman"/>
                <w:b/>
                <w:color w:val="000000"/>
              </w:rPr>
              <w:t>with decrease in incentive</w:t>
            </w:r>
          </w:p>
        </w:tc>
      </w:tr>
      <w:tr w:rsidR="006F16C9" w:rsidRPr="00DC793F" w:rsidTr="006C1B78">
        <w:trPr>
          <w:trHeight w:val="238"/>
        </w:trPr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FFFFFF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Recruit 9 for 5-7 to show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</w:tcBorders>
            <w:shd w:val="clear" w:color="auto" w:fill="1F497D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F16C9" w:rsidRPr="00DC793F" w:rsidTr="006C1B78">
        <w:trPr>
          <w:trHeight w:val="238"/>
        </w:trPr>
        <w:tc>
          <w:tcPr>
            <w:tcW w:w="1195" w:type="dxa"/>
            <w:tcBorders>
              <w:left w:val="nil"/>
              <w:bottom w:val="nil"/>
              <w:right w:val="single" w:sz="8" w:space="0" w:color="4F81BD"/>
            </w:tcBorders>
            <w:shd w:val="clear" w:color="auto" w:fill="FFFFFF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3024" w:type="dxa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Recruit 11 for 5-7 to show</w:t>
            </w:r>
          </w:p>
        </w:tc>
        <w:tc>
          <w:tcPr>
            <w:tcW w:w="2433" w:type="dxa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95" w:type="dxa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+ $2500</w:t>
            </w:r>
          </w:p>
        </w:tc>
      </w:tr>
      <w:tr w:rsidR="006F16C9" w:rsidRPr="00DC793F" w:rsidTr="006C1B78">
        <w:trPr>
          <w:trHeight w:val="238"/>
        </w:trPr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FFFFFF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$25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vAlign w:val="center"/>
          </w:tcPr>
          <w:p w:rsidR="006F16C9" w:rsidRPr="00DC793F" w:rsidRDefault="006F16C9" w:rsidP="006C1B78">
            <w:pPr>
              <w:ind w:left="0" w:firstLine="0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Recruit 13 for 5-7 to show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</w:tcBorders>
            <w:shd w:val="clear" w:color="auto" w:fill="D3DFEE"/>
            <w:vAlign w:val="center"/>
          </w:tcPr>
          <w:p w:rsidR="006F16C9" w:rsidRPr="00DC793F" w:rsidRDefault="006F16C9" w:rsidP="006C1B78">
            <w:pPr>
              <w:ind w:left="0"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C793F">
              <w:rPr>
                <w:rFonts w:eastAsia="Times New Roman"/>
                <w:color w:val="000000"/>
                <w:sz w:val="22"/>
                <w:szCs w:val="22"/>
              </w:rPr>
              <w:t>+ $5700</w:t>
            </w:r>
          </w:p>
        </w:tc>
      </w:tr>
    </w:tbl>
    <w:p w:rsidR="006F16C9" w:rsidRPr="00DC793F" w:rsidRDefault="006F16C9"/>
    <w:p w:rsidR="006C1B78" w:rsidRPr="00DC793F" w:rsidRDefault="006C1B78" w:rsidP="006F16C9">
      <w:pPr>
        <w:rPr>
          <w:b/>
        </w:rPr>
      </w:pPr>
    </w:p>
    <w:p w:rsidR="006F16C9" w:rsidRPr="00DC793F" w:rsidRDefault="006F16C9" w:rsidP="006F16C9">
      <w:r w:rsidRPr="00DC793F">
        <w:rPr>
          <w:b/>
        </w:rPr>
        <w:t xml:space="preserve">Feedback from Local Focus Group Facilities </w:t>
      </w:r>
      <w:r w:rsidRPr="00DC793F">
        <w:t>(based on 90 minute in-person interview)</w:t>
      </w:r>
    </w:p>
    <w:p w:rsidR="006F16C9" w:rsidRPr="00DC793F" w:rsidRDefault="006F16C9" w:rsidP="006F16C9">
      <w:pPr>
        <w:rPr>
          <w:u w:val="single"/>
        </w:rPr>
      </w:pPr>
      <w:r w:rsidRPr="00DC793F">
        <w:rPr>
          <w:u w:val="single"/>
        </w:rPr>
        <w:t>Shugoll Research</w:t>
      </w:r>
    </w:p>
    <w:p w:rsidR="006F16C9" w:rsidRPr="00DC793F" w:rsidRDefault="006F16C9" w:rsidP="006F16C9">
      <w:pPr>
        <w:ind w:left="0" w:firstLine="0"/>
      </w:pPr>
      <w:r w:rsidRPr="00DC793F">
        <w:t>Recommended $100 incentive.  Based on their experience, incentives of $50 and lower result in over half of the recruited respondents failing to show.</w:t>
      </w:r>
    </w:p>
    <w:p w:rsidR="006C1B78" w:rsidRPr="00DC793F" w:rsidRDefault="006C1B78" w:rsidP="006F16C9">
      <w:pPr>
        <w:ind w:left="0" w:firstLine="0"/>
      </w:pPr>
    </w:p>
    <w:p w:rsidR="006F16C9" w:rsidRPr="00DC793F" w:rsidRDefault="006F16C9" w:rsidP="006F16C9">
      <w:pPr>
        <w:rPr>
          <w:u w:val="single"/>
        </w:rPr>
      </w:pPr>
      <w:r w:rsidRPr="00DC793F">
        <w:rPr>
          <w:u w:val="single"/>
        </w:rPr>
        <w:t>Observation Baltimore</w:t>
      </w:r>
    </w:p>
    <w:p w:rsidR="006F16C9" w:rsidRPr="00DC793F" w:rsidRDefault="006F16C9" w:rsidP="006F16C9">
      <w:pPr>
        <w:ind w:left="0" w:firstLine="0"/>
      </w:pPr>
      <w:r w:rsidRPr="00DC793F">
        <w:t xml:space="preserve">Recommended $85 incentive, although noted that recruitment of Latino respondents typically required a higher incentive of at least $100.  Based on their experiences, a $25 or $40 incentive would only be sufficient to recruit a 15-minute telephone interview for this population. </w:t>
      </w:r>
    </w:p>
    <w:p w:rsidR="006C1B78" w:rsidRPr="00DC793F" w:rsidRDefault="006C1B78" w:rsidP="006F16C9"/>
    <w:p w:rsidR="006F16C9" w:rsidRPr="00DC793F" w:rsidRDefault="006F16C9" w:rsidP="006F16C9">
      <w:pPr>
        <w:rPr>
          <w:u w:val="single"/>
        </w:rPr>
      </w:pPr>
      <w:r w:rsidRPr="00DC793F">
        <w:rPr>
          <w:u w:val="single"/>
        </w:rPr>
        <w:t>EurekaFacts</w:t>
      </w:r>
    </w:p>
    <w:p w:rsidR="006F16C9" w:rsidRPr="006C1B78" w:rsidRDefault="006F16C9" w:rsidP="006C1B78">
      <w:pPr>
        <w:ind w:left="0" w:firstLine="0"/>
        <w:rPr>
          <w:sz w:val="28"/>
          <w:szCs w:val="28"/>
        </w:rPr>
      </w:pPr>
      <w:r w:rsidRPr="00DC793F">
        <w:t>Recommended $100 incentive.  Could potentially recruit with an incentive as low as $50, but would require a larger recruiting effort and would result in a higher no-show rate.</w:t>
      </w:r>
    </w:p>
    <w:sectPr w:rsidR="006F16C9" w:rsidRPr="006C1B78" w:rsidSect="00E11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00C8"/>
    <w:multiLevelType w:val="hybridMultilevel"/>
    <w:tmpl w:val="F694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82C98"/>
    <w:multiLevelType w:val="hybridMultilevel"/>
    <w:tmpl w:val="DBE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C9"/>
    <w:rsid w:val="0027608F"/>
    <w:rsid w:val="002D02F9"/>
    <w:rsid w:val="00310733"/>
    <w:rsid w:val="003108DB"/>
    <w:rsid w:val="004D2AA1"/>
    <w:rsid w:val="00565CD3"/>
    <w:rsid w:val="005A2DB3"/>
    <w:rsid w:val="005A775C"/>
    <w:rsid w:val="0064039F"/>
    <w:rsid w:val="006B0D04"/>
    <w:rsid w:val="006C1B78"/>
    <w:rsid w:val="006F16C9"/>
    <w:rsid w:val="007D5486"/>
    <w:rsid w:val="0089099F"/>
    <w:rsid w:val="008D4C64"/>
    <w:rsid w:val="00910714"/>
    <w:rsid w:val="009F7645"/>
    <w:rsid w:val="00A1085E"/>
    <w:rsid w:val="00BA3BEA"/>
    <w:rsid w:val="00BD3001"/>
    <w:rsid w:val="00D45C89"/>
    <w:rsid w:val="00DC793F"/>
    <w:rsid w:val="00E11962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62"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6C9"/>
    <w:pPr>
      <w:keepNext/>
      <w:keepLines/>
      <w:spacing w:before="480" w:line="276" w:lineRule="auto"/>
      <w:ind w:left="0" w:firstLine="0"/>
      <w:outlineLvl w:val="0"/>
    </w:pPr>
    <w:rPr>
      <w:rFonts w:ascii="Cambria" w:eastAsia="Times New Roman" w:hAnsi="Cambria"/>
      <w:bCs/>
      <w:color w:val="365F91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16C9"/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C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16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6F16C9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6F16C9"/>
    <w:pPr>
      <w:spacing w:after="120"/>
      <w:ind w:left="0" w:firstLine="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F16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16C9"/>
    <w:pPr>
      <w:spacing w:after="200" w:line="276" w:lineRule="auto"/>
      <w:ind w:firstLine="0"/>
      <w:contextualSpacing/>
    </w:pPr>
    <w:rPr>
      <w:rFonts w:ascii="Calibri" w:hAnsi="Calibri"/>
      <w:sz w:val="22"/>
      <w:szCs w:val="22"/>
    </w:rPr>
  </w:style>
  <w:style w:type="table" w:styleId="MediumList2-Accent1">
    <w:name w:val="Medium List 2 Accent 1"/>
    <w:basedOn w:val="TableNormal"/>
    <w:uiPriority w:val="66"/>
    <w:rsid w:val="006F16C9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62"/>
    <w:pPr>
      <w:ind w:left="720" w:hanging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6C9"/>
    <w:pPr>
      <w:keepNext/>
      <w:keepLines/>
      <w:spacing w:before="480" w:line="276" w:lineRule="auto"/>
      <w:ind w:left="0" w:firstLine="0"/>
      <w:outlineLvl w:val="0"/>
    </w:pPr>
    <w:rPr>
      <w:rFonts w:ascii="Cambria" w:eastAsia="Times New Roman" w:hAnsi="Cambria"/>
      <w:bCs/>
      <w:color w:val="365F91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16C9"/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C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F16C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6F16C9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6F16C9"/>
    <w:pPr>
      <w:spacing w:after="120"/>
      <w:ind w:left="0" w:firstLine="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F16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F16C9"/>
    <w:pPr>
      <w:spacing w:after="200" w:line="276" w:lineRule="auto"/>
      <w:ind w:firstLine="0"/>
      <w:contextualSpacing/>
    </w:pPr>
    <w:rPr>
      <w:rFonts w:ascii="Calibri" w:hAnsi="Calibri"/>
      <w:sz w:val="22"/>
      <w:szCs w:val="22"/>
    </w:rPr>
  </w:style>
  <w:style w:type="table" w:styleId="MediumList2-Accent1">
    <w:name w:val="Medium List 2 Accent 1"/>
    <w:basedOn w:val="TableNormal"/>
    <w:uiPriority w:val="66"/>
    <w:rsid w:val="006F16C9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0">
                <a:latin typeface="+mj-lt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Recruiting hours per respondent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Recruiting hours per respondent</c:v>
                </c:pt>
              </c:strCache>
            </c:strRef>
          </c:tx>
          <c:marker>
            <c:symbol val="none"/>
          </c:marker>
          <c:cat>
            <c:strRef>
              <c:f>Sheet1!$A$2:$A$4</c:f>
              <c:strCache>
                <c:ptCount val="3"/>
                <c:pt idx="0">
                  <c:v>$60-75</c:v>
                </c:pt>
                <c:pt idx="1">
                  <c:v>$50 </c:v>
                </c:pt>
                <c:pt idx="2">
                  <c:v>$40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1.91</c:v>
                </c:pt>
                <c:pt idx="1">
                  <c:v>3.99</c:v>
                </c:pt>
                <c:pt idx="2">
                  <c:v>5.1100000000000003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2419328"/>
        <c:axId val="302422656"/>
      </c:lineChart>
      <c:catAx>
        <c:axId val="302419328"/>
        <c:scaling>
          <c:orientation val="minMax"/>
        </c:scaling>
        <c:delete val="0"/>
        <c:axPos val="b"/>
        <c:numFmt formatCode="\$#,##0_);[Red]\(\$#,##0\)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422656"/>
        <c:crosses val="autoZero"/>
        <c:auto val="1"/>
        <c:lblAlgn val="ctr"/>
        <c:lblOffset val="100"/>
        <c:noMultiLvlLbl val="0"/>
      </c:catAx>
      <c:valAx>
        <c:axId val="302422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02419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096317280453248"/>
          <c:y val="0.5"/>
          <c:w val="0.26487252124645894"/>
          <c:h val="0.1133004926108374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Anne Ferrer</dc:creator>
  <cp:lastModifiedBy>Bailey, Karla (NIH/NCI) [E]</cp:lastModifiedBy>
  <cp:revision>2</cp:revision>
  <dcterms:created xsi:type="dcterms:W3CDTF">2014-09-15T17:57:00Z</dcterms:created>
  <dcterms:modified xsi:type="dcterms:W3CDTF">2014-09-15T17:57:00Z</dcterms:modified>
</cp:coreProperties>
</file>