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0D2" w:rsidRDefault="001010D2" w:rsidP="00F75506">
      <w:pPr>
        <w:jc w:val="center"/>
        <w:rPr>
          <w:b/>
          <w:sz w:val="32"/>
          <w:szCs w:val="32"/>
        </w:rPr>
      </w:pPr>
      <w:bookmarkStart w:id="0" w:name="_GoBack"/>
      <w:bookmarkEnd w:id="0"/>
    </w:p>
    <w:p w:rsidR="001010D2" w:rsidRDefault="001010D2" w:rsidP="00F75506">
      <w:pPr>
        <w:jc w:val="center"/>
        <w:rPr>
          <w:b/>
          <w:sz w:val="32"/>
          <w:szCs w:val="32"/>
        </w:rPr>
      </w:pPr>
    </w:p>
    <w:p w:rsidR="001010D2" w:rsidRDefault="001010D2" w:rsidP="00F75506">
      <w:pPr>
        <w:jc w:val="center"/>
        <w:rPr>
          <w:b/>
          <w:sz w:val="32"/>
          <w:szCs w:val="32"/>
        </w:rPr>
      </w:pPr>
    </w:p>
    <w:p w:rsidR="001010D2" w:rsidRDefault="001010D2" w:rsidP="00F75506">
      <w:pPr>
        <w:jc w:val="center"/>
        <w:rPr>
          <w:b/>
          <w:sz w:val="32"/>
          <w:szCs w:val="32"/>
        </w:rPr>
      </w:pPr>
    </w:p>
    <w:p w:rsidR="00F75506" w:rsidRPr="00ED78C5" w:rsidRDefault="00F75506" w:rsidP="00F75506">
      <w:pPr>
        <w:jc w:val="center"/>
        <w:rPr>
          <w:b/>
          <w:sz w:val="32"/>
          <w:szCs w:val="32"/>
        </w:rPr>
      </w:pPr>
      <w:r w:rsidRPr="00ED78C5">
        <w:rPr>
          <w:b/>
          <w:sz w:val="32"/>
          <w:szCs w:val="32"/>
        </w:rPr>
        <w:t xml:space="preserve">Supporting Statement </w:t>
      </w:r>
      <w:r>
        <w:rPr>
          <w:b/>
          <w:sz w:val="32"/>
          <w:szCs w:val="32"/>
        </w:rPr>
        <w:t>B</w:t>
      </w:r>
      <w:r w:rsidRPr="00ED78C5">
        <w:rPr>
          <w:b/>
          <w:sz w:val="32"/>
          <w:szCs w:val="32"/>
        </w:rPr>
        <w:t xml:space="preserve"> For:</w:t>
      </w:r>
    </w:p>
    <w:p w:rsidR="00F75506" w:rsidRPr="00ED78C5" w:rsidRDefault="00F75506" w:rsidP="00F75506">
      <w:pPr>
        <w:jc w:val="center"/>
        <w:rPr>
          <w:b/>
          <w:sz w:val="32"/>
          <w:szCs w:val="32"/>
        </w:rPr>
      </w:pPr>
    </w:p>
    <w:p w:rsidR="001970BD" w:rsidRDefault="00F75506" w:rsidP="00F75506">
      <w:pPr>
        <w:jc w:val="center"/>
        <w:rPr>
          <w:sz w:val="32"/>
          <w:szCs w:val="32"/>
        </w:rPr>
      </w:pPr>
      <w:r w:rsidRPr="00793754">
        <w:rPr>
          <w:sz w:val="32"/>
          <w:szCs w:val="32"/>
        </w:rPr>
        <w:t xml:space="preserve">State and Community </w:t>
      </w:r>
      <w:r w:rsidR="00FF2C22">
        <w:rPr>
          <w:sz w:val="32"/>
          <w:szCs w:val="32"/>
        </w:rPr>
        <w:t xml:space="preserve">Tobacco </w:t>
      </w:r>
      <w:r w:rsidRPr="00793754">
        <w:rPr>
          <w:sz w:val="32"/>
          <w:szCs w:val="32"/>
        </w:rPr>
        <w:t xml:space="preserve">Control </w:t>
      </w:r>
      <w:r w:rsidR="003A41A0">
        <w:rPr>
          <w:sz w:val="32"/>
          <w:szCs w:val="32"/>
        </w:rPr>
        <w:t xml:space="preserve">(SCTC) </w:t>
      </w:r>
      <w:r w:rsidRPr="00793754">
        <w:rPr>
          <w:sz w:val="32"/>
          <w:szCs w:val="32"/>
        </w:rPr>
        <w:t xml:space="preserve">Research </w:t>
      </w:r>
    </w:p>
    <w:p w:rsidR="00F75506" w:rsidRPr="00793754" w:rsidRDefault="00F75506" w:rsidP="00F75506">
      <w:pPr>
        <w:jc w:val="center"/>
        <w:rPr>
          <w:b/>
          <w:sz w:val="32"/>
          <w:szCs w:val="32"/>
        </w:rPr>
      </w:pPr>
      <w:r w:rsidRPr="00793754">
        <w:rPr>
          <w:sz w:val="32"/>
          <w:szCs w:val="32"/>
        </w:rPr>
        <w:t>Initiative Evaluation</w:t>
      </w:r>
      <w:r w:rsidRPr="00793754">
        <w:rPr>
          <w:b/>
          <w:sz w:val="32"/>
          <w:szCs w:val="32"/>
        </w:rPr>
        <w:t xml:space="preserve"> (</w:t>
      </w:r>
      <w:smartTag w:uri="urn:schemas-microsoft-com:office:smarttags" w:element="stockticker">
        <w:r w:rsidRPr="00793754">
          <w:rPr>
            <w:b/>
            <w:sz w:val="32"/>
            <w:szCs w:val="32"/>
          </w:rPr>
          <w:t>NCI</w:t>
        </w:r>
      </w:smartTag>
      <w:r w:rsidRPr="00793754">
        <w:rPr>
          <w:b/>
          <w:sz w:val="32"/>
          <w:szCs w:val="32"/>
        </w:rPr>
        <w:t>)</w:t>
      </w:r>
    </w:p>
    <w:p w:rsidR="00F75506" w:rsidRDefault="00F75506" w:rsidP="00F75506">
      <w:pPr>
        <w:jc w:val="center"/>
        <w:rPr>
          <w:b/>
          <w:sz w:val="28"/>
          <w:szCs w:val="28"/>
        </w:rPr>
      </w:pPr>
    </w:p>
    <w:p w:rsidR="00F75506" w:rsidRPr="00557F13" w:rsidRDefault="00F75506" w:rsidP="00F75506">
      <w:pPr>
        <w:jc w:val="center"/>
        <w:rPr>
          <w:b/>
          <w:sz w:val="24"/>
          <w:szCs w:val="24"/>
        </w:rPr>
      </w:pPr>
    </w:p>
    <w:p w:rsidR="00F75506" w:rsidRDefault="00F75506" w:rsidP="00F75506">
      <w:pPr>
        <w:jc w:val="center"/>
        <w:rPr>
          <w:b/>
          <w:sz w:val="28"/>
          <w:szCs w:val="28"/>
        </w:rPr>
      </w:pPr>
    </w:p>
    <w:p w:rsidR="00F75506" w:rsidRPr="00A7555C" w:rsidRDefault="00305857" w:rsidP="00F75506">
      <w:pPr>
        <w:jc w:val="center"/>
        <w:rPr>
          <w:sz w:val="28"/>
          <w:szCs w:val="28"/>
        </w:rPr>
      </w:pPr>
      <w:r>
        <w:rPr>
          <w:sz w:val="28"/>
          <w:szCs w:val="28"/>
        </w:rPr>
        <w:t>September 2</w:t>
      </w:r>
      <w:r w:rsidR="00F75506" w:rsidRPr="00A7555C">
        <w:rPr>
          <w:sz w:val="28"/>
          <w:szCs w:val="28"/>
        </w:rPr>
        <w:t>, 2014</w:t>
      </w:r>
    </w:p>
    <w:p w:rsidR="00F75506" w:rsidRPr="007E7417" w:rsidRDefault="00F75506" w:rsidP="00F75506">
      <w:pPr>
        <w:jc w:val="center"/>
        <w:rPr>
          <w:b/>
          <w:sz w:val="28"/>
          <w:szCs w:val="28"/>
        </w:rPr>
      </w:pPr>
    </w:p>
    <w:p w:rsidR="00F75506" w:rsidRPr="007E7417" w:rsidRDefault="00F75506" w:rsidP="00F75506">
      <w:pPr>
        <w:jc w:val="center"/>
        <w:rPr>
          <w:b/>
          <w:sz w:val="28"/>
          <w:szCs w:val="28"/>
        </w:rPr>
      </w:pPr>
    </w:p>
    <w:p w:rsidR="00F75506" w:rsidRPr="007E7417" w:rsidRDefault="00F75506" w:rsidP="00F75506">
      <w:pPr>
        <w:rPr>
          <w:sz w:val="28"/>
          <w:szCs w:val="28"/>
        </w:rPr>
      </w:pPr>
    </w:p>
    <w:p w:rsidR="00F75506" w:rsidRPr="00DB3468" w:rsidRDefault="00F75506" w:rsidP="00F75506">
      <w:pPr>
        <w:jc w:val="center"/>
        <w:rPr>
          <w:sz w:val="28"/>
          <w:szCs w:val="28"/>
        </w:rPr>
      </w:pPr>
      <w:r w:rsidRPr="00DB3468">
        <w:rPr>
          <w:sz w:val="28"/>
          <w:szCs w:val="28"/>
        </w:rPr>
        <w:t>Elizabeth M. Ginexi, Ph.D.</w:t>
      </w:r>
    </w:p>
    <w:p w:rsidR="00F75506" w:rsidRPr="00DB3468" w:rsidRDefault="00F75506" w:rsidP="00F75506">
      <w:pPr>
        <w:jc w:val="center"/>
        <w:rPr>
          <w:sz w:val="28"/>
          <w:szCs w:val="28"/>
        </w:rPr>
      </w:pPr>
      <w:r w:rsidRPr="00DB3468">
        <w:rPr>
          <w:sz w:val="28"/>
          <w:szCs w:val="28"/>
        </w:rPr>
        <w:t>Tobacco Control Research Branch</w:t>
      </w:r>
    </w:p>
    <w:p w:rsidR="00F75506" w:rsidRPr="00DB3468" w:rsidRDefault="00F75506" w:rsidP="00F75506">
      <w:pPr>
        <w:jc w:val="center"/>
        <w:rPr>
          <w:sz w:val="28"/>
          <w:szCs w:val="28"/>
        </w:rPr>
      </w:pPr>
      <w:r w:rsidRPr="00DB3468">
        <w:rPr>
          <w:sz w:val="28"/>
          <w:szCs w:val="28"/>
        </w:rPr>
        <w:t>Behavioral Research Program</w:t>
      </w:r>
    </w:p>
    <w:p w:rsidR="00F75506" w:rsidRPr="00DB3468" w:rsidRDefault="00F75506" w:rsidP="00F75506">
      <w:pPr>
        <w:jc w:val="center"/>
        <w:rPr>
          <w:sz w:val="28"/>
          <w:szCs w:val="28"/>
        </w:rPr>
      </w:pPr>
      <w:r w:rsidRPr="00DB3468">
        <w:rPr>
          <w:sz w:val="28"/>
          <w:szCs w:val="28"/>
        </w:rPr>
        <w:t>Division of Cancer Control and Population Sciences</w:t>
      </w:r>
    </w:p>
    <w:p w:rsidR="00F75506" w:rsidRDefault="00F75506" w:rsidP="00F75506">
      <w:pPr>
        <w:jc w:val="center"/>
        <w:rPr>
          <w:sz w:val="28"/>
          <w:szCs w:val="28"/>
        </w:rPr>
      </w:pPr>
      <w:r w:rsidRPr="00DB3468">
        <w:rPr>
          <w:sz w:val="28"/>
          <w:szCs w:val="28"/>
        </w:rPr>
        <w:t>National Cancer Institute</w:t>
      </w:r>
    </w:p>
    <w:p w:rsidR="00F75506" w:rsidRDefault="00F75506" w:rsidP="00F75506">
      <w:pPr>
        <w:jc w:val="center"/>
        <w:rPr>
          <w:sz w:val="28"/>
          <w:szCs w:val="28"/>
        </w:rPr>
      </w:pPr>
      <w:r>
        <w:rPr>
          <w:sz w:val="28"/>
          <w:szCs w:val="28"/>
        </w:rPr>
        <w:t>9609 Medical Center Drive, Room 3E564, MSC 9761</w:t>
      </w:r>
    </w:p>
    <w:p w:rsidR="00F75506" w:rsidRDefault="00F75506" w:rsidP="00F75506">
      <w:pPr>
        <w:jc w:val="center"/>
        <w:rPr>
          <w:sz w:val="28"/>
          <w:szCs w:val="28"/>
        </w:rPr>
      </w:pPr>
      <w:r>
        <w:rPr>
          <w:sz w:val="28"/>
          <w:szCs w:val="28"/>
        </w:rPr>
        <w:t>Bethesda, MD 20892-9761</w:t>
      </w:r>
    </w:p>
    <w:p w:rsidR="00F75506" w:rsidRDefault="00F75506" w:rsidP="00F75506">
      <w:pPr>
        <w:jc w:val="center"/>
        <w:rPr>
          <w:sz w:val="28"/>
          <w:szCs w:val="28"/>
        </w:rPr>
      </w:pPr>
    </w:p>
    <w:p w:rsidR="00F75506" w:rsidRPr="00DB13D7" w:rsidRDefault="00F75506" w:rsidP="00F75506">
      <w:pPr>
        <w:tabs>
          <w:tab w:val="left" w:pos="3600"/>
        </w:tabs>
        <w:jc w:val="center"/>
        <w:rPr>
          <w:sz w:val="28"/>
          <w:szCs w:val="28"/>
        </w:rPr>
      </w:pPr>
      <w:r w:rsidRPr="00DB13D7">
        <w:rPr>
          <w:sz w:val="28"/>
          <w:szCs w:val="28"/>
        </w:rPr>
        <w:t>Telephone:  240-276-6765</w:t>
      </w:r>
    </w:p>
    <w:p w:rsidR="00F75506" w:rsidRPr="00DB13D7" w:rsidRDefault="00F75506" w:rsidP="00F75506">
      <w:pPr>
        <w:tabs>
          <w:tab w:val="left" w:pos="3600"/>
        </w:tabs>
        <w:jc w:val="center"/>
        <w:rPr>
          <w:sz w:val="28"/>
          <w:szCs w:val="28"/>
        </w:rPr>
      </w:pPr>
      <w:r w:rsidRPr="00DB13D7">
        <w:rPr>
          <w:sz w:val="28"/>
          <w:szCs w:val="28"/>
        </w:rPr>
        <w:t>Fax:  240-276-7907</w:t>
      </w:r>
    </w:p>
    <w:p w:rsidR="00F75506" w:rsidRPr="00DB13D7" w:rsidRDefault="00F75506" w:rsidP="00F75506">
      <w:pPr>
        <w:tabs>
          <w:tab w:val="left" w:pos="3600"/>
        </w:tabs>
        <w:jc w:val="center"/>
        <w:rPr>
          <w:sz w:val="28"/>
          <w:szCs w:val="28"/>
        </w:rPr>
      </w:pPr>
      <w:r w:rsidRPr="00DB13D7">
        <w:rPr>
          <w:sz w:val="28"/>
          <w:szCs w:val="28"/>
        </w:rPr>
        <w:t xml:space="preserve">E-mail:  </w:t>
      </w:r>
      <w:hyperlink r:id="rId9" w:history="1">
        <w:r w:rsidRPr="00DB13D7">
          <w:rPr>
            <w:rStyle w:val="Hyperlink"/>
            <w:sz w:val="28"/>
            <w:szCs w:val="28"/>
          </w:rPr>
          <w:t>LGinexi@mail.nih.gov</w:t>
        </w:r>
      </w:hyperlink>
    </w:p>
    <w:p w:rsidR="00F75506" w:rsidRPr="00557F13" w:rsidRDefault="00F75506" w:rsidP="00F75506">
      <w:pPr>
        <w:tabs>
          <w:tab w:val="left" w:pos="3600"/>
        </w:tabs>
        <w:ind w:left="3600"/>
        <w:jc w:val="left"/>
        <w:rPr>
          <w:sz w:val="28"/>
          <w:szCs w:val="28"/>
        </w:rPr>
      </w:pPr>
    </w:p>
    <w:p w:rsidR="00F75506" w:rsidRPr="00557F13" w:rsidRDefault="00F75506" w:rsidP="00F75506">
      <w:pPr>
        <w:tabs>
          <w:tab w:val="left" w:pos="3600"/>
        </w:tabs>
        <w:ind w:left="3600"/>
        <w:jc w:val="left"/>
        <w:rPr>
          <w:sz w:val="28"/>
          <w:szCs w:val="28"/>
        </w:rPr>
      </w:pPr>
    </w:p>
    <w:p w:rsidR="00F75506" w:rsidRPr="00557F13" w:rsidRDefault="00F75506" w:rsidP="00F75506">
      <w:pPr>
        <w:jc w:val="center"/>
        <w:rPr>
          <w:sz w:val="24"/>
        </w:rPr>
      </w:pPr>
    </w:p>
    <w:p w:rsidR="00F75506" w:rsidRPr="00557F13" w:rsidRDefault="00F75506" w:rsidP="00F75506">
      <w:pPr>
        <w:pStyle w:val="Footer"/>
        <w:jc w:val="center"/>
        <w:rPr>
          <w:szCs w:val="22"/>
        </w:rPr>
      </w:pPr>
    </w:p>
    <w:p w:rsidR="00F75506" w:rsidRPr="00A35B8F" w:rsidRDefault="00F75506" w:rsidP="00F75506">
      <w:pPr>
        <w:jc w:val="center"/>
        <w:rPr>
          <w:b/>
          <w:sz w:val="24"/>
          <w:szCs w:val="24"/>
        </w:rPr>
      </w:pPr>
      <w:r>
        <w:br w:type="page"/>
      </w:r>
      <w:r w:rsidRPr="00A35B8F">
        <w:rPr>
          <w:b/>
          <w:sz w:val="24"/>
          <w:szCs w:val="24"/>
        </w:rPr>
        <w:lastRenderedPageBreak/>
        <w:t>Table of Contents</w:t>
      </w:r>
    </w:p>
    <w:p w:rsidR="00F75506" w:rsidRDefault="00E75245" w:rsidP="00440315">
      <w:pPr>
        <w:pStyle w:val="TOC2"/>
      </w:pPr>
      <w:r w:rsidRPr="005B6C76">
        <w:rPr>
          <w:b/>
          <w:noProof w:val="0"/>
        </w:rPr>
        <w:fldChar w:fldCharType="begin"/>
      </w:r>
      <w:r w:rsidR="00F75506" w:rsidRPr="005B6C76">
        <w:instrText xml:space="preserve"> TOC \o "1-2" \u </w:instrText>
      </w:r>
      <w:r w:rsidRPr="005B6C76">
        <w:rPr>
          <w:b/>
          <w:noProof w:val="0"/>
        </w:rPr>
        <w:fldChar w:fldCharType="separate"/>
      </w:r>
      <w:r w:rsidR="00F75506" w:rsidRPr="00D4199F">
        <w:t>B.</w:t>
      </w:r>
      <w:r w:rsidR="00F75506" w:rsidRPr="00D4199F">
        <w:tab/>
      </w:r>
      <w:r w:rsidR="00440315">
        <w:t>Statistical Methods</w:t>
      </w:r>
      <w:r w:rsidR="00F75506" w:rsidRPr="00D4199F">
        <w:tab/>
      </w:r>
      <w:r w:rsidR="00440315">
        <w:tab/>
        <w:t>1</w:t>
      </w:r>
    </w:p>
    <w:p w:rsidR="00F75506" w:rsidRDefault="00F75506" w:rsidP="00440315">
      <w:pPr>
        <w:pStyle w:val="TOC2"/>
        <w:rPr>
          <w:b/>
        </w:rPr>
      </w:pPr>
      <w:r w:rsidRPr="00D4199F">
        <w:t>B.1</w:t>
      </w:r>
      <w:r w:rsidRPr="00D4199F">
        <w:tab/>
        <w:t xml:space="preserve">Respondent Universe </w:t>
      </w:r>
      <w:smartTag w:uri="urn:schemas-microsoft-com:office:smarttags" w:element="stockticker">
        <w:r w:rsidRPr="00D4199F">
          <w:t>and</w:t>
        </w:r>
      </w:smartTag>
      <w:r w:rsidRPr="00D4199F">
        <w:t xml:space="preserve"> Sampling Methods</w:t>
      </w:r>
      <w:r w:rsidRPr="00D4199F">
        <w:tab/>
      </w:r>
      <w:r w:rsidR="00440315">
        <w:tab/>
        <w:t>1</w:t>
      </w:r>
    </w:p>
    <w:p w:rsidR="00F75506" w:rsidRPr="00D4199F" w:rsidRDefault="00F75506" w:rsidP="00440315">
      <w:pPr>
        <w:pStyle w:val="TOC2"/>
        <w:rPr>
          <w:b/>
        </w:rPr>
      </w:pPr>
      <w:r w:rsidRPr="00D4199F">
        <w:t>B.2.</w:t>
      </w:r>
      <w:r w:rsidRPr="00D4199F">
        <w:tab/>
        <w:t>Procedures for the Collection of Information</w:t>
      </w:r>
      <w:r w:rsidRPr="00D4199F">
        <w:tab/>
      </w:r>
      <w:r w:rsidR="00440315">
        <w:tab/>
        <w:t>3</w:t>
      </w:r>
    </w:p>
    <w:p w:rsidR="00F75506" w:rsidRPr="00D4199F" w:rsidRDefault="00F75506" w:rsidP="00440315">
      <w:pPr>
        <w:pStyle w:val="TOC2"/>
        <w:rPr>
          <w:b/>
        </w:rPr>
      </w:pPr>
      <w:r w:rsidRPr="00D4199F">
        <w:t>B.3</w:t>
      </w:r>
      <w:r w:rsidRPr="00D4199F">
        <w:tab/>
        <w:t xml:space="preserve">Methods to Maximize Response Rates </w:t>
      </w:r>
      <w:smartTag w:uri="urn:schemas-microsoft-com:office:smarttags" w:element="stockticker">
        <w:r w:rsidRPr="00D4199F">
          <w:t>and</w:t>
        </w:r>
      </w:smartTag>
      <w:r w:rsidRPr="00D4199F">
        <w:t xml:space="preserve"> Deal with Nonresponse</w:t>
      </w:r>
      <w:r w:rsidRPr="00D4199F">
        <w:tab/>
      </w:r>
      <w:r w:rsidR="00440315">
        <w:tab/>
        <w:t>7</w:t>
      </w:r>
    </w:p>
    <w:p w:rsidR="00F75506" w:rsidRPr="00D4199F" w:rsidRDefault="00F75506" w:rsidP="00440315">
      <w:pPr>
        <w:pStyle w:val="TOC2"/>
        <w:rPr>
          <w:b/>
        </w:rPr>
      </w:pPr>
      <w:r w:rsidRPr="00D4199F">
        <w:t>B.4</w:t>
      </w:r>
      <w:r w:rsidRPr="00D4199F">
        <w:tab/>
        <w:t>Test of Procedures or Methods to be Undertaken</w:t>
      </w:r>
      <w:r w:rsidRPr="00D4199F">
        <w:tab/>
      </w:r>
      <w:r w:rsidR="00440315">
        <w:tab/>
        <w:t>9</w:t>
      </w:r>
    </w:p>
    <w:p w:rsidR="00F75506" w:rsidRPr="00226916" w:rsidRDefault="00F75506" w:rsidP="00440315">
      <w:pPr>
        <w:pStyle w:val="TOC2"/>
      </w:pPr>
      <w:r w:rsidRPr="00D4199F">
        <w:t>B.5</w:t>
      </w:r>
      <w:r w:rsidRPr="00D4199F">
        <w:tab/>
        <w:t xml:space="preserve">Individuals Consulted on Statistical Aspects </w:t>
      </w:r>
      <w:smartTag w:uri="urn:schemas-microsoft-com:office:smarttags" w:element="stockticker">
        <w:r w:rsidRPr="00D4199F">
          <w:t>and</w:t>
        </w:r>
      </w:smartTag>
      <w:r w:rsidRPr="00D4199F">
        <w:t xml:space="preserve"> Individuals </w:t>
      </w:r>
      <w:r w:rsidR="006D260D">
        <w:br/>
      </w:r>
      <w:r w:rsidRPr="00D4199F">
        <w:t xml:space="preserve">Collecting </w:t>
      </w:r>
      <w:smartTag w:uri="urn:schemas-microsoft-com:office:smarttags" w:element="stockticker">
        <w:r w:rsidRPr="00D4199F">
          <w:t>and</w:t>
        </w:r>
      </w:smartTag>
      <w:r w:rsidRPr="00D4199F">
        <w:t>/or Analyzing Data</w:t>
      </w:r>
      <w:r w:rsidRPr="005B6C76">
        <w:tab/>
      </w:r>
      <w:r w:rsidR="00440315">
        <w:tab/>
        <w:t>10</w:t>
      </w:r>
    </w:p>
    <w:p w:rsidR="00F75506" w:rsidRPr="005B6C76" w:rsidRDefault="00F75506" w:rsidP="00440315">
      <w:pPr>
        <w:pStyle w:val="TOC2"/>
      </w:pPr>
    </w:p>
    <w:p w:rsidR="00E461D3" w:rsidRDefault="00E75245" w:rsidP="00E461D3">
      <w:pPr>
        <w:pStyle w:val="P1-StandPara"/>
        <w:ind w:right="-216" w:firstLine="0"/>
        <w:jc w:val="center"/>
        <w:rPr>
          <w:caps/>
          <w:noProof/>
          <w:sz w:val="24"/>
          <w:szCs w:val="24"/>
        </w:rPr>
      </w:pPr>
      <w:r w:rsidRPr="005B6C76">
        <w:rPr>
          <w:caps/>
          <w:noProof/>
          <w:sz w:val="24"/>
          <w:szCs w:val="24"/>
        </w:rPr>
        <w:fldChar w:fldCharType="end"/>
      </w:r>
    </w:p>
    <w:p w:rsidR="00E461D3" w:rsidRDefault="00E461D3">
      <w:pPr>
        <w:spacing w:line="240" w:lineRule="auto"/>
        <w:jc w:val="left"/>
        <w:rPr>
          <w:caps/>
          <w:noProof/>
          <w:sz w:val="24"/>
          <w:szCs w:val="24"/>
        </w:rPr>
      </w:pPr>
      <w:r>
        <w:rPr>
          <w:caps/>
          <w:noProof/>
          <w:sz w:val="24"/>
          <w:szCs w:val="24"/>
        </w:rPr>
        <w:br w:type="page"/>
      </w:r>
    </w:p>
    <w:p w:rsidR="00E461D3" w:rsidRPr="004359F8" w:rsidRDefault="00E461D3" w:rsidP="00E461D3">
      <w:pPr>
        <w:pStyle w:val="P1-StandPara"/>
        <w:ind w:right="-216" w:firstLine="0"/>
        <w:jc w:val="center"/>
        <w:rPr>
          <w:color w:val="000000"/>
          <w:sz w:val="24"/>
          <w:szCs w:val="24"/>
        </w:rPr>
      </w:pPr>
      <w:r w:rsidRPr="00932EA7">
        <w:rPr>
          <w:b/>
          <w:caps/>
          <w:noProof/>
          <w:color w:val="000000"/>
          <w:sz w:val="24"/>
          <w:szCs w:val="24"/>
        </w:rPr>
        <w:lastRenderedPageBreak/>
        <w:t>Attachments</w:t>
      </w:r>
    </w:p>
    <w:p w:rsidR="002F2EB9" w:rsidRPr="001A6263" w:rsidRDefault="002F2EB9" w:rsidP="002F2EB9">
      <w:pPr>
        <w:tabs>
          <w:tab w:val="left" w:pos="3510"/>
        </w:tabs>
        <w:jc w:val="center"/>
      </w:pPr>
    </w:p>
    <w:p w:rsidR="001570CD" w:rsidRPr="001A6263" w:rsidRDefault="001570CD" w:rsidP="001570CD">
      <w:pPr>
        <w:tabs>
          <w:tab w:val="left" w:pos="3510"/>
        </w:tabs>
        <w:jc w:val="center"/>
      </w:pPr>
    </w:p>
    <w:p w:rsidR="001570CD" w:rsidRDefault="001570CD" w:rsidP="00605F2D">
      <w:pPr>
        <w:pStyle w:val="TOC2"/>
      </w:pPr>
      <w:r>
        <w:t>1.</w:t>
      </w:r>
      <w:r>
        <w:tab/>
        <w:t xml:space="preserve">SCTC Scientists </w:t>
      </w:r>
      <w:r w:rsidR="0053048D">
        <w:t xml:space="preserve">Web </w:t>
      </w:r>
      <w:r>
        <w:t>Survey</w:t>
      </w:r>
    </w:p>
    <w:p w:rsidR="001570CD" w:rsidRDefault="001570CD" w:rsidP="00605F2D">
      <w:pPr>
        <w:pStyle w:val="TOC2"/>
      </w:pPr>
      <w:r>
        <w:t>2.</w:t>
      </w:r>
      <w:r>
        <w:tab/>
        <w:t xml:space="preserve">Affiliated Partners </w:t>
      </w:r>
      <w:r w:rsidR="0053048D">
        <w:t xml:space="preserve">Web </w:t>
      </w:r>
      <w:r>
        <w:t xml:space="preserve">Survey </w:t>
      </w:r>
    </w:p>
    <w:p w:rsidR="001570CD" w:rsidRDefault="001570CD" w:rsidP="001570CD">
      <w:pPr>
        <w:pStyle w:val="TOC2"/>
      </w:pPr>
      <w:r>
        <w:t>3.</w:t>
      </w:r>
      <w:r>
        <w:tab/>
        <w:t xml:space="preserve">PI/Co-PI </w:t>
      </w:r>
      <w:r w:rsidR="0053048D">
        <w:t xml:space="preserve">Telephone </w:t>
      </w:r>
      <w:r>
        <w:t>Interview Guide</w:t>
      </w:r>
    </w:p>
    <w:p w:rsidR="001570CD" w:rsidRDefault="001570CD" w:rsidP="001570CD">
      <w:pPr>
        <w:pStyle w:val="TOC2"/>
      </w:pPr>
      <w:r>
        <w:t>4.</w:t>
      </w:r>
      <w:r>
        <w:tab/>
        <w:t xml:space="preserve">Affiliated Partner </w:t>
      </w:r>
      <w:r w:rsidR="0053048D">
        <w:t xml:space="preserve">Telephone </w:t>
      </w:r>
      <w:r>
        <w:t>Interview Guide</w:t>
      </w:r>
    </w:p>
    <w:p w:rsidR="001570CD" w:rsidRDefault="001570CD" w:rsidP="001570CD">
      <w:pPr>
        <w:pStyle w:val="TOC2"/>
      </w:pPr>
      <w:r>
        <w:t>5.</w:t>
      </w:r>
      <w:r>
        <w:tab/>
        <w:t>Pilot Project</w:t>
      </w:r>
      <w:r w:rsidR="0053048D">
        <w:t xml:space="preserve"> Telephone </w:t>
      </w:r>
      <w:r>
        <w:t>Interview Guide</w:t>
      </w:r>
    </w:p>
    <w:p w:rsidR="001570CD" w:rsidRDefault="001570CD" w:rsidP="001570CD">
      <w:pPr>
        <w:pStyle w:val="TOC2"/>
      </w:pPr>
      <w:r>
        <w:t>6.</w:t>
      </w:r>
      <w:r>
        <w:tab/>
        <w:t xml:space="preserve">Working Group </w:t>
      </w:r>
      <w:r w:rsidR="0053048D">
        <w:t xml:space="preserve">Telephone </w:t>
      </w:r>
      <w:r>
        <w:t>Interview Guide</w:t>
      </w:r>
    </w:p>
    <w:p w:rsidR="001570CD" w:rsidRDefault="001570CD" w:rsidP="00305857">
      <w:pPr>
        <w:pStyle w:val="TOC2"/>
      </w:pPr>
      <w:r>
        <w:t>7.</w:t>
      </w:r>
      <w:r>
        <w:tab/>
        <w:t xml:space="preserve">Coordinating Center </w:t>
      </w:r>
      <w:r w:rsidR="0053048D">
        <w:t xml:space="preserve">Telephone </w:t>
      </w:r>
      <w:r>
        <w:t>Interview Guide</w:t>
      </w:r>
    </w:p>
    <w:p w:rsidR="001570CD" w:rsidRDefault="00305857" w:rsidP="001570CD">
      <w:pPr>
        <w:pStyle w:val="TOC2"/>
      </w:pPr>
      <w:r>
        <w:t>8</w:t>
      </w:r>
      <w:r w:rsidR="001570CD">
        <w:t>.</w:t>
      </w:r>
      <w:r w:rsidR="001570CD">
        <w:tab/>
        <w:t xml:space="preserve">PI/Co-PI Expert Panel Moderator Guide </w:t>
      </w:r>
    </w:p>
    <w:p w:rsidR="001570CD" w:rsidRDefault="00305857" w:rsidP="001570CD">
      <w:pPr>
        <w:pStyle w:val="TOC2"/>
      </w:pPr>
      <w:r>
        <w:t>9</w:t>
      </w:r>
      <w:r w:rsidR="001570CD">
        <w:t>.</w:t>
      </w:r>
      <w:r w:rsidR="001570CD">
        <w:tab/>
        <w:t>Expert Panel Informed consent</w:t>
      </w:r>
    </w:p>
    <w:p w:rsidR="001570CD" w:rsidRDefault="001570CD" w:rsidP="001570CD">
      <w:pPr>
        <w:pStyle w:val="TOC2"/>
      </w:pPr>
      <w:r>
        <w:t>1</w:t>
      </w:r>
      <w:r w:rsidR="00305857">
        <w:t>0</w:t>
      </w:r>
      <w:r w:rsidRPr="001A6263">
        <w:t>.</w:t>
      </w:r>
      <w:r w:rsidRPr="001A6263">
        <w:tab/>
        <w:t>Privacy Impact Assessment</w:t>
      </w:r>
    </w:p>
    <w:p w:rsidR="001570CD" w:rsidRDefault="001570CD" w:rsidP="001570CD">
      <w:pPr>
        <w:pStyle w:val="TOC2"/>
      </w:pPr>
      <w:r>
        <w:t>1</w:t>
      </w:r>
      <w:r w:rsidR="00305857">
        <w:t>1</w:t>
      </w:r>
      <w:r>
        <w:t>.</w:t>
      </w:r>
      <w:r>
        <w:tab/>
        <w:t xml:space="preserve">Individuals Consulted </w:t>
      </w:r>
      <w:r w:rsidR="00B04CA7">
        <w:t>in Development of Conceptual Model</w:t>
      </w:r>
    </w:p>
    <w:p w:rsidR="001570CD" w:rsidRPr="001A6263" w:rsidRDefault="001570CD" w:rsidP="001570CD">
      <w:pPr>
        <w:pStyle w:val="TOC2"/>
      </w:pPr>
      <w:r>
        <w:t>1</w:t>
      </w:r>
      <w:r w:rsidR="00305857">
        <w:t>2</w:t>
      </w:r>
      <w:r>
        <w:t>.</w:t>
      </w:r>
      <w:r>
        <w:tab/>
      </w:r>
      <w:r w:rsidRPr="001A6263">
        <w:t>Privacy Act Memo</w:t>
      </w:r>
    </w:p>
    <w:p w:rsidR="001570CD" w:rsidRPr="001A6263" w:rsidRDefault="001570CD" w:rsidP="001570CD">
      <w:pPr>
        <w:pStyle w:val="TOC2"/>
      </w:pPr>
      <w:r>
        <w:t>1</w:t>
      </w:r>
      <w:r w:rsidR="00305857">
        <w:t>3</w:t>
      </w:r>
      <w:r>
        <w:t>.</w:t>
      </w:r>
      <w:r>
        <w:tab/>
      </w:r>
      <w:r w:rsidRPr="001A6263">
        <w:t>IRB Approval Letters</w:t>
      </w:r>
    </w:p>
    <w:p w:rsidR="001570CD" w:rsidRPr="001A6263" w:rsidRDefault="001570CD" w:rsidP="001570CD">
      <w:pPr>
        <w:pStyle w:val="TOC2"/>
      </w:pPr>
      <w:r>
        <w:t>1</w:t>
      </w:r>
      <w:r w:rsidR="00305857">
        <w:t>4</w:t>
      </w:r>
      <w:r w:rsidRPr="001A6263">
        <w:t xml:space="preserve">. </w:t>
      </w:r>
      <w:r w:rsidRPr="001A6263">
        <w:tab/>
        <w:t xml:space="preserve">Email </w:t>
      </w:r>
      <w:r>
        <w:t>Announcement</w:t>
      </w:r>
      <w:r w:rsidRPr="001A6263">
        <w:t xml:space="preserve"> </w:t>
      </w:r>
    </w:p>
    <w:p w:rsidR="001570CD" w:rsidRDefault="001570CD" w:rsidP="001570CD">
      <w:pPr>
        <w:pStyle w:val="TOC2"/>
      </w:pPr>
      <w:r>
        <w:t>1</w:t>
      </w:r>
      <w:r w:rsidR="00305857">
        <w:t>5</w:t>
      </w:r>
      <w:r w:rsidRPr="001A6263">
        <w:t>.</w:t>
      </w:r>
      <w:r w:rsidRPr="001A6263">
        <w:tab/>
      </w:r>
      <w:r>
        <w:t>Email Invitation</w:t>
      </w:r>
      <w:r w:rsidRPr="001A6263">
        <w:t xml:space="preserve"> Letter </w:t>
      </w:r>
      <w:r w:rsidR="0053048D">
        <w:t>–</w:t>
      </w:r>
      <w:r>
        <w:t xml:space="preserve"> </w:t>
      </w:r>
      <w:r w:rsidR="0053048D">
        <w:t xml:space="preserve">Web </w:t>
      </w:r>
      <w:r>
        <w:t>Survey - SCTC Scientists</w:t>
      </w:r>
    </w:p>
    <w:p w:rsidR="001570CD" w:rsidRDefault="001570CD" w:rsidP="001570CD">
      <w:pPr>
        <w:pStyle w:val="TOC2"/>
      </w:pPr>
      <w:r>
        <w:t>1</w:t>
      </w:r>
      <w:r w:rsidR="00305857">
        <w:t>6</w:t>
      </w:r>
      <w:r>
        <w:t>.</w:t>
      </w:r>
      <w:r>
        <w:tab/>
        <w:t>Email Invitation</w:t>
      </w:r>
      <w:r w:rsidRPr="001A6263">
        <w:t xml:space="preserve"> Letter </w:t>
      </w:r>
      <w:r w:rsidR="0053048D">
        <w:t>–</w:t>
      </w:r>
      <w:r>
        <w:t xml:space="preserve"> </w:t>
      </w:r>
      <w:r w:rsidR="0053048D">
        <w:t xml:space="preserve">Web </w:t>
      </w:r>
      <w:r>
        <w:t>Survey - Affiliated Partners</w:t>
      </w:r>
    </w:p>
    <w:p w:rsidR="001570CD" w:rsidRDefault="001570CD" w:rsidP="001570CD">
      <w:pPr>
        <w:pStyle w:val="TOC2"/>
      </w:pPr>
      <w:r>
        <w:t>1</w:t>
      </w:r>
      <w:r w:rsidR="00305857">
        <w:t>7</w:t>
      </w:r>
      <w:r>
        <w:t>.</w:t>
      </w:r>
      <w:r>
        <w:tab/>
        <w:t>Email Invitation Letter - Telephone interview - SCTC Scientists</w:t>
      </w:r>
    </w:p>
    <w:p w:rsidR="001570CD" w:rsidRDefault="001570CD" w:rsidP="001570CD">
      <w:pPr>
        <w:pStyle w:val="TOC2"/>
      </w:pPr>
      <w:r>
        <w:t>1</w:t>
      </w:r>
      <w:r w:rsidR="00305857">
        <w:t>8</w:t>
      </w:r>
      <w:r>
        <w:t>.</w:t>
      </w:r>
      <w:r>
        <w:tab/>
        <w:t>Email Invitation Letter - Telephone interview - Affiliated Partners</w:t>
      </w:r>
    </w:p>
    <w:p w:rsidR="001570CD" w:rsidRDefault="00305857" w:rsidP="001570CD">
      <w:pPr>
        <w:pStyle w:val="TOC2"/>
      </w:pPr>
      <w:r>
        <w:t>19</w:t>
      </w:r>
      <w:r w:rsidR="001570CD">
        <w:t xml:space="preserve">. </w:t>
      </w:r>
      <w:r w:rsidR="001570CD">
        <w:tab/>
        <w:t>Email Invitation Letter - Expert Panel</w:t>
      </w:r>
    </w:p>
    <w:p w:rsidR="001570CD" w:rsidRDefault="001570CD" w:rsidP="001570CD">
      <w:pPr>
        <w:pStyle w:val="TOC2"/>
      </w:pPr>
      <w:r>
        <w:t>2</w:t>
      </w:r>
      <w:r w:rsidR="00305857">
        <w:t>0</w:t>
      </w:r>
      <w:r w:rsidRPr="001A6263">
        <w:t xml:space="preserve">. </w:t>
      </w:r>
      <w:r w:rsidRPr="001A6263">
        <w:tab/>
        <w:t>Email Reminder</w:t>
      </w:r>
      <w:r>
        <w:t>- Survey - SCTC Scientists</w:t>
      </w:r>
    </w:p>
    <w:p w:rsidR="001570CD" w:rsidRDefault="001570CD" w:rsidP="001570CD">
      <w:pPr>
        <w:pStyle w:val="TOC2"/>
      </w:pPr>
      <w:r>
        <w:t>2</w:t>
      </w:r>
      <w:r w:rsidR="00305857">
        <w:t>1</w:t>
      </w:r>
      <w:r w:rsidRPr="001A6263">
        <w:t xml:space="preserve">. </w:t>
      </w:r>
      <w:r w:rsidRPr="001A6263">
        <w:tab/>
        <w:t>Email Reminder</w:t>
      </w:r>
      <w:r>
        <w:t xml:space="preserve">- </w:t>
      </w:r>
      <w:r w:rsidR="00C643C1">
        <w:t xml:space="preserve">Web </w:t>
      </w:r>
      <w:r>
        <w:t>Survey - Affiliated Partners</w:t>
      </w:r>
    </w:p>
    <w:p w:rsidR="001570CD" w:rsidRDefault="001570CD" w:rsidP="001570CD">
      <w:pPr>
        <w:pStyle w:val="TOC2"/>
      </w:pPr>
      <w:r>
        <w:lastRenderedPageBreak/>
        <w:t>2</w:t>
      </w:r>
      <w:r w:rsidR="00305857">
        <w:t>2</w:t>
      </w:r>
      <w:r>
        <w:t>.</w:t>
      </w:r>
      <w:r>
        <w:tab/>
        <w:t>Email Reminder- Telephone interview - SCTC Scientists</w:t>
      </w:r>
    </w:p>
    <w:p w:rsidR="001570CD" w:rsidRDefault="001570CD" w:rsidP="001570CD">
      <w:pPr>
        <w:pStyle w:val="TOC2"/>
      </w:pPr>
      <w:r>
        <w:t>2</w:t>
      </w:r>
      <w:r w:rsidR="00305857">
        <w:t>3</w:t>
      </w:r>
      <w:r>
        <w:t>.</w:t>
      </w:r>
      <w:r>
        <w:tab/>
        <w:t>Email Reminder- Telephone interview - Affiliated Partners</w:t>
      </w:r>
    </w:p>
    <w:p w:rsidR="001570CD" w:rsidRDefault="001570CD" w:rsidP="001570CD">
      <w:pPr>
        <w:pStyle w:val="TOC2"/>
      </w:pPr>
      <w:r>
        <w:t>2</w:t>
      </w:r>
      <w:r w:rsidR="00305857">
        <w:t>4</w:t>
      </w:r>
      <w:r w:rsidRPr="001A6263">
        <w:t>.</w:t>
      </w:r>
      <w:r w:rsidRPr="001A6263">
        <w:tab/>
        <w:t>Telephone Follow-u</w:t>
      </w:r>
      <w:r>
        <w:t xml:space="preserve">p Reminder- </w:t>
      </w:r>
      <w:r w:rsidR="00C643C1">
        <w:t xml:space="preserve">Web </w:t>
      </w:r>
      <w:r>
        <w:t>Survey</w:t>
      </w:r>
    </w:p>
    <w:p w:rsidR="001570CD" w:rsidRDefault="001570CD" w:rsidP="001570CD">
      <w:pPr>
        <w:pStyle w:val="TOC2"/>
      </w:pPr>
      <w:r>
        <w:t>2</w:t>
      </w:r>
      <w:r w:rsidR="00305857">
        <w:t>5</w:t>
      </w:r>
      <w:r>
        <w:t>.</w:t>
      </w:r>
      <w:r>
        <w:tab/>
        <w:t>Telephone Follow-up Reminder - Telephone Interview</w:t>
      </w:r>
    </w:p>
    <w:p w:rsidR="001570CD" w:rsidRDefault="001570CD" w:rsidP="001570CD">
      <w:pPr>
        <w:pStyle w:val="TOC2"/>
      </w:pPr>
      <w:r>
        <w:t>2</w:t>
      </w:r>
      <w:r w:rsidR="00305857">
        <w:t>6</w:t>
      </w:r>
      <w:r>
        <w:t>.</w:t>
      </w:r>
      <w:r>
        <w:tab/>
        <w:t>Email Follow-up Reminder to Schedule Telephone Interview</w:t>
      </w:r>
    </w:p>
    <w:p w:rsidR="001570CD" w:rsidRDefault="001570CD" w:rsidP="001570CD">
      <w:pPr>
        <w:pStyle w:val="TOC2"/>
      </w:pPr>
      <w:r>
        <w:t>2</w:t>
      </w:r>
      <w:r w:rsidR="00305857">
        <w:t>7</w:t>
      </w:r>
      <w:r>
        <w:t>.</w:t>
      </w:r>
      <w:r>
        <w:tab/>
        <w:t>Telephone Script to Schedule Telephone Interview</w:t>
      </w:r>
    </w:p>
    <w:p w:rsidR="001570CD" w:rsidRDefault="001570CD" w:rsidP="001570CD">
      <w:pPr>
        <w:pStyle w:val="TOC2"/>
        <w:sectPr w:rsidR="001570CD" w:rsidSect="006B3FBD">
          <w:footerReference w:type="even" r:id="rId10"/>
          <w:footerReference w:type="default" r:id="rId11"/>
          <w:pgSz w:w="12240" w:h="15840" w:code="1"/>
          <w:pgMar w:top="1440" w:right="1440" w:bottom="1440" w:left="1440" w:header="720" w:footer="432" w:gutter="0"/>
          <w:pgNumType w:fmt="lowerRoman" w:start="1"/>
          <w:cols w:space="720"/>
          <w:noEndnote/>
          <w:titlePg/>
          <w:docGrid w:linePitch="299"/>
        </w:sectPr>
      </w:pPr>
      <w:r>
        <w:t>2</w:t>
      </w:r>
      <w:r w:rsidR="00305857">
        <w:t>8</w:t>
      </w:r>
      <w:r>
        <w:t>.</w:t>
      </w:r>
      <w:r>
        <w:tab/>
        <w:t>Email Conf</w:t>
      </w:r>
      <w:r w:rsidR="00891A4C">
        <w:t>irmation for telephone Interview</w:t>
      </w:r>
    </w:p>
    <w:p w:rsidR="00E461D3" w:rsidRPr="001A6263" w:rsidRDefault="00E75245" w:rsidP="00891A4C">
      <w:pPr>
        <w:tabs>
          <w:tab w:val="left" w:pos="3510"/>
        </w:tabs>
      </w:pPr>
      <w:r w:rsidRPr="001A6263">
        <w:lastRenderedPageBreak/>
        <w:fldChar w:fldCharType="begin"/>
      </w:r>
      <w:r w:rsidR="00E461D3" w:rsidRPr="001A6263">
        <w:instrText xml:space="preserve"> TOC \o "1-2" \u </w:instrText>
      </w:r>
      <w:r w:rsidRPr="001A6263">
        <w:fldChar w:fldCharType="separate"/>
      </w:r>
    </w:p>
    <w:p w:rsidR="00321EEB" w:rsidRPr="00321EEB" w:rsidRDefault="00E75245" w:rsidP="00F84788">
      <w:pPr>
        <w:pStyle w:val="P1-StandPara"/>
        <w:ind w:right="-216" w:firstLine="0"/>
      </w:pPr>
      <w:r w:rsidRPr="001A6263">
        <w:rPr>
          <w:caps/>
          <w:noProof/>
        </w:rPr>
        <w:fldChar w:fldCharType="end"/>
      </w:r>
      <w:bookmarkStart w:id="1" w:name="_Toc443881762"/>
      <w:bookmarkStart w:id="2" w:name="_Toc451592249"/>
      <w:bookmarkStart w:id="3" w:name="_Toc5610290"/>
      <w:bookmarkStart w:id="4" w:name="_Toc99178796"/>
      <w:bookmarkStart w:id="5" w:name="_Toc358383272"/>
      <w:r w:rsidR="00F84788" w:rsidRPr="0041038B">
        <w:rPr>
          <w:sz w:val="24"/>
          <w:szCs w:val="24"/>
        </w:rPr>
        <w:t xml:space="preserve"> </w:t>
      </w:r>
      <w:r w:rsidR="000962BB" w:rsidRPr="0041038B">
        <w:rPr>
          <w:sz w:val="24"/>
          <w:szCs w:val="24"/>
        </w:rPr>
        <w:t>B.</w:t>
      </w:r>
      <w:r w:rsidR="000962BB">
        <w:rPr>
          <w:sz w:val="24"/>
          <w:szCs w:val="24"/>
        </w:rPr>
        <w:tab/>
      </w:r>
      <w:r w:rsidR="000962BB" w:rsidRPr="00257711">
        <w:rPr>
          <w:sz w:val="24"/>
          <w:szCs w:val="24"/>
        </w:rPr>
        <w:t>STATISTICAL METHODS</w:t>
      </w:r>
      <w:bookmarkEnd w:id="1"/>
      <w:bookmarkEnd w:id="2"/>
      <w:bookmarkEnd w:id="3"/>
      <w:bookmarkEnd w:id="4"/>
      <w:bookmarkEnd w:id="5"/>
    </w:p>
    <w:p w:rsidR="0017504F" w:rsidRPr="001E7879" w:rsidRDefault="007E2FD3" w:rsidP="00F15D28">
      <w:pPr>
        <w:pStyle w:val="BodyTextIndent"/>
        <w:spacing w:after="0" w:line="480" w:lineRule="auto"/>
        <w:ind w:left="0" w:firstLine="720"/>
        <w:jc w:val="left"/>
        <w:rPr>
          <w:sz w:val="24"/>
          <w:szCs w:val="24"/>
        </w:rPr>
      </w:pPr>
      <w:r w:rsidRPr="001E7879">
        <w:rPr>
          <w:sz w:val="24"/>
          <w:szCs w:val="24"/>
        </w:rPr>
        <w:t xml:space="preserve">The </w:t>
      </w:r>
      <w:r w:rsidR="0017504F" w:rsidRPr="001E7879">
        <w:rPr>
          <w:sz w:val="24"/>
          <w:szCs w:val="24"/>
        </w:rPr>
        <w:t>State and Community Tobacco Control Research Initiative (SCTC) is a program that targets four high priority tobacco control research areas at the state and community level: (1) Secondhand smoke policies; (2) Tobacco tax and pricing policies; (3) Mass media countermeasures and community and social norms; and (4) Tobacco industry practices.</w:t>
      </w:r>
      <w:r w:rsidR="001E7879" w:rsidRPr="001E7879">
        <w:rPr>
          <w:sz w:val="24"/>
          <w:szCs w:val="24"/>
        </w:rPr>
        <w:t xml:space="preserve"> The NCI is undertaking a process evaluation study to assess the dissemination, implementation, and community collaboration processes of the SCTC grantees and their respective state and community partners and stakeholders.</w:t>
      </w:r>
    </w:p>
    <w:p w:rsidR="00321EEB" w:rsidRPr="00312FDE" w:rsidRDefault="00CD3435" w:rsidP="00312FDE">
      <w:pPr>
        <w:pStyle w:val="BodyTextIndent"/>
        <w:spacing w:after="0" w:line="480" w:lineRule="auto"/>
        <w:ind w:left="0" w:firstLine="720"/>
        <w:jc w:val="left"/>
        <w:rPr>
          <w:sz w:val="24"/>
          <w:szCs w:val="24"/>
        </w:rPr>
      </w:pPr>
      <w:r w:rsidRPr="00312FDE">
        <w:rPr>
          <w:sz w:val="24"/>
          <w:szCs w:val="24"/>
        </w:rPr>
        <w:t>We are proposing to use statisti</w:t>
      </w:r>
      <w:r w:rsidR="00BD2DD8" w:rsidRPr="00312FDE">
        <w:rPr>
          <w:sz w:val="24"/>
          <w:szCs w:val="24"/>
        </w:rPr>
        <w:t xml:space="preserve">cal methods </w:t>
      </w:r>
      <w:r w:rsidR="00312FDE">
        <w:rPr>
          <w:sz w:val="24"/>
          <w:szCs w:val="24"/>
        </w:rPr>
        <w:t xml:space="preserve">to obtain the outcome data measures from our study population of Principal </w:t>
      </w:r>
      <w:r w:rsidR="002F0F1D">
        <w:rPr>
          <w:sz w:val="24"/>
          <w:szCs w:val="24"/>
        </w:rPr>
        <w:t>I</w:t>
      </w:r>
      <w:r w:rsidR="00312FDE">
        <w:rPr>
          <w:sz w:val="24"/>
          <w:szCs w:val="24"/>
        </w:rPr>
        <w:t xml:space="preserve">nvestigators (PIs), Co-Principal Investigators (Co-PIs), </w:t>
      </w:r>
      <w:r w:rsidR="0042393A">
        <w:rPr>
          <w:sz w:val="24"/>
          <w:szCs w:val="24"/>
        </w:rPr>
        <w:t>affiliated</w:t>
      </w:r>
      <w:r w:rsidR="00312FDE">
        <w:rPr>
          <w:sz w:val="24"/>
          <w:szCs w:val="24"/>
        </w:rPr>
        <w:t xml:space="preserve"> partners and stakeholders. There are three modes of data collection: web-based surveys</w:t>
      </w:r>
      <w:r w:rsidR="005169ED">
        <w:rPr>
          <w:sz w:val="24"/>
          <w:szCs w:val="24"/>
        </w:rPr>
        <w:t xml:space="preserve"> (</w:t>
      </w:r>
      <w:r w:rsidR="005169ED" w:rsidRPr="005169ED">
        <w:rPr>
          <w:b/>
          <w:sz w:val="24"/>
          <w:szCs w:val="24"/>
        </w:rPr>
        <w:t>Attachment</w:t>
      </w:r>
      <w:r w:rsidR="00CE0BF0">
        <w:rPr>
          <w:b/>
          <w:sz w:val="24"/>
          <w:szCs w:val="24"/>
        </w:rPr>
        <w:t>s</w:t>
      </w:r>
      <w:r w:rsidR="005169ED" w:rsidRPr="005169ED">
        <w:rPr>
          <w:b/>
          <w:sz w:val="24"/>
          <w:szCs w:val="24"/>
        </w:rPr>
        <w:t xml:space="preserve"> 1</w:t>
      </w:r>
      <w:r w:rsidR="00CE0BF0">
        <w:rPr>
          <w:b/>
          <w:sz w:val="24"/>
          <w:szCs w:val="24"/>
        </w:rPr>
        <w:t xml:space="preserve"> and 2</w:t>
      </w:r>
      <w:r w:rsidR="005169ED">
        <w:rPr>
          <w:sz w:val="24"/>
          <w:szCs w:val="24"/>
        </w:rPr>
        <w:t>)</w:t>
      </w:r>
      <w:r w:rsidR="00312FDE">
        <w:rPr>
          <w:sz w:val="24"/>
          <w:szCs w:val="24"/>
        </w:rPr>
        <w:t xml:space="preserve">, telephone interviews </w:t>
      </w:r>
      <w:r w:rsidR="005169ED">
        <w:rPr>
          <w:sz w:val="24"/>
          <w:szCs w:val="24"/>
        </w:rPr>
        <w:t>(</w:t>
      </w:r>
      <w:r w:rsidR="005169ED" w:rsidRPr="005169ED">
        <w:rPr>
          <w:b/>
          <w:sz w:val="24"/>
          <w:szCs w:val="24"/>
        </w:rPr>
        <w:t>Attachment</w:t>
      </w:r>
      <w:r w:rsidR="00CE0BF0">
        <w:rPr>
          <w:b/>
          <w:sz w:val="24"/>
          <w:szCs w:val="24"/>
        </w:rPr>
        <w:t>s</w:t>
      </w:r>
      <w:r w:rsidR="005169ED" w:rsidRPr="005169ED">
        <w:rPr>
          <w:b/>
          <w:sz w:val="24"/>
          <w:szCs w:val="24"/>
        </w:rPr>
        <w:t xml:space="preserve"> </w:t>
      </w:r>
      <w:r w:rsidR="00CE0BF0">
        <w:rPr>
          <w:b/>
          <w:sz w:val="24"/>
          <w:szCs w:val="24"/>
        </w:rPr>
        <w:t xml:space="preserve">3 through </w:t>
      </w:r>
      <w:r w:rsidR="0014310E">
        <w:rPr>
          <w:b/>
          <w:sz w:val="24"/>
          <w:szCs w:val="24"/>
        </w:rPr>
        <w:t>7</w:t>
      </w:r>
      <w:r w:rsidR="005169ED">
        <w:rPr>
          <w:sz w:val="24"/>
          <w:szCs w:val="24"/>
        </w:rPr>
        <w:t xml:space="preserve">) </w:t>
      </w:r>
      <w:r w:rsidR="00312FDE">
        <w:rPr>
          <w:sz w:val="24"/>
          <w:szCs w:val="24"/>
        </w:rPr>
        <w:t>and expert panels</w:t>
      </w:r>
      <w:r w:rsidR="005169ED">
        <w:rPr>
          <w:sz w:val="24"/>
          <w:szCs w:val="24"/>
        </w:rPr>
        <w:t xml:space="preserve"> (</w:t>
      </w:r>
      <w:r w:rsidR="005169ED" w:rsidRPr="005169ED">
        <w:rPr>
          <w:b/>
          <w:sz w:val="24"/>
          <w:szCs w:val="24"/>
        </w:rPr>
        <w:t xml:space="preserve">Attachment </w:t>
      </w:r>
      <w:r w:rsidR="0014310E">
        <w:rPr>
          <w:b/>
          <w:sz w:val="24"/>
          <w:szCs w:val="24"/>
        </w:rPr>
        <w:t>8</w:t>
      </w:r>
      <w:r w:rsidR="005169ED">
        <w:rPr>
          <w:sz w:val="24"/>
          <w:szCs w:val="24"/>
        </w:rPr>
        <w:t>)</w:t>
      </w:r>
      <w:r w:rsidR="00312FDE">
        <w:rPr>
          <w:sz w:val="24"/>
          <w:szCs w:val="24"/>
        </w:rPr>
        <w:t xml:space="preserve">. </w:t>
      </w:r>
      <w:r w:rsidR="005169ED">
        <w:rPr>
          <w:sz w:val="24"/>
          <w:szCs w:val="24"/>
        </w:rPr>
        <w:t>Statistical methods f</w:t>
      </w:r>
      <w:r w:rsidR="00BD2DD8" w:rsidRPr="00312FDE">
        <w:rPr>
          <w:sz w:val="24"/>
          <w:szCs w:val="24"/>
        </w:rPr>
        <w:t xml:space="preserve">or the web-based survey will consist of descriptive statistics (e.g. percentages, means, medians, standard deviations, as appropriate), cross-tabulations, and graphical summaries. The web-based survey analyses will be performed in SPSS </w:t>
      </w:r>
      <w:r w:rsidR="00312FDE" w:rsidRPr="00312FDE">
        <w:rPr>
          <w:sz w:val="24"/>
          <w:szCs w:val="24"/>
        </w:rPr>
        <w:t xml:space="preserve">for descriptive statistics, and in UCINET and </w:t>
      </w:r>
      <w:proofErr w:type="spellStart"/>
      <w:r w:rsidR="00312FDE" w:rsidRPr="00312FDE">
        <w:rPr>
          <w:sz w:val="24"/>
          <w:szCs w:val="24"/>
        </w:rPr>
        <w:t>NodeXL</w:t>
      </w:r>
      <w:proofErr w:type="spellEnd"/>
      <w:r w:rsidR="00312FDE" w:rsidRPr="00312FDE">
        <w:rPr>
          <w:sz w:val="24"/>
          <w:szCs w:val="24"/>
        </w:rPr>
        <w:t xml:space="preserve"> for social network analysis. The telephone interview and expert panel analyses will be performed using Excel.</w:t>
      </w:r>
    </w:p>
    <w:p w:rsidR="00321EEB" w:rsidRPr="00557F13" w:rsidRDefault="00321EEB" w:rsidP="00321EEB">
      <w:pPr>
        <w:pStyle w:val="P1-StandPara"/>
        <w:spacing w:line="240" w:lineRule="auto"/>
        <w:ind w:left="720" w:firstLine="0"/>
        <w:rPr>
          <w:b/>
        </w:rPr>
      </w:pPr>
    </w:p>
    <w:p w:rsidR="000962BB" w:rsidRPr="00E41609" w:rsidRDefault="00E41609" w:rsidP="00E41609">
      <w:pPr>
        <w:pStyle w:val="Heading2"/>
        <w:tabs>
          <w:tab w:val="clear" w:pos="1152"/>
          <w:tab w:val="left" w:pos="720"/>
        </w:tabs>
        <w:spacing w:after="0" w:line="480" w:lineRule="auto"/>
        <w:ind w:left="0" w:firstLine="0"/>
        <w:rPr>
          <w:sz w:val="24"/>
          <w:szCs w:val="24"/>
        </w:rPr>
      </w:pPr>
      <w:bookmarkStart w:id="6" w:name="_Toc443881763"/>
      <w:bookmarkStart w:id="7" w:name="_Toc451592250"/>
      <w:bookmarkStart w:id="8" w:name="_Toc5610291"/>
      <w:bookmarkStart w:id="9" w:name="_Toc99178797"/>
      <w:bookmarkStart w:id="10" w:name="_Toc358383273"/>
      <w:r w:rsidRPr="00557F13">
        <w:rPr>
          <w:sz w:val="24"/>
          <w:szCs w:val="24"/>
        </w:rPr>
        <w:t>B.</w:t>
      </w:r>
      <w:r w:rsidR="000962BB" w:rsidRPr="00557F13">
        <w:rPr>
          <w:sz w:val="24"/>
          <w:szCs w:val="24"/>
        </w:rPr>
        <w:t>1</w:t>
      </w:r>
      <w:r w:rsidR="000962BB" w:rsidRPr="00557F13">
        <w:rPr>
          <w:sz w:val="24"/>
          <w:szCs w:val="24"/>
        </w:rPr>
        <w:tab/>
        <w:t>Respo</w:t>
      </w:r>
      <w:r w:rsidR="000962BB" w:rsidRPr="0012715B">
        <w:rPr>
          <w:sz w:val="24"/>
          <w:szCs w:val="24"/>
        </w:rPr>
        <w:t>ndent Universe and Sampling Methods</w:t>
      </w:r>
      <w:bookmarkEnd w:id="6"/>
      <w:bookmarkEnd w:id="7"/>
      <w:bookmarkEnd w:id="8"/>
      <w:bookmarkEnd w:id="9"/>
      <w:bookmarkEnd w:id="10"/>
    </w:p>
    <w:p w:rsidR="00351C47" w:rsidRDefault="00897751" w:rsidP="00E33D0A">
      <w:pPr>
        <w:pStyle w:val="BodyTextIndent"/>
        <w:spacing w:after="0" w:line="480" w:lineRule="auto"/>
        <w:ind w:left="0" w:firstLine="720"/>
        <w:jc w:val="left"/>
        <w:rPr>
          <w:sz w:val="24"/>
          <w:szCs w:val="24"/>
        </w:rPr>
      </w:pPr>
      <w:r>
        <w:rPr>
          <w:sz w:val="24"/>
          <w:szCs w:val="24"/>
        </w:rPr>
        <w:t>The target population</w:t>
      </w:r>
      <w:r w:rsidR="00C7209E">
        <w:rPr>
          <w:sz w:val="24"/>
          <w:szCs w:val="24"/>
        </w:rPr>
        <w:t>s</w:t>
      </w:r>
      <w:r>
        <w:rPr>
          <w:sz w:val="24"/>
          <w:szCs w:val="24"/>
        </w:rPr>
        <w:t xml:space="preserve"> for this process evaluation are the SCTC Research Initiative science network comprised of the </w:t>
      </w:r>
      <w:r w:rsidR="00E33D0A">
        <w:rPr>
          <w:sz w:val="24"/>
          <w:szCs w:val="24"/>
        </w:rPr>
        <w:t xml:space="preserve">PIs </w:t>
      </w:r>
      <w:r>
        <w:rPr>
          <w:sz w:val="24"/>
          <w:szCs w:val="24"/>
        </w:rPr>
        <w:t xml:space="preserve">and </w:t>
      </w:r>
      <w:r w:rsidR="00E33D0A">
        <w:rPr>
          <w:sz w:val="24"/>
          <w:szCs w:val="24"/>
        </w:rPr>
        <w:t>Co-PIs</w:t>
      </w:r>
      <w:r>
        <w:rPr>
          <w:sz w:val="24"/>
          <w:szCs w:val="24"/>
        </w:rPr>
        <w:t xml:space="preserve"> from </w:t>
      </w:r>
      <w:r w:rsidR="003F1E3C">
        <w:rPr>
          <w:sz w:val="24"/>
          <w:szCs w:val="24"/>
        </w:rPr>
        <w:t>the seven</w:t>
      </w:r>
      <w:r>
        <w:rPr>
          <w:sz w:val="24"/>
          <w:szCs w:val="24"/>
        </w:rPr>
        <w:t xml:space="preserve"> SCTC research centers, their affiliated tobacco control partners, and NCI representatives. The seven research centers are located at Emory University; University of Illinois at Chicago, Institute for Health Research and Policy; Mayo Clinic Arizona; University of North Carolina Chapel Hill; University of California </w:t>
      </w:r>
      <w:r>
        <w:rPr>
          <w:sz w:val="24"/>
          <w:szCs w:val="24"/>
        </w:rPr>
        <w:lastRenderedPageBreak/>
        <w:t>San Diego; the University of California San Francisco; and the SCTC Coordination Center located at Research Triangle Institute (RTI).</w:t>
      </w:r>
      <w:r w:rsidR="00E33D0A">
        <w:rPr>
          <w:sz w:val="24"/>
          <w:szCs w:val="24"/>
        </w:rPr>
        <w:t xml:space="preserve"> </w:t>
      </w:r>
      <w:r w:rsidR="00351C47">
        <w:rPr>
          <w:sz w:val="24"/>
          <w:szCs w:val="24"/>
        </w:rPr>
        <w:t>The affiliated tobacco control partners are comprised of 3-5 individuals nominated by each PI at the research centers noted above.</w:t>
      </w:r>
      <w:r w:rsidR="00F339E4">
        <w:rPr>
          <w:sz w:val="24"/>
          <w:szCs w:val="24"/>
        </w:rPr>
        <w:t xml:space="preserve"> </w:t>
      </w:r>
      <w:r w:rsidR="0037391F">
        <w:rPr>
          <w:sz w:val="24"/>
          <w:szCs w:val="24"/>
        </w:rPr>
        <w:t>A</w:t>
      </w:r>
      <w:r w:rsidR="00F339E4">
        <w:rPr>
          <w:sz w:val="24"/>
          <w:szCs w:val="24"/>
        </w:rPr>
        <w:t>ffiliated partners refer to SCTC collaborators who are not SCTC grantees and are based outside of funded research centers. Affiliated partners can include representatives at state or local tobacco control programs, public health and community based organizations, Federal or State agencies, organizations hired to consult on SCTC projects or workgroups, as well as other academic institutions.</w:t>
      </w:r>
    </w:p>
    <w:p w:rsidR="003F1E3C" w:rsidRPr="00557F13" w:rsidRDefault="00E33D0A" w:rsidP="00E33D0A">
      <w:pPr>
        <w:pStyle w:val="BodyTextIndent"/>
        <w:spacing w:after="0" w:line="480" w:lineRule="auto"/>
        <w:ind w:left="0" w:firstLine="720"/>
        <w:jc w:val="left"/>
        <w:rPr>
          <w:sz w:val="24"/>
          <w:szCs w:val="24"/>
        </w:rPr>
      </w:pPr>
      <w:r>
        <w:rPr>
          <w:sz w:val="24"/>
          <w:szCs w:val="24"/>
        </w:rPr>
        <w:t xml:space="preserve">The </w:t>
      </w:r>
      <w:r w:rsidR="003F1E3C">
        <w:rPr>
          <w:sz w:val="24"/>
          <w:szCs w:val="24"/>
        </w:rPr>
        <w:t>target population</w:t>
      </w:r>
      <w:r>
        <w:rPr>
          <w:sz w:val="24"/>
          <w:szCs w:val="24"/>
        </w:rPr>
        <w:t xml:space="preserve"> for the web-based survey (</w:t>
      </w:r>
      <w:r w:rsidRPr="00ED5645">
        <w:rPr>
          <w:b/>
          <w:sz w:val="24"/>
          <w:szCs w:val="24"/>
        </w:rPr>
        <w:t>Attachment</w:t>
      </w:r>
      <w:r w:rsidR="00B534F5">
        <w:rPr>
          <w:b/>
          <w:sz w:val="24"/>
          <w:szCs w:val="24"/>
        </w:rPr>
        <w:t>s</w:t>
      </w:r>
      <w:r w:rsidRPr="00ED5645">
        <w:rPr>
          <w:b/>
          <w:sz w:val="24"/>
          <w:szCs w:val="24"/>
        </w:rPr>
        <w:t xml:space="preserve"> 1</w:t>
      </w:r>
      <w:r w:rsidR="00B534F5">
        <w:rPr>
          <w:b/>
          <w:sz w:val="24"/>
          <w:szCs w:val="24"/>
        </w:rPr>
        <w:t xml:space="preserve"> and 2</w:t>
      </w:r>
      <w:r>
        <w:rPr>
          <w:sz w:val="24"/>
          <w:szCs w:val="24"/>
        </w:rPr>
        <w:t xml:space="preserve">) </w:t>
      </w:r>
      <w:r w:rsidR="00381703">
        <w:rPr>
          <w:sz w:val="24"/>
          <w:szCs w:val="24"/>
        </w:rPr>
        <w:t xml:space="preserve">will </w:t>
      </w:r>
      <w:r>
        <w:rPr>
          <w:sz w:val="24"/>
          <w:szCs w:val="24"/>
        </w:rPr>
        <w:t xml:space="preserve">include </w:t>
      </w:r>
      <w:r w:rsidR="0016623A">
        <w:rPr>
          <w:sz w:val="24"/>
          <w:szCs w:val="24"/>
        </w:rPr>
        <w:t xml:space="preserve">all </w:t>
      </w:r>
      <w:r>
        <w:rPr>
          <w:sz w:val="24"/>
          <w:szCs w:val="24"/>
        </w:rPr>
        <w:t>PIs</w:t>
      </w:r>
      <w:r w:rsidR="00F153D0">
        <w:rPr>
          <w:sz w:val="24"/>
          <w:szCs w:val="24"/>
        </w:rPr>
        <w:t>,</w:t>
      </w:r>
      <w:r>
        <w:rPr>
          <w:sz w:val="24"/>
          <w:szCs w:val="24"/>
        </w:rPr>
        <w:t xml:space="preserve"> Co-PIs and affiliated partners for </w:t>
      </w:r>
      <w:r w:rsidRPr="003F1E3C">
        <w:rPr>
          <w:sz w:val="24"/>
          <w:szCs w:val="24"/>
        </w:rPr>
        <w:t xml:space="preserve">a </w:t>
      </w:r>
      <w:r w:rsidR="003F1E3C" w:rsidRPr="003F1E3C">
        <w:rPr>
          <w:sz w:val="24"/>
          <w:szCs w:val="24"/>
        </w:rPr>
        <w:t>total</w:t>
      </w:r>
      <w:r w:rsidRPr="003F1E3C">
        <w:rPr>
          <w:sz w:val="24"/>
          <w:szCs w:val="24"/>
        </w:rPr>
        <w:t xml:space="preserve"> of 1</w:t>
      </w:r>
      <w:r w:rsidR="007E2B81" w:rsidRPr="003F1E3C">
        <w:rPr>
          <w:sz w:val="24"/>
          <w:szCs w:val="24"/>
        </w:rPr>
        <w:t>31</w:t>
      </w:r>
      <w:r w:rsidR="003F1E3C">
        <w:rPr>
          <w:sz w:val="24"/>
          <w:szCs w:val="24"/>
        </w:rPr>
        <w:t xml:space="preserve"> potential participants</w:t>
      </w:r>
      <w:r w:rsidR="00ED5D84">
        <w:rPr>
          <w:sz w:val="24"/>
          <w:szCs w:val="24"/>
        </w:rPr>
        <w:t xml:space="preserve">. </w:t>
      </w:r>
      <w:r w:rsidR="007E2B81" w:rsidRPr="003F1E3C">
        <w:rPr>
          <w:sz w:val="24"/>
          <w:szCs w:val="24"/>
        </w:rPr>
        <w:t>A</w:t>
      </w:r>
      <w:r w:rsidR="003F1E3C">
        <w:rPr>
          <w:sz w:val="24"/>
          <w:szCs w:val="24"/>
        </w:rPr>
        <w:t xml:space="preserve"> total of 60</w:t>
      </w:r>
      <w:r w:rsidR="00612969" w:rsidRPr="003F1E3C">
        <w:rPr>
          <w:sz w:val="24"/>
          <w:szCs w:val="24"/>
        </w:rPr>
        <w:t xml:space="preserve"> PIs</w:t>
      </w:r>
      <w:r w:rsidR="003F1E3C">
        <w:rPr>
          <w:sz w:val="24"/>
          <w:szCs w:val="24"/>
        </w:rPr>
        <w:t xml:space="preserve"> and</w:t>
      </w:r>
      <w:r w:rsidR="00612969" w:rsidRPr="003F1E3C">
        <w:rPr>
          <w:sz w:val="24"/>
          <w:szCs w:val="24"/>
        </w:rPr>
        <w:t xml:space="preserve"> Co-PIs </w:t>
      </w:r>
      <w:r w:rsidR="007E2B81" w:rsidRPr="003F1E3C">
        <w:rPr>
          <w:sz w:val="24"/>
          <w:szCs w:val="24"/>
        </w:rPr>
        <w:t xml:space="preserve">and </w:t>
      </w:r>
      <w:r w:rsidR="003F1E3C">
        <w:rPr>
          <w:sz w:val="24"/>
          <w:szCs w:val="24"/>
        </w:rPr>
        <w:t xml:space="preserve">71 </w:t>
      </w:r>
      <w:r w:rsidR="007E2B81" w:rsidRPr="003F1E3C">
        <w:rPr>
          <w:sz w:val="24"/>
          <w:szCs w:val="24"/>
        </w:rPr>
        <w:t xml:space="preserve">affiliated partners </w:t>
      </w:r>
      <w:r w:rsidR="00612969" w:rsidRPr="003F1E3C">
        <w:rPr>
          <w:sz w:val="24"/>
          <w:szCs w:val="24"/>
        </w:rPr>
        <w:t xml:space="preserve">will be invited to participate </w:t>
      </w:r>
      <w:r w:rsidR="007E2B81" w:rsidRPr="003F1E3C">
        <w:rPr>
          <w:sz w:val="24"/>
          <w:szCs w:val="24"/>
        </w:rPr>
        <w:t>in the survey</w:t>
      </w:r>
      <w:r w:rsidR="003F1E3C">
        <w:rPr>
          <w:sz w:val="24"/>
          <w:szCs w:val="24"/>
        </w:rPr>
        <w:t xml:space="preserve"> with an expected number of 57 PI and Co-PI participants and 50 affiliated partner </w:t>
      </w:r>
      <w:r w:rsidR="003F1E3C" w:rsidRPr="00F158A6">
        <w:rPr>
          <w:sz w:val="24"/>
          <w:szCs w:val="24"/>
        </w:rPr>
        <w:t>participants</w:t>
      </w:r>
      <w:r w:rsidR="00612969" w:rsidRPr="00F158A6">
        <w:rPr>
          <w:sz w:val="24"/>
          <w:szCs w:val="24"/>
        </w:rPr>
        <w:t xml:space="preserve">. </w:t>
      </w:r>
      <w:r w:rsidR="00F158A6" w:rsidRPr="00F158A6">
        <w:rPr>
          <w:sz w:val="24"/>
          <w:szCs w:val="24"/>
        </w:rPr>
        <w:t>The response rates for th</w:t>
      </w:r>
      <w:r w:rsidR="00F158A6" w:rsidRPr="00557F13">
        <w:rPr>
          <w:sz w:val="24"/>
          <w:szCs w:val="24"/>
        </w:rPr>
        <w:t xml:space="preserve">e survey are expected to be </w:t>
      </w:r>
      <w:r w:rsidR="00CF46C2" w:rsidRPr="00557F13">
        <w:rPr>
          <w:sz w:val="24"/>
          <w:szCs w:val="24"/>
        </w:rPr>
        <w:t xml:space="preserve">at </w:t>
      </w:r>
      <w:r w:rsidR="00F158A6" w:rsidRPr="00557F13">
        <w:rPr>
          <w:sz w:val="24"/>
          <w:szCs w:val="24"/>
        </w:rPr>
        <w:t xml:space="preserve">about 95% for PIs and Co-PIs and 70% for affiliated partners. </w:t>
      </w:r>
    </w:p>
    <w:p w:rsidR="003F1E3C" w:rsidRDefault="00E33D0A" w:rsidP="009B635F">
      <w:pPr>
        <w:pStyle w:val="BodyTextIndent"/>
        <w:spacing w:after="0" w:line="480" w:lineRule="auto"/>
        <w:ind w:left="0" w:firstLine="720"/>
        <w:jc w:val="left"/>
        <w:rPr>
          <w:sz w:val="24"/>
          <w:szCs w:val="24"/>
        </w:rPr>
      </w:pPr>
      <w:r w:rsidRPr="003F1E3C">
        <w:rPr>
          <w:sz w:val="24"/>
          <w:szCs w:val="24"/>
        </w:rPr>
        <w:t xml:space="preserve">The </w:t>
      </w:r>
      <w:r w:rsidR="003F1E3C">
        <w:rPr>
          <w:sz w:val="24"/>
          <w:szCs w:val="24"/>
        </w:rPr>
        <w:t>target population</w:t>
      </w:r>
      <w:r>
        <w:rPr>
          <w:sz w:val="24"/>
          <w:szCs w:val="24"/>
        </w:rPr>
        <w:t xml:space="preserve"> for the telephone interviews (</w:t>
      </w:r>
      <w:r w:rsidRPr="00ED5645">
        <w:rPr>
          <w:b/>
          <w:sz w:val="24"/>
          <w:szCs w:val="24"/>
        </w:rPr>
        <w:t>Attachment</w:t>
      </w:r>
      <w:r w:rsidR="00B534F5">
        <w:rPr>
          <w:b/>
          <w:sz w:val="24"/>
          <w:szCs w:val="24"/>
        </w:rPr>
        <w:t xml:space="preserve">s 3 through </w:t>
      </w:r>
      <w:r w:rsidR="0014310E">
        <w:rPr>
          <w:b/>
          <w:sz w:val="24"/>
          <w:szCs w:val="24"/>
        </w:rPr>
        <w:t>7</w:t>
      </w:r>
      <w:r>
        <w:rPr>
          <w:sz w:val="24"/>
          <w:szCs w:val="24"/>
        </w:rPr>
        <w:t xml:space="preserve">) </w:t>
      </w:r>
      <w:r w:rsidR="00381703">
        <w:rPr>
          <w:sz w:val="24"/>
          <w:szCs w:val="24"/>
        </w:rPr>
        <w:t xml:space="preserve">will </w:t>
      </w:r>
      <w:r>
        <w:rPr>
          <w:sz w:val="24"/>
          <w:szCs w:val="24"/>
        </w:rPr>
        <w:t xml:space="preserve">include PIs, Co-PIs, </w:t>
      </w:r>
      <w:r w:rsidR="0014310E">
        <w:rPr>
          <w:sz w:val="24"/>
          <w:szCs w:val="24"/>
        </w:rPr>
        <w:t xml:space="preserve">and </w:t>
      </w:r>
      <w:r>
        <w:rPr>
          <w:sz w:val="24"/>
          <w:szCs w:val="24"/>
        </w:rPr>
        <w:t xml:space="preserve">affiliated </w:t>
      </w:r>
      <w:proofErr w:type="gramStart"/>
      <w:r>
        <w:rPr>
          <w:sz w:val="24"/>
          <w:szCs w:val="24"/>
        </w:rPr>
        <w:t>partners  for</w:t>
      </w:r>
      <w:proofErr w:type="gramEnd"/>
      <w:r>
        <w:rPr>
          <w:sz w:val="24"/>
          <w:szCs w:val="24"/>
        </w:rPr>
        <w:t xml:space="preserve"> a </w:t>
      </w:r>
      <w:r w:rsidR="003F1E3C">
        <w:rPr>
          <w:sz w:val="24"/>
          <w:szCs w:val="24"/>
        </w:rPr>
        <w:t>total of 13</w:t>
      </w:r>
      <w:r w:rsidR="0014310E">
        <w:rPr>
          <w:sz w:val="24"/>
          <w:szCs w:val="24"/>
        </w:rPr>
        <w:t>1</w:t>
      </w:r>
      <w:r w:rsidR="003F1E3C">
        <w:rPr>
          <w:sz w:val="24"/>
          <w:szCs w:val="24"/>
        </w:rPr>
        <w:t>, comprised of 60 PIs and Co-PIs, 71 affiliated partners and two NCI representatives</w:t>
      </w:r>
      <w:r w:rsidR="00ED5D84">
        <w:rPr>
          <w:sz w:val="24"/>
          <w:szCs w:val="24"/>
        </w:rPr>
        <w:t xml:space="preserve">. </w:t>
      </w:r>
      <w:r w:rsidR="003F1E3C">
        <w:rPr>
          <w:sz w:val="24"/>
          <w:szCs w:val="24"/>
        </w:rPr>
        <w:t>Of the 60 PIs and Co-PIs,</w:t>
      </w:r>
      <w:r w:rsidR="009B635F">
        <w:rPr>
          <w:sz w:val="24"/>
          <w:szCs w:val="24"/>
        </w:rPr>
        <w:t xml:space="preserve"> 21 will be sampled to participate as core project leads and 14 as component leads (6 from Pilot Projects, 6 from Working Groups, and two RTI Coordinating Center representatives). Additionally, of the 71 affiliated partners, 21 will be sampled to participate, and two NCI representatives will be selected to participate. </w:t>
      </w:r>
      <w:r w:rsidR="00F158A6">
        <w:rPr>
          <w:sz w:val="24"/>
          <w:szCs w:val="24"/>
        </w:rPr>
        <w:t>The number of participants is expected to total 5</w:t>
      </w:r>
      <w:r w:rsidR="0014310E">
        <w:rPr>
          <w:sz w:val="24"/>
          <w:szCs w:val="24"/>
        </w:rPr>
        <w:t>6</w:t>
      </w:r>
      <w:r w:rsidR="00F158A6">
        <w:rPr>
          <w:sz w:val="24"/>
          <w:szCs w:val="24"/>
        </w:rPr>
        <w:t xml:space="preserve">. </w:t>
      </w:r>
      <w:r w:rsidR="00936553">
        <w:rPr>
          <w:sz w:val="24"/>
          <w:szCs w:val="24"/>
        </w:rPr>
        <w:t>A</w:t>
      </w:r>
      <w:r w:rsidR="003643AB">
        <w:rPr>
          <w:sz w:val="24"/>
          <w:szCs w:val="24"/>
        </w:rPr>
        <w:t xml:space="preserve"> strategic sample will be drawn;</w:t>
      </w:r>
      <w:r w:rsidR="00381703">
        <w:rPr>
          <w:sz w:val="24"/>
          <w:szCs w:val="24"/>
        </w:rPr>
        <w:t xml:space="preserve"> balanced </w:t>
      </w:r>
      <w:r w:rsidR="00936553">
        <w:rPr>
          <w:sz w:val="24"/>
          <w:szCs w:val="24"/>
        </w:rPr>
        <w:t xml:space="preserve">by geographical area, </w:t>
      </w:r>
      <w:r w:rsidR="00381703">
        <w:rPr>
          <w:sz w:val="24"/>
          <w:szCs w:val="24"/>
        </w:rPr>
        <w:t>organizational type</w:t>
      </w:r>
      <w:r w:rsidR="00936553">
        <w:rPr>
          <w:sz w:val="24"/>
          <w:szCs w:val="24"/>
        </w:rPr>
        <w:t>, and project focus</w:t>
      </w:r>
      <w:r w:rsidR="00381703">
        <w:rPr>
          <w:sz w:val="24"/>
          <w:szCs w:val="24"/>
        </w:rPr>
        <w:t xml:space="preserve">. </w:t>
      </w:r>
    </w:p>
    <w:p w:rsidR="001D326D" w:rsidRDefault="00E33D0A" w:rsidP="00584FC5">
      <w:pPr>
        <w:pStyle w:val="BodyTextIndent"/>
        <w:spacing w:after="0" w:line="480" w:lineRule="auto"/>
        <w:ind w:left="0" w:firstLine="720"/>
        <w:jc w:val="left"/>
        <w:rPr>
          <w:sz w:val="24"/>
          <w:szCs w:val="24"/>
        </w:rPr>
      </w:pPr>
      <w:r>
        <w:rPr>
          <w:sz w:val="24"/>
          <w:szCs w:val="24"/>
        </w:rPr>
        <w:lastRenderedPageBreak/>
        <w:t xml:space="preserve">The </w:t>
      </w:r>
      <w:r w:rsidR="009B635F">
        <w:rPr>
          <w:sz w:val="24"/>
          <w:szCs w:val="24"/>
        </w:rPr>
        <w:t>target population</w:t>
      </w:r>
      <w:r>
        <w:rPr>
          <w:sz w:val="24"/>
          <w:szCs w:val="24"/>
        </w:rPr>
        <w:t xml:space="preserve"> for the expert panel </w:t>
      </w:r>
      <w:r w:rsidR="00ED5645">
        <w:rPr>
          <w:sz w:val="24"/>
          <w:szCs w:val="24"/>
        </w:rPr>
        <w:t>(</w:t>
      </w:r>
      <w:r w:rsidR="00ED5645" w:rsidRPr="00ED5645">
        <w:rPr>
          <w:b/>
          <w:sz w:val="24"/>
          <w:szCs w:val="24"/>
        </w:rPr>
        <w:t xml:space="preserve">Attachment </w:t>
      </w:r>
      <w:r w:rsidR="0014310E">
        <w:rPr>
          <w:b/>
          <w:sz w:val="24"/>
          <w:szCs w:val="24"/>
        </w:rPr>
        <w:t>8</w:t>
      </w:r>
      <w:r w:rsidR="00ED5645">
        <w:rPr>
          <w:sz w:val="24"/>
          <w:szCs w:val="24"/>
        </w:rPr>
        <w:t xml:space="preserve">) </w:t>
      </w:r>
      <w:r w:rsidR="00381703">
        <w:rPr>
          <w:sz w:val="24"/>
          <w:szCs w:val="24"/>
        </w:rPr>
        <w:t xml:space="preserve">will </w:t>
      </w:r>
      <w:r>
        <w:rPr>
          <w:sz w:val="24"/>
          <w:szCs w:val="24"/>
        </w:rPr>
        <w:t xml:space="preserve">include </w:t>
      </w:r>
      <w:r w:rsidR="009B635F">
        <w:rPr>
          <w:sz w:val="24"/>
          <w:szCs w:val="24"/>
        </w:rPr>
        <w:t xml:space="preserve">all </w:t>
      </w:r>
      <w:r>
        <w:rPr>
          <w:sz w:val="24"/>
          <w:szCs w:val="24"/>
        </w:rPr>
        <w:t xml:space="preserve">PIs and Co-PIs for a </w:t>
      </w:r>
      <w:r w:rsidR="009B635F">
        <w:rPr>
          <w:sz w:val="24"/>
          <w:szCs w:val="24"/>
        </w:rPr>
        <w:t xml:space="preserve">total of 60 potential participants. Two expert panel sessions will be held comprised of nine PIs and Co-PIs in each session. </w:t>
      </w:r>
      <w:r w:rsidR="00F158A6">
        <w:rPr>
          <w:sz w:val="24"/>
          <w:szCs w:val="24"/>
        </w:rPr>
        <w:t xml:space="preserve">The number of participants is expected to total up to 18. </w:t>
      </w:r>
      <w:r w:rsidR="009B635F">
        <w:rPr>
          <w:sz w:val="24"/>
          <w:szCs w:val="24"/>
        </w:rPr>
        <w:t>The expert panel participants will be balanced by geographical area, organizational type, and project focus.</w:t>
      </w:r>
      <w:r w:rsidR="00CF0FAE">
        <w:rPr>
          <w:sz w:val="24"/>
          <w:szCs w:val="24"/>
        </w:rPr>
        <w:t xml:space="preserve"> </w:t>
      </w:r>
      <w:r w:rsidR="00936553">
        <w:rPr>
          <w:sz w:val="24"/>
          <w:szCs w:val="24"/>
        </w:rPr>
        <w:t xml:space="preserve">No more than </w:t>
      </w:r>
      <w:r w:rsidR="003643AB">
        <w:rPr>
          <w:sz w:val="24"/>
          <w:szCs w:val="24"/>
        </w:rPr>
        <w:t>nine</w:t>
      </w:r>
      <w:r w:rsidR="00936553">
        <w:rPr>
          <w:sz w:val="24"/>
          <w:szCs w:val="24"/>
        </w:rPr>
        <w:t xml:space="preserve"> PIs and Co-PIs </w:t>
      </w:r>
      <w:r w:rsidR="00F158A6">
        <w:rPr>
          <w:sz w:val="24"/>
          <w:szCs w:val="24"/>
        </w:rPr>
        <w:t>may</w:t>
      </w:r>
      <w:r w:rsidR="003643AB">
        <w:rPr>
          <w:sz w:val="24"/>
          <w:szCs w:val="24"/>
        </w:rPr>
        <w:t xml:space="preserve"> participate</w:t>
      </w:r>
      <w:r w:rsidR="00936553">
        <w:rPr>
          <w:sz w:val="24"/>
          <w:szCs w:val="24"/>
        </w:rPr>
        <w:t xml:space="preserve"> in all three data collections modes</w:t>
      </w:r>
      <w:r w:rsidR="003643AB">
        <w:rPr>
          <w:sz w:val="24"/>
          <w:szCs w:val="24"/>
        </w:rPr>
        <w:t>:</w:t>
      </w:r>
      <w:r w:rsidR="00936553">
        <w:rPr>
          <w:sz w:val="24"/>
          <w:szCs w:val="24"/>
        </w:rPr>
        <w:t xml:space="preserve"> the survey, telephone interview</w:t>
      </w:r>
      <w:r w:rsidR="000B358C">
        <w:rPr>
          <w:sz w:val="24"/>
          <w:szCs w:val="24"/>
        </w:rPr>
        <w:t>,</w:t>
      </w:r>
      <w:r w:rsidR="00936553">
        <w:rPr>
          <w:sz w:val="24"/>
          <w:szCs w:val="24"/>
        </w:rPr>
        <w:t xml:space="preserve"> and expert panel.</w:t>
      </w:r>
      <w:r w:rsidR="00584FC5">
        <w:rPr>
          <w:sz w:val="24"/>
          <w:szCs w:val="24"/>
        </w:rPr>
        <w:t xml:space="preserve"> </w:t>
      </w:r>
      <w:r w:rsidR="00EB338F">
        <w:rPr>
          <w:sz w:val="24"/>
          <w:szCs w:val="24"/>
        </w:rPr>
        <w:t>Though different factors may be responsible for non-response</w:t>
      </w:r>
      <w:r w:rsidR="00352CEC">
        <w:rPr>
          <w:sz w:val="24"/>
          <w:szCs w:val="24"/>
        </w:rPr>
        <w:t xml:space="preserve"> or non-cooperation</w:t>
      </w:r>
      <w:r w:rsidR="00EB338F">
        <w:rPr>
          <w:sz w:val="24"/>
          <w:szCs w:val="24"/>
        </w:rPr>
        <w:t xml:space="preserve">, </w:t>
      </w:r>
      <w:r w:rsidR="00A66A38">
        <w:rPr>
          <w:sz w:val="24"/>
          <w:szCs w:val="24"/>
        </w:rPr>
        <w:t xml:space="preserve">we anticipate </w:t>
      </w:r>
      <w:r w:rsidR="00352CEC">
        <w:rPr>
          <w:sz w:val="24"/>
          <w:szCs w:val="24"/>
        </w:rPr>
        <w:t>that this will be due to</w:t>
      </w:r>
      <w:r w:rsidR="00A00469">
        <w:rPr>
          <w:sz w:val="24"/>
          <w:szCs w:val="24"/>
        </w:rPr>
        <w:t xml:space="preserve"> (1) </w:t>
      </w:r>
      <w:r w:rsidR="00F339E4">
        <w:rPr>
          <w:sz w:val="24"/>
          <w:szCs w:val="24"/>
        </w:rPr>
        <w:t>individuals may be too busy to participate</w:t>
      </w:r>
      <w:r w:rsidR="00A00469">
        <w:rPr>
          <w:sz w:val="24"/>
          <w:szCs w:val="24"/>
        </w:rPr>
        <w:t>,</w:t>
      </w:r>
      <w:r w:rsidR="00EB338F">
        <w:rPr>
          <w:sz w:val="24"/>
          <w:szCs w:val="24"/>
        </w:rPr>
        <w:t xml:space="preserve"> and </w:t>
      </w:r>
      <w:r w:rsidR="00F339E4">
        <w:rPr>
          <w:sz w:val="24"/>
          <w:szCs w:val="24"/>
        </w:rPr>
        <w:t xml:space="preserve">in rare cases </w:t>
      </w:r>
      <w:r w:rsidR="00A00469">
        <w:rPr>
          <w:sz w:val="24"/>
          <w:szCs w:val="24"/>
        </w:rPr>
        <w:t>(2)</w:t>
      </w:r>
      <w:r w:rsidR="00584FC5">
        <w:rPr>
          <w:sz w:val="24"/>
          <w:szCs w:val="24"/>
        </w:rPr>
        <w:t xml:space="preserve"> </w:t>
      </w:r>
      <w:r w:rsidR="00F339E4">
        <w:rPr>
          <w:sz w:val="24"/>
          <w:szCs w:val="24"/>
        </w:rPr>
        <w:t>potential lack of familiarity with on-line surveys for some individuals</w:t>
      </w:r>
      <w:r w:rsidR="00A00469">
        <w:rPr>
          <w:sz w:val="24"/>
          <w:szCs w:val="24"/>
        </w:rPr>
        <w:t>.</w:t>
      </w:r>
      <w:r w:rsidR="00EB338F">
        <w:rPr>
          <w:sz w:val="24"/>
          <w:szCs w:val="24"/>
        </w:rPr>
        <w:t xml:space="preserve"> </w:t>
      </w:r>
      <w:r w:rsidR="008715D7">
        <w:rPr>
          <w:sz w:val="24"/>
          <w:szCs w:val="24"/>
        </w:rPr>
        <w:t xml:space="preserve"> The number of potential and expected participants by type of data collection is presented in Table B.1-1.</w:t>
      </w:r>
    </w:p>
    <w:p w:rsidR="00CE13CF" w:rsidRDefault="00CE13CF" w:rsidP="008715D7">
      <w:pPr>
        <w:spacing w:line="480" w:lineRule="auto"/>
        <w:ind w:left="720"/>
        <w:jc w:val="left"/>
        <w:rPr>
          <w:sz w:val="24"/>
          <w:szCs w:val="24"/>
        </w:rPr>
      </w:pPr>
    </w:p>
    <w:p w:rsidR="008715D7" w:rsidRPr="00216C16" w:rsidRDefault="008715D7" w:rsidP="008715D7">
      <w:pPr>
        <w:spacing w:line="480" w:lineRule="auto"/>
        <w:ind w:left="720"/>
        <w:jc w:val="left"/>
        <w:rPr>
          <w:color w:val="FF0000"/>
          <w:sz w:val="24"/>
          <w:szCs w:val="24"/>
        </w:rPr>
      </w:pPr>
      <w:r>
        <w:rPr>
          <w:sz w:val="24"/>
          <w:szCs w:val="24"/>
        </w:rPr>
        <w:t>Table B.1-1</w:t>
      </w:r>
      <w:r>
        <w:rPr>
          <w:sz w:val="24"/>
          <w:szCs w:val="24"/>
        </w:rPr>
        <w:tab/>
        <w:t>Number of Potential and Expected Participants by Data Collection Type</w:t>
      </w:r>
    </w:p>
    <w:tbl>
      <w:tblPr>
        <w:tblW w:w="79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2700"/>
        <w:gridCol w:w="2700"/>
      </w:tblGrid>
      <w:tr w:rsidR="005E745A" w:rsidRPr="00025064" w:rsidTr="00F76EA3">
        <w:tc>
          <w:tcPr>
            <w:tcW w:w="2538" w:type="dxa"/>
          </w:tcPr>
          <w:p w:rsidR="005E745A" w:rsidRPr="00025064" w:rsidRDefault="005E745A" w:rsidP="00756F00">
            <w:pPr>
              <w:jc w:val="left"/>
              <w:rPr>
                <w:b/>
              </w:rPr>
            </w:pPr>
            <w:r w:rsidRPr="00025064">
              <w:rPr>
                <w:b/>
                <w:sz w:val="24"/>
                <w:szCs w:val="24"/>
              </w:rPr>
              <w:t>Data Collection Type</w:t>
            </w:r>
          </w:p>
        </w:tc>
        <w:tc>
          <w:tcPr>
            <w:tcW w:w="2700" w:type="dxa"/>
            <w:shd w:val="clear" w:color="auto" w:fill="auto"/>
          </w:tcPr>
          <w:p w:rsidR="005E745A" w:rsidRPr="00025064" w:rsidRDefault="005E745A" w:rsidP="00756F00">
            <w:pPr>
              <w:jc w:val="left"/>
              <w:rPr>
                <w:b/>
                <w:sz w:val="24"/>
                <w:szCs w:val="24"/>
              </w:rPr>
            </w:pPr>
            <w:r w:rsidRPr="00025064">
              <w:rPr>
                <w:b/>
                <w:sz w:val="24"/>
                <w:szCs w:val="24"/>
              </w:rPr>
              <w:t>Number of</w:t>
            </w:r>
          </w:p>
          <w:p w:rsidR="005E745A" w:rsidRPr="00025064" w:rsidRDefault="005E745A" w:rsidP="005E745A">
            <w:pPr>
              <w:pStyle w:val="a"/>
              <w:spacing w:line="240" w:lineRule="atLeast"/>
              <w:ind w:left="0"/>
              <w:rPr>
                <w:b/>
                <w:szCs w:val="24"/>
              </w:rPr>
            </w:pPr>
            <w:r>
              <w:rPr>
                <w:b/>
                <w:szCs w:val="24"/>
              </w:rPr>
              <w:t>Potential Participants</w:t>
            </w:r>
          </w:p>
        </w:tc>
        <w:tc>
          <w:tcPr>
            <w:tcW w:w="2700" w:type="dxa"/>
            <w:shd w:val="clear" w:color="auto" w:fill="auto"/>
          </w:tcPr>
          <w:p w:rsidR="005E745A" w:rsidRPr="00025064" w:rsidRDefault="005E745A" w:rsidP="005E745A">
            <w:pPr>
              <w:jc w:val="left"/>
              <w:rPr>
                <w:b/>
                <w:szCs w:val="24"/>
              </w:rPr>
            </w:pPr>
            <w:r w:rsidRPr="00025064">
              <w:rPr>
                <w:b/>
                <w:sz w:val="24"/>
                <w:szCs w:val="24"/>
              </w:rPr>
              <w:t>Number of</w:t>
            </w:r>
            <w:r>
              <w:rPr>
                <w:b/>
                <w:sz w:val="24"/>
                <w:szCs w:val="24"/>
              </w:rPr>
              <w:t xml:space="preserve"> Expected Participants</w:t>
            </w:r>
          </w:p>
        </w:tc>
      </w:tr>
      <w:tr w:rsidR="005E745A" w:rsidRPr="00F53662" w:rsidTr="00F76EA3">
        <w:tc>
          <w:tcPr>
            <w:tcW w:w="2538" w:type="dxa"/>
          </w:tcPr>
          <w:p w:rsidR="005E745A" w:rsidRPr="00F53662" w:rsidRDefault="005E745A" w:rsidP="00756F00">
            <w:pPr>
              <w:pStyle w:val="a"/>
              <w:spacing w:line="240" w:lineRule="atLeast"/>
              <w:ind w:left="0"/>
              <w:jc w:val="both"/>
              <w:rPr>
                <w:szCs w:val="24"/>
              </w:rPr>
            </w:pPr>
            <w:r w:rsidRPr="00F53662">
              <w:rPr>
                <w:szCs w:val="24"/>
              </w:rPr>
              <w:t>Web Survey</w:t>
            </w:r>
          </w:p>
        </w:tc>
        <w:tc>
          <w:tcPr>
            <w:tcW w:w="2700" w:type="dxa"/>
            <w:shd w:val="clear" w:color="auto" w:fill="auto"/>
          </w:tcPr>
          <w:p w:rsidR="005E745A" w:rsidRPr="00F53662" w:rsidRDefault="008715D7" w:rsidP="008715D7">
            <w:pPr>
              <w:pStyle w:val="a"/>
              <w:spacing w:line="240" w:lineRule="atLeast"/>
              <w:ind w:left="0"/>
              <w:jc w:val="center"/>
            </w:pPr>
            <w:r>
              <w:t>131</w:t>
            </w:r>
          </w:p>
        </w:tc>
        <w:tc>
          <w:tcPr>
            <w:tcW w:w="2700" w:type="dxa"/>
            <w:shd w:val="clear" w:color="auto" w:fill="auto"/>
          </w:tcPr>
          <w:p w:rsidR="005E745A" w:rsidRPr="00F53662" w:rsidRDefault="008715D7" w:rsidP="00756F00">
            <w:pPr>
              <w:pStyle w:val="a"/>
              <w:spacing w:line="240" w:lineRule="atLeast"/>
              <w:ind w:left="0"/>
              <w:jc w:val="center"/>
            </w:pPr>
            <w:r>
              <w:t>107</w:t>
            </w:r>
          </w:p>
        </w:tc>
      </w:tr>
      <w:tr w:rsidR="005E745A" w:rsidRPr="00481EA5" w:rsidTr="00F76EA3">
        <w:tc>
          <w:tcPr>
            <w:tcW w:w="2538" w:type="dxa"/>
          </w:tcPr>
          <w:p w:rsidR="005E745A" w:rsidRPr="00481EA5" w:rsidRDefault="005E745A" w:rsidP="00756F00">
            <w:pPr>
              <w:pStyle w:val="a"/>
              <w:spacing w:line="240" w:lineRule="atLeast"/>
              <w:ind w:left="0"/>
              <w:jc w:val="both"/>
              <w:rPr>
                <w:szCs w:val="24"/>
              </w:rPr>
            </w:pPr>
            <w:r w:rsidRPr="00481EA5">
              <w:rPr>
                <w:szCs w:val="24"/>
              </w:rPr>
              <w:t>Telephone Interview</w:t>
            </w:r>
          </w:p>
        </w:tc>
        <w:tc>
          <w:tcPr>
            <w:tcW w:w="2700" w:type="dxa"/>
            <w:shd w:val="clear" w:color="auto" w:fill="auto"/>
          </w:tcPr>
          <w:p w:rsidR="005E745A" w:rsidRPr="00481EA5" w:rsidRDefault="008715D7" w:rsidP="00756F00">
            <w:pPr>
              <w:pStyle w:val="a"/>
              <w:spacing w:line="240" w:lineRule="atLeast"/>
              <w:ind w:left="0"/>
              <w:jc w:val="center"/>
            </w:pPr>
            <w:r>
              <w:t>13</w:t>
            </w:r>
            <w:r w:rsidR="0014310E">
              <w:t>1</w:t>
            </w:r>
          </w:p>
        </w:tc>
        <w:tc>
          <w:tcPr>
            <w:tcW w:w="2700" w:type="dxa"/>
            <w:shd w:val="clear" w:color="auto" w:fill="auto"/>
          </w:tcPr>
          <w:p w:rsidR="005E745A" w:rsidRPr="00481EA5" w:rsidRDefault="008715D7" w:rsidP="00756F00">
            <w:pPr>
              <w:pStyle w:val="a"/>
              <w:spacing w:line="240" w:lineRule="atLeast"/>
              <w:ind w:left="0"/>
              <w:jc w:val="center"/>
            </w:pPr>
            <w:r>
              <w:t>5</w:t>
            </w:r>
            <w:r w:rsidR="0014310E">
              <w:t>6</w:t>
            </w:r>
          </w:p>
        </w:tc>
      </w:tr>
      <w:tr w:rsidR="005E745A" w:rsidRPr="00481EA5" w:rsidTr="00F76EA3">
        <w:tc>
          <w:tcPr>
            <w:tcW w:w="2538" w:type="dxa"/>
          </w:tcPr>
          <w:p w:rsidR="005E745A" w:rsidRPr="00481EA5" w:rsidRDefault="005E745A" w:rsidP="00756F00">
            <w:pPr>
              <w:pStyle w:val="a"/>
              <w:spacing w:line="240" w:lineRule="atLeast"/>
              <w:ind w:left="0"/>
              <w:jc w:val="both"/>
              <w:rPr>
                <w:szCs w:val="24"/>
              </w:rPr>
            </w:pPr>
            <w:r w:rsidRPr="00481EA5">
              <w:rPr>
                <w:szCs w:val="24"/>
              </w:rPr>
              <w:t>Expert Panel</w:t>
            </w:r>
          </w:p>
        </w:tc>
        <w:tc>
          <w:tcPr>
            <w:tcW w:w="2700" w:type="dxa"/>
            <w:shd w:val="clear" w:color="auto" w:fill="auto"/>
          </w:tcPr>
          <w:p w:rsidR="005E745A" w:rsidRPr="00481EA5" w:rsidRDefault="008715D7" w:rsidP="00756F00">
            <w:pPr>
              <w:pStyle w:val="a"/>
              <w:spacing w:line="240" w:lineRule="atLeast"/>
              <w:ind w:left="0"/>
              <w:jc w:val="center"/>
            </w:pPr>
            <w:r>
              <w:t>60</w:t>
            </w:r>
          </w:p>
        </w:tc>
        <w:tc>
          <w:tcPr>
            <w:tcW w:w="2700" w:type="dxa"/>
            <w:shd w:val="clear" w:color="auto" w:fill="auto"/>
          </w:tcPr>
          <w:p w:rsidR="005E745A" w:rsidRPr="00481EA5" w:rsidRDefault="005E745A" w:rsidP="00756F00">
            <w:pPr>
              <w:pStyle w:val="a"/>
              <w:spacing w:line="240" w:lineRule="atLeast"/>
              <w:ind w:left="0"/>
              <w:jc w:val="center"/>
            </w:pPr>
            <w:r w:rsidRPr="00481EA5">
              <w:t>1</w:t>
            </w:r>
            <w:r w:rsidR="008715D7">
              <w:t>8</w:t>
            </w:r>
          </w:p>
        </w:tc>
      </w:tr>
    </w:tbl>
    <w:p w:rsidR="005E745A" w:rsidRDefault="005E745A" w:rsidP="00584FC5">
      <w:pPr>
        <w:pStyle w:val="BodyTextIndent"/>
        <w:spacing w:after="0" w:line="480" w:lineRule="auto"/>
        <w:ind w:left="0" w:firstLine="720"/>
        <w:jc w:val="left"/>
        <w:rPr>
          <w:sz w:val="24"/>
          <w:szCs w:val="24"/>
        </w:rPr>
      </w:pPr>
    </w:p>
    <w:p w:rsidR="000962BB" w:rsidRDefault="00E41609" w:rsidP="00D55A04">
      <w:pPr>
        <w:pStyle w:val="Heading2"/>
        <w:tabs>
          <w:tab w:val="left" w:pos="720"/>
        </w:tabs>
        <w:spacing w:after="0" w:line="480" w:lineRule="auto"/>
        <w:ind w:left="0" w:firstLine="0"/>
        <w:rPr>
          <w:b w:val="0"/>
          <w:sz w:val="24"/>
          <w:szCs w:val="24"/>
        </w:rPr>
      </w:pPr>
      <w:bookmarkStart w:id="11" w:name="_Toc443881764"/>
      <w:bookmarkStart w:id="12" w:name="_Toc451592251"/>
      <w:bookmarkStart w:id="13" w:name="_Toc5610292"/>
      <w:bookmarkStart w:id="14" w:name="_Toc99178798"/>
      <w:bookmarkStart w:id="15" w:name="_Toc358383274"/>
      <w:r w:rsidRPr="00E85041">
        <w:rPr>
          <w:sz w:val="24"/>
          <w:szCs w:val="24"/>
        </w:rPr>
        <w:t>B.</w:t>
      </w:r>
      <w:r w:rsidR="000962BB" w:rsidRPr="00E85041">
        <w:rPr>
          <w:sz w:val="24"/>
          <w:szCs w:val="24"/>
        </w:rPr>
        <w:t>2</w:t>
      </w:r>
      <w:r w:rsidRPr="00E85041">
        <w:rPr>
          <w:sz w:val="24"/>
          <w:szCs w:val="24"/>
        </w:rPr>
        <w:tab/>
      </w:r>
      <w:r w:rsidR="000962BB" w:rsidRPr="00E85041">
        <w:rPr>
          <w:sz w:val="24"/>
          <w:szCs w:val="24"/>
        </w:rPr>
        <w:t>Procedures for the Collection of Information</w:t>
      </w:r>
      <w:bookmarkEnd w:id="11"/>
      <w:bookmarkEnd w:id="12"/>
      <w:bookmarkEnd w:id="13"/>
      <w:bookmarkEnd w:id="14"/>
      <w:bookmarkEnd w:id="15"/>
    </w:p>
    <w:p w:rsidR="00B26E02" w:rsidRDefault="00A83FC9" w:rsidP="00B26E02">
      <w:pPr>
        <w:pStyle w:val="P1-StandPara"/>
        <w:rPr>
          <w:sz w:val="24"/>
          <w:szCs w:val="24"/>
        </w:rPr>
      </w:pPr>
      <w:r w:rsidRPr="002D099F">
        <w:rPr>
          <w:sz w:val="24"/>
          <w:szCs w:val="24"/>
        </w:rPr>
        <w:t xml:space="preserve">Data collection procedures </w:t>
      </w:r>
      <w:r w:rsidR="005320C2">
        <w:rPr>
          <w:sz w:val="24"/>
          <w:szCs w:val="24"/>
        </w:rPr>
        <w:t>for the web-based survey</w:t>
      </w:r>
      <w:r w:rsidR="00B26E02">
        <w:rPr>
          <w:sz w:val="24"/>
          <w:szCs w:val="24"/>
        </w:rPr>
        <w:t>,</w:t>
      </w:r>
      <w:r w:rsidR="005320C2">
        <w:rPr>
          <w:sz w:val="24"/>
          <w:szCs w:val="24"/>
        </w:rPr>
        <w:t xml:space="preserve"> the telephone interview </w:t>
      </w:r>
      <w:r w:rsidR="00B26E02">
        <w:rPr>
          <w:sz w:val="24"/>
          <w:szCs w:val="24"/>
        </w:rPr>
        <w:t xml:space="preserve">and the expert panel are outlined below. </w:t>
      </w:r>
      <w:r w:rsidR="0029419E">
        <w:rPr>
          <w:sz w:val="24"/>
          <w:szCs w:val="24"/>
        </w:rPr>
        <w:t>Within t</w:t>
      </w:r>
      <w:r w:rsidR="00584FC5">
        <w:rPr>
          <w:sz w:val="24"/>
          <w:szCs w:val="24"/>
        </w:rPr>
        <w:t>hree</w:t>
      </w:r>
      <w:r w:rsidR="009A5E43">
        <w:rPr>
          <w:sz w:val="24"/>
          <w:szCs w:val="24"/>
        </w:rPr>
        <w:t xml:space="preserve"> weeks of</w:t>
      </w:r>
      <w:r w:rsidR="00B26E02" w:rsidRPr="00000E78">
        <w:rPr>
          <w:sz w:val="24"/>
          <w:szCs w:val="24"/>
        </w:rPr>
        <w:t xml:space="preserve"> OMB approval, </w:t>
      </w:r>
      <w:r w:rsidR="00B26E02">
        <w:rPr>
          <w:sz w:val="24"/>
          <w:szCs w:val="24"/>
        </w:rPr>
        <w:t>all PIs, Co-PIs and Affiliated Partners wi</w:t>
      </w:r>
      <w:r w:rsidR="00B26E02" w:rsidRPr="00000E78">
        <w:rPr>
          <w:sz w:val="24"/>
          <w:szCs w:val="24"/>
        </w:rPr>
        <w:t>th a valid email address will be sent a</w:t>
      </w:r>
      <w:r w:rsidR="00B26E02">
        <w:rPr>
          <w:sz w:val="24"/>
          <w:szCs w:val="24"/>
        </w:rPr>
        <w:t xml:space="preserve">n </w:t>
      </w:r>
      <w:r w:rsidR="00B04BC5">
        <w:rPr>
          <w:sz w:val="24"/>
          <w:szCs w:val="24"/>
        </w:rPr>
        <w:t xml:space="preserve">NCI email </w:t>
      </w:r>
      <w:r w:rsidR="001A4AB2">
        <w:rPr>
          <w:sz w:val="24"/>
          <w:szCs w:val="24"/>
        </w:rPr>
        <w:t xml:space="preserve">study </w:t>
      </w:r>
      <w:r w:rsidR="00B26E02">
        <w:rPr>
          <w:sz w:val="24"/>
          <w:szCs w:val="24"/>
        </w:rPr>
        <w:t>announcement about the SCTC Process Evaluation (</w:t>
      </w:r>
      <w:r w:rsidR="00B26E02" w:rsidRPr="000F7A84">
        <w:rPr>
          <w:b/>
          <w:sz w:val="24"/>
          <w:szCs w:val="24"/>
        </w:rPr>
        <w:t xml:space="preserve">Attachment </w:t>
      </w:r>
      <w:r w:rsidR="00B534F5">
        <w:rPr>
          <w:b/>
          <w:sz w:val="24"/>
          <w:szCs w:val="24"/>
        </w:rPr>
        <w:t>1</w:t>
      </w:r>
      <w:r w:rsidR="0014310E">
        <w:rPr>
          <w:b/>
          <w:sz w:val="24"/>
          <w:szCs w:val="24"/>
        </w:rPr>
        <w:t>4</w:t>
      </w:r>
      <w:r w:rsidR="00B26E02">
        <w:rPr>
          <w:sz w:val="24"/>
          <w:szCs w:val="24"/>
        </w:rPr>
        <w:t>).</w:t>
      </w:r>
      <w:r w:rsidR="008B684C">
        <w:rPr>
          <w:sz w:val="24"/>
          <w:szCs w:val="24"/>
        </w:rPr>
        <w:t xml:space="preserve"> Please note that while as described below some non-responders may be contacted several times in the course of the study, the majority wil</w:t>
      </w:r>
      <w:r w:rsidR="006E2850">
        <w:rPr>
          <w:sz w:val="24"/>
          <w:szCs w:val="24"/>
        </w:rPr>
        <w:t>l</w:t>
      </w:r>
      <w:r w:rsidR="008B684C">
        <w:rPr>
          <w:sz w:val="24"/>
          <w:szCs w:val="24"/>
        </w:rPr>
        <w:t xml:space="preserve"> be contacted only once or twice for each survey or interview administration. Given study participant involvement in the SCTC initiative we expect response rates throughout the </w:t>
      </w:r>
      <w:r w:rsidR="008B684C">
        <w:rPr>
          <w:sz w:val="24"/>
          <w:szCs w:val="24"/>
        </w:rPr>
        <w:lastRenderedPageBreak/>
        <w:t>evaluation to be fairly high and thus the need to re-contact individuals – especially the PIs and C</w:t>
      </w:r>
      <w:r w:rsidR="00CE13CF">
        <w:rPr>
          <w:sz w:val="24"/>
          <w:szCs w:val="24"/>
        </w:rPr>
        <w:t>o</w:t>
      </w:r>
      <w:r w:rsidR="008B684C">
        <w:rPr>
          <w:sz w:val="24"/>
          <w:szCs w:val="24"/>
        </w:rPr>
        <w:t>-PIs – to be minimal.</w:t>
      </w:r>
    </w:p>
    <w:p w:rsidR="00B26E02" w:rsidRDefault="00B26E02" w:rsidP="00B26E02">
      <w:pPr>
        <w:pStyle w:val="BodyTextIndent"/>
        <w:spacing w:after="0" w:line="480" w:lineRule="auto"/>
        <w:ind w:left="0" w:firstLine="720"/>
        <w:jc w:val="left"/>
        <w:rPr>
          <w:rFonts w:eastAsia="Batang"/>
          <w:color w:val="000000"/>
          <w:sz w:val="24"/>
          <w:szCs w:val="24"/>
        </w:rPr>
      </w:pPr>
      <w:r>
        <w:rPr>
          <w:rFonts w:eastAsia="Batang"/>
          <w:color w:val="000000"/>
          <w:sz w:val="24"/>
          <w:szCs w:val="24"/>
        </w:rPr>
        <w:t xml:space="preserve">Data collection procedures for the survey </w:t>
      </w:r>
      <w:r w:rsidR="00CE053E">
        <w:rPr>
          <w:rFonts w:eastAsia="Batang"/>
          <w:color w:val="000000"/>
          <w:sz w:val="24"/>
          <w:szCs w:val="24"/>
        </w:rPr>
        <w:t>are described below and presented in Table B.2-1</w:t>
      </w:r>
      <w:r>
        <w:rPr>
          <w:rFonts w:eastAsia="Batang"/>
          <w:color w:val="000000"/>
          <w:sz w:val="24"/>
          <w:szCs w:val="24"/>
        </w:rPr>
        <w:t>:</w:t>
      </w:r>
    </w:p>
    <w:p w:rsidR="00317754" w:rsidRDefault="00317754" w:rsidP="00317754">
      <w:pPr>
        <w:pStyle w:val="P1-StandPara"/>
        <w:numPr>
          <w:ilvl w:val="0"/>
          <w:numId w:val="17"/>
        </w:numPr>
        <w:spacing w:line="240" w:lineRule="auto"/>
        <w:rPr>
          <w:sz w:val="24"/>
          <w:szCs w:val="24"/>
        </w:rPr>
      </w:pPr>
      <w:r>
        <w:rPr>
          <w:sz w:val="24"/>
          <w:szCs w:val="24"/>
        </w:rPr>
        <w:t xml:space="preserve">Two weeks after the </w:t>
      </w:r>
      <w:r w:rsidR="000B358C">
        <w:rPr>
          <w:sz w:val="24"/>
          <w:szCs w:val="24"/>
        </w:rPr>
        <w:t xml:space="preserve">NCI </w:t>
      </w:r>
      <w:r>
        <w:rPr>
          <w:sz w:val="24"/>
          <w:szCs w:val="24"/>
        </w:rPr>
        <w:t>email announcement</w:t>
      </w:r>
      <w:r w:rsidR="005320C2">
        <w:rPr>
          <w:sz w:val="24"/>
          <w:szCs w:val="24"/>
        </w:rPr>
        <w:t xml:space="preserve">, </w:t>
      </w:r>
      <w:r w:rsidR="00381703">
        <w:rPr>
          <w:sz w:val="24"/>
          <w:szCs w:val="24"/>
        </w:rPr>
        <w:t>potential participants</w:t>
      </w:r>
      <w:r w:rsidR="005320C2">
        <w:rPr>
          <w:sz w:val="24"/>
          <w:szCs w:val="24"/>
        </w:rPr>
        <w:t xml:space="preserve"> </w:t>
      </w:r>
      <w:r w:rsidR="00381703">
        <w:rPr>
          <w:sz w:val="24"/>
          <w:szCs w:val="24"/>
        </w:rPr>
        <w:t>for</w:t>
      </w:r>
      <w:r w:rsidR="005320C2">
        <w:rPr>
          <w:sz w:val="24"/>
          <w:szCs w:val="24"/>
        </w:rPr>
        <w:t xml:space="preserve"> the web-based survey will be sent an email invitation </w:t>
      </w:r>
      <w:r w:rsidR="00381703">
        <w:rPr>
          <w:sz w:val="24"/>
          <w:szCs w:val="24"/>
        </w:rPr>
        <w:t>to participate</w:t>
      </w:r>
      <w:r w:rsidR="009F5BB0" w:rsidRPr="005320C2">
        <w:rPr>
          <w:sz w:val="24"/>
          <w:szCs w:val="24"/>
        </w:rPr>
        <w:t>.</w:t>
      </w:r>
      <w:r w:rsidR="00381703">
        <w:rPr>
          <w:sz w:val="24"/>
          <w:szCs w:val="24"/>
        </w:rPr>
        <w:t xml:space="preserve"> </w:t>
      </w:r>
      <w:r w:rsidRPr="002D099F">
        <w:rPr>
          <w:sz w:val="24"/>
          <w:szCs w:val="24"/>
        </w:rPr>
        <w:t xml:space="preserve">The invitation letter requests the individual’s participation, introduces the purpose of the survey, includes instructions on how to </w:t>
      </w:r>
      <w:r w:rsidR="000F7A84">
        <w:rPr>
          <w:sz w:val="24"/>
          <w:szCs w:val="24"/>
        </w:rPr>
        <w:t>participate</w:t>
      </w:r>
      <w:r w:rsidRPr="002D099F">
        <w:rPr>
          <w:sz w:val="24"/>
          <w:szCs w:val="24"/>
        </w:rPr>
        <w:t>, and provides contact information in case of queries (</w:t>
      </w:r>
      <w:r w:rsidRPr="002D099F">
        <w:rPr>
          <w:b/>
          <w:sz w:val="24"/>
          <w:szCs w:val="24"/>
        </w:rPr>
        <w:t xml:space="preserve">Attachment </w:t>
      </w:r>
      <w:r w:rsidR="00B534F5">
        <w:rPr>
          <w:b/>
          <w:sz w:val="24"/>
          <w:szCs w:val="24"/>
        </w:rPr>
        <w:t>1</w:t>
      </w:r>
      <w:r w:rsidR="0014310E">
        <w:rPr>
          <w:b/>
          <w:sz w:val="24"/>
          <w:szCs w:val="24"/>
        </w:rPr>
        <w:t>5</w:t>
      </w:r>
      <w:r w:rsidR="00A3429F">
        <w:rPr>
          <w:b/>
          <w:sz w:val="24"/>
          <w:szCs w:val="24"/>
        </w:rPr>
        <w:t>-</w:t>
      </w:r>
      <w:r w:rsidR="009C707F">
        <w:rPr>
          <w:b/>
          <w:sz w:val="24"/>
          <w:szCs w:val="24"/>
        </w:rPr>
        <w:t>1</w:t>
      </w:r>
      <w:r w:rsidR="0014310E">
        <w:rPr>
          <w:b/>
          <w:sz w:val="24"/>
          <w:szCs w:val="24"/>
        </w:rPr>
        <w:t>6</w:t>
      </w:r>
      <w:r w:rsidRPr="002D099F">
        <w:rPr>
          <w:sz w:val="24"/>
          <w:szCs w:val="24"/>
        </w:rPr>
        <w:t>).</w:t>
      </w:r>
    </w:p>
    <w:p w:rsidR="00C7666B" w:rsidRDefault="00C7666B" w:rsidP="00C7666B">
      <w:pPr>
        <w:pStyle w:val="P1-StandPara"/>
        <w:spacing w:line="240" w:lineRule="auto"/>
        <w:ind w:left="1440" w:firstLine="0"/>
        <w:rPr>
          <w:sz w:val="24"/>
          <w:szCs w:val="24"/>
        </w:rPr>
      </w:pPr>
    </w:p>
    <w:p w:rsidR="00A13422" w:rsidRDefault="000F7A84" w:rsidP="002D099F">
      <w:pPr>
        <w:pStyle w:val="P1-StandPara"/>
        <w:numPr>
          <w:ilvl w:val="0"/>
          <w:numId w:val="17"/>
        </w:numPr>
        <w:spacing w:line="240" w:lineRule="auto"/>
        <w:rPr>
          <w:sz w:val="24"/>
          <w:szCs w:val="24"/>
        </w:rPr>
      </w:pPr>
      <w:r>
        <w:rPr>
          <w:sz w:val="24"/>
          <w:szCs w:val="24"/>
        </w:rPr>
        <w:t>One week</w:t>
      </w:r>
      <w:r w:rsidR="009F5BB0" w:rsidRPr="002D099F">
        <w:rPr>
          <w:sz w:val="24"/>
          <w:szCs w:val="24"/>
        </w:rPr>
        <w:t xml:space="preserve"> after the email </w:t>
      </w:r>
      <w:r>
        <w:rPr>
          <w:sz w:val="24"/>
          <w:szCs w:val="24"/>
        </w:rPr>
        <w:t>invitation</w:t>
      </w:r>
      <w:r w:rsidR="009F5BB0" w:rsidRPr="002D099F">
        <w:rPr>
          <w:sz w:val="24"/>
          <w:szCs w:val="24"/>
        </w:rPr>
        <w:t>, a</w:t>
      </w:r>
      <w:r>
        <w:rPr>
          <w:sz w:val="24"/>
          <w:szCs w:val="24"/>
        </w:rPr>
        <w:t xml:space="preserve"> reminder </w:t>
      </w:r>
      <w:r w:rsidR="009F5BB0" w:rsidRPr="002D099F">
        <w:rPr>
          <w:sz w:val="24"/>
          <w:szCs w:val="24"/>
        </w:rPr>
        <w:t xml:space="preserve">email letter will be sent </w:t>
      </w:r>
      <w:r w:rsidR="000B358C">
        <w:rPr>
          <w:sz w:val="24"/>
          <w:szCs w:val="24"/>
        </w:rPr>
        <w:t xml:space="preserve">only </w:t>
      </w:r>
      <w:r w:rsidR="009F5BB0" w:rsidRPr="002D099F">
        <w:rPr>
          <w:sz w:val="24"/>
          <w:szCs w:val="24"/>
        </w:rPr>
        <w:t xml:space="preserve">to </w:t>
      </w:r>
      <w:r>
        <w:rPr>
          <w:sz w:val="24"/>
          <w:szCs w:val="24"/>
        </w:rPr>
        <w:t>non-responders</w:t>
      </w:r>
      <w:r w:rsidR="009F5BB0" w:rsidRPr="002D099F">
        <w:rPr>
          <w:sz w:val="24"/>
          <w:szCs w:val="24"/>
        </w:rPr>
        <w:t xml:space="preserve"> to encourage participation in the study. </w:t>
      </w:r>
      <w:r>
        <w:rPr>
          <w:sz w:val="24"/>
          <w:szCs w:val="24"/>
        </w:rPr>
        <w:t>The reminder email</w:t>
      </w:r>
      <w:r w:rsidR="009F5BB0" w:rsidRPr="002D099F">
        <w:rPr>
          <w:sz w:val="24"/>
          <w:szCs w:val="24"/>
        </w:rPr>
        <w:t xml:space="preserve"> requests the individual’s participation, and provides contact information in case of queries</w:t>
      </w:r>
      <w:r w:rsidR="00A13422" w:rsidRPr="002D099F">
        <w:rPr>
          <w:sz w:val="24"/>
          <w:szCs w:val="24"/>
        </w:rPr>
        <w:t xml:space="preserve"> </w:t>
      </w:r>
      <w:r w:rsidR="009F5BB0" w:rsidRPr="002D099F">
        <w:rPr>
          <w:sz w:val="24"/>
          <w:szCs w:val="24"/>
        </w:rPr>
        <w:t>(</w:t>
      </w:r>
      <w:r w:rsidR="009F5BB0" w:rsidRPr="002D099F">
        <w:rPr>
          <w:b/>
          <w:sz w:val="24"/>
          <w:szCs w:val="24"/>
        </w:rPr>
        <w:t xml:space="preserve">Attachment </w:t>
      </w:r>
      <w:r w:rsidR="009C707F">
        <w:rPr>
          <w:b/>
          <w:sz w:val="24"/>
          <w:szCs w:val="24"/>
        </w:rPr>
        <w:t>2</w:t>
      </w:r>
      <w:r w:rsidR="0014310E">
        <w:rPr>
          <w:b/>
          <w:sz w:val="24"/>
          <w:szCs w:val="24"/>
        </w:rPr>
        <w:t>0</w:t>
      </w:r>
      <w:r w:rsidR="00A3429F">
        <w:rPr>
          <w:b/>
          <w:sz w:val="24"/>
          <w:szCs w:val="24"/>
        </w:rPr>
        <w:t>-</w:t>
      </w:r>
      <w:r w:rsidR="009C707F">
        <w:rPr>
          <w:b/>
          <w:sz w:val="24"/>
          <w:szCs w:val="24"/>
        </w:rPr>
        <w:t>2</w:t>
      </w:r>
      <w:r w:rsidR="0014310E">
        <w:rPr>
          <w:b/>
          <w:sz w:val="24"/>
          <w:szCs w:val="24"/>
        </w:rPr>
        <w:t>1</w:t>
      </w:r>
      <w:r w:rsidR="009F5BB0" w:rsidRPr="002D099F">
        <w:rPr>
          <w:sz w:val="24"/>
          <w:szCs w:val="24"/>
        </w:rPr>
        <w:t>).</w:t>
      </w:r>
    </w:p>
    <w:p w:rsidR="00B04BC5" w:rsidRDefault="00B04BC5" w:rsidP="00B04BC5">
      <w:pPr>
        <w:pStyle w:val="P1-StandPara"/>
        <w:spacing w:line="240" w:lineRule="auto"/>
        <w:ind w:firstLine="0"/>
        <w:rPr>
          <w:sz w:val="24"/>
          <w:szCs w:val="24"/>
        </w:rPr>
      </w:pPr>
    </w:p>
    <w:p w:rsidR="009F2679" w:rsidRDefault="00B26E02" w:rsidP="009F2679">
      <w:pPr>
        <w:pStyle w:val="P1-StandPara"/>
        <w:numPr>
          <w:ilvl w:val="0"/>
          <w:numId w:val="17"/>
        </w:numPr>
        <w:spacing w:line="240" w:lineRule="auto"/>
        <w:rPr>
          <w:sz w:val="24"/>
          <w:szCs w:val="24"/>
        </w:rPr>
      </w:pPr>
      <w:r>
        <w:rPr>
          <w:sz w:val="24"/>
          <w:szCs w:val="24"/>
        </w:rPr>
        <w:t>One week</w:t>
      </w:r>
      <w:r w:rsidRPr="002D099F">
        <w:rPr>
          <w:sz w:val="24"/>
          <w:szCs w:val="24"/>
        </w:rPr>
        <w:t xml:space="preserve"> after the </w:t>
      </w:r>
      <w:r w:rsidR="00B04BC5">
        <w:rPr>
          <w:sz w:val="24"/>
          <w:szCs w:val="24"/>
        </w:rPr>
        <w:t>first reminder email</w:t>
      </w:r>
      <w:r w:rsidRPr="002D099F">
        <w:rPr>
          <w:sz w:val="24"/>
          <w:szCs w:val="24"/>
        </w:rPr>
        <w:t>, a</w:t>
      </w:r>
      <w:r>
        <w:rPr>
          <w:sz w:val="24"/>
          <w:szCs w:val="24"/>
        </w:rPr>
        <w:t xml:space="preserve"> </w:t>
      </w:r>
      <w:r w:rsidR="005337D4">
        <w:rPr>
          <w:sz w:val="24"/>
          <w:szCs w:val="24"/>
        </w:rPr>
        <w:t xml:space="preserve">second </w:t>
      </w:r>
      <w:r>
        <w:rPr>
          <w:sz w:val="24"/>
          <w:szCs w:val="24"/>
        </w:rPr>
        <w:t xml:space="preserve">reminder </w:t>
      </w:r>
      <w:r w:rsidRPr="002D099F">
        <w:rPr>
          <w:sz w:val="24"/>
          <w:szCs w:val="24"/>
        </w:rPr>
        <w:t xml:space="preserve">email letter will be sent </w:t>
      </w:r>
      <w:r w:rsidR="000B358C">
        <w:rPr>
          <w:sz w:val="24"/>
          <w:szCs w:val="24"/>
        </w:rPr>
        <w:t>only to remaining n</w:t>
      </w:r>
      <w:r>
        <w:rPr>
          <w:sz w:val="24"/>
          <w:szCs w:val="24"/>
        </w:rPr>
        <w:t>on-responders</w:t>
      </w:r>
      <w:r w:rsidRPr="002D099F">
        <w:rPr>
          <w:sz w:val="24"/>
          <w:szCs w:val="24"/>
        </w:rPr>
        <w:t xml:space="preserve"> to encourage participation in the study. </w:t>
      </w:r>
      <w:r>
        <w:rPr>
          <w:sz w:val="24"/>
          <w:szCs w:val="24"/>
        </w:rPr>
        <w:t>The reminder email</w:t>
      </w:r>
      <w:r w:rsidRPr="002D099F">
        <w:rPr>
          <w:sz w:val="24"/>
          <w:szCs w:val="24"/>
        </w:rPr>
        <w:t xml:space="preserve"> requests the individual’s participation, and provides contact information in case of queries (</w:t>
      </w:r>
      <w:r w:rsidRPr="002D099F">
        <w:rPr>
          <w:b/>
          <w:sz w:val="24"/>
          <w:szCs w:val="24"/>
        </w:rPr>
        <w:t xml:space="preserve">Attachment </w:t>
      </w:r>
      <w:r w:rsidR="00A3429F">
        <w:rPr>
          <w:b/>
          <w:sz w:val="24"/>
          <w:szCs w:val="24"/>
        </w:rPr>
        <w:t>2</w:t>
      </w:r>
      <w:r w:rsidR="0014310E">
        <w:rPr>
          <w:b/>
          <w:sz w:val="24"/>
          <w:szCs w:val="24"/>
        </w:rPr>
        <w:t>0</w:t>
      </w:r>
      <w:r w:rsidR="00A3429F">
        <w:rPr>
          <w:b/>
          <w:sz w:val="24"/>
          <w:szCs w:val="24"/>
        </w:rPr>
        <w:t>-</w:t>
      </w:r>
      <w:r w:rsidR="009C707F">
        <w:rPr>
          <w:b/>
          <w:sz w:val="24"/>
          <w:szCs w:val="24"/>
        </w:rPr>
        <w:t>2</w:t>
      </w:r>
      <w:r w:rsidR="0014310E">
        <w:rPr>
          <w:b/>
          <w:sz w:val="24"/>
          <w:szCs w:val="24"/>
        </w:rPr>
        <w:t>1</w:t>
      </w:r>
      <w:r w:rsidRPr="002D099F">
        <w:rPr>
          <w:sz w:val="24"/>
          <w:szCs w:val="24"/>
        </w:rPr>
        <w:t>).</w:t>
      </w:r>
    </w:p>
    <w:p w:rsidR="009F2679" w:rsidRDefault="009F2679" w:rsidP="009F2679">
      <w:pPr>
        <w:pStyle w:val="P1-StandPara"/>
        <w:spacing w:line="240" w:lineRule="auto"/>
        <w:ind w:firstLine="0"/>
        <w:rPr>
          <w:sz w:val="24"/>
          <w:szCs w:val="24"/>
        </w:rPr>
      </w:pPr>
    </w:p>
    <w:p w:rsidR="00437E2C" w:rsidRPr="009F2679" w:rsidRDefault="000F7A84" w:rsidP="009F2679">
      <w:pPr>
        <w:pStyle w:val="P1-StandPara"/>
        <w:numPr>
          <w:ilvl w:val="0"/>
          <w:numId w:val="17"/>
        </w:numPr>
        <w:spacing w:line="240" w:lineRule="auto"/>
        <w:rPr>
          <w:sz w:val="24"/>
          <w:szCs w:val="24"/>
        </w:rPr>
      </w:pPr>
      <w:r w:rsidRPr="009F2679">
        <w:rPr>
          <w:sz w:val="24"/>
          <w:szCs w:val="24"/>
        </w:rPr>
        <w:t xml:space="preserve">One week after the </w:t>
      </w:r>
      <w:r w:rsidR="005337D4" w:rsidRPr="009F2679">
        <w:rPr>
          <w:sz w:val="24"/>
          <w:szCs w:val="24"/>
        </w:rPr>
        <w:t>second</w:t>
      </w:r>
      <w:r w:rsidR="009A5E43" w:rsidRPr="009F2679">
        <w:rPr>
          <w:sz w:val="24"/>
          <w:szCs w:val="24"/>
        </w:rPr>
        <w:t xml:space="preserve"> </w:t>
      </w:r>
      <w:r w:rsidRPr="009F2679">
        <w:rPr>
          <w:sz w:val="24"/>
          <w:szCs w:val="24"/>
        </w:rPr>
        <w:t xml:space="preserve">reminder email, </w:t>
      </w:r>
      <w:r w:rsidR="00A13422" w:rsidRPr="009F2679">
        <w:rPr>
          <w:sz w:val="24"/>
          <w:szCs w:val="24"/>
        </w:rPr>
        <w:t xml:space="preserve">telephone follow-up will be conducted </w:t>
      </w:r>
      <w:r w:rsidR="009F2679">
        <w:rPr>
          <w:sz w:val="24"/>
          <w:szCs w:val="24"/>
        </w:rPr>
        <w:t>with only the remaining</w:t>
      </w:r>
      <w:r w:rsidRPr="009F2679">
        <w:rPr>
          <w:sz w:val="24"/>
          <w:szCs w:val="24"/>
        </w:rPr>
        <w:t xml:space="preserve"> non-responders</w:t>
      </w:r>
      <w:r w:rsidR="00C4661C" w:rsidRPr="009F2679">
        <w:rPr>
          <w:sz w:val="24"/>
          <w:szCs w:val="24"/>
        </w:rPr>
        <w:t xml:space="preserve"> for whom there is a telephone number available</w:t>
      </w:r>
      <w:r w:rsidRPr="009F2679">
        <w:rPr>
          <w:sz w:val="24"/>
          <w:szCs w:val="24"/>
        </w:rPr>
        <w:t xml:space="preserve"> (</w:t>
      </w:r>
      <w:r w:rsidRPr="009F2679">
        <w:rPr>
          <w:b/>
          <w:sz w:val="24"/>
          <w:szCs w:val="24"/>
        </w:rPr>
        <w:t xml:space="preserve">Attachment </w:t>
      </w:r>
      <w:r w:rsidR="0094585C" w:rsidRPr="009F2679">
        <w:rPr>
          <w:b/>
          <w:sz w:val="24"/>
          <w:szCs w:val="24"/>
        </w:rPr>
        <w:t>2</w:t>
      </w:r>
      <w:r w:rsidR="0014310E">
        <w:rPr>
          <w:b/>
          <w:sz w:val="24"/>
          <w:szCs w:val="24"/>
        </w:rPr>
        <w:t>4</w:t>
      </w:r>
      <w:r w:rsidRPr="009F2679">
        <w:rPr>
          <w:sz w:val="24"/>
          <w:szCs w:val="24"/>
        </w:rPr>
        <w:t>)</w:t>
      </w:r>
      <w:r w:rsidR="00A13422" w:rsidRPr="009F2679">
        <w:rPr>
          <w:sz w:val="24"/>
          <w:szCs w:val="24"/>
        </w:rPr>
        <w:t>.</w:t>
      </w:r>
      <w:r w:rsidR="00C4661C" w:rsidRPr="009F2679">
        <w:rPr>
          <w:sz w:val="24"/>
          <w:szCs w:val="24"/>
        </w:rPr>
        <w:t xml:space="preserve"> If there is no telephone number available, </w:t>
      </w:r>
      <w:r w:rsidR="006E2850" w:rsidRPr="009F2679">
        <w:rPr>
          <w:sz w:val="24"/>
          <w:szCs w:val="24"/>
        </w:rPr>
        <w:t>a staff member will investigate (via Google and other databases</w:t>
      </w:r>
      <w:r w:rsidR="005154EE">
        <w:rPr>
          <w:sz w:val="24"/>
          <w:szCs w:val="24"/>
        </w:rPr>
        <w:t>)</w:t>
      </w:r>
      <w:r w:rsidR="006E2850" w:rsidRPr="009F2679">
        <w:rPr>
          <w:sz w:val="24"/>
          <w:szCs w:val="24"/>
        </w:rPr>
        <w:t xml:space="preserve"> the correct contact information.</w:t>
      </w:r>
      <w:r w:rsidR="00574033" w:rsidRPr="009F2679">
        <w:rPr>
          <w:sz w:val="24"/>
          <w:szCs w:val="24"/>
        </w:rPr>
        <w:t xml:space="preserve"> Section B.3.1 presents </w:t>
      </w:r>
      <w:r w:rsidR="005E4B27" w:rsidRPr="009F2679">
        <w:rPr>
          <w:sz w:val="24"/>
          <w:szCs w:val="24"/>
        </w:rPr>
        <w:t>the study methods to address non-response and maximize response rates.</w:t>
      </w:r>
    </w:p>
    <w:p w:rsidR="00CE053E" w:rsidRDefault="00CE053E" w:rsidP="00CE053E">
      <w:pPr>
        <w:pStyle w:val="ListParagraph"/>
        <w:rPr>
          <w:rFonts w:eastAsia="Batang"/>
          <w:color w:val="000000"/>
          <w:sz w:val="24"/>
          <w:szCs w:val="24"/>
        </w:rPr>
      </w:pPr>
    </w:p>
    <w:p w:rsidR="00CE053E" w:rsidRPr="00CE053E" w:rsidRDefault="00CE053E" w:rsidP="00CE053E">
      <w:pPr>
        <w:pStyle w:val="P1-StandPara"/>
        <w:spacing w:line="240" w:lineRule="auto"/>
        <w:ind w:left="720" w:firstLine="0"/>
        <w:rPr>
          <w:rFonts w:eastAsia="Batang"/>
          <w:color w:val="000000"/>
          <w:sz w:val="24"/>
          <w:szCs w:val="24"/>
        </w:rPr>
      </w:pPr>
      <w:r>
        <w:rPr>
          <w:rFonts w:eastAsia="Batang"/>
          <w:color w:val="000000"/>
          <w:sz w:val="24"/>
          <w:szCs w:val="24"/>
        </w:rPr>
        <w:t>Table B.2-1</w:t>
      </w:r>
      <w:r>
        <w:rPr>
          <w:rFonts w:eastAsia="Batang"/>
          <w:color w:val="000000"/>
          <w:sz w:val="24"/>
          <w:szCs w:val="24"/>
        </w:rPr>
        <w:tab/>
        <w:t>Procedures for Survey</w:t>
      </w:r>
    </w:p>
    <w:tbl>
      <w:tblPr>
        <w:tblW w:w="900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60"/>
        <w:gridCol w:w="6840"/>
      </w:tblGrid>
      <w:tr w:rsidR="003B5289" w:rsidRPr="00FC416F" w:rsidTr="00A20C48">
        <w:tc>
          <w:tcPr>
            <w:tcW w:w="2160" w:type="dxa"/>
          </w:tcPr>
          <w:p w:rsidR="003B5289" w:rsidRDefault="003B5289" w:rsidP="003B5289">
            <w:pPr>
              <w:rPr>
                <w:b/>
                <w:sz w:val="24"/>
                <w:szCs w:val="24"/>
              </w:rPr>
            </w:pPr>
            <w:r w:rsidRPr="00025064">
              <w:rPr>
                <w:b/>
                <w:sz w:val="24"/>
                <w:szCs w:val="24"/>
              </w:rPr>
              <w:t>Timeline</w:t>
            </w:r>
          </w:p>
          <w:p w:rsidR="0091149D" w:rsidRPr="00025064" w:rsidRDefault="0091149D" w:rsidP="003B5289">
            <w:pPr>
              <w:rPr>
                <w:b/>
                <w:sz w:val="24"/>
                <w:szCs w:val="24"/>
              </w:rPr>
            </w:pPr>
          </w:p>
        </w:tc>
        <w:tc>
          <w:tcPr>
            <w:tcW w:w="6840" w:type="dxa"/>
            <w:shd w:val="clear" w:color="auto" w:fill="auto"/>
          </w:tcPr>
          <w:p w:rsidR="003B5289" w:rsidRPr="00025064" w:rsidRDefault="003B5289" w:rsidP="00756F00">
            <w:pPr>
              <w:rPr>
                <w:b/>
                <w:sz w:val="24"/>
                <w:szCs w:val="24"/>
              </w:rPr>
            </w:pPr>
            <w:r w:rsidRPr="00025064">
              <w:rPr>
                <w:b/>
                <w:sz w:val="24"/>
                <w:szCs w:val="24"/>
              </w:rPr>
              <w:t>Activity</w:t>
            </w:r>
          </w:p>
        </w:tc>
      </w:tr>
      <w:tr w:rsidR="003B5289" w:rsidRPr="00FC416F" w:rsidTr="00A20C48">
        <w:tc>
          <w:tcPr>
            <w:tcW w:w="2160" w:type="dxa"/>
          </w:tcPr>
          <w:p w:rsidR="003B5289" w:rsidRPr="00FC416F" w:rsidRDefault="003B5289" w:rsidP="002A3DAC">
            <w:pPr>
              <w:jc w:val="left"/>
              <w:rPr>
                <w:sz w:val="24"/>
                <w:szCs w:val="24"/>
              </w:rPr>
            </w:pPr>
            <w:r>
              <w:rPr>
                <w:sz w:val="24"/>
                <w:szCs w:val="24"/>
              </w:rPr>
              <w:t>3 weeks</w:t>
            </w:r>
            <w:r w:rsidRPr="00FC416F">
              <w:rPr>
                <w:sz w:val="24"/>
                <w:szCs w:val="24"/>
              </w:rPr>
              <w:t xml:space="preserve"> </w:t>
            </w:r>
            <w:r w:rsidR="002A3DAC">
              <w:rPr>
                <w:sz w:val="24"/>
                <w:szCs w:val="24"/>
              </w:rPr>
              <w:t>after OMB approval</w:t>
            </w:r>
          </w:p>
        </w:tc>
        <w:tc>
          <w:tcPr>
            <w:tcW w:w="6840" w:type="dxa"/>
            <w:shd w:val="clear" w:color="auto" w:fill="auto"/>
          </w:tcPr>
          <w:p w:rsidR="003B5289" w:rsidRPr="00532744" w:rsidRDefault="00CE053E" w:rsidP="00CE053E">
            <w:pPr>
              <w:rPr>
                <w:sz w:val="24"/>
                <w:szCs w:val="24"/>
              </w:rPr>
            </w:pPr>
            <w:r>
              <w:rPr>
                <w:sz w:val="24"/>
                <w:szCs w:val="24"/>
              </w:rPr>
              <w:t>NCI e</w:t>
            </w:r>
            <w:r w:rsidR="003B5289" w:rsidRPr="00532744">
              <w:rPr>
                <w:sz w:val="24"/>
                <w:szCs w:val="24"/>
              </w:rPr>
              <w:t xml:space="preserve">mail </w:t>
            </w:r>
            <w:r>
              <w:rPr>
                <w:sz w:val="24"/>
                <w:szCs w:val="24"/>
              </w:rPr>
              <w:t xml:space="preserve">study </w:t>
            </w:r>
            <w:r w:rsidR="003B5289">
              <w:rPr>
                <w:sz w:val="24"/>
                <w:szCs w:val="24"/>
              </w:rPr>
              <w:t>announcement</w:t>
            </w:r>
            <w:r w:rsidR="003B5289" w:rsidRPr="00532744">
              <w:rPr>
                <w:sz w:val="24"/>
                <w:szCs w:val="24"/>
              </w:rPr>
              <w:t xml:space="preserve"> sent </w:t>
            </w:r>
            <w:r>
              <w:rPr>
                <w:sz w:val="24"/>
                <w:szCs w:val="24"/>
              </w:rPr>
              <w:t>to all potential participants</w:t>
            </w:r>
          </w:p>
        </w:tc>
      </w:tr>
      <w:tr w:rsidR="003B5289" w:rsidRPr="00FC416F" w:rsidTr="00A20C48">
        <w:tc>
          <w:tcPr>
            <w:tcW w:w="2160" w:type="dxa"/>
          </w:tcPr>
          <w:p w:rsidR="003B5289" w:rsidRPr="00FC416F" w:rsidRDefault="002A3DAC" w:rsidP="002A3DAC">
            <w:pPr>
              <w:rPr>
                <w:sz w:val="24"/>
                <w:szCs w:val="24"/>
              </w:rPr>
            </w:pPr>
            <w:r>
              <w:rPr>
                <w:sz w:val="24"/>
                <w:szCs w:val="24"/>
              </w:rPr>
              <w:t>2</w:t>
            </w:r>
            <w:r w:rsidR="003B5289">
              <w:rPr>
                <w:sz w:val="24"/>
                <w:szCs w:val="24"/>
              </w:rPr>
              <w:t xml:space="preserve"> weeks </w:t>
            </w:r>
            <w:r>
              <w:rPr>
                <w:sz w:val="24"/>
                <w:szCs w:val="24"/>
              </w:rPr>
              <w:t>later</w:t>
            </w:r>
          </w:p>
        </w:tc>
        <w:tc>
          <w:tcPr>
            <w:tcW w:w="6840" w:type="dxa"/>
            <w:shd w:val="clear" w:color="auto" w:fill="auto"/>
          </w:tcPr>
          <w:p w:rsidR="003B5289" w:rsidRPr="00532744" w:rsidRDefault="003B5289" w:rsidP="00CE053E">
            <w:pPr>
              <w:rPr>
                <w:sz w:val="24"/>
                <w:szCs w:val="24"/>
              </w:rPr>
            </w:pPr>
            <w:r w:rsidRPr="00532744">
              <w:rPr>
                <w:sz w:val="24"/>
                <w:szCs w:val="24"/>
              </w:rPr>
              <w:t xml:space="preserve">Email invitation letter </w:t>
            </w:r>
            <w:r>
              <w:rPr>
                <w:sz w:val="24"/>
                <w:szCs w:val="24"/>
              </w:rPr>
              <w:t xml:space="preserve">sent </w:t>
            </w:r>
            <w:r w:rsidR="00CE053E">
              <w:rPr>
                <w:sz w:val="24"/>
                <w:szCs w:val="24"/>
              </w:rPr>
              <w:t xml:space="preserve">to all potential participants </w:t>
            </w:r>
            <w:r>
              <w:rPr>
                <w:sz w:val="24"/>
                <w:szCs w:val="24"/>
              </w:rPr>
              <w:t>for</w:t>
            </w:r>
            <w:r w:rsidRPr="00532744">
              <w:rPr>
                <w:sz w:val="24"/>
                <w:szCs w:val="24"/>
              </w:rPr>
              <w:t xml:space="preserve"> </w:t>
            </w:r>
            <w:r>
              <w:rPr>
                <w:sz w:val="24"/>
                <w:szCs w:val="24"/>
              </w:rPr>
              <w:t>s</w:t>
            </w:r>
            <w:r w:rsidRPr="00532744">
              <w:rPr>
                <w:sz w:val="24"/>
                <w:szCs w:val="24"/>
              </w:rPr>
              <w:t>urvey</w:t>
            </w:r>
          </w:p>
        </w:tc>
      </w:tr>
      <w:tr w:rsidR="003B5289" w:rsidRPr="00FC416F" w:rsidTr="00A20C48">
        <w:tc>
          <w:tcPr>
            <w:tcW w:w="2160" w:type="dxa"/>
          </w:tcPr>
          <w:p w:rsidR="003B5289" w:rsidRDefault="00CE053E" w:rsidP="00CE053E">
            <w:pPr>
              <w:rPr>
                <w:sz w:val="24"/>
                <w:szCs w:val="24"/>
              </w:rPr>
            </w:pPr>
            <w:r>
              <w:rPr>
                <w:sz w:val="24"/>
                <w:szCs w:val="24"/>
              </w:rPr>
              <w:t>1 week later</w:t>
            </w:r>
            <w:r w:rsidR="003B5289">
              <w:rPr>
                <w:sz w:val="24"/>
                <w:szCs w:val="24"/>
              </w:rPr>
              <w:t xml:space="preserve"> </w:t>
            </w:r>
          </w:p>
        </w:tc>
        <w:tc>
          <w:tcPr>
            <w:tcW w:w="6840" w:type="dxa"/>
            <w:shd w:val="clear" w:color="auto" w:fill="auto"/>
          </w:tcPr>
          <w:p w:rsidR="003B5289" w:rsidRPr="00532744" w:rsidRDefault="003B5289" w:rsidP="00756F00">
            <w:pPr>
              <w:rPr>
                <w:sz w:val="24"/>
                <w:szCs w:val="24"/>
              </w:rPr>
            </w:pPr>
            <w:r>
              <w:rPr>
                <w:sz w:val="24"/>
                <w:szCs w:val="24"/>
              </w:rPr>
              <w:t xml:space="preserve">Reminder email notice sent </w:t>
            </w:r>
            <w:r w:rsidR="007554F8">
              <w:rPr>
                <w:sz w:val="24"/>
                <w:szCs w:val="24"/>
              </w:rPr>
              <w:t xml:space="preserve">only </w:t>
            </w:r>
            <w:r>
              <w:rPr>
                <w:sz w:val="24"/>
                <w:szCs w:val="24"/>
              </w:rPr>
              <w:t>to survey non-respondents</w:t>
            </w:r>
          </w:p>
        </w:tc>
      </w:tr>
      <w:tr w:rsidR="003B5289" w:rsidRPr="00FC416F" w:rsidTr="00A20C48">
        <w:tc>
          <w:tcPr>
            <w:tcW w:w="2160" w:type="dxa"/>
          </w:tcPr>
          <w:p w:rsidR="003B5289" w:rsidRDefault="00CE053E" w:rsidP="00CE053E">
            <w:pPr>
              <w:rPr>
                <w:sz w:val="24"/>
                <w:szCs w:val="24"/>
              </w:rPr>
            </w:pPr>
            <w:r>
              <w:rPr>
                <w:sz w:val="24"/>
                <w:szCs w:val="24"/>
              </w:rPr>
              <w:t>1</w:t>
            </w:r>
            <w:r w:rsidR="003B5289">
              <w:rPr>
                <w:sz w:val="24"/>
                <w:szCs w:val="24"/>
              </w:rPr>
              <w:t xml:space="preserve"> week</w:t>
            </w:r>
            <w:r>
              <w:rPr>
                <w:sz w:val="24"/>
                <w:szCs w:val="24"/>
              </w:rPr>
              <w:t xml:space="preserve"> later</w:t>
            </w:r>
            <w:r w:rsidR="003B5289">
              <w:rPr>
                <w:sz w:val="24"/>
                <w:szCs w:val="24"/>
              </w:rPr>
              <w:t xml:space="preserve"> </w:t>
            </w:r>
          </w:p>
        </w:tc>
        <w:tc>
          <w:tcPr>
            <w:tcW w:w="6840" w:type="dxa"/>
            <w:shd w:val="clear" w:color="auto" w:fill="auto"/>
          </w:tcPr>
          <w:p w:rsidR="003B5289" w:rsidRDefault="00CE053E" w:rsidP="00CE053E">
            <w:pPr>
              <w:rPr>
                <w:sz w:val="24"/>
                <w:szCs w:val="24"/>
              </w:rPr>
            </w:pPr>
            <w:r>
              <w:rPr>
                <w:sz w:val="24"/>
                <w:szCs w:val="24"/>
              </w:rPr>
              <w:t xml:space="preserve">Second reminder email sent </w:t>
            </w:r>
            <w:r w:rsidR="007554F8">
              <w:rPr>
                <w:sz w:val="24"/>
                <w:szCs w:val="24"/>
              </w:rPr>
              <w:t xml:space="preserve">only </w:t>
            </w:r>
            <w:r>
              <w:rPr>
                <w:sz w:val="24"/>
                <w:szCs w:val="24"/>
              </w:rPr>
              <w:t>to non-responders</w:t>
            </w:r>
          </w:p>
        </w:tc>
      </w:tr>
      <w:tr w:rsidR="003B5289" w:rsidRPr="00FC416F" w:rsidTr="00A20C48">
        <w:tc>
          <w:tcPr>
            <w:tcW w:w="2160" w:type="dxa"/>
          </w:tcPr>
          <w:p w:rsidR="003B5289" w:rsidRPr="00FC416F" w:rsidRDefault="00CE053E" w:rsidP="00CE053E">
            <w:pPr>
              <w:rPr>
                <w:sz w:val="24"/>
                <w:szCs w:val="24"/>
              </w:rPr>
            </w:pPr>
            <w:r>
              <w:rPr>
                <w:sz w:val="24"/>
                <w:szCs w:val="24"/>
              </w:rPr>
              <w:t>1</w:t>
            </w:r>
            <w:r w:rsidR="003B5289">
              <w:rPr>
                <w:sz w:val="24"/>
                <w:szCs w:val="24"/>
              </w:rPr>
              <w:t xml:space="preserve"> week</w:t>
            </w:r>
            <w:r>
              <w:rPr>
                <w:sz w:val="24"/>
                <w:szCs w:val="24"/>
              </w:rPr>
              <w:t xml:space="preserve"> later</w:t>
            </w:r>
          </w:p>
        </w:tc>
        <w:tc>
          <w:tcPr>
            <w:tcW w:w="6840" w:type="dxa"/>
            <w:shd w:val="clear" w:color="auto" w:fill="auto"/>
          </w:tcPr>
          <w:p w:rsidR="003B5289" w:rsidRPr="00532744" w:rsidRDefault="00CE053E" w:rsidP="007554F8">
            <w:pPr>
              <w:rPr>
                <w:sz w:val="24"/>
                <w:szCs w:val="24"/>
              </w:rPr>
            </w:pPr>
            <w:r>
              <w:rPr>
                <w:sz w:val="24"/>
                <w:szCs w:val="24"/>
              </w:rPr>
              <w:t xml:space="preserve">Telephone Follow-up </w:t>
            </w:r>
            <w:r w:rsidR="007554F8">
              <w:rPr>
                <w:sz w:val="24"/>
                <w:szCs w:val="24"/>
              </w:rPr>
              <w:t>only with</w:t>
            </w:r>
            <w:r>
              <w:rPr>
                <w:sz w:val="24"/>
                <w:szCs w:val="24"/>
              </w:rPr>
              <w:t xml:space="preserve"> non-responders with telephone number available. Non-responders with no telephone number will be traced.</w:t>
            </w:r>
          </w:p>
        </w:tc>
      </w:tr>
    </w:tbl>
    <w:p w:rsidR="003B5289" w:rsidRPr="00000E78" w:rsidRDefault="003B5289" w:rsidP="002D099F">
      <w:pPr>
        <w:pStyle w:val="P1-StandPara"/>
        <w:spacing w:line="240" w:lineRule="auto"/>
        <w:ind w:left="1440" w:firstLine="0"/>
        <w:rPr>
          <w:rFonts w:eastAsia="Batang"/>
          <w:color w:val="000000"/>
          <w:sz w:val="24"/>
          <w:szCs w:val="24"/>
        </w:rPr>
      </w:pPr>
    </w:p>
    <w:p w:rsidR="00CE053E" w:rsidRDefault="00CE053E" w:rsidP="00B26E02">
      <w:pPr>
        <w:pStyle w:val="BodyTextIndent"/>
        <w:spacing w:after="0" w:line="480" w:lineRule="auto"/>
        <w:ind w:left="0" w:firstLine="720"/>
        <w:jc w:val="left"/>
        <w:rPr>
          <w:rFonts w:eastAsia="Batang"/>
          <w:color w:val="000000"/>
          <w:sz w:val="24"/>
          <w:szCs w:val="24"/>
        </w:rPr>
      </w:pPr>
    </w:p>
    <w:p w:rsidR="00CE053E" w:rsidRDefault="00B93915" w:rsidP="00CE053E">
      <w:pPr>
        <w:pStyle w:val="BodyTextIndent"/>
        <w:spacing w:after="0" w:line="480" w:lineRule="auto"/>
        <w:ind w:left="0" w:firstLine="720"/>
        <w:jc w:val="left"/>
        <w:rPr>
          <w:rFonts w:eastAsia="Batang"/>
          <w:color w:val="000000"/>
          <w:sz w:val="24"/>
          <w:szCs w:val="24"/>
        </w:rPr>
      </w:pPr>
      <w:r>
        <w:rPr>
          <w:rFonts w:eastAsia="Batang"/>
          <w:color w:val="000000"/>
          <w:sz w:val="24"/>
          <w:szCs w:val="24"/>
        </w:rPr>
        <w:lastRenderedPageBreak/>
        <w:t>Data collection for the telephone interviews will begin once the survey data collection ha</w:t>
      </w:r>
      <w:r w:rsidR="002F2EB9">
        <w:rPr>
          <w:rFonts w:eastAsia="Batang"/>
          <w:color w:val="000000"/>
          <w:sz w:val="24"/>
          <w:szCs w:val="24"/>
        </w:rPr>
        <w:t>s</w:t>
      </w:r>
      <w:r>
        <w:rPr>
          <w:rFonts w:eastAsia="Batang"/>
          <w:color w:val="000000"/>
          <w:sz w:val="24"/>
          <w:szCs w:val="24"/>
        </w:rPr>
        <w:t xml:space="preserve"> been completed in order to minimize respondent burden. </w:t>
      </w:r>
      <w:r w:rsidR="00203B30">
        <w:rPr>
          <w:rFonts w:eastAsia="Batang"/>
          <w:color w:val="000000"/>
          <w:sz w:val="24"/>
          <w:szCs w:val="24"/>
        </w:rPr>
        <w:t xml:space="preserve">As described above, reminder and follow-up contacts occur only with non-responders. Assuming high response rate among PIs and Co-PIs, we expect reminder and follow-up contacts to be minimal. </w:t>
      </w:r>
      <w:r w:rsidR="00CE053E">
        <w:rPr>
          <w:rFonts w:eastAsia="Batang"/>
          <w:color w:val="000000"/>
          <w:sz w:val="24"/>
          <w:szCs w:val="24"/>
        </w:rPr>
        <w:t xml:space="preserve">Data collection procedures for the </w:t>
      </w:r>
      <w:r w:rsidR="008F6669">
        <w:rPr>
          <w:rFonts w:eastAsia="Batang"/>
          <w:color w:val="000000"/>
          <w:sz w:val="24"/>
          <w:szCs w:val="24"/>
        </w:rPr>
        <w:t>telephone interview</w:t>
      </w:r>
      <w:r w:rsidR="00CE053E">
        <w:rPr>
          <w:rFonts w:eastAsia="Batang"/>
          <w:color w:val="000000"/>
          <w:sz w:val="24"/>
          <w:szCs w:val="24"/>
        </w:rPr>
        <w:t xml:space="preserve"> are described below and presented in Table B.2-</w:t>
      </w:r>
      <w:r w:rsidR="008F6669">
        <w:rPr>
          <w:rFonts w:eastAsia="Batang"/>
          <w:color w:val="000000"/>
          <w:sz w:val="24"/>
          <w:szCs w:val="24"/>
        </w:rPr>
        <w:t>2</w:t>
      </w:r>
      <w:r w:rsidR="00CE053E">
        <w:rPr>
          <w:rFonts w:eastAsia="Batang"/>
          <w:color w:val="000000"/>
          <w:sz w:val="24"/>
          <w:szCs w:val="24"/>
        </w:rPr>
        <w:t>:</w:t>
      </w:r>
    </w:p>
    <w:p w:rsidR="00CF46C2" w:rsidRDefault="00CF46C2" w:rsidP="00CF46C2">
      <w:pPr>
        <w:pStyle w:val="P1-StandPara"/>
        <w:numPr>
          <w:ilvl w:val="0"/>
          <w:numId w:val="17"/>
        </w:numPr>
        <w:spacing w:line="240" w:lineRule="auto"/>
        <w:rPr>
          <w:sz w:val="24"/>
          <w:szCs w:val="24"/>
        </w:rPr>
      </w:pPr>
      <w:r>
        <w:rPr>
          <w:sz w:val="24"/>
          <w:szCs w:val="24"/>
        </w:rPr>
        <w:t>T</w:t>
      </w:r>
      <w:r w:rsidR="00B93915">
        <w:rPr>
          <w:sz w:val="24"/>
          <w:szCs w:val="24"/>
        </w:rPr>
        <w:t>en</w:t>
      </w:r>
      <w:r>
        <w:rPr>
          <w:sz w:val="24"/>
          <w:szCs w:val="24"/>
        </w:rPr>
        <w:t xml:space="preserve"> weeks after the </w:t>
      </w:r>
      <w:r w:rsidR="008776B4">
        <w:rPr>
          <w:sz w:val="24"/>
          <w:szCs w:val="24"/>
        </w:rPr>
        <w:t xml:space="preserve">NCI </w:t>
      </w:r>
      <w:r>
        <w:rPr>
          <w:sz w:val="24"/>
          <w:szCs w:val="24"/>
        </w:rPr>
        <w:t xml:space="preserve">email announcement, potential participants for </w:t>
      </w:r>
      <w:r w:rsidR="0029419E">
        <w:rPr>
          <w:sz w:val="24"/>
          <w:szCs w:val="24"/>
        </w:rPr>
        <w:t>the telephone</w:t>
      </w:r>
      <w:r w:rsidR="00584FC5">
        <w:rPr>
          <w:sz w:val="24"/>
          <w:szCs w:val="24"/>
        </w:rPr>
        <w:t xml:space="preserve"> </w:t>
      </w:r>
      <w:r w:rsidR="0029419E">
        <w:rPr>
          <w:sz w:val="24"/>
          <w:szCs w:val="24"/>
        </w:rPr>
        <w:t xml:space="preserve">interviews </w:t>
      </w:r>
      <w:r>
        <w:rPr>
          <w:sz w:val="24"/>
          <w:szCs w:val="24"/>
        </w:rPr>
        <w:t xml:space="preserve">will be sent an email invitation to participate. The invitation letter requests the individual’s participation, introduces the purpose of the </w:t>
      </w:r>
      <w:r w:rsidR="0029419E">
        <w:rPr>
          <w:sz w:val="24"/>
          <w:szCs w:val="24"/>
        </w:rPr>
        <w:t>evaluation</w:t>
      </w:r>
      <w:r>
        <w:rPr>
          <w:sz w:val="24"/>
          <w:szCs w:val="24"/>
        </w:rPr>
        <w:t>, requests an email reply with suggestions of 2-3 convenient times to be contacted for the interview, and provides contact information in case of queries (</w:t>
      </w:r>
      <w:r>
        <w:rPr>
          <w:b/>
          <w:bCs/>
          <w:sz w:val="24"/>
          <w:szCs w:val="24"/>
        </w:rPr>
        <w:t xml:space="preserve">Attachment </w:t>
      </w:r>
      <w:r w:rsidR="00950647">
        <w:rPr>
          <w:b/>
          <w:bCs/>
          <w:sz w:val="24"/>
          <w:szCs w:val="24"/>
        </w:rPr>
        <w:t>1</w:t>
      </w:r>
      <w:r w:rsidR="0014310E">
        <w:rPr>
          <w:b/>
          <w:bCs/>
          <w:sz w:val="24"/>
          <w:szCs w:val="24"/>
        </w:rPr>
        <w:t>7</w:t>
      </w:r>
      <w:r w:rsidR="001F3B30">
        <w:rPr>
          <w:b/>
          <w:bCs/>
          <w:sz w:val="24"/>
          <w:szCs w:val="24"/>
        </w:rPr>
        <w:t>-</w:t>
      </w:r>
      <w:r w:rsidR="009C707F">
        <w:rPr>
          <w:b/>
          <w:bCs/>
          <w:sz w:val="24"/>
          <w:szCs w:val="24"/>
        </w:rPr>
        <w:t>1</w:t>
      </w:r>
      <w:r w:rsidR="0014310E">
        <w:rPr>
          <w:b/>
          <w:bCs/>
          <w:sz w:val="24"/>
          <w:szCs w:val="24"/>
        </w:rPr>
        <w:t>8</w:t>
      </w:r>
      <w:r>
        <w:rPr>
          <w:sz w:val="24"/>
          <w:szCs w:val="24"/>
        </w:rPr>
        <w:t>).</w:t>
      </w:r>
    </w:p>
    <w:p w:rsidR="00B26E02" w:rsidRDefault="00B26E02" w:rsidP="00B26E02">
      <w:pPr>
        <w:pStyle w:val="P1-StandPara"/>
        <w:spacing w:line="240" w:lineRule="auto"/>
        <w:ind w:left="1440" w:firstLine="0"/>
        <w:rPr>
          <w:sz w:val="24"/>
          <w:szCs w:val="24"/>
        </w:rPr>
      </w:pPr>
    </w:p>
    <w:p w:rsidR="00CF46C2" w:rsidRDefault="00CF46C2" w:rsidP="00CF46C2">
      <w:pPr>
        <w:pStyle w:val="P1-StandPara"/>
        <w:numPr>
          <w:ilvl w:val="0"/>
          <w:numId w:val="17"/>
        </w:numPr>
        <w:spacing w:line="240" w:lineRule="auto"/>
        <w:rPr>
          <w:sz w:val="24"/>
          <w:szCs w:val="24"/>
        </w:rPr>
      </w:pPr>
      <w:r>
        <w:rPr>
          <w:sz w:val="24"/>
          <w:szCs w:val="24"/>
        </w:rPr>
        <w:t xml:space="preserve">One week after the email invitation, a reminder email letter will be sent </w:t>
      </w:r>
      <w:r w:rsidR="008776B4">
        <w:rPr>
          <w:sz w:val="24"/>
          <w:szCs w:val="24"/>
        </w:rPr>
        <w:t xml:space="preserve">only </w:t>
      </w:r>
      <w:r>
        <w:rPr>
          <w:sz w:val="24"/>
          <w:szCs w:val="24"/>
        </w:rPr>
        <w:t>to non-responders to encourage participation in the study. The reminder email provides the same information as the invitation email (</w:t>
      </w:r>
      <w:r>
        <w:rPr>
          <w:b/>
          <w:bCs/>
          <w:sz w:val="24"/>
          <w:szCs w:val="24"/>
        </w:rPr>
        <w:t xml:space="preserve">Attachment </w:t>
      </w:r>
      <w:r w:rsidR="00950647">
        <w:rPr>
          <w:b/>
          <w:bCs/>
          <w:sz w:val="24"/>
          <w:szCs w:val="24"/>
        </w:rPr>
        <w:t>2</w:t>
      </w:r>
      <w:r w:rsidR="0014310E">
        <w:rPr>
          <w:b/>
          <w:bCs/>
          <w:sz w:val="24"/>
          <w:szCs w:val="24"/>
        </w:rPr>
        <w:t>2</w:t>
      </w:r>
      <w:r w:rsidR="001F3B30">
        <w:rPr>
          <w:b/>
          <w:bCs/>
          <w:sz w:val="24"/>
          <w:szCs w:val="24"/>
        </w:rPr>
        <w:t>-</w:t>
      </w:r>
      <w:r w:rsidR="009C707F">
        <w:rPr>
          <w:b/>
          <w:bCs/>
          <w:sz w:val="24"/>
          <w:szCs w:val="24"/>
        </w:rPr>
        <w:t>2</w:t>
      </w:r>
      <w:r w:rsidR="0014310E">
        <w:rPr>
          <w:b/>
          <w:bCs/>
          <w:sz w:val="24"/>
          <w:szCs w:val="24"/>
        </w:rPr>
        <w:t>3</w:t>
      </w:r>
      <w:r>
        <w:rPr>
          <w:sz w:val="24"/>
          <w:szCs w:val="24"/>
        </w:rPr>
        <w:t>).</w:t>
      </w:r>
    </w:p>
    <w:p w:rsidR="00B26E02" w:rsidRPr="002D099F" w:rsidRDefault="00B26E02" w:rsidP="00B26E02">
      <w:pPr>
        <w:pStyle w:val="P1-StandPara"/>
        <w:spacing w:line="240" w:lineRule="auto"/>
        <w:ind w:firstLine="0"/>
        <w:rPr>
          <w:sz w:val="24"/>
          <w:szCs w:val="24"/>
        </w:rPr>
      </w:pPr>
    </w:p>
    <w:p w:rsidR="00B26E02" w:rsidRPr="000B713C" w:rsidRDefault="00B26E02" w:rsidP="000B713C">
      <w:pPr>
        <w:pStyle w:val="P1-StandPara"/>
        <w:numPr>
          <w:ilvl w:val="0"/>
          <w:numId w:val="17"/>
        </w:numPr>
        <w:spacing w:line="240" w:lineRule="auto"/>
        <w:rPr>
          <w:sz w:val="24"/>
          <w:szCs w:val="24"/>
        </w:rPr>
      </w:pPr>
      <w:r>
        <w:rPr>
          <w:sz w:val="24"/>
          <w:szCs w:val="24"/>
        </w:rPr>
        <w:t xml:space="preserve">One week after the reminder email, telephone follow-up will be conducted </w:t>
      </w:r>
      <w:r w:rsidR="008776B4">
        <w:rPr>
          <w:sz w:val="24"/>
          <w:szCs w:val="24"/>
        </w:rPr>
        <w:t>only with</w:t>
      </w:r>
      <w:r>
        <w:rPr>
          <w:sz w:val="24"/>
          <w:szCs w:val="24"/>
        </w:rPr>
        <w:t xml:space="preserve"> non-responders for whom there is a telephone number available (</w:t>
      </w:r>
      <w:r w:rsidRPr="000F7A84">
        <w:rPr>
          <w:b/>
          <w:sz w:val="24"/>
          <w:szCs w:val="24"/>
        </w:rPr>
        <w:t xml:space="preserve">Attachment </w:t>
      </w:r>
      <w:r w:rsidR="00950647">
        <w:rPr>
          <w:b/>
          <w:sz w:val="24"/>
          <w:szCs w:val="24"/>
        </w:rPr>
        <w:t>2</w:t>
      </w:r>
      <w:r w:rsidR="0014310E">
        <w:rPr>
          <w:b/>
          <w:sz w:val="24"/>
          <w:szCs w:val="24"/>
        </w:rPr>
        <w:t>5</w:t>
      </w:r>
      <w:r>
        <w:rPr>
          <w:sz w:val="24"/>
          <w:szCs w:val="24"/>
        </w:rPr>
        <w:t xml:space="preserve">). If there is no telephone number available, </w:t>
      </w:r>
      <w:r w:rsidR="00CF46C2">
        <w:rPr>
          <w:sz w:val="24"/>
          <w:szCs w:val="24"/>
        </w:rPr>
        <w:t>a second reminder email will be sent (</w:t>
      </w:r>
      <w:r w:rsidR="00CF46C2" w:rsidRPr="00CF46C2">
        <w:rPr>
          <w:b/>
          <w:sz w:val="24"/>
          <w:szCs w:val="24"/>
        </w:rPr>
        <w:t xml:space="preserve">Attachment </w:t>
      </w:r>
      <w:r w:rsidR="00950647">
        <w:rPr>
          <w:b/>
          <w:sz w:val="24"/>
          <w:szCs w:val="24"/>
        </w:rPr>
        <w:t>2</w:t>
      </w:r>
      <w:r w:rsidR="0014310E">
        <w:rPr>
          <w:b/>
          <w:sz w:val="24"/>
          <w:szCs w:val="24"/>
        </w:rPr>
        <w:t>2</w:t>
      </w:r>
      <w:r w:rsidR="001F3B30">
        <w:rPr>
          <w:b/>
          <w:sz w:val="24"/>
          <w:szCs w:val="24"/>
        </w:rPr>
        <w:t>-</w:t>
      </w:r>
      <w:r w:rsidR="009C707F">
        <w:rPr>
          <w:b/>
          <w:sz w:val="24"/>
          <w:szCs w:val="24"/>
        </w:rPr>
        <w:t>2</w:t>
      </w:r>
      <w:r w:rsidR="0014310E">
        <w:rPr>
          <w:b/>
          <w:sz w:val="24"/>
          <w:szCs w:val="24"/>
        </w:rPr>
        <w:t>3</w:t>
      </w:r>
      <w:r w:rsidR="00CF46C2">
        <w:rPr>
          <w:sz w:val="24"/>
          <w:szCs w:val="24"/>
        </w:rPr>
        <w:t xml:space="preserve">). If there is no response received within </w:t>
      </w:r>
      <w:r w:rsidR="0029419E">
        <w:rPr>
          <w:sz w:val="24"/>
          <w:szCs w:val="24"/>
        </w:rPr>
        <w:t>two</w:t>
      </w:r>
      <w:r w:rsidR="00CF46C2">
        <w:rPr>
          <w:sz w:val="24"/>
          <w:szCs w:val="24"/>
        </w:rPr>
        <w:t xml:space="preserve"> week</w:t>
      </w:r>
      <w:r w:rsidR="0029419E">
        <w:rPr>
          <w:sz w:val="24"/>
          <w:szCs w:val="24"/>
        </w:rPr>
        <w:t>s</w:t>
      </w:r>
      <w:r w:rsidR="00CF46C2">
        <w:rPr>
          <w:sz w:val="24"/>
          <w:szCs w:val="24"/>
        </w:rPr>
        <w:t xml:space="preserve"> from either the telephone follow-up or the second reminder email, the potential participant will be considered a non-respon</w:t>
      </w:r>
      <w:r w:rsidR="00B93915">
        <w:rPr>
          <w:sz w:val="24"/>
          <w:szCs w:val="24"/>
        </w:rPr>
        <w:t>dent</w:t>
      </w:r>
      <w:r w:rsidR="00CF46C2">
        <w:rPr>
          <w:sz w:val="24"/>
          <w:szCs w:val="24"/>
        </w:rPr>
        <w:t xml:space="preserve"> and removed from the sample. A replacement </w:t>
      </w:r>
      <w:r w:rsidR="000B713C">
        <w:rPr>
          <w:sz w:val="24"/>
          <w:szCs w:val="24"/>
        </w:rPr>
        <w:t>will be selected</w:t>
      </w:r>
      <w:r w:rsidRPr="000B713C">
        <w:rPr>
          <w:sz w:val="24"/>
          <w:szCs w:val="24"/>
        </w:rPr>
        <w:t xml:space="preserve"> </w:t>
      </w:r>
      <w:r w:rsidR="001A4AB2" w:rsidRPr="000B713C">
        <w:rPr>
          <w:sz w:val="24"/>
          <w:szCs w:val="24"/>
        </w:rPr>
        <w:t>from th</w:t>
      </w:r>
      <w:r w:rsidR="000B713C">
        <w:rPr>
          <w:sz w:val="24"/>
          <w:szCs w:val="24"/>
        </w:rPr>
        <w:t>e</w:t>
      </w:r>
      <w:r w:rsidRPr="000B713C">
        <w:rPr>
          <w:sz w:val="24"/>
          <w:szCs w:val="24"/>
        </w:rPr>
        <w:t xml:space="preserve"> strategic sample </w:t>
      </w:r>
      <w:r w:rsidR="001A4AB2" w:rsidRPr="000B713C">
        <w:rPr>
          <w:sz w:val="24"/>
          <w:szCs w:val="24"/>
        </w:rPr>
        <w:t>group</w:t>
      </w:r>
      <w:r w:rsidRPr="000B713C">
        <w:rPr>
          <w:sz w:val="24"/>
          <w:szCs w:val="24"/>
        </w:rPr>
        <w:t xml:space="preserve">. Section B.3.1 presents the study methods to address non-response and </w:t>
      </w:r>
      <w:r w:rsidR="000B713C">
        <w:rPr>
          <w:sz w:val="24"/>
          <w:szCs w:val="24"/>
        </w:rPr>
        <w:t>non-cooperation.</w:t>
      </w:r>
    </w:p>
    <w:p w:rsidR="00434C0F" w:rsidRDefault="00434C0F" w:rsidP="00434C0F">
      <w:pPr>
        <w:pStyle w:val="P1-StandPara"/>
        <w:spacing w:line="240" w:lineRule="auto"/>
        <w:ind w:firstLine="0"/>
        <w:rPr>
          <w:sz w:val="24"/>
          <w:szCs w:val="24"/>
        </w:rPr>
      </w:pPr>
    </w:p>
    <w:p w:rsidR="00CB19C7" w:rsidRDefault="00CB19C7" w:rsidP="00CB19C7">
      <w:pPr>
        <w:pStyle w:val="P1-StandPara"/>
        <w:numPr>
          <w:ilvl w:val="0"/>
          <w:numId w:val="17"/>
        </w:numPr>
        <w:spacing w:line="240" w:lineRule="auto"/>
        <w:rPr>
          <w:sz w:val="24"/>
          <w:szCs w:val="24"/>
        </w:rPr>
      </w:pPr>
      <w:r>
        <w:rPr>
          <w:sz w:val="24"/>
          <w:szCs w:val="24"/>
        </w:rPr>
        <w:t>When a potential participant replies with general interest in participating, a follow-up email will be sent stating that someone will call them to schedule the interview (</w:t>
      </w:r>
      <w:r w:rsidRPr="008C0552">
        <w:rPr>
          <w:b/>
          <w:sz w:val="24"/>
          <w:szCs w:val="24"/>
        </w:rPr>
        <w:t xml:space="preserve">Attachment </w:t>
      </w:r>
      <w:r w:rsidR="00950647">
        <w:rPr>
          <w:b/>
          <w:sz w:val="24"/>
          <w:szCs w:val="24"/>
        </w:rPr>
        <w:t>2</w:t>
      </w:r>
      <w:r w:rsidR="0014310E">
        <w:rPr>
          <w:b/>
          <w:sz w:val="24"/>
          <w:szCs w:val="24"/>
        </w:rPr>
        <w:t>6</w:t>
      </w:r>
      <w:r>
        <w:rPr>
          <w:sz w:val="24"/>
          <w:szCs w:val="24"/>
        </w:rPr>
        <w:t>).</w:t>
      </w:r>
      <w:r w:rsidR="006A3513">
        <w:rPr>
          <w:sz w:val="24"/>
          <w:szCs w:val="24"/>
        </w:rPr>
        <w:t xml:space="preserve"> If a potential participant does not reply to schedule the interview, </w:t>
      </w:r>
      <w:r w:rsidR="00B93915">
        <w:rPr>
          <w:sz w:val="24"/>
          <w:szCs w:val="24"/>
        </w:rPr>
        <w:t>the scheduler</w:t>
      </w:r>
      <w:r w:rsidR="006A3513">
        <w:rPr>
          <w:sz w:val="24"/>
          <w:szCs w:val="24"/>
        </w:rPr>
        <w:t xml:space="preserve"> will call the individual to schedule the interview using a telephone script to schedule the interview (</w:t>
      </w:r>
      <w:r w:rsidR="006A3513" w:rsidRPr="006A3513">
        <w:rPr>
          <w:b/>
          <w:sz w:val="24"/>
          <w:szCs w:val="24"/>
        </w:rPr>
        <w:t xml:space="preserve">Attachment </w:t>
      </w:r>
      <w:r w:rsidR="00950647">
        <w:rPr>
          <w:b/>
          <w:sz w:val="24"/>
          <w:szCs w:val="24"/>
        </w:rPr>
        <w:t>2</w:t>
      </w:r>
      <w:r w:rsidR="0014310E">
        <w:rPr>
          <w:b/>
          <w:sz w:val="24"/>
          <w:szCs w:val="24"/>
        </w:rPr>
        <w:t>7</w:t>
      </w:r>
      <w:r w:rsidR="006A3513">
        <w:rPr>
          <w:sz w:val="24"/>
          <w:szCs w:val="24"/>
        </w:rPr>
        <w:t>).</w:t>
      </w:r>
    </w:p>
    <w:p w:rsidR="00CB19C7" w:rsidRDefault="00CB19C7" w:rsidP="00CB19C7">
      <w:pPr>
        <w:pStyle w:val="P1-StandPara"/>
        <w:spacing w:line="240" w:lineRule="auto"/>
        <w:ind w:firstLine="0"/>
        <w:rPr>
          <w:sz w:val="24"/>
          <w:szCs w:val="24"/>
        </w:rPr>
      </w:pPr>
    </w:p>
    <w:p w:rsidR="0005097F" w:rsidRPr="006A3513" w:rsidRDefault="00434C0F" w:rsidP="006A3513">
      <w:pPr>
        <w:pStyle w:val="P1-StandPara"/>
        <w:numPr>
          <w:ilvl w:val="0"/>
          <w:numId w:val="17"/>
        </w:numPr>
        <w:spacing w:line="240" w:lineRule="auto"/>
        <w:rPr>
          <w:sz w:val="24"/>
          <w:szCs w:val="24"/>
        </w:rPr>
      </w:pPr>
      <w:r>
        <w:rPr>
          <w:sz w:val="24"/>
          <w:szCs w:val="24"/>
        </w:rPr>
        <w:t>When a</w:t>
      </w:r>
      <w:r w:rsidR="00CB19C7">
        <w:rPr>
          <w:sz w:val="24"/>
          <w:szCs w:val="24"/>
        </w:rPr>
        <w:t xml:space="preserve"> potential participant</w:t>
      </w:r>
      <w:r w:rsidR="0005097F">
        <w:rPr>
          <w:sz w:val="24"/>
          <w:szCs w:val="24"/>
        </w:rPr>
        <w:t xml:space="preserve"> accepts the invitation to participate in an interview, an email confirmation will be sent within two business days confirm</w:t>
      </w:r>
      <w:r w:rsidR="006A3513">
        <w:rPr>
          <w:sz w:val="24"/>
          <w:szCs w:val="24"/>
        </w:rPr>
        <w:t>ing</w:t>
      </w:r>
      <w:r w:rsidR="0005097F">
        <w:rPr>
          <w:sz w:val="24"/>
          <w:szCs w:val="24"/>
        </w:rPr>
        <w:t xml:space="preserve"> the interview date and time and the best telephone number at which to reach the interviewee (</w:t>
      </w:r>
      <w:r w:rsidR="0005097F" w:rsidRPr="0005097F">
        <w:rPr>
          <w:b/>
          <w:sz w:val="24"/>
          <w:szCs w:val="24"/>
        </w:rPr>
        <w:t xml:space="preserve">Attachment </w:t>
      </w:r>
      <w:r w:rsidR="00950647">
        <w:rPr>
          <w:b/>
          <w:sz w:val="24"/>
          <w:szCs w:val="24"/>
        </w:rPr>
        <w:t>2</w:t>
      </w:r>
      <w:r w:rsidR="0014310E">
        <w:rPr>
          <w:b/>
          <w:sz w:val="24"/>
          <w:szCs w:val="24"/>
        </w:rPr>
        <w:t>8</w:t>
      </w:r>
      <w:r w:rsidR="0005097F">
        <w:rPr>
          <w:sz w:val="24"/>
          <w:szCs w:val="24"/>
        </w:rPr>
        <w:t>).</w:t>
      </w:r>
    </w:p>
    <w:p w:rsidR="001A4AB2" w:rsidRDefault="001A4AB2" w:rsidP="001A4AB2">
      <w:pPr>
        <w:pStyle w:val="P1-StandPara"/>
        <w:spacing w:line="240" w:lineRule="auto"/>
        <w:ind w:left="1440" w:firstLine="0"/>
        <w:rPr>
          <w:sz w:val="24"/>
          <w:szCs w:val="24"/>
        </w:rPr>
      </w:pPr>
    </w:p>
    <w:p w:rsidR="00423C53" w:rsidRDefault="00423C53">
      <w:pPr>
        <w:spacing w:line="240" w:lineRule="auto"/>
        <w:jc w:val="left"/>
        <w:rPr>
          <w:rFonts w:eastAsia="Batang"/>
          <w:color w:val="000000"/>
          <w:sz w:val="24"/>
          <w:szCs w:val="24"/>
        </w:rPr>
      </w:pPr>
      <w:r>
        <w:rPr>
          <w:rFonts w:eastAsia="Batang"/>
          <w:color w:val="000000"/>
          <w:sz w:val="24"/>
          <w:szCs w:val="24"/>
        </w:rPr>
        <w:br w:type="page"/>
      </w:r>
    </w:p>
    <w:p w:rsidR="008F6669" w:rsidRPr="00CE053E" w:rsidRDefault="008F6669" w:rsidP="008F6669">
      <w:pPr>
        <w:pStyle w:val="P1-StandPara"/>
        <w:spacing w:line="240" w:lineRule="auto"/>
        <w:ind w:left="720" w:firstLine="0"/>
        <w:rPr>
          <w:rFonts w:eastAsia="Batang"/>
          <w:color w:val="000000"/>
          <w:sz w:val="24"/>
          <w:szCs w:val="24"/>
        </w:rPr>
      </w:pPr>
      <w:r>
        <w:rPr>
          <w:rFonts w:eastAsia="Batang"/>
          <w:color w:val="000000"/>
          <w:sz w:val="24"/>
          <w:szCs w:val="24"/>
        </w:rPr>
        <w:lastRenderedPageBreak/>
        <w:t>Table B.2-2</w:t>
      </w:r>
      <w:r>
        <w:rPr>
          <w:rFonts w:eastAsia="Batang"/>
          <w:color w:val="000000"/>
          <w:sz w:val="24"/>
          <w:szCs w:val="24"/>
        </w:rPr>
        <w:tab/>
        <w:t>Procedures for Telephone Interview</w:t>
      </w:r>
    </w:p>
    <w:tbl>
      <w:tblPr>
        <w:tblW w:w="891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340"/>
        <w:gridCol w:w="6570"/>
      </w:tblGrid>
      <w:tr w:rsidR="008F6669" w:rsidRPr="00FC416F" w:rsidTr="00423C53">
        <w:tc>
          <w:tcPr>
            <w:tcW w:w="2340" w:type="dxa"/>
          </w:tcPr>
          <w:p w:rsidR="008F6669" w:rsidRDefault="008F6669" w:rsidP="00756F00">
            <w:pPr>
              <w:rPr>
                <w:b/>
                <w:sz w:val="24"/>
                <w:szCs w:val="24"/>
              </w:rPr>
            </w:pPr>
            <w:r w:rsidRPr="00025064">
              <w:rPr>
                <w:b/>
                <w:sz w:val="24"/>
                <w:szCs w:val="24"/>
              </w:rPr>
              <w:t>Timeline</w:t>
            </w:r>
          </w:p>
          <w:p w:rsidR="008F6669" w:rsidRPr="00025064" w:rsidRDefault="008F6669" w:rsidP="00756F00">
            <w:pPr>
              <w:rPr>
                <w:b/>
                <w:sz w:val="24"/>
                <w:szCs w:val="24"/>
              </w:rPr>
            </w:pPr>
          </w:p>
        </w:tc>
        <w:tc>
          <w:tcPr>
            <w:tcW w:w="6570" w:type="dxa"/>
            <w:shd w:val="clear" w:color="auto" w:fill="auto"/>
          </w:tcPr>
          <w:p w:rsidR="008F6669" w:rsidRPr="00025064" w:rsidRDefault="008F6669" w:rsidP="00756F00">
            <w:pPr>
              <w:rPr>
                <w:b/>
                <w:sz w:val="24"/>
                <w:szCs w:val="24"/>
              </w:rPr>
            </w:pPr>
            <w:r w:rsidRPr="00025064">
              <w:rPr>
                <w:b/>
                <w:sz w:val="24"/>
                <w:szCs w:val="24"/>
              </w:rPr>
              <w:t>Activity</w:t>
            </w:r>
          </w:p>
        </w:tc>
      </w:tr>
      <w:tr w:rsidR="008F6669" w:rsidRPr="00FC416F" w:rsidTr="00423C53">
        <w:tc>
          <w:tcPr>
            <w:tcW w:w="2340" w:type="dxa"/>
          </w:tcPr>
          <w:p w:rsidR="008F6669" w:rsidRPr="00FC416F" w:rsidRDefault="008F6669" w:rsidP="004A57CF">
            <w:pPr>
              <w:jc w:val="left"/>
              <w:rPr>
                <w:sz w:val="24"/>
                <w:szCs w:val="24"/>
              </w:rPr>
            </w:pPr>
            <w:r>
              <w:rPr>
                <w:sz w:val="24"/>
                <w:szCs w:val="24"/>
              </w:rPr>
              <w:t>3 weeks</w:t>
            </w:r>
            <w:r w:rsidRPr="00FC416F">
              <w:rPr>
                <w:sz w:val="24"/>
                <w:szCs w:val="24"/>
              </w:rPr>
              <w:t xml:space="preserve"> </w:t>
            </w:r>
            <w:r>
              <w:rPr>
                <w:sz w:val="24"/>
                <w:szCs w:val="24"/>
              </w:rPr>
              <w:t>after OMB approval</w:t>
            </w:r>
          </w:p>
        </w:tc>
        <w:tc>
          <w:tcPr>
            <w:tcW w:w="6570" w:type="dxa"/>
            <w:shd w:val="clear" w:color="auto" w:fill="auto"/>
          </w:tcPr>
          <w:p w:rsidR="008F6669" w:rsidRPr="00532744" w:rsidRDefault="008F6669" w:rsidP="004A57CF">
            <w:pPr>
              <w:jc w:val="left"/>
              <w:rPr>
                <w:sz w:val="24"/>
                <w:szCs w:val="24"/>
              </w:rPr>
            </w:pPr>
            <w:r>
              <w:rPr>
                <w:sz w:val="24"/>
                <w:szCs w:val="24"/>
              </w:rPr>
              <w:t>NCI e</w:t>
            </w:r>
            <w:r w:rsidRPr="00532744">
              <w:rPr>
                <w:sz w:val="24"/>
                <w:szCs w:val="24"/>
              </w:rPr>
              <w:t xml:space="preserve">mail </w:t>
            </w:r>
            <w:r>
              <w:rPr>
                <w:sz w:val="24"/>
                <w:szCs w:val="24"/>
              </w:rPr>
              <w:t>study announcement</w:t>
            </w:r>
            <w:r w:rsidRPr="00532744">
              <w:rPr>
                <w:sz w:val="24"/>
                <w:szCs w:val="24"/>
              </w:rPr>
              <w:t xml:space="preserve"> sent </w:t>
            </w:r>
            <w:r>
              <w:rPr>
                <w:sz w:val="24"/>
                <w:szCs w:val="24"/>
              </w:rPr>
              <w:t>to all potential participants</w:t>
            </w:r>
          </w:p>
        </w:tc>
      </w:tr>
      <w:tr w:rsidR="008F6669" w:rsidRPr="00FC416F" w:rsidTr="00423C53">
        <w:tc>
          <w:tcPr>
            <w:tcW w:w="2340" w:type="dxa"/>
          </w:tcPr>
          <w:p w:rsidR="008F6669" w:rsidRPr="00FC416F" w:rsidRDefault="008F6669" w:rsidP="004A57CF">
            <w:pPr>
              <w:jc w:val="left"/>
              <w:rPr>
                <w:sz w:val="24"/>
                <w:szCs w:val="24"/>
              </w:rPr>
            </w:pPr>
            <w:r>
              <w:rPr>
                <w:sz w:val="24"/>
                <w:szCs w:val="24"/>
              </w:rPr>
              <w:t>10 weeks later</w:t>
            </w:r>
          </w:p>
        </w:tc>
        <w:tc>
          <w:tcPr>
            <w:tcW w:w="6570" w:type="dxa"/>
            <w:shd w:val="clear" w:color="auto" w:fill="auto"/>
          </w:tcPr>
          <w:p w:rsidR="008F6669" w:rsidRPr="00532744" w:rsidRDefault="008F6669" w:rsidP="004A57CF">
            <w:pPr>
              <w:jc w:val="left"/>
              <w:rPr>
                <w:sz w:val="24"/>
                <w:szCs w:val="24"/>
              </w:rPr>
            </w:pPr>
            <w:r w:rsidRPr="00532744">
              <w:rPr>
                <w:sz w:val="24"/>
                <w:szCs w:val="24"/>
              </w:rPr>
              <w:t xml:space="preserve">Email invitation letter </w:t>
            </w:r>
            <w:r>
              <w:rPr>
                <w:sz w:val="24"/>
                <w:szCs w:val="24"/>
              </w:rPr>
              <w:t xml:space="preserve">sent </w:t>
            </w:r>
            <w:r w:rsidR="009A19D8">
              <w:rPr>
                <w:sz w:val="24"/>
                <w:szCs w:val="24"/>
              </w:rPr>
              <w:t xml:space="preserve">to </w:t>
            </w:r>
            <w:r>
              <w:rPr>
                <w:sz w:val="24"/>
                <w:szCs w:val="24"/>
              </w:rPr>
              <w:t>all potential participants for</w:t>
            </w:r>
            <w:r w:rsidRPr="00532744">
              <w:rPr>
                <w:sz w:val="24"/>
                <w:szCs w:val="24"/>
              </w:rPr>
              <w:t xml:space="preserve"> </w:t>
            </w:r>
            <w:r>
              <w:rPr>
                <w:sz w:val="24"/>
                <w:szCs w:val="24"/>
              </w:rPr>
              <w:t>telephone interview</w:t>
            </w:r>
          </w:p>
        </w:tc>
      </w:tr>
      <w:tr w:rsidR="008F6669" w:rsidRPr="00FC416F" w:rsidTr="00423C53">
        <w:tc>
          <w:tcPr>
            <w:tcW w:w="2340" w:type="dxa"/>
          </w:tcPr>
          <w:p w:rsidR="008F6669" w:rsidRDefault="008F6669" w:rsidP="004A57CF">
            <w:pPr>
              <w:jc w:val="left"/>
              <w:rPr>
                <w:sz w:val="24"/>
                <w:szCs w:val="24"/>
              </w:rPr>
            </w:pPr>
            <w:r>
              <w:rPr>
                <w:sz w:val="24"/>
                <w:szCs w:val="24"/>
              </w:rPr>
              <w:t xml:space="preserve">1 week later </w:t>
            </w:r>
          </w:p>
        </w:tc>
        <w:tc>
          <w:tcPr>
            <w:tcW w:w="6570" w:type="dxa"/>
            <w:shd w:val="clear" w:color="auto" w:fill="auto"/>
          </w:tcPr>
          <w:p w:rsidR="008F6669" w:rsidRPr="00532744" w:rsidRDefault="008F6669" w:rsidP="004A57CF">
            <w:pPr>
              <w:jc w:val="left"/>
              <w:rPr>
                <w:sz w:val="24"/>
                <w:szCs w:val="24"/>
              </w:rPr>
            </w:pPr>
            <w:r>
              <w:rPr>
                <w:sz w:val="24"/>
                <w:szCs w:val="24"/>
              </w:rPr>
              <w:t xml:space="preserve">Reminder email notice sent </w:t>
            </w:r>
            <w:r w:rsidR="009A19D8">
              <w:rPr>
                <w:sz w:val="24"/>
                <w:szCs w:val="24"/>
              </w:rPr>
              <w:t xml:space="preserve">only </w:t>
            </w:r>
            <w:r>
              <w:rPr>
                <w:sz w:val="24"/>
                <w:szCs w:val="24"/>
              </w:rPr>
              <w:t>to non-respondents</w:t>
            </w:r>
          </w:p>
        </w:tc>
      </w:tr>
      <w:tr w:rsidR="008F6669" w:rsidRPr="00FC416F" w:rsidTr="00423C53">
        <w:tc>
          <w:tcPr>
            <w:tcW w:w="2340" w:type="dxa"/>
          </w:tcPr>
          <w:p w:rsidR="008F6669" w:rsidRDefault="008F6669" w:rsidP="004A57CF">
            <w:pPr>
              <w:jc w:val="left"/>
              <w:rPr>
                <w:sz w:val="24"/>
                <w:szCs w:val="24"/>
              </w:rPr>
            </w:pPr>
            <w:r>
              <w:rPr>
                <w:sz w:val="24"/>
                <w:szCs w:val="24"/>
              </w:rPr>
              <w:t xml:space="preserve">1 week later </w:t>
            </w:r>
          </w:p>
        </w:tc>
        <w:tc>
          <w:tcPr>
            <w:tcW w:w="6570" w:type="dxa"/>
            <w:shd w:val="clear" w:color="auto" w:fill="auto"/>
          </w:tcPr>
          <w:p w:rsidR="008F6669" w:rsidRDefault="008F6669" w:rsidP="009A19D8">
            <w:pPr>
              <w:jc w:val="left"/>
              <w:rPr>
                <w:sz w:val="24"/>
                <w:szCs w:val="24"/>
              </w:rPr>
            </w:pPr>
            <w:r>
              <w:rPr>
                <w:sz w:val="24"/>
                <w:szCs w:val="24"/>
              </w:rPr>
              <w:t xml:space="preserve">Telephone Follow-up </w:t>
            </w:r>
            <w:r w:rsidR="009A19D8">
              <w:rPr>
                <w:sz w:val="24"/>
                <w:szCs w:val="24"/>
              </w:rPr>
              <w:t>only with</w:t>
            </w:r>
            <w:r>
              <w:rPr>
                <w:sz w:val="24"/>
                <w:szCs w:val="24"/>
              </w:rPr>
              <w:t xml:space="preserve"> non-responders with telephone number available. If a telephone number is not available, a second reminder email is sent. </w:t>
            </w:r>
          </w:p>
        </w:tc>
      </w:tr>
      <w:tr w:rsidR="008F6669" w:rsidRPr="00FC416F" w:rsidTr="00423C53">
        <w:tc>
          <w:tcPr>
            <w:tcW w:w="2340" w:type="dxa"/>
          </w:tcPr>
          <w:p w:rsidR="008F6669" w:rsidRPr="00FC416F" w:rsidRDefault="008F6669" w:rsidP="004A57CF">
            <w:pPr>
              <w:jc w:val="left"/>
              <w:rPr>
                <w:sz w:val="24"/>
                <w:szCs w:val="24"/>
              </w:rPr>
            </w:pPr>
            <w:r>
              <w:rPr>
                <w:sz w:val="24"/>
                <w:szCs w:val="24"/>
              </w:rPr>
              <w:t>2 weeks later</w:t>
            </w:r>
          </w:p>
        </w:tc>
        <w:tc>
          <w:tcPr>
            <w:tcW w:w="6570" w:type="dxa"/>
            <w:shd w:val="clear" w:color="auto" w:fill="auto"/>
          </w:tcPr>
          <w:p w:rsidR="008F6669" w:rsidRPr="00532744" w:rsidRDefault="008F6669" w:rsidP="004A57CF">
            <w:pPr>
              <w:jc w:val="left"/>
              <w:rPr>
                <w:sz w:val="24"/>
                <w:szCs w:val="24"/>
              </w:rPr>
            </w:pPr>
            <w:r>
              <w:rPr>
                <w:sz w:val="24"/>
                <w:szCs w:val="24"/>
              </w:rPr>
              <w:t xml:space="preserve">Non-responders to </w:t>
            </w:r>
            <w:r w:rsidR="004A57CF">
              <w:rPr>
                <w:sz w:val="24"/>
                <w:szCs w:val="24"/>
              </w:rPr>
              <w:t xml:space="preserve">either </w:t>
            </w:r>
            <w:r>
              <w:rPr>
                <w:sz w:val="24"/>
                <w:szCs w:val="24"/>
              </w:rPr>
              <w:t>telephone follow-up or second reminder email will be removed from sample. A replacement person will be selected.</w:t>
            </w:r>
          </w:p>
        </w:tc>
      </w:tr>
      <w:tr w:rsidR="008F6669" w:rsidRPr="00FC416F" w:rsidTr="00423C53">
        <w:tc>
          <w:tcPr>
            <w:tcW w:w="2340" w:type="dxa"/>
          </w:tcPr>
          <w:p w:rsidR="008F6669" w:rsidRDefault="008F6669" w:rsidP="004A57CF">
            <w:pPr>
              <w:jc w:val="left"/>
              <w:rPr>
                <w:sz w:val="24"/>
                <w:szCs w:val="24"/>
              </w:rPr>
            </w:pPr>
            <w:r>
              <w:rPr>
                <w:sz w:val="24"/>
                <w:szCs w:val="24"/>
              </w:rPr>
              <w:t>1-4 weeks after email invitation to participate</w:t>
            </w:r>
          </w:p>
        </w:tc>
        <w:tc>
          <w:tcPr>
            <w:tcW w:w="6570" w:type="dxa"/>
            <w:shd w:val="clear" w:color="auto" w:fill="auto"/>
          </w:tcPr>
          <w:p w:rsidR="008F6669" w:rsidRDefault="004A57CF" w:rsidP="004A57CF">
            <w:pPr>
              <w:jc w:val="left"/>
              <w:rPr>
                <w:sz w:val="24"/>
                <w:szCs w:val="24"/>
              </w:rPr>
            </w:pPr>
            <w:r>
              <w:rPr>
                <w:sz w:val="24"/>
                <w:szCs w:val="24"/>
              </w:rPr>
              <w:t xml:space="preserve">If </w:t>
            </w:r>
            <w:r w:rsidR="008F6669">
              <w:rPr>
                <w:sz w:val="24"/>
                <w:szCs w:val="24"/>
              </w:rPr>
              <w:t>potential participant</w:t>
            </w:r>
            <w:r>
              <w:rPr>
                <w:sz w:val="24"/>
                <w:szCs w:val="24"/>
              </w:rPr>
              <w:t xml:space="preserve"> replies with interest</w:t>
            </w:r>
            <w:r w:rsidR="008F6669">
              <w:rPr>
                <w:sz w:val="24"/>
                <w:szCs w:val="24"/>
              </w:rPr>
              <w:t>, a follow-up email is sent that someone will call to schedule interview.</w:t>
            </w:r>
          </w:p>
        </w:tc>
      </w:tr>
      <w:tr w:rsidR="004A57CF" w:rsidRPr="00FC416F" w:rsidTr="00423C53">
        <w:tc>
          <w:tcPr>
            <w:tcW w:w="2340" w:type="dxa"/>
          </w:tcPr>
          <w:p w:rsidR="004A57CF" w:rsidRDefault="004A57CF" w:rsidP="004A57CF">
            <w:pPr>
              <w:jc w:val="left"/>
              <w:rPr>
                <w:sz w:val="24"/>
                <w:szCs w:val="24"/>
              </w:rPr>
            </w:pPr>
            <w:r>
              <w:rPr>
                <w:sz w:val="24"/>
                <w:szCs w:val="24"/>
              </w:rPr>
              <w:t>1-4 weeks after email invitation to participate</w:t>
            </w:r>
          </w:p>
        </w:tc>
        <w:tc>
          <w:tcPr>
            <w:tcW w:w="6570" w:type="dxa"/>
            <w:shd w:val="clear" w:color="auto" w:fill="auto"/>
          </w:tcPr>
          <w:p w:rsidR="004A57CF" w:rsidRDefault="004A57CF" w:rsidP="004A57CF">
            <w:pPr>
              <w:jc w:val="left"/>
              <w:rPr>
                <w:sz w:val="24"/>
                <w:szCs w:val="24"/>
              </w:rPr>
            </w:pPr>
            <w:r>
              <w:rPr>
                <w:sz w:val="24"/>
                <w:szCs w:val="24"/>
              </w:rPr>
              <w:t>If a potential participant does not reply, scheduler will call to schedule interview.</w:t>
            </w:r>
          </w:p>
        </w:tc>
      </w:tr>
      <w:tr w:rsidR="004A57CF" w:rsidRPr="00FC416F" w:rsidTr="00423C53">
        <w:tc>
          <w:tcPr>
            <w:tcW w:w="2340" w:type="dxa"/>
          </w:tcPr>
          <w:p w:rsidR="004A57CF" w:rsidRDefault="004A57CF" w:rsidP="004A57CF">
            <w:pPr>
              <w:jc w:val="left"/>
              <w:rPr>
                <w:sz w:val="24"/>
                <w:szCs w:val="24"/>
              </w:rPr>
            </w:pPr>
            <w:r>
              <w:rPr>
                <w:sz w:val="24"/>
                <w:szCs w:val="24"/>
              </w:rPr>
              <w:t>2 business days after agreement to participate</w:t>
            </w:r>
          </w:p>
        </w:tc>
        <w:tc>
          <w:tcPr>
            <w:tcW w:w="6570" w:type="dxa"/>
            <w:shd w:val="clear" w:color="auto" w:fill="auto"/>
          </w:tcPr>
          <w:p w:rsidR="004A57CF" w:rsidRDefault="004A57CF" w:rsidP="004A57CF">
            <w:pPr>
              <w:jc w:val="left"/>
              <w:rPr>
                <w:sz w:val="24"/>
                <w:szCs w:val="24"/>
              </w:rPr>
            </w:pPr>
            <w:r>
              <w:rPr>
                <w:sz w:val="24"/>
                <w:szCs w:val="24"/>
              </w:rPr>
              <w:t>Email confirmation is sent.</w:t>
            </w:r>
          </w:p>
        </w:tc>
      </w:tr>
    </w:tbl>
    <w:p w:rsidR="008F6669" w:rsidRDefault="008F6669" w:rsidP="001A4AB2">
      <w:pPr>
        <w:pStyle w:val="P1-StandPara"/>
        <w:spacing w:line="240" w:lineRule="auto"/>
        <w:ind w:left="1440" w:firstLine="0"/>
        <w:rPr>
          <w:sz w:val="24"/>
          <w:szCs w:val="24"/>
        </w:rPr>
      </w:pPr>
    </w:p>
    <w:p w:rsidR="00423C53" w:rsidRDefault="00423C53" w:rsidP="00D55A04">
      <w:pPr>
        <w:pStyle w:val="BodyTextIndent"/>
        <w:spacing w:after="0" w:line="480" w:lineRule="auto"/>
        <w:ind w:left="0" w:firstLine="720"/>
        <w:jc w:val="left"/>
        <w:rPr>
          <w:rFonts w:eastAsia="Batang"/>
          <w:color w:val="000000"/>
          <w:sz w:val="24"/>
          <w:szCs w:val="24"/>
        </w:rPr>
      </w:pPr>
    </w:p>
    <w:p w:rsidR="00C4661C" w:rsidRDefault="00F55568" w:rsidP="00D55A04">
      <w:pPr>
        <w:pStyle w:val="BodyTextIndent"/>
        <w:spacing w:after="0" w:line="480" w:lineRule="auto"/>
        <w:ind w:left="0" w:firstLine="720"/>
        <w:jc w:val="left"/>
        <w:rPr>
          <w:rFonts w:eastAsia="Batang"/>
          <w:color w:val="000000"/>
          <w:sz w:val="24"/>
          <w:szCs w:val="24"/>
        </w:rPr>
      </w:pPr>
      <w:r>
        <w:rPr>
          <w:rFonts w:eastAsia="Batang"/>
          <w:color w:val="000000"/>
          <w:sz w:val="24"/>
          <w:szCs w:val="24"/>
        </w:rPr>
        <w:t>Data collection procedures for the expert panel are described below and presented in Table B.2-3:</w:t>
      </w:r>
    </w:p>
    <w:p w:rsidR="00C4661C" w:rsidRDefault="00C4661C" w:rsidP="00C4661C">
      <w:pPr>
        <w:pStyle w:val="P1-StandPara"/>
        <w:numPr>
          <w:ilvl w:val="0"/>
          <w:numId w:val="17"/>
        </w:numPr>
        <w:spacing w:line="240" w:lineRule="auto"/>
        <w:rPr>
          <w:sz w:val="24"/>
          <w:szCs w:val="24"/>
        </w:rPr>
      </w:pPr>
      <w:r>
        <w:rPr>
          <w:sz w:val="24"/>
          <w:szCs w:val="24"/>
        </w:rPr>
        <w:t>The expert panel sessions(s) will coincide with the SCTC Annual Meeting</w:t>
      </w:r>
      <w:r w:rsidR="0077116A">
        <w:rPr>
          <w:sz w:val="24"/>
          <w:szCs w:val="24"/>
        </w:rPr>
        <w:t xml:space="preserve"> to be held in </w:t>
      </w:r>
      <w:r w:rsidR="008C0D1F">
        <w:rPr>
          <w:sz w:val="24"/>
          <w:szCs w:val="24"/>
        </w:rPr>
        <w:t>April</w:t>
      </w:r>
      <w:r w:rsidR="0077116A">
        <w:rPr>
          <w:sz w:val="24"/>
          <w:szCs w:val="24"/>
        </w:rPr>
        <w:t xml:space="preserve"> 2015</w:t>
      </w:r>
      <w:r>
        <w:rPr>
          <w:sz w:val="24"/>
          <w:szCs w:val="24"/>
        </w:rPr>
        <w:t xml:space="preserve">. </w:t>
      </w:r>
      <w:r w:rsidR="008C0D1F">
        <w:rPr>
          <w:sz w:val="24"/>
          <w:szCs w:val="24"/>
        </w:rPr>
        <w:t xml:space="preserve">An email invitation will </w:t>
      </w:r>
      <w:r w:rsidR="00B84454">
        <w:rPr>
          <w:sz w:val="24"/>
          <w:szCs w:val="24"/>
        </w:rPr>
        <w:t>be sent one month</w:t>
      </w:r>
      <w:r w:rsidR="008C0D1F">
        <w:rPr>
          <w:sz w:val="24"/>
          <w:szCs w:val="24"/>
        </w:rPr>
        <w:t xml:space="preserve"> prior to the April 2015 SCTC Meeting (</w:t>
      </w:r>
      <w:r w:rsidR="008C0D1F" w:rsidRPr="008C0D1F">
        <w:rPr>
          <w:b/>
          <w:sz w:val="24"/>
          <w:szCs w:val="24"/>
        </w:rPr>
        <w:t xml:space="preserve">Attachment </w:t>
      </w:r>
      <w:r w:rsidR="008D013B">
        <w:rPr>
          <w:b/>
          <w:sz w:val="24"/>
          <w:szCs w:val="24"/>
        </w:rPr>
        <w:t>19</w:t>
      </w:r>
      <w:r w:rsidR="008C0D1F">
        <w:rPr>
          <w:sz w:val="24"/>
          <w:szCs w:val="24"/>
        </w:rPr>
        <w:t xml:space="preserve">). </w:t>
      </w:r>
      <w:r w:rsidR="0077116A">
        <w:rPr>
          <w:sz w:val="24"/>
          <w:szCs w:val="24"/>
        </w:rPr>
        <w:t>There will be up to two expert panels consisting of no more than nine participants in each group.</w:t>
      </w:r>
    </w:p>
    <w:p w:rsidR="00C4661C" w:rsidRDefault="00C4661C" w:rsidP="00D55A04">
      <w:pPr>
        <w:pStyle w:val="BodyTextIndent"/>
        <w:spacing w:after="0" w:line="480" w:lineRule="auto"/>
        <w:ind w:left="0" w:firstLine="720"/>
        <w:jc w:val="left"/>
        <w:rPr>
          <w:rFonts w:eastAsia="Batang"/>
          <w:color w:val="000000"/>
          <w:sz w:val="24"/>
          <w:szCs w:val="24"/>
        </w:rPr>
      </w:pPr>
    </w:p>
    <w:p w:rsidR="00F55568" w:rsidRPr="00CE053E" w:rsidRDefault="00F55568" w:rsidP="00F55568">
      <w:pPr>
        <w:pStyle w:val="P1-StandPara"/>
        <w:spacing w:line="240" w:lineRule="auto"/>
        <w:ind w:left="720" w:firstLine="0"/>
        <w:rPr>
          <w:rFonts w:eastAsia="Batang"/>
          <w:color w:val="000000"/>
          <w:sz w:val="24"/>
          <w:szCs w:val="24"/>
        </w:rPr>
      </w:pPr>
      <w:r>
        <w:rPr>
          <w:rFonts w:eastAsia="Batang"/>
          <w:color w:val="000000"/>
          <w:sz w:val="24"/>
          <w:szCs w:val="24"/>
        </w:rPr>
        <w:t>Table B.2-3</w:t>
      </w:r>
      <w:r>
        <w:rPr>
          <w:rFonts w:eastAsia="Batang"/>
          <w:color w:val="000000"/>
          <w:sz w:val="24"/>
          <w:szCs w:val="24"/>
        </w:rPr>
        <w:tab/>
        <w:t>Procedures for Expert Panel</w:t>
      </w:r>
    </w:p>
    <w:tbl>
      <w:tblPr>
        <w:tblW w:w="891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880"/>
        <w:gridCol w:w="6030"/>
      </w:tblGrid>
      <w:tr w:rsidR="00F55568" w:rsidRPr="00FC416F" w:rsidTr="00423C53">
        <w:tc>
          <w:tcPr>
            <w:tcW w:w="2880" w:type="dxa"/>
          </w:tcPr>
          <w:p w:rsidR="00F55568" w:rsidRDefault="00F55568" w:rsidP="00756F00">
            <w:pPr>
              <w:rPr>
                <w:b/>
                <w:sz w:val="24"/>
                <w:szCs w:val="24"/>
              </w:rPr>
            </w:pPr>
            <w:r w:rsidRPr="00025064">
              <w:rPr>
                <w:b/>
                <w:sz w:val="24"/>
                <w:szCs w:val="24"/>
              </w:rPr>
              <w:t>Timeline</w:t>
            </w:r>
          </w:p>
          <w:p w:rsidR="00F55568" w:rsidRPr="00025064" w:rsidRDefault="00F55568" w:rsidP="00756F00">
            <w:pPr>
              <w:rPr>
                <w:b/>
                <w:sz w:val="24"/>
                <w:szCs w:val="24"/>
              </w:rPr>
            </w:pPr>
          </w:p>
        </w:tc>
        <w:tc>
          <w:tcPr>
            <w:tcW w:w="6030" w:type="dxa"/>
            <w:shd w:val="clear" w:color="auto" w:fill="auto"/>
          </w:tcPr>
          <w:p w:rsidR="00F55568" w:rsidRPr="00025064" w:rsidRDefault="00F55568" w:rsidP="00756F00">
            <w:pPr>
              <w:rPr>
                <w:b/>
                <w:sz w:val="24"/>
                <w:szCs w:val="24"/>
              </w:rPr>
            </w:pPr>
            <w:r w:rsidRPr="00025064">
              <w:rPr>
                <w:b/>
                <w:sz w:val="24"/>
                <w:szCs w:val="24"/>
              </w:rPr>
              <w:t>Activity</w:t>
            </w:r>
          </w:p>
        </w:tc>
      </w:tr>
      <w:tr w:rsidR="00F55568" w:rsidRPr="00FC416F" w:rsidTr="00423C53">
        <w:tc>
          <w:tcPr>
            <w:tcW w:w="2880" w:type="dxa"/>
          </w:tcPr>
          <w:p w:rsidR="00F55568" w:rsidRPr="00FC416F" w:rsidRDefault="00F55568" w:rsidP="00756F00">
            <w:pPr>
              <w:jc w:val="left"/>
              <w:rPr>
                <w:sz w:val="24"/>
                <w:szCs w:val="24"/>
              </w:rPr>
            </w:pPr>
            <w:r>
              <w:rPr>
                <w:sz w:val="24"/>
                <w:szCs w:val="24"/>
              </w:rPr>
              <w:t>3 weeks</w:t>
            </w:r>
            <w:r w:rsidRPr="00FC416F">
              <w:rPr>
                <w:sz w:val="24"/>
                <w:szCs w:val="24"/>
              </w:rPr>
              <w:t xml:space="preserve"> </w:t>
            </w:r>
            <w:r>
              <w:rPr>
                <w:sz w:val="24"/>
                <w:szCs w:val="24"/>
              </w:rPr>
              <w:t>after OMB approval</w:t>
            </w:r>
          </w:p>
        </w:tc>
        <w:tc>
          <w:tcPr>
            <w:tcW w:w="6030" w:type="dxa"/>
            <w:shd w:val="clear" w:color="auto" w:fill="auto"/>
          </w:tcPr>
          <w:p w:rsidR="00F55568" w:rsidRPr="00532744" w:rsidRDefault="00F55568" w:rsidP="00756F00">
            <w:pPr>
              <w:jc w:val="left"/>
              <w:rPr>
                <w:sz w:val="24"/>
                <w:szCs w:val="24"/>
              </w:rPr>
            </w:pPr>
            <w:r>
              <w:rPr>
                <w:sz w:val="24"/>
                <w:szCs w:val="24"/>
              </w:rPr>
              <w:t>NCI e</w:t>
            </w:r>
            <w:r w:rsidRPr="00532744">
              <w:rPr>
                <w:sz w:val="24"/>
                <w:szCs w:val="24"/>
              </w:rPr>
              <w:t xml:space="preserve">mail </w:t>
            </w:r>
            <w:r>
              <w:rPr>
                <w:sz w:val="24"/>
                <w:szCs w:val="24"/>
              </w:rPr>
              <w:t>study announcement</w:t>
            </w:r>
            <w:r w:rsidRPr="00532744">
              <w:rPr>
                <w:sz w:val="24"/>
                <w:szCs w:val="24"/>
              </w:rPr>
              <w:t xml:space="preserve"> sent </w:t>
            </w:r>
            <w:r>
              <w:rPr>
                <w:sz w:val="24"/>
                <w:szCs w:val="24"/>
              </w:rPr>
              <w:t>to all potential participants</w:t>
            </w:r>
          </w:p>
        </w:tc>
      </w:tr>
      <w:tr w:rsidR="00F55568" w:rsidRPr="00FC416F" w:rsidTr="00423C53">
        <w:tc>
          <w:tcPr>
            <w:tcW w:w="2880" w:type="dxa"/>
          </w:tcPr>
          <w:p w:rsidR="00F55568" w:rsidRPr="00FC416F" w:rsidRDefault="00F55568" w:rsidP="00F55568">
            <w:pPr>
              <w:jc w:val="left"/>
              <w:rPr>
                <w:sz w:val="24"/>
                <w:szCs w:val="24"/>
              </w:rPr>
            </w:pPr>
            <w:r>
              <w:rPr>
                <w:sz w:val="24"/>
                <w:szCs w:val="24"/>
              </w:rPr>
              <w:t>March 2015</w:t>
            </w:r>
          </w:p>
        </w:tc>
        <w:tc>
          <w:tcPr>
            <w:tcW w:w="6030" w:type="dxa"/>
            <w:shd w:val="clear" w:color="auto" w:fill="auto"/>
          </w:tcPr>
          <w:p w:rsidR="00F55568" w:rsidRPr="00532744" w:rsidRDefault="00F55568" w:rsidP="00A92697">
            <w:pPr>
              <w:jc w:val="left"/>
              <w:rPr>
                <w:sz w:val="24"/>
                <w:szCs w:val="24"/>
              </w:rPr>
            </w:pPr>
            <w:r w:rsidRPr="00532744">
              <w:rPr>
                <w:sz w:val="24"/>
                <w:szCs w:val="24"/>
              </w:rPr>
              <w:t xml:space="preserve">Email invitation letter </w:t>
            </w:r>
            <w:r>
              <w:rPr>
                <w:sz w:val="24"/>
                <w:szCs w:val="24"/>
              </w:rPr>
              <w:t>sent to all potential participants for</w:t>
            </w:r>
            <w:r w:rsidR="00A92697">
              <w:rPr>
                <w:sz w:val="24"/>
                <w:szCs w:val="24"/>
              </w:rPr>
              <w:t xml:space="preserve"> expert panel</w:t>
            </w:r>
          </w:p>
        </w:tc>
      </w:tr>
      <w:tr w:rsidR="00F55568" w:rsidRPr="00FC416F" w:rsidTr="00423C53">
        <w:tc>
          <w:tcPr>
            <w:tcW w:w="2880" w:type="dxa"/>
          </w:tcPr>
          <w:p w:rsidR="00F55568" w:rsidRDefault="00F55568" w:rsidP="00F55568">
            <w:pPr>
              <w:jc w:val="left"/>
              <w:rPr>
                <w:sz w:val="24"/>
                <w:szCs w:val="24"/>
              </w:rPr>
            </w:pPr>
            <w:r>
              <w:rPr>
                <w:sz w:val="24"/>
                <w:szCs w:val="24"/>
              </w:rPr>
              <w:t xml:space="preserve">April 2015 SCTC Meeting </w:t>
            </w:r>
          </w:p>
        </w:tc>
        <w:tc>
          <w:tcPr>
            <w:tcW w:w="6030" w:type="dxa"/>
            <w:shd w:val="clear" w:color="auto" w:fill="auto"/>
          </w:tcPr>
          <w:p w:rsidR="00F55568" w:rsidRPr="00532744" w:rsidRDefault="00A92697" w:rsidP="00A92697">
            <w:pPr>
              <w:jc w:val="left"/>
              <w:rPr>
                <w:sz w:val="24"/>
                <w:szCs w:val="24"/>
              </w:rPr>
            </w:pPr>
            <w:r>
              <w:rPr>
                <w:sz w:val="24"/>
                <w:szCs w:val="24"/>
              </w:rPr>
              <w:t>Expert panel held during meeting</w:t>
            </w:r>
          </w:p>
        </w:tc>
      </w:tr>
    </w:tbl>
    <w:p w:rsidR="00F55568" w:rsidRDefault="00F55568" w:rsidP="00F55568">
      <w:pPr>
        <w:pStyle w:val="P1-StandPara"/>
        <w:spacing w:line="240" w:lineRule="auto"/>
        <w:ind w:left="1440" w:firstLine="0"/>
        <w:rPr>
          <w:sz w:val="24"/>
          <w:szCs w:val="24"/>
        </w:rPr>
      </w:pPr>
    </w:p>
    <w:p w:rsidR="00F55568" w:rsidRDefault="00F55568" w:rsidP="00D55A04">
      <w:pPr>
        <w:pStyle w:val="BodyTextIndent"/>
        <w:spacing w:after="0" w:line="480" w:lineRule="auto"/>
        <w:ind w:left="0" w:firstLine="720"/>
        <w:jc w:val="left"/>
        <w:rPr>
          <w:rFonts w:eastAsia="Batang"/>
          <w:color w:val="000000"/>
          <w:sz w:val="24"/>
          <w:szCs w:val="24"/>
        </w:rPr>
      </w:pPr>
    </w:p>
    <w:p w:rsidR="009112D3" w:rsidRDefault="00FA65B6" w:rsidP="00D55A04">
      <w:pPr>
        <w:pStyle w:val="BodyTextIndent"/>
        <w:spacing w:after="0" w:line="480" w:lineRule="auto"/>
        <w:ind w:left="0" w:firstLine="720"/>
        <w:jc w:val="left"/>
        <w:rPr>
          <w:rFonts w:eastAsia="Batang"/>
          <w:color w:val="000000"/>
          <w:sz w:val="24"/>
          <w:szCs w:val="24"/>
        </w:rPr>
      </w:pPr>
      <w:r w:rsidRPr="00437E2C">
        <w:rPr>
          <w:rFonts w:eastAsia="Batang"/>
          <w:color w:val="000000"/>
          <w:sz w:val="24"/>
          <w:szCs w:val="24"/>
        </w:rPr>
        <w:lastRenderedPageBreak/>
        <w:t xml:space="preserve">Data will be gathered using </w:t>
      </w:r>
      <w:r w:rsidR="009112D3">
        <w:rPr>
          <w:rFonts w:eastAsia="Batang"/>
          <w:color w:val="000000"/>
          <w:sz w:val="24"/>
          <w:szCs w:val="24"/>
        </w:rPr>
        <w:t xml:space="preserve">three different modes of data collection:  </w:t>
      </w:r>
      <w:r w:rsidRPr="00437E2C">
        <w:rPr>
          <w:rFonts w:eastAsia="Batang"/>
          <w:color w:val="000000"/>
          <w:sz w:val="24"/>
          <w:szCs w:val="24"/>
        </w:rPr>
        <w:t>a self-administered online</w:t>
      </w:r>
      <w:r w:rsidR="00F52A82">
        <w:rPr>
          <w:rFonts w:eastAsia="Batang"/>
          <w:color w:val="000000"/>
          <w:sz w:val="24"/>
          <w:szCs w:val="24"/>
        </w:rPr>
        <w:t xml:space="preserve"> web </w:t>
      </w:r>
      <w:r w:rsidRPr="00437E2C">
        <w:rPr>
          <w:rFonts w:eastAsia="Batang"/>
          <w:color w:val="000000"/>
          <w:sz w:val="24"/>
          <w:szCs w:val="24"/>
        </w:rPr>
        <w:t xml:space="preserve">survey </w:t>
      </w:r>
      <w:r w:rsidR="008B1227" w:rsidRPr="00437E2C">
        <w:rPr>
          <w:rFonts w:eastAsia="Batang"/>
          <w:color w:val="000000"/>
          <w:sz w:val="24"/>
          <w:szCs w:val="24"/>
        </w:rPr>
        <w:t>(</w:t>
      </w:r>
      <w:r w:rsidR="008B1227" w:rsidRPr="00437E2C">
        <w:rPr>
          <w:rFonts w:eastAsia="Batang"/>
          <w:b/>
          <w:color w:val="000000"/>
          <w:sz w:val="24"/>
          <w:szCs w:val="24"/>
        </w:rPr>
        <w:t>Attachment</w:t>
      </w:r>
      <w:r w:rsidR="002F58D7">
        <w:rPr>
          <w:rFonts w:eastAsia="Batang"/>
          <w:b/>
          <w:color w:val="000000"/>
          <w:sz w:val="24"/>
          <w:szCs w:val="24"/>
        </w:rPr>
        <w:t>s</w:t>
      </w:r>
      <w:r w:rsidR="008B1227" w:rsidRPr="00437E2C">
        <w:rPr>
          <w:rFonts w:eastAsia="Batang"/>
          <w:b/>
          <w:color w:val="000000"/>
          <w:sz w:val="24"/>
          <w:szCs w:val="24"/>
        </w:rPr>
        <w:t xml:space="preserve"> 1</w:t>
      </w:r>
      <w:r w:rsidR="002F58D7">
        <w:rPr>
          <w:rFonts w:eastAsia="Batang"/>
          <w:b/>
          <w:color w:val="000000"/>
          <w:sz w:val="24"/>
          <w:szCs w:val="24"/>
        </w:rPr>
        <w:t xml:space="preserve"> and 2</w:t>
      </w:r>
      <w:r w:rsidR="008B1227" w:rsidRPr="00437E2C">
        <w:rPr>
          <w:rFonts w:eastAsia="Batang"/>
          <w:color w:val="000000"/>
          <w:sz w:val="24"/>
          <w:szCs w:val="24"/>
        </w:rPr>
        <w:t>)</w:t>
      </w:r>
      <w:r w:rsidR="009112D3">
        <w:rPr>
          <w:rFonts w:eastAsia="Batang"/>
          <w:color w:val="000000"/>
          <w:sz w:val="24"/>
          <w:szCs w:val="24"/>
        </w:rPr>
        <w:t xml:space="preserve">; telephone interview audio files </w:t>
      </w:r>
      <w:r w:rsidR="00972500" w:rsidRPr="00437E2C">
        <w:rPr>
          <w:rFonts w:eastAsia="Batang"/>
          <w:color w:val="000000"/>
          <w:sz w:val="24"/>
          <w:szCs w:val="24"/>
        </w:rPr>
        <w:t>(</w:t>
      </w:r>
      <w:r w:rsidR="00972500" w:rsidRPr="00437E2C">
        <w:rPr>
          <w:rFonts w:eastAsia="Batang"/>
          <w:b/>
          <w:color w:val="000000"/>
          <w:sz w:val="24"/>
          <w:szCs w:val="24"/>
        </w:rPr>
        <w:t>Attachment</w:t>
      </w:r>
      <w:r w:rsidR="002F58D7">
        <w:rPr>
          <w:rFonts w:eastAsia="Batang"/>
          <w:b/>
          <w:color w:val="000000"/>
          <w:sz w:val="24"/>
          <w:szCs w:val="24"/>
        </w:rPr>
        <w:t>s</w:t>
      </w:r>
      <w:r w:rsidR="00972500" w:rsidRPr="00437E2C">
        <w:rPr>
          <w:rFonts w:eastAsia="Batang"/>
          <w:b/>
          <w:color w:val="000000"/>
          <w:sz w:val="24"/>
          <w:szCs w:val="24"/>
        </w:rPr>
        <w:t xml:space="preserve"> </w:t>
      </w:r>
      <w:r w:rsidR="002F58D7">
        <w:rPr>
          <w:rFonts w:eastAsia="Batang"/>
          <w:b/>
          <w:color w:val="000000"/>
          <w:sz w:val="24"/>
          <w:szCs w:val="24"/>
        </w:rPr>
        <w:t xml:space="preserve">3 through </w:t>
      </w:r>
      <w:r w:rsidR="008D013B">
        <w:rPr>
          <w:rFonts w:eastAsia="Batang"/>
          <w:b/>
          <w:color w:val="000000"/>
          <w:sz w:val="24"/>
          <w:szCs w:val="24"/>
        </w:rPr>
        <w:t>7</w:t>
      </w:r>
      <w:r w:rsidR="00972500" w:rsidRPr="00437E2C">
        <w:rPr>
          <w:rFonts w:eastAsia="Batang"/>
          <w:color w:val="000000"/>
          <w:sz w:val="24"/>
          <w:szCs w:val="24"/>
        </w:rPr>
        <w:t>)</w:t>
      </w:r>
      <w:r w:rsidR="009112D3">
        <w:rPr>
          <w:rFonts w:eastAsia="Batang"/>
          <w:color w:val="000000"/>
          <w:sz w:val="24"/>
          <w:szCs w:val="24"/>
        </w:rPr>
        <w:t>;</w:t>
      </w:r>
      <w:r w:rsidR="00972500" w:rsidRPr="00437E2C">
        <w:rPr>
          <w:rFonts w:eastAsia="Batang"/>
          <w:color w:val="000000"/>
          <w:sz w:val="24"/>
          <w:szCs w:val="24"/>
        </w:rPr>
        <w:t xml:space="preserve"> </w:t>
      </w:r>
      <w:r w:rsidRPr="00437E2C">
        <w:rPr>
          <w:rFonts w:eastAsia="Batang"/>
          <w:color w:val="000000"/>
          <w:sz w:val="24"/>
          <w:szCs w:val="24"/>
        </w:rPr>
        <w:t xml:space="preserve">and </w:t>
      </w:r>
      <w:r w:rsidR="009112D3">
        <w:rPr>
          <w:rFonts w:eastAsia="Batang"/>
          <w:color w:val="000000"/>
          <w:sz w:val="24"/>
          <w:szCs w:val="24"/>
        </w:rPr>
        <w:t xml:space="preserve">expert panel audio files </w:t>
      </w:r>
      <w:r w:rsidR="008B1227">
        <w:rPr>
          <w:rFonts w:eastAsia="Batang"/>
          <w:color w:val="000000"/>
          <w:sz w:val="24"/>
          <w:szCs w:val="24"/>
        </w:rPr>
        <w:t>(</w:t>
      </w:r>
      <w:r w:rsidR="008B1227" w:rsidRPr="008B1227">
        <w:rPr>
          <w:rFonts w:eastAsia="Batang"/>
          <w:b/>
          <w:color w:val="000000"/>
          <w:sz w:val="24"/>
          <w:szCs w:val="24"/>
        </w:rPr>
        <w:t xml:space="preserve">Attachment </w:t>
      </w:r>
      <w:r w:rsidR="008D013B">
        <w:rPr>
          <w:rFonts w:eastAsia="Batang"/>
          <w:b/>
          <w:color w:val="000000"/>
          <w:sz w:val="24"/>
          <w:szCs w:val="24"/>
        </w:rPr>
        <w:t>8</w:t>
      </w:r>
      <w:r w:rsidR="008B1227">
        <w:rPr>
          <w:rFonts w:eastAsia="Batang"/>
          <w:color w:val="000000"/>
          <w:sz w:val="24"/>
          <w:szCs w:val="24"/>
        </w:rPr>
        <w:t>)</w:t>
      </w:r>
      <w:r w:rsidRPr="00A534FC">
        <w:rPr>
          <w:rFonts w:eastAsia="Batang"/>
          <w:color w:val="000000"/>
          <w:sz w:val="24"/>
          <w:szCs w:val="24"/>
        </w:rPr>
        <w:t xml:space="preserve">. </w:t>
      </w:r>
      <w:r w:rsidR="00972500">
        <w:rPr>
          <w:rFonts w:eastAsia="Batang"/>
          <w:color w:val="000000"/>
          <w:sz w:val="24"/>
          <w:szCs w:val="24"/>
        </w:rPr>
        <w:t xml:space="preserve">The </w:t>
      </w:r>
      <w:r w:rsidR="009112D3">
        <w:rPr>
          <w:rFonts w:eastAsia="Batang"/>
          <w:color w:val="000000"/>
          <w:sz w:val="24"/>
          <w:szCs w:val="24"/>
        </w:rPr>
        <w:t xml:space="preserve">information </w:t>
      </w:r>
      <w:r w:rsidR="00972500">
        <w:rPr>
          <w:rFonts w:eastAsia="Batang"/>
          <w:color w:val="000000"/>
          <w:sz w:val="24"/>
          <w:szCs w:val="24"/>
        </w:rPr>
        <w:t>collect</w:t>
      </w:r>
      <w:r w:rsidR="009112D3">
        <w:rPr>
          <w:rFonts w:eastAsia="Batang"/>
          <w:color w:val="000000"/>
          <w:sz w:val="24"/>
          <w:szCs w:val="24"/>
        </w:rPr>
        <w:t xml:space="preserve">ed will determine relationships, interactions, and connectedness among different </w:t>
      </w:r>
      <w:r w:rsidR="00092EDF">
        <w:rPr>
          <w:rFonts w:eastAsia="Batang"/>
          <w:color w:val="000000"/>
          <w:sz w:val="24"/>
          <w:szCs w:val="24"/>
        </w:rPr>
        <w:t>network partnerships over time and with policy makers; assess the utility of research tools, interventions, products and findings; and determine key indicators for broad adoption of research products.</w:t>
      </w:r>
    </w:p>
    <w:p w:rsidR="0037616F" w:rsidRDefault="0037616F">
      <w:pPr>
        <w:spacing w:line="240" w:lineRule="auto"/>
        <w:jc w:val="left"/>
        <w:rPr>
          <w:rFonts w:eastAsia="Batang"/>
          <w:b/>
          <w:color w:val="000000"/>
          <w:sz w:val="24"/>
          <w:szCs w:val="24"/>
        </w:rPr>
      </w:pPr>
    </w:p>
    <w:p w:rsidR="00D31EC3" w:rsidRDefault="00D31EC3" w:rsidP="00F15D28">
      <w:pPr>
        <w:ind w:firstLine="720"/>
        <w:rPr>
          <w:rFonts w:eastAsia="Batang"/>
          <w:b/>
          <w:color w:val="000000"/>
          <w:sz w:val="24"/>
          <w:szCs w:val="24"/>
        </w:rPr>
      </w:pPr>
      <w:r w:rsidRPr="00A534FC">
        <w:rPr>
          <w:rFonts w:eastAsia="Batang"/>
          <w:b/>
          <w:color w:val="000000"/>
          <w:sz w:val="24"/>
          <w:szCs w:val="24"/>
        </w:rPr>
        <w:t>B.2.1. Quality Control</w:t>
      </w:r>
    </w:p>
    <w:p w:rsidR="00A534FC" w:rsidRPr="00A534FC" w:rsidRDefault="00A534FC" w:rsidP="00F15D28">
      <w:pPr>
        <w:ind w:firstLine="720"/>
        <w:rPr>
          <w:rFonts w:eastAsia="Batang"/>
          <w:b/>
          <w:color w:val="000000"/>
          <w:sz w:val="24"/>
          <w:szCs w:val="24"/>
        </w:rPr>
      </w:pPr>
    </w:p>
    <w:p w:rsidR="00113E23" w:rsidRPr="001D326D" w:rsidRDefault="00D31EC3" w:rsidP="00F15D28">
      <w:pPr>
        <w:pStyle w:val="BodyTextIndent"/>
        <w:spacing w:after="0" w:line="480" w:lineRule="auto"/>
        <w:ind w:left="0" w:firstLine="720"/>
        <w:jc w:val="left"/>
        <w:rPr>
          <w:sz w:val="24"/>
          <w:szCs w:val="24"/>
        </w:rPr>
      </w:pPr>
      <w:r w:rsidRPr="00A534FC">
        <w:rPr>
          <w:rFonts w:eastAsia="Batang"/>
          <w:color w:val="000000"/>
          <w:sz w:val="24"/>
          <w:szCs w:val="24"/>
        </w:rPr>
        <w:t>The contractor for this study will establish and maintain quality control procedures to ensure standardization, and high standards of data collection and data processing. The contractor will maintain a log of all decisions that affect sample enrollment and data collection. The contractor will monitor response rates and completeness of acquired data</w:t>
      </w:r>
      <w:r w:rsidR="008C0224">
        <w:rPr>
          <w:rFonts w:eastAsia="Batang"/>
          <w:color w:val="000000"/>
          <w:sz w:val="24"/>
          <w:szCs w:val="24"/>
        </w:rPr>
        <w:t>, and provide NCI with progress reports in agreed upon intervals</w:t>
      </w:r>
      <w:r w:rsidRPr="00A534FC">
        <w:rPr>
          <w:rFonts w:eastAsia="Batang"/>
          <w:color w:val="000000"/>
          <w:sz w:val="24"/>
          <w:szCs w:val="24"/>
        </w:rPr>
        <w:t>.</w:t>
      </w:r>
    </w:p>
    <w:p w:rsidR="00B11CBF" w:rsidRDefault="00B11CBF">
      <w:pPr>
        <w:spacing w:line="240" w:lineRule="auto"/>
        <w:jc w:val="left"/>
        <w:rPr>
          <w:b/>
          <w:sz w:val="24"/>
          <w:szCs w:val="24"/>
        </w:rPr>
      </w:pPr>
      <w:bookmarkStart w:id="16" w:name="_Toc443881765"/>
      <w:bookmarkStart w:id="17" w:name="_Toc451592252"/>
      <w:bookmarkStart w:id="18" w:name="_Toc5610293"/>
      <w:bookmarkStart w:id="19" w:name="_Toc99178799"/>
    </w:p>
    <w:p w:rsidR="000962BB" w:rsidRDefault="00E41609" w:rsidP="00E41609">
      <w:pPr>
        <w:pStyle w:val="Heading2"/>
        <w:tabs>
          <w:tab w:val="clear" w:pos="1152"/>
          <w:tab w:val="left" w:pos="720"/>
        </w:tabs>
        <w:spacing w:after="0" w:line="480" w:lineRule="auto"/>
        <w:ind w:left="0" w:firstLine="0"/>
        <w:rPr>
          <w:sz w:val="24"/>
          <w:szCs w:val="24"/>
        </w:rPr>
      </w:pPr>
      <w:bookmarkStart w:id="20" w:name="_Toc358383275"/>
      <w:r>
        <w:rPr>
          <w:sz w:val="24"/>
          <w:szCs w:val="24"/>
        </w:rPr>
        <w:t>B.</w:t>
      </w:r>
      <w:r w:rsidR="000962BB" w:rsidRPr="00E41609">
        <w:rPr>
          <w:sz w:val="24"/>
          <w:szCs w:val="24"/>
        </w:rPr>
        <w:t>3</w:t>
      </w:r>
      <w:r>
        <w:rPr>
          <w:sz w:val="24"/>
          <w:szCs w:val="24"/>
        </w:rPr>
        <w:tab/>
      </w:r>
      <w:r w:rsidR="000962BB" w:rsidRPr="00E41609">
        <w:rPr>
          <w:sz w:val="24"/>
          <w:szCs w:val="24"/>
        </w:rPr>
        <w:t>Methods to Maximize Response Rates and Deal with Nonresponse</w:t>
      </w:r>
      <w:bookmarkEnd w:id="16"/>
      <w:bookmarkEnd w:id="17"/>
      <w:bookmarkEnd w:id="18"/>
      <w:bookmarkEnd w:id="19"/>
      <w:bookmarkEnd w:id="20"/>
    </w:p>
    <w:p w:rsidR="00FA65B6" w:rsidRPr="008F5695" w:rsidRDefault="001006FD" w:rsidP="00FA65B6">
      <w:pPr>
        <w:ind w:left="720"/>
        <w:rPr>
          <w:rFonts w:eastAsia="Batang"/>
          <w:b/>
          <w:color w:val="000000"/>
          <w:sz w:val="24"/>
          <w:szCs w:val="24"/>
        </w:rPr>
      </w:pPr>
      <w:r>
        <w:rPr>
          <w:rFonts w:eastAsia="Batang"/>
          <w:b/>
          <w:color w:val="000000"/>
          <w:sz w:val="24"/>
          <w:szCs w:val="24"/>
        </w:rPr>
        <w:t xml:space="preserve">B.3.1. </w:t>
      </w:r>
      <w:r w:rsidR="00FA65B6" w:rsidRPr="008F5695">
        <w:rPr>
          <w:rFonts w:eastAsia="Batang"/>
          <w:b/>
          <w:color w:val="000000"/>
          <w:sz w:val="24"/>
          <w:szCs w:val="24"/>
        </w:rPr>
        <w:t>Follow-up</w:t>
      </w:r>
    </w:p>
    <w:p w:rsidR="00FA65B6" w:rsidRDefault="00FA65B6" w:rsidP="00FA65B6">
      <w:pPr>
        <w:ind w:left="720"/>
        <w:rPr>
          <w:rFonts w:eastAsia="Batang"/>
          <w:color w:val="000000"/>
          <w:sz w:val="24"/>
          <w:szCs w:val="24"/>
        </w:rPr>
      </w:pPr>
    </w:p>
    <w:p w:rsidR="00FA65B6" w:rsidRPr="001D326D" w:rsidRDefault="00FA65B6" w:rsidP="002D099F">
      <w:pPr>
        <w:pStyle w:val="BodyTextIndent"/>
        <w:spacing w:after="0" w:line="480" w:lineRule="auto"/>
        <w:ind w:left="0" w:firstLine="720"/>
        <w:jc w:val="left"/>
        <w:rPr>
          <w:sz w:val="24"/>
          <w:szCs w:val="24"/>
        </w:rPr>
      </w:pPr>
      <w:r w:rsidRPr="00572215">
        <w:rPr>
          <w:rFonts w:eastAsia="Batang"/>
          <w:color w:val="000000"/>
          <w:sz w:val="24"/>
          <w:szCs w:val="24"/>
        </w:rPr>
        <w:t>To improve response rates</w:t>
      </w:r>
      <w:r w:rsidR="00F155A8">
        <w:rPr>
          <w:rFonts w:eastAsia="Batang"/>
          <w:color w:val="000000"/>
          <w:sz w:val="24"/>
          <w:szCs w:val="24"/>
        </w:rPr>
        <w:t xml:space="preserve"> and cooperation</w:t>
      </w:r>
      <w:r w:rsidRPr="00572215">
        <w:rPr>
          <w:rFonts w:eastAsia="Batang"/>
          <w:color w:val="000000"/>
          <w:sz w:val="24"/>
          <w:szCs w:val="24"/>
        </w:rPr>
        <w:t xml:space="preserve">, follow-up efforts will be used to encourage survey </w:t>
      </w:r>
      <w:r w:rsidR="00324F69">
        <w:rPr>
          <w:rFonts w:eastAsia="Batang"/>
          <w:color w:val="000000"/>
          <w:sz w:val="24"/>
          <w:szCs w:val="24"/>
        </w:rPr>
        <w:t xml:space="preserve">and telephone interview </w:t>
      </w:r>
      <w:r w:rsidRPr="00572215">
        <w:rPr>
          <w:rFonts w:eastAsia="Batang"/>
          <w:color w:val="000000"/>
          <w:sz w:val="24"/>
          <w:szCs w:val="24"/>
        </w:rPr>
        <w:t xml:space="preserve">completion. </w:t>
      </w:r>
      <w:r w:rsidR="009D7EBF">
        <w:rPr>
          <w:rFonts w:eastAsia="Batang"/>
          <w:color w:val="000000"/>
          <w:sz w:val="24"/>
          <w:szCs w:val="24"/>
        </w:rPr>
        <w:t>T</w:t>
      </w:r>
      <w:r w:rsidRPr="00572215">
        <w:rPr>
          <w:rFonts w:eastAsia="Batang"/>
          <w:color w:val="000000"/>
          <w:sz w:val="24"/>
          <w:szCs w:val="24"/>
        </w:rPr>
        <w:t xml:space="preserve">he </w:t>
      </w:r>
      <w:r w:rsidR="00380534">
        <w:rPr>
          <w:rFonts w:eastAsia="Batang"/>
          <w:color w:val="000000"/>
          <w:sz w:val="24"/>
          <w:szCs w:val="24"/>
        </w:rPr>
        <w:t>efforts to reduce the number of non-respondents</w:t>
      </w:r>
      <w:r w:rsidRPr="00572215">
        <w:rPr>
          <w:rFonts w:eastAsia="Batang"/>
          <w:color w:val="000000"/>
          <w:sz w:val="24"/>
          <w:szCs w:val="24"/>
        </w:rPr>
        <w:t xml:space="preserve"> </w:t>
      </w:r>
      <w:r w:rsidR="009D7EBF">
        <w:rPr>
          <w:rFonts w:eastAsia="Batang"/>
          <w:color w:val="000000"/>
          <w:sz w:val="24"/>
          <w:szCs w:val="24"/>
        </w:rPr>
        <w:t>apply only to non-respondents and consist of the following</w:t>
      </w:r>
      <w:r w:rsidRPr="00572215">
        <w:rPr>
          <w:rFonts w:eastAsia="Batang"/>
          <w:color w:val="000000"/>
          <w:sz w:val="24"/>
          <w:szCs w:val="24"/>
        </w:rPr>
        <w:t>:</w:t>
      </w:r>
    </w:p>
    <w:p w:rsidR="00E55DF2" w:rsidRDefault="00E55DF2" w:rsidP="002D099F">
      <w:pPr>
        <w:pStyle w:val="P1-StandPara"/>
        <w:numPr>
          <w:ilvl w:val="0"/>
          <w:numId w:val="17"/>
        </w:numPr>
        <w:spacing w:line="240" w:lineRule="auto"/>
        <w:rPr>
          <w:sz w:val="24"/>
          <w:szCs w:val="24"/>
        </w:rPr>
      </w:pPr>
      <w:r>
        <w:rPr>
          <w:sz w:val="24"/>
          <w:szCs w:val="24"/>
        </w:rPr>
        <w:t xml:space="preserve">Reminder emails will be sent to all non-respondents beginning </w:t>
      </w:r>
      <w:r w:rsidR="00324F69">
        <w:rPr>
          <w:sz w:val="24"/>
          <w:szCs w:val="24"/>
        </w:rPr>
        <w:t>one</w:t>
      </w:r>
      <w:r>
        <w:rPr>
          <w:sz w:val="24"/>
          <w:szCs w:val="24"/>
        </w:rPr>
        <w:t xml:space="preserve"> week after initiation of the survey</w:t>
      </w:r>
      <w:r w:rsidR="00324F69">
        <w:rPr>
          <w:sz w:val="24"/>
          <w:szCs w:val="24"/>
        </w:rPr>
        <w:t xml:space="preserve"> and telephone interview</w:t>
      </w:r>
      <w:r w:rsidR="00AD71B4">
        <w:rPr>
          <w:sz w:val="24"/>
          <w:szCs w:val="24"/>
        </w:rPr>
        <w:t>. F</w:t>
      </w:r>
      <w:r w:rsidR="001F182D">
        <w:rPr>
          <w:sz w:val="24"/>
          <w:szCs w:val="24"/>
        </w:rPr>
        <w:t>or the survey, a second reminder email will be sent one week after the first reminder email</w:t>
      </w:r>
      <w:r w:rsidR="00AD71B4">
        <w:rPr>
          <w:sz w:val="24"/>
          <w:szCs w:val="24"/>
        </w:rPr>
        <w:t xml:space="preserve"> and, for the telephone interview, a second reminder email will be sent to those individuals for whom there is no phone number available for a telephone follow-up call.</w:t>
      </w:r>
      <w:r w:rsidR="001F182D">
        <w:rPr>
          <w:sz w:val="24"/>
          <w:szCs w:val="24"/>
        </w:rPr>
        <w:t xml:space="preserve"> </w:t>
      </w:r>
      <w:r>
        <w:rPr>
          <w:sz w:val="24"/>
          <w:szCs w:val="24"/>
        </w:rPr>
        <w:t>(</w:t>
      </w:r>
      <w:r w:rsidRPr="000861B5">
        <w:rPr>
          <w:b/>
          <w:sz w:val="24"/>
          <w:szCs w:val="24"/>
        </w:rPr>
        <w:t>Attachment</w:t>
      </w:r>
      <w:r w:rsidR="00BB5144">
        <w:rPr>
          <w:b/>
          <w:sz w:val="24"/>
          <w:szCs w:val="24"/>
        </w:rPr>
        <w:t xml:space="preserve">s </w:t>
      </w:r>
      <w:r w:rsidR="002155DA">
        <w:rPr>
          <w:b/>
          <w:sz w:val="24"/>
          <w:szCs w:val="24"/>
        </w:rPr>
        <w:t>2</w:t>
      </w:r>
      <w:r w:rsidR="008F6715">
        <w:rPr>
          <w:b/>
          <w:sz w:val="24"/>
          <w:szCs w:val="24"/>
        </w:rPr>
        <w:t>0</w:t>
      </w:r>
      <w:r w:rsidR="002155DA">
        <w:rPr>
          <w:b/>
          <w:sz w:val="24"/>
          <w:szCs w:val="24"/>
        </w:rPr>
        <w:t>-2</w:t>
      </w:r>
      <w:r w:rsidR="008F6715">
        <w:rPr>
          <w:b/>
          <w:sz w:val="24"/>
          <w:szCs w:val="24"/>
        </w:rPr>
        <w:t>3</w:t>
      </w:r>
      <w:r>
        <w:rPr>
          <w:sz w:val="24"/>
          <w:szCs w:val="24"/>
        </w:rPr>
        <w:t>).</w:t>
      </w:r>
    </w:p>
    <w:p w:rsidR="00F15D28" w:rsidRDefault="00F15D28" w:rsidP="00D55A04">
      <w:pPr>
        <w:pStyle w:val="P1-StandPara"/>
        <w:spacing w:line="240" w:lineRule="auto"/>
        <w:ind w:left="1440" w:firstLine="0"/>
        <w:rPr>
          <w:sz w:val="24"/>
          <w:szCs w:val="24"/>
        </w:rPr>
      </w:pPr>
    </w:p>
    <w:p w:rsidR="00E55DF2" w:rsidRDefault="00324F69" w:rsidP="00D55A04">
      <w:pPr>
        <w:pStyle w:val="P1-StandPara"/>
        <w:numPr>
          <w:ilvl w:val="0"/>
          <w:numId w:val="17"/>
        </w:numPr>
        <w:spacing w:line="240" w:lineRule="auto"/>
        <w:rPr>
          <w:sz w:val="24"/>
          <w:szCs w:val="24"/>
        </w:rPr>
      </w:pPr>
      <w:r>
        <w:rPr>
          <w:sz w:val="24"/>
          <w:szCs w:val="24"/>
        </w:rPr>
        <w:t>One week after the</w:t>
      </w:r>
      <w:r w:rsidR="00AD71B4">
        <w:rPr>
          <w:sz w:val="24"/>
          <w:szCs w:val="24"/>
        </w:rPr>
        <w:t xml:space="preserve"> second </w:t>
      </w:r>
      <w:r>
        <w:rPr>
          <w:sz w:val="24"/>
          <w:szCs w:val="24"/>
        </w:rPr>
        <w:t>reminder email, t</w:t>
      </w:r>
      <w:r w:rsidR="00E55DF2">
        <w:rPr>
          <w:sz w:val="24"/>
          <w:szCs w:val="24"/>
        </w:rPr>
        <w:t>elephone follow-up for non-response will begin</w:t>
      </w:r>
      <w:r>
        <w:rPr>
          <w:sz w:val="24"/>
          <w:szCs w:val="24"/>
        </w:rPr>
        <w:t xml:space="preserve"> for those individuals with a telephone number available.</w:t>
      </w:r>
      <w:r w:rsidR="00E55DF2">
        <w:rPr>
          <w:sz w:val="24"/>
          <w:szCs w:val="24"/>
        </w:rPr>
        <w:t xml:space="preserve"> Experienced telephone interviewers, who are trained in non-response conversion, will make up </w:t>
      </w:r>
      <w:r w:rsidR="00E55DF2">
        <w:rPr>
          <w:sz w:val="24"/>
          <w:szCs w:val="24"/>
        </w:rPr>
        <w:lastRenderedPageBreak/>
        <w:t xml:space="preserve">to </w:t>
      </w:r>
      <w:r w:rsidR="0087675F">
        <w:rPr>
          <w:sz w:val="24"/>
          <w:szCs w:val="24"/>
        </w:rPr>
        <w:t>three</w:t>
      </w:r>
      <w:r w:rsidR="00E55DF2">
        <w:rPr>
          <w:sz w:val="24"/>
          <w:szCs w:val="24"/>
        </w:rPr>
        <w:t xml:space="preserve"> attempts for the follow-up calls. The call is a prompting call only encouraging the potential participant to </w:t>
      </w:r>
      <w:r w:rsidR="001D0C9F">
        <w:rPr>
          <w:sz w:val="24"/>
          <w:szCs w:val="24"/>
        </w:rPr>
        <w:t>participate</w:t>
      </w:r>
      <w:r w:rsidR="00ED5D84">
        <w:rPr>
          <w:sz w:val="24"/>
          <w:szCs w:val="24"/>
        </w:rPr>
        <w:t xml:space="preserve">. </w:t>
      </w:r>
      <w:r w:rsidR="00E55DF2">
        <w:rPr>
          <w:sz w:val="24"/>
          <w:szCs w:val="24"/>
        </w:rPr>
        <w:t xml:space="preserve">The telephone interviewers will use the </w:t>
      </w:r>
      <w:r w:rsidR="00665455">
        <w:rPr>
          <w:sz w:val="24"/>
          <w:szCs w:val="24"/>
        </w:rPr>
        <w:t xml:space="preserve">appropriate </w:t>
      </w:r>
      <w:r w:rsidR="001D0C9F">
        <w:rPr>
          <w:sz w:val="24"/>
          <w:szCs w:val="24"/>
        </w:rPr>
        <w:t>Telephone Follow-up S</w:t>
      </w:r>
      <w:r w:rsidR="00E55DF2">
        <w:rPr>
          <w:sz w:val="24"/>
          <w:szCs w:val="24"/>
        </w:rPr>
        <w:t>cript</w:t>
      </w:r>
      <w:r w:rsidR="001D0C9F">
        <w:rPr>
          <w:sz w:val="24"/>
          <w:szCs w:val="24"/>
        </w:rPr>
        <w:t xml:space="preserve"> for the call</w:t>
      </w:r>
      <w:r w:rsidR="00E55DF2">
        <w:rPr>
          <w:sz w:val="24"/>
          <w:szCs w:val="24"/>
        </w:rPr>
        <w:t xml:space="preserve"> </w:t>
      </w:r>
      <w:r w:rsidR="00665455">
        <w:rPr>
          <w:sz w:val="24"/>
          <w:szCs w:val="24"/>
        </w:rPr>
        <w:t>corresponding to the data collection mode - either survey or telephone interview (</w:t>
      </w:r>
      <w:r w:rsidR="00665455" w:rsidRPr="00C643F5">
        <w:rPr>
          <w:b/>
          <w:sz w:val="24"/>
          <w:szCs w:val="24"/>
        </w:rPr>
        <w:t>Attachment</w:t>
      </w:r>
      <w:r w:rsidR="00BB5144">
        <w:rPr>
          <w:b/>
          <w:sz w:val="24"/>
          <w:szCs w:val="24"/>
        </w:rPr>
        <w:t>s 2</w:t>
      </w:r>
      <w:r w:rsidR="008F6715">
        <w:rPr>
          <w:b/>
          <w:sz w:val="24"/>
          <w:szCs w:val="24"/>
        </w:rPr>
        <w:t>4</w:t>
      </w:r>
      <w:r w:rsidR="001F3B30">
        <w:rPr>
          <w:b/>
          <w:sz w:val="24"/>
          <w:szCs w:val="24"/>
        </w:rPr>
        <w:t>-</w:t>
      </w:r>
      <w:r w:rsidR="00BB5144">
        <w:rPr>
          <w:b/>
          <w:sz w:val="24"/>
          <w:szCs w:val="24"/>
        </w:rPr>
        <w:t>2</w:t>
      </w:r>
      <w:r w:rsidR="008F6715">
        <w:rPr>
          <w:b/>
          <w:sz w:val="24"/>
          <w:szCs w:val="24"/>
        </w:rPr>
        <w:t>5</w:t>
      </w:r>
      <w:r w:rsidR="00665455">
        <w:rPr>
          <w:sz w:val="24"/>
          <w:szCs w:val="24"/>
        </w:rPr>
        <w:t>)</w:t>
      </w:r>
      <w:r w:rsidR="00E55DF2">
        <w:rPr>
          <w:sz w:val="24"/>
          <w:szCs w:val="24"/>
        </w:rPr>
        <w:t>.</w:t>
      </w:r>
    </w:p>
    <w:p w:rsidR="0007467C" w:rsidRDefault="0007467C" w:rsidP="0007467C">
      <w:pPr>
        <w:pStyle w:val="P1-StandPara"/>
        <w:spacing w:line="240" w:lineRule="auto"/>
        <w:ind w:left="1440" w:firstLine="0"/>
        <w:rPr>
          <w:sz w:val="24"/>
          <w:szCs w:val="24"/>
        </w:rPr>
      </w:pPr>
    </w:p>
    <w:p w:rsidR="008D5061" w:rsidRDefault="008D5061" w:rsidP="00D55A04">
      <w:pPr>
        <w:pStyle w:val="P1-StandPara"/>
        <w:numPr>
          <w:ilvl w:val="0"/>
          <w:numId w:val="17"/>
        </w:numPr>
        <w:spacing w:line="240" w:lineRule="auto"/>
        <w:rPr>
          <w:sz w:val="24"/>
          <w:szCs w:val="24"/>
        </w:rPr>
      </w:pPr>
      <w:r>
        <w:rPr>
          <w:sz w:val="24"/>
          <w:szCs w:val="24"/>
        </w:rPr>
        <w:t>For the telephone interviews, if a participant breaks off the interview early, the interview will be considered as a “non-response” and the participant will be replaced with the next individual from the selected sample group. If a participant breaks off the interview near the end, the interview data will be retained.</w:t>
      </w:r>
    </w:p>
    <w:p w:rsidR="00F15D28" w:rsidRDefault="00F15D28" w:rsidP="00922668">
      <w:pPr>
        <w:ind w:left="720"/>
        <w:rPr>
          <w:rFonts w:eastAsia="Batang"/>
          <w:b/>
          <w:color w:val="000000"/>
          <w:sz w:val="24"/>
          <w:szCs w:val="24"/>
        </w:rPr>
      </w:pPr>
    </w:p>
    <w:p w:rsidR="00A715EB" w:rsidRDefault="00A715EB">
      <w:pPr>
        <w:spacing w:line="240" w:lineRule="auto"/>
        <w:jc w:val="left"/>
        <w:rPr>
          <w:rFonts w:eastAsia="Batang"/>
          <w:b/>
          <w:color w:val="000000"/>
          <w:sz w:val="24"/>
          <w:szCs w:val="24"/>
        </w:rPr>
      </w:pPr>
    </w:p>
    <w:p w:rsidR="008F5695" w:rsidRDefault="008F5695" w:rsidP="00A715EB">
      <w:pPr>
        <w:spacing w:line="240" w:lineRule="auto"/>
        <w:ind w:left="720"/>
        <w:jc w:val="left"/>
        <w:rPr>
          <w:rFonts w:eastAsia="Batang"/>
          <w:b/>
          <w:color w:val="000000"/>
          <w:sz w:val="24"/>
          <w:szCs w:val="24"/>
        </w:rPr>
      </w:pPr>
      <w:r w:rsidRPr="008F5695">
        <w:rPr>
          <w:rFonts w:eastAsia="Batang"/>
          <w:b/>
          <w:color w:val="000000"/>
          <w:sz w:val="24"/>
          <w:szCs w:val="24"/>
        </w:rPr>
        <w:t>B.3.2. Unit Nonresponse</w:t>
      </w:r>
    </w:p>
    <w:p w:rsidR="008F5695" w:rsidRPr="008F5695" w:rsidRDefault="008F5695" w:rsidP="00922668">
      <w:pPr>
        <w:ind w:left="720"/>
        <w:rPr>
          <w:rFonts w:eastAsia="Batang"/>
          <w:b/>
          <w:color w:val="000000"/>
          <w:sz w:val="24"/>
          <w:szCs w:val="24"/>
        </w:rPr>
      </w:pPr>
    </w:p>
    <w:p w:rsidR="00A1733F" w:rsidRDefault="00963210" w:rsidP="002D099F">
      <w:pPr>
        <w:pStyle w:val="BodyTextIndent"/>
        <w:spacing w:after="0" w:line="480" w:lineRule="auto"/>
        <w:ind w:left="0" w:firstLine="720"/>
        <w:jc w:val="left"/>
        <w:rPr>
          <w:rFonts w:eastAsia="Batang"/>
          <w:color w:val="000000"/>
          <w:sz w:val="24"/>
          <w:szCs w:val="24"/>
        </w:rPr>
      </w:pPr>
      <w:r>
        <w:rPr>
          <w:rFonts w:eastAsia="Batang"/>
          <w:color w:val="000000"/>
          <w:sz w:val="24"/>
          <w:szCs w:val="24"/>
        </w:rPr>
        <w:t xml:space="preserve">As noted, to improve nonresponse, experienced interviewers who are particularly skilled in nonresponse conversion will contact </w:t>
      </w:r>
      <w:r w:rsidR="00B5293A">
        <w:rPr>
          <w:rFonts w:eastAsia="Batang"/>
          <w:color w:val="000000"/>
          <w:sz w:val="24"/>
          <w:szCs w:val="24"/>
        </w:rPr>
        <w:t>non-respondents</w:t>
      </w:r>
      <w:r>
        <w:rPr>
          <w:rFonts w:eastAsia="Batang"/>
          <w:color w:val="000000"/>
          <w:sz w:val="24"/>
          <w:szCs w:val="24"/>
        </w:rPr>
        <w:t xml:space="preserve">. </w:t>
      </w:r>
      <w:r w:rsidR="00A1733F">
        <w:rPr>
          <w:rFonts w:eastAsia="Batang"/>
          <w:color w:val="000000"/>
          <w:sz w:val="24"/>
          <w:szCs w:val="24"/>
        </w:rPr>
        <w:t xml:space="preserve">If a potential participant is unable or unwilling to participate, refusal conversion will not be attempted. </w:t>
      </w:r>
      <w:r w:rsidR="0007467C">
        <w:rPr>
          <w:rFonts w:eastAsia="Batang"/>
          <w:color w:val="000000"/>
          <w:sz w:val="24"/>
          <w:szCs w:val="24"/>
        </w:rPr>
        <w:t>Tracing</w:t>
      </w:r>
      <w:r w:rsidR="00805CF7">
        <w:rPr>
          <w:rFonts w:eastAsia="Batang"/>
          <w:color w:val="000000"/>
          <w:sz w:val="24"/>
          <w:szCs w:val="24"/>
        </w:rPr>
        <w:t>, using online searches,</w:t>
      </w:r>
      <w:r w:rsidR="0007467C">
        <w:rPr>
          <w:rFonts w:eastAsia="Batang"/>
          <w:color w:val="000000"/>
          <w:sz w:val="24"/>
          <w:szCs w:val="24"/>
        </w:rPr>
        <w:t xml:space="preserve"> will be conducted for survey non-respondents for whom a telephone number is not available. </w:t>
      </w:r>
      <w:r w:rsidR="00592AD2">
        <w:rPr>
          <w:rFonts w:eastAsia="Batang"/>
          <w:color w:val="000000"/>
          <w:sz w:val="24"/>
          <w:szCs w:val="24"/>
        </w:rPr>
        <w:t>For the telephone interview, t</w:t>
      </w:r>
      <w:r>
        <w:rPr>
          <w:rFonts w:eastAsia="Batang"/>
          <w:color w:val="000000"/>
          <w:sz w:val="24"/>
          <w:szCs w:val="24"/>
        </w:rPr>
        <w:t xml:space="preserve">he </w:t>
      </w:r>
      <w:r w:rsidR="00A1733F">
        <w:rPr>
          <w:rFonts w:eastAsia="Batang"/>
          <w:color w:val="000000"/>
          <w:sz w:val="24"/>
          <w:szCs w:val="24"/>
        </w:rPr>
        <w:t>next potential participant in the strategic sample will be selected to participate and will be contacted following the usual contact procedures outlined in Section B.2 above.</w:t>
      </w:r>
    </w:p>
    <w:p w:rsidR="008F5695" w:rsidRPr="008F5695" w:rsidRDefault="008F5695" w:rsidP="00A715EB">
      <w:pPr>
        <w:ind w:left="720"/>
        <w:rPr>
          <w:rFonts w:eastAsia="Batang"/>
          <w:b/>
          <w:color w:val="000000"/>
          <w:sz w:val="24"/>
          <w:szCs w:val="24"/>
        </w:rPr>
      </w:pPr>
      <w:r w:rsidRPr="008F5695">
        <w:rPr>
          <w:rFonts w:eastAsia="Batang"/>
          <w:b/>
          <w:color w:val="000000"/>
          <w:sz w:val="24"/>
          <w:szCs w:val="24"/>
        </w:rPr>
        <w:t xml:space="preserve">B.3.3. Item </w:t>
      </w:r>
      <w:r w:rsidR="003427C8">
        <w:rPr>
          <w:rFonts w:eastAsia="Batang"/>
          <w:b/>
          <w:color w:val="000000"/>
          <w:sz w:val="24"/>
          <w:szCs w:val="24"/>
        </w:rPr>
        <w:t>N</w:t>
      </w:r>
      <w:r w:rsidRPr="008F5695">
        <w:rPr>
          <w:rFonts w:eastAsia="Batang"/>
          <w:b/>
          <w:color w:val="000000"/>
          <w:sz w:val="24"/>
          <w:szCs w:val="24"/>
        </w:rPr>
        <w:t>onresponse</w:t>
      </w:r>
      <w:r w:rsidR="00C0400B">
        <w:rPr>
          <w:rFonts w:eastAsia="Batang"/>
          <w:b/>
          <w:color w:val="000000"/>
          <w:sz w:val="24"/>
          <w:szCs w:val="24"/>
        </w:rPr>
        <w:t xml:space="preserve"> </w:t>
      </w:r>
    </w:p>
    <w:p w:rsidR="008F5695" w:rsidRDefault="008F5695" w:rsidP="008F5695">
      <w:pPr>
        <w:ind w:left="720"/>
        <w:rPr>
          <w:rFonts w:eastAsia="Batang"/>
          <w:color w:val="000000"/>
          <w:sz w:val="24"/>
          <w:szCs w:val="24"/>
        </w:rPr>
      </w:pPr>
    </w:p>
    <w:p w:rsidR="00572215" w:rsidRDefault="00C0400B" w:rsidP="00A40ACC">
      <w:pPr>
        <w:pStyle w:val="BodyTextIndent"/>
        <w:spacing w:after="0" w:line="480" w:lineRule="auto"/>
        <w:ind w:left="0" w:firstLine="720"/>
        <w:jc w:val="left"/>
        <w:rPr>
          <w:rFonts w:eastAsia="Batang"/>
          <w:color w:val="000000"/>
          <w:sz w:val="24"/>
          <w:szCs w:val="24"/>
        </w:rPr>
      </w:pPr>
      <w:r>
        <w:rPr>
          <w:rFonts w:eastAsia="Batang"/>
          <w:color w:val="000000"/>
          <w:sz w:val="24"/>
          <w:szCs w:val="24"/>
        </w:rPr>
        <w:t xml:space="preserve">For the </w:t>
      </w:r>
      <w:r w:rsidR="00F52A82">
        <w:rPr>
          <w:rFonts w:eastAsia="Batang"/>
          <w:color w:val="000000"/>
          <w:sz w:val="24"/>
          <w:szCs w:val="24"/>
        </w:rPr>
        <w:t xml:space="preserve">web </w:t>
      </w:r>
      <w:r>
        <w:rPr>
          <w:rFonts w:eastAsia="Batang"/>
          <w:color w:val="000000"/>
          <w:sz w:val="24"/>
          <w:szCs w:val="24"/>
        </w:rPr>
        <w:t>survey, a</w:t>
      </w:r>
      <w:r w:rsidR="00594A2A">
        <w:rPr>
          <w:rFonts w:eastAsia="Batang"/>
          <w:color w:val="000000"/>
          <w:sz w:val="24"/>
          <w:szCs w:val="24"/>
        </w:rPr>
        <w:t xml:space="preserve">lthough our procedures are designed to maximize item response rates, the analysis will need to confront the issue of missing data. </w:t>
      </w:r>
      <w:r w:rsidR="00594A2A" w:rsidRPr="008F5695">
        <w:rPr>
          <w:rFonts w:eastAsia="Batang"/>
          <w:color w:val="000000"/>
          <w:sz w:val="24"/>
          <w:szCs w:val="24"/>
        </w:rPr>
        <w:t xml:space="preserve">Experience with previous surveys indicates that some respondents will omit responses to some specific items (e.g., </w:t>
      </w:r>
      <w:r w:rsidR="0087675F">
        <w:rPr>
          <w:rFonts w:eastAsia="Batang"/>
          <w:color w:val="000000"/>
          <w:sz w:val="24"/>
          <w:szCs w:val="24"/>
        </w:rPr>
        <w:t>more burdensome</w:t>
      </w:r>
      <w:r w:rsidR="00594A2A" w:rsidRPr="008F5695">
        <w:rPr>
          <w:rFonts w:eastAsia="Batang"/>
          <w:color w:val="000000"/>
          <w:sz w:val="24"/>
          <w:szCs w:val="24"/>
        </w:rPr>
        <w:t xml:space="preserve"> items), although they may have provided most of the data required. By employing good survey data collection practices, we expect to minimize the amount of missing data on any single variable to a very low level. However, if item nonresponse is unexpectedly high for any of the key analytic variables, hot deck imputation </w:t>
      </w:r>
      <w:r w:rsidR="00A40ACC">
        <w:rPr>
          <w:rFonts w:eastAsia="Batang"/>
          <w:color w:val="000000"/>
          <w:sz w:val="24"/>
          <w:szCs w:val="24"/>
        </w:rPr>
        <w:t xml:space="preserve">and reconstruction imputation </w:t>
      </w:r>
      <w:r w:rsidR="00594A2A" w:rsidRPr="008F5695">
        <w:rPr>
          <w:rFonts w:eastAsia="Batang"/>
          <w:color w:val="000000"/>
          <w:sz w:val="24"/>
          <w:szCs w:val="24"/>
        </w:rPr>
        <w:t>techniques will be used to estimate missing-item values.</w:t>
      </w:r>
    </w:p>
    <w:p w:rsidR="000962BB" w:rsidRPr="00D55A04" w:rsidRDefault="00E41609" w:rsidP="00E41609">
      <w:pPr>
        <w:pStyle w:val="Heading2"/>
        <w:tabs>
          <w:tab w:val="clear" w:pos="1152"/>
          <w:tab w:val="left" w:pos="720"/>
        </w:tabs>
        <w:spacing w:after="0" w:line="480" w:lineRule="auto"/>
        <w:ind w:left="0" w:firstLine="0"/>
        <w:rPr>
          <w:sz w:val="24"/>
          <w:szCs w:val="24"/>
        </w:rPr>
      </w:pPr>
      <w:bookmarkStart w:id="21" w:name="_Toc443881766"/>
      <w:bookmarkStart w:id="22" w:name="_Toc451592253"/>
      <w:bookmarkStart w:id="23" w:name="_Toc5610294"/>
      <w:bookmarkStart w:id="24" w:name="_Toc99178800"/>
      <w:bookmarkStart w:id="25" w:name="_Toc358383276"/>
      <w:r w:rsidRPr="00744EE1">
        <w:rPr>
          <w:sz w:val="24"/>
          <w:szCs w:val="24"/>
        </w:rPr>
        <w:lastRenderedPageBreak/>
        <w:t>B.</w:t>
      </w:r>
      <w:r w:rsidR="000962BB" w:rsidRPr="00744EE1">
        <w:rPr>
          <w:sz w:val="24"/>
          <w:szCs w:val="24"/>
        </w:rPr>
        <w:t>4</w:t>
      </w:r>
      <w:r w:rsidRPr="00744EE1">
        <w:rPr>
          <w:sz w:val="24"/>
          <w:szCs w:val="24"/>
        </w:rPr>
        <w:tab/>
      </w:r>
      <w:r w:rsidR="000962BB" w:rsidRPr="00744EE1">
        <w:rPr>
          <w:sz w:val="24"/>
          <w:szCs w:val="24"/>
        </w:rPr>
        <w:t>Test of Procedures or Methods to be Undertaken</w:t>
      </w:r>
      <w:bookmarkEnd w:id="21"/>
      <w:bookmarkEnd w:id="22"/>
      <w:bookmarkEnd w:id="23"/>
      <w:bookmarkEnd w:id="24"/>
      <w:bookmarkEnd w:id="25"/>
    </w:p>
    <w:p w:rsidR="002B0832" w:rsidRPr="00D55A04" w:rsidRDefault="00235032" w:rsidP="00F15D28">
      <w:pPr>
        <w:pStyle w:val="BodyTextIndent"/>
        <w:spacing w:after="0" w:line="480" w:lineRule="auto"/>
        <w:ind w:left="0" w:firstLine="720"/>
        <w:jc w:val="left"/>
        <w:rPr>
          <w:sz w:val="24"/>
          <w:szCs w:val="24"/>
        </w:rPr>
      </w:pPr>
      <w:r>
        <w:rPr>
          <w:sz w:val="24"/>
          <w:szCs w:val="24"/>
        </w:rPr>
        <w:t>Two methods were used</w:t>
      </w:r>
      <w:r w:rsidR="002B0832" w:rsidRPr="00D55A04">
        <w:rPr>
          <w:sz w:val="24"/>
          <w:szCs w:val="24"/>
        </w:rPr>
        <w:t xml:space="preserve"> to inform development </w:t>
      </w:r>
      <w:r w:rsidR="00592AD2">
        <w:rPr>
          <w:sz w:val="24"/>
          <w:szCs w:val="24"/>
        </w:rPr>
        <w:t xml:space="preserve">of </w:t>
      </w:r>
      <w:r w:rsidR="00744EE1">
        <w:rPr>
          <w:sz w:val="24"/>
          <w:szCs w:val="24"/>
        </w:rPr>
        <w:t xml:space="preserve">the </w:t>
      </w:r>
      <w:r w:rsidR="00F52A82">
        <w:rPr>
          <w:sz w:val="24"/>
          <w:szCs w:val="24"/>
        </w:rPr>
        <w:t xml:space="preserve">web </w:t>
      </w:r>
      <w:r w:rsidR="00744EE1">
        <w:rPr>
          <w:sz w:val="24"/>
          <w:szCs w:val="24"/>
        </w:rPr>
        <w:t>survey and the telephone interview and to refine the</w:t>
      </w:r>
      <w:r w:rsidR="002B0832" w:rsidRPr="00D55A04">
        <w:rPr>
          <w:sz w:val="24"/>
          <w:szCs w:val="24"/>
        </w:rPr>
        <w:t xml:space="preserve"> collection of information, to minimize burden and to improve utility.</w:t>
      </w:r>
      <w:r w:rsidR="00D343B3" w:rsidRPr="00D55A04">
        <w:rPr>
          <w:sz w:val="24"/>
          <w:szCs w:val="24"/>
        </w:rPr>
        <w:t xml:space="preserve"> The </w:t>
      </w:r>
      <w:r w:rsidR="00744EE1">
        <w:rPr>
          <w:sz w:val="24"/>
          <w:szCs w:val="24"/>
        </w:rPr>
        <w:t>data collection</w:t>
      </w:r>
      <w:r w:rsidR="00D343B3" w:rsidRPr="00D55A04">
        <w:rPr>
          <w:sz w:val="24"/>
          <w:szCs w:val="24"/>
        </w:rPr>
        <w:t xml:space="preserve"> instruments have been reviewed </w:t>
      </w:r>
      <w:r w:rsidR="005F2A50">
        <w:rPr>
          <w:sz w:val="24"/>
          <w:szCs w:val="24"/>
        </w:rPr>
        <w:t xml:space="preserve">by </w:t>
      </w:r>
      <w:r w:rsidR="00D343B3" w:rsidRPr="00D55A04">
        <w:rPr>
          <w:sz w:val="24"/>
          <w:szCs w:val="24"/>
        </w:rPr>
        <w:t xml:space="preserve">Westat </w:t>
      </w:r>
      <w:r w:rsidR="00744EE1">
        <w:rPr>
          <w:sz w:val="24"/>
          <w:szCs w:val="24"/>
        </w:rPr>
        <w:t>researchers</w:t>
      </w:r>
      <w:r w:rsidR="00D343B3" w:rsidRPr="00D55A04">
        <w:rPr>
          <w:sz w:val="24"/>
          <w:szCs w:val="24"/>
        </w:rPr>
        <w:t xml:space="preserve"> and NCI staff.</w:t>
      </w:r>
    </w:p>
    <w:p w:rsidR="00FB06A6" w:rsidRPr="002D2F97" w:rsidRDefault="00FB06A6" w:rsidP="00F15D28">
      <w:pPr>
        <w:ind w:firstLine="720"/>
        <w:rPr>
          <w:rFonts w:eastAsia="Batang"/>
          <w:b/>
          <w:color w:val="000000"/>
          <w:sz w:val="24"/>
          <w:szCs w:val="24"/>
        </w:rPr>
      </w:pPr>
      <w:r w:rsidRPr="00F155A8">
        <w:rPr>
          <w:rFonts w:eastAsia="Batang"/>
          <w:b/>
          <w:color w:val="000000"/>
          <w:sz w:val="24"/>
          <w:szCs w:val="24"/>
        </w:rPr>
        <w:t>B.4.1</w:t>
      </w:r>
      <w:r w:rsidR="00D36B4C" w:rsidRPr="00F155A8">
        <w:rPr>
          <w:rFonts w:eastAsia="Batang"/>
          <w:b/>
          <w:color w:val="000000"/>
          <w:sz w:val="24"/>
          <w:szCs w:val="24"/>
        </w:rPr>
        <w:t xml:space="preserve">. </w:t>
      </w:r>
      <w:r w:rsidR="005F3908">
        <w:rPr>
          <w:rFonts w:eastAsia="Batang"/>
          <w:b/>
          <w:color w:val="000000"/>
          <w:sz w:val="24"/>
          <w:szCs w:val="24"/>
        </w:rPr>
        <w:t>Review</w:t>
      </w:r>
      <w:r w:rsidR="00744EE1" w:rsidRPr="00F155A8">
        <w:rPr>
          <w:rFonts w:eastAsia="Batang"/>
          <w:b/>
          <w:color w:val="000000"/>
          <w:sz w:val="24"/>
          <w:szCs w:val="24"/>
        </w:rPr>
        <w:t xml:space="preserve"> of Web-based Survey</w:t>
      </w:r>
      <w:r w:rsidR="002B0832">
        <w:rPr>
          <w:rFonts w:eastAsia="Batang"/>
          <w:b/>
          <w:color w:val="000000"/>
          <w:sz w:val="24"/>
          <w:szCs w:val="24"/>
        </w:rPr>
        <w:t xml:space="preserve"> </w:t>
      </w:r>
    </w:p>
    <w:p w:rsidR="00FB06A6" w:rsidRPr="002D2F97" w:rsidRDefault="00FB06A6" w:rsidP="00F15D28">
      <w:pPr>
        <w:ind w:firstLine="720"/>
        <w:rPr>
          <w:szCs w:val="24"/>
        </w:rPr>
      </w:pPr>
    </w:p>
    <w:p w:rsidR="00FB06A6" w:rsidRPr="008B1227" w:rsidRDefault="00D60A22" w:rsidP="00F15D28">
      <w:pPr>
        <w:pStyle w:val="BodyTextIndent"/>
        <w:spacing w:after="0" w:line="480" w:lineRule="auto"/>
        <w:ind w:left="0" w:firstLine="720"/>
        <w:jc w:val="left"/>
        <w:rPr>
          <w:sz w:val="24"/>
          <w:szCs w:val="24"/>
        </w:rPr>
      </w:pPr>
      <w:r>
        <w:rPr>
          <w:sz w:val="24"/>
          <w:szCs w:val="24"/>
        </w:rPr>
        <w:t>After several rounds of internal review, t</w:t>
      </w:r>
      <w:r w:rsidR="002135FD">
        <w:rPr>
          <w:sz w:val="24"/>
          <w:szCs w:val="24"/>
        </w:rPr>
        <w:t xml:space="preserve">he web-based surveys were reviewed by an Evaluation Committee comprised of a group of </w:t>
      </w:r>
      <w:r w:rsidR="0087675F">
        <w:rPr>
          <w:sz w:val="24"/>
          <w:szCs w:val="24"/>
        </w:rPr>
        <w:t xml:space="preserve">SCTC scientists and </w:t>
      </w:r>
      <w:r w:rsidR="002135FD">
        <w:rPr>
          <w:sz w:val="24"/>
          <w:szCs w:val="24"/>
        </w:rPr>
        <w:t>stakeholders</w:t>
      </w:r>
      <w:r>
        <w:rPr>
          <w:sz w:val="24"/>
          <w:szCs w:val="24"/>
        </w:rPr>
        <w:t xml:space="preserve"> and NCI representatives</w:t>
      </w:r>
      <w:r w:rsidR="00744EE1">
        <w:rPr>
          <w:sz w:val="24"/>
          <w:szCs w:val="24"/>
        </w:rPr>
        <w:t>.</w:t>
      </w:r>
      <w:r w:rsidR="00FB06A6">
        <w:rPr>
          <w:sz w:val="24"/>
          <w:szCs w:val="24"/>
        </w:rPr>
        <w:t xml:space="preserve"> </w:t>
      </w:r>
      <w:r w:rsidR="002135FD">
        <w:rPr>
          <w:sz w:val="24"/>
          <w:szCs w:val="24"/>
        </w:rPr>
        <w:t xml:space="preserve">A series of questions related to </w:t>
      </w:r>
      <w:r>
        <w:rPr>
          <w:sz w:val="24"/>
          <w:szCs w:val="24"/>
        </w:rPr>
        <w:t>‘</w:t>
      </w:r>
      <w:r w:rsidR="002135FD">
        <w:rPr>
          <w:sz w:val="24"/>
          <w:szCs w:val="24"/>
        </w:rPr>
        <w:t>trust</w:t>
      </w:r>
      <w:r>
        <w:rPr>
          <w:sz w:val="24"/>
          <w:szCs w:val="24"/>
        </w:rPr>
        <w:t>’</w:t>
      </w:r>
      <w:r w:rsidR="002135FD">
        <w:rPr>
          <w:sz w:val="24"/>
          <w:szCs w:val="24"/>
        </w:rPr>
        <w:t xml:space="preserve"> were determined as not providing useful information and, in order to minimize burden and shorten the length of the surveys, were eliminated. </w:t>
      </w:r>
      <w:r w:rsidR="00EF1FCD">
        <w:rPr>
          <w:sz w:val="24"/>
          <w:szCs w:val="24"/>
        </w:rPr>
        <w:t xml:space="preserve">The </w:t>
      </w:r>
      <w:r w:rsidR="002135FD">
        <w:rPr>
          <w:sz w:val="24"/>
          <w:szCs w:val="24"/>
        </w:rPr>
        <w:t>review performed by the Evaluation Committee</w:t>
      </w:r>
      <w:r w:rsidR="00EF1FCD">
        <w:rPr>
          <w:sz w:val="24"/>
          <w:szCs w:val="24"/>
        </w:rPr>
        <w:t xml:space="preserve"> helped inform the development of the survey</w:t>
      </w:r>
      <w:r w:rsidR="00D442EF">
        <w:rPr>
          <w:sz w:val="24"/>
          <w:szCs w:val="24"/>
        </w:rPr>
        <w:t>s</w:t>
      </w:r>
      <w:r w:rsidR="00EF1FCD">
        <w:rPr>
          <w:sz w:val="24"/>
          <w:szCs w:val="24"/>
        </w:rPr>
        <w:t xml:space="preserve"> for the full scale evaluation.</w:t>
      </w:r>
    </w:p>
    <w:p w:rsidR="009737A5" w:rsidRPr="002D2F97" w:rsidRDefault="009737A5" w:rsidP="00F15D28">
      <w:pPr>
        <w:ind w:firstLine="720"/>
        <w:rPr>
          <w:rFonts w:eastAsia="Batang"/>
          <w:b/>
          <w:color w:val="000000"/>
          <w:sz w:val="24"/>
          <w:szCs w:val="24"/>
        </w:rPr>
      </w:pPr>
      <w:r w:rsidRPr="00F155A8">
        <w:rPr>
          <w:rFonts w:eastAsia="Batang"/>
          <w:b/>
          <w:color w:val="000000"/>
          <w:sz w:val="24"/>
          <w:szCs w:val="24"/>
        </w:rPr>
        <w:t>B.4.</w:t>
      </w:r>
      <w:r w:rsidR="00FB06A6" w:rsidRPr="00F155A8">
        <w:rPr>
          <w:rFonts w:eastAsia="Batang"/>
          <w:b/>
          <w:color w:val="000000"/>
          <w:sz w:val="24"/>
          <w:szCs w:val="24"/>
        </w:rPr>
        <w:t>2</w:t>
      </w:r>
      <w:r w:rsidRPr="00F155A8">
        <w:rPr>
          <w:rFonts w:eastAsia="Batang"/>
          <w:b/>
          <w:color w:val="000000"/>
          <w:sz w:val="24"/>
          <w:szCs w:val="24"/>
        </w:rPr>
        <w:t xml:space="preserve">. </w:t>
      </w:r>
      <w:r w:rsidR="00FB06A6" w:rsidRPr="00F155A8">
        <w:rPr>
          <w:rFonts w:eastAsia="Batang"/>
          <w:b/>
          <w:color w:val="000000"/>
          <w:sz w:val="24"/>
          <w:szCs w:val="24"/>
        </w:rPr>
        <w:t xml:space="preserve">Pretest of </w:t>
      </w:r>
      <w:r w:rsidR="00744EE1" w:rsidRPr="00F155A8">
        <w:rPr>
          <w:rFonts w:eastAsia="Batang"/>
          <w:b/>
          <w:color w:val="000000"/>
          <w:sz w:val="24"/>
          <w:szCs w:val="24"/>
        </w:rPr>
        <w:t>Telephone Interview</w:t>
      </w:r>
      <w:r w:rsidRPr="002D2F97">
        <w:rPr>
          <w:rFonts w:eastAsia="Batang"/>
          <w:b/>
          <w:color w:val="000000"/>
          <w:sz w:val="24"/>
          <w:szCs w:val="24"/>
        </w:rPr>
        <w:t xml:space="preserve"> </w:t>
      </w:r>
    </w:p>
    <w:p w:rsidR="009737A5" w:rsidRPr="002D2F97" w:rsidRDefault="009737A5" w:rsidP="00F15D28">
      <w:pPr>
        <w:ind w:firstLine="720"/>
        <w:rPr>
          <w:szCs w:val="24"/>
        </w:rPr>
      </w:pPr>
    </w:p>
    <w:p w:rsidR="005F61AE" w:rsidRPr="005F61AE" w:rsidRDefault="009737A5" w:rsidP="00F15D28">
      <w:pPr>
        <w:pStyle w:val="BodyTextIndent"/>
        <w:spacing w:after="0" w:line="480" w:lineRule="auto"/>
        <w:ind w:left="0" w:firstLine="720"/>
        <w:jc w:val="left"/>
        <w:rPr>
          <w:sz w:val="24"/>
          <w:szCs w:val="24"/>
        </w:rPr>
      </w:pPr>
      <w:r w:rsidRPr="005F61AE">
        <w:rPr>
          <w:sz w:val="24"/>
          <w:szCs w:val="24"/>
        </w:rPr>
        <w:t xml:space="preserve">Westat conducted a pretest of </w:t>
      </w:r>
      <w:r w:rsidR="00D60A22">
        <w:rPr>
          <w:sz w:val="24"/>
          <w:szCs w:val="24"/>
        </w:rPr>
        <w:t>the two main</w:t>
      </w:r>
      <w:r w:rsidRPr="005F61AE">
        <w:rPr>
          <w:sz w:val="24"/>
          <w:szCs w:val="24"/>
        </w:rPr>
        <w:t xml:space="preserve"> </w:t>
      </w:r>
      <w:r w:rsidR="00E53EA8">
        <w:rPr>
          <w:sz w:val="24"/>
          <w:szCs w:val="24"/>
        </w:rPr>
        <w:t xml:space="preserve">telephone interview </w:t>
      </w:r>
      <w:r w:rsidR="00D60A22">
        <w:rPr>
          <w:sz w:val="24"/>
          <w:szCs w:val="24"/>
        </w:rPr>
        <w:t xml:space="preserve">instruments </w:t>
      </w:r>
      <w:r w:rsidR="00E53EA8">
        <w:rPr>
          <w:sz w:val="24"/>
          <w:szCs w:val="24"/>
        </w:rPr>
        <w:t>with s</w:t>
      </w:r>
      <w:r w:rsidR="00AC3B9F">
        <w:rPr>
          <w:sz w:val="24"/>
          <w:szCs w:val="24"/>
        </w:rPr>
        <w:t>even</w:t>
      </w:r>
      <w:r w:rsidR="00E53EA8">
        <w:rPr>
          <w:sz w:val="24"/>
          <w:szCs w:val="24"/>
        </w:rPr>
        <w:t xml:space="preserve"> individuals</w:t>
      </w:r>
      <w:r w:rsidR="00D60A22">
        <w:rPr>
          <w:sz w:val="24"/>
          <w:szCs w:val="24"/>
        </w:rPr>
        <w:t>:</w:t>
      </w:r>
      <w:r w:rsidR="00E53EA8">
        <w:rPr>
          <w:sz w:val="24"/>
          <w:szCs w:val="24"/>
        </w:rPr>
        <w:t xml:space="preserve"> three PIs and </w:t>
      </w:r>
      <w:r w:rsidR="00AC3B9F">
        <w:rPr>
          <w:sz w:val="24"/>
          <w:szCs w:val="24"/>
        </w:rPr>
        <w:t>four</w:t>
      </w:r>
      <w:r w:rsidR="00E53EA8">
        <w:rPr>
          <w:sz w:val="24"/>
          <w:szCs w:val="24"/>
        </w:rPr>
        <w:t xml:space="preserve"> affiliated partners. The pretest </w:t>
      </w:r>
      <w:r w:rsidR="00605F2D">
        <w:rPr>
          <w:sz w:val="24"/>
          <w:szCs w:val="24"/>
        </w:rPr>
        <w:t>lasted from</w:t>
      </w:r>
      <w:r w:rsidR="00E53EA8">
        <w:rPr>
          <w:sz w:val="24"/>
          <w:szCs w:val="24"/>
        </w:rPr>
        <w:t xml:space="preserve"> February </w:t>
      </w:r>
      <w:r w:rsidR="00605F2D">
        <w:rPr>
          <w:sz w:val="24"/>
          <w:szCs w:val="24"/>
        </w:rPr>
        <w:t>to</w:t>
      </w:r>
      <w:r w:rsidR="00E53EA8">
        <w:rPr>
          <w:sz w:val="24"/>
          <w:szCs w:val="24"/>
        </w:rPr>
        <w:t xml:space="preserve"> March 2014</w:t>
      </w:r>
      <w:r w:rsidR="00605F2D">
        <w:rPr>
          <w:sz w:val="24"/>
          <w:szCs w:val="24"/>
        </w:rPr>
        <w:t xml:space="preserve"> and each participant was interviewed once</w:t>
      </w:r>
      <w:r w:rsidR="00E53EA8">
        <w:rPr>
          <w:sz w:val="24"/>
          <w:szCs w:val="24"/>
        </w:rPr>
        <w:t>.</w:t>
      </w:r>
      <w:r w:rsidRPr="005F61AE">
        <w:rPr>
          <w:sz w:val="24"/>
          <w:szCs w:val="24"/>
        </w:rPr>
        <w:t xml:space="preserve"> </w:t>
      </w:r>
      <w:r w:rsidR="00E53EA8">
        <w:rPr>
          <w:sz w:val="24"/>
          <w:szCs w:val="24"/>
        </w:rPr>
        <w:t>The</w:t>
      </w:r>
      <w:r w:rsidR="00944523">
        <w:rPr>
          <w:sz w:val="24"/>
          <w:szCs w:val="24"/>
        </w:rPr>
        <w:t xml:space="preserve"> affiliated partners</w:t>
      </w:r>
      <w:r w:rsidR="00E53EA8">
        <w:rPr>
          <w:sz w:val="24"/>
          <w:szCs w:val="24"/>
        </w:rPr>
        <w:t xml:space="preserve"> were selected</w:t>
      </w:r>
      <w:r w:rsidR="00AC3B9F">
        <w:rPr>
          <w:sz w:val="24"/>
          <w:szCs w:val="24"/>
        </w:rPr>
        <w:t xml:space="preserve"> based on their strong collaboration with PIs and representation </w:t>
      </w:r>
      <w:r w:rsidR="00FD7DBF">
        <w:rPr>
          <w:sz w:val="24"/>
          <w:szCs w:val="24"/>
        </w:rPr>
        <w:t xml:space="preserve">from three different organizations (advocacy group, government organization and university). </w:t>
      </w:r>
    </w:p>
    <w:p w:rsidR="009737A5" w:rsidRDefault="009737A5" w:rsidP="00F15D28">
      <w:pPr>
        <w:pStyle w:val="BodyTextIndent"/>
        <w:spacing w:after="0" w:line="480" w:lineRule="auto"/>
        <w:ind w:left="0" w:firstLine="720"/>
        <w:jc w:val="left"/>
        <w:rPr>
          <w:sz w:val="24"/>
          <w:szCs w:val="24"/>
        </w:rPr>
      </w:pPr>
      <w:r w:rsidRPr="008B1227">
        <w:rPr>
          <w:sz w:val="24"/>
          <w:szCs w:val="24"/>
        </w:rPr>
        <w:t xml:space="preserve">The interviews focused on </w:t>
      </w:r>
      <w:r w:rsidR="0049005E">
        <w:rPr>
          <w:sz w:val="24"/>
          <w:szCs w:val="24"/>
        </w:rPr>
        <w:t xml:space="preserve">the telephone interview guide questions and on </w:t>
      </w:r>
      <w:r w:rsidRPr="008B1227">
        <w:rPr>
          <w:sz w:val="24"/>
          <w:szCs w:val="24"/>
        </w:rPr>
        <w:t xml:space="preserve">capturing participants’ experience with the </w:t>
      </w:r>
      <w:r w:rsidR="0049005E">
        <w:rPr>
          <w:sz w:val="24"/>
          <w:szCs w:val="24"/>
        </w:rPr>
        <w:t>interview</w:t>
      </w:r>
      <w:r w:rsidRPr="008B1227">
        <w:rPr>
          <w:sz w:val="24"/>
          <w:szCs w:val="24"/>
        </w:rPr>
        <w:t xml:space="preserve">, including the time needed to complete the </w:t>
      </w:r>
      <w:r w:rsidR="0049005E">
        <w:rPr>
          <w:sz w:val="24"/>
          <w:szCs w:val="24"/>
        </w:rPr>
        <w:t>interview</w:t>
      </w:r>
      <w:r w:rsidRPr="008B1227">
        <w:rPr>
          <w:sz w:val="24"/>
          <w:szCs w:val="24"/>
        </w:rPr>
        <w:t xml:space="preserve">, questions or instructions that were confusing, and information that was difficult to provide. </w:t>
      </w:r>
      <w:r w:rsidR="00FD7DBF">
        <w:rPr>
          <w:sz w:val="24"/>
          <w:szCs w:val="24"/>
        </w:rPr>
        <w:t>The i</w:t>
      </w:r>
      <w:r w:rsidRPr="008B1227">
        <w:rPr>
          <w:sz w:val="24"/>
          <w:szCs w:val="24"/>
        </w:rPr>
        <w:t xml:space="preserve">nterviews </w:t>
      </w:r>
      <w:r w:rsidR="00FD7DBF">
        <w:rPr>
          <w:sz w:val="24"/>
          <w:szCs w:val="24"/>
        </w:rPr>
        <w:t xml:space="preserve">generally </w:t>
      </w:r>
      <w:r w:rsidRPr="00350533">
        <w:rPr>
          <w:sz w:val="24"/>
          <w:szCs w:val="24"/>
        </w:rPr>
        <w:t xml:space="preserve">lasted about </w:t>
      </w:r>
      <w:r w:rsidR="00FD7DBF" w:rsidRPr="00350533">
        <w:rPr>
          <w:sz w:val="24"/>
          <w:szCs w:val="24"/>
        </w:rPr>
        <w:t>40</w:t>
      </w:r>
      <w:r w:rsidR="004C74F1" w:rsidRPr="00350533">
        <w:rPr>
          <w:sz w:val="24"/>
          <w:szCs w:val="24"/>
        </w:rPr>
        <w:t xml:space="preserve"> </w:t>
      </w:r>
      <w:r w:rsidRPr="00350533">
        <w:rPr>
          <w:sz w:val="24"/>
          <w:szCs w:val="24"/>
        </w:rPr>
        <w:t>minutes.</w:t>
      </w:r>
      <w:r w:rsidRPr="008B1227">
        <w:rPr>
          <w:sz w:val="24"/>
          <w:szCs w:val="24"/>
        </w:rPr>
        <w:t xml:space="preserve">  </w:t>
      </w:r>
    </w:p>
    <w:p w:rsidR="009737A5" w:rsidRPr="008B1227" w:rsidRDefault="00A715EB" w:rsidP="00F15D28">
      <w:pPr>
        <w:pStyle w:val="BodyTextIndent"/>
        <w:spacing w:after="0" w:line="480" w:lineRule="auto"/>
        <w:ind w:left="0" w:firstLine="720"/>
        <w:jc w:val="left"/>
        <w:rPr>
          <w:sz w:val="24"/>
          <w:szCs w:val="24"/>
        </w:rPr>
      </w:pPr>
      <w:r>
        <w:rPr>
          <w:sz w:val="24"/>
          <w:szCs w:val="24"/>
        </w:rPr>
        <w:t>S</w:t>
      </w:r>
      <w:r w:rsidR="009737A5" w:rsidRPr="008B1227">
        <w:rPr>
          <w:sz w:val="24"/>
          <w:szCs w:val="24"/>
        </w:rPr>
        <w:t>ummarize</w:t>
      </w:r>
      <w:r>
        <w:rPr>
          <w:sz w:val="24"/>
          <w:szCs w:val="24"/>
        </w:rPr>
        <w:t>d below are the</w:t>
      </w:r>
      <w:r w:rsidR="009737A5" w:rsidRPr="008B1227">
        <w:rPr>
          <w:sz w:val="24"/>
          <w:szCs w:val="24"/>
        </w:rPr>
        <w:t xml:space="preserve"> key findings from the pretes</w:t>
      </w:r>
      <w:r w:rsidR="00350533">
        <w:rPr>
          <w:sz w:val="24"/>
          <w:szCs w:val="24"/>
        </w:rPr>
        <w:t xml:space="preserve">t and </w:t>
      </w:r>
      <w:r>
        <w:rPr>
          <w:sz w:val="24"/>
          <w:szCs w:val="24"/>
        </w:rPr>
        <w:t xml:space="preserve">the </w:t>
      </w:r>
      <w:r w:rsidR="00350533">
        <w:rPr>
          <w:sz w:val="24"/>
          <w:szCs w:val="24"/>
        </w:rPr>
        <w:t xml:space="preserve">modifications </w:t>
      </w:r>
      <w:r>
        <w:rPr>
          <w:sz w:val="24"/>
          <w:szCs w:val="24"/>
        </w:rPr>
        <w:t xml:space="preserve">that were </w:t>
      </w:r>
      <w:r w:rsidR="00350533">
        <w:rPr>
          <w:sz w:val="24"/>
          <w:szCs w:val="24"/>
        </w:rPr>
        <w:t xml:space="preserve">made to the </w:t>
      </w:r>
      <w:r w:rsidR="008E2914">
        <w:rPr>
          <w:sz w:val="24"/>
          <w:szCs w:val="24"/>
        </w:rPr>
        <w:t>telephone interview</w:t>
      </w:r>
      <w:r w:rsidR="009737A5" w:rsidRPr="008B1227">
        <w:rPr>
          <w:sz w:val="24"/>
          <w:szCs w:val="24"/>
        </w:rPr>
        <w:t xml:space="preserve"> in response to the findings, where applicable.</w:t>
      </w:r>
    </w:p>
    <w:p w:rsidR="009737A5" w:rsidRDefault="009737A5" w:rsidP="002D099F">
      <w:pPr>
        <w:pStyle w:val="BodyTextIndent"/>
        <w:numPr>
          <w:ilvl w:val="0"/>
          <w:numId w:val="16"/>
        </w:numPr>
        <w:spacing w:after="0" w:line="240" w:lineRule="auto"/>
        <w:jc w:val="left"/>
        <w:rPr>
          <w:sz w:val="24"/>
          <w:szCs w:val="24"/>
        </w:rPr>
      </w:pPr>
      <w:r w:rsidRPr="00A3433E">
        <w:rPr>
          <w:sz w:val="24"/>
          <w:szCs w:val="24"/>
        </w:rPr>
        <w:lastRenderedPageBreak/>
        <w:t xml:space="preserve">Completion time:  The average completion time was </w:t>
      </w:r>
      <w:r w:rsidR="00350533">
        <w:rPr>
          <w:sz w:val="24"/>
          <w:szCs w:val="24"/>
        </w:rPr>
        <w:t>40</w:t>
      </w:r>
      <w:r w:rsidRPr="00A3433E">
        <w:rPr>
          <w:sz w:val="24"/>
          <w:szCs w:val="24"/>
        </w:rPr>
        <w:t xml:space="preserve"> minutes. Modifications made to the questionnaire following the pretest have not significantly altered its length, so the average time reported by pretest participants has been listed in the introduction as the estimated time needed to respond.</w:t>
      </w:r>
    </w:p>
    <w:p w:rsidR="00F15D28" w:rsidRDefault="00F15D28" w:rsidP="002D099F">
      <w:pPr>
        <w:pStyle w:val="BodyTextIndent"/>
        <w:spacing w:after="0" w:line="240" w:lineRule="auto"/>
        <w:ind w:left="1080"/>
        <w:jc w:val="left"/>
        <w:rPr>
          <w:sz w:val="24"/>
          <w:szCs w:val="24"/>
        </w:rPr>
      </w:pPr>
    </w:p>
    <w:p w:rsidR="00350533" w:rsidRDefault="009737A5" w:rsidP="002D099F">
      <w:pPr>
        <w:pStyle w:val="BodyTextIndent"/>
        <w:numPr>
          <w:ilvl w:val="0"/>
          <w:numId w:val="16"/>
        </w:numPr>
        <w:spacing w:after="0" w:line="240" w:lineRule="auto"/>
        <w:jc w:val="left"/>
        <w:rPr>
          <w:sz w:val="24"/>
          <w:szCs w:val="24"/>
        </w:rPr>
      </w:pPr>
      <w:r w:rsidRPr="007464C6">
        <w:rPr>
          <w:sz w:val="24"/>
          <w:szCs w:val="24"/>
        </w:rPr>
        <w:t>Overall feedback</w:t>
      </w:r>
      <w:r w:rsidR="00E37BB7">
        <w:rPr>
          <w:sz w:val="24"/>
          <w:szCs w:val="24"/>
        </w:rPr>
        <w:t xml:space="preserve"> for Affiliated Partners Interview Guide</w:t>
      </w:r>
      <w:r w:rsidRPr="007464C6">
        <w:rPr>
          <w:sz w:val="24"/>
          <w:szCs w:val="24"/>
        </w:rPr>
        <w:t xml:space="preserve">:  Feedback from pretest participants </w:t>
      </w:r>
      <w:r w:rsidR="00350533">
        <w:rPr>
          <w:sz w:val="24"/>
          <w:szCs w:val="24"/>
        </w:rPr>
        <w:t>on the interview was that the interview was easy to understand, easy to answer, was not burdensome, and was straightforward.</w:t>
      </w:r>
    </w:p>
    <w:p w:rsidR="00F15D28" w:rsidRPr="007464C6" w:rsidRDefault="00F15D28" w:rsidP="002D099F">
      <w:pPr>
        <w:pStyle w:val="BodyTextIndent"/>
        <w:spacing w:after="0" w:line="240" w:lineRule="auto"/>
        <w:ind w:left="1080"/>
        <w:jc w:val="left"/>
        <w:rPr>
          <w:sz w:val="24"/>
          <w:szCs w:val="24"/>
        </w:rPr>
      </w:pPr>
    </w:p>
    <w:p w:rsidR="00350533" w:rsidRDefault="00350533" w:rsidP="002D099F">
      <w:pPr>
        <w:pStyle w:val="BodyTextIndent"/>
        <w:numPr>
          <w:ilvl w:val="0"/>
          <w:numId w:val="16"/>
        </w:numPr>
        <w:spacing w:after="0" w:line="240" w:lineRule="auto"/>
        <w:jc w:val="left"/>
        <w:rPr>
          <w:sz w:val="24"/>
          <w:szCs w:val="24"/>
        </w:rPr>
      </w:pPr>
      <w:r>
        <w:rPr>
          <w:sz w:val="24"/>
          <w:szCs w:val="24"/>
        </w:rPr>
        <w:t>Modifications to Affiliated Partners Interview Guide</w:t>
      </w:r>
      <w:r w:rsidR="009737A5" w:rsidRPr="00A3433E">
        <w:rPr>
          <w:sz w:val="24"/>
          <w:szCs w:val="24"/>
        </w:rPr>
        <w:t xml:space="preserve">:  </w:t>
      </w:r>
      <w:r>
        <w:rPr>
          <w:sz w:val="24"/>
          <w:szCs w:val="24"/>
        </w:rPr>
        <w:t>One question was eliminated because it was found to be redundant; another question was moved to the conclusion section as it flowed best at the end of the interview; and the introduction was shortened.</w:t>
      </w:r>
    </w:p>
    <w:p w:rsidR="00350533" w:rsidRDefault="00350533" w:rsidP="00350533">
      <w:pPr>
        <w:pStyle w:val="BodyTextIndent"/>
        <w:spacing w:after="0" w:line="240" w:lineRule="auto"/>
        <w:ind w:left="0"/>
        <w:jc w:val="left"/>
        <w:rPr>
          <w:sz w:val="24"/>
          <w:szCs w:val="24"/>
        </w:rPr>
      </w:pPr>
    </w:p>
    <w:p w:rsidR="00E37BB7" w:rsidRDefault="00E37BB7" w:rsidP="00E37BB7">
      <w:pPr>
        <w:pStyle w:val="BodyTextIndent"/>
        <w:numPr>
          <w:ilvl w:val="0"/>
          <w:numId w:val="16"/>
        </w:numPr>
        <w:spacing w:after="0" w:line="240" w:lineRule="auto"/>
        <w:jc w:val="left"/>
        <w:rPr>
          <w:sz w:val="24"/>
          <w:szCs w:val="24"/>
        </w:rPr>
      </w:pPr>
      <w:r w:rsidRPr="007464C6">
        <w:rPr>
          <w:sz w:val="24"/>
          <w:szCs w:val="24"/>
        </w:rPr>
        <w:t>Overall feedback</w:t>
      </w:r>
      <w:r>
        <w:rPr>
          <w:sz w:val="24"/>
          <w:szCs w:val="24"/>
        </w:rPr>
        <w:t xml:space="preserve"> for PI/Co-PI Interview Guide</w:t>
      </w:r>
      <w:r w:rsidRPr="007464C6">
        <w:rPr>
          <w:sz w:val="24"/>
          <w:szCs w:val="24"/>
        </w:rPr>
        <w:t xml:space="preserve">:  Feedback from pretest participants </w:t>
      </w:r>
      <w:r>
        <w:rPr>
          <w:sz w:val="24"/>
          <w:szCs w:val="24"/>
        </w:rPr>
        <w:t>on the interview was that the questions were clear and not confusing, there was no hesitancy answering questions, and the interviewees appreciated the opportunity to provide feedback. The interview was welcomed and not perceived as a burden.</w:t>
      </w:r>
    </w:p>
    <w:p w:rsidR="00E37BB7" w:rsidRDefault="00E37BB7" w:rsidP="00E37BB7">
      <w:pPr>
        <w:pStyle w:val="BodyTextIndent"/>
        <w:spacing w:after="0" w:line="240" w:lineRule="auto"/>
        <w:ind w:left="1080"/>
        <w:jc w:val="left"/>
        <w:rPr>
          <w:sz w:val="24"/>
          <w:szCs w:val="24"/>
        </w:rPr>
      </w:pPr>
    </w:p>
    <w:p w:rsidR="00E37BB7" w:rsidRDefault="00350533" w:rsidP="00350533">
      <w:pPr>
        <w:pStyle w:val="BodyTextIndent"/>
        <w:numPr>
          <w:ilvl w:val="0"/>
          <w:numId w:val="16"/>
        </w:numPr>
        <w:spacing w:after="0" w:line="240" w:lineRule="auto"/>
        <w:jc w:val="left"/>
        <w:rPr>
          <w:sz w:val="24"/>
          <w:szCs w:val="24"/>
        </w:rPr>
      </w:pPr>
      <w:r>
        <w:rPr>
          <w:sz w:val="24"/>
          <w:szCs w:val="24"/>
        </w:rPr>
        <w:t>Modifications to PI/Co-PI Interview Guide</w:t>
      </w:r>
      <w:r w:rsidRPr="00A3433E">
        <w:rPr>
          <w:sz w:val="24"/>
          <w:szCs w:val="24"/>
        </w:rPr>
        <w:t xml:space="preserve">:  </w:t>
      </w:r>
      <w:r w:rsidR="00AC1FE7">
        <w:rPr>
          <w:sz w:val="24"/>
          <w:szCs w:val="24"/>
        </w:rPr>
        <w:t>Question wording for two items in the</w:t>
      </w:r>
      <w:r w:rsidR="00E37BB7">
        <w:rPr>
          <w:sz w:val="24"/>
          <w:szCs w:val="24"/>
        </w:rPr>
        <w:t xml:space="preserve"> interview was fined-tuned to clarify terminology</w:t>
      </w:r>
      <w:r w:rsidR="00AC1FE7">
        <w:rPr>
          <w:sz w:val="24"/>
          <w:szCs w:val="24"/>
        </w:rPr>
        <w:t xml:space="preserve"> (i.e. affiliated partners and success)</w:t>
      </w:r>
      <w:r w:rsidR="00E37BB7">
        <w:rPr>
          <w:sz w:val="24"/>
          <w:szCs w:val="24"/>
        </w:rPr>
        <w:t>.</w:t>
      </w:r>
    </w:p>
    <w:p w:rsidR="00350533" w:rsidRDefault="00350533" w:rsidP="00E37BB7">
      <w:pPr>
        <w:pStyle w:val="BodyTextIndent"/>
        <w:spacing w:after="0" w:line="240" w:lineRule="auto"/>
        <w:ind w:left="720"/>
        <w:jc w:val="left"/>
        <w:rPr>
          <w:sz w:val="24"/>
          <w:szCs w:val="24"/>
        </w:rPr>
      </w:pPr>
    </w:p>
    <w:p w:rsidR="00BF0258" w:rsidRDefault="00BF0258" w:rsidP="00E41609">
      <w:pPr>
        <w:pStyle w:val="Heading2"/>
        <w:tabs>
          <w:tab w:val="left" w:pos="720"/>
        </w:tabs>
        <w:spacing w:after="0" w:line="240" w:lineRule="auto"/>
        <w:ind w:left="720" w:hanging="720"/>
        <w:rPr>
          <w:color w:val="000000"/>
          <w:sz w:val="24"/>
          <w:szCs w:val="24"/>
        </w:rPr>
      </w:pPr>
      <w:bookmarkStart w:id="26" w:name="_Toc443881767"/>
      <w:bookmarkStart w:id="27" w:name="_Toc451592254"/>
      <w:bookmarkStart w:id="28" w:name="_Toc5610295"/>
      <w:bookmarkStart w:id="29" w:name="_Toc99178801"/>
    </w:p>
    <w:p w:rsidR="000962BB" w:rsidRDefault="006B2141" w:rsidP="00E41609">
      <w:pPr>
        <w:pStyle w:val="Heading2"/>
        <w:tabs>
          <w:tab w:val="left" w:pos="720"/>
        </w:tabs>
        <w:spacing w:after="0" w:line="240" w:lineRule="auto"/>
        <w:ind w:left="720" w:hanging="720"/>
        <w:rPr>
          <w:color w:val="000000"/>
          <w:sz w:val="24"/>
          <w:szCs w:val="24"/>
        </w:rPr>
      </w:pPr>
      <w:bookmarkStart w:id="30" w:name="_Toc358383277"/>
      <w:r>
        <w:rPr>
          <w:color w:val="000000"/>
          <w:sz w:val="24"/>
          <w:szCs w:val="24"/>
        </w:rPr>
        <w:t>B</w:t>
      </w:r>
      <w:r w:rsidR="00E41609">
        <w:rPr>
          <w:color w:val="000000"/>
          <w:sz w:val="24"/>
          <w:szCs w:val="24"/>
        </w:rPr>
        <w:t>.5</w:t>
      </w:r>
      <w:r w:rsidR="00E41609">
        <w:rPr>
          <w:color w:val="000000"/>
          <w:sz w:val="24"/>
          <w:szCs w:val="24"/>
        </w:rPr>
        <w:tab/>
      </w:r>
      <w:r w:rsidR="000962BB" w:rsidRPr="00E41609">
        <w:rPr>
          <w:color w:val="000000"/>
          <w:sz w:val="24"/>
          <w:szCs w:val="24"/>
        </w:rPr>
        <w:t>Individuals Consulted on Statistical Aspects and Individuals Collecting and/or Analyzing Data</w:t>
      </w:r>
      <w:bookmarkEnd w:id="26"/>
      <w:bookmarkEnd w:id="27"/>
      <w:bookmarkEnd w:id="28"/>
      <w:bookmarkEnd w:id="29"/>
      <w:bookmarkEnd w:id="30"/>
    </w:p>
    <w:p w:rsidR="00185558" w:rsidRDefault="00185558" w:rsidP="00922668">
      <w:pPr>
        <w:ind w:left="720"/>
        <w:rPr>
          <w:rFonts w:eastAsia="Batang"/>
          <w:color w:val="000000"/>
          <w:sz w:val="24"/>
          <w:szCs w:val="24"/>
        </w:rPr>
      </w:pPr>
    </w:p>
    <w:p w:rsidR="00922668" w:rsidRDefault="00922668" w:rsidP="002D099F">
      <w:pPr>
        <w:pStyle w:val="BodyTextIndent"/>
        <w:spacing w:after="0" w:line="480" w:lineRule="auto"/>
        <w:ind w:left="0" w:firstLine="720"/>
        <w:jc w:val="left"/>
        <w:rPr>
          <w:rFonts w:eastAsia="Batang"/>
          <w:color w:val="000000"/>
          <w:sz w:val="24"/>
          <w:szCs w:val="24"/>
        </w:rPr>
      </w:pPr>
      <w:r w:rsidRPr="00922668">
        <w:rPr>
          <w:rFonts w:eastAsia="Batang"/>
          <w:color w:val="000000"/>
          <w:sz w:val="24"/>
          <w:szCs w:val="24"/>
        </w:rPr>
        <w:t xml:space="preserve">The following individuals were critical in developing the research plan, the conceptual framework, survey questions, and sampling strategies underlying </w:t>
      </w:r>
      <w:r w:rsidR="00172B58">
        <w:rPr>
          <w:rFonts w:eastAsia="Batang"/>
          <w:color w:val="000000"/>
          <w:sz w:val="24"/>
          <w:szCs w:val="24"/>
        </w:rPr>
        <w:t xml:space="preserve">the SCTC Process </w:t>
      </w:r>
      <w:r w:rsidRPr="00922668">
        <w:rPr>
          <w:rFonts w:eastAsia="Batang"/>
          <w:color w:val="000000"/>
          <w:sz w:val="24"/>
          <w:szCs w:val="24"/>
        </w:rPr>
        <w:t>Evaluation. Many of the same individuals will be involved with analysis once the data are collected.</w:t>
      </w:r>
    </w:p>
    <w:p w:rsidR="002048B1" w:rsidRDefault="002048B1">
      <w:pPr>
        <w:spacing w:line="240" w:lineRule="auto"/>
        <w:jc w:val="left"/>
        <w:rPr>
          <w:rFonts w:eastAsia="Batang"/>
          <w:color w:val="000000"/>
          <w:sz w:val="24"/>
          <w:szCs w:val="24"/>
        </w:rPr>
      </w:pPr>
      <w:r>
        <w:rPr>
          <w:rFonts w:eastAsia="Batang"/>
          <w:color w:val="000000"/>
          <w:sz w:val="24"/>
          <w:szCs w:val="24"/>
        </w:rPr>
        <w:br w:type="page"/>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4"/>
        <w:gridCol w:w="4374"/>
      </w:tblGrid>
      <w:tr w:rsidR="004662C0" w:rsidRPr="00EB02D4" w:rsidTr="00200B58">
        <w:tc>
          <w:tcPr>
            <w:tcW w:w="4374" w:type="dxa"/>
          </w:tcPr>
          <w:p w:rsidR="00200B58" w:rsidRDefault="00200B58" w:rsidP="00200B58">
            <w:pPr>
              <w:jc w:val="left"/>
              <w:rPr>
                <w:szCs w:val="22"/>
              </w:rPr>
            </w:pPr>
            <w:r w:rsidRPr="00200B58">
              <w:rPr>
                <w:szCs w:val="22"/>
              </w:rPr>
              <w:lastRenderedPageBreak/>
              <w:t>Sophia Tsakraklides</w:t>
            </w:r>
            <w:r w:rsidR="000337EC">
              <w:rPr>
                <w:szCs w:val="22"/>
              </w:rPr>
              <w:t>, Ph.D.</w:t>
            </w:r>
          </w:p>
          <w:p w:rsidR="00200B58" w:rsidRDefault="00200B58" w:rsidP="00200B58">
            <w:pPr>
              <w:jc w:val="left"/>
              <w:rPr>
                <w:szCs w:val="22"/>
              </w:rPr>
            </w:pPr>
            <w:r>
              <w:rPr>
                <w:szCs w:val="22"/>
              </w:rPr>
              <w:t xml:space="preserve">Westat Principle Investigator for </w:t>
            </w:r>
            <w:r w:rsidR="00232C82">
              <w:rPr>
                <w:szCs w:val="22"/>
              </w:rPr>
              <w:t>SCTC</w:t>
            </w:r>
          </w:p>
          <w:p w:rsidR="00200B58" w:rsidRPr="00200B58" w:rsidRDefault="00200B58" w:rsidP="00200B58">
            <w:pPr>
              <w:jc w:val="left"/>
              <w:rPr>
                <w:szCs w:val="22"/>
              </w:rPr>
            </w:pPr>
            <w:r>
              <w:rPr>
                <w:szCs w:val="22"/>
              </w:rPr>
              <w:t>Westat</w:t>
            </w:r>
          </w:p>
          <w:p w:rsidR="00200B58" w:rsidRDefault="00200B58" w:rsidP="00200B58">
            <w:pPr>
              <w:jc w:val="left"/>
              <w:rPr>
                <w:szCs w:val="22"/>
              </w:rPr>
            </w:pPr>
            <w:r w:rsidRPr="00200B58">
              <w:rPr>
                <w:szCs w:val="22"/>
              </w:rPr>
              <w:t xml:space="preserve">1600 Research Blvd. </w:t>
            </w:r>
            <w:r w:rsidRPr="00200B58">
              <w:rPr>
                <w:szCs w:val="22"/>
              </w:rPr>
              <w:br/>
              <w:t>Rockville, MD 20850</w:t>
            </w:r>
          </w:p>
          <w:p w:rsidR="00200B58" w:rsidRDefault="00200B58" w:rsidP="00200B58">
            <w:pPr>
              <w:jc w:val="left"/>
              <w:rPr>
                <w:szCs w:val="22"/>
              </w:rPr>
            </w:pPr>
            <w:r w:rsidRPr="00200B58">
              <w:rPr>
                <w:szCs w:val="22"/>
              </w:rPr>
              <w:t>301-738-3580</w:t>
            </w:r>
          </w:p>
          <w:p w:rsidR="004662C0" w:rsidRPr="00200B58" w:rsidRDefault="00200B58" w:rsidP="00200B58">
            <w:pPr>
              <w:jc w:val="left"/>
              <w:rPr>
                <w:szCs w:val="22"/>
              </w:rPr>
            </w:pPr>
            <w:r w:rsidRPr="00200B58">
              <w:rPr>
                <w:rStyle w:val="Hyperlink"/>
                <w:szCs w:val="22"/>
              </w:rPr>
              <w:t>SophiaTsakraklides@westat.com</w:t>
            </w:r>
            <w:r w:rsidR="004662C0" w:rsidRPr="00200B58">
              <w:rPr>
                <w:szCs w:val="22"/>
              </w:rPr>
              <w:t xml:space="preserve"> </w:t>
            </w:r>
          </w:p>
        </w:tc>
        <w:tc>
          <w:tcPr>
            <w:tcW w:w="4374" w:type="dxa"/>
          </w:tcPr>
          <w:p w:rsidR="000337EC" w:rsidRPr="00200B58" w:rsidRDefault="000337EC" w:rsidP="000337EC">
            <w:pPr>
              <w:rPr>
                <w:iCs/>
                <w:szCs w:val="22"/>
              </w:rPr>
            </w:pPr>
            <w:r>
              <w:rPr>
                <w:iCs/>
                <w:szCs w:val="22"/>
              </w:rPr>
              <w:t>Michael Steketee</w:t>
            </w:r>
            <w:r w:rsidRPr="00200B58">
              <w:rPr>
                <w:iCs/>
                <w:szCs w:val="22"/>
              </w:rPr>
              <w:t>, Ph.D.</w:t>
            </w:r>
          </w:p>
          <w:p w:rsidR="000337EC" w:rsidRPr="00200B58" w:rsidRDefault="000337EC" w:rsidP="000337EC">
            <w:pPr>
              <w:rPr>
                <w:szCs w:val="22"/>
              </w:rPr>
            </w:pPr>
            <w:r>
              <w:rPr>
                <w:szCs w:val="22"/>
              </w:rPr>
              <w:t>Senior Study Director</w:t>
            </w:r>
          </w:p>
          <w:p w:rsidR="000337EC" w:rsidRPr="00200B58" w:rsidRDefault="000337EC" w:rsidP="000337EC">
            <w:pPr>
              <w:rPr>
                <w:szCs w:val="22"/>
              </w:rPr>
            </w:pPr>
            <w:r w:rsidRPr="00200B58">
              <w:rPr>
                <w:szCs w:val="22"/>
              </w:rPr>
              <w:t>Westat</w:t>
            </w:r>
          </w:p>
          <w:p w:rsidR="000337EC" w:rsidRPr="00200B58" w:rsidRDefault="000337EC" w:rsidP="000337EC">
            <w:pPr>
              <w:rPr>
                <w:szCs w:val="22"/>
              </w:rPr>
            </w:pPr>
            <w:r w:rsidRPr="00200B58">
              <w:rPr>
                <w:szCs w:val="22"/>
              </w:rPr>
              <w:t>1600 Research Blvd.</w:t>
            </w:r>
          </w:p>
          <w:p w:rsidR="000337EC" w:rsidRPr="00200B58" w:rsidRDefault="000337EC" w:rsidP="000337EC">
            <w:pPr>
              <w:rPr>
                <w:szCs w:val="22"/>
              </w:rPr>
            </w:pPr>
            <w:r w:rsidRPr="00200B58">
              <w:rPr>
                <w:szCs w:val="22"/>
              </w:rPr>
              <w:t>Rockville, MD 20850</w:t>
            </w:r>
          </w:p>
          <w:p w:rsidR="000337EC" w:rsidRPr="00200B58" w:rsidRDefault="000337EC" w:rsidP="000337EC">
            <w:pPr>
              <w:rPr>
                <w:szCs w:val="22"/>
              </w:rPr>
            </w:pPr>
            <w:r>
              <w:rPr>
                <w:szCs w:val="22"/>
              </w:rPr>
              <w:t>240-453-2603</w:t>
            </w:r>
          </w:p>
          <w:p w:rsidR="000337EC" w:rsidRDefault="00F11DC9" w:rsidP="000337EC">
            <w:pPr>
              <w:pStyle w:val="PlainText"/>
              <w:rPr>
                <w:rFonts w:ascii="Times New Roman" w:eastAsia="Times New Roman" w:hAnsi="Times New Roman"/>
                <w:sz w:val="22"/>
                <w:szCs w:val="22"/>
              </w:rPr>
            </w:pPr>
            <w:hyperlink r:id="rId12" w:history="1">
              <w:r w:rsidR="000337EC" w:rsidRPr="00EB2CEC">
                <w:rPr>
                  <w:rStyle w:val="Hyperlink"/>
                  <w:rFonts w:ascii="Times New Roman" w:eastAsia="Times New Roman" w:hAnsi="Times New Roman"/>
                  <w:sz w:val="22"/>
                  <w:szCs w:val="22"/>
                </w:rPr>
                <w:t>michaelsteketee@westat.com</w:t>
              </w:r>
            </w:hyperlink>
          </w:p>
          <w:p w:rsidR="004662C0" w:rsidRPr="00200B58" w:rsidRDefault="004662C0" w:rsidP="000337EC">
            <w:pPr>
              <w:jc w:val="left"/>
              <w:rPr>
                <w:szCs w:val="22"/>
              </w:rPr>
            </w:pPr>
          </w:p>
        </w:tc>
      </w:tr>
      <w:tr w:rsidR="004662C0" w:rsidRPr="00EB02D4" w:rsidTr="00200B58">
        <w:tc>
          <w:tcPr>
            <w:tcW w:w="4374" w:type="dxa"/>
          </w:tcPr>
          <w:p w:rsidR="004662C0" w:rsidRPr="00A97865" w:rsidRDefault="00232C82" w:rsidP="005D1B11">
            <w:pPr>
              <w:pStyle w:val="PlainText"/>
              <w:rPr>
                <w:rFonts w:ascii="Times New Roman" w:hAnsi="Times New Roman"/>
                <w:sz w:val="22"/>
                <w:szCs w:val="22"/>
              </w:rPr>
            </w:pPr>
            <w:r w:rsidRPr="00A97865">
              <w:rPr>
                <w:rFonts w:ascii="Times New Roman" w:hAnsi="Times New Roman"/>
                <w:sz w:val="22"/>
                <w:szCs w:val="22"/>
              </w:rPr>
              <w:t>Keith MacAllum</w:t>
            </w:r>
            <w:r w:rsidR="00A97865" w:rsidRPr="00A97865">
              <w:rPr>
                <w:rFonts w:ascii="Times New Roman" w:hAnsi="Times New Roman"/>
                <w:sz w:val="22"/>
                <w:szCs w:val="22"/>
              </w:rPr>
              <w:t>, Ph.D.</w:t>
            </w:r>
          </w:p>
          <w:p w:rsidR="00200B58" w:rsidRPr="000337EC" w:rsidRDefault="00200B58" w:rsidP="005D1B11">
            <w:pPr>
              <w:pStyle w:val="PlainText"/>
              <w:rPr>
                <w:rFonts w:ascii="Times New Roman" w:hAnsi="Times New Roman"/>
                <w:sz w:val="22"/>
                <w:szCs w:val="22"/>
              </w:rPr>
            </w:pPr>
            <w:r w:rsidRPr="000337EC">
              <w:rPr>
                <w:rFonts w:ascii="Times New Roman" w:hAnsi="Times New Roman"/>
                <w:sz w:val="22"/>
                <w:szCs w:val="22"/>
              </w:rPr>
              <w:t xml:space="preserve">Senior </w:t>
            </w:r>
            <w:r w:rsidR="000337EC" w:rsidRPr="000337EC">
              <w:rPr>
                <w:rFonts w:ascii="Times New Roman" w:hAnsi="Times New Roman"/>
                <w:sz w:val="22"/>
                <w:szCs w:val="22"/>
              </w:rPr>
              <w:t>Qualitative Researcher</w:t>
            </w:r>
          </w:p>
          <w:p w:rsidR="00200B58" w:rsidRDefault="00200B58" w:rsidP="005D1B11">
            <w:pPr>
              <w:pStyle w:val="PlainText"/>
              <w:rPr>
                <w:rFonts w:ascii="Times New Roman" w:hAnsi="Times New Roman"/>
                <w:sz w:val="22"/>
                <w:szCs w:val="22"/>
              </w:rPr>
            </w:pPr>
            <w:r>
              <w:rPr>
                <w:rFonts w:ascii="Times New Roman" w:hAnsi="Times New Roman"/>
                <w:sz w:val="22"/>
                <w:szCs w:val="22"/>
              </w:rPr>
              <w:t>Westat</w:t>
            </w:r>
          </w:p>
          <w:p w:rsidR="00200B58" w:rsidRDefault="00200B58" w:rsidP="005D1B11">
            <w:pPr>
              <w:pStyle w:val="PlainText"/>
              <w:rPr>
                <w:rFonts w:ascii="Times New Roman" w:hAnsi="Times New Roman"/>
                <w:sz w:val="22"/>
                <w:szCs w:val="22"/>
              </w:rPr>
            </w:pPr>
            <w:r>
              <w:rPr>
                <w:rFonts w:ascii="Times New Roman" w:hAnsi="Times New Roman"/>
                <w:sz w:val="22"/>
                <w:szCs w:val="22"/>
              </w:rPr>
              <w:t>1600 Research Blvd.</w:t>
            </w:r>
          </w:p>
          <w:p w:rsidR="00200B58" w:rsidRDefault="00200B58" w:rsidP="005D1B11">
            <w:pPr>
              <w:pStyle w:val="PlainText"/>
              <w:rPr>
                <w:rFonts w:ascii="Times New Roman" w:hAnsi="Times New Roman"/>
                <w:sz w:val="22"/>
                <w:szCs w:val="22"/>
              </w:rPr>
            </w:pPr>
            <w:r>
              <w:rPr>
                <w:rFonts w:ascii="Times New Roman" w:hAnsi="Times New Roman"/>
                <w:sz w:val="22"/>
                <w:szCs w:val="22"/>
              </w:rPr>
              <w:t>Rockville, MD 20850</w:t>
            </w:r>
          </w:p>
          <w:p w:rsidR="00200B58" w:rsidRDefault="00232C82" w:rsidP="005D1B11">
            <w:pPr>
              <w:pStyle w:val="PlainText"/>
              <w:rPr>
                <w:rFonts w:ascii="Times New Roman" w:hAnsi="Times New Roman"/>
                <w:sz w:val="22"/>
                <w:szCs w:val="22"/>
              </w:rPr>
            </w:pPr>
            <w:r>
              <w:rPr>
                <w:rFonts w:ascii="Times New Roman" w:hAnsi="Times New Roman"/>
                <w:sz w:val="22"/>
                <w:szCs w:val="22"/>
              </w:rPr>
              <w:t>301-610-8854</w:t>
            </w:r>
          </w:p>
          <w:p w:rsidR="00200B58" w:rsidRPr="00232C82" w:rsidRDefault="00F11DC9" w:rsidP="005D1B11">
            <w:pPr>
              <w:pStyle w:val="PlainText"/>
              <w:rPr>
                <w:rFonts w:ascii="Times New Roman" w:hAnsi="Times New Roman"/>
                <w:sz w:val="22"/>
                <w:szCs w:val="22"/>
              </w:rPr>
            </w:pPr>
            <w:hyperlink r:id="rId13" w:history="1">
              <w:r w:rsidR="00232C82" w:rsidRPr="00EB2CEC">
                <w:rPr>
                  <w:rStyle w:val="Hyperlink"/>
                  <w:rFonts w:ascii="Times New Roman" w:hAnsi="Times New Roman"/>
                  <w:sz w:val="22"/>
                  <w:szCs w:val="22"/>
                </w:rPr>
                <w:t>KeithMacAllum@westat.com</w:t>
              </w:r>
            </w:hyperlink>
          </w:p>
          <w:p w:rsidR="00200B58" w:rsidRPr="00200B58" w:rsidRDefault="00200B58" w:rsidP="005D1B11">
            <w:pPr>
              <w:pStyle w:val="PlainText"/>
              <w:rPr>
                <w:rFonts w:ascii="Times New Roman" w:hAnsi="Times New Roman"/>
                <w:sz w:val="22"/>
                <w:szCs w:val="22"/>
              </w:rPr>
            </w:pPr>
          </w:p>
        </w:tc>
        <w:tc>
          <w:tcPr>
            <w:tcW w:w="4374" w:type="dxa"/>
          </w:tcPr>
          <w:p w:rsidR="00C24306" w:rsidRPr="00200B58" w:rsidRDefault="00C24306" w:rsidP="00C24306">
            <w:pPr>
              <w:rPr>
                <w:iCs/>
                <w:szCs w:val="22"/>
              </w:rPr>
            </w:pPr>
            <w:r>
              <w:rPr>
                <w:iCs/>
                <w:szCs w:val="22"/>
              </w:rPr>
              <w:t>Martha Palan, M.S.</w:t>
            </w:r>
          </w:p>
          <w:p w:rsidR="00C24306" w:rsidRPr="00200B58" w:rsidRDefault="00C24306" w:rsidP="00C24306">
            <w:pPr>
              <w:rPr>
                <w:szCs w:val="22"/>
              </w:rPr>
            </w:pPr>
            <w:r>
              <w:rPr>
                <w:szCs w:val="22"/>
              </w:rPr>
              <w:t>Senior Study Director</w:t>
            </w:r>
          </w:p>
          <w:p w:rsidR="00C24306" w:rsidRPr="00200B58" w:rsidRDefault="00C24306" w:rsidP="00C24306">
            <w:pPr>
              <w:rPr>
                <w:szCs w:val="22"/>
              </w:rPr>
            </w:pPr>
            <w:r w:rsidRPr="00200B58">
              <w:rPr>
                <w:szCs w:val="22"/>
              </w:rPr>
              <w:t>Westat</w:t>
            </w:r>
          </w:p>
          <w:p w:rsidR="00C24306" w:rsidRPr="00200B58" w:rsidRDefault="00C24306" w:rsidP="00C24306">
            <w:pPr>
              <w:rPr>
                <w:szCs w:val="22"/>
              </w:rPr>
            </w:pPr>
            <w:r w:rsidRPr="00200B58">
              <w:rPr>
                <w:szCs w:val="22"/>
              </w:rPr>
              <w:t>1600 Research Blvd.</w:t>
            </w:r>
          </w:p>
          <w:p w:rsidR="00C24306" w:rsidRDefault="00C24306" w:rsidP="00C24306">
            <w:pPr>
              <w:rPr>
                <w:szCs w:val="22"/>
              </w:rPr>
            </w:pPr>
            <w:r w:rsidRPr="00200B58">
              <w:rPr>
                <w:szCs w:val="22"/>
              </w:rPr>
              <w:t>Rockville, MD 20850</w:t>
            </w:r>
          </w:p>
          <w:p w:rsidR="00C24306" w:rsidRPr="000337EC" w:rsidRDefault="00C24306" w:rsidP="00C24306">
            <w:pPr>
              <w:rPr>
                <w:szCs w:val="22"/>
              </w:rPr>
            </w:pPr>
            <w:r>
              <w:rPr>
                <w:szCs w:val="22"/>
              </w:rPr>
              <w:t>301-738-3526</w:t>
            </w:r>
          </w:p>
          <w:p w:rsidR="00C24306" w:rsidRDefault="00F11DC9" w:rsidP="00C24306">
            <w:pPr>
              <w:pStyle w:val="PlainText"/>
              <w:rPr>
                <w:rFonts w:ascii="Times New Roman" w:eastAsia="Times New Roman" w:hAnsi="Times New Roman"/>
                <w:sz w:val="22"/>
                <w:szCs w:val="22"/>
              </w:rPr>
            </w:pPr>
            <w:hyperlink r:id="rId14" w:history="1">
              <w:r w:rsidR="00C24306" w:rsidRPr="00EB2CEC">
                <w:rPr>
                  <w:rStyle w:val="Hyperlink"/>
                  <w:rFonts w:ascii="Times New Roman" w:eastAsia="Times New Roman" w:hAnsi="Times New Roman"/>
                  <w:sz w:val="22"/>
                  <w:szCs w:val="22"/>
                </w:rPr>
                <w:t>marthapalan@westat.com</w:t>
              </w:r>
            </w:hyperlink>
          </w:p>
          <w:p w:rsidR="00200B58" w:rsidRPr="00200B58" w:rsidRDefault="00200B58" w:rsidP="005D1B11">
            <w:pPr>
              <w:pStyle w:val="PlainText"/>
              <w:rPr>
                <w:rFonts w:ascii="Times New Roman" w:hAnsi="Times New Roman"/>
                <w:color w:val="FF0000"/>
                <w:sz w:val="22"/>
                <w:szCs w:val="22"/>
              </w:rPr>
            </w:pPr>
          </w:p>
        </w:tc>
      </w:tr>
      <w:tr w:rsidR="005F2A50" w:rsidRPr="00EB02D4" w:rsidTr="00200B58">
        <w:tc>
          <w:tcPr>
            <w:tcW w:w="4374" w:type="dxa"/>
          </w:tcPr>
          <w:p w:rsidR="005F2A50" w:rsidRDefault="005F2A50" w:rsidP="005D1B11">
            <w:pPr>
              <w:pStyle w:val="PlainText"/>
              <w:rPr>
                <w:rFonts w:ascii="Times New Roman" w:hAnsi="Times New Roman"/>
                <w:sz w:val="22"/>
                <w:szCs w:val="22"/>
              </w:rPr>
            </w:pPr>
            <w:r>
              <w:rPr>
                <w:rFonts w:ascii="Times New Roman" w:hAnsi="Times New Roman"/>
                <w:sz w:val="22"/>
                <w:szCs w:val="22"/>
              </w:rPr>
              <w:t>Elizabeth M. Ginexi, Ph.D.</w:t>
            </w:r>
          </w:p>
          <w:p w:rsidR="005F2A50" w:rsidRDefault="005F2A50" w:rsidP="005D1B11">
            <w:pPr>
              <w:pStyle w:val="PlainText"/>
              <w:rPr>
                <w:rFonts w:ascii="Times New Roman" w:hAnsi="Times New Roman"/>
                <w:sz w:val="22"/>
                <w:szCs w:val="22"/>
              </w:rPr>
            </w:pPr>
            <w:r>
              <w:rPr>
                <w:rFonts w:ascii="Times New Roman" w:hAnsi="Times New Roman"/>
                <w:sz w:val="22"/>
                <w:szCs w:val="22"/>
              </w:rPr>
              <w:t>Project Officer</w:t>
            </w:r>
          </w:p>
          <w:p w:rsidR="005F2A50" w:rsidRDefault="005F2A50" w:rsidP="005D1B11">
            <w:pPr>
              <w:pStyle w:val="PlainText"/>
              <w:rPr>
                <w:rFonts w:ascii="Times New Roman" w:hAnsi="Times New Roman"/>
                <w:sz w:val="22"/>
                <w:szCs w:val="22"/>
              </w:rPr>
            </w:pPr>
            <w:r>
              <w:rPr>
                <w:rFonts w:ascii="Times New Roman" w:hAnsi="Times New Roman"/>
                <w:sz w:val="22"/>
                <w:szCs w:val="22"/>
              </w:rPr>
              <w:t>Tobacco Control Research Branch</w:t>
            </w:r>
          </w:p>
          <w:p w:rsidR="005F2A50" w:rsidRDefault="005F2A50" w:rsidP="005D1B11">
            <w:pPr>
              <w:pStyle w:val="PlainText"/>
              <w:rPr>
                <w:rFonts w:ascii="Times New Roman" w:hAnsi="Times New Roman"/>
                <w:sz w:val="22"/>
                <w:szCs w:val="22"/>
              </w:rPr>
            </w:pPr>
            <w:r>
              <w:rPr>
                <w:rFonts w:ascii="Times New Roman" w:hAnsi="Times New Roman"/>
                <w:sz w:val="22"/>
                <w:szCs w:val="22"/>
              </w:rPr>
              <w:t>Behavioral Research Program</w:t>
            </w:r>
          </w:p>
          <w:p w:rsidR="005F2A50" w:rsidRDefault="005F2A50" w:rsidP="005D1B11">
            <w:pPr>
              <w:pStyle w:val="PlainText"/>
              <w:rPr>
                <w:rFonts w:ascii="Times New Roman" w:hAnsi="Times New Roman"/>
                <w:sz w:val="22"/>
                <w:szCs w:val="22"/>
              </w:rPr>
            </w:pPr>
            <w:r>
              <w:rPr>
                <w:rFonts w:ascii="Times New Roman" w:hAnsi="Times New Roman"/>
                <w:sz w:val="22"/>
                <w:szCs w:val="22"/>
              </w:rPr>
              <w:t>Division of Cancer Control and Population Sciences</w:t>
            </w:r>
          </w:p>
          <w:p w:rsidR="005F2A50" w:rsidRDefault="005F2A50" w:rsidP="005D1B11">
            <w:pPr>
              <w:pStyle w:val="PlainText"/>
              <w:rPr>
                <w:rFonts w:ascii="Times New Roman" w:hAnsi="Times New Roman"/>
                <w:sz w:val="22"/>
                <w:szCs w:val="22"/>
              </w:rPr>
            </w:pPr>
            <w:r>
              <w:rPr>
                <w:rFonts w:ascii="Times New Roman" w:hAnsi="Times New Roman"/>
                <w:sz w:val="22"/>
                <w:szCs w:val="22"/>
              </w:rPr>
              <w:t>National Cancer Institute</w:t>
            </w:r>
          </w:p>
          <w:p w:rsidR="005F2A50" w:rsidRDefault="005F2A50" w:rsidP="005D1B11">
            <w:pPr>
              <w:pStyle w:val="PlainText"/>
              <w:rPr>
                <w:rFonts w:ascii="Times New Roman" w:hAnsi="Times New Roman"/>
                <w:sz w:val="22"/>
                <w:szCs w:val="22"/>
              </w:rPr>
            </w:pPr>
            <w:r>
              <w:rPr>
                <w:rFonts w:ascii="Times New Roman" w:hAnsi="Times New Roman"/>
                <w:sz w:val="22"/>
                <w:szCs w:val="22"/>
              </w:rPr>
              <w:t>9609 Medical Center Drive</w:t>
            </w:r>
          </w:p>
          <w:p w:rsidR="005F2A50" w:rsidRDefault="005F2A50" w:rsidP="005D1B11">
            <w:pPr>
              <w:pStyle w:val="PlainText"/>
              <w:rPr>
                <w:rFonts w:ascii="Times New Roman" w:hAnsi="Times New Roman"/>
                <w:sz w:val="22"/>
                <w:szCs w:val="22"/>
              </w:rPr>
            </w:pPr>
            <w:r>
              <w:rPr>
                <w:rFonts w:ascii="Times New Roman" w:hAnsi="Times New Roman"/>
                <w:sz w:val="22"/>
                <w:szCs w:val="22"/>
              </w:rPr>
              <w:t>Bethesda, MD 20892-9761</w:t>
            </w:r>
          </w:p>
          <w:p w:rsidR="005F2A50" w:rsidRDefault="005F2A50" w:rsidP="005D1B11">
            <w:pPr>
              <w:pStyle w:val="PlainText"/>
              <w:rPr>
                <w:rFonts w:ascii="Times New Roman" w:hAnsi="Times New Roman"/>
                <w:sz w:val="22"/>
                <w:szCs w:val="22"/>
              </w:rPr>
            </w:pPr>
            <w:r>
              <w:rPr>
                <w:rFonts w:ascii="Times New Roman" w:hAnsi="Times New Roman"/>
                <w:sz w:val="22"/>
                <w:szCs w:val="22"/>
              </w:rPr>
              <w:t>240-276-6765</w:t>
            </w:r>
          </w:p>
          <w:p w:rsidR="005F2A50" w:rsidRPr="00A97865" w:rsidRDefault="005F2A50" w:rsidP="005D1B11">
            <w:pPr>
              <w:pStyle w:val="PlainText"/>
              <w:rPr>
                <w:rFonts w:ascii="Times New Roman" w:hAnsi="Times New Roman"/>
                <w:sz w:val="22"/>
                <w:szCs w:val="22"/>
              </w:rPr>
            </w:pPr>
          </w:p>
        </w:tc>
        <w:tc>
          <w:tcPr>
            <w:tcW w:w="4374" w:type="dxa"/>
          </w:tcPr>
          <w:p w:rsidR="005F2A50" w:rsidRDefault="005F2A50" w:rsidP="00C24306">
            <w:pPr>
              <w:rPr>
                <w:iCs/>
                <w:szCs w:val="22"/>
              </w:rPr>
            </w:pPr>
          </w:p>
        </w:tc>
      </w:tr>
    </w:tbl>
    <w:p w:rsidR="00752EE6" w:rsidRDefault="00752EE6" w:rsidP="007C2979"/>
    <w:sectPr w:rsidR="00752EE6" w:rsidSect="004216D4">
      <w:footerReference w:type="even" r:id="rId15"/>
      <w:footerReference w:type="default" r:id="rId16"/>
      <w:footerReference w:type="first" r:id="rId17"/>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DC9" w:rsidRDefault="00F11DC9" w:rsidP="005D1B11">
      <w:pPr>
        <w:spacing w:line="240" w:lineRule="auto"/>
      </w:pPr>
      <w:r>
        <w:separator/>
      </w:r>
    </w:p>
  </w:endnote>
  <w:endnote w:type="continuationSeparator" w:id="0">
    <w:p w:rsidR="00F11DC9" w:rsidRDefault="00F11DC9" w:rsidP="005D1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0CD" w:rsidRDefault="001570CD"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70CD" w:rsidRDefault="00157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0CD" w:rsidRDefault="001570CD" w:rsidP="00386BA8">
    <w:pPr>
      <w:pStyle w:val="Footer"/>
      <w:framePr w:w="331" w:wrap="around" w:vAnchor="text" w:hAnchor="page" w:x="6046" w:yAlign="top"/>
      <w:rPr>
        <w:rStyle w:val="PageNumber"/>
      </w:rPr>
    </w:pPr>
    <w:r>
      <w:rPr>
        <w:rStyle w:val="PageNumber"/>
      </w:rPr>
      <w:fldChar w:fldCharType="begin"/>
    </w:r>
    <w:r>
      <w:rPr>
        <w:rStyle w:val="PageNumber"/>
      </w:rPr>
      <w:instrText xml:space="preserve">PAGE  </w:instrText>
    </w:r>
    <w:r>
      <w:rPr>
        <w:rStyle w:val="PageNumber"/>
      </w:rPr>
      <w:fldChar w:fldCharType="separate"/>
    </w:r>
    <w:r w:rsidR="00641864">
      <w:rPr>
        <w:rStyle w:val="PageNumber"/>
        <w:noProof/>
      </w:rPr>
      <w:t>iv</w:t>
    </w:r>
    <w:r>
      <w:rPr>
        <w:rStyle w:val="PageNumber"/>
      </w:rPr>
      <w:fldChar w:fldCharType="end"/>
    </w:r>
  </w:p>
  <w:p w:rsidR="001570CD" w:rsidRDefault="001570CD" w:rsidP="00567D5D">
    <w:pPr>
      <w:pStyle w:val="Footer"/>
      <w:jc w:val="center"/>
      <w:rPr>
        <w:sz w:val="20"/>
      </w:rPr>
    </w:pPr>
  </w:p>
  <w:p w:rsidR="001570CD" w:rsidRDefault="001570CD" w:rsidP="009A27B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FD3" w:rsidRDefault="00E75245" w:rsidP="00E41609">
    <w:pPr>
      <w:pStyle w:val="Footer"/>
      <w:framePr w:wrap="around" w:vAnchor="text" w:hAnchor="margin" w:xAlign="center" w:y="1"/>
      <w:rPr>
        <w:rStyle w:val="PageNumber"/>
      </w:rPr>
    </w:pPr>
    <w:r>
      <w:rPr>
        <w:rStyle w:val="PageNumber"/>
      </w:rPr>
      <w:fldChar w:fldCharType="begin"/>
    </w:r>
    <w:r w:rsidR="007E2FD3">
      <w:rPr>
        <w:rStyle w:val="PageNumber"/>
      </w:rPr>
      <w:instrText xml:space="preserve">PAGE  </w:instrText>
    </w:r>
    <w:r>
      <w:rPr>
        <w:rStyle w:val="PageNumber"/>
      </w:rPr>
      <w:fldChar w:fldCharType="end"/>
    </w:r>
  </w:p>
  <w:p w:rsidR="007E2FD3" w:rsidRDefault="007E2F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FD3" w:rsidRPr="00557F13" w:rsidRDefault="00E75245" w:rsidP="00A35B8F">
    <w:pPr>
      <w:pStyle w:val="Footer"/>
      <w:jc w:val="center"/>
      <w:rPr>
        <w:sz w:val="20"/>
      </w:rPr>
    </w:pPr>
    <w:r w:rsidRPr="00557F13">
      <w:rPr>
        <w:rStyle w:val="PageNumber"/>
      </w:rPr>
      <w:fldChar w:fldCharType="begin"/>
    </w:r>
    <w:r w:rsidR="007E2FD3" w:rsidRPr="00557F13">
      <w:rPr>
        <w:rStyle w:val="PageNumber"/>
      </w:rPr>
      <w:instrText xml:space="preserve"> PAGE </w:instrText>
    </w:r>
    <w:r w:rsidRPr="00557F13">
      <w:rPr>
        <w:rStyle w:val="PageNumber"/>
      </w:rPr>
      <w:fldChar w:fldCharType="separate"/>
    </w:r>
    <w:r w:rsidR="00641864">
      <w:rPr>
        <w:rStyle w:val="PageNumber"/>
        <w:noProof/>
      </w:rPr>
      <w:t>11</w:t>
    </w:r>
    <w:r w:rsidRPr="00557F13">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FD3" w:rsidRPr="001A132D" w:rsidRDefault="007E2FD3" w:rsidP="00A35B8F">
    <w:pPr>
      <w:pStyle w:val="Footer"/>
      <w:jc w:val="center"/>
      <w:rPr>
        <w:color w:val="FF0000"/>
        <w:sz w:val="20"/>
      </w:rPr>
    </w:pPr>
    <w:smartTag w:uri="urn:schemas-microsoft-com:office:smarttags" w:element="stockticker">
      <w:r w:rsidRPr="001A132D">
        <w:rPr>
          <w:color w:val="FF0000"/>
          <w:sz w:val="20"/>
        </w:rPr>
        <w:t>NCI</w:t>
      </w:r>
    </w:smartTag>
    <w:r w:rsidRPr="001A132D">
      <w:rPr>
        <w:color w:val="FF0000"/>
        <w:sz w:val="20"/>
      </w:rPr>
      <w:t>’s Office of Management Analysis and Assessment (OMAA)</w:t>
    </w:r>
  </w:p>
  <w:p w:rsidR="007E2FD3" w:rsidRDefault="007E2FD3"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7E2FD3" w:rsidRPr="00A35B8F" w:rsidRDefault="007E2FD3" w:rsidP="00A35B8F">
    <w:pPr>
      <w:pStyle w:val="Footer"/>
      <w:jc w:val="center"/>
      <w:rPr>
        <w:color w:val="FF0000"/>
        <w:sz w:val="20"/>
      </w:rPr>
    </w:pPr>
    <w:r>
      <w:rPr>
        <w:color w:val="FF0000"/>
        <w:sz w:val="20"/>
      </w:rPr>
      <w:t>Last Upd</w:t>
    </w:r>
    <w:r w:rsidRPr="001A132D">
      <w:rPr>
        <w:color w:val="FF0000"/>
        <w:sz w:val="20"/>
      </w:rPr>
      <w:t xml:space="preserve">ated </w:t>
    </w:r>
    <w:smartTag w:uri="urn:schemas-microsoft-com:office:smarttags" w:element="date">
      <w:smartTagPr>
        <w:attr w:name="Month" w:val="7"/>
        <w:attr w:name="Day" w:val="7"/>
        <w:attr w:name="Year" w:val="2008"/>
      </w:smartTagPr>
      <w:r>
        <w:rPr>
          <w:color w:val="FF0000"/>
          <w:sz w:val="20"/>
        </w:rPr>
        <w:t>7-7</w:t>
      </w:r>
      <w:r w:rsidRPr="001A132D">
        <w:rPr>
          <w:color w:val="FF0000"/>
          <w:sz w:val="20"/>
        </w:rPr>
        <w:t>-2008</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DC9" w:rsidRDefault="00F11DC9" w:rsidP="005D1B11">
      <w:pPr>
        <w:spacing w:line="240" w:lineRule="auto"/>
      </w:pPr>
      <w:r>
        <w:separator/>
      </w:r>
    </w:p>
  </w:footnote>
  <w:footnote w:type="continuationSeparator" w:id="0">
    <w:p w:rsidR="00F11DC9" w:rsidRDefault="00F11DC9" w:rsidP="005D1B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A063BE"/>
    <w:multiLevelType w:val="hybridMultilevel"/>
    <w:tmpl w:val="9D903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193F92"/>
    <w:multiLevelType w:val="hybridMultilevel"/>
    <w:tmpl w:val="AAEE1C14"/>
    <w:lvl w:ilvl="0" w:tplc="C3A663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A65AD"/>
    <w:multiLevelType w:val="hybridMultilevel"/>
    <w:tmpl w:val="B22E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556605"/>
    <w:multiLevelType w:val="hybridMultilevel"/>
    <w:tmpl w:val="1A800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6B4C92"/>
    <w:multiLevelType w:val="hybridMultilevel"/>
    <w:tmpl w:val="BD2E0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97A4F74"/>
    <w:multiLevelType w:val="hybridMultilevel"/>
    <w:tmpl w:val="9D4E3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A807195"/>
    <w:multiLevelType w:val="hybridMultilevel"/>
    <w:tmpl w:val="93EC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F7595"/>
    <w:multiLevelType w:val="hybridMultilevel"/>
    <w:tmpl w:val="3716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5C6EAB"/>
    <w:multiLevelType w:val="hybridMultilevel"/>
    <w:tmpl w:val="8C66B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EB51C1F"/>
    <w:multiLevelType w:val="hybridMultilevel"/>
    <w:tmpl w:val="EF0EA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668035E"/>
    <w:multiLevelType w:val="hybridMultilevel"/>
    <w:tmpl w:val="C0200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14A73B8"/>
    <w:multiLevelType w:val="hybridMultilevel"/>
    <w:tmpl w:val="74DCB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BB64656"/>
    <w:multiLevelType w:val="hybridMultilevel"/>
    <w:tmpl w:val="D2E08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0"/>
  </w:num>
  <w:num w:numId="4">
    <w:abstractNumId w:val="8"/>
  </w:num>
  <w:num w:numId="5">
    <w:abstractNumId w:val="16"/>
  </w:num>
  <w:num w:numId="6">
    <w:abstractNumId w:val="18"/>
  </w:num>
  <w:num w:numId="7">
    <w:abstractNumId w:val="14"/>
  </w:num>
  <w:num w:numId="8">
    <w:abstractNumId w:val="5"/>
  </w:num>
  <w:num w:numId="9">
    <w:abstractNumId w:val="7"/>
  </w:num>
  <w:num w:numId="10">
    <w:abstractNumId w:val="2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
  </w:num>
  <w:num w:numId="14">
    <w:abstractNumId w:val="12"/>
  </w:num>
  <w:num w:numId="15">
    <w:abstractNumId w:val="3"/>
  </w:num>
  <w:num w:numId="16">
    <w:abstractNumId w:val="15"/>
  </w:num>
  <w:num w:numId="17">
    <w:abstractNumId w:val="9"/>
  </w:num>
  <w:num w:numId="18">
    <w:abstractNumId w:val="4"/>
  </w:num>
  <w:num w:numId="19">
    <w:abstractNumId w:val="17"/>
  </w:num>
  <w:num w:numId="20">
    <w:abstractNumId w:val="1"/>
  </w:num>
  <w:num w:numId="21">
    <w:abstractNumId w:val="19"/>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D271A"/>
    <w:rsid w:val="0000045D"/>
    <w:rsid w:val="00000E78"/>
    <w:rsid w:val="0000485E"/>
    <w:rsid w:val="00007CA4"/>
    <w:rsid w:val="0001163D"/>
    <w:rsid w:val="000117FF"/>
    <w:rsid w:val="000123B1"/>
    <w:rsid w:val="00012B52"/>
    <w:rsid w:val="00012C2D"/>
    <w:rsid w:val="000164DD"/>
    <w:rsid w:val="00021732"/>
    <w:rsid w:val="00021DEA"/>
    <w:rsid w:val="00025BCF"/>
    <w:rsid w:val="00030615"/>
    <w:rsid w:val="000337EC"/>
    <w:rsid w:val="00033CE2"/>
    <w:rsid w:val="00034658"/>
    <w:rsid w:val="0003571F"/>
    <w:rsid w:val="000403A5"/>
    <w:rsid w:val="0004184D"/>
    <w:rsid w:val="00050343"/>
    <w:rsid w:val="00050963"/>
    <w:rsid w:val="0005097F"/>
    <w:rsid w:val="00050A76"/>
    <w:rsid w:val="00051AA2"/>
    <w:rsid w:val="00055962"/>
    <w:rsid w:val="00057024"/>
    <w:rsid w:val="00060A0E"/>
    <w:rsid w:val="00061D4D"/>
    <w:rsid w:val="00065E07"/>
    <w:rsid w:val="00066917"/>
    <w:rsid w:val="00072CF4"/>
    <w:rsid w:val="0007467C"/>
    <w:rsid w:val="00080FF0"/>
    <w:rsid w:val="00082E9D"/>
    <w:rsid w:val="000872F1"/>
    <w:rsid w:val="00090353"/>
    <w:rsid w:val="00092EDF"/>
    <w:rsid w:val="0009593F"/>
    <w:rsid w:val="00095AFA"/>
    <w:rsid w:val="000962BB"/>
    <w:rsid w:val="000A0F5A"/>
    <w:rsid w:val="000A3FD5"/>
    <w:rsid w:val="000B0BFB"/>
    <w:rsid w:val="000B2376"/>
    <w:rsid w:val="000B358C"/>
    <w:rsid w:val="000B4A20"/>
    <w:rsid w:val="000B713C"/>
    <w:rsid w:val="000C0603"/>
    <w:rsid w:val="000C2334"/>
    <w:rsid w:val="000C4E01"/>
    <w:rsid w:val="000D1FAE"/>
    <w:rsid w:val="000D3827"/>
    <w:rsid w:val="000E2DA2"/>
    <w:rsid w:val="000E2F5A"/>
    <w:rsid w:val="000E32A7"/>
    <w:rsid w:val="000E4FA8"/>
    <w:rsid w:val="000E77AB"/>
    <w:rsid w:val="000F173B"/>
    <w:rsid w:val="000F44FE"/>
    <w:rsid w:val="000F7A84"/>
    <w:rsid w:val="001006FD"/>
    <w:rsid w:val="001010D2"/>
    <w:rsid w:val="0010655B"/>
    <w:rsid w:val="00107489"/>
    <w:rsid w:val="001102A3"/>
    <w:rsid w:val="00113664"/>
    <w:rsid w:val="00113E23"/>
    <w:rsid w:val="001216C8"/>
    <w:rsid w:val="001228F5"/>
    <w:rsid w:val="00124D0D"/>
    <w:rsid w:val="00126AA4"/>
    <w:rsid w:val="00126DE6"/>
    <w:rsid w:val="0012715B"/>
    <w:rsid w:val="0013061F"/>
    <w:rsid w:val="00131E43"/>
    <w:rsid w:val="001329A5"/>
    <w:rsid w:val="001421B7"/>
    <w:rsid w:val="00142347"/>
    <w:rsid w:val="0014310E"/>
    <w:rsid w:val="001443D4"/>
    <w:rsid w:val="00150C48"/>
    <w:rsid w:val="00151979"/>
    <w:rsid w:val="00151D20"/>
    <w:rsid w:val="001566CB"/>
    <w:rsid w:val="001570CD"/>
    <w:rsid w:val="00157208"/>
    <w:rsid w:val="001639FC"/>
    <w:rsid w:val="0016464B"/>
    <w:rsid w:val="0016566A"/>
    <w:rsid w:val="0016623A"/>
    <w:rsid w:val="0016788C"/>
    <w:rsid w:val="00172B58"/>
    <w:rsid w:val="001731CD"/>
    <w:rsid w:val="00173813"/>
    <w:rsid w:val="00173F86"/>
    <w:rsid w:val="00174240"/>
    <w:rsid w:val="00175022"/>
    <w:rsid w:val="0017504F"/>
    <w:rsid w:val="001758BA"/>
    <w:rsid w:val="00176515"/>
    <w:rsid w:val="00177414"/>
    <w:rsid w:val="00182CDE"/>
    <w:rsid w:val="00185558"/>
    <w:rsid w:val="00190815"/>
    <w:rsid w:val="00191D79"/>
    <w:rsid w:val="00192B2A"/>
    <w:rsid w:val="00192CC4"/>
    <w:rsid w:val="00196479"/>
    <w:rsid w:val="00196E71"/>
    <w:rsid w:val="001970BD"/>
    <w:rsid w:val="001A3258"/>
    <w:rsid w:val="001A4AB2"/>
    <w:rsid w:val="001A6300"/>
    <w:rsid w:val="001B1455"/>
    <w:rsid w:val="001B1A9D"/>
    <w:rsid w:val="001B1E35"/>
    <w:rsid w:val="001B7762"/>
    <w:rsid w:val="001C0969"/>
    <w:rsid w:val="001C170D"/>
    <w:rsid w:val="001C1D33"/>
    <w:rsid w:val="001C2452"/>
    <w:rsid w:val="001C441F"/>
    <w:rsid w:val="001C66F6"/>
    <w:rsid w:val="001C7255"/>
    <w:rsid w:val="001D0C9F"/>
    <w:rsid w:val="001D22EB"/>
    <w:rsid w:val="001D326D"/>
    <w:rsid w:val="001D677B"/>
    <w:rsid w:val="001D7CD8"/>
    <w:rsid w:val="001E2BF6"/>
    <w:rsid w:val="001E40B3"/>
    <w:rsid w:val="001E4E1E"/>
    <w:rsid w:val="001E7879"/>
    <w:rsid w:val="001F182D"/>
    <w:rsid w:val="001F191D"/>
    <w:rsid w:val="001F3B30"/>
    <w:rsid w:val="001F3CCE"/>
    <w:rsid w:val="001F4053"/>
    <w:rsid w:val="001F58C0"/>
    <w:rsid w:val="00200B58"/>
    <w:rsid w:val="002023C6"/>
    <w:rsid w:val="002030D9"/>
    <w:rsid w:val="00203B30"/>
    <w:rsid w:val="00203FA2"/>
    <w:rsid w:val="002048B1"/>
    <w:rsid w:val="00205257"/>
    <w:rsid w:val="00206B27"/>
    <w:rsid w:val="002135FD"/>
    <w:rsid w:val="002155DA"/>
    <w:rsid w:val="00216261"/>
    <w:rsid w:val="00216DA9"/>
    <w:rsid w:val="00220991"/>
    <w:rsid w:val="0022166E"/>
    <w:rsid w:val="00222B05"/>
    <w:rsid w:val="00224360"/>
    <w:rsid w:val="00224DD0"/>
    <w:rsid w:val="00226916"/>
    <w:rsid w:val="002310B1"/>
    <w:rsid w:val="00232C82"/>
    <w:rsid w:val="00235032"/>
    <w:rsid w:val="00240B0B"/>
    <w:rsid w:val="00240CB4"/>
    <w:rsid w:val="002446A4"/>
    <w:rsid w:val="002505DA"/>
    <w:rsid w:val="00251FAE"/>
    <w:rsid w:val="002524FA"/>
    <w:rsid w:val="00254890"/>
    <w:rsid w:val="002550ED"/>
    <w:rsid w:val="00257711"/>
    <w:rsid w:val="002609D1"/>
    <w:rsid w:val="0026200D"/>
    <w:rsid w:val="002664B4"/>
    <w:rsid w:val="002738AC"/>
    <w:rsid w:val="00273ACD"/>
    <w:rsid w:val="00274CAA"/>
    <w:rsid w:val="00280A5E"/>
    <w:rsid w:val="00284D08"/>
    <w:rsid w:val="002855C2"/>
    <w:rsid w:val="002905E4"/>
    <w:rsid w:val="00293E14"/>
    <w:rsid w:val="0029419E"/>
    <w:rsid w:val="002A1F4A"/>
    <w:rsid w:val="002A3DAC"/>
    <w:rsid w:val="002A3F26"/>
    <w:rsid w:val="002B0832"/>
    <w:rsid w:val="002B56E0"/>
    <w:rsid w:val="002B7481"/>
    <w:rsid w:val="002B7D57"/>
    <w:rsid w:val="002C38FB"/>
    <w:rsid w:val="002D099F"/>
    <w:rsid w:val="002D2F64"/>
    <w:rsid w:val="002E0034"/>
    <w:rsid w:val="002E1B0D"/>
    <w:rsid w:val="002F0F1D"/>
    <w:rsid w:val="002F2BAB"/>
    <w:rsid w:val="002F2EB9"/>
    <w:rsid w:val="002F58D7"/>
    <w:rsid w:val="00300A75"/>
    <w:rsid w:val="00302C88"/>
    <w:rsid w:val="00304D02"/>
    <w:rsid w:val="00305857"/>
    <w:rsid w:val="00310309"/>
    <w:rsid w:val="003117A3"/>
    <w:rsid w:val="00312FDE"/>
    <w:rsid w:val="00313488"/>
    <w:rsid w:val="003143C3"/>
    <w:rsid w:val="00314DC8"/>
    <w:rsid w:val="0031557E"/>
    <w:rsid w:val="003165FC"/>
    <w:rsid w:val="00317754"/>
    <w:rsid w:val="00321EEB"/>
    <w:rsid w:val="00323DBB"/>
    <w:rsid w:val="0032472A"/>
    <w:rsid w:val="00324F69"/>
    <w:rsid w:val="00332ED8"/>
    <w:rsid w:val="00335C36"/>
    <w:rsid w:val="00336508"/>
    <w:rsid w:val="00341780"/>
    <w:rsid w:val="003427C8"/>
    <w:rsid w:val="0034309F"/>
    <w:rsid w:val="00344403"/>
    <w:rsid w:val="0034461C"/>
    <w:rsid w:val="0034691F"/>
    <w:rsid w:val="00350533"/>
    <w:rsid w:val="00350E31"/>
    <w:rsid w:val="003515B1"/>
    <w:rsid w:val="003518B0"/>
    <w:rsid w:val="00351C47"/>
    <w:rsid w:val="00352C28"/>
    <w:rsid w:val="00352C64"/>
    <w:rsid w:val="00352CEC"/>
    <w:rsid w:val="00361B78"/>
    <w:rsid w:val="00361FF7"/>
    <w:rsid w:val="003643AB"/>
    <w:rsid w:val="0036529E"/>
    <w:rsid w:val="00365783"/>
    <w:rsid w:val="00367CA9"/>
    <w:rsid w:val="0037391F"/>
    <w:rsid w:val="0037616F"/>
    <w:rsid w:val="00380534"/>
    <w:rsid w:val="00381703"/>
    <w:rsid w:val="00382830"/>
    <w:rsid w:val="003837CC"/>
    <w:rsid w:val="00384416"/>
    <w:rsid w:val="00384419"/>
    <w:rsid w:val="0039241E"/>
    <w:rsid w:val="003A0609"/>
    <w:rsid w:val="003A2B38"/>
    <w:rsid w:val="003A41A0"/>
    <w:rsid w:val="003A5A85"/>
    <w:rsid w:val="003B1A8C"/>
    <w:rsid w:val="003B1FA6"/>
    <w:rsid w:val="003B254D"/>
    <w:rsid w:val="003B2D2B"/>
    <w:rsid w:val="003B300E"/>
    <w:rsid w:val="003B4591"/>
    <w:rsid w:val="003B5289"/>
    <w:rsid w:val="003B62C7"/>
    <w:rsid w:val="003C122E"/>
    <w:rsid w:val="003C1CC8"/>
    <w:rsid w:val="003C2EB1"/>
    <w:rsid w:val="003C51B9"/>
    <w:rsid w:val="003C5DB0"/>
    <w:rsid w:val="003C6CE5"/>
    <w:rsid w:val="003D3A1B"/>
    <w:rsid w:val="003D43FE"/>
    <w:rsid w:val="003D6F2A"/>
    <w:rsid w:val="003D7068"/>
    <w:rsid w:val="003E215E"/>
    <w:rsid w:val="003E2CFF"/>
    <w:rsid w:val="003E3864"/>
    <w:rsid w:val="003F1E3C"/>
    <w:rsid w:val="003F249F"/>
    <w:rsid w:val="003F533D"/>
    <w:rsid w:val="003F74DE"/>
    <w:rsid w:val="004104C1"/>
    <w:rsid w:val="00412D21"/>
    <w:rsid w:val="0041707B"/>
    <w:rsid w:val="00417E1C"/>
    <w:rsid w:val="004216D4"/>
    <w:rsid w:val="0042393A"/>
    <w:rsid w:val="004239FD"/>
    <w:rsid w:val="00423C53"/>
    <w:rsid w:val="00434C0F"/>
    <w:rsid w:val="00435130"/>
    <w:rsid w:val="00435292"/>
    <w:rsid w:val="00435409"/>
    <w:rsid w:val="0043758A"/>
    <w:rsid w:val="00437E2C"/>
    <w:rsid w:val="00440315"/>
    <w:rsid w:val="004428F8"/>
    <w:rsid w:val="00447BBD"/>
    <w:rsid w:val="00450B53"/>
    <w:rsid w:val="00454AD7"/>
    <w:rsid w:val="0045688D"/>
    <w:rsid w:val="00456DC1"/>
    <w:rsid w:val="004576CA"/>
    <w:rsid w:val="00462082"/>
    <w:rsid w:val="0046455C"/>
    <w:rsid w:val="00464594"/>
    <w:rsid w:val="00464BAA"/>
    <w:rsid w:val="004662C0"/>
    <w:rsid w:val="004740A6"/>
    <w:rsid w:val="00474822"/>
    <w:rsid w:val="00477FAE"/>
    <w:rsid w:val="004842CA"/>
    <w:rsid w:val="004872C8"/>
    <w:rsid w:val="00487A75"/>
    <w:rsid w:val="0049005E"/>
    <w:rsid w:val="00490492"/>
    <w:rsid w:val="00490EDB"/>
    <w:rsid w:val="00495260"/>
    <w:rsid w:val="0049779D"/>
    <w:rsid w:val="004A047B"/>
    <w:rsid w:val="004A57CF"/>
    <w:rsid w:val="004B2456"/>
    <w:rsid w:val="004B307E"/>
    <w:rsid w:val="004B60BC"/>
    <w:rsid w:val="004C74F1"/>
    <w:rsid w:val="004D0CB4"/>
    <w:rsid w:val="004D0E78"/>
    <w:rsid w:val="004D21B8"/>
    <w:rsid w:val="004D37E3"/>
    <w:rsid w:val="004E60EB"/>
    <w:rsid w:val="004F1CDE"/>
    <w:rsid w:val="004F23B1"/>
    <w:rsid w:val="004F2451"/>
    <w:rsid w:val="004F659A"/>
    <w:rsid w:val="00501AA2"/>
    <w:rsid w:val="00506972"/>
    <w:rsid w:val="00514F96"/>
    <w:rsid w:val="005154EE"/>
    <w:rsid w:val="005156C0"/>
    <w:rsid w:val="005169ED"/>
    <w:rsid w:val="00517B3D"/>
    <w:rsid w:val="0053048D"/>
    <w:rsid w:val="005320C2"/>
    <w:rsid w:val="005337D4"/>
    <w:rsid w:val="0053452B"/>
    <w:rsid w:val="00534B19"/>
    <w:rsid w:val="0053582E"/>
    <w:rsid w:val="00543FA2"/>
    <w:rsid w:val="00544AA0"/>
    <w:rsid w:val="00545320"/>
    <w:rsid w:val="00547A9E"/>
    <w:rsid w:val="00551B43"/>
    <w:rsid w:val="0055380E"/>
    <w:rsid w:val="00556A12"/>
    <w:rsid w:val="00557F13"/>
    <w:rsid w:val="0056332E"/>
    <w:rsid w:val="00564A1E"/>
    <w:rsid w:val="0056776A"/>
    <w:rsid w:val="00572215"/>
    <w:rsid w:val="00572297"/>
    <w:rsid w:val="00574033"/>
    <w:rsid w:val="0057594E"/>
    <w:rsid w:val="00577186"/>
    <w:rsid w:val="0057736B"/>
    <w:rsid w:val="005773B8"/>
    <w:rsid w:val="00581B65"/>
    <w:rsid w:val="00584FC5"/>
    <w:rsid w:val="00592061"/>
    <w:rsid w:val="005923DA"/>
    <w:rsid w:val="005929F1"/>
    <w:rsid w:val="00592AD2"/>
    <w:rsid w:val="00594A2A"/>
    <w:rsid w:val="00595BE8"/>
    <w:rsid w:val="005969B4"/>
    <w:rsid w:val="00597E48"/>
    <w:rsid w:val="005A269C"/>
    <w:rsid w:val="005A2789"/>
    <w:rsid w:val="005A4E54"/>
    <w:rsid w:val="005A4E64"/>
    <w:rsid w:val="005A58FA"/>
    <w:rsid w:val="005A6322"/>
    <w:rsid w:val="005A6989"/>
    <w:rsid w:val="005C01B9"/>
    <w:rsid w:val="005C1A8C"/>
    <w:rsid w:val="005C1F7E"/>
    <w:rsid w:val="005C58E9"/>
    <w:rsid w:val="005C631B"/>
    <w:rsid w:val="005D0639"/>
    <w:rsid w:val="005D1B11"/>
    <w:rsid w:val="005D2BF6"/>
    <w:rsid w:val="005D4A18"/>
    <w:rsid w:val="005D78D8"/>
    <w:rsid w:val="005D7C1C"/>
    <w:rsid w:val="005E4B27"/>
    <w:rsid w:val="005E6E3B"/>
    <w:rsid w:val="005E745A"/>
    <w:rsid w:val="005F2A50"/>
    <w:rsid w:val="005F3908"/>
    <w:rsid w:val="005F61AE"/>
    <w:rsid w:val="006019D5"/>
    <w:rsid w:val="00605F2D"/>
    <w:rsid w:val="00607F2B"/>
    <w:rsid w:val="00610C5F"/>
    <w:rsid w:val="00611E46"/>
    <w:rsid w:val="00612969"/>
    <w:rsid w:val="0061342A"/>
    <w:rsid w:val="00613585"/>
    <w:rsid w:val="00614635"/>
    <w:rsid w:val="006167E6"/>
    <w:rsid w:val="006176D6"/>
    <w:rsid w:val="00622742"/>
    <w:rsid w:val="00622CBB"/>
    <w:rsid w:val="00623409"/>
    <w:rsid w:val="00623E1B"/>
    <w:rsid w:val="006250CE"/>
    <w:rsid w:val="006305C5"/>
    <w:rsid w:val="00630B97"/>
    <w:rsid w:val="00632869"/>
    <w:rsid w:val="00634345"/>
    <w:rsid w:val="00634957"/>
    <w:rsid w:val="00636110"/>
    <w:rsid w:val="00637B56"/>
    <w:rsid w:val="00641466"/>
    <w:rsid w:val="00641864"/>
    <w:rsid w:val="00647764"/>
    <w:rsid w:val="006502C2"/>
    <w:rsid w:val="00650729"/>
    <w:rsid w:val="00651622"/>
    <w:rsid w:val="00653641"/>
    <w:rsid w:val="00656EEF"/>
    <w:rsid w:val="00656F2D"/>
    <w:rsid w:val="0066035D"/>
    <w:rsid w:val="0066321D"/>
    <w:rsid w:val="006638B2"/>
    <w:rsid w:val="006642D6"/>
    <w:rsid w:val="00665455"/>
    <w:rsid w:val="00666DB3"/>
    <w:rsid w:val="00667330"/>
    <w:rsid w:val="00672B3E"/>
    <w:rsid w:val="00676CB6"/>
    <w:rsid w:val="0067769F"/>
    <w:rsid w:val="0068002E"/>
    <w:rsid w:val="006807CB"/>
    <w:rsid w:val="006814D0"/>
    <w:rsid w:val="00684D56"/>
    <w:rsid w:val="00685E28"/>
    <w:rsid w:val="006914ED"/>
    <w:rsid w:val="0069234D"/>
    <w:rsid w:val="006923BD"/>
    <w:rsid w:val="00695C9E"/>
    <w:rsid w:val="006A3513"/>
    <w:rsid w:val="006A6EA7"/>
    <w:rsid w:val="006A7837"/>
    <w:rsid w:val="006B1530"/>
    <w:rsid w:val="006B2141"/>
    <w:rsid w:val="006B67BE"/>
    <w:rsid w:val="006B741D"/>
    <w:rsid w:val="006C10E0"/>
    <w:rsid w:val="006C2B1D"/>
    <w:rsid w:val="006C4B4C"/>
    <w:rsid w:val="006C4C98"/>
    <w:rsid w:val="006C50AF"/>
    <w:rsid w:val="006C5D86"/>
    <w:rsid w:val="006D260D"/>
    <w:rsid w:val="006D2A80"/>
    <w:rsid w:val="006D39E1"/>
    <w:rsid w:val="006D414E"/>
    <w:rsid w:val="006D5561"/>
    <w:rsid w:val="006D631E"/>
    <w:rsid w:val="006E2850"/>
    <w:rsid w:val="006E527E"/>
    <w:rsid w:val="006E5D58"/>
    <w:rsid w:val="006E6D75"/>
    <w:rsid w:val="006E7A75"/>
    <w:rsid w:val="006F14A2"/>
    <w:rsid w:val="006F17D8"/>
    <w:rsid w:val="006F1AAA"/>
    <w:rsid w:val="006F2429"/>
    <w:rsid w:val="006F2553"/>
    <w:rsid w:val="006F6D4A"/>
    <w:rsid w:val="006F72AB"/>
    <w:rsid w:val="007066F1"/>
    <w:rsid w:val="007073D7"/>
    <w:rsid w:val="0071420D"/>
    <w:rsid w:val="00715830"/>
    <w:rsid w:val="00717A3B"/>
    <w:rsid w:val="00721271"/>
    <w:rsid w:val="00727654"/>
    <w:rsid w:val="00730479"/>
    <w:rsid w:val="007313A2"/>
    <w:rsid w:val="00731600"/>
    <w:rsid w:val="00733778"/>
    <w:rsid w:val="0073532E"/>
    <w:rsid w:val="00741E00"/>
    <w:rsid w:val="00743122"/>
    <w:rsid w:val="00744EE1"/>
    <w:rsid w:val="007464C6"/>
    <w:rsid w:val="0074711C"/>
    <w:rsid w:val="00752EE6"/>
    <w:rsid w:val="007554F8"/>
    <w:rsid w:val="00762B89"/>
    <w:rsid w:val="007638F5"/>
    <w:rsid w:val="00764902"/>
    <w:rsid w:val="00770559"/>
    <w:rsid w:val="007709E8"/>
    <w:rsid w:val="0077116A"/>
    <w:rsid w:val="00773A5D"/>
    <w:rsid w:val="007753D4"/>
    <w:rsid w:val="00780582"/>
    <w:rsid w:val="00783642"/>
    <w:rsid w:val="00786263"/>
    <w:rsid w:val="007913FA"/>
    <w:rsid w:val="00793484"/>
    <w:rsid w:val="00794B72"/>
    <w:rsid w:val="00794DD3"/>
    <w:rsid w:val="007952EC"/>
    <w:rsid w:val="007A05AC"/>
    <w:rsid w:val="007A159B"/>
    <w:rsid w:val="007A27A8"/>
    <w:rsid w:val="007A4089"/>
    <w:rsid w:val="007B0738"/>
    <w:rsid w:val="007B0E95"/>
    <w:rsid w:val="007B543E"/>
    <w:rsid w:val="007B753A"/>
    <w:rsid w:val="007C0865"/>
    <w:rsid w:val="007C2979"/>
    <w:rsid w:val="007C3864"/>
    <w:rsid w:val="007C3991"/>
    <w:rsid w:val="007C3AD3"/>
    <w:rsid w:val="007D13AC"/>
    <w:rsid w:val="007D3160"/>
    <w:rsid w:val="007D4F37"/>
    <w:rsid w:val="007E2B81"/>
    <w:rsid w:val="007E2FD3"/>
    <w:rsid w:val="007E6B73"/>
    <w:rsid w:val="007F247A"/>
    <w:rsid w:val="007F36D3"/>
    <w:rsid w:val="007F4546"/>
    <w:rsid w:val="007F717C"/>
    <w:rsid w:val="007F7579"/>
    <w:rsid w:val="00800C87"/>
    <w:rsid w:val="00803856"/>
    <w:rsid w:val="00805CF7"/>
    <w:rsid w:val="00807EAD"/>
    <w:rsid w:val="0081051C"/>
    <w:rsid w:val="008170A9"/>
    <w:rsid w:val="008201A8"/>
    <w:rsid w:val="00823489"/>
    <w:rsid w:val="00823726"/>
    <w:rsid w:val="00825815"/>
    <w:rsid w:val="0083563A"/>
    <w:rsid w:val="00835674"/>
    <w:rsid w:val="008360EB"/>
    <w:rsid w:val="008410DD"/>
    <w:rsid w:val="00841B04"/>
    <w:rsid w:val="00842896"/>
    <w:rsid w:val="00846F64"/>
    <w:rsid w:val="008478B5"/>
    <w:rsid w:val="008501D4"/>
    <w:rsid w:val="008519DB"/>
    <w:rsid w:val="00853EBC"/>
    <w:rsid w:val="008663BA"/>
    <w:rsid w:val="008675F2"/>
    <w:rsid w:val="00870534"/>
    <w:rsid w:val="008715D7"/>
    <w:rsid w:val="00873228"/>
    <w:rsid w:val="00875BCE"/>
    <w:rsid w:val="00875D95"/>
    <w:rsid w:val="008766BC"/>
    <w:rsid w:val="0087675F"/>
    <w:rsid w:val="008776B4"/>
    <w:rsid w:val="00877F3F"/>
    <w:rsid w:val="008806E8"/>
    <w:rsid w:val="00882387"/>
    <w:rsid w:val="00891A4C"/>
    <w:rsid w:val="00892002"/>
    <w:rsid w:val="00892F37"/>
    <w:rsid w:val="00895D0C"/>
    <w:rsid w:val="00896E5C"/>
    <w:rsid w:val="00897751"/>
    <w:rsid w:val="008A2C4E"/>
    <w:rsid w:val="008A5551"/>
    <w:rsid w:val="008A7FB0"/>
    <w:rsid w:val="008B1227"/>
    <w:rsid w:val="008B2CBA"/>
    <w:rsid w:val="008B4C55"/>
    <w:rsid w:val="008B5013"/>
    <w:rsid w:val="008B684C"/>
    <w:rsid w:val="008C0217"/>
    <w:rsid w:val="008C0224"/>
    <w:rsid w:val="008C0552"/>
    <w:rsid w:val="008C0D1F"/>
    <w:rsid w:val="008C310C"/>
    <w:rsid w:val="008C52B9"/>
    <w:rsid w:val="008D013B"/>
    <w:rsid w:val="008D21F0"/>
    <w:rsid w:val="008D260D"/>
    <w:rsid w:val="008D5061"/>
    <w:rsid w:val="008E2914"/>
    <w:rsid w:val="008E3D2D"/>
    <w:rsid w:val="008E3EBD"/>
    <w:rsid w:val="008E4A55"/>
    <w:rsid w:val="008E4D22"/>
    <w:rsid w:val="008E4DDE"/>
    <w:rsid w:val="008F4234"/>
    <w:rsid w:val="008F518F"/>
    <w:rsid w:val="008F5695"/>
    <w:rsid w:val="008F6669"/>
    <w:rsid w:val="008F6715"/>
    <w:rsid w:val="008F75D4"/>
    <w:rsid w:val="00901219"/>
    <w:rsid w:val="00905E17"/>
    <w:rsid w:val="009061BA"/>
    <w:rsid w:val="0090657C"/>
    <w:rsid w:val="009076AA"/>
    <w:rsid w:val="00907B5C"/>
    <w:rsid w:val="009104A9"/>
    <w:rsid w:val="009112D3"/>
    <w:rsid w:val="0091149D"/>
    <w:rsid w:val="009114BB"/>
    <w:rsid w:val="009150EC"/>
    <w:rsid w:val="0091530A"/>
    <w:rsid w:val="00915495"/>
    <w:rsid w:val="00922668"/>
    <w:rsid w:val="00925679"/>
    <w:rsid w:val="00935966"/>
    <w:rsid w:val="00936553"/>
    <w:rsid w:val="00940E09"/>
    <w:rsid w:val="00941322"/>
    <w:rsid w:val="00941622"/>
    <w:rsid w:val="00941ECF"/>
    <w:rsid w:val="00943767"/>
    <w:rsid w:val="00944523"/>
    <w:rsid w:val="0094585C"/>
    <w:rsid w:val="00950647"/>
    <w:rsid w:val="009577AC"/>
    <w:rsid w:val="00961D2F"/>
    <w:rsid w:val="00963210"/>
    <w:rsid w:val="00963F6C"/>
    <w:rsid w:val="00965932"/>
    <w:rsid w:val="00972500"/>
    <w:rsid w:val="009737A5"/>
    <w:rsid w:val="009761E7"/>
    <w:rsid w:val="0097741A"/>
    <w:rsid w:val="00983215"/>
    <w:rsid w:val="00983F70"/>
    <w:rsid w:val="00994A9D"/>
    <w:rsid w:val="009A19D8"/>
    <w:rsid w:val="009A1A56"/>
    <w:rsid w:val="009A557A"/>
    <w:rsid w:val="009A5E43"/>
    <w:rsid w:val="009A77EF"/>
    <w:rsid w:val="009B23C6"/>
    <w:rsid w:val="009B31EB"/>
    <w:rsid w:val="009B4572"/>
    <w:rsid w:val="009B635F"/>
    <w:rsid w:val="009C07A8"/>
    <w:rsid w:val="009C5C9A"/>
    <w:rsid w:val="009C707F"/>
    <w:rsid w:val="009D1B15"/>
    <w:rsid w:val="009D1EEA"/>
    <w:rsid w:val="009D271A"/>
    <w:rsid w:val="009D2B3B"/>
    <w:rsid w:val="009D3BE0"/>
    <w:rsid w:val="009D3C7C"/>
    <w:rsid w:val="009D68B2"/>
    <w:rsid w:val="009D7EBF"/>
    <w:rsid w:val="009E345B"/>
    <w:rsid w:val="009E742E"/>
    <w:rsid w:val="009F2679"/>
    <w:rsid w:val="009F2AF9"/>
    <w:rsid w:val="009F5BB0"/>
    <w:rsid w:val="00A00469"/>
    <w:rsid w:val="00A01774"/>
    <w:rsid w:val="00A0202C"/>
    <w:rsid w:val="00A027C8"/>
    <w:rsid w:val="00A101EF"/>
    <w:rsid w:val="00A10DE2"/>
    <w:rsid w:val="00A11596"/>
    <w:rsid w:val="00A11A8C"/>
    <w:rsid w:val="00A1269E"/>
    <w:rsid w:val="00A126B1"/>
    <w:rsid w:val="00A126DB"/>
    <w:rsid w:val="00A1320A"/>
    <w:rsid w:val="00A13422"/>
    <w:rsid w:val="00A14736"/>
    <w:rsid w:val="00A14DAB"/>
    <w:rsid w:val="00A1733F"/>
    <w:rsid w:val="00A20C48"/>
    <w:rsid w:val="00A21B37"/>
    <w:rsid w:val="00A24FFF"/>
    <w:rsid w:val="00A273F1"/>
    <w:rsid w:val="00A27D30"/>
    <w:rsid w:val="00A3178F"/>
    <w:rsid w:val="00A3429F"/>
    <w:rsid w:val="00A3433E"/>
    <w:rsid w:val="00A35B8F"/>
    <w:rsid w:val="00A40ACC"/>
    <w:rsid w:val="00A40D98"/>
    <w:rsid w:val="00A463DC"/>
    <w:rsid w:val="00A47F28"/>
    <w:rsid w:val="00A47FEE"/>
    <w:rsid w:val="00A534FC"/>
    <w:rsid w:val="00A61FBF"/>
    <w:rsid w:val="00A621AE"/>
    <w:rsid w:val="00A6437D"/>
    <w:rsid w:val="00A66A38"/>
    <w:rsid w:val="00A674BB"/>
    <w:rsid w:val="00A715EB"/>
    <w:rsid w:val="00A76177"/>
    <w:rsid w:val="00A77049"/>
    <w:rsid w:val="00A80844"/>
    <w:rsid w:val="00A80959"/>
    <w:rsid w:val="00A81D51"/>
    <w:rsid w:val="00A82719"/>
    <w:rsid w:val="00A82E69"/>
    <w:rsid w:val="00A83FC9"/>
    <w:rsid w:val="00A9133D"/>
    <w:rsid w:val="00A91B80"/>
    <w:rsid w:val="00A92697"/>
    <w:rsid w:val="00A97865"/>
    <w:rsid w:val="00AA6D09"/>
    <w:rsid w:val="00AB065F"/>
    <w:rsid w:val="00AB21A5"/>
    <w:rsid w:val="00AB52BD"/>
    <w:rsid w:val="00AB76E3"/>
    <w:rsid w:val="00AB7DC7"/>
    <w:rsid w:val="00AC1FE7"/>
    <w:rsid w:val="00AC3B9F"/>
    <w:rsid w:val="00AC3DC3"/>
    <w:rsid w:val="00AC537B"/>
    <w:rsid w:val="00AC62A7"/>
    <w:rsid w:val="00AD00A2"/>
    <w:rsid w:val="00AD71B4"/>
    <w:rsid w:val="00AE1BC2"/>
    <w:rsid w:val="00AE40BD"/>
    <w:rsid w:val="00AE62CF"/>
    <w:rsid w:val="00AF16CA"/>
    <w:rsid w:val="00AF3458"/>
    <w:rsid w:val="00AF349E"/>
    <w:rsid w:val="00AF5AE9"/>
    <w:rsid w:val="00AF61D9"/>
    <w:rsid w:val="00B0066E"/>
    <w:rsid w:val="00B01857"/>
    <w:rsid w:val="00B01D9D"/>
    <w:rsid w:val="00B04BC5"/>
    <w:rsid w:val="00B04CA7"/>
    <w:rsid w:val="00B05671"/>
    <w:rsid w:val="00B11CBF"/>
    <w:rsid w:val="00B14C82"/>
    <w:rsid w:val="00B15F00"/>
    <w:rsid w:val="00B203EB"/>
    <w:rsid w:val="00B2186A"/>
    <w:rsid w:val="00B21FCF"/>
    <w:rsid w:val="00B22BA2"/>
    <w:rsid w:val="00B26CE9"/>
    <w:rsid w:val="00B26E02"/>
    <w:rsid w:val="00B305B8"/>
    <w:rsid w:val="00B36457"/>
    <w:rsid w:val="00B373EB"/>
    <w:rsid w:val="00B4050F"/>
    <w:rsid w:val="00B40F08"/>
    <w:rsid w:val="00B435A1"/>
    <w:rsid w:val="00B4793E"/>
    <w:rsid w:val="00B5293A"/>
    <w:rsid w:val="00B534F5"/>
    <w:rsid w:val="00B53631"/>
    <w:rsid w:val="00B5620A"/>
    <w:rsid w:val="00B71500"/>
    <w:rsid w:val="00B72055"/>
    <w:rsid w:val="00B7510A"/>
    <w:rsid w:val="00B82514"/>
    <w:rsid w:val="00B84454"/>
    <w:rsid w:val="00B90EF0"/>
    <w:rsid w:val="00B916CA"/>
    <w:rsid w:val="00B92165"/>
    <w:rsid w:val="00B93360"/>
    <w:rsid w:val="00B93878"/>
    <w:rsid w:val="00B93915"/>
    <w:rsid w:val="00B9657C"/>
    <w:rsid w:val="00B97A5D"/>
    <w:rsid w:val="00BA0CC5"/>
    <w:rsid w:val="00BA1F4D"/>
    <w:rsid w:val="00BA2E66"/>
    <w:rsid w:val="00BA4E72"/>
    <w:rsid w:val="00BB1040"/>
    <w:rsid w:val="00BB115F"/>
    <w:rsid w:val="00BB1191"/>
    <w:rsid w:val="00BB5144"/>
    <w:rsid w:val="00BC0604"/>
    <w:rsid w:val="00BC236F"/>
    <w:rsid w:val="00BC279D"/>
    <w:rsid w:val="00BC7DE2"/>
    <w:rsid w:val="00BD0165"/>
    <w:rsid w:val="00BD0764"/>
    <w:rsid w:val="00BD1C49"/>
    <w:rsid w:val="00BD2DD8"/>
    <w:rsid w:val="00BD765D"/>
    <w:rsid w:val="00BE26B1"/>
    <w:rsid w:val="00BE5341"/>
    <w:rsid w:val="00BE64C1"/>
    <w:rsid w:val="00BF0258"/>
    <w:rsid w:val="00BF04FE"/>
    <w:rsid w:val="00BF59A5"/>
    <w:rsid w:val="00BF7AA4"/>
    <w:rsid w:val="00C0400B"/>
    <w:rsid w:val="00C10D88"/>
    <w:rsid w:val="00C223C8"/>
    <w:rsid w:val="00C2266C"/>
    <w:rsid w:val="00C24306"/>
    <w:rsid w:val="00C243D2"/>
    <w:rsid w:val="00C25302"/>
    <w:rsid w:val="00C25ED1"/>
    <w:rsid w:val="00C26947"/>
    <w:rsid w:val="00C30ABF"/>
    <w:rsid w:val="00C35E83"/>
    <w:rsid w:val="00C36EF2"/>
    <w:rsid w:val="00C4047B"/>
    <w:rsid w:val="00C44DF8"/>
    <w:rsid w:val="00C4661C"/>
    <w:rsid w:val="00C51767"/>
    <w:rsid w:val="00C557F4"/>
    <w:rsid w:val="00C57768"/>
    <w:rsid w:val="00C6004D"/>
    <w:rsid w:val="00C6113B"/>
    <w:rsid w:val="00C61717"/>
    <w:rsid w:val="00C643C1"/>
    <w:rsid w:val="00C64461"/>
    <w:rsid w:val="00C660F0"/>
    <w:rsid w:val="00C7209E"/>
    <w:rsid w:val="00C72B25"/>
    <w:rsid w:val="00C748AF"/>
    <w:rsid w:val="00C7666B"/>
    <w:rsid w:val="00C8446F"/>
    <w:rsid w:val="00C85B0A"/>
    <w:rsid w:val="00C860B9"/>
    <w:rsid w:val="00C86F85"/>
    <w:rsid w:val="00C8752A"/>
    <w:rsid w:val="00C902B9"/>
    <w:rsid w:val="00C97752"/>
    <w:rsid w:val="00C97FC1"/>
    <w:rsid w:val="00CA4BE7"/>
    <w:rsid w:val="00CA5C77"/>
    <w:rsid w:val="00CB0454"/>
    <w:rsid w:val="00CB19C7"/>
    <w:rsid w:val="00CB4918"/>
    <w:rsid w:val="00CC19BF"/>
    <w:rsid w:val="00CC35DD"/>
    <w:rsid w:val="00CC6DE2"/>
    <w:rsid w:val="00CD3435"/>
    <w:rsid w:val="00CD507F"/>
    <w:rsid w:val="00CE053E"/>
    <w:rsid w:val="00CE0BF0"/>
    <w:rsid w:val="00CE13CF"/>
    <w:rsid w:val="00CE1A6E"/>
    <w:rsid w:val="00CE1E66"/>
    <w:rsid w:val="00CE40A1"/>
    <w:rsid w:val="00CE563D"/>
    <w:rsid w:val="00CE616F"/>
    <w:rsid w:val="00CE62B4"/>
    <w:rsid w:val="00CF0FAE"/>
    <w:rsid w:val="00CF46C2"/>
    <w:rsid w:val="00D01D9F"/>
    <w:rsid w:val="00D0260C"/>
    <w:rsid w:val="00D04D79"/>
    <w:rsid w:val="00D123B5"/>
    <w:rsid w:val="00D16EBC"/>
    <w:rsid w:val="00D20FEB"/>
    <w:rsid w:val="00D23E62"/>
    <w:rsid w:val="00D24C2C"/>
    <w:rsid w:val="00D25531"/>
    <w:rsid w:val="00D25B5D"/>
    <w:rsid w:val="00D2601C"/>
    <w:rsid w:val="00D31EC3"/>
    <w:rsid w:val="00D322F0"/>
    <w:rsid w:val="00D32E4F"/>
    <w:rsid w:val="00D343B3"/>
    <w:rsid w:val="00D347FB"/>
    <w:rsid w:val="00D36B4C"/>
    <w:rsid w:val="00D36E6A"/>
    <w:rsid w:val="00D40066"/>
    <w:rsid w:val="00D405A6"/>
    <w:rsid w:val="00D4199F"/>
    <w:rsid w:val="00D42C37"/>
    <w:rsid w:val="00D442EF"/>
    <w:rsid w:val="00D46BF3"/>
    <w:rsid w:val="00D47147"/>
    <w:rsid w:val="00D510C1"/>
    <w:rsid w:val="00D55A04"/>
    <w:rsid w:val="00D57942"/>
    <w:rsid w:val="00D57B20"/>
    <w:rsid w:val="00D60A22"/>
    <w:rsid w:val="00D66183"/>
    <w:rsid w:val="00D66336"/>
    <w:rsid w:val="00D67FCB"/>
    <w:rsid w:val="00D7511D"/>
    <w:rsid w:val="00D77D58"/>
    <w:rsid w:val="00D80254"/>
    <w:rsid w:val="00D82965"/>
    <w:rsid w:val="00D83120"/>
    <w:rsid w:val="00D947BA"/>
    <w:rsid w:val="00D9544D"/>
    <w:rsid w:val="00DA0C2B"/>
    <w:rsid w:val="00DA140C"/>
    <w:rsid w:val="00DA199F"/>
    <w:rsid w:val="00DA3C1C"/>
    <w:rsid w:val="00DA5A1B"/>
    <w:rsid w:val="00DA6E2B"/>
    <w:rsid w:val="00DB1DDC"/>
    <w:rsid w:val="00DB2BF7"/>
    <w:rsid w:val="00DB441D"/>
    <w:rsid w:val="00DB6703"/>
    <w:rsid w:val="00DC12BB"/>
    <w:rsid w:val="00DC4485"/>
    <w:rsid w:val="00DC6AE7"/>
    <w:rsid w:val="00DC6B26"/>
    <w:rsid w:val="00DC73AF"/>
    <w:rsid w:val="00DC7C6E"/>
    <w:rsid w:val="00DD2BDF"/>
    <w:rsid w:val="00DD42B1"/>
    <w:rsid w:val="00DD688C"/>
    <w:rsid w:val="00DD6E07"/>
    <w:rsid w:val="00DE022E"/>
    <w:rsid w:val="00DE2DFB"/>
    <w:rsid w:val="00DE4C9E"/>
    <w:rsid w:val="00DF1383"/>
    <w:rsid w:val="00DF189E"/>
    <w:rsid w:val="00E00362"/>
    <w:rsid w:val="00E011B9"/>
    <w:rsid w:val="00E11818"/>
    <w:rsid w:val="00E11DAD"/>
    <w:rsid w:val="00E13871"/>
    <w:rsid w:val="00E14AD4"/>
    <w:rsid w:val="00E20436"/>
    <w:rsid w:val="00E227A1"/>
    <w:rsid w:val="00E23A5E"/>
    <w:rsid w:val="00E26263"/>
    <w:rsid w:val="00E27128"/>
    <w:rsid w:val="00E33288"/>
    <w:rsid w:val="00E33D0A"/>
    <w:rsid w:val="00E37BB7"/>
    <w:rsid w:val="00E41609"/>
    <w:rsid w:val="00E417A6"/>
    <w:rsid w:val="00E461D3"/>
    <w:rsid w:val="00E46C34"/>
    <w:rsid w:val="00E514E5"/>
    <w:rsid w:val="00E53EA8"/>
    <w:rsid w:val="00E55DF2"/>
    <w:rsid w:val="00E64C4D"/>
    <w:rsid w:val="00E65A1C"/>
    <w:rsid w:val="00E6704B"/>
    <w:rsid w:val="00E74580"/>
    <w:rsid w:val="00E7463C"/>
    <w:rsid w:val="00E75245"/>
    <w:rsid w:val="00E75435"/>
    <w:rsid w:val="00E75EAD"/>
    <w:rsid w:val="00E76E16"/>
    <w:rsid w:val="00E80BC5"/>
    <w:rsid w:val="00E84D7F"/>
    <w:rsid w:val="00E85041"/>
    <w:rsid w:val="00E9102C"/>
    <w:rsid w:val="00E97328"/>
    <w:rsid w:val="00E973F1"/>
    <w:rsid w:val="00EA0AB9"/>
    <w:rsid w:val="00EA6573"/>
    <w:rsid w:val="00EB02D4"/>
    <w:rsid w:val="00EB0417"/>
    <w:rsid w:val="00EB338F"/>
    <w:rsid w:val="00EB6FA1"/>
    <w:rsid w:val="00EC0585"/>
    <w:rsid w:val="00EC5E32"/>
    <w:rsid w:val="00EC7AC3"/>
    <w:rsid w:val="00ED11DC"/>
    <w:rsid w:val="00ED5645"/>
    <w:rsid w:val="00ED5D84"/>
    <w:rsid w:val="00ED6A15"/>
    <w:rsid w:val="00EE06FA"/>
    <w:rsid w:val="00EE1BEB"/>
    <w:rsid w:val="00EE4537"/>
    <w:rsid w:val="00EE5F08"/>
    <w:rsid w:val="00EF0EB4"/>
    <w:rsid w:val="00EF1FCD"/>
    <w:rsid w:val="00EF2FC2"/>
    <w:rsid w:val="00EF65EB"/>
    <w:rsid w:val="00F010A8"/>
    <w:rsid w:val="00F043FA"/>
    <w:rsid w:val="00F04FF4"/>
    <w:rsid w:val="00F11DC9"/>
    <w:rsid w:val="00F128BF"/>
    <w:rsid w:val="00F153D0"/>
    <w:rsid w:val="00F155A8"/>
    <w:rsid w:val="00F158A6"/>
    <w:rsid w:val="00F15D28"/>
    <w:rsid w:val="00F173B4"/>
    <w:rsid w:val="00F31635"/>
    <w:rsid w:val="00F339E4"/>
    <w:rsid w:val="00F33AEE"/>
    <w:rsid w:val="00F33CB1"/>
    <w:rsid w:val="00F37918"/>
    <w:rsid w:val="00F4203F"/>
    <w:rsid w:val="00F42EAB"/>
    <w:rsid w:val="00F4413A"/>
    <w:rsid w:val="00F504D0"/>
    <w:rsid w:val="00F5201C"/>
    <w:rsid w:val="00F52A82"/>
    <w:rsid w:val="00F52C49"/>
    <w:rsid w:val="00F54872"/>
    <w:rsid w:val="00F55568"/>
    <w:rsid w:val="00F56FF1"/>
    <w:rsid w:val="00F61E09"/>
    <w:rsid w:val="00F64652"/>
    <w:rsid w:val="00F75506"/>
    <w:rsid w:val="00F76EA3"/>
    <w:rsid w:val="00F8417B"/>
    <w:rsid w:val="00F84788"/>
    <w:rsid w:val="00F84A57"/>
    <w:rsid w:val="00F851AC"/>
    <w:rsid w:val="00F85916"/>
    <w:rsid w:val="00F86A17"/>
    <w:rsid w:val="00F90DF5"/>
    <w:rsid w:val="00F91B23"/>
    <w:rsid w:val="00F93DA5"/>
    <w:rsid w:val="00F95F11"/>
    <w:rsid w:val="00F975CE"/>
    <w:rsid w:val="00FA0424"/>
    <w:rsid w:val="00FA0D63"/>
    <w:rsid w:val="00FA288C"/>
    <w:rsid w:val="00FA3232"/>
    <w:rsid w:val="00FA5A15"/>
    <w:rsid w:val="00FA65B6"/>
    <w:rsid w:val="00FB06A6"/>
    <w:rsid w:val="00FB1BEB"/>
    <w:rsid w:val="00FB5EBE"/>
    <w:rsid w:val="00FC134D"/>
    <w:rsid w:val="00FC4D57"/>
    <w:rsid w:val="00FC5F4D"/>
    <w:rsid w:val="00FD24A2"/>
    <w:rsid w:val="00FD2DFF"/>
    <w:rsid w:val="00FD5660"/>
    <w:rsid w:val="00FD571D"/>
    <w:rsid w:val="00FD58F1"/>
    <w:rsid w:val="00FD6D9B"/>
    <w:rsid w:val="00FD7844"/>
    <w:rsid w:val="00FD7DBF"/>
    <w:rsid w:val="00FE09F8"/>
    <w:rsid w:val="00FE3212"/>
    <w:rsid w:val="00FE4E07"/>
    <w:rsid w:val="00FF1E9F"/>
    <w:rsid w:val="00FF2BA3"/>
    <w:rsid w:val="00FF2C22"/>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qFormat/>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qFormat/>
    <w:rsid w:val="00440315"/>
    <w:pPr>
      <w:tabs>
        <w:tab w:val="left" w:pos="1440"/>
        <w:tab w:val="right" w:leader="dot" w:pos="9000"/>
        <w:tab w:val="right" w:pos="9180"/>
      </w:tabs>
      <w:spacing w:beforeLines="120" w:before="288" w:afterLines="120" w:after="288" w:line="240" w:lineRule="atLeast"/>
      <w:ind w:left="1080" w:hanging="1080"/>
    </w:pPr>
    <w:rPr>
      <w:smallCaps/>
      <w:noProof/>
      <w:sz w:val="24"/>
    </w:rPr>
  </w:style>
  <w:style w:type="paragraph" w:styleId="BodyText">
    <w:name w:val="Body Text"/>
    <w:basedOn w:val="Normal"/>
    <w:rsid w:val="000962BB"/>
    <w:pPr>
      <w:spacing w:after="120"/>
    </w:pPr>
  </w:style>
  <w:style w:type="paragraph" w:styleId="Footer">
    <w:name w:val="footer"/>
    <w:basedOn w:val="Normal"/>
    <w:link w:val="FooterChar"/>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uiPriority w:val="99"/>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NormalWeb">
    <w:name w:val="Normal (Web)"/>
    <w:basedOn w:val="Normal"/>
    <w:uiPriority w:val="99"/>
    <w:rsid w:val="001F191D"/>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E2FD3"/>
    <w:pPr>
      <w:spacing w:after="200" w:line="276" w:lineRule="auto"/>
      <w:ind w:left="720"/>
      <w:contextualSpacing/>
      <w:jc w:val="left"/>
    </w:pPr>
    <w:rPr>
      <w:rFonts w:ascii="Calibri" w:eastAsia="Calibri" w:hAnsi="Calibri"/>
      <w:szCs w:val="22"/>
    </w:rPr>
  </w:style>
  <w:style w:type="paragraph" w:customStyle="1" w:styleId="SL-FlLftSgl">
    <w:name w:val="SL-Fl Lft Sgl"/>
    <w:basedOn w:val="Normal"/>
    <w:rsid w:val="00A534FC"/>
    <w:pPr>
      <w:suppressAutoHyphens/>
    </w:pPr>
    <w:rPr>
      <w:lang w:eastAsia="ar-SA"/>
    </w:rPr>
  </w:style>
  <w:style w:type="paragraph" w:customStyle="1" w:styleId="L1-FlLSp12">
    <w:name w:val="L1-FlL Sp&amp;1/2"/>
    <w:basedOn w:val="Normal"/>
    <w:rsid w:val="00572215"/>
    <w:pPr>
      <w:tabs>
        <w:tab w:val="left" w:pos="1152"/>
      </w:tabs>
      <w:spacing w:line="360" w:lineRule="atLeast"/>
      <w:jc w:val="left"/>
    </w:pPr>
    <w:rPr>
      <w:rFonts w:ascii="Garamond" w:hAnsi="Garamond"/>
      <w:sz w:val="24"/>
    </w:rPr>
  </w:style>
  <w:style w:type="table" w:styleId="TableGrid">
    <w:name w:val="Table Grid"/>
    <w:basedOn w:val="TableNormal"/>
    <w:uiPriority w:val="59"/>
    <w:rsid w:val="008F5695"/>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43767"/>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3">
    <w:name w:val="toc 3"/>
    <w:basedOn w:val="Normal"/>
    <w:next w:val="Normal"/>
    <w:autoRedefine/>
    <w:uiPriority w:val="39"/>
    <w:semiHidden/>
    <w:unhideWhenUsed/>
    <w:qFormat/>
    <w:rsid w:val="00943767"/>
    <w:pPr>
      <w:spacing w:after="100" w:line="276" w:lineRule="auto"/>
      <w:ind w:left="440"/>
      <w:jc w:val="left"/>
    </w:pPr>
    <w:rPr>
      <w:rFonts w:asciiTheme="minorHAnsi" w:eastAsiaTheme="minorEastAsia" w:hAnsiTheme="minorHAnsi" w:cstheme="minorBidi"/>
      <w:szCs w:val="22"/>
      <w:lang w:eastAsia="ja-JP"/>
    </w:rPr>
  </w:style>
  <w:style w:type="paragraph" w:styleId="Subtitle">
    <w:name w:val="Subtitle"/>
    <w:basedOn w:val="Normal"/>
    <w:next w:val="Normal"/>
    <w:link w:val="SubtitleChar"/>
    <w:uiPriority w:val="11"/>
    <w:qFormat/>
    <w:rsid w:val="00BF02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F0258"/>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7C2979"/>
    <w:pPr>
      <w:spacing w:line="240" w:lineRule="auto"/>
    </w:pPr>
    <w:rPr>
      <w:sz w:val="20"/>
    </w:rPr>
  </w:style>
  <w:style w:type="character" w:customStyle="1" w:styleId="FootnoteTextChar">
    <w:name w:val="Footnote Text Char"/>
    <w:basedOn w:val="DefaultParagraphFont"/>
    <w:link w:val="FootnoteText"/>
    <w:uiPriority w:val="99"/>
    <w:semiHidden/>
    <w:rsid w:val="007C2979"/>
  </w:style>
  <w:style w:type="character" w:styleId="FootnoteReference">
    <w:name w:val="footnote reference"/>
    <w:basedOn w:val="DefaultParagraphFont"/>
    <w:uiPriority w:val="99"/>
    <w:semiHidden/>
    <w:unhideWhenUsed/>
    <w:rsid w:val="007C2979"/>
    <w:rPr>
      <w:vertAlign w:val="superscript"/>
    </w:rPr>
  </w:style>
  <w:style w:type="character" w:customStyle="1" w:styleId="FooterChar">
    <w:name w:val="Footer Char"/>
    <w:basedOn w:val="DefaultParagraphFont"/>
    <w:link w:val="Footer"/>
    <w:uiPriority w:val="99"/>
    <w:rsid w:val="00E461D3"/>
    <w:rPr>
      <w:sz w:val="22"/>
    </w:rPr>
  </w:style>
  <w:style w:type="paragraph" w:customStyle="1" w:styleId="a">
    <w:name w:val="_"/>
    <w:rsid w:val="005E745A"/>
    <w:pPr>
      <w:widowControl w:val="0"/>
      <w:ind w:left="72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qFormat/>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qFormat/>
    <w:rsid w:val="002F2EB9"/>
    <w:pPr>
      <w:tabs>
        <w:tab w:val="left" w:pos="1440"/>
        <w:tab w:val="right" w:leader="dot" w:pos="9494"/>
      </w:tabs>
      <w:spacing w:beforeLines="120" w:before="288" w:afterLines="120" w:after="288" w:line="240" w:lineRule="atLeast"/>
      <w:ind w:left="1080" w:hanging="1080"/>
    </w:pPr>
    <w:rPr>
      <w:smallCaps/>
      <w:noProof/>
      <w:sz w:val="24"/>
    </w:rPr>
  </w:style>
  <w:style w:type="paragraph" w:styleId="BodyText">
    <w:name w:val="Body Text"/>
    <w:basedOn w:val="Normal"/>
    <w:rsid w:val="000962BB"/>
    <w:pPr>
      <w:spacing w:after="120"/>
    </w:pPr>
  </w:style>
  <w:style w:type="paragraph" w:styleId="Footer">
    <w:name w:val="footer"/>
    <w:basedOn w:val="Normal"/>
    <w:link w:val="FooterChar"/>
    <w:uiPriority w:val="99"/>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uiPriority w:val="99"/>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NormalWeb">
    <w:name w:val="Normal (Web)"/>
    <w:basedOn w:val="Normal"/>
    <w:uiPriority w:val="99"/>
    <w:rsid w:val="001F191D"/>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E2FD3"/>
    <w:pPr>
      <w:spacing w:after="200" w:line="276" w:lineRule="auto"/>
      <w:ind w:left="720"/>
      <w:contextualSpacing/>
      <w:jc w:val="left"/>
    </w:pPr>
    <w:rPr>
      <w:rFonts w:ascii="Calibri" w:eastAsia="Calibri" w:hAnsi="Calibri"/>
      <w:szCs w:val="22"/>
    </w:rPr>
  </w:style>
  <w:style w:type="paragraph" w:customStyle="1" w:styleId="SL-FlLftSgl">
    <w:name w:val="SL-Fl Lft Sgl"/>
    <w:basedOn w:val="Normal"/>
    <w:rsid w:val="00A534FC"/>
    <w:pPr>
      <w:suppressAutoHyphens/>
    </w:pPr>
    <w:rPr>
      <w:lang w:eastAsia="ar-SA"/>
    </w:rPr>
  </w:style>
  <w:style w:type="paragraph" w:customStyle="1" w:styleId="L1-FlLSp12">
    <w:name w:val="L1-FlL Sp&amp;1/2"/>
    <w:basedOn w:val="Normal"/>
    <w:rsid w:val="00572215"/>
    <w:pPr>
      <w:tabs>
        <w:tab w:val="left" w:pos="1152"/>
      </w:tabs>
      <w:spacing w:line="360" w:lineRule="atLeast"/>
      <w:jc w:val="left"/>
    </w:pPr>
    <w:rPr>
      <w:rFonts w:ascii="Garamond" w:hAnsi="Garamond"/>
      <w:sz w:val="24"/>
    </w:rPr>
  </w:style>
  <w:style w:type="table" w:styleId="TableGrid">
    <w:name w:val="Table Grid"/>
    <w:basedOn w:val="TableNormal"/>
    <w:uiPriority w:val="59"/>
    <w:rsid w:val="008F5695"/>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43767"/>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3">
    <w:name w:val="toc 3"/>
    <w:basedOn w:val="Normal"/>
    <w:next w:val="Normal"/>
    <w:autoRedefine/>
    <w:uiPriority w:val="39"/>
    <w:semiHidden/>
    <w:unhideWhenUsed/>
    <w:qFormat/>
    <w:rsid w:val="00943767"/>
    <w:pPr>
      <w:spacing w:after="100" w:line="276" w:lineRule="auto"/>
      <w:ind w:left="440"/>
      <w:jc w:val="left"/>
    </w:pPr>
    <w:rPr>
      <w:rFonts w:asciiTheme="minorHAnsi" w:eastAsiaTheme="minorEastAsia" w:hAnsiTheme="minorHAnsi" w:cstheme="minorBidi"/>
      <w:szCs w:val="22"/>
      <w:lang w:eastAsia="ja-JP"/>
    </w:rPr>
  </w:style>
  <w:style w:type="paragraph" w:styleId="Subtitle">
    <w:name w:val="Subtitle"/>
    <w:basedOn w:val="Normal"/>
    <w:next w:val="Normal"/>
    <w:link w:val="SubtitleChar"/>
    <w:uiPriority w:val="11"/>
    <w:qFormat/>
    <w:rsid w:val="00BF02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F0258"/>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7C2979"/>
    <w:pPr>
      <w:spacing w:line="240" w:lineRule="auto"/>
    </w:pPr>
    <w:rPr>
      <w:sz w:val="20"/>
    </w:rPr>
  </w:style>
  <w:style w:type="character" w:customStyle="1" w:styleId="FootnoteTextChar">
    <w:name w:val="Footnote Text Char"/>
    <w:basedOn w:val="DefaultParagraphFont"/>
    <w:link w:val="FootnoteText"/>
    <w:uiPriority w:val="99"/>
    <w:semiHidden/>
    <w:rsid w:val="007C2979"/>
  </w:style>
  <w:style w:type="character" w:styleId="FootnoteReference">
    <w:name w:val="footnote reference"/>
    <w:basedOn w:val="DefaultParagraphFont"/>
    <w:uiPriority w:val="99"/>
    <w:semiHidden/>
    <w:unhideWhenUsed/>
    <w:rsid w:val="007C2979"/>
    <w:rPr>
      <w:vertAlign w:val="superscript"/>
    </w:rPr>
  </w:style>
  <w:style w:type="character" w:customStyle="1" w:styleId="FooterChar">
    <w:name w:val="Footer Char"/>
    <w:basedOn w:val="DefaultParagraphFont"/>
    <w:link w:val="Footer"/>
    <w:uiPriority w:val="99"/>
    <w:rsid w:val="00E461D3"/>
    <w:rPr>
      <w:sz w:val="22"/>
    </w:rPr>
  </w:style>
  <w:style w:type="paragraph" w:customStyle="1" w:styleId="a">
    <w:name w:val="_"/>
    <w:rsid w:val="005E745A"/>
    <w:pPr>
      <w:widowControl w:val="0"/>
      <w:ind w:left="72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11319">
      <w:bodyDiv w:val="1"/>
      <w:marLeft w:val="0"/>
      <w:marRight w:val="0"/>
      <w:marTop w:val="0"/>
      <w:marBottom w:val="0"/>
      <w:divBdr>
        <w:top w:val="none" w:sz="0" w:space="0" w:color="auto"/>
        <w:left w:val="none" w:sz="0" w:space="0" w:color="auto"/>
        <w:bottom w:val="none" w:sz="0" w:space="0" w:color="auto"/>
        <w:right w:val="none" w:sz="0" w:space="0" w:color="auto"/>
      </w:divBdr>
    </w:div>
    <w:div w:id="485124281">
      <w:bodyDiv w:val="1"/>
      <w:marLeft w:val="0"/>
      <w:marRight w:val="0"/>
      <w:marTop w:val="0"/>
      <w:marBottom w:val="0"/>
      <w:divBdr>
        <w:top w:val="none" w:sz="0" w:space="0" w:color="auto"/>
        <w:left w:val="none" w:sz="0" w:space="0" w:color="auto"/>
        <w:bottom w:val="none" w:sz="0" w:space="0" w:color="auto"/>
        <w:right w:val="none" w:sz="0" w:space="0" w:color="auto"/>
      </w:divBdr>
    </w:div>
    <w:div w:id="694114693">
      <w:bodyDiv w:val="1"/>
      <w:marLeft w:val="0"/>
      <w:marRight w:val="0"/>
      <w:marTop w:val="0"/>
      <w:marBottom w:val="0"/>
      <w:divBdr>
        <w:top w:val="none" w:sz="0" w:space="0" w:color="auto"/>
        <w:left w:val="none" w:sz="0" w:space="0" w:color="auto"/>
        <w:bottom w:val="none" w:sz="0" w:space="0" w:color="auto"/>
        <w:right w:val="none" w:sz="0" w:space="0" w:color="auto"/>
      </w:divBdr>
    </w:div>
    <w:div w:id="711805261">
      <w:bodyDiv w:val="1"/>
      <w:marLeft w:val="0"/>
      <w:marRight w:val="0"/>
      <w:marTop w:val="0"/>
      <w:marBottom w:val="0"/>
      <w:divBdr>
        <w:top w:val="none" w:sz="0" w:space="0" w:color="auto"/>
        <w:left w:val="none" w:sz="0" w:space="0" w:color="auto"/>
        <w:bottom w:val="none" w:sz="0" w:space="0" w:color="auto"/>
        <w:right w:val="none" w:sz="0" w:space="0" w:color="auto"/>
      </w:divBdr>
    </w:div>
    <w:div w:id="798260173">
      <w:bodyDiv w:val="1"/>
      <w:marLeft w:val="0"/>
      <w:marRight w:val="0"/>
      <w:marTop w:val="0"/>
      <w:marBottom w:val="0"/>
      <w:divBdr>
        <w:top w:val="none" w:sz="0" w:space="0" w:color="auto"/>
        <w:left w:val="none" w:sz="0" w:space="0" w:color="auto"/>
        <w:bottom w:val="none" w:sz="0" w:space="0" w:color="auto"/>
        <w:right w:val="none" w:sz="0" w:space="0" w:color="auto"/>
      </w:divBdr>
    </w:div>
    <w:div w:id="995839700">
      <w:bodyDiv w:val="1"/>
      <w:marLeft w:val="0"/>
      <w:marRight w:val="0"/>
      <w:marTop w:val="0"/>
      <w:marBottom w:val="0"/>
      <w:divBdr>
        <w:top w:val="none" w:sz="0" w:space="0" w:color="auto"/>
        <w:left w:val="none" w:sz="0" w:space="0" w:color="auto"/>
        <w:bottom w:val="none" w:sz="0" w:space="0" w:color="auto"/>
        <w:right w:val="none" w:sz="0" w:space="0" w:color="auto"/>
      </w:divBdr>
    </w:div>
    <w:div w:id="1136219514">
      <w:bodyDiv w:val="1"/>
      <w:marLeft w:val="0"/>
      <w:marRight w:val="0"/>
      <w:marTop w:val="0"/>
      <w:marBottom w:val="0"/>
      <w:divBdr>
        <w:top w:val="none" w:sz="0" w:space="0" w:color="auto"/>
        <w:left w:val="none" w:sz="0" w:space="0" w:color="auto"/>
        <w:bottom w:val="none" w:sz="0" w:space="0" w:color="auto"/>
        <w:right w:val="none" w:sz="0" w:space="0" w:color="auto"/>
      </w:divBdr>
    </w:div>
    <w:div w:id="1911109420">
      <w:bodyDiv w:val="1"/>
      <w:marLeft w:val="0"/>
      <w:marRight w:val="0"/>
      <w:marTop w:val="0"/>
      <w:marBottom w:val="0"/>
      <w:divBdr>
        <w:top w:val="none" w:sz="0" w:space="0" w:color="auto"/>
        <w:left w:val="none" w:sz="0" w:space="0" w:color="auto"/>
        <w:bottom w:val="none" w:sz="0" w:space="0" w:color="auto"/>
        <w:right w:val="none" w:sz="0" w:space="0" w:color="auto"/>
      </w:divBdr>
    </w:div>
    <w:div w:id="1924948058">
      <w:bodyDiv w:val="1"/>
      <w:marLeft w:val="0"/>
      <w:marRight w:val="0"/>
      <w:marTop w:val="0"/>
      <w:marBottom w:val="0"/>
      <w:divBdr>
        <w:top w:val="none" w:sz="0" w:space="0" w:color="auto"/>
        <w:left w:val="none" w:sz="0" w:space="0" w:color="auto"/>
        <w:bottom w:val="none" w:sz="0" w:space="0" w:color="auto"/>
        <w:right w:val="none" w:sz="0" w:space="0" w:color="auto"/>
      </w:divBdr>
    </w:div>
    <w:div w:id="1953899936">
      <w:bodyDiv w:val="1"/>
      <w:marLeft w:val="0"/>
      <w:marRight w:val="0"/>
      <w:marTop w:val="0"/>
      <w:marBottom w:val="0"/>
      <w:divBdr>
        <w:top w:val="none" w:sz="0" w:space="0" w:color="auto"/>
        <w:left w:val="none" w:sz="0" w:space="0" w:color="auto"/>
        <w:bottom w:val="none" w:sz="0" w:space="0" w:color="auto"/>
        <w:right w:val="none" w:sz="0" w:space="0" w:color="auto"/>
      </w:divBdr>
    </w:div>
    <w:div w:id="20131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ithMacAllum@westa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chaelsteketee@westat.co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Ginexi@mail.nih.gov" TargetMode="External"/><Relationship Id="rId14" Type="http://schemas.openxmlformats.org/officeDocument/2006/relationships/hyperlink" Target="mailto:marthapalan@westa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B7D8B-EDCB-4367-B2F2-22FF8350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3332</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22281</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Currie, Mikia (NIH/OD) [E]</cp:lastModifiedBy>
  <cp:revision>2</cp:revision>
  <cp:lastPrinted>2014-05-05T15:08:00Z</cp:lastPrinted>
  <dcterms:created xsi:type="dcterms:W3CDTF">2014-10-08T16:10:00Z</dcterms:created>
  <dcterms:modified xsi:type="dcterms:W3CDTF">2014-10-08T16:10:00Z</dcterms:modified>
</cp:coreProperties>
</file>