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0815D" w14:textId="77777777" w:rsidR="00AC6ACE" w:rsidRPr="0037320E" w:rsidRDefault="00AC6ACE" w:rsidP="00423334">
      <w:pPr>
        <w:jc w:val="center"/>
        <w:rPr>
          <w:b/>
          <w:color w:val="000000"/>
        </w:rPr>
      </w:pPr>
      <w:bookmarkStart w:id="0" w:name="_Toc67387400"/>
    </w:p>
    <w:p w14:paraId="731F9B75" w14:textId="77777777" w:rsidR="00AC6ACE" w:rsidRPr="0037320E" w:rsidRDefault="00AC6ACE" w:rsidP="00423334">
      <w:pPr>
        <w:jc w:val="center"/>
        <w:rPr>
          <w:b/>
          <w:color w:val="000000"/>
        </w:rPr>
      </w:pPr>
    </w:p>
    <w:p w14:paraId="1E9BCD12" w14:textId="77777777" w:rsidR="00AC6ACE" w:rsidRPr="0037320E" w:rsidRDefault="00AC6ACE" w:rsidP="00423334">
      <w:pPr>
        <w:jc w:val="center"/>
        <w:rPr>
          <w:b/>
          <w:color w:val="000000"/>
        </w:rPr>
      </w:pPr>
    </w:p>
    <w:p w14:paraId="5A16DEDD" w14:textId="77777777" w:rsidR="005B4008" w:rsidRDefault="00D43F13" w:rsidP="00423334">
      <w:pPr>
        <w:jc w:val="center"/>
        <w:rPr>
          <w:b/>
          <w:color w:val="000000"/>
          <w:sz w:val="28"/>
          <w:szCs w:val="28"/>
        </w:rPr>
      </w:pPr>
      <w:r w:rsidRPr="0037320E">
        <w:rPr>
          <w:b/>
          <w:color w:val="000000"/>
          <w:sz w:val="28"/>
          <w:szCs w:val="28"/>
        </w:rPr>
        <w:t>Supporting Statement</w:t>
      </w:r>
      <w:bookmarkEnd w:id="0"/>
      <w:r w:rsidR="005B4008">
        <w:rPr>
          <w:b/>
          <w:color w:val="000000"/>
          <w:sz w:val="28"/>
          <w:szCs w:val="28"/>
        </w:rPr>
        <w:t xml:space="preserve"> </w:t>
      </w:r>
      <w:r w:rsidR="00EC094C">
        <w:rPr>
          <w:b/>
          <w:color w:val="000000"/>
          <w:sz w:val="28"/>
          <w:szCs w:val="28"/>
        </w:rPr>
        <w:t>Part A</w:t>
      </w:r>
      <w:r w:rsidR="005B4008">
        <w:rPr>
          <w:b/>
          <w:color w:val="000000"/>
          <w:sz w:val="28"/>
          <w:szCs w:val="28"/>
        </w:rPr>
        <w:t>:</w:t>
      </w:r>
    </w:p>
    <w:p w14:paraId="3A70AE62" w14:textId="77777777" w:rsidR="005B4008" w:rsidRDefault="005B4008" w:rsidP="00423334">
      <w:pPr>
        <w:jc w:val="center"/>
        <w:rPr>
          <w:b/>
          <w:color w:val="000000"/>
          <w:sz w:val="28"/>
          <w:szCs w:val="28"/>
        </w:rPr>
      </w:pPr>
    </w:p>
    <w:p w14:paraId="0FDEC73D" w14:textId="77777777" w:rsidR="00EC094C" w:rsidRDefault="00EC094C" w:rsidP="00423334">
      <w:pPr>
        <w:jc w:val="center"/>
        <w:rPr>
          <w:b/>
          <w:color w:val="000000"/>
          <w:sz w:val="28"/>
          <w:szCs w:val="28"/>
        </w:rPr>
      </w:pPr>
      <w:r>
        <w:rPr>
          <w:b/>
          <w:color w:val="000000"/>
          <w:sz w:val="28"/>
          <w:szCs w:val="28"/>
        </w:rPr>
        <w:t>Justification</w:t>
      </w:r>
    </w:p>
    <w:p w14:paraId="708E1645" w14:textId="77777777" w:rsidR="00EC094C" w:rsidRPr="0037320E" w:rsidRDefault="00EC094C" w:rsidP="00423334">
      <w:pPr>
        <w:jc w:val="center"/>
        <w:rPr>
          <w:b/>
          <w:color w:val="000000"/>
          <w:sz w:val="28"/>
          <w:szCs w:val="28"/>
        </w:rPr>
      </w:pPr>
    </w:p>
    <w:p w14:paraId="15F94E3A" w14:textId="77777777" w:rsidR="00162E9D" w:rsidRPr="0037320E" w:rsidRDefault="00823692" w:rsidP="00823692">
      <w:pPr>
        <w:jc w:val="center"/>
        <w:rPr>
          <w:color w:val="000000"/>
        </w:rPr>
      </w:pPr>
      <w:r w:rsidRPr="00823692">
        <w:rPr>
          <w:b/>
          <w:sz w:val="28"/>
          <w:szCs w:val="28"/>
        </w:rPr>
        <w:t xml:space="preserve">Measuring the </w:t>
      </w:r>
      <w:r>
        <w:rPr>
          <w:b/>
          <w:sz w:val="28"/>
          <w:szCs w:val="28"/>
        </w:rPr>
        <w:t>E</w:t>
      </w:r>
      <w:r w:rsidRPr="00823692">
        <w:rPr>
          <w:b/>
          <w:sz w:val="28"/>
          <w:szCs w:val="28"/>
        </w:rPr>
        <w:t xml:space="preserve">ffects of </w:t>
      </w:r>
      <w:r>
        <w:rPr>
          <w:b/>
          <w:sz w:val="28"/>
          <w:szCs w:val="28"/>
        </w:rPr>
        <w:t>State and Local Radon P</w:t>
      </w:r>
      <w:r w:rsidRPr="00823692">
        <w:rPr>
          <w:b/>
          <w:sz w:val="28"/>
          <w:szCs w:val="28"/>
        </w:rPr>
        <w:t>olicies</w:t>
      </w:r>
    </w:p>
    <w:p w14:paraId="183AD5F9" w14:textId="77777777" w:rsidR="005C0D9C" w:rsidRDefault="005C0D9C" w:rsidP="00F41479">
      <w:pPr>
        <w:jc w:val="center"/>
        <w:rPr>
          <w:color w:val="000000"/>
        </w:rPr>
      </w:pPr>
    </w:p>
    <w:p w14:paraId="242F6F33" w14:textId="77777777" w:rsidR="005C0D9C" w:rsidRDefault="005C0D9C" w:rsidP="00F41479">
      <w:pPr>
        <w:jc w:val="center"/>
        <w:rPr>
          <w:color w:val="000000"/>
        </w:rPr>
      </w:pPr>
    </w:p>
    <w:p w14:paraId="4AC9C4C7" w14:textId="77777777" w:rsidR="005C0D9C" w:rsidRDefault="005C0D9C" w:rsidP="00F41479">
      <w:pPr>
        <w:jc w:val="center"/>
        <w:rPr>
          <w:color w:val="000000"/>
        </w:rPr>
      </w:pPr>
    </w:p>
    <w:p w14:paraId="398EEA8C" w14:textId="1E01BE24" w:rsidR="00162E9D" w:rsidRPr="0037320E" w:rsidRDefault="00DB0439" w:rsidP="00F41479">
      <w:pPr>
        <w:jc w:val="center"/>
        <w:rPr>
          <w:color w:val="000000"/>
        </w:rPr>
      </w:pPr>
      <w:r>
        <w:rPr>
          <w:color w:val="000000"/>
        </w:rPr>
        <w:t>February 1</w:t>
      </w:r>
      <w:r w:rsidR="0038301C">
        <w:rPr>
          <w:color w:val="000000"/>
        </w:rPr>
        <w:t>3</w:t>
      </w:r>
      <w:r w:rsidR="00823692">
        <w:rPr>
          <w:color w:val="000000"/>
        </w:rPr>
        <w:t>, 201</w:t>
      </w:r>
      <w:r>
        <w:rPr>
          <w:color w:val="000000"/>
        </w:rPr>
        <w:t>5</w:t>
      </w:r>
    </w:p>
    <w:p w14:paraId="3AC8D80C" w14:textId="77777777" w:rsidR="00D43F13" w:rsidRPr="0037320E" w:rsidRDefault="00D43F13" w:rsidP="00F41479">
      <w:pPr>
        <w:jc w:val="center"/>
        <w:rPr>
          <w:color w:val="000000"/>
        </w:rPr>
      </w:pPr>
    </w:p>
    <w:p w14:paraId="4615205F" w14:textId="77777777" w:rsidR="005C0D9C" w:rsidRDefault="005C0D9C" w:rsidP="00F41479">
      <w:pPr>
        <w:jc w:val="center"/>
        <w:rPr>
          <w:color w:val="000000"/>
        </w:rPr>
      </w:pPr>
    </w:p>
    <w:p w14:paraId="3387B873" w14:textId="77777777" w:rsidR="005C0D9C" w:rsidRDefault="005C0D9C" w:rsidP="00F41479">
      <w:pPr>
        <w:jc w:val="center"/>
        <w:rPr>
          <w:color w:val="000000"/>
        </w:rPr>
      </w:pPr>
    </w:p>
    <w:p w14:paraId="78BBE8BE" w14:textId="77777777" w:rsidR="005C0D9C" w:rsidRDefault="005C0D9C" w:rsidP="00F41479">
      <w:pPr>
        <w:jc w:val="center"/>
        <w:rPr>
          <w:color w:val="000000"/>
        </w:rPr>
      </w:pPr>
    </w:p>
    <w:p w14:paraId="5BDCC07A" w14:textId="77777777" w:rsidR="005C0D9C" w:rsidRDefault="005C0D9C" w:rsidP="00F41479">
      <w:pPr>
        <w:jc w:val="center"/>
        <w:rPr>
          <w:color w:val="000000"/>
        </w:rPr>
      </w:pPr>
    </w:p>
    <w:p w14:paraId="3ED0E11C" w14:textId="77777777" w:rsidR="00D43F13" w:rsidRPr="00471490" w:rsidRDefault="00D43F13" w:rsidP="00F41479">
      <w:pPr>
        <w:jc w:val="center"/>
        <w:rPr>
          <w:color w:val="000000"/>
        </w:rPr>
      </w:pPr>
      <w:r w:rsidRPr="00471490">
        <w:rPr>
          <w:color w:val="000000"/>
        </w:rPr>
        <w:t>Contact Person:</w:t>
      </w:r>
    </w:p>
    <w:p w14:paraId="6E58D260" w14:textId="77777777" w:rsidR="0063138F" w:rsidRPr="00471490" w:rsidRDefault="00823692" w:rsidP="0063138F">
      <w:pPr>
        <w:pStyle w:val="Cov-Address"/>
        <w:jc w:val="center"/>
        <w:rPr>
          <w:rFonts w:ascii="Times New Roman" w:hAnsi="Times New Roman"/>
        </w:rPr>
      </w:pPr>
      <w:r w:rsidRPr="00471490">
        <w:rPr>
          <w:rFonts w:ascii="Times New Roman" w:hAnsi="Times New Roman"/>
        </w:rPr>
        <w:t>Antonio Neri, MD, MPH</w:t>
      </w:r>
    </w:p>
    <w:p w14:paraId="608B9998" w14:textId="77777777" w:rsidR="0063138F" w:rsidRPr="0063138F" w:rsidRDefault="00703C72" w:rsidP="0063138F">
      <w:pPr>
        <w:pStyle w:val="Cov-Address"/>
        <w:jc w:val="center"/>
        <w:rPr>
          <w:rFonts w:ascii="Times New Roman" w:hAnsi="Times New Roman"/>
        </w:rPr>
      </w:pPr>
      <w:r>
        <w:rPr>
          <w:rFonts w:ascii="Times New Roman" w:hAnsi="Times New Roman"/>
        </w:rPr>
        <w:t>Project Director</w:t>
      </w:r>
    </w:p>
    <w:p w14:paraId="66904BA3"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Scientific and Clinical Translation Team</w:t>
      </w:r>
    </w:p>
    <w:p w14:paraId="48B289E0"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Comprehensive Cancer Control</w:t>
      </w:r>
    </w:p>
    <w:p w14:paraId="0460322B" w14:textId="77777777" w:rsidR="0063138F" w:rsidRDefault="0063138F" w:rsidP="0063138F">
      <w:pPr>
        <w:pStyle w:val="Cov-Address"/>
        <w:jc w:val="center"/>
        <w:rPr>
          <w:rFonts w:ascii="Times New Roman" w:hAnsi="Times New Roman"/>
        </w:rPr>
      </w:pPr>
      <w:r w:rsidRPr="0063138F">
        <w:rPr>
          <w:rFonts w:ascii="Times New Roman" w:hAnsi="Times New Roman"/>
        </w:rPr>
        <w:t>Centers for Disease Control and Prevention</w:t>
      </w:r>
    </w:p>
    <w:p w14:paraId="79713C49"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4770 Buford Highway</w:t>
      </w:r>
      <w:r w:rsidR="00DB520D">
        <w:rPr>
          <w:rFonts w:ascii="Times New Roman" w:hAnsi="Times New Roman"/>
        </w:rPr>
        <w:t>, NE, MS K-57</w:t>
      </w:r>
    </w:p>
    <w:p w14:paraId="0822C438"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Atlanta, GA 30341-3717</w:t>
      </w:r>
    </w:p>
    <w:p w14:paraId="38CE4A06" w14:textId="77777777" w:rsidR="0063138F" w:rsidRPr="0063138F" w:rsidRDefault="0063138F" w:rsidP="0063138F">
      <w:pPr>
        <w:pStyle w:val="Cov-Address"/>
        <w:jc w:val="center"/>
        <w:rPr>
          <w:rFonts w:ascii="Times New Roman" w:hAnsi="Times New Roman"/>
        </w:rPr>
      </w:pPr>
      <w:r>
        <w:rPr>
          <w:rFonts w:ascii="Times New Roman" w:hAnsi="Times New Roman"/>
        </w:rPr>
        <w:t>Phone: (770) 488-3</w:t>
      </w:r>
      <w:r w:rsidR="00823692">
        <w:rPr>
          <w:rFonts w:ascii="Times New Roman" w:hAnsi="Times New Roman"/>
        </w:rPr>
        <w:t>288</w:t>
      </w:r>
    </w:p>
    <w:p w14:paraId="5CFA8C10"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Fax: (770) 488-4335</w:t>
      </w:r>
    </w:p>
    <w:p w14:paraId="12DC3162" w14:textId="77777777" w:rsidR="0063138F" w:rsidRPr="0063138F" w:rsidRDefault="0063138F" w:rsidP="0063138F">
      <w:pPr>
        <w:pStyle w:val="Cov-Address"/>
        <w:jc w:val="center"/>
        <w:rPr>
          <w:rFonts w:ascii="Times New Roman" w:hAnsi="Times New Roman"/>
        </w:rPr>
      </w:pPr>
      <w:r w:rsidRPr="0063138F">
        <w:rPr>
          <w:rFonts w:ascii="Times New Roman" w:hAnsi="Times New Roman"/>
        </w:rPr>
        <w:t xml:space="preserve">E-mail: </w:t>
      </w:r>
      <w:r w:rsidR="00823692">
        <w:rPr>
          <w:rFonts w:ascii="Times New Roman" w:hAnsi="Times New Roman"/>
        </w:rPr>
        <w:t>ANeri</w:t>
      </w:r>
      <w:r w:rsidRPr="0063138F">
        <w:rPr>
          <w:rFonts w:ascii="Times New Roman" w:hAnsi="Times New Roman"/>
        </w:rPr>
        <w:t>@cdc.gov</w:t>
      </w:r>
    </w:p>
    <w:p w14:paraId="245F41D6" w14:textId="77777777" w:rsidR="0063138F" w:rsidRPr="0063138F" w:rsidRDefault="0063138F" w:rsidP="0063138F">
      <w:pPr>
        <w:pStyle w:val="Cov-Address"/>
        <w:jc w:val="center"/>
        <w:rPr>
          <w:rFonts w:ascii="Times New Roman" w:hAnsi="Times New Roman"/>
        </w:rPr>
      </w:pPr>
    </w:p>
    <w:p w14:paraId="756D8249" w14:textId="77777777" w:rsidR="00D6798C" w:rsidRPr="0037320E" w:rsidRDefault="00D6798C" w:rsidP="00823692">
      <w:pPr>
        <w:rPr>
          <w:color w:val="000000"/>
        </w:rPr>
      </w:pPr>
    </w:p>
    <w:p w14:paraId="052C18AB" w14:textId="77777777" w:rsidR="00D43F13" w:rsidRPr="0037320E" w:rsidRDefault="00D43F13" w:rsidP="00832BA3">
      <w:pPr>
        <w:rPr>
          <w:color w:val="000000"/>
        </w:rPr>
      </w:pPr>
    </w:p>
    <w:p w14:paraId="07BB0C0D" w14:textId="77777777" w:rsidR="00D43F13" w:rsidRPr="0037320E" w:rsidRDefault="00D43F13" w:rsidP="00832BA3">
      <w:pPr>
        <w:rPr>
          <w:color w:val="000000"/>
        </w:rPr>
      </w:pPr>
    </w:p>
    <w:p w14:paraId="2DC9FD7B" w14:textId="77777777" w:rsidR="00A14087" w:rsidRPr="0037320E" w:rsidRDefault="00A14087" w:rsidP="00832BA3">
      <w:pPr>
        <w:rPr>
          <w:b/>
          <w:bCs/>
          <w:caps/>
          <w:color w:val="000000"/>
        </w:rPr>
        <w:sectPr w:rsidR="00A14087" w:rsidRPr="0037320E" w:rsidSect="007826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390E1859" w14:textId="77777777" w:rsidR="00C65FD6" w:rsidRPr="0037320E" w:rsidRDefault="00C65FD6" w:rsidP="00F72F56">
      <w:pPr>
        <w:pStyle w:val="TOC0"/>
      </w:pPr>
      <w:r w:rsidRPr="0037320E">
        <w:rPr>
          <w:bCs/>
        </w:rPr>
        <w:lastRenderedPageBreak/>
        <w:t>TABLE OF CONTENTS</w:t>
      </w:r>
    </w:p>
    <w:p w14:paraId="6CC8DECD" w14:textId="77777777"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14:paraId="0D65DE4E" w14:textId="77777777" w:rsidR="004C7159" w:rsidRDefault="005D0094">
      <w:pPr>
        <w:pStyle w:val="TOC1"/>
        <w:tabs>
          <w:tab w:val="left" w:pos="1350"/>
        </w:tabs>
        <w:rPr>
          <w:rFonts w:asciiTheme="minorHAnsi" w:eastAsiaTheme="minorEastAsia" w:hAnsiTheme="minorHAnsi" w:cstheme="minorBidi"/>
          <w:sz w:val="22"/>
          <w:szCs w:val="22"/>
        </w:rPr>
      </w:pPr>
      <w:r>
        <w:rPr>
          <w:b/>
          <w:bCs/>
          <w:caps/>
          <w:color w:val="000000"/>
        </w:rPr>
        <w:fldChar w:fldCharType="begin"/>
      </w:r>
      <w:r w:rsidR="00512F04">
        <w:rPr>
          <w:b/>
          <w:bCs/>
          <w:caps/>
          <w:color w:val="000000"/>
        </w:rPr>
        <w:instrText xml:space="preserve"> TOC \o "1-3" \h \z \u </w:instrText>
      </w:r>
      <w:r>
        <w:rPr>
          <w:b/>
          <w:bCs/>
          <w:caps/>
          <w:color w:val="000000"/>
        </w:rPr>
        <w:fldChar w:fldCharType="separate"/>
      </w:r>
      <w:hyperlink w:anchor="_Toc411604791" w:history="1">
        <w:r w:rsidR="004C7159" w:rsidRPr="00D51C99">
          <w:rPr>
            <w:rStyle w:val="Hyperlink"/>
          </w:rPr>
          <w:t>A.</w:t>
        </w:r>
        <w:r w:rsidR="004C7159">
          <w:rPr>
            <w:rFonts w:asciiTheme="minorHAnsi" w:eastAsiaTheme="minorEastAsia" w:hAnsiTheme="minorHAnsi" w:cstheme="minorBidi"/>
            <w:sz w:val="22"/>
            <w:szCs w:val="22"/>
          </w:rPr>
          <w:tab/>
        </w:r>
        <w:r w:rsidR="004C7159" w:rsidRPr="00D51C99">
          <w:rPr>
            <w:rStyle w:val="Hyperlink"/>
          </w:rPr>
          <w:t>Justification</w:t>
        </w:r>
        <w:r w:rsidR="004C7159">
          <w:rPr>
            <w:webHidden/>
          </w:rPr>
          <w:tab/>
        </w:r>
        <w:r w:rsidR="004C7159">
          <w:rPr>
            <w:webHidden/>
          </w:rPr>
          <w:fldChar w:fldCharType="begin"/>
        </w:r>
        <w:r w:rsidR="004C7159">
          <w:rPr>
            <w:webHidden/>
          </w:rPr>
          <w:instrText xml:space="preserve"> PAGEREF _Toc411604791 \h </w:instrText>
        </w:r>
        <w:r w:rsidR="004C7159">
          <w:rPr>
            <w:webHidden/>
          </w:rPr>
        </w:r>
        <w:r w:rsidR="004C7159">
          <w:rPr>
            <w:webHidden/>
          </w:rPr>
          <w:fldChar w:fldCharType="separate"/>
        </w:r>
        <w:r w:rsidR="004C7159">
          <w:rPr>
            <w:webHidden/>
          </w:rPr>
          <w:t>1</w:t>
        </w:r>
        <w:r w:rsidR="004C7159">
          <w:rPr>
            <w:webHidden/>
          </w:rPr>
          <w:fldChar w:fldCharType="end"/>
        </w:r>
      </w:hyperlink>
    </w:p>
    <w:p w14:paraId="180E0F82" w14:textId="77777777" w:rsidR="004C7159" w:rsidRDefault="004C7159">
      <w:pPr>
        <w:pStyle w:val="TOC2"/>
        <w:tabs>
          <w:tab w:val="left" w:pos="2340"/>
        </w:tabs>
        <w:rPr>
          <w:rFonts w:asciiTheme="minorHAnsi" w:eastAsiaTheme="minorEastAsia" w:hAnsiTheme="minorHAnsi" w:cstheme="minorBidi"/>
          <w:sz w:val="22"/>
          <w:szCs w:val="22"/>
        </w:rPr>
      </w:pPr>
      <w:hyperlink w:anchor="_Toc411604792" w:history="1">
        <w:r w:rsidRPr="00D51C99">
          <w:rPr>
            <w:rStyle w:val="Hyperlink"/>
          </w:rPr>
          <w:t>A.1.</w:t>
        </w:r>
        <w:r>
          <w:rPr>
            <w:rFonts w:asciiTheme="minorHAnsi" w:eastAsiaTheme="minorEastAsia" w:hAnsiTheme="minorHAnsi" w:cstheme="minorBidi"/>
            <w:sz w:val="22"/>
            <w:szCs w:val="22"/>
          </w:rPr>
          <w:tab/>
        </w:r>
        <w:r w:rsidRPr="00D51C99">
          <w:rPr>
            <w:rStyle w:val="Hyperlink"/>
          </w:rPr>
          <w:t>Circumstances Making the Collection of Information Necessary</w:t>
        </w:r>
        <w:r>
          <w:rPr>
            <w:webHidden/>
          </w:rPr>
          <w:tab/>
        </w:r>
        <w:r>
          <w:rPr>
            <w:webHidden/>
          </w:rPr>
          <w:fldChar w:fldCharType="begin"/>
        </w:r>
        <w:r>
          <w:rPr>
            <w:webHidden/>
          </w:rPr>
          <w:instrText xml:space="preserve"> PAGEREF _Toc411604792 \h </w:instrText>
        </w:r>
        <w:r>
          <w:rPr>
            <w:webHidden/>
          </w:rPr>
        </w:r>
        <w:r>
          <w:rPr>
            <w:webHidden/>
          </w:rPr>
          <w:fldChar w:fldCharType="separate"/>
        </w:r>
        <w:r>
          <w:rPr>
            <w:webHidden/>
          </w:rPr>
          <w:t>1</w:t>
        </w:r>
        <w:r>
          <w:rPr>
            <w:webHidden/>
          </w:rPr>
          <w:fldChar w:fldCharType="end"/>
        </w:r>
      </w:hyperlink>
    </w:p>
    <w:p w14:paraId="6E75B867" w14:textId="77777777" w:rsidR="004C7159" w:rsidRDefault="004C7159">
      <w:pPr>
        <w:pStyle w:val="TOC3"/>
        <w:rPr>
          <w:rFonts w:asciiTheme="minorHAnsi" w:eastAsiaTheme="minorEastAsia" w:hAnsiTheme="minorHAnsi" w:cstheme="minorBidi"/>
          <w:sz w:val="22"/>
          <w:szCs w:val="22"/>
        </w:rPr>
      </w:pPr>
      <w:hyperlink w:anchor="_Toc411604793" w:history="1">
        <w:r w:rsidRPr="00D51C99">
          <w:rPr>
            <w:rStyle w:val="Hyperlink"/>
          </w:rPr>
          <w:t>Background</w:t>
        </w:r>
        <w:r>
          <w:rPr>
            <w:webHidden/>
          </w:rPr>
          <w:tab/>
        </w:r>
        <w:r>
          <w:rPr>
            <w:webHidden/>
          </w:rPr>
          <w:fldChar w:fldCharType="begin"/>
        </w:r>
        <w:r>
          <w:rPr>
            <w:webHidden/>
          </w:rPr>
          <w:instrText xml:space="preserve"> PAGEREF _Toc411604793 \h </w:instrText>
        </w:r>
        <w:r>
          <w:rPr>
            <w:webHidden/>
          </w:rPr>
        </w:r>
        <w:r>
          <w:rPr>
            <w:webHidden/>
          </w:rPr>
          <w:fldChar w:fldCharType="separate"/>
        </w:r>
        <w:r>
          <w:rPr>
            <w:webHidden/>
          </w:rPr>
          <w:t>1</w:t>
        </w:r>
        <w:r>
          <w:rPr>
            <w:webHidden/>
          </w:rPr>
          <w:fldChar w:fldCharType="end"/>
        </w:r>
      </w:hyperlink>
    </w:p>
    <w:p w14:paraId="353040E1"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4" w:history="1">
        <w:r w:rsidRPr="00D51C99">
          <w:rPr>
            <w:rStyle w:val="Hyperlink"/>
          </w:rPr>
          <w:t>A.2</w:t>
        </w:r>
        <w:r>
          <w:rPr>
            <w:rFonts w:asciiTheme="minorHAnsi" w:eastAsiaTheme="minorEastAsia" w:hAnsiTheme="minorHAnsi" w:cstheme="minorBidi"/>
            <w:sz w:val="22"/>
            <w:szCs w:val="22"/>
          </w:rPr>
          <w:tab/>
        </w:r>
        <w:r w:rsidRPr="00D51C99">
          <w:rPr>
            <w:rStyle w:val="Hyperlink"/>
          </w:rPr>
          <w:t>Purpose and Use of the Information Collection</w:t>
        </w:r>
        <w:r>
          <w:rPr>
            <w:webHidden/>
          </w:rPr>
          <w:tab/>
        </w:r>
        <w:r>
          <w:rPr>
            <w:webHidden/>
          </w:rPr>
          <w:fldChar w:fldCharType="begin"/>
        </w:r>
        <w:r>
          <w:rPr>
            <w:webHidden/>
          </w:rPr>
          <w:instrText xml:space="preserve"> PAGEREF _Toc411604794 \h </w:instrText>
        </w:r>
        <w:r>
          <w:rPr>
            <w:webHidden/>
          </w:rPr>
        </w:r>
        <w:r>
          <w:rPr>
            <w:webHidden/>
          </w:rPr>
          <w:fldChar w:fldCharType="separate"/>
        </w:r>
        <w:r>
          <w:rPr>
            <w:webHidden/>
          </w:rPr>
          <w:t>4</w:t>
        </w:r>
        <w:r>
          <w:rPr>
            <w:webHidden/>
          </w:rPr>
          <w:fldChar w:fldCharType="end"/>
        </w:r>
      </w:hyperlink>
    </w:p>
    <w:p w14:paraId="1735BC27"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5" w:history="1">
        <w:r w:rsidRPr="00D51C99">
          <w:rPr>
            <w:rStyle w:val="Hyperlink"/>
          </w:rPr>
          <w:t>A.3</w:t>
        </w:r>
        <w:r>
          <w:rPr>
            <w:rFonts w:asciiTheme="minorHAnsi" w:eastAsiaTheme="minorEastAsia" w:hAnsiTheme="minorHAnsi" w:cstheme="minorBidi"/>
            <w:sz w:val="22"/>
            <w:szCs w:val="22"/>
          </w:rPr>
          <w:tab/>
        </w:r>
        <w:r w:rsidRPr="00D51C99">
          <w:rPr>
            <w:rStyle w:val="Hyperlink"/>
          </w:rPr>
          <w:t>Use of Improved Information Technology and Burden Reduction</w:t>
        </w:r>
        <w:r>
          <w:rPr>
            <w:webHidden/>
          </w:rPr>
          <w:tab/>
        </w:r>
        <w:r>
          <w:rPr>
            <w:webHidden/>
          </w:rPr>
          <w:fldChar w:fldCharType="begin"/>
        </w:r>
        <w:r>
          <w:rPr>
            <w:webHidden/>
          </w:rPr>
          <w:instrText xml:space="preserve"> PAGEREF _Toc411604795 \h </w:instrText>
        </w:r>
        <w:r>
          <w:rPr>
            <w:webHidden/>
          </w:rPr>
        </w:r>
        <w:r>
          <w:rPr>
            <w:webHidden/>
          </w:rPr>
          <w:fldChar w:fldCharType="separate"/>
        </w:r>
        <w:r>
          <w:rPr>
            <w:webHidden/>
          </w:rPr>
          <w:t>5</w:t>
        </w:r>
        <w:r>
          <w:rPr>
            <w:webHidden/>
          </w:rPr>
          <w:fldChar w:fldCharType="end"/>
        </w:r>
      </w:hyperlink>
    </w:p>
    <w:p w14:paraId="037FD16E"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6" w:history="1">
        <w:r w:rsidRPr="00D51C99">
          <w:rPr>
            <w:rStyle w:val="Hyperlink"/>
          </w:rPr>
          <w:t>A.4</w:t>
        </w:r>
        <w:r>
          <w:rPr>
            <w:rFonts w:asciiTheme="minorHAnsi" w:eastAsiaTheme="minorEastAsia" w:hAnsiTheme="minorHAnsi" w:cstheme="minorBidi"/>
            <w:sz w:val="22"/>
            <w:szCs w:val="22"/>
          </w:rPr>
          <w:tab/>
        </w:r>
        <w:r w:rsidRPr="00D51C99">
          <w:rPr>
            <w:rStyle w:val="Hyperlink"/>
          </w:rPr>
          <w:t>Efforts to Identify Duplication and Use of Similar Information</w:t>
        </w:r>
        <w:r>
          <w:rPr>
            <w:webHidden/>
          </w:rPr>
          <w:tab/>
        </w:r>
        <w:r>
          <w:rPr>
            <w:webHidden/>
          </w:rPr>
          <w:fldChar w:fldCharType="begin"/>
        </w:r>
        <w:r>
          <w:rPr>
            <w:webHidden/>
          </w:rPr>
          <w:instrText xml:space="preserve"> PAGEREF _Toc411604796 \h </w:instrText>
        </w:r>
        <w:r>
          <w:rPr>
            <w:webHidden/>
          </w:rPr>
        </w:r>
        <w:r>
          <w:rPr>
            <w:webHidden/>
          </w:rPr>
          <w:fldChar w:fldCharType="separate"/>
        </w:r>
        <w:r>
          <w:rPr>
            <w:webHidden/>
          </w:rPr>
          <w:t>5</w:t>
        </w:r>
        <w:r>
          <w:rPr>
            <w:webHidden/>
          </w:rPr>
          <w:fldChar w:fldCharType="end"/>
        </w:r>
      </w:hyperlink>
    </w:p>
    <w:p w14:paraId="59921159"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7" w:history="1">
        <w:r w:rsidRPr="00D51C99">
          <w:rPr>
            <w:rStyle w:val="Hyperlink"/>
          </w:rPr>
          <w:t>A.5</w:t>
        </w:r>
        <w:r>
          <w:rPr>
            <w:rFonts w:asciiTheme="minorHAnsi" w:eastAsiaTheme="minorEastAsia" w:hAnsiTheme="minorHAnsi" w:cstheme="minorBidi"/>
            <w:sz w:val="22"/>
            <w:szCs w:val="22"/>
          </w:rPr>
          <w:tab/>
        </w:r>
        <w:r w:rsidRPr="00D51C99">
          <w:rPr>
            <w:rStyle w:val="Hyperlink"/>
          </w:rPr>
          <w:t>Impact on Small Businesses or Other Small Entities</w:t>
        </w:r>
        <w:r>
          <w:rPr>
            <w:webHidden/>
          </w:rPr>
          <w:tab/>
        </w:r>
        <w:r>
          <w:rPr>
            <w:webHidden/>
          </w:rPr>
          <w:fldChar w:fldCharType="begin"/>
        </w:r>
        <w:r>
          <w:rPr>
            <w:webHidden/>
          </w:rPr>
          <w:instrText xml:space="preserve"> PAGEREF _Toc411604797 \h </w:instrText>
        </w:r>
        <w:r>
          <w:rPr>
            <w:webHidden/>
          </w:rPr>
        </w:r>
        <w:r>
          <w:rPr>
            <w:webHidden/>
          </w:rPr>
          <w:fldChar w:fldCharType="separate"/>
        </w:r>
        <w:r>
          <w:rPr>
            <w:webHidden/>
          </w:rPr>
          <w:t>6</w:t>
        </w:r>
        <w:r>
          <w:rPr>
            <w:webHidden/>
          </w:rPr>
          <w:fldChar w:fldCharType="end"/>
        </w:r>
      </w:hyperlink>
    </w:p>
    <w:p w14:paraId="53B05980"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8" w:history="1">
        <w:r w:rsidRPr="00D51C99">
          <w:rPr>
            <w:rStyle w:val="Hyperlink"/>
          </w:rPr>
          <w:t>A.6</w:t>
        </w:r>
        <w:r>
          <w:rPr>
            <w:rFonts w:asciiTheme="minorHAnsi" w:eastAsiaTheme="minorEastAsia" w:hAnsiTheme="minorHAnsi" w:cstheme="minorBidi"/>
            <w:sz w:val="22"/>
            <w:szCs w:val="22"/>
          </w:rPr>
          <w:tab/>
        </w:r>
        <w:r w:rsidRPr="00D51C99">
          <w:rPr>
            <w:rStyle w:val="Hyperlink"/>
          </w:rPr>
          <w:t>Consequences of Collecting the Information Less Frequently</w:t>
        </w:r>
        <w:r>
          <w:rPr>
            <w:webHidden/>
          </w:rPr>
          <w:tab/>
        </w:r>
        <w:r>
          <w:rPr>
            <w:webHidden/>
          </w:rPr>
          <w:fldChar w:fldCharType="begin"/>
        </w:r>
        <w:r>
          <w:rPr>
            <w:webHidden/>
          </w:rPr>
          <w:instrText xml:space="preserve"> PAGEREF _Toc411604798 \h </w:instrText>
        </w:r>
        <w:r>
          <w:rPr>
            <w:webHidden/>
          </w:rPr>
        </w:r>
        <w:r>
          <w:rPr>
            <w:webHidden/>
          </w:rPr>
          <w:fldChar w:fldCharType="separate"/>
        </w:r>
        <w:r>
          <w:rPr>
            <w:webHidden/>
          </w:rPr>
          <w:t>6</w:t>
        </w:r>
        <w:r>
          <w:rPr>
            <w:webHidden/>
          </w:rPr>
          <w:fldChar w:fldCharType="end"/>
        </w:r>
      </w:hyperlink>
    </w:p>
    <w:p w14:paraId="2F6658FF" w14:textId="77777777" w:rsidR="004C7159" w:rsidRDefault="004C7159">
      <w:pPr>
        <w:pStyle w:val="TOC2"/>
        <w:tabs>
          <w:tab w:val="left" w:pos="1350"/>
        </w:tabs>
        <w:rPr>
          <w:rFonts w:asciiTheme="minorHAnsi" w:eastAsiaTheme="minorEastAsia" w:hAnsiTheme="minorHAnsi" w:cstheme="minorBidi"/>
          <w:sz w:val="22"/>
          <w:szCs w:val="22"/>
        </w:rPr>
      </w:pPr>
      <w:hyperlink w:anchor="_Toc411604799" w:history="1">
        <w:r w:rsidRPr="00D51C99">
          <w:rPr>
            <w:rStyle w:val="Hyperlink"/>
          </w:rPr>
          <w:t>A.7</w:t>
        </w:r>
        <w:r>
          <w:rPr>
            <w:rFonts w:asciiTheme="minorHAnsi" w:eastAsiaTheme="minorEastAsia" w:hAnsiTheme="minorHAnsi" w:cstheme="minorBidi"/>
            <w:sz w:val="22"/>
            <w:szCs w:val="22"/>
          </w:rPr>
          <w:tab/>
        </w:r>
        <w:r w:rsidRPr="00D51C99">
          <w:rPr>
            <w:rStyle w:val="Hyperlink"/>
          </w:rPr>
          <w:t>Special Circumstances Relating to the Guidelines of 5 CFR 1320.5</w:t>
        </w:r>
        <w:r>
          <w:rPr>
            <w:webHidden/>
          </w:rPr>
          <w:tab/>
        </w:r>
        <w:r>
          <w:rPr>
            <w:webHidden/>
          </w:rPr>
          <w:fldChar w:fldCharType="begin"/>
        </w:r>
        <w:r>
          <w:rPr>
            <w:webHidden/>
          </w:rPr>
          <w:instrText xml:space="preserve"> PAGEREF _Toc411604799 \h </w:instrText>
        </w:r>
        <w:r>
          <w:rPr>
            <w:webHidden/>
          </w:rPr>
        </w:r>
        <w:r>
          <w:rPr>
            <w:webHidden/>
          </w:rPr>
          <w:fldChar w:fldCharType="separate"/>
        </w:r>
        <w:r>
          <w:rPr>
            <w:webHidden/>
          </w:rPr>
          <w:t>6</w:t>
        </w:r>
        <w:r>
          <w:rPr>
            <w:webHidden/>
          </w:rPr>
          <w:fldChar w:fldCharType="end"/>
        </w:r>
      </w:hyperlink>
    </w:p>
    <w:p w14:paraId="0470EBC8" w14:textId="77777777" w:rsidR="004C7159" w:rsidRDefault="004C7159">
      <w:pPr>
        <w:pStyle w:val="TOC2"/>
        <w:tabs>
          <w:tab w:val="left" w:pos="1350"/>
        </w:tabs>
        <w:rPr>
          <w:rFonts w:asciiTheme="minorHAnsi" w:eastAsiaTheme="minorEastAsia" w:hAnsiTheme="minorHAnsi" w:cstheme="minorBidi"/>
          <w:sz w:val="22"/>
          <w:szCs w:val="22"/>
        </w:rPr>
      </w:pPr>
      <w:hyperlink w:anchor="_Toc411604800" w:history="1">
        <w:r w:rsidRPr="00D51C99">
          <w:rPr>
            <w:rStyle w:val="Hyperlink"/>
          </w:rPr>
          <w:t>A.8</w:t>
        </w:r>
        <w:r>
          <w:rPr>
            <w:rFonts w:asciiTheme="minorHAnsi" w:eastAsiaTheme="minorEastAsia" w:hAnsiTheme="minorHAnsi" w:cstheme="minorBidi"/>
            <w:sz w:val="22"/>
            <w:szCs w:val="22"/>
          </w:rPr>
          <w:tab/>
        </w:r>
        <w:r w:rsidRPr="00D51C99">
          <w:rPr>
            <w:rStyle w:val="Hyperlink"/>
          </w:rPr>
          <w:t xml:space="preserve">Comments in Response to the </w:t>
        </w:r>
        <w:r w:rsidRPr="00D51C99">
          <w:rPr>
            <w:rStyle w:val="Hyperlink"/>
            <w:i/>
          </w:rPr>
          <w:t>Federal Register</w:t>
        </w:r>
        <w:r w:rsidRPr="00D51C99">
          <w:rPr>
            <w:rStyle w:val="Hyperlink"/>
          </w:rPr>
          <w:t xml:space="preserve"> Notice and Efforts to Consult Outside the Agency</w:t>
        </w:r>
        <w:r>
          <w:rPr>
            <w:webHidden/>
          </w:rPr>
          <w:tab/>
        </w:r>
        <w:r>
          <w:rPr>
            <w:webHidden/>
          </w:rPr>
          <w:fldChar w:fldCharType="begin"/>
        </w:r>
        <w:r>
          <w:rPr>
            <w:webHidden/>
          </w:rPr>
          <w:instrText xml:space="preserve"> PAGEREF _Toc411604800 \h </w:instrText>
        </w:r>
        <w:r>
          <w:rPr>
            <w:webHidden/>
          </w:rPr>
        </w:r>
        <w:r>
          <w:rPr>
            <w:webHidden/>
          </w:rPr>
          <w:fldChar w:fldCharType="separate"/>
        </w:r>
        <w:r>
          <w:rPr>
            <w:webHidden/>
          </w:rPr>
          <w:t>6</w:t>
        </w:r>
        <w:r>
          <w:rPr>
            <w:webHidden/>
          </w:rPr>
          <w:fldChar w:fldCharType="end"/>
        </w:r>
      </w:hyperlink>
    </w:p>
    <w:p w14:paraId="7B121385" w14:textId="77777777" w:rsidR="004C7159" w:rsidRDefault="004C7159">
      <w:pPr>
        <w:pStyle w:val="TOC3"/>
        <w:rPr>
          <w:rFonts w:asciiTheme="minorHAnsi" w:eastAsiaTheme="minorEastAsia" w:hAnsiTheme="minorHAnsi" w:cstheme="minorBidi"/>
          <w:sz w:val="22"/>
          <w:szCs w:val="22"/>
        </w:rPr>
      </w:pPr>
      <w:hyperlink w:anchor="_Toc411604801" w:history="1">
        <w:r w:rsidRPr="00D51C99">
          <w:rPr>
            <w:rStyle w:val="Hyperlink"/>
          </w:rPr>
          <w:t>Federal Register Announcement</w:t>
        </w:r>
        <w:r>
          <w:rPr>
            <w:webHidden/>
          </w:rPr>
          <w:tab/>
        </w:r>
        <w:r>
          <w:rPr>
            <w:webHidden/>
          </w:rPr>
          <w:fldChar w:fldCharType="begin"/>
        </w:r>
        <w:r>
          <w:rPr>
            <w:webHidden/>
          </w:rPr>
          <w:instrText xml:space="preserve"> PAGEREF _Toc411604801 \h </w:instrText>
        </w:r>
        <w:r>
          <w:rPr>
            <w:webHidden/>
          </w:rPr>
        </w:r>
        <w:r>
          <w:rPr>
            <w:webHidden/>
          </w:rPr>
          <w:fldChar w:fldCharType="separate"/>
        </w:r>
        <w:r>
          <w:rPr>
            <w:webHidden/>
          </w:rPr>
          <w:t>6</w:t>
        </w:r>
        <w:r>
          <w:rPr>
            <w:webHidden/>
          </w:rPr>
          <w:fldChar w:fldCharType="end"/>
        </w:r>
      </w:hyperlink>
    </w:p>
    <w:p w14:paraId="7F83DA89" w14:textId="77777777" w:rsidR="004C7159" w:rsidRDefault="004C7159">
      <w:pPr>
        <w:pStyle w:val="TOC3"/>
        <w:rPr>
          <w:rFonts w:asciiTheme="minorHAnsi" w:eastAsiaTheme="minorEastAsia" w:hAnsiTheme="minorHAnsi" w:cstheme="minorBidi"/>
          <w:sz w:val="22"/>
          <w:szCs w:val="22"/>
        </w:rPr>
      </w:pPr>
      <w:hyperlink w:anchor="_Toc411604802" w:history="1">
        <w:r w:rsidRPr="00D51C99">
          <w:rPr>
            <w:rStyle w:val="Hyperlink"/>
          </w:rPr>
          <w:t>Consultations</w:t>
        </w:r>
        <w:r>
          <w:rPr>
            <w:webHidden/>
          </w:rPr>
          <w:tab/>
        </w:r>
        <w:r>
          <w:rPr>
            <w:webHidden/>
          </w:rPr>
          <w:fldChar w:fldCharType="begin"/>
        </w:r>
        <w:r>
          <w:rPr>
            <w:webHidden/>
          </w:rPr>
          <w:instrText xml:space="preserve"> PAGEREF _Toc411604802 \h </w:instrText>
        </w:r>
        <w:r>
          <w:rPr>
            <w:webHidden/>
          </w:rPr>
        </w:r>
        <w:r>
          <w:rPr>
            <w:webHidden/>
          </w:rPr>
          <w:fldChar w:fldCharType="separate"/>
        </w:r>
        <w:r>
          <w:rPr>
            <w:webHidden/>
          </w:rPr>
          <w:t>6</w:t>
        </w:r>
        <w:r>
          <w:rPr>
            <w:webHidden/>
          </w:rPr>
          <w:fldChar w:fldCharType="end"/>
        </w:r>
      </w:hyperlink>
    </w:p>
    <w:p w14:paraId="0063B854" w14:textId="77777777" w:rsidR="004C7159" w:rsidRDefault="004C7159">
      <w:pPr>
        <w:pStyle w:val="TOC2"/>
        <w:tabs>
          <w:tab w:val="left" w:pos="1350"/>
        </w:tabs>
        <w:rPr>
          <w:rFonts w:asciiTheme="minorHAnsi" w:eastAsiaTheme="minorEastAsia" w:hAnsiTheme="minorHAnsi" w:cstheme="minorBidi"/>
          <w:sz w:val="22"/>
          <w:szCs w:val="22"/>
        </w:rPr>
      </w:pPr>
      <w:hyperlink w:anchor="_Toc411604803" w:history="1">
        <w:r w:rsidRPr="00D51C99">
          <w:rPr>
            <w:rStyle w:val="Hyperlink"/>
          </w:rPr>
          <w:t>A.9</w:t>
        </w:r>
        <w:r>
          <w:rPr>
            <w:rFonts w:asciiTheme="minorHAnsi" w:eastAsiaTheme="minorEastAsia" w:hAnsiTheme="minorHAnsi" w:cstheme="minorBidi"/>
            <w:sz w:val="22"/>
            <w:szCs w:val="22"/>
          </w:rPr>
          <w:tab/>
        </w:r>
        <w:r w:rsidRPr="00D51C99">
          <w:rPr>
            <w:rStyle w:val="Hyperlink"/>
          </w:rPr>
          <w:t>Explanation of Any Payment or Gift to Respondents</w:t>
        </w:r>
        <w:r>
          <w:rPr>
            <w:webHidden/>
          </w:rPr>
          <w:tab/>
        </w:r>
        <w:r>
          <w:rPr>
            <w:webHidden/>
          </w:rPr>
          <w:fldChar w:fldCharType="begin"/>
        </w:r>
        <w:r>
          <w:rPr>
            <w:webHidden/>
          </w:rPr>
          <w:instrText xml:space="preserve"> PAGEREF _Toc411604803 \h </w:instrText>
        </w:r>
        <w:r>
          <w:rPr>
            <w:webHidden/>
          </w:rPr>
        </w:r>
        <w:r>
          <w:rPr>
            <w:webHidden/>
          </w:rPr>
          <w:fldChar w:fldCharType="separate"/>
        </w:r>
        <w:r>
          <w:rPr>
            <w:webHidden/>
          </w:rPr>
          <w:t>7</w:t>
        </w:r>
        <w:r>
          <w:rPr>
            <w:webHidden/>
          </w:rPr>
          <w:fldChar w:fldCharType="end"/>
        </w:r>
      </w:hyperlink>
    </w:p>
    <w:p w14:paraId="0CA31A0D" w14:textId="77777777" w:rsidR="004C7159" w:rsidRDefault="004C7159">
      <w:pPr>
        <w:pStyle w:val="TOC2"/>
        <w:tabs>
          <w:tab w:val="left" w:pos="2340"/>
        </w:tabs>
        <w:rPr>
          <w:rFonts w:asciiTheme="minorHAnsi" w:eastAsiaTheme="minorEastAsia" w:hAnsiTheme="minorHAnsi" w:cstheme="minorBidi"/>
          <w:sz w:val="22"/>
          <w:szCs w:val="22"/>
        </w:rPr>
      </w:pPr>
      <w:hyperlink w:anchor="_Toc411604804" w:history="1">
        <w:r w:rsidRPr="00D51C99">
          <w:rPr>
            <w:rStyle w:val="Hyperlink"/>
          </w:rPr>
          <w:t>A.10</w:t>
        </w:r>
        <w:r>
          <w:rPr>
            <w:rFonts w:asciiTheme="minorHAnsi" w:eastAsiaTheme="minorEastAsia" w:hAnsiTheme="minorHAnsi" w:cstheme="minorBidi"/>
            <w:sz w:val="22"/>
            <w:szCs w:val="22"/>
          </w:rPr>
          <w:tab/>
        </w:r>
        <w:r w:rsidRPr="00D51C99">
          <w:rPr>
            <w:rStyle w:val="Hyperlink"/>
          </w:rPr>
          <w:t>Assurance of Confidentiality Provided to Respondents</w:t>
        </w:r>
        <w:r>
          <w:rPr>
            <w:webHidden/>
          </w:rPr>
          <w:tab/>
        </w:r>
        <w:r>
          <w:rPr>
            <w:webHidden/>
          </w:rPr>
          <w:fldChar w:fldCharType="begin"/>
        </w:r>
        <w:r>
          <w:rPr>
            <w:webHidden/>
          </w:rPr>
          <w:instrText xml:space="preserve"> PAGEREF _Toc411604804 \h </w:instrText>
        </w:r>
        <w:r>
          <w:rPr>
            <w:webHidden/>
          </w:rPr>
        </w:r>
        <w:r>
          <w:rPr>
            <w:webHidden/>
          </w:rPr>
          <w:fldChar w:fldCharType="separate"/>
        </w:r>
        <w:r>
          <w:rPr>
            <w:webHidden/>
          </w:rPr>
          <w:t>8</w:t>
        </w:r>
        <w:r>
          <w:rPr>
            <w:webHidden/>
          </w:rPr>
          <w:fldChar w:fldCharType="end"/>
        </w:r>
      </w:hyperlink>
    </w:p>
    <w:p w14:paraId="682B2CA7" w14:textId="77777777" w:rsidR="004C7159" w:rsidRDefault="004C7159">
      <w:pPr>
        <w:pStyle w:val="TOC3"/>
        <w:rPr>
          <w:rFonts w:asciiTheme="minorHAnsi" w:eastAsiaTheme="minorEastAsia" w:hAnsiTheme="minorHAnsi" w:cstheme="minorBidi"/>
          <w:sz w:val="22"/>
          <w:szCs w:val="22"/>
        </w:rPr>
      </w:pPr>
      <w:hyperlink w:anchor="_Toc411604805" w:history="1">
        <w:r w:rsidRPr="00D51C99">
          <w:rPr>
            <w:rStyle w:val="Hyperlink"/>
          </w:rPr>
          <w:t>A.10.1 Privacy Impact Assessment Information</w:t>
        </w:r>
        <w:r>
          <w:rPr>
            <w:webHidden/>
          </w:rPr>
          <w:tab/>
        </w:r>
        <w:r>
          <w:rPr>
            <w:webHidden/>
          </w:rPr>
          <w:fldChar w:fldCharType="begin"/>
        </w:r>
        <w:r>
          <w:rPr>
            <w:webHidden/>
          </w:rPr>
          <w:instrText xml:space="preserve"> PAGEREF _Toc411604805 \h </w:instrText>
        </w:r>
        <w:r>
          <w:rPr>
            <w:webHidden/>
          </w:rPr>
        </w:r>
        <w:r>
          <w:rPr>
            <w:webHidden/>
          </w:rPr>
          <w:fldChar w:fldCharType="separate"/>
        </w:r>
        <w:r>
          <w:rPr>
            <w:webHidden/>
          </w:rPr>
          <w:t>8</w:t>
        </w:r>
        <w:r>
          <w:rPr>
            <w:webHidden/>
          </w:rPr>
          <w:fldChar w:fldCharType="end"/>
        </w:r>
      </w:hyperlink>
    </w:p>
    <w:p w14:paraId="5B5CF945" w14:textId="77777777" w:rsidR="004C7159" w:rsidRDefault="004C7159">
      <w:pPr>
        <w:pStyle w:val="TOC2"/>
        <w:tabs>
          <w:tab w:val="left" w:pos="2340"/>
        </w:tabs>
        <w:rPr>
          <w:rFonts w:asciiTheme="minorHAnsi" w:eastAsiaTheme="minorEastAsia" w:hAnsiTheme="minorHAnsi" w:cstheme="minorBidi"/>
          <w:sz w:val="22"/>
          <w:szCs w:val="22"/>
        </w:rPr>
      </w:pPr>
      <w:hyperlink w:anchor="_Toc411604806" w:history="1">
        <w:r w:rsidRPr="00D51C99">
          <w:rPr>
            <w:rStyle w:val="Hyperlink"/>
          </w:rPr>
          <w:t>A.11</w:t>
        </w:r>
        <w:r>
          <w:rPr>
            <w:rFonts w:asciiTheme="minorHAnsi" w:eastAsiaTheme="minorEastAsia" w:hAnsiTheme="minorHAnsi" w:cstheme="minorBidi"/>
            <w:sz w:val="22"/>
            <w:szCs w:val="22"/>
          </w:rPr>
          <w:tab/>
        </w:r>
        <w:r w:rsidRPr="00D51C99">
          <w:rPr>
            <w:rStyle w:val="Hyperlink"/>
          </w:rPr>
          <w:t>Justification for Sensitive Questions</w:t>
        </w:r>
        <w:r>
          <w:rPr>
            <w:webHidden/>
          </w:rPr>
          <w:tab/>
        </w:r>
        <w:r>
          <w:rPr>
            <w:webHidden/>
          </w:rPr>
          <w:fldChar w:fldCharType="begin"/>
        </w:r>
        <w:r>
          <w:rPr>
            <w:webHidden/>
          </w:rPr>
          <w:instrText xml:space="preserve"> PAGEREF _Toc411604806 \h </w:instrText>
        </w:r>
        <w:r>
          <w:rPr>
            <w:webHidden/>
          </w:rPr>
        </w:r>
        <w:r>
          <w:rPr>
            <w:webHidden/>
          </w:rPr>
          <w:fldChar w:fldCharType="separate"/>
        </w:r>
        <w:r>
          <w:rPr>
            <w:webHidden/>
          </w:rPr>
          <w:t>10</w:t>
        </w:r>
        <w:r>
          <w:rPr>
            <w:webHidden/>
          </w:rPr>
          <w:fldChar w:fldCharType="end"/>
        </w:r>
      </w:hyperlink>
    </w:p>
    <w:p w14:paraId="18D3AB3A" w14:textId="77777777" w:rsidR="004C7159" w:rsidRDefault="004C7159">
      <w:pPr>
        <w:pStyle w:val="TOC2"/>
        <w:tabs>
          <w:tab w:val="left" w:pos="2340"/>
        </w:tabs>
        <w:rPr>
          <w:rFonts w:asciiTheme="minorHAnsi" w:eastAsiaTheme="minorEastAsia" w:hAnsiTheme="minorHAnsi" w:cstheme="minorBidi"/>
          <w:sz w:val="22"/>
          <w:szCs w:val="22"/>
        </w:rPr>
      </w:pPr>
      <w:hyperlink w:anchor="_Toc411604807" w:history="1">
        <w:r w:rsidRPr="00D51C99">
          <w:rPr>
            <w:rStyle w:val="Hyperlink"/>
          </w:rPr>
          <w:t>A.12</w:t>
        </w:r>
        <w:r>
          <w:rPr>
            <w:rFonts w:asciiTheme="minorHAnsi" w:eastAsiaTheme="minorEastAsia" w:hAnsiTheme="minorHAnsi" w:cstheme="minorBidi"/>
            <w:sz w:val="22"/>
            <w:szCs w:val="22"/>
          </w:rPr>
          <w:tab/>
        </w:r>
        <w:r w:rsidRPr="00D51C99">
          <w:rPr>
            <w:rStyle w:val="Hyperlink"/>
          </w:rPr>
          <w:t>Estimates of Burden Hours and Costs</w:t>
        </w:r>
        <w:r>
          <w:rPr>
            <w:webHidden/>
          </w:rPr>
          <w:tab/>
        </w:r>
        <w:r>
          <w:rPr>
            <w:webHidden/>
          </w:rPr>
          <w:fldChar w:fldCharType="begin"/>
        </w:r>
        <w:r>
          <w:rPr>
            <w:webHidden/>
          </w:rPr>
          <w:instrText xml:space="preserve"> PAGEREF _Toc411604807 \h </w:instrText>
        </w:r>
        <w:r>
          <w:rPr>
            <w:webHidden/>
          </w:rPr>
        </w:r>
        <w:r>
          <w:rPr>
            <w:webHidden/>
          </w:rPr>
          <w:fldChar w:fldCharType="separate"/>
        </w:r>
        <w:r>
          <w:rPr>
            <w:webHidden/>
          </w:rPr>
          <w:t>11</w:t>
        </w:r>
        <w:r>
          <w:rPr>
            <w:webHidden/>
          </w:rPr>
          <w:fldChar w:fldCharType="end"/>
        </w:r>
      </w:hyperlink>
    </w:p>
    <w:p w14:paraId="0B5C9DC6" w14:textId="77777777" w:rsidR="004C7159" w:rsidRDefault="004C7159">
      <w:pPr>
        <w:pStyle w:val="TOC3"/>
        <w:rPr>
          <w:rFonts w:asciiTheme="minorHAnsi" w:eastAsiaTheme="minorEastAsia" w:hAnsiTheme="minorHAnsi" w:cstheme="minorBidi"/>
          <w:sz w:val="22"/>
          <w:szCs w:val="22"/>
        </w:rPr>
      </w:pPr>
      <w:hyperlink w:anchor="_Toc411604808" w:history="1">
        <w:r w:rsidRPr="00D51C99">
          <w:rPr>
            <w:rStyle w:val="Hyperlink"/>
          </w:rPr>
          <w:t>A.12-1 Estimated Annualized Burden Hours</w:t>
        </w:r>
        <w:r>
          <w:rPr>
            <w:webHidden/>
          </w:rPr>
          <w:tab/>
        </w:r>
        <w:r>
          <w:rPr>
            <w:webHidden/>
          </w:rPr>
          <w:fldChar w:fldCharType="begin"/>
        </w:r>
        <w:r>
          <w:rPr>
            <w:webHidden/>
          </w:rPr>
          <w:instrText xml:space="preserve"> PAGEREF _Toc411604808 \h </w:instrText>
        </w:r>
        <w:r>
          <w:rPr>
            <w:webHidden/>
          </w:rPr>
        </w:r>
        <w:r>
          <w:rPr>
            <w:webHidden/>
          </w:rPr>
          <w:fldChar w:fldCharType="separate"/>
        </w:r>
        <w:r>
          <w:rPr>
            <w:webHidden/>
          </w:rPr>
          <w:t>12</w:t>
        </w:r>
        <w:r>
          <w:rPr>
            <w:webHidden/>
          </w:rPr>
          <w:fldChar w:fldCharType="end"/>
        </w:r>
      </w:hyperlink>
    </w:p>
    <w:p w14:paraId="7B1D7644" w14:textId="77777777" w:rsidR="004C7159" w:rsidRDefault="004C7159">
      <w:pPr>
        <w:pStyle w:val="TOC3"/>
        <w:rPr>
          <w:rFonts w:asciiTheme="minorHAnsi" w:eastAsiaTheme="minorEastAsia" w:hAnsiTheme="minorHAnsi" w:cstheme="minorBidi"/>
          <w:sz w:val="22"/>
          <w:szCs w:val="22"/>
        </w:rPr>
      </w:pPr>
      <w:hyperlink w:anchor="_Toc411604809" w:history="1">
        <w:r w:rsidRPr="00D51C99">
          <w:rPr>
            <w:rStyle w:val="Hyperlink"/>
          </w:rPr>
          <w:t>A.12-2 Estimated Annualized Cost to Respondents</w:t>
        </w:r>
        <w:r>
          <w:rPr>
            <w:webHidden/>
          </w:rPr>
          <w:tab/>
        </w:r>
        <w:r>
          <w:rPr>
            <w:webHidden/>
          </w:rPr>
          <w:fldChar w:fldCharType="begin"/>
        </w:r>
        <w:r>
          <w:rPr>
            <w:webHidden/>
          </w:rPr>
          <w:instrText xml:space="preserve"> PAGEREF _Toc411604809 \h </w:instrText>
        </w:r>
        <w:r>
          <w:rPr>
            <w:webHidden/>
          </w:rPr>
        </w:r>
        <w:r>
          <w:rPr>
            <w:webHidden/>
          </w:rPr>
          <w:fldChar w:fldCharType="separate"/>
        </w:r>
        <w:r>
          <w:rPr>
            <w:webHidden/>
          </w:rPr>
          <w:t>12</w:t>
        </w:r>
        <w:r>
          <w:rPr>
            <w:webHidden/>
          </w:rPr>
          <w:fldChar w:fldCharType="end"/>
        </w:r>
      </w:hyperlink>
    </w:p>
    <w:p w14:paraId="344EF787" w14:textId="77777777" w:rsidR="004C7159" w:rsidRDefault="004C7159">
      <w:pPr>
        <w:pStyle w:val="TOC2"/>
        <w:tabs>
          <w:tab w:val="left" w:pos="2340"/>
        </w:tabs>
        <w:rPr>
          <w:rFonts w:asciiTheme="minorHAnsi" w:eastAsiaTheme="minorEastAsia" w:hAnsiTheme="minorHAnsi" w:cstheme="minorBidi"/>
          <w:sz w:val="22"/>
          <w:szCs w:val="22"/>
        </w:rPr>
      </w:pPr>
      <w:hyperlink w:anchor="_Toc411604810" w:history="1">
        <w:r w:rsidRPr="00D51C99">
          <w:rPr>
            <w:rStyle w:val="Hyperlink"/>
          </w:rPr>
          <w:t>A.13</w:t>
        </w:r>
        <w:r>
          <w:rPr>
            <w:rFonts w:asciiTheme="minorHAnsi" w:eastAsiaTheme="minorEastAsia" w:hAnsiTheme="minorHAnsi" w:cstheme="minorBidi"/>
            <w:sz w:val="22"/>
            <w:szCs w:val="22"/>
          </w:rPr>
          <w:tab/>
        </w:r>
        <w:r w:rsidRPr="00D51C99">
          <w:rPr>
            <w:rStyle w:val="Hyperlink"/>
          </w:rPr>
          <w:t>Estimates of Other Total Annual Cost Burden to Respondents and Record Keepers</w:t>
        </w:r>
        <w:r>
          <w:rPr>
            <w:webHidden/>
          </w:rPr>
          <w:tab/>
        </w:r>
        <w:r>
          <w:rPr>
            <w:webHidden/>
          </w:rPr>
          <w:fldChar w:fldCharType="begin"/>
        </w:r>
        <w:r>
          <w:rPr>
            <w:webHidden/>
          </w:rPr>
          <w:instrText xml:space="preserve"> PAGEREF _Toc411604810 \h </w:instrText>
        </w:r>
        <w:r>
          <w:rPr>
            <w:webHidden/>
          </w:rPr>
        </w:r>
        <w:r>
          <w:rPr>
            <w:webHidden/>
          </w:rPr>
          <w:fldChar w:fldCharType="separate"/>
        </w:r>
        <w:r>
          <w:rPr>
            <w:webHidden/>
          </w:rPr>
          <w:t>12</w:t>
        </w:r>
        <w:r>
          <w:rPr>
            <w:webHidden/>
          </w:rPr>
          <w:fldChar w:fldCharType="end"/>
        </w:r>
      </w:hyperlink>
    </w:p>
    <w:p w14:paraId="547AD460" w14:textId="77777777" w:rsidR="004C7159" w:rsidRDefault="004C7159">
      <w:pPr>
        <w:pStyle w:val="TOC2"/>
        <w:tabs>
          <w:tab w:val="left" w:pos="2340"/>
        </w:tabs>
        <w:rPr>
          <w:rFonts w:asciiTheme="minorHAnsi" w:eastAsiaTheme="minorEastAsia" w:hAnsiTheme="minorHAnsi" w:cstheme="minorBidi"/>
          <w:sz w:val="22"/>
          <w:szCs w:val="22"/>
        </w:rPr>
      </w:pPr>
      <w:hyperlink w:anchor="_Toc411604811" w:history="1">
        <w:r w:rsidRPr="00D51C99">
          <w:rPr>
            <w:rStyle w:val="Hyperlink"/>
          </w:rPr>
          <w:t>A.14</w:t>
        </w:r>
        <w:r>
          <w:rPr>
            <w:rFonts w:asciiTheme="minorHAnsi" w:eastAsiaTheme="minorEastAsia" w:hAnsiTheme="minorHAnsi" w:cstheme="minorBidi"/>
            <w:sz w:val="22"/>
            <w:szCs w:val="22"/>
          </w:rPr>
          <w:tab/>
        </w:r>
        <w:r w:rsidRPr="00D51C99">
          <w:rPr>
            <w:rStyle w:val="Hyperlink"/>
          </w:rPr>
          <w:t>Annualized Cost to the Federal Government</w:t>
        </w:r>
        <w:r>
          <w:rPr>
            <w:webHidden/>
          </w:rPr>
          <w:tab/>
        </w:r>
        <w:r>
          <w:rPr>
            <w:webHidden/>
          </w:rPr>
          <w:fldChar w:fldCharType="begin"/>
        </w:r>
        <w:r>
          <w:rPr>
            <w:webHidden/>
          </w:rPr>
          <w:instrText xml:space="preserve"> PAGEREF _Toc411604811 \h </w:instrText>
        </w:r>
        <w:r>
          <w:rPr>
            <w:webHidden/>
          </w:rPr>
        </w:r>
        <w:r>
          <w:rPr>
            <w:webHidden/>
          </w:rPr>
          <w:fldChar w:fldCharType="separate"/>
        </w:r>
        <w:r>
          <w:rPr>
            <w:webHidden/>
          </w:rPr>
          <w:t>12</w:t>
        </w:r>
        <w:r>
          <w:rPr>
            <w:webHidden/>
          </w:rPr>
          <w:fldChar w:fldCharType="end"/>
        </w:r>
      </w:hyperlink>
    </w:p>
    <w:p w14:paraId="07325B05" w14:textId="77777777" w:rsidR="004C7159" w:rsidRDefault="004C7159">
      <w:pPr>
        <w:pStyle w:val="TOC3"/>
        <w:rPr>
          <w:rFonts w:asciiTheme="minorHAnsi" w:eastAsiaTheme="minorEastAsia" w:hAnsiTheme="minorHAnsi" w:cstheme="minorBidi"/>
          <w:sz w:val="22"/>
          <w:szCs w:val="22"/>
        </w:rPr>
      </w:pPr>
      <w:hyperlink w:anchor="_Toc411604812" w:history="1">
        <w:r w:rsidRPr="00D51C99">
          <w:rPr>
            <w:rStyle w:val="Hyperlink"/>
          </w:rPr>
          <w:t>A.14-1 Annualized Government Costs</w:t>
        </w:r>
        <w:r>
          <w:rPr>
            <w:webHidden/>
          </w:rPr>
          <w:tab/>
        </w:r>
        <w:r>
          <w:rPr>
            <w:webHidden/>
          </w:rPr>
          <w:fldChar w:fldCharType="begin"/>
        </w:r>
        <w:r>
          <w:rPr>
            <w:webHidden/>
          </w:rPr>
          <w:instrText xml:space="preserve"> PAGEREF _Toc411604812 \h </w:instrText>
        </w:r>
        <w:r>
          <w:rPr>
            <w:webHidden/>
          </w:rPr>
        </w:r>
        <w:r>
          <w:rPr>
            <w:webHidden/>
          </w:rPr>
          <w:fldChar w:fldCharType="separate"/>
        </w:r>
        <w:r>
          <w:rPr>
            <w:webHidden/>
          </w:rPr>
          <w:t>13</w:t>
        </w:r>
        <w:r>
          <w:rPr>
            <w:webHidden/>
          </w:rPr>
          <w:fldChar w:fldCharType="end"/>
        </w:r>
      </w:hyperlink>
    </w:p>
    <w:p w14:paraId="31DA70C3" w14:textId="77777777" w:rsidR="004C7159" w:rsidRDefault="004C7159">
      <w:pPr>
        <w:pStyle w:val="TOC2"/>
        <w:tabs>
          <w:tab w:val="left" w:pos="2340"/>
        </w:tabs>
        <w:rPr>
          <w:rFonts w:asciiTheme="minorHAnsi" w:eastAsiaTheme="minorEastAsia" w:hAnsiTheme="minorHAnsi" w:cstheme="minorBidi"/>
          <w:sz w:val="22"/>
          <w:szCs w:val="22"/>
        </w:rPr>
      </w:pPr>
      <w:hyperlink w:anchor="_Toc411604813" w:history="1">
        <w:r w:rsidRPr="00D51C99">
          <w:rPr>
            <w:rStyle w:val="Hyperlink"/>
          </w:rPr>
          <w:t>A.15</w:t>
        </w:r>
        <w:r>
          <w:rPr>
            <w:rFonts w:asciiTheme="minorHAnsi" w:eastAsiaTheme="minorEastAsia" w:hAnsiTheme="minorHAnsi" w:cstheme="minorBidi"/>
            <w:sz w:val="22"/>
            <w:szCs w:val="22"/>
          </w:rPr>
          <w:tab/>
        </w:r>
        <w:r w:rsidRPr="00D51C99">
          <w:rPr>
            <w:rStyle w:val="Hyperlink"/>
          </w:rPr>
          <w:t>Explanation for Program Changes or Adjustments</w:t>
        </w:r>
        <w:r>
          <w:rPr>
            <w:webHidden/>
          </w:rPr>
          <w:tab/>
        </w:r>
        <w:r>
          <w:rPr>
            <w:webHidden/>
          </w:rPr>
          <w:fldChar w:fldCharType="begin"/>
        </w:r>
        <w:r>
          <w:rPr>
            <w:webHidden/>
          </w:rPr>
          <w:instrText xml:space="preserve"> PAGEREF _Toc411604813 \h </w:instrText>
        </w:r>
        <w:r>
          <w:rPr>
            <w:webHidden/>
          </w:rPr>
        </w:r>
        <w:r>
          <w:rPr>
            <w:webHidden/>
          </w:rPr>
          <w:fldChar w:fldCharType="separate"/>
        </w:r>
        <w:r>
          <w:rPr>
            <w:webHidden/>
          </w:rPr>
          <w:t>14</w:t>
        </w:r>
        <w:r>
          <w:rPr>
            <w:webHidden/>
          </w:rPr>
          <w:fldChar w:fldCharType="end"/>
        </w:r>
      </w:hyperlink>
    </w:p>
    <w:p w14:paraId="2424A72F" w14:textId="77777777" w:rsidR="004C7159" w:rsidRDefault="004C7159">
      <w:pPr>
        <w:pStyle w:val="TOC2"/>
        <w:tabs>
          <w:tab w:val="left" w:pos="2340"/>
        </w:tabs>
        <w:rPr>
          <w:rFonts w:asciiTheme="minorHAnsi" w:eastAsiaTheme="minorEastAsia" w:hAnsiTheme="minorHAnsi" w:cstheme="minorBidi"/>
          <w:sz w:val="22"/>
          <w:szCs w:val="22"/>
        </w:rPr>
      </w:pPr>
      <w:hyperlink w:anchor="_Toc411604814" w:history="1">
        <w:r w:rsidRPr="00D51C99">
          <w:rPr>
            <w:rStyle w:val="Hyperlink"/>
          </w:rPr>
          <w:t>A.16</w:t>
        </w:r>
        <w:r>
          <w:rPr>
            <w:rFonts w:asciiTheme="minorHAnsi" w:eastAsiaTheme="minorEastAsia" w:hAnsiTheme="minorHAnsi" w:cstheme="minorBidi"/>
            <w:sz w:val="22"/>
            <w:szCs w:val="22"/>
          </w:rPr>
          <w:tab/>
        </w:r>
        <w:r w:rsidRPr="00D51C99">
          <w:rPr>
            <w:rStyle w:val="Hyperlink"/>
          </w:rPr>
          <w:t>Plans for Tabulation and Publication and Project Time Schedule</w:t>
        </w:r>
        <w:r>
          <w:rPr>
            <w:webHidden/>
          </w:rPr>
          <w:tab/>
        </w:r>
        <w:r>
          <w:rPr>
            <w:webHidden/>
          </w:rPr>
          <w:fldChar w:fldCharType="begin"/>
        </w:r>
        <w:r>
          <w:rPr>
            <w:webHidden/>
          </w:rPr>
          <w:instrText xml:space="preserve"> PAGEREF _Toc411604814 \h </w:instrText>
        </w:r>
        <w:r>
          <w:rPr>
            <w:webHidden/>
          </w:rPr>
        </w:r>
        <w:r>
          <w:rPr>
            <w:webHidden/>
          </w:rPr>
          <w:fldChar w:fldCharType="separate"/>
        </w:r>
        <w:r>
          <w:rPr>
            <w:webHidden/>
          </w:rPr>
          <w:t>14</w:t>
        </w:r>
        <w:r>
          <w:rPr>
            <w:webHidden/>
          </w:rPr>
          <w:fldChar w:fldCharType="end"/>
        </w:r>
      </w:hyperlink>
    </w:p>
    <w:p w14:paraId="2D2E6E59" w14:textId="77777777" w:rsidR="004C7159" w:rsidRDefault="004C7159">
      <w:pPr>
        <w:pStyle w:val="TOC3"/>
        <w:rPr>
          <w:rFonts w:asciiTheme="minorHAnsi" w:eastAsiaTheme="minorEastAsia" w:hAnsiTheme="minorHAnsi" w:cstheme="minorBidi"/>
          <w:sz w:val="22"/>
          <w:szCs w:val="22"/>
        </w:rPr>
      </w:pPr>
      <w:hyperlink w:anchor="_Toc411604815" w:history="1">
        <w:r w:rsidRPr="00D51C99">
          <w:rPr>
            <w:rStyle w:val="Hyperlink"/>
          </w:rPr>
          <w:t>Tabulation Plans</w:t>
        </w:r>
        <w:r>
          <w:rPr>
            <w:webHidden/>
          </w:rPr>
          <w:tab/>
        </w:r>
        <w:r>
          <w:rPr>
            <w:webHidden/>
          </w:rPr>
          <w:fldChar w:fldCharType="begin"/>
        </w:r>
        <w:r>
          <w:rPr>
            <w:webHidden/>
          </w:rPr>
          <w:instrText xml:space="preserve"> PAGEREF _Toc411604815 \h </w:instrText>
        </w:r>
        <w:r>
          <w:rPr>
            <w:webHidden/>
          </w:rPr>
        </w:r>
        <w:r>
          <w:rPr>
            <w:webHidden/>
          </w:rPr>
          <w:fldChar w:fldCharType="separate"/>
        </w:r>
        <w:r>
          <w:rPr>
            <w:webHidden/>
          </w:rPr>
          <w:t>14</w:t>
        </w:r>
        <w:r>
          <w:rPr>
            <w:webHidden/>
          </w:rPr>
          <w:fldChar w:fldCharType="end"/>
        </w:r>
      </w:hyperlink>
    </w:p>
    <w:p w14:paraId="694C0F9E" w14:textId="77777777" w:rsidR="004C7159" w:rsidRDefault="004C7159">
      <w:pPr>
        <w:pStyle w:val="TOC3"/>
        <w:rPr>
          <w:rFonts w:asciiTheme="minorHAnsi" w:eastAsiaTheme="minorEastAsia" w:hAnsiTheme="minorHAnsi" w:cstheme="minorBidi"/>
          <w:sz w:val="22"/>
          <w:szCs w:val="22"/>
        </w:rPr>
      </w:pPr>
      <w:hyperlink w:anchor="_Toc411604816" w:history="1">
        <w:r w:rsidRPr="00D51C99">
          <w:rPr>
            <w:rStyle w:val="Hyperlink"/>
          </w:rPr>
          <w:t>Study Limitations</w:t>
        </w:r>
        <w:r>
          <w:rPr>
            <w:webHidden/>
          </w:rPr>
          <w:tab/>
        </w:r>
        <w:r>
          <w:rPr>
            <w:webHidden/>
          </w:rPr>
          <w:fldChar w:fldCharType="begin"/>
        </w:r>
        <w:r>
          <w:rPr>
            <w:webHidden/>
          </w:rPr>
          <w:instrText xml:space="preserve"> PAGEREF _Toc411604816 \h </w:instrText>
        </w:r>
        <w:r>
          <w:rPr>
            <w:webHidden/>
          </w:rPr>
        </w:r>
        <w:r>
          <w:rPr>
            <w:webHidden/>
          </w:rPr>
          <w:fldChar w:fldCharType="separate"/>
        </w:r>
        <w:r>
          <w:rPr>
            <w:webHidden/>
          </w:rPr>
          <w:t>15</w:t>
        </w:r>
        <w:r>
          <w:rPr>
            <w:webHidden/>
          </w:rPr>
          <w:fldChar w:fldCharType="end"/>
        </w:r>
      </w:hyperlink>
    </w:p>
    <w:p w14:paraId="25FFFE96" w14:textId="77777777" w:rsidR="004C7159" w:rsidRDefault="004C7159">
      <w:pPr>
        <w:pStyle w:val="TOC3"/>
        <w:rPr>
          <w:rFonts w:asciiTheme="minorHAnsi" w:eastAsiaTheme="minorEastAsia" w:hAnsiTheme="minorHAnsi" w:cstheme="minorBidi"/>
          <w:sz w:val="22"/>
          <w:szCs w:val="22"/>
        </w:rPr>
      </w:pPr>
      <w:hyperlink w:anchor="_Toc411604817" w:history="1">
        <w:r w:rsidRPr="00D51C99">
          <w:rPr>
            <w:rStyle w:val="Hyperlink"/>
          </w:rPr>
          <w:t>Publication Plans</w:t>
        </w:r>
        <w:r>
          <w:rPr>
            <w:webHidden/>
          </w:rPr>
          <w:tab/>
        </w:r>
        <w:r>
          <w:rPr>
            <w:webHidden/>
          </w:rPr>
          <w:fldChar w:fldCharType="begin"/>
        </w:r>
        <w:r>
          <w:rPr>
            <w:webHidden/>
          </w:rPr>
          <w:instrText xml:space="preserve"> PAGEREF _Toc411604817 \h </w:instrText>
        </w:r>
        <w:r>
          <w:rPr>
            <w:webHidden/>
          </w:rPr>
        </w:r>
        <w:r>
          <w:rPr>
            <w:webHidden/>
          </w:rPr>
          <w:fldChar w:fldCharType="separate"/>
        </w:r>
        <w:r>
          <w:rPr>
            <w:webHidden/>
          </w:rPr>
          <w:t>15</w:t>
        </w:r>
        <w:r>
          <w:rPr>
            <w:webHidden/>
          </w:rPr>
          <w:fldChar w:fldCharType="end"/>
        </w:r>
      </w:hyperlink>
    </w:p>
    <w:p w14:paraId="68D68054" w14:textId="77777777" w:rsidR="004C7159" w:rsidRDefault="004C7159">
      <w:pPr>
        <w:pStyle w:val="TOC3"/>
        <w:rPr>
          <w:rFonts w:asciiTheme="minorHAnsi" w:eastAsiaTheme="minorEastAsia" w:hAnsiTheme="minorHAnsi" w:cstheme="minorBidi"/>
          <w:sz w:val="22"/>
          <w:szCs w:val="22"/>
        </w:rPr>
      </w:pPr>
      <w:hyperlink w:anchor="_Toc411604818" w:history="1">
        <w:r w:rsidRPr="00D51C99">
          <w:rPr>
            <w:rStyle w:val="Hyperlink"/>
          </w:rPr>
          <w:t>A.16-1 Project Time Schedule</w:t>
        </w:r>
        <w:r>
          <w:rPr>
            <w:webHidden/>
          </w:rPr>
          <w:tab/>
        </w:r>
        <w:r>
          <w:rPr>
            <w:webHidden/>
          </w:rPr>
          <w:fldChar w:fldCharType="begin"/>
        </w:r>
        <w:r>
          <w:rPr>
            <w:webHidden/>
          </w:rPr>
          <w:instrText xml:space="preserve"> PAGEREF _Toc411604818 \h </w:instrText>
        </w:r>
        <w:r>
          <w:rPr>
            <w:webHidden/>
          </w:rPr>
        </w:r>
        <w:r>
          <w:rPr>
            <w:webHidden/>
          </w:rPr>
          <w:fldChar w:fldCharType="separate"/>
        </w:r>
        <w:r>
          <w:rPr>
            <w:webHidden/>
          </w:rPr>
          <w:t>16</w:t>
        </w:r>
        <w:r>
          <w:rPr>
            <w:webHidden/>
          </w:rPr>
          <w:fldChar w:fldCharType="end"/>
        </w:r>
      </w:hyperlink>
    </w:p>
    <w:p w14:paraId="08060D6E" w14:textId="77777777" w:rsidR="004C7159" w:rsidRDefault="004C7159">
      <w:pPr>
        <w:pStyle w:val="TOC2"/>
        <w:tabs>
          <w:tab w:val="left" w:pos="2340"/>
        </w:tabs>
        <w:rPr>
          <w:rFonts w:asciiTheme="minorHAnsi" w:eastAsiaTheme="minorEastAsia" w:hAnsiTheme="minorHAnsi" w:cstheme="minorBidi"/>
          <w:sz w:val="22"/>
          <w:szCs w:val="22"/>
        </w:rPr>
      </w:pPr>
      <w:hyperlink w:anchor="_Toc411604819" w:history="1">
        <w:r w:rsidRPr="00D51C99">
          <w:rPr>
            <w:rStyle w:val="Hyperlink"/>
          </w:rPr>
          <w:t>A.17</w:t>
        </w:r>
        <w:r>
          <w:rPr>
            <w:rFonts w:asciiTheme="minorHAnsi" w:eastAsiaTheme="minorEastAsia" w:hAnsiTheme="minorHAnsi" w:cstheme="minorBidi"/>
            <w:sz w:val="22"/>
            <w:szCs w:val="22"/>
          </w:rPr>
          <w:tab/>
        </w:r>
        <w:r w:rsidRPr="00D51C99">
          <w:rPr>
            <w:rStyle w:val="Hyperlink"/>
          </w:rPr>
          <w:t>Reason(s) Display of OMB Expiration Date is Inappropriate</w:t>
        </w:r>
        <w:r>
          <w:rPr>
            <w:webHidden/>
          </w:rPr>
          <w:tab/>
        </w:r>
        <w:r>
          <w:rPr>
            <w:webHidden/>
          </w:rPr>
          <w:fldChar w:fldCharType="begin"/>
        </w:r>
        <w:r>
          <w:rPr>
            <w:webHidden/>
          </w:rPr>
          <w:instrText xml:space="preserve"> PAGEREF _Toc411604819 \h </w:instrText>
        </w:r>
        <w:r>
          <w:rPr>
            <w:webHidden/>
          </w:rPr>
        </w:r>
        <w:r>
          <w:rPr>
            <w:webHidden/>
          </w:rPr>
          <w:fldChar w:fldCharType="separate"/>
        </w:r>
        <w:r>
          <w:rPr>
            <w:webHidden/>
          </w:rPr>
          <w:t>16</w:t>
        </w:r>
        <w:r>
          <w:rPr>
            <w:webHidden/>
          </w:rPr>
          <w:fldChar w:fldCharType="end"/>
        </w:r>
      </w:hyperlink>
    </w:p>
    <w:p w14:paraId="6B3DF28D" w14:textId="77777777" w:rsidR="004C7159" w:rsidRDefault="004C7159">
      <w:pPr>
        <w:pStyle w:val="TOC2"/>
        <w:tabs>
          <w:tab w:val="left" w:pos="2340"/>
        </w:tabs>
        <w:rPr>
          <w:rFonts w:asciiTheme="minorHAnsi" w:eastAsiaTheme="minorEastAsia" w:hAnsiTheme="minorHAnsi" w:cstheme="minorBidi"/>
          <w:sz w:val="22"/>
          <w:szCs w:val="22"/>
        </w:rPr>
      </w:pPr>
      <w:hyperlink w:anchor="_Toc411604820" w:history="1">
        <w:r w:rsidRPr="00D51C99">
          <w:rPr>
            <w:rStyle w:val="Hyperlink"/>
          </w:rPr>
          <w:t>A.18</w:t>
        </w:r>
        <w:r>
          <w:rPr>
            <w:rFonts w:asciiTheme="minorHAnsi" w:eastAsiaTheme="minorEastAsia" w:hAnsiTheme="minorHAnsi" w:cstheme="minorBidi"/>
            <w:sz w:val="22"/>
            <w:szCs w:val="22"/>
          </w:rPr>
          <w:tab/>
        </w:r>
        <w:r w:rsidRPr="00D51C99">
          <w:rPr>
            <w:rStyle w:val="Hyperlink"/>
          </w:rPr>
          <w:t>Exceptions to Certification for Paperwork Reduction Act Submissions</w:t>
        </w:r>
        <w:r>
          <w:rPr>
            <w:webHidden/>
          </w:rPr>
          <w:tab/>
        </w:r>
        <w:r>
          <w:rPr>
            <w:webHidden/>
          </w:rPr>
          <w:fldChar w:fldCharType="begin"/>
        </w:r>
        <w:r>
          <w:rPr>
            <w:webHidden/>
          </w:rPr>
          <w:instrText xml:space="preserve"> PAGEREF _Toc411604820 \h </w:instrText>
        </w:r>
        <w:r>
          <w:rPr>
            <w:webHidden/>
          </w:rPr>
        </w:r>
        <w:r>
          <w:rPr>
            <w:webHidden/>
          </w:rPr>
          <w:fldChar w:fldCharType="separate"/>
        </w:r>
        <w:r>
          <w:rPr>
            <w:webHidden/>
          </w:rPr>
          <w:t>16</w:t>
        </w:r>
        <w:r>
          <w:rPr>
            <w:webHidden/>
          </w:rPr>
          <w:fldChar w:fldCharType="end"/>
        </w:r>
      </w:hyperlink>
    </w:p>
    <w:p w14:paraId="471CF0E9" w14:textId="77777777" w:rsidR="00F72F56" w:rsidRDefault="005D0094" w:rsidP="00A935D1">
      <w:pPr>
        <w:rPr>
          <w:noProof/>
        </w:rPr>
      </w:pPr>
      <w:r>
        <w:rPr>
          <w:noProof/>
        </w:rPr>
        <w:fldChar w:fldCharType="end"/>
      </w:r>
      <w:bookmarkStart w:id="1" w:name="_Toc79980788"/>
      <w:bookmarkStart w:id="2" w:name="_GoBack"/>
      <w:bookmarkEnd w:id="2"/>
    </w:p>
    <w:p w14:paraId="3C52FE99" w14:textId="77777777" w:rsidR="00A935D1" w:rsidRPr="00A935D1" w:rsidRDefault="00A935D1" w:rsidP="00A935D1"/>
    <w:p w14:paraId="56FE1942" w14:textId="428EF0E7" w:rsidR="00F72F56" w:rsidRDefault="00F72F56" w:rsidP="00F72F56">
      <w:pPr>
        <w:pStyle w:val="TOC0"/>
        <w:rPr>
          <w:noProof/>
        </w:rPr>
      </w:pPr>
      <w:r>
        <w:rPr>
          <w:noProof/>
        </w:rPr>
        <w:t>Exhibits</w:t>
      </w:r>
    </w:p>
    <w:p w14:paraId="6D1BE578" w14:textId="77777777"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14:paraId="623F2D65" w14:textId="6AA2B9F7" w:rsidR="0026399D" w:rsidRDefault="005D0094">
      <w:pPr>
        <w:pStyle w:val="TOC5"/>
        <w:rPr>
          <w:rFonts w:asciiTheme="minorHAnsi" w:eastAsiaTheme="minorEastAsia" w:hAnsiTheme="minorHAnsi" w:cstheme="minorBidi"/>
          <w:sz w:val="22"/>
          <w:szCs w:val="22"/>
        </w:rPr>
      </w:pPr>
      <w:r>
        <w:fldChar w:fldCharType="begin"/>
      </w:r>
      <w:r w:rsidR="00F72F56">
        <w:instrText xml:space="preserve"> TOC \t "Figure Title,5" </w:instrText>
      </w:r>
      <w:r>
        <w:fldChar w:fldCharType="separate"/>
      </w:r>
      <w:r w:rsidR="0026399D">
        <w:t>Exhibit 1. Key Evaluation Questions</w:t>
      </w:r>
      <w:r w:rsidR="0026399D">
        <w:tab/>
      </w:r>
      <w:r w:rsidR="0026399D">
        <w:fldChar w:fldCharType="begin"/>
      </w:r>
      <w:r w:rsidR="0026399D">
        <w:instrText xml:space="preserve"> PAGEREF _Toc400113311 \h </w:instrText>
      </w:r>
      <w:r w:rsidR="0026399D">
        <w:fldChar w:fldCharType="separate"/>
      </w:r>
      <w:r w:rsidR="00E530D2">
        <w:t>3</w:t>
      </w:r>
      <w:r w:rsidR="0026399D">
        <w:fldChar w:fldCharType="end"/>
      </w:r>
    </w:p>
    <w:p w14:paraId="2CBD5ED3" w14:textId="7FC5182F" w:rsidR="0026399D" w:rsidRDefault="0026399D">
      <w:pPr>
        <w:pStyle w:val="TOC5"/>
        <w:rPr>
          <w:rFonts w:asciiTheme="minorHAnsi" w:eastAsiaTheme="minorEastAsia" w:hAnsiTheme="minorHAnsi" w:cstheme="minorBidi"/>
          <w:sz w:val="22"/>
          <w:szCs w:val="22"/>
        </w:rPr>
      </w:pPr>
      <w:r>
        <w:t>Exhibit 2. Evaluation Consultants</w:t>
      </w:r>
      <w:r>
        <w:tab/>
      </w:r>
      <w:r>
        <w:fldChar w:fldCharType="begin"/>
      </w:r>
      <w:r>
        <w:instrText xml:space="preserve"> PAGEREF _Toc400113312 \h </w:instrText>
      </w:r>
      <w:r>
        <w:fldChar w:fldCharType="separate"/>
      </w:r>
      <w:r w:rsidR="00E530D2">
        <w:t>7</w:t>
      </w:r>
      <w:r>
        <w:fldChar w:fldCharType="end"/>
      </w:r>
    </w:p>
    <w:p w14:paraId="77EB840A" w14:textId="77777777" w:rsidR="00F72F56" w:rsidRDefault="005D0094" w:rsidP="00F72F56">
      <w:pPr>
        <w:rPr>
          <w:noProof/>
        </w:rPr>
      </w:pPr>
      <w:r>
        <w:rPr>
          <w:noProof/>
        </w:rPr>
        <w:fldChar w:fldCharType="end"/>
      </w:r>
    </w:p>
    <w:p w14:paraId="21356719" w14:textId="77777777" w:rsidR="00451757" w:rsidRPr="00CB0350" w:rsidRDefault="00451757" w:rsidP="00451757">
      <w:pPr>
        <w:pStyle w:val="TOC0"/>
      </w:pPr>
      <w:r w:rsidRPr="00CB0350">
        <w:t xml:space="preserve">LIST OF </w:t>
      </w:r>
      <w:r w:rsidR="0036764B">
        <w:t>APPENDIces</w:t>
      </w:r>
    </w:p>
    <w:p w14:paraId="18C1007A" w14:textId="77777777" w:rsidR="002531ED" w:rsidRDefault="002531ED" w:rsidP="009805BD">
      <w:pPr>
        <w:pStyle w:val="TOC4"/>
        <w:spacing w:before="0"/>
        <w:ind w:left="1440" w:hanging="1440"/>
      </w:pPr>
      <w:r>
        <w:t>Appendix 1</w:t>
      </w:r>
      <w:r w:rsidR="00AF14FC" w:rsidRPr="00AF14FC">
        <w:t>. Authorizing Legislation: PHSA</w:t>
      </w:r>
    </w:p>
    <w:p w14:paraId="3F3C0C5B" w14:textId="77777777" w:rsidR="00755E07" w:rsidRDefault="0036764B" w:rsidP="009805BD">
      <w:pPr>
        <w:pStyle w:val="TOC4"/>
        <w:spacing w:before="0"/>
        <w:ind w:left="1440" w:hanging="1440"/>
      </w:pPr>
      <w:r>
        <w:t>Appendix</w:t>
      </w:r>
      <w:r w:rsidR="007F0B28">
        <w:t xml:space="preserve"> </w:t>
      </w:r>
      <w:r w:rsidR="006629EA">
        <w:t>2</w:t>
      </w:r>
      <w:r w:rsidR="00755E07">
        <w:t>a</w:t>
      </w:r>
      <w:r w:rsidR="007F0B28">
        <w:t xml:space="preserve">. </w:t>
      </w:r>
      <w:r w:rsidR="00DC6FE1" w:rsidRPr="00B1683C">
        <w:rPr>
          <w:i/>
        </w:rPr>
        <w:t>Federal Register</w:t>
      </w:r>
      <w:r w:rsidR="00DC6FE1">
        <w:t xml:space="preserve"> Notice</w:t>
      </w:r>
    </w:p>
    <w:p w14:paraId="7DB2D632" w14:textId="77777777" w:rsidR="007F0B28" w:rsidRPr="00C56EAB" w:rsidRDefault="006629EA" w:rsidP="009805BD">
      <w:pPr>
        <w:pStyle w:val="TOC4"/>
        <w:spacing w:before="0"/>
        <w:ind w:left="1440" w:hanging="1440"/>
      </w:pPr>
      <w:r>
        <w:t>Appendix 2</w:t>
      </w:r>
      <w:r w:rsidR="009F6B39">
        <w:t xml:space="preserve">b. </w:t>
      </w:r>
      <w:r w:rsidR="00755E07">
        <w:t>Summary of Public Comments and CDC Response</w:t>
      </w:r>
      <w:r w:rsidR="00DC6FE1">
        <w:t xml:space="preserve"> </w:t>
      </w:r>
    </w:p>
    <w:p w14:paraId="50D045E2" w14:textId="77777777" w:rsidR="006629EA" w:rsidRDefault="006629EA" w:rsidP="009805BD">
      <w:pPr>
        <w:pStyle w:val="TOC4"/>
        <w:spacing w:before="0"/>
        <w:ind w:left="1440" w:hanging="1440"/>
      </w:pPr>
      <w:r>
        <w:t xml:space="preserve">Appendix 3. IRB Documentation </w:t>
      </w:r>
    </w:p>
    <w:p w14:paraId="6115C365" w14:textId="77777777" w:rsidR="007F0B28" w:rsidRDefault="0036764B" w:rsidP="009805BD">
      <w:pPr>
        <w:pStyle w:val="TOC4"/>
        <w:spacing w:before="0"/>
        <w:ind w:left="1440" w:hanging="1440"/>
      </w:pPr>
      <w:r>
        <w:t>Appendix</w:t>
      </w:r>
      <w:r w:rsidR="007F0B28">
        <w:t xml:space="preserve"> </w:t>
      </w:r>
      <w:r w:rsidR="000F6396">
        <w:t>4</w:t>
      </w:r>
      <w:r w:rsidR="007F0B28">
        <w:t xml:space="preserve">. </w:t>
      </w:r>
      <w:r w:rsidR="00CF0AC8">
        <w:t>Study F</w:t>
      </w:r>
      <w:r w:rsidR="00DC6FE1">
        <w:t xml:space="preserve">lowchart </w:t>
      </w:r>
    </w:p>
    <w:p w14:paraId="1AF5E0CC" w14:textId="77777777" w:rsidR="008D0B16" w:rsidRDefault="0036764B" w:rsidP="009805BD">
      <w:pPr>
        <w:pStyle w:val="TOC4"/>
        <w:spacing w:before="0"/>
        <w:ind w:left="0" w:firstLine="0"/>
      </w:pPr>
      <w:r>
        <w:t>Appendix</w:t>
      </w:r>
      <w:r w:rsidR="007F0B28">
        <w:t xml:space="preserve"> </w:t>
      </w:r>
      <w:r w:rsidR="000F6396">
        <w:t>5</w:t>
      </w:r>
      <w:r w:rsidR="007F0B28">
        <w:t xml:space="preserve">. </w:t>
      </w:r>
      <w:r w:rsidR="000F6396">
        <w:t>Homebuyer Survey Cognitive Testing Interview Guide</w:t>
      </w:r>
    </w:p>
    <w:p w14:paraId="65BDA32F" w14:textId="77777777" w:rsidR="000F6396" w:rsidRDefault="000F6396" w:rsidP="009805BD">
      <w:pPr>
        <w:pStyle w:val="TOC4"/>
        <w:spacing w:before="0" w:line="276" w:lineRule="auto"/>
        <w:ind w:left="1440" w:hanging="1440"/>
      </w:pPr>
      <w:r>
        <w:t>Appendix 6</w:t>
      </w:r>
      <w:r w:rsidR="005E1D61">
        <w:t>a</w:t>
      </w:r>
      <w:r>
        <w:t>. Homebuyer Survey Data Dictionary</w:t>
      </w:r>
    </w:p>
    <w:p w14:paraId="372A414E" w14:textId="77777777" w:rsidR="009C1D58" w:rsidRDefault="009C1D58" w:rsidP="009805BD">
      <w:proofErr w:type="gramStart"/>
      <w:r>
        <w:t>Appendix 6b.</w:t>
      </w:r>
      <w:proofErr w:type="gramEnd"/>
      <w:r>
        <w:t xml:space="preserve"> </w:t>
      </w:r>
      <w:r w:rsidRPr="009C1D58">
        <w:t>Homebuyer Survey</w:t>
      </w:r>
    </w:p>
    <w:p w14:paraId="6B181125" w14:textId="77777777" w:rsidR="009805BD" w:rsidRDefault="009805BD" w:rsidP="009805BD">
      <w:pPr>
        <w:pStyle w:val="TOC4"/>
        <w:spacing w:before="0"/>
        <w:ind w:left="1440" w:hanging="1440"/>
        <w:rPr>
          <w:szCs w:val="24"/>
        </w:rPr>
      </w:pPr>
      <w:r w:rsidRPr="009805BD">
        <w:rPr>
          <w:szCs w:val="24"/>
        </w:rPr>
        <w:t xml:space="preserve">Appendix 6c. Online Homebuyer Survey Screenshots </w:t>
      </w:r>
    </w:p>
    <w:p w14:paraId="1556A10B" w14:textId="77777777" w:rsidR="008631C8" w:rsidRDefault="000F6396" w:rsidP="009805BD">
      <w:pPr>
        <w:pStyle w:val="TOC4"/>
        <w:spacing w:before="0"/>
        <w:ind w:left="1440" w:hanging="1440"/>
      </w:pPr>
      <w:r>
        <w:t>Appendix 7</w:t>
      </w:r>
      <w:r w:rsidR="007D2303">
        <w:t xml:space="preserve">. </w:t>
      </w:r>
      <w:r w:rsidRPr="000F6396">
        <w:t>Real Estate Agent Focus Group Interview Guide</w:t>
      </w:r>
    </w:p>
    <w:p w14:paraId="376CEC5A" w14:textId="77777777" w:rsidR="000F6396" w:rsidRPr="004F4D66" w:rsidRDefault="006629EA" w:rsidP="009805BD">
      <w:pPr>
        <w:rPr>
          <w:szCs w:val="20"/>
        </w:rPr>
      </w:pPr>
      <w:proofErr w:type="gramStart"/>
      <w:r w:rsidRPr="004F4D66">
        <w:rPr>
          <w:szCs w:val="20"/>
        </w:rPr>
        <w:t>Appendix 8.</w:t>
      </w:r>
      <w:proofErr w:type="gramEnd"/>
      <w:r w:rsidRPr="004F4D66">
        <w:rPr>
          <w:szCs w:val="20"/>
        </w:rPr>
        <w:t xml:space="preserve"> Radon Disclosure Form and Brochure</w:t>
      </w:r>
    </w:p>
    <w:p w14:paraId="68B40BDD" w14:textId="77777777" w:rsidR="004F4D66" w:rsidRDefault="0099705D" w:rsidP="009805BD">
      <w:pPr>
        <w:rPr>
          <w:szCs w:val="20"/>
        </w:rPr>
      </w:pPr>
      <w:proofErr w:type="gramStart"/>
      <w:r>
        <w:rPr>
          <w:szCs w:val="20"/>
        </w:rPr>
        <w:t>Appendix 9</w:t>
      </w:r>
      <w:r w:rsidR="006629EA" w:rsidRPr="004F4D66">
        <w:rPr>
          <w:szCs w:val="20"/>
        </w:rPr>
        <w:t>.</w:t>
      </w:r>
      <w:proofErr w:type="gramEnd"/>
      <w:r w:rsidR="006629EA" w:rsidRPr="004F4D66">
        <w:rPr>
          <w:szCs w:val="20"/>
        </w:rPr>
        <w:t xml:space="preserve"> </w:t>
      </w:r>
      <w:r w:rsidR="004F4D66">
        <w:rPr>
          <w:szCs w:val="20"/>
        </w:rPr>
        <w:t xml:space="preserve">Homebuyer Survey Cognitive Testing Recruitment </w:t>
      </w:r>
      <w:r w:rsidR="00EA100B">
        <w:rPr>
          <w:szCs w:val="20"/>
        </w:rPr>
        <w:t>Materials</w:t>
      </w:r>
    </w:p>
    <w:p w14:paraId="5E380EF3" w14:textId="77777777" w:rsidR="00EA100B" w:rsidRDefault="00EA100B" w:rsidP="009805BD">
      <w:pPr>
        <w:rPr>
          <w:szCs w:val="20"/>
        </w:rPr>
      </w:pPr>
      <w:proofErr w:type="gramStart"/>
      <w:r>
        <w:rPr>
          <w:szCs w:val="20"/>
        </w:rPr>
        <w:t>Appendix 1</w:t>
      </w:r>
      <w:r w:rsidR="0099705D">
        <w:rPr>
          <w:szCs w:val="20"/>
        </w:rPr>
        <w:t>0</w:t>
      </w:r>
      <w:r>
        <w:rPr>
          <w:szCs w:val="20"/>
        </w:rPr>
        <w:t>.</w:t>
      </w:r>
      <w:proofErr w:type="gramEnd"/>
      <w:r>
        <w:rPr>
          <w:szCs w:val="20"/>
        </w:rPr>
        <w:t xml:space="preserve"> </w:t>
      </w:r>
      <w:r w:rsidRPr="00EA100B">
        <w:rPr>
          <w:szCs w:val="20"/>
        </w:rPr>
        <w:t>Homebuyer Survey Cognitive Testing</w:t>
      </w:r>
      <w:r>
        <w:rPr>
          <w:szCs w:val="20"/>
        </w:rPr>
        <w:t xml:space="preserve"> Informed Consent</w:t>
      </w:r>
    </w:p>
    <w:p w14:paraId="27A26F2C" w14:textId="77777777" w:rsidR="004F4D66" w:rsidRDefault="00EA100B" w:rsidP="009805BD">
      <w:pPr>
        <w:rPr>
          <w:szCs w:val="20"/>
        </w:rPr>
      </w:pPr>
      <w:proofErr w:type="gramStart"/>
      <w:r>
        <w:rPr>
          <w:szCs w:val="20"/>
        </w:rPr>
        <w:t>Appendix 1</w:t>
      </w:r>
      <w:r w:rsidR="0099705D">
        <w:rPr>
          <w:szCs w:val="20"/>
        </w:rPr>
        <w:t>1</w:t>
      </w:r>
      <w:r w:rsidR="006629EA" w:rsidRPr="004F4D66">
        <w:rPr>
          <w:szCs w:val="20"/>
        </w:rPr>
        <w:t>.</w:t>
      </w:r>
      <w:proofErr w:type="gramEnd"/>
      <w:r w:rsidR="004F4D66" w:rsidRPr="004F4D66">
        <w:rPr>
          <w:szCs w:val="20"/>
        </w:rPr>
        <w:t xml:space="preserve"> Mailed Homebuyer Survey Recruitment </w:t>
      </w:r>
      <w:r>
        <w:rPr>
          <w:szCs w:val="20"/>
        </w:rPr>
        <w:t>Materials</w:t>
      </w:r>
    </w:p>
    <w:p w14:paraId="1D8FBE3B" w14:textId="77777777" w:rsidR="00EA100B" w:rsidRDefault="0099705D" w:rsidP="009805BD">
      <w:pPr>
        <w:rPr>
          <w:szCs w:val="20"/>
        </w:rPr>
      </w:pPr>
      <w:proofErr w:type="gramStart"/>
      <w:r>
        <w:rPr>
          <w:szCs w:val="20"/>
        </w:rPr>
        <w:t>Appendix 12</w:t>
      </w:r>
      <w:r w:rsidR="00EA100B">
        <w:rPr>
          <w:szCs w:val="20"/>
        </w:rPr>
        <w:t>.</w:t>
      </w:r>
      <w:proofErr w:type="gramEnd"/>
      <w:r w:rsidR="00EA100B">
        <w:rPr>
          <w:szCs w:val="20"/>
        </w:rPr>
        <w:t xml:space="preserve"> </w:t>
      </w:r>
      <w:r w:rsidR="00EA100B" w:rsidRPr="00EA100B">
        <w:rPr>
          <w:szCs w:val="20"/>
        </w:rPr>
        <w:t>Mailed Homebuyer Survey</w:t>
      </w:r>
      <w:r w:rsidR="00EA100B">
        <w:rPr>
          <w:szCs w:val="20"/>
        </w:rPr>
        <w:t xml:space="preserve"> Informed Consent</w:t>
      </w:r>
    </w:p>
    <w:p w14:paraId="2E81AFB5" w14:textId="77777777" w:rsidR="004F4D66" w:rsidRDefault="006629EA" w:rsidP="009805BD">
      <w:pPr>
        <w:rPr>
          <w:szCs w:val="20"/>
        </w:rPr>
      </w:pPr>
      <w:proofErr w:type="gramStart"/>
      <w:r w:rsidRPr="004F4D66">
        <w:rPr>
          <w:szCs w:val="20"/>
        </w:rPr>
        <w:t xml:space="preserve">Appendix </w:t>
      </w:r>
      <w:r w:rsidR="00EA100B">
        <w:rPr>
          <w:szCs w:val="20"/>
        </w:rPr>
        <w:t>1</w:t>
      </w:r>
      <w:r w:rsidR="0099705D">
        <w:rPr>
          <w:szCs w:val="20"/>
        </w:rPr>
        <w:t>3</w:t>
      </w:r>
      <w:r w:rsidRPr="004F4D66">
        <w:rPr>
          <w:szCs w:val="20"/>
        </w:rPr>
        <w:t>.</w:t>
      </w:r>
      <w:proofErr w:type="gramEnd"/>
      <w:r w:rsidR="004F4D66">
        <w:rPr>
          <w:szCs w:val="20"/>
        </w:rPr>
        <w:t xml:space="preserve"> Real Estate Agent Focus Group Recruitment </w:t>
      </w:r>
      <w:r w:rsidR="00EA100B">
        <w:rPr>
          <w:szCs w:val="20"/>
        </w:rPr>
        <w:t>Materials</w:t>
      </w:r>
    </w:p>
    <w:p w14:paraId="403E772A" w14:textId="77777777" w:rsidR="0099705D" w:rsidRDefault="0099705D" w:rsidP="009805BD">
      <w:pPr>
        <w:rPr>
          <w:szCs w:val="20"/>
        </w:rPr>
      </w:pPr>
      <w:proofErr w:type="gramStart"/>
      <w:r>
        <w:rPr>
          <w:szCs w:val="20"/>
        </w:rPr>
        <w:t>Appendix 14</w:t>
      </w:r>
      <w:r w:rsidRPr="0099705D">
        <w:rPr>
          <w:szCs w:val="20"/>
        </w:rPr>
        <w:t>.</w:t>
      </w:r>
      <w:proofErr w:type="gramEnd"/>
      <w:r w:rsidRPr="0099705D">
        <w:rPr>
          <w:szCs w:val="20"/>
        </w:rPr>
        <w:t xml:space="preserve"> Real Estate Agent Focus Group</w:t>
      </w:r>
      <w:r>
        <w:rPr>
          <w:szCs w:val="20"/>
        </w:rPr>
        <w:t xml:space="preserve"> Informed Consent</w:t>
      </w:r>
    </w:p>
    <w:p w14:paraId="376E59E1" w14:textId="77777777" w:rsidR="00293B4D" w:rsidRDefault="0099705D" w:rsidP="009805BD">
      <w:pPr>
        <w:rPr>
          <w:szCs w:val="20"/>
        </w:rPr>
      </w:pPr>
      <w:proofErr w:type="gramStart"/>
      <w:r>
        <w:rPr>
          <w:szCs w:val="20"/>
        </w:rPr>
        <w:t>Appendix 15</w:t>
      </w:r>
      <w:r w:rsidR="00293B4D">
        <w:rPr>
          <w:szCs w:val="20"/>
        </w:rPr>
        <w:t>.</w:t>
      </w:r>
      <w:proofErr w:type="gramEnd"/>
      <w:r w:rsidR="00293B4D">
        <w:rPr>
          <w:szCs w:val="20"/>
        </w:rPr>
        <w:t xml:space="preserve"> Radon Policies by State</w:t>
      </w:r>
    </w:p>
    <w:p w14:paraId="1F7ADB7D" w14:textId="77777777" w:rsidR="00F72F56" w:rsidRDefault="006629EA" w:rsidP="009805BD">
      <w:pPr>
        <w:rPr>
          <w:szCs w:val="20"/>
        </w:rPr>
      </w:pPr>
      <w:proofErr w:type="gramStart"/>
      <w:r w:rsidRPr="004F4D66">
        <w:rPr>
          <w:szCs w:val="20"/>
        </w:rPr>
        <w:t xml:space="preserve">Appendix </w:t>
      </w:r>
      <w:r w:rsidR="0099705D">
        <w:rPr>
          <w:szCs w:val="20"/>
        </w:rPr>
        <w:t>16</w:t>
      </w:r>
      <w:r w:rsidRPr="004F4D66">
        <w:rPr>
          <w:szCs w:val="20"/>
        </w:rPr>
        <w:t>.</w:t>
      </w:r>
      <w:proofErr w:type="gramEnd"/>
      <w:r w:rsidR="004F4D66">
        <w:rPr>
          <w:szCs w:val="20"/>
        </w:rPr>
        <w:t xml:space="preserve"> References</w:t>
      </w:r>
    </w:p>
    <w:p w14:paraId="47432094" w14:textId="77777777" w:rsidR="00293B4D" w:rsidRPr="004F4D66" w:rsidRDefault="00293B4D" w:rsidP="004F4D66">
      <w:pPr>
        <w:spacing w:before="60"/>
        <w:rPr>
          <w:szCs w:val="20"/>
        </w:rPr>
        <w:sectPr w:rsidR="00293B4D" w:rsidRPr="004F4D66" w:rsidSect="00CB0350">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start="3"/>
          <w:cols w:space="720"/>
        </w:sectPr>
      </w:pPr>
    </w:p>
    <w:p w14:paraId="7545A342" w14:textId="77777777" w:rsidR="00682231" w:rsidRPr="00CB2320" w:rsidRDefault="00682231" w:rsidP="00682231">
      <w:pPr>
        <w:rPr>
          <w:b/>
        </w:rPr>
      </w:pPr>
      <w:bookmarkStart w:id="3" w:name="_Toc99430975"/>
      <w:bookmarkStart w:id="4" w:name="_Toc143058435"/>
      <w:bookmarkStart w:id="5" w:name="_Toc146088433"/>
      <w:bookmarkStart w:id="6" w:name="_Toc260215283"/>
      <w:bookmarkStart w:id="7" w:name="_Toc8007688"/>
      <w:bookmarkStart w:id="8" w:name="_Toc88033485"/>
      <w:bookmarkEnd w:id="1"/>
      <w:r w:rsidRPr="00CB2320">
        <w:rPr>
          <w:b/>
        </w:rPr>
        <w:t>Abstract</w:t>
      </w:r>
    </w:p>
    <w:p w14:paraId="0B94FE7C" w14:textId="77777777" w:rsidR="00682231" w:rsidRPr="00CB2320" w:rsidRDefault="00682231" w:rsidP="00682231">
      <w:pPr>
        <w:rPr>
          <w:b/>
        </w:rPr>
      </w:pPr>
    </w:p>
    <w:p w14:paraId="6DF396E9" w14:textId="06AEDFB0" w:rsidR="00216A5E" w:rsidRPr="00216A5E" w:rsidRDefault="00216A5E" w:rsidP="00DB0E64">
      <w:pPr>
        <w:spacing w:line="360" w:lineRule="auto"/>
        <w:ind w:firstLine="720"/>
      </w:pPr>
      <w:r w:rsidRPr="00216A5E">
        <w:t xml:space="preserve">The Centers for Disease Control and Prevention (CDC) requests OMB approval to collect information for </w:t>
      </w:r>
      <w:r w:rsidR="00E72C61">
        <w:t xml:space="preserve">the project entitled </w:t>
      </w:r>
      <w:r w:rsidR="00DB0E64">
        <w:t>Measuring the Effects of State and Local Radon Policies</w:t>
      </w:r>
      <w:r w:rsidR="00B23C0C">
        <w:t>.</w:t>
      </w:r>
      <w:r w:rsidR="00682231">
        <w:t xml:space="preserve"> </w:t>
      </w:r>
      <w:r w:rsidRPr="00216A5E">
        <w:t>This is a new Information Collection Request</w:t>
      </w:r>
      <w:r w:rsidR="000A72CE">
        <w:t xml:space="preserve"> that</w:t>
      </w:r>
      <w:r w:rsidR="005C0D9C">
        <w:t xml:space="preserve"> </w:t>
      </w:r>
      <w:r w:rsidR="00695CBA">
        <w:t>will</w:t>
      </w:r>
      <w:r w:rsidR="0091577D">
        <w:t xml:space="preserve"> </w:t>
      </w:r>
      <w:r w:rsidRPr="00CB2320">
        <w:t xml:space="preserve">allow CDC to obtain </w:t>
      </w:r>
      <w:r>
        <w:t xml:space="preserve">and disseminate </w:t>
      </w:r>
      <w:r w:rsidRPr="00CB2320">
        <w:t xml:space="preserve">information </w:t>
      </w:r>
      <w:r w:rsidR="00457AB0">
        <w:t xml:space="preserve">regarding how </w:t>
      </w:r>
      <w:r w:rsidR="00DB0E64">
        <w:t>radon</w:t>
      </w:r>
      <w:r w:rsidR="00457AB0">
        <w:t xml:space="preserve"> policies influence the radon-related </w:t>
      </w:r>
      <w:r w:rsidR="00DB0E64">
        <w:t xml:space="preserve">knowledge, attitudes, and practices of real estate agents and recent homebuyers of single-family </w:t>
      </w:r>
      <w:r w:rsidR="00971C13">
        <w:t>standalone</w:t>
      </w:r>
      <w:r w:rsidR="00DB0E64">
        <w:t xml:space="preserve"> homes in</w:t>
      </w:r>
      <w:r>
        <w:t xml:space="preserve"> the United States. </w:t>
      </w:r>
      <w:r w:rsidR="0037064E">
        <w:t xml:space="preserve">Information will be collected </w:t>
      </w:r>
      <w:r w:rsidR="001C33B4">
        <w:t xml:space="preserve">at four study sites </w:t>
      </w:r>
      <w:r w:rsidR="0037064E">
        <w:t xml:space="preserve">through a survey of homebuyers and focus groups with real estate agents. </w:t>
      </w:r>
      <w:r w:rsidR="00457AB0">
        <w:t>Participant responses from states with radon-specific policies will be compared to states without radon-specific policies. To allow researchers to put the results of this study into context, investigators will a</w:t>
      </w:r>
      <w:r w:rsidR="00DB0E64">
        <w:t>ssess</w:t>
      </w:r>
      <w:r w:rsidR="00457AB0">
        <w:t xml:space="preserve"> the</w:t>
      </w:r>
      <w:r w:rsidR="00DB0E64">
        <w:t xml:space="preserve"> knowledge, attitudes,</w:t>
      </w:r>
      <w:r w:rsidR="008C5230">
        <w:t xml:space="preserve"> and practices of lead in relation to the federal lead notification law</w:t>
      </w:r>
      <w:r w:rsidR="00457AB0">
        <w:t>, which is present in every state.</w:t>
      </w:r>
      <w:r w:rsidR="008C5230">
        <w:t xml:space="preserve"> </w:t>
      </w:r>
      <w:r w:rsidR="005C0D9C">
        <w:t xml:space="preserve">Information will be collected over a 24-month period. </w:t>
      </w:r>
      <w:r w:rsidR="00BE7BFC">
        <w:t>OMB approval</w:t>
      </w:r>
      <w:r w:rsidR="00BE7BFC" w:rsidRPr="00CB2320">
        <w:t xml:space="preserve"> </w:t>
      </w:r>
      <w:r w:rsidRPr="00CB2320">
        <w:t xml:space="preserve">is requested for </w:t>
      </w:r>
      <w:r w:rsidR="001C6983">
        <w:t>two</w:t>
      </w:r>
      <w:r w:rsidR="00DB0E64">
        <w:t xml:space="preserve"> </w:t>
      </w:r>
      <w:r w:rsidRPr="00CB2320">
        <w:t>years</w:t>
      </w:r>
      <w:r w:rsidR="005C0D9C">
        <w:t xml:space="preserve"> </w:t>
      </w:r>
      <w:r w:rsidR="001C6983">
        <w:t>to</w:t>
      </w:r>
      <w:r w:rsidR="002B023C">
        <w:t xml:space="preserve"> allow for adequate time for data collection</w:t>
      </w:r>
      <w:r w:rsidR="00B26058">
        <w:t xml:space="preserve"> for both the mailed survey and focus groups</w:t>
      </w:r>
      <w:r w:rsidR="001C6983">
        <w:t>.</w:t>
      </w:r>
    </w:p>
    <w:p w14:paraId="34F16DDE" w14:textId="77777777" w:rsidR="00BC7D8D" w:rsidRDefault="00BC7D8D" w:rsidP="00560D87">
      <w:pPr>
        <w:spacing w:line="360" w:lineRule="auto"/>
        <w:ind w:firstLine="720"/>
      </w:pPr>
    </w:p>
    <w:p w14:paraId="2D10B5D7" w14:textId="77777777" w:rsidR="007F0B28" w:rsidRPr="00CF1100" w:rsidRDefault="007F0B28" w:rsidP="009D0976">
      <w:pPr>
        <w:pStyle w:val="Heading1"/>
      </w:pPr>
      <w:bookmarkStart w:id="9" w:name="_Toc296586357"/>
      <w:bookmarkStart w:id="10" w:name="_Toc389143690"/>
      <w:bookmarkStart w:id="11" w:name="_Toc411604791"/>
      <w:r w:rsidRPr="00CF1100">
        <w:t>A.</w:t>
      </w:r>
      <w:r w:rsidRPr="00CF1100">
        <w:tab/>
        <w:t>Justification</w:t>
      </w:r>
      <w:bookmarkEnd w:id="3"/>
      <w:bookmarkEnd w:id="4"/>
      <w:bookmarkEnd w:id="5"/>
      <w:bookmarkEnd w:id="6"/>
      <w:bookmarkEnd w:id="9"/>
      <w:bookmarkEnd w:id="10"/>
      <w:bookmarkEnd w:id="11"/>
    </w:p>
    <w:p w14:paraId="751CCAED" w14:textId="77777777" w:rsidR="007F0B28" w:rsidRPr="00CF1100" w:rsidRDefault="007F0B28" w:rsidP="009D0976">
      <w:pPr>
        <w:pStyle w:val="Heading2"/>
      </w:pPr>
      <w:bookmarkStart w:id="12" w:name="_Toc99430976"/>
      <w:bookmarkStart w:id="13" w:name="_Toc143058436"/>
      <w:bookmarkStart w:id="14" w:name="_Toc146088434"/>
      <w:bookmarkStart w:id="15" w:name="_Toc260215284"/>
      <w:bookmarkStart w:id="16" w:name="_Toc296586358"/>
      <w:bookmarkStart w:id="17" w:name="_Toc389143691"/>
      <w:bookmarkStart w:id="18" w:name="_Toc411604792"/>
      <w:r w:rsidRPr="00CF1100">
        <w:t>A.1.</w:t>
      </w:r>
      <w:r w:rsidRPr="00CF1100">
        <w:tab/>
        <w:t>Circumstances Making the Collection of Information Necessary</w:t>
      </w:r>
      <w:bookmarkEnd w:id="12"/>
      <w:bookmarkEnd w:id="13"/>
      <w:bookmarkEnd w:id="14"/>
      <w:bookmarkEnd w:id="15"/>
      <w:bookmarkEnd w:id="16"/>
      <w:bookmarkEnd w:id="17"/>
      <w:bookmarkEnd w:id="18"/>
      <w:r w:rsidRPr="00CF1100">
        <w:t xml:space="preserve"> </w:t>
      </w:r>
    </w:p>
    <w:p w14:paraId="6CA1CD6C" w14:textId="77777777" w:rsidR="007F0B28" w:rsidRPr="009D0976" w:rsidRDefault="007F0B28" w:rsidP="009D0976">
      <w:pPr>
        <w:pStyle w:val="Heading3"/>
      </w:pPr>
      <w:bookmarkStart w:id="19" w:name="_Toc260215285"/>
      <w:bookmarkStart w:id="20" w:name="_Toc296586359"/>
      <w:bookmarkStart w:id="21" w:name="_Toc389143692"/>
      <w:bookmarkStart w:id="22" w:name="_Toc411604793"/>
      <w:r w:rsidRPr="00CF1100">
        <w:t>Background</w:t>
      </w:r>
      <w:bookmarkEnd w:id="19"/>
      <w:bookmarkEnd w:id="20"/>
      <w:bookmarkEnd w:id="21"/>
      <w:bookmarkEnd w:id="22"/>
    </w:p>
    <w:p w14:paraId="165294A9" w14:textId="77777777" w:rsidR="00422959" w:rsidRDefault="00631010" w:rsidP="00513AF1">
      <w:pPr>
        <w:pStyle w:val="BodyText1"/>
      </w:pPr>
      <w:r>
        <w:t>This is a new Information Collection Request</w:t>
      </w:r>
      <w:r w:rsidR="00216A5E">
        <w:t xml:space="preserve">. </w:t>
      </w:r>
      <w:r w:rsidR="00216A5E" w:rsidRPr="00216A5E">
        <w:t xml:space="preserve">The </w:t>
      </w:r>
      <w:r w:rsidR="00EA0D10">
        <w:t xml:space="preserve">National </w:t>
      </w:r>
      <w:r w:rsidR="00216A5E" w:rsidRPr="00216A5E">
        <w:t>Center for Chronic Disease Prevention and Health Promotion (NCCDPHP), Centers for Disease Control and Prevention (CDC), requests approval from the Office of Management and Budget (OMB) to collect information</w:t>
      </w:r>
      <w:r w:rsidR="00216A5E">
        <w:t xml:space="preserve"> </w:t>
      </w:r>
      <w:r>
        <w:t xml:space="preserve">to </w:t>
      </w:r>
      <w:r w:rsidR="00E57108">
        <w:t>address an important gap in the evidence bas</w:t>
      </w:r>
      <w:r w:rsidR="00135C0F">
        <w:t>e</w:t>
      </w:r>
      <w:r w:rsidR="00E57108">
        <w:t xml:space="preserve"> for administrative, policy, and funding decisions regarding </w:t>
      </w:r>
      <w:r>
        <w:t xml:space="preserve">the effectiveness of </w:t>
      </w:r>
      <w:r w:rsidR="00DB0E64">
        <w:t>state and county policies related to notification of radon hazards in homes and radon professional certification</w:t>
      </w:r>
      <w:r>
        <w:t xml:space="preserve"> </w:t>
      </w:r>
      <w:r w:rsidR="00E57108">
        <w:t>throughout the United States</w:t>
      </w:r>
      <w:r w:rsidR="00422959">
        <w:t xml:space="preserve">. </w:t>
      </w:r>
      <w:r w:rsidR="00216A5E" w:rsidRPr="00216A5E">
        <w:t xml:space="preserve">CDC’s authority to conduct the study is established by Section 301 of the Public Health Service Act (see </w:t>
      </w:r>
      <w:r w:rsidR="002531ED">
        <w:rPr>
          <w:b/>
        </w:rPr>
        <w:t>Appendix 1</w:t>
      </w:r>
      <w:r w:rsidR="00216A5E" w:rsidRPr="00216A5E">
        <w:t>)</w:t>
      </w:r>
      <w:r w:rsidR="000A72CE">
        <w:t xml:space="preserve">. </w:t>
      </w:r>
      <w:r w:rsidR="00422959">
        <w:t xml:space="preserve">HHS’s overall goal for the investment in </w:t>
      </w:r>
      <w:r w:rsidR="00DB0E64">
        <w:t xml:space="preserve">research related to radon is to better understand how to reduce exposure to </w:t>
      </w:r>
      <w:r w:rsidR="008C5230">
        <w:t xml:space="preserve">radon, </w:t>
      </w:r>
      <w:r w:rsidR="00DB0E64">
        <w:t xml:space="preserve">the leading cause of lung cancer among non-smokers </w:t>
      </w:r>
      <w:r w:rsidR="008C5230">
        <w:t xml:space="preserve">and second leading cause of lung cancer among smokers. </w:t>
      </w:r>
    </w:p>
    <w:p w14:paraId="791DC493" w14:textId="51B4B53C" w:rsidR="00851B1A" w:rsidRDefault="00851B1A" w:rsidP="00851B1A">
      <w:pPr>
        <w:pStyle w:val="BodyText1"/>
      </w:pPr>
      <w:r>
        <w:t xml:space="preserve">Lung cancer is the leading cause of cancer-related death among the </w:t>
      </w:r>
      <w:r w:rsidR="008C26A4">
        <w:t>U</w:t>
      </w:r>
      <w:r w:rsidR="00224600">
        <w:t>.</w:t>
      </w:r>
      <w:r w:rsidR="008C26A4">
        <w:t>S</w:t>
      </w:r>
      <w:r w:rsidR="00224600">
        <w:t>.</w:t>
      </w:r>
      <w:r w:rsidR="008C26A4">
        <w:t xml:space="preserve"> population with an overall 16</w:t>
      </w:r>
      <w:r>
        <w:t>% 5-year relative survival.</w:t>
      </w:r>
      <w:r w:rsidR="000555F7">
        <w:t xml:space="preserve"> </w:t>
      </w:r>
      <w:r w:rsidR="000555F7">
        <w:fldChar w:fldCharType="begin"/>
      </w:r>
      <w:r w:rsidR="00E855EA">
        <w:instrText xml:space="preserve"> ADDIN EN.CITE &lt;EndNote&gt;&lt;Cite&gt;&lt;Author&gt;CDC&lt;/Author&gt;&lt;Year&gt;2010&lt;/Year&gt;&lt;RecNum&gt;44&lt;/RecNum&gt;&lt;DisplayText&gt;&lt;style face="superscript"&gt;1,2&lt;/style&gt;&lt;/DisplayText&gt;&lt;record&gt;&lt;rec-number&gt;44&lt;/rec-number&gt;&lt;foreign-keys&gt;&lt;key app="EN" db-id="tzfw09wsu2faabetddmp0eedap22srdwfx9w"&gt;44&lt;/key&gt;&lt;/foreign-keys&gt;&lt;ref-type name="Web Page"&gt;12&lt;/ref-type&gt;&lt;contributors&gt;&lt;authors&gt;&lt;author&gt;CDC&lt;/author&gt;&lt;/authors&gt;&lt;secondary-authors&gt;&lt;author&gt;US Centers for Disease Control and Prevention&lt;/author&gt;&lt;/secondary-authors&gt;&lt;/contributors&gt;&lt;titles&gt;&lt;title&gt;United States Cancer Statistics - 2007 Top Ten Cancers&lt;/title&gt;&lt;/titles&gt;&lt;volume&gt;2011&lt;/volume&gt;&lt;number&gt;Feb. 1&lt;/number&gt;&lt;dates&gt;&lt;year&gt;2010&lt;/year&gt;&lt;/dates&gt;&lt;pub-location&gt;Atlanta, GA&lt;/pub-location&gt;&lt;publisher&gt;CDC&lt;/publisher&gt;&lt;urls&gt;&lt;related-urls&gt;&lt;url&gt;http://apps.nccd.cdc.gov/uscs/toptencancers.aspx&lt;/url&gt;&lt;/related-urls&gt;&lt;/urls&gt;&lt;/record&gt;&lt;/Cite&gt;&lt;Cite&gt;&lt;Author&gt;NCI&lt;/Author&gt;&lt;RecNum&gt;72&lt;/RecNum&gt;&lt;record&gt;&lt;rec-number&gt;72&lt;/rec-number&gt;&lt;foreign-keys&gt;&lt;key app="EN" db-id="tzfw09wsu2faabetddmp0eedap22srdwfx9w"&gt;72&lt;/key&gt;&lt;/foreign-keys&gt;&lt;ref-type name="Web Page"&gt;12&lt;/ref-type&gt;&lt;contributors&gt;&lt;authors&gt;&lt;author&gt;NCI,&lt;/author&gt;&lt;/authors&gt;&lt;secondary-authors&gt;&lt;author&gt;National Cancer Institute,&lt;/author&gt;&lt;/secondary-authors&gt;&lt;/contributors&gt;&lt;titles&gt;&lt;title&gt;SEER Stat Fact Sheets: Lung and Bronchus&lt;/title&gt;&lt;/titles&gt;&lt;volume&gt;2011&lt;/volume&gt;&lt;number&gt;July 12&lt;/number&gt;&lt;dates&gt;&lt;/dates&gt;&lt;pub-location&gt;Bethesda, MD&lt;/pub-location&gt;&lt;publisher&gt;NCI&lt;/publisher&gt;&lt;urls&gt;&lt;related-urls&gt;&lt;url&gt;http://seer.cancer.gov/statfacts/html/lungb.html#survival&lt;/url&gt;&lt;/related-urls&gt;&lt;/urls&gt;&lt;/record&gt;&lt;/Cite&gt;&lt;/EndNote&gt;</w:instrText>
      </w:r>
      <w:r w:rsidR="000555F7">
        <w:fldChar w:fldCharType="separate"/>
      </w:r>
      <w:hyperlink w:anchor="_ENREF_1" w:tooltip="CDC, 2010 #44" w:history="1">
        <w:r w:rsidR="00B61E2D" w:rsidRPr="000555F7">
          <w:rPr>
            <w:noProof/>
            <w:vertAlign w:val="superscript"/>
          </w:rPr>
          <w:t>1</w:t>
        </w:r>
      </w:hyperlink>
      <w:r w:rsidR="000555F7" w:rsidRPr="000555F7">
        <w:rPr>
          <w:noProof/>
          <w:vertAlign w:val="superscript"/>
        </w:rPr>
        <w:t>,</w:t>
      </w:r>
      <w:hyperlink w:anchor="_ENREF_2" w:tooltip="NCI,  #72" w:history="1">
        <w:r w:rsidR="00B61E2D" w:rsidRPr="000555F7">
          <w:rPr>
            <w:noProof/>
            <w:vertAlign w:val="superscript"/>
          </w:rPr>
          <w:t>2</w:t>
        </w:r>
      </w:hyperlink>
      <w:r w:rsidR="000555F7">
        <w:fldChar w:fldCharType="end"/>
      </w:r>
      <w:r>
        <w:t xml:space="preserve"> Radon is a radioactive gas that concentrates in homes</w:t>
      </w:r>
      <w:r w:rsidR="000555F7">
        <w:t>;</w:t>
      </w:r>
      <w:r>
        <w:t xml:space="preserve"> </w:t>
      </w:r>
      <w:r w:rsidR="00084FBB">
        <w:t>it</w:t>
      </w:r>
      <w:r>
        <w:t xml:space="preserve"> is the leading cause of lung cancer in non-smokers and the second leading cause of lung cancer in smokers</w:t>
      </w:r>
      <w:r w:rsidR="000555F7">
        <w:t xml:space="preserve">. </w:t>
      </w:r>
      <w:hyperlink w:anchor="_ENREF_3" w:tooltip="Darby, 2005 #80" w:history="1">
        <w:r w:rsidR="00B61E2D">
          <w:fldChar w:fldCharType="begin">
            <w:fldData xml:space="preserve">PEVuZE5vdGU+PENpdGU+PEF1dGhvcj5EYXJieTwvQXV0aG9yPjxZZWFyPjIwMDU8L1llYXI+PFJl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</w:fldData>
          </w:fldChar>
        </w:r>
        <w:r w:rsidR="00B61E2D">
          <w:instrText xml:space="preserve"> ADDIN EN.CITE </w:instrText>
        </w:r>
        <w:r w:rsidR="00B61E2D">
          <w:fldChar w:fldCharType="begin">
            <w:fldData xml:space="preserve">PEVuZE5vdGU+PENpdGU+PEF1dGhvcj5EYXJieTwvQXV0aG9yPjxZZWFyPjIwMDU8L1llYXI+PFJl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</w:fldData>
          </w:fldChar>
        </w:r>
        <w:r w:rsidR="00B61E2D">
          <w:instrText xml:space="preserve"> ADDIN EN.CITE.DATA </w:instrText>
        </w:r>
        <w:r w:rsidR="00B61E2D">
          <w:fldChar w:fldCharType="end"/>
        </w:r>
        <w:r w:rsidR="00B61E2D">
          <w:fldChar w:fldCharType="separate"/>
        </w:r>
        <w:r w:rsidR="00B61E2D" w:rsidRPr="000555F7">
          <w:rPr>
            <w:noProof/>
            <w:vertAlign w:val="superscript"/>
          </w:rPr>
          <w:t>3-5</w:t>
        </w:r>
        <w:r w:rsidR="00B61E2D">
          <w:fldChar w:fldCharType="end"/>
        </w:r>
      </w:hyperlink>
      <w:r w:rsidR="000555F7">
        <w:t xml:space="preserve"> </w:t>
      </w:r>
      <w:r>
        <w:t>The Environmental Protection Agency (EPA) recommends that every home be tested for radon and new homes in high-risk areas be built using radon-resistant construction techniques. Despite these recommendations, it is estimated that fewer than 25% of existing homes have radon tests, only 18% of homes with radon levels exceeding EPA intervention levels sold between 1990 and 2006 have been mitigated, and only 5–10% of newly-constructed homes have some form of radon prevention in place.</w:t>
      </w:r>
      <w:r w:rsidR="000555F7">
        <w:t xml:space="preserve"> </w:t>
      </w:r>
      <w:r w:rsidR="000555F7">
        <w:fldChar w:fldCharType="begin"/>
      </w:r>
      <w:r w:rsidR="000555F7">
        <w:instrText xml:space="preserve"> ADDIN EN.CITE &lt;EndNote&gt;&lt;Cite&gt;&lt;Author&gt;Angell&lt;/Author&gt;&lt;Year&gt;2008&lt;/Year&gt;&lt;RecNum&gt;73&lt;/RecNum&gt;&lt;DisplayText&gt;&lt;style face="superscript"&gt;6,7&lt;/style&gt;&lt;/DisplayText&gt;&lt;record&gt;&lt;rec-number&gt;73&lt;/rec-number&gt;&lt;foreign-keys&gt;&lt;key app="EN" db-id="tzfw09wsu2faabetddmp0eedap22srdwfx9w"&gt;73&lt;/key&gt;&lt;/foreign-keys&gt;&lt;ref-type name="Journal Article"&gt;17&lt;/ref-type&gt;&lt;contributors&gt;&lt;authors&gt;&lt;author&gt;Angell, W. J.&lt;/author&gt;&lt;/authors&gt;&lt;/contributors&gt;&lt;titles&gt;&lt;title&gt;The US radon problem, policy, program and industry: Achievements, challenges and strategies&lt;/title&gt;&lt;secondary-title&gt;Radiation protection dosimetry&lt;/secondary-title&gt;&lt;/titles&gt;&lt;periodical&gt;&lt;full-title&gt;Radiation protection dosimetry&lt;/full-title&gt;&lt;/periodical&gt;&lt;pages&gt;8-13&lt;/pages&gt;&lt;volume&gt;130&lt;/volume&gt;&lt;number&gt;1&lt;/number&gt;&lt;dates&gt;&lt;year&gt;2008&lt;/year&gt;&lt;/dates&gt;&lt;isbn&gt;0144-8420&lt;/isbn&gt;&lt;accession-num&gt;WOS:000259206500003&lt;/accession-num&gt;&lt;urls&gt;&lt;related-urls&gt;&lt;url&gt;&amp;lt;Go to ISI&amp;gt;://WOS:000259206500003&lt;/url&gt;&lt;/related-urls&gt;&lt;/urls&gt;&lt;electronic-resource-num&gt;10.1093/rpd/ncn105&lt;/electronic-resource-num&gt;&lt;/record&gt;&lt;/Cite&gt;&lt;Cite&gt;&lt;Author&gt;EPA&lt;/Author&gt;&lt;Year&gt;2011&lt;/Year&gt;&lt;RecNum&gt;71&lt;/RecNum&gt;&lt;record&gt;&lt;rec-number&gt;71&lt;/rec-number&gt;&lt;foreign-keys&gt;&lt;key app="EN" db-id="tzfw09wsu2faabetddmp0eedap22srdwfx9w"&gt;71&lt;/key&gt;&lt;/foreign-keys&gt;&lt;ref-type name="Government Document"&gt;46&lt;/ref-type&gt;&lt;contributors&gt;&lt;authors&gt;&lt;author&gt;EPA,&lt;/author&gt;&lt;author&gt;HHS,&lt;/author&gt;&lt;author&gt;USDA,&lt;/author&gt;&lt;author&gt;DOE,&lt;/author&gt;&lt;author&gt;HUD,&lt;/author&gt;&lt;author&gt;DOD,&lt;/author&gt;&lt;author&gt;DOI,&lt;/author&gt;&lt;author&gt;VAMC,&lt;/author&gt;&lt;author&gt;GSA,&lt;/author&gt;&lt;/authors&gt;&lt;secondary-authors&gt;&lt;author&gt;US Environmental Protection Agency&lt;/author&gt;&lt;/secondary-authors&gt;&lt;/contributors&gt;&lt;titles&gt;&lt;title&gt;Protecting People and Families from Radon, A Federal Action Plan for Saving Lives: June 20, 2011&lt;/title&gt;&lt;/titles&gt;&lt;dates&gt;&lt;year&gt;2011&lt;/year&gt;&lt;/dates&gt;&lt;pub-location&gt;Washington, DC&lt;/pub-location&gt;&lt;publisher&gt;US Environmental Protection Agency&lt;/publisher&gt;&lt;urls&gt;&lt;related-urls&gt;&lt;url&gt;http://www.epa.gov/radon/pdfs/Federal_Radon_Action_Plan.pdf&lt;/url&gt;&lt;/related-urls&gt;&lt;/urls&gt;&lt;/record&gt;&lt;/Cite&gt;&lt;/EndNote&gt;</w:instrText>
      </w:r>
      <w:r w:rsidR="000555F7">
        <w:fldChar w:fldCharType="separate"/>
      </w:r>
      <w:hyperlink w:anchor="_ENREF_6" w:tooltip="Angell, 2008 #73" w:history="1">
        <w:r w:rsidR="00B61E2D" w:rsidRPr="000555F7">
          <w:rPr>
            <w:noProof/>
            <w:vertAlign w:val="superscript"/>
          </w:rPr>
          <w:t>6</w:t>
        </w:r>
      </w:hyperlink>
      <w:r w:rsidR="000555F7" w:rsidRPr="000555F7">
        <w:rPr>
          <w:noProof/>
          <w:vertAlign w:val="superscript"/>
        </w:rPr>
        <w:t>,</w:t>
      </w:r>
      <w:hyperlink w:anchor="_ENREF_7" w:tooltip="EPA, 2011 #71" w:history="1">
        <w:r w:rsidR="00B61E2D" w:rsidRPr="000555F7">
          <w:rPr>
            <w:noProof/>
            <w:vertAlign w:val="superscript"/>
          </w:rPr>
          <w:t>7</w:t>
        </w:r>
      </w:hyperlink>
      <w:r w:rsidR="000555F7">
        <w:fldChar w:fldCharType="end"/>
      </w:r>
    </w:p>
    <w:p w14:paraId="060B298D" w14:textId="77777777" w:rsidR="00851B1A" w:rsidRDefault="00851B1A" w:rsidP="00851B1A">
      <w:pPr>
        <w:pStyle w:val="BodyText1"/>
      </w:pPr>
      <w:r>
        <w:t xml:space="preserve">There are significant gaps in understanding the impact of radon control efforts currently under way, especially those in the area of policy. Many state and local governments already have enacted radon policies related to professional licensure as well as testing and mitigation that may impact public awareness of radon as an issue </w:t>
      </w:r>
      <w:r w:rsidR="00ED78AF">
        <w:t>and its</w:t>
      </w:r>
      <w:r>
        <w:t xml:space="preserve"> testing</w:t>
      </w:r>
      <w:r w:rsidR="005D169B">
        <w:t xml:space="preserve"> and mitigation. As of Feb. 2014</w:t>
      </w:r>
      <w:r>
        <w:t>, twenty-one states had radon professional licensure policies</w:t>
      </w:r>
      <w:r w:rsidR="003E7BA2">
        <w:t xml:space="preserve"> (See </w:t>
      </w:r>
      <w:r w:rsidR="003E7BA2" w:rsidRPr="003E7BA2">
        <w:rPr>
          <w:b/>
        </w:rPr>
        <w:t>Appendix 15</w:t>
      </w:r>
      <w:r w:rsidR="003E7BA2">
        <w:t>)</w:t>
      </w:r>
      <w:r>
        <w:t xml:space="preserve">. </w:t>
      </w:r>
      <w:r w:rsidR="005D169B" w:rsidRPr="005D169B">
        <w:t>In addition, a number of states have radon testing and mitigation policies in relation to home sales that can be broadly classified into three groups: notification of radon risks and test results as a separate document during home sale (12 states), general disclosure of known environmental hazards during home sale (22 states), and no radon policy (11 states).</w:t>
      </w:r>
      <w:r w:rsidR="00E855EA">
        <w:t xml:space="preserve"> </w:t>
      </w:r>
      <w:hyperlink w:anchor="_ENREF_8" w:tooltip="Environmental Law Institute, 2014 #69" w:history="1">
        <w:r w:rsidR="00B61E2D">
          <w:fldChar w:fldCharType="begin"/>
        </w:r>
        <w:r w:rsidR="00B61E2D">
          <w:instrText xml:space="preserve"> ADDIN EN.CITE &lt;EndNote&gt;&lt;Cite&gt;&lt;Author&gt;Environmental Law Institute&lt;/Author&gt;&lt;Year&gt;2014&lt;/Year&gt;&lt;RecNum&gt;69&lt;/RecNum&gt;&lt;DisplayText&gt;&lt;style face="superscript"&gt;8&lt;/style&gt;&lt;/DisplayText&gt;&lt;record&gt;&lt;rec-number&gt;69&lt;/rec-number&gt;&lt;foreign-keys&gt;&lt;key app="EN" db-id="tzfw09wsu2faabetddmp0eedap22srdwfx9w"&gt;69&lt;/key&gt;&lt;/foreign-keys&gt;&lt;ref-type name="Report"&gt;27&lt;/ref-type&gt;&lt;contributors&gt;&lt;authors&gt;&lt;author&gt;Environmental Law Institute,&lt;/author&gt;&lt;/authors&gt;&lt;secondary-authors&gt;&lt;author&gt;ELI&lt;/author&gt;&lt;/secondary-authors&gt;&lt;/contributors&gt;&lt;titles&gt;&lt;title&gt;Database of Indoor Air Quality Laws - Database Excerpt: Radon Laws&lt;/title&gt;&lt;/titles&gt;&lt;dates&gt;&lt;year&gt;2014&lt;/year&gt;&lt;pub-dates&gt;&lt;date&gt;Feb.&lt;/date&gt;&lt;/pub-dates&gt;&lt;/dates&gt;&lt;pub-location&gt;Washington, DC&lt;/pub-location&gt;&lt;publisher&gt;Environmental Law Institute&lt;/publisher&gt;&lt;urls&gt;&lt;related-urls&gt;&lt;url&gt;http://www.elistore.org/reports_list.asp?topic=Indoor_Environments_and_Green_Building&lt;/url&gt;&lt;/related-urls&gt;&lt;/urls&gt;&lt;/record&gt;&lt;/Cite&gt;&lt;/EndNote&gt;</w:instrText>
        </w:r>
        <w:r w:rsidR="00B61E2D">
          <w:fldChar w:fldCharType="separate"/>
        </w:r>
        <w:r w:rsidR="00B61E2D" w:rsidRPr="00E855EA">
          <w:rPr>
            <w:noProof/>
            <w:vertAlign w:val="superscript"/>
          </w:rPr>
          <w:t>8</w:t>
        </w:r>
        <w:r w:rsidR="00B61E2D">
          <w:fldChar w:fldCharType="end"/>
        </w:r>
      </w:hyperlink>
      <w:r w:rsidR="005D169B" w:rsidRPr="005D169B">
        <w:t xml:space="preserve"> In addition, one state (Maine) has a mandatory testing requirement for rental property.</w:t>
      </w:r>
      <w:r w:rsidR="005D169B">
        <w:t xml:space="preserve"> </w:t>
      </w:r>
      <w:hyperlink w:anchor="_ENREF_8" w:tooltip="Environmental Law Institute, 2013 #69" w:history="1"/>
    </w:p>
    <w:p w14:paraId="7545BA25" w14:textId="1800DA30" w:rsidR="00851B1A" w:rsidRDefault="00851B1A" w:rsidP="00851B1A">
      <w:pPr>
        <w:pStyle w:val="BodyText1"/>
      </w:pPr>
      <w:r>
        <w:t>Th</w:t>
      </w:r>
      <w:r w:rsidR="00B95B7E">
        <w:t xml:space="preserve">e purpose of the </w:t>
      </w:r>
      <w:r w:rsidR="00B95B7E" w:rsidRPr="006D52F0">
        <w:rPr>
          <w:i/>
        </w:rPr>
        <w:t>Measuring the Effects of S</w:t>
      </w:r>
      <w:r w:rsidRPr="006D52F0">
        <w:rPr>
          <w:i/>
        </w:rPr>
        <w:t xml:space="preserve">tate and </w:t>
      </w:r>
      <w:r w:rsidR="00B95B7E" w:rsidRPr="006D52F0">
        <w:rPr>
          <w:i/>
        </w:rPr>
        <w:t>L</w:t>
      </w:r>
      <w:r w:rsidRPr="006D52F0">
        <w:rPr>
          <w:i/>
        </w:rPr>
        <w:t xml:space="preserve">ocal </w:t>
      </w:r>
      <w:r w:rsidR="00B95B7E" w:rsidRPr="006D52F0">
        <w:rPr>
          <w:i/>
        </w:rPr>
        <w:t>R</w:t>
      </w:r>
      <w:r w:rsidRPr="006D52F0">
        <w:rPr>
          <w:i/>
        </w:rPr>
        <w:t xml:space="preserve">adon </w:t>
      </w:r>
      <w:r w:rsidR="00B95B7E" w:rsidRPr="006D52F0">
        <w:rPr>
          <w:i/>
        </w:rPr>
        <w:t>P</w:t>
      </w:r>
      <w:r w:rsidRPr="006D52F0">
        <w:rPr>
          <w:i/>
        </w:rPr>
        <w:t>olicies</w:t>
      </w:r>
      <w:r>
        <w:t xml:space="preserve"> study is to understand </w:t>
      </w:r>
      <w:r w:rsidR="00B45517">
        <w:t xml:space="preserve">the uptake of state and local radon notification policies, the uptake of the recommendations or requirements contained in these policies, and </w:t>
      </w:r>
      <w:r>
        <w:t xml:space="preserve">how </w:t>
      </w:r>
      <w:r w:rsidR="00B45517">
        <w:t>the</w:t>
      </w:r>
      <w:r w:rsidR="0059043E">
        <w:t xml:space="preserve"> </w:t>
      </w:r>
      <w:r>
        <w:t>policies affect radon testing and mitigation</w:t>
      </w:r>
      <w:r w:rsidR="00C03CD9">
        <w:t xml:space="preserve"> practices</w:t>
      </w:r>
      <w:r w:rsidR="00EA0D10">
        <w:t>. The</w:t>
      </w:r>
      <w:r>
        <w:t xml:space="preserve"> primary focus </w:t>
      </w:r>
      <w:r w:rsidR="00EA0D10">
        <w:t xml:space="preserve">is </w:t>
      </w:r>
      <w:r>
        <w:t xml:space="preserve">on how single-family </w:t>
      </w:r>
      <w:r w:rsidR="00971C13">
        <w:t>standalone</w:t>
      </w:r>
      <w:r>
        <w:t xml:space="preserve"> homebuyers and real estate agents understand and are affected by policies involving single</w:t>
      </w:r>
      <w:r w:rsidR="00ED78AF">
        <w:t>-</w:t>
      </w:r>
      <w:r>
        <w:t xml:space="preserve">family </w:t>
      </w:r>
      <w:r w:rsidR="00971C13">
        <w:t>standalone</w:t>
      </w:r>
      <w:r>
        <w:t xml:space="preserve"> home sales, in order to reduce exposure to this carcinogen. </w:t>
      </w:r>
      <w:r w:rsidR="005D169B" w:rsidRPr="005D169B">
        <w:t>Notification of lead-based paint issues is required for transactions involving homes buil</w:t>
      </w:r>
      <w:r w:rsidR="0059043E">
        <w:t>t</w:t>
      </w:r>
      <w:r w:rsidR="005D169B" w:rsidRPr="005D169B">
        <w:t xml:space="preserve"> prior to 1978 in all states</w:t>
      </w:r>
      <w:r w:rsidR="00C03392">
        <w:t xml:space="preserve">. It is anticipated that the severe penalties associated with failure to disclose or notify buyers or lead-based paint issues </w:t>
      </w:r>
      <w:r w:rsidR="00224600">
        <w:t xml:space="preserve">and the almost universal presence of a separate section of each real estate transaction that asks about lead-based paint </w:t>
      </w:r>
      <w:r w:rsidR="00C03392">
        <w:t xml:space="preserve">will result in most individuals involved in single-family </w:t>
      </w:r>
      <w:r w:rsidR="00971C13">
        <w:t>standalone</w:t>
      </w:r>
      <w:r w:rsidR="00C03392">
        <w:t xml:space="preserve"> home sales, irrespective of the year the home was built, being aware of this requirement</w:t>
      </w:r>
      <w:r w:rsidR="005D169B" w:rsidRPr="005D169B">
        <w:t xml:space="preserve">. Investigators will assess participant understanding of lead-based paint issues to help provide a context for general understanding of environmental contaminants among selected states. This </w:t>
      </w:r>
      <w:r w:rsidR="00EA0D10">
        <w:t>comparison</w:t>
      </w:r>
      <w:r w:rsidR="005D169B" w:rsidRPr="005D169B">
        <w:t xml:space="preserve"> will allow stakeholders to better understand the impact of various policies intended to prevent exposure to radon</w:t>
      </w:r>
      <w:r w:rsidR="00EA0D10">
        <w:t>,</w:t>
      </w:r>
      <w:r w:rsidR="0059043E">
        <w:t xml:space="preserve"> a known carcinogen</w:t>
      </w:r>
      <w:r w:rsidR="005D169B" w:rsidRPr="005D169B">
        <w:t>.</w:t>
      </w:r>
    </w:p>
    <w:p w14:paraId="0F0318ED" w14:textId="77777777" w:rsidR="00AB4C03" w:rsidRDefault="00851B1A" w:rsidP="00B769F2">
      <w:pPr>
        <w:pStyle w:val="BodyText1"/>
      </w:pPr>
      <w:r>
        <w:t>The study approach will involve complementary qualitative and quantitative methods (i.e. mixed-methods) whose result will guide future research, recommendations, and educational efforts. The survey of homeowners and focus groups with real estate agents will involve CDC staff</w:t>
      </w:r>
      <w:r w:rsidR="002531ED">
        <w:t xml:space="preserve"> interaction with human subjects</w:t>
      </w:r>
      <w:r>
        <w:t>.</w:t>
      </w:r>
      <w:r w:rsidR="00B95B7E">
        <w:t xml:space="preserve"> </w:t>
      </w:r>
      <w:r w:rsidR="00486F3C">
        <w:t xml:space="preserve">Key </w:t>
      </w:r>
      <w:r w:rsidR="00E7306B">
        <w:t>evaluation q</w:t>
      </w:r>
      <w:r w:rsidR="00FB3E0C">
        <w:t>uestions</w:t>
      </w:r>
      <w:r w:rsidR="00486F3C">
        <w:t xml:space="preserve"> are presented in Exhibit</w:t>
      </w:r>
      <w:r w:rsidR="00625CC2">
        <w:t xml:space="preserve"> </w:t>
      </w:r>
      <w:r w:rsidR="00486F3C">
        <w:t>1</w:t>
      </w:r>
      <w:r w:rsidR="00FB3E0C">
        <w:t>.</w:t>
      </w:r>
    </w:p>
    <w:p w14:paraId="04DFFCC4" w14:textId="746CF034" w:rsidR="00486F3C" w:rsidRPr="00CF1100" w:rsidRDefault="00486F3C" w:rsidP="00486F3C">
      <w:pPr>
        <w:pStyle w:val="FigureTitle"/>
      </w:pPr>
      <w:bookmarkStart w:id="23" w:name="_Toc296586406"/>
      <w:bookmarkStart w:id="24" w:name="_Toc400113311"/>
      <w:bookmarkStart w:id="25" w:name="_Toc385929803"/>
      <w:proofErr w:type="gramStart"/>
      <w:r>
        <w:t xml:space="preserve">Exhibit </w:t>
      </w:r>
      <w:r w:rsidRPr="00CF1100">
        <w:t>1.</w:t>
      </w:r>
      <w:proofErr w:type="gramEnd"/>
      <w:r w:rsidRPr="00CF1100">
        <w:t xml:space="preserve"> Key </w:t>
      </w:r>
      <w:r w:rsidR="00595453">
        <w:t xml:space="preserve">Study </w:t>
      </w:r>
      <w:r w:rsidRPr="00CF1100">
        <w:t>Questions</w:t>
      </w:r>
      <w:bookmarkEnd w:id="23"/>
      <w:bookmarkEnd w:id="24"/>
      <w:bookmarkEnd w:id="25"/>
    </w:p>
    <w:tbl>
      <w:tblPr>
        <w:tblW w:w="8888"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8888"/>
      </w:tblGrid>
      <w:tr w:rsidR="00486F3C" w:rsidRPr="00CF1100" w14:paraId="51FC072C" w14:textId="77777777" w:rsidTr="00602F2F">
        <w:trPr>
          <w:cantSplit/>
        </w:trPr>
        <w:tc>
          <w:tcPr>
            <w:tcW w:w="8888" w:type="dxa"/>
          </w:tcPr>
          <w:p w14:paraId="1FF09551" w14:textId="73BF32C9" w:rsidR="00FB3E0C" w:rsidRPr="00973DA7" w:rsidRDefault="00FB3E0C" w:rsidP="00FB3E0C">
            <w:pPr>
              <w:autoSpaceDE w:val="0"/>
              <w:autoSpaceDN w:val="0"/>
              <w:adjustRightInd w:val="0"/>
              <w:spacing w:line="276" w:lineRule="auto"/>
              <w:ind w:left="342" w:hanging="342"/>
              <w:rPr>
                <w:noProof/>
              </w:rPr>
            </w:pPr>
            <w:r w:rsidRPr="00973DA7">
              <w:rPr>
                <w:noProof/>
              </w:rPr>
              <w:t>1.</w:t>
            </w:r>
            <w:r w:rsidRPr="00973DA7">
              <w:rPr>
                <w:noProof/>
              </w:rPr>
              <w:tab/>
              <w:t xml:space="preserve">What are the knowledge, attitudes, and practices of homebuyers and real estate agents in regard to radon health effects (including lung cancer), radon professional certification, and radon testing/control policies that affect single-family </w:t>
            </w:r>
            <w:r w:rsidR="00971C13">
              <w:rPr>
                <w:noProof/>
              </w:rPr>
              <w:t xml:space="preserve">standalone </w:t>
            </w:r>
            <w:r w:rsidRPr="00973DA7">
              <w:rPr>
                <w:noProof/>
              </w:rPr>
              <w:t>home sales?</w:t>
            </w:r>
          </w:p>
          <w:p w14:paraId="6B9CFB0C" w14:textId="77777777" w:rsidR="00FB3E0C" w:rsidRPr="00973DA7" w:rsidRDefault="00FB3E0C" w:rsidP="00FB3E0C">
            <w:pPr>
              <w:autoSpaceDE w:val="0"/>
              <w:autoSpaceDN w:val="0"/>
              <w:adjustRightInd w:val="0"/>
              <w:spacing w:line="276" w:lineRule="auto"/>
              <w:ind w:left="342" w:hanging="342"/>
              <w:rPr>
                <w:noProof/>
              </w:rPr>
            </w:pPr>
          </w:p>
          <w:p w14:paraId="0057E52A" w14:textId="6F6FCE57" w:rsidR="00FB3E0C" w:rsidRPr="00973DA7" w:rsidRDefault="00FB3E0C" w:rsidP="00FB3E0C">
            <w:pPr>
              <w:autoSpaceDE w:val="0"/>
              <w:autoSpaceDN w:val="0"/>
              <w:adjustRightInd w:val="0"/>
              <w:spacing w:line="276" w:lineRule="auto"/>
              <w:ind w:left="342" w:hanging="342"/>
              <w:rPr>
                <w:noProof/>
              </w:rPr>
            </w:pPr>
            <w:r w:rsidRPr="00973DA7">
              <w:rPr>
                <w:noProof/>
              </w:rPr>
              <w:t>2.</w:t>
            </w:r>
            <w:r w:rsidRPr="00973DA7">
              <w:rPr>
                <w:noProof/>
              </w:rPr>
              <w:tab/>
              <w:t xml:space="preserve">Does awareness about </w:t>
            </w:r>
            <w:r w:rsidR="00966A2F">
              <w:rPr>
                <w:noProof/>
              </w:rPr>
              <w:t>Federal</w:t>
            </w:r>
            <w:r w:rsidRPr="00973DA7">
              <w:rPr>
                <w:noProof/>
              </w:rPr>
              <w:t xml:space="preserve"> lead-based paint notification </w:t>
            </w:r>
            <w:r w:rsidR="007436A1">
              <w:rPr>
                <w:noProof/>
              </w:rPr>
              <w:t>appear to influence</w:t>
            </w:r>
            <w:r w:rsidRPr="00973DA7">
              <w:rPr>
                <w:noProof/>
              </w:rPr>
              <w:t xml:space="preserve"> awareness about radon?</w:t>
            </w:r>
          </w:p>
          <w:p w14:paraId="46FF1BA7" w14:textId="77777777" w:rsidR="00FB3E0C" w:rsidRPr="00973DA7" w:rsidRDefault="00FB3E0C" w:rsidP="00FB3E0C">
            <w:pPr>
              <w:autoSpaceDE w:val="0"/>
              <w:autoSpaceDN w:val="0"/>
              <w:adjustRightInd w:val="0"/>
              <w:spacing w:line="276" w:lineRule="auto"/>
              <w:ind w:left="342" w:hanging="342"/>
              <w:rPr>
                <w:noProof/>
              </w:rPr>
            </w:pPr>
          </w:p>
          <w:p w14:paraId="43D4B3A1" w14:textId="41B05B8C" w:rsidR="00486F3C" w:rsidRPr="00BF4CEC" w:rsidRDefault="00FB3E0C" w:rsidP="00500479">
            <w:pPr>
              <w:autoSpaceDE w:val="0"/>
              <w:autoSpaceDN w:val="0"/>
              <w:adjustRightInd w:val="0"/>
              <w:spacing w:line="276" w:lineRule="auto"/>
              <w:ind w:left="342" w:hanging="342"/>
              <w:rPr>
                <w:noProof/>
                <w:sz w:val="22"/>
                <w:szCs w:val="22"/>
              </w:rPr>
            </w:pPr>
            <w:r w:rsidRPr="00973DA7">
              <w:rPr>
                <w:noProof/>
              </w:rPr>
              <w:t>3.</w:t>
            </w:r>
            <w:r w:rsidRPr="00973DA7">
              <w:rPr>
                <w:noProof/>
              </w:rPr>
              <w:tab/>
              <w:t xml:space="preserve">Overall, </w:t>
            </w:r>
            <w:r w:rsidR="00500479">
              <w:rPr>
                <w:noProof/>
              </w:rPr>
              <w:t xml:space="preserve">to what extent does the comparative analysis of various radon policies suggest that implementation of similar notification policies in other locations likely to have elevated radon could be of value (i.e., change awareness levels, increase radon testing rates in real estate transactions) </w:t>
            </w:r>
            <w:r w:rsidRPr="00973DA7">
              <w:rPr>
                <w:noProof/>
              </w:rPr>
              <w:t>if implemented at the state level?</w:t>
            </w:r>
            <w:r w:rsidR="00486F3C">
              <w:rPr>
                <w:rFonts w:ascii="TimesNewRomanPSMT" w:hAnsi="TimesNewRomanPSMT" w:cs="TimesNewRomanPSMT"/>
                <w:sz w:val="22"/>
                <w:szCs w:val="22"/>
              </w:rPr>
              <w:tab/>
            </w:r>
          </w:p>
        </w:tc>
      </w:tr>
    </w:tbl>
    <w:p w14:paraId="4CABFB19" w14:textId="77777777" w:rsidR="009F2303" w:rsidRDefault="009F2303" w:rsidP="00F4631D">
      <w:pPr>
        <w:pStyle w:val="BodyText1"/>
        <w:ind w:firstLine="0"/>
      </w:pPr>
    </w:p>
    <w:p w14:paraId="7CCCDF4C" w14:textId="77777777" w:rsidR="00973DA7" w:rsidRDefault="00E7306B" w:rsidP="00F4631D">
      <w:pPr>
        <w:pStyle w:val="BodyText1"/>
        <w:ind w:firstLine="0"/>
        <w:rPr>
          <w:b/>
          <w:i/>
        </w:rPr>
      </w:pPr>
      <w:r>
        <w:t>T</w:t>
      </w:r>
      <w:r w:rsidRPr="00E7306B">
        <w:t xml:space="preserve">he </w:t>
      </w:r>
      <w:r>
        <w:t>s</w:t>
      </w:r>
      <w:r w:rsidRPr="00E7306B">
        <w:t xml:space="preserve">tudy </w:t>
      </w:r>
      <w:r>
        <w:t>f</w:t>
      </w:r>
      <w:r w:rsidRPr="00E7306B">
        <w:t>lowchart</w:t>
      </w:r>
      <w:r>
        <w:t xml:space="preserve"> in </w:t>
      </w:r>
      <w:r w:rsidR="00E44A1C">
        <w:rPr>
          <w:b/>
        </w:rPr>
        <w:t>Appendix 4</w:t>
      </w:r>
      <w:r w:rsidR="00973DA7" w:rsidRPr="00E7306B">
        <w:t xml:space="preserve"> provides</w:t>
      </w:r>
      <w:r w:rsidR="00973DA7">
        <w:t xml:space="preserve"> an overview of the study</w:t>
      </w:r>
      <w:r w:rsidR="00B8289D">
        <w:t xml:space="preserve"> design</w:t>
      </w:r>
      <w:r w:rsidR="00973DA7">
        <w:t xml:space="preserve">. </w:t>
      </w:r>
    </w:p>
    <w:p w14:paraId="5A9F520E" w14:textId="090C3093" w:rsidR="00B61E2D" w:rsidRDefault="00B61E2D" w:rsidP="00E44A1C">
      <w:pPr>
        <w:pStyle w:val="BodyText1"/>
      </w:pPr>
      <w:r>
        <w:t xml:space="preserve">Development of the </w:t>
      </w:r>
      <w:r w:rsidRPr="00F678EC">
        <w:t>survey instrument</w:t>
      </w:r>
      <w:r>
        <w:t xml:space="preserve"> involved administration of the survey to</w:t>
      </w:r>
      <w:r w:rsidRPr="00F678EC">
        <w:t xml:space="preserve"> eight recent single-family </w:t>
      </w:r>
      <w:r w:rsidR="00971C13">
        <w:t>standalone</w:t>
      </w:r>
      <w:r w:rsidRPr="00F678EC">
        <w:t xml:space="preserve"> homebuyers</w:t>
      </w:r>
      <w:r w:rsidR="00FE4392">
        <w:t>,</w:t>
      </w:r>
      <w:r>
        <w:t xml:space="preserve"> which </w:t>
      </w:r>
      <w:r w:rsidRPr="00F678EC">
        <w:t xml:space="preserve">allowed investigators to refine </w:t>
      </w:r>
      <w:r>
        <w:t>it</w:t>
      </w:r>
      <w:r w:rsidRPr="00F678EC">
        <w:t xml:space="preserve">. </w:t>
      </w:r>
      <w:r>
        <w:t xml:space="preserve">Yet, as this study evaluates the impact of </w:t>
      </w:r>
      <w:r w:rsidR="00FE4392">
        <w:t xml:space="preserve">state </w:t>
      </w:r>
      <w:r>
        <w:t>policies</w:t>
      </w:r>
      <w:r w:rsidR="00FE4392">
        <w:t>,</w:t>
      </w:r>
      <w:r>
        <w:t xml:space="preserve"> and results will help inform decision-makers</w:t>
      </w:r>
      <w:r w:rsidR="00FE4392">
        <w:t xml:space="preserve"> about the potential impact of future policies,</w:t>
      </w:r>
      <w:r>
        <w:t xml:space="preserve"> it was determined that </w:t>
      </w:r>
      <w:r w:rsidR="00FE4392">
        <w:t xml:space="preserve">formal </w:t>
      </w:r>
      <w:r>
        <w:t>cognitive testing of the survey by participants in two study sites is needed.</w:t>
      </w:r>
      <w:r w:rsidR="00FE4392">
        <w:t xml:space="preserve"> Cognitive testing is a well-established practice undertaken by CDC, other federal agencies, and academic researchers to ensure survey questions accurately capture the desired information.</w:t>
      </w:r>
      <w:r w:rsidR="00FE4392">
        <w:fldChar w:fldCharType="begin"/>
      </w:r>
      <w:r w:rsidR="00FE4392">
        <w:instrText xml:space="preserve"> ADDIN EN.CITE &lt;EndNote&gt;&lt;Cite&gt;&lt;Author&gt;Biemer&lt;/Author&gt;&lt;Year&gt;2003&lt;/Year&gt;&lt;RecNum&gt;34&lt;/RecNum&gt;&lt;DisplayText&gt;&lt;style face="superscript"&gt;9,10&lt;/style&gt;&lt;/DisplayText&gt;&lt;record&gt;&lt;rec-number&gt;34&lt;/rec-number&gt;&lt;foreign-keys&gt;&lt;key app="EN" db-id="ewftvfe9k5tz5derfz25taftpx5a2z2swapv"&gt;34&lt;/key&gt;&lt;/foreign-keys&gt;&lt;ref-type name="Book"&gt;6&lt;/ref-type&gt;&lt;contributors&gt;&lt;authors&gt;&lt;author&gt;Biemer, PP.,&lt;/author&gt;&lt;author&gt;Lyberg, LE. &lt;/author&gt;&lt;/authors&gt;&lt;/contributors&gt;&lt;titles&gt;&lt;title&gt;Introduction to survey quality.&lt;/title&gt;&lt;/titles&gt;&lt;dates&gt;&lt;year&gt;2003&lt;/year&gt;&lt;/dates&gt;&lt;pub-location&gt;Hoboken, NJ&lt;/pub-location&gt;&lt;publisher&gt;Wiley&lt;/publisher&gt;&lt;urls&gt;&lt;/urls&gt;&lt;/record&gt;&lt;/Cite&gt;&lt;Cite&gt;&lt;Author&gt;Groves&lt;/Author&gt;&lt;Year&gt;2009&lt;/Year&gt;&lt;RecNum&gt;35&lt;/RecNum&gt;&lt;record&gt;&lt;rec-number&gt;35&lt;/rec-number&gt;&lt;foreign-keys&gt;&lt;key app="EN" db-id="ewftvfe9k5tz5derfz25taftpx5a2z2swapv"&gt;35&lt;/key&gt;&lt;/foreign-keys&gt;&lt;ref-type name="Book"&gt;6&lt;/ref-type&gt;&lt;contributors&gt;&lt;authors&gt;&lt;author&gt;Groves, RM,&lt;/author&gt;&lt;author&gt;Fowler, FJ,&lt;/author&gt;&lt;author&gt;Couper, MP,&lt;/author&gt;&lt;author&gt;Lepkowski, JM,&lt;/author&gt;&lt;author&gt;Singer, E,&lt;/author&gt;&lt;author&gt;Tourangeau, R&lt;/author&gt;&lt;/authors&gt;&lt;/contributors&gt;&lt;titles&gt;&lt;title&gt;Survey methodology 2nd ed.&lt;/title&gt;&lt;/titles&gt;&lt;edition&gt;2nd&lt;/edition&gt;&lt;dates&gt;&lt;year&gt;2009&lt;/year&gt;&lt;/dates&gt;&lt;pub-location&gt;Hoboken, NJ&lt;/pub-location&gt;&lt;publisher&gt;John Wiley and Sons&lt;/publisher&gt;&lt;urls&gt;&lt;/urls&gt;&lt;/record&gt;&lt;/Cite&gt;&lt;/EndNote&gt;</w:instrText>
      </w:r>
      <w:r w:rsidR="00FE4392">
        <w:fldChar w:fldCharType="separate"/>
      </w:r>
      <w:hyperlink w:anchor="_ENREF_9" w:tooltip="Biemer, 2003 #34" w:history="1">
        <w:r w:rsidR="00FE4392" w:rsidRPr="00B61E2D">
          <w:rPr>
            <w:noProof/>
            <w:vertAlign w:val="superscript"/>
          </w:rPr>
          <w:t>9</w:t>
        </w:r>
      </w:hyperlink>
      <w:r w:rsidR="00FE4392" w:rsidRPr="00B61E2D">
        <w:rPr>
          <w:noProof/>
          <w:vertAlign w:val="superscript"/>
        </w:rPr>
        <w:t>,</w:t>
      </w:r>
      <w:hyperlink w:anchor="_ENREF_10" w:tooltip="Groves, 2009 #35" w:history="1">
        <w:r w:rsidR="00FE4392" w:rsidRPr="00B61E2D">
          <w:rPr>
            <w:noProof/>
            <w:vertAlign w:val="superscript"/>
          </w:rPr>
          <w:t>10</w:t>
        </w:r>
      </w:hyperlink>
      <w:r w:rsidR="00FE4392">
        <w:fldChar w:fldCharType="end"/>
      </w:r>
      <w:r w:rsidR="00FE4392">
        <w:t xml:space="preserve"> </w:t>
      </w:r>
      <w:r w:rsidR="002F0E1A">
        <w:t>Of most importance, c</w:t>
      </w:r>
      <w:r w:rsidR="00FE4392">
        <w:t>ognitive testing will improve study efficiency to ensure questions are presented in a manner readily understood by respondents. Testing will also provide greater assurance that responses are of the highest quality so that accurate interpretations of responses can be made. C</w:t>
      </w:r>
      <w:r w:rsidR="00FE4392" w:rsidRPr="00FE4392">
        <w:t xml:space="preserve">ognitive testing </w:t>
      </w:r>
      <w:r w:rsidR="00FE4392">
        <w:t xml:space="preserve">of </w:t>
      </w:r>
      <w:r w:rsidR="00FE4392" w:rsidRPr="00FE4392">
        <w:t xml:space="preserve">the survey will be done by telephone with 12 – 16 recent homebuyers at two sites (one Notification and one No-notification) for a total of 24 – 32 people. </w:t>
      </w:r>
    </w:p>
    <w:p w14:paraId="2D1BCF0F" w14:textId="2C51ADE4" w:rsidR="00A45A1A" w:rsidRDefault="00A45A1A" w:rsidP="00E44A1C">
      <w:pPr>
        <w:pStyle w:val="BodyText1"/>
      </w:pPr>
      <w:r>
        <w:rPr>
          <w:b/>
        </w:rPr>
        <w:t>Appendix 5</w:t>
      </w:r>
      <w:r w:rsidRPr="00A45A1A">
        <w:t xml:space="preserve"> contains the cognitive testing approach to be used and </w:t>
      </w:r>
      <w:r>
        <w:rPr>
          <w:b/>
        </w:rPr>
        <w:t>Appendi</w:t>
      </w:r>
      <w:r w:rsidR="009C1D58">
        <w:rPr>
          <w:b/>
        </w:rPr>
        <w:t>ces</w:t>
      </w:r>
      <w:r>
        <w:rPr>
          <w:b/>
        </w:rPr>
        <w:t xml:space="preserve"> 6</w:t>
      </w:r>
      <w:r w:rsidR="009C1D58">
        <w:rPr>
          <w:b/>
        </w:rPr>
        <w:t>a</w:t>
      </w:r>
      <w:r w:rsidR="009805BD">
        <w:rPr>
          <w:b/>
        </w:rPr>
        <w:t xml:space="preserve">, </w:t>
      </w:r>
      <w:r w:rsidR="009C1D58">
        <w:rPr>
          <w:b/>
        </w:rPr>
        <w:t>6b</w:t>
      </w:r>
      <w:r w:rsidR="009805BD">
        <w:rPr>
          <w:b/>
        </w:rPr>
        <w:t>, and 6c</w:t>
      </w:r>
      <w:r w:rsidRPr="00A45A1A">
        <w:t xml:space="preserve"> contain the data dictionary and survey for homebuyers. </w:t>
      </w:r>
      <w:r w:rsidR="00E530D2">
        <w:t>We expect cognitive testing to result in non-substantive changes only.</w:t>
      </w:r>
      <w:r w:rsidRPr="00A45A1A">
        <w:t xml:space="preserve"> The mailed survey will </w:t>
      </w:r>
      <w:r w:rsidR="00FE4392">
        <w:t xml:space="preserve">then </w:t>
      </w:r>
      <w:r w:rsidRPr="00A45A1A">
        <w:t xml:space="preserve">be sent to 3,000 recent </w:t>
      </w:r>
      <w:r w:rsidR="00F678EC" w:rsidRPr="00F678EC">
        <w:t>(i.e.</w:t>
      </w:r>
      <w:r w:rsidR="008D7E75">
        <w:t>,</w:t>
      </w:r>
      <w:r w:rsidR="00F678EC" w:rsidRPr="00F678EC">
        <w:t xml:space="preserve"> within the last 12-months) randomly selected </w:t>
      </w:r>
      <w:r w:rsidRPr="00A45A1A">
        <w:t>homebuyers at the four sites.</w:t>
      </w:r>
      <w:r w:rsidR="00705C9B">
        <w:t xml:space="preserve"> A conservative estimate for a response is a 30% completion rate, indicating that approximately 900 participants will respond to the mailed survey. </w:t>
      </w:r>
      <w:r w:rsidRPr="00A45A1A">
        <w:t xml:space="preserve"> </w:t>
      </w:r>
    </w:p>
    <w:p w14:paraId="1EE3427A" w14:textId="0B8C576A" w:rsidR="00A45A1A" w:rsidRDefault="00A45A1A" w:rsidP="00E44A1C">
      <w:pPr>
        <w:pStyle w:val="BodyText1"/>
      </w:pPr>
      <w:r w:rsidRPr="00A45A1A">
        <w:t>Finally, investigators will conduct three focus group interviews of 6</w:t>
      </w:r>
      <w:r w:rsidR="00D679A5">
        <w:t>–</w:t>
      </w:r>
      <w:r w:rsidRPr="00A45A1A">
        <w:t xml:space="preserve">8 real estate agents at each of the four sites </w:t>
      </w:r>
      <w:r w:rsidR="00240CAB">
        <w:t xml:space="preserve">(totaling 96 participants) </w:t>
      </w:r>
      <w:r w:rsidRPr="00A45A1A">
        <w:t>exploring the KAP of real estate agents in regard to radon and lead. The interview guide</w:t>
      </w:r>
      <w:r w:rsidR="002F0E1A">
        <w:t>,</w:t>
      </w:r>
      <w:r w:rsidRPr="00A45A1A">
        <w:t xml:space="preserve"> </w:t>
      </w:r>
      <w:r w:rsidR="005B553B" w:rsidRPr="00A45A1A">
        <w:t xml:space="preserve">located in </w:t>
      </w:r>
      <w:r w:rsidR="005B553B">
        <w:rPr>
          <w:b/>
        </w:rPr>
        <w:t>Appendix 7</w:t>
      </w:r>
      <w:r w:rsidR="002F0E1A">
        <w:rPr>
          <w:b/>
        </w:rPr>
        <w:t>,</w:t>
      </w:r>
      <w:r w:rsidR="005B553B" w:rsidRPr="00A45A1A">
        <w:t xml:space="preserve"> </w:t>
      </w:r>
      <w:r w:rsidRPr="00A45A1A">
        <w:t xml:space="preserve">for </w:t>
      </w:r>
      <w:proofErr w:type="gramStart"/>
      <w:r w:rsidRPr="00A45A1A">
        <w:t xml:space="preserve">these groups </w:t>
      </w:r>
      <w:r w:rsidR="005B553B">
        <w:t>that has</w:t>
      </w:r>
      <w:proofErr w:type="gramEnd"/>
      <w:r w:rsidR="005B553B">
        <w:t xml:space="preserve"> gone through a review by staff from the </w:t>
      </w:r>
      <w:r w:rsidR="005B553B" w:rsidRPr="00F678EC">
        <w:t>National Association of Realtors</w:t>
      </w:r>
      <w:r w:rsidRPr="00A45A1A">
        <w:t>.</w:t>
      </w:r>
    </w:p>
    <w:p w14:paraId="54CBE54C" w14:textId="32B05A7E" w:rsidR="007F0B28" w:rsidRDefault="00FF72A5" w:rsidP="00055F70">
      <w:pPr>
        <w:pStyle w:val="BodyText1"/>
      </w:pPr>
      <w:r w:rsidRPr="00A76EE1">
        <w:rPr>
          <w:b/>
        </w:rPr>
        <w:t>Appendi</w:t>
      </w:r>
      <w:r w:rsidR="00DC6FE1" w:rsidRPr="00A76EE1">
        <w:rPr>
          <w:b/>
        </w:rPr>
        <w:t xml:space="preserve">ces </w:t>
      </w:r>
      <w:r w:rsidR="00CF0AC8" w:rsidRPr="00A76EE1">
        <w:rPr>
          <w:b/>
        </w:rPr>
        <w:t>5</w:t>
      </w:r>
      <w:r w:rsidR="003777CD">
        <w:rPr>
          <w:b/>
        </w:rPr>
        <w:t>, 6b,</w:t>
      </w:r>
      <w:r w:rsidR="009805BD">
        <w:rPr>
          <w:b/>
        </w:rPr>
        <w:t xml:space="preserve"> 6c,</w:t>
      </w:r>
      <w:r w:rsidR="003777CD">
        <w:rPr>
          <w:b/>
        </w:rPr>
        <w:t xml:space="preserve"> 10, 12, and 14</w:t>
      </w:r>
      <w:r w:rsidR="002957C1">
        <w:t xml:space="preserve"> </w:t>
      </w:r>
      <w:r w:rsidR="002C0770">
        <w:t>contain</w:t>
      </w:r>
      <w:r w:rsidR="002957C1">
        <w:t xml:space="preserve"> </w:t>
      </w:r>
      <w:r w:rsidR="003777CD">
        <w:t xml:space="preserve">informed </w:t>
      </w:r>
      <w:r w:rsidR="00A76EE1">
        <w:t xml:space="preserve">consent forms and </w:t>
      </w:r>
      <w:r w:rsidR="002957C1">
        <w:t>data collection instruments to be used</w:t>
      </w:r>
      <w:r w:rsidR="00E803BE">
        <w:t>.</w:t>
      </w:r>
      <w:r w:rsidR="004E6AA9">
        <w:t xml:space="preserve"> Note that the CDC Institutional Review Board (IRB) has approved a waiver of </w:t>
      </w:r>
      <w:r w:rsidR="00BE7BFC">
        <w:t xml:space="preserve">documentation of </w:t>
      </w:r>
      <w:r w:rsidR="004E6AA9">
        <w:t xml:space="preserve">informed consent for the homebuyer survey cognitive testing and main survey as the information collected poses </w:t>
      </w:r>
      <w:r w:rsidR="004E6AA9" w:rsidRPr="004E6AA9">
        <w:t>no more than minimal risk of harm to subjects</w:t>
      </w:r>
      <w:r w:rsidR="00F678EC">
        <w:t>.</w:t>
      </w:r>
    </w:p>
    <w:p w14:paraId="79C7B0C4" w14:textId="77777777" w:rsidR="008631C8" w:rsidRDefault="007F0B28" w:rsidP="008631C8">
      <w:pPr>
        <w:pStyle w:val="Heading2"/>
      </w:pPr>
      <w:bookmarkStart w:id="26" w:name="_Toc143058437"/>
      <w:bookmarkStart w:id="27" w:name="_Toc146088435"/>
      <w:bookmarkStart w:id="28" w:name="_Toc260215288"/>
      <w:bookmarkStart w:id="29" w:name="_Toc296586361"/>
      <w:bookmarkStart w:id="30" w:name="_Toc389143694"/>
      <w:bookmarkStart w:id="31" w:name="_Toc411604794"/>
      <w:r w:rsidRPr="00CF1100">
        <w:t>A.2</w:t>
      </w:r>
      <w:r w:rsidRPr="00CF1100">
        <w:tab/>
        <w:t>Purpose and Use of the Information Collection</w:t>
      </w:r>
      <w:bookmarkEnd w:id="26"/>
      <w:bookmarkEnd w:id="27"/>
      <w:bookmarkEnd w:id="28"/>
      <w:bookmarkEnd w:id="29"/>
      <w:bookmarkEnd w:id="30"/>
      <w:bookmarkEnd w:id="31"/>
      <w:r w:rsidRPr="00CF1100">
        <w:t xml:space="preserve"> </w:t>
      </w:r>
    </w:p>
    <w:p w14:paraId="7CD5473C" w14:textId="59927A71" w:rsidR="001748F6" w:rsidRPr="001748F6" w:rsidRDefault="001748F6" w:rsidP="001748F6">
      <w:pPr>
        <w:spacing w:after="120" w:line="360" w:lineRule="auto"/>
        <w:ind w:firstLine="720"/>
        <w:rPr>
          <w:szCs w:val="20"/>
        </w:rPr>
      </w:pPr>
      <w:r w:rsidRPr="001748F6">
        <w:rPr>
          <w:szCs w:val="20"/>
        </w:rPr>
        <w:t>Collectively, these i</w:t>
      </w:r>
      <w:r w:rsidR="00AF6D1B">
        <w:rPr>
          <w:szCs w:val="20"/>
        </w:rPr>
        <w:t xml:space="preserve">nterventions support the </w:t>
      </w:r>
      <w:r w:rsidR="008826BF">
        <w:rPr>
          <w:szCs w:val="20"/>
        </w:rPr>
        <w:t xml:space="preserve">public health </w:t>
      </w:r>
      <w:r w:rsidRPr="001748F6">
        <w:rPr>
          <w:szCs w:val="20"/>
        </w:rPr>
        <w:t>goals of the Department of Health and Human Service</w:t>
      </w:r>
      <w:r>
        <w:rPr>
          <w:szCs w:val="20"/>
        </w:rPr>
        <w:t>s,</w:t>
      </w:r>
      <w:r w:rsidR="008826BF">
        <w:rPr>
          <w:szCs w:val="20"/>
        </w:rPr>
        <w:t xml:space="preserve"> the Environmental Protection Agency, and Department of Housing and Urban Development. The interventions directly address three </w:t>
      </w:r>
      <w:r w:rsidR="008826BF" w:rsidRPr="008826BF">
        <w:rPr>
          <w:szCs w:val="20"/>
        </w:rPr>
        <w:t>Healthy People 2020 Focus Area</w:t>
      </w:r>
      <w:r w:rsidR="008826BF">
        <w:rPr>
          <w:szCs w:val="20"/>
        </w:rPr>
        <w:t>s related to lung cancer and radon, multiple agency-specific</w:t>
      </w:r>
      <w:r w:rsidR="002A7CEF">
        <w:rPr>
          <w:szCs w:val="20"/>
        </w:rPr>
        <w:t xml:space="preserve"> priorities,</w:t>
      </w:r>
      <w:r w:rsidR="008826BF">
        <w:rPr>
          <w:szCs w:val="20"/>
        </w:rPr>
        <w:t xml:space="preserve"> Federal Radon Workgroup priorities, </w:t>
      </w:r>
      <w:r w:rsidR="002A7CEF">
        <w:rPr>
          <w:szCs w:val="20"/>
        </w:rPr>
        <w:t>and</w:t>
      </w:r>
      <w:r w:rsidR="008826BF">
        <w:rPr>
          <w:szCs w:val="20"/>
        </w:rPr>
        <w:t xml:space="preserve"> </w:t>
      </w:r>
      <w:r w:rsidRPr="001748F6">
        <w:rPr>
          <w:szCs w:val="20"/>
        </w:rPr>
        <w:t>the National Comprehensive Cancer Control Program’s goal of emphasizing the primary prevention of cancer.</w:t>
      </w:r>
      <w:r w:rsidR="002A7CEF">
        <w:rPr>
          <w:szCs w:val="20"/>
        </w:rPr>
        <w:t xml:space="preserve"> </w:t>
      </w:r>
      <w:r w:rsidR="005D169B">
        <w:rPr>
          <w:szCs w:val="20"/>
        </w:rPr>
        <w:fldChar w:fldCharType="begin">
          <w:fldData xml:space="preserve">PEVuZE5vdGU+PENpdGU+PEF1dGhvcj5FUEE8L0F1dGhvcj48WWVhcj4yMDExPC9ZZWFyPjxSZWNO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</w:fldData>
        </w:fldChar>
      </w:r>
      <w:r w:rsidR="00B61E2D">
        <w:rPr>
          <w:szCs w:val="20"/>
        </w:rPr>
        <w:instrText xml:space="preserve"> ADDIN EN.CITE </w:instrText>
      </w:r>
      <w:r w:rsidR="00B61E2D">
        <w:rPr>
          <w:szCs w:val="20"/>
        </w:rPr>
        <w:fldChar w:fldCharType="begin">
          <w:fldData xml:space="preserve">PEVuZE5vdGU+PENpdGU+PEF1dGhvcj5FUEE8L0F1dGhvcj48WWVhcj4yMDExPC9ZZWFyPjxSZWNO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</w:fldData>
        </w:fldChar>
      </w:r>
      <w:r w:rsidR="00B61E2D">
        <w:rPr>
          <w:szCs w:val="20"/>
        </w:rPr>
        <w:instrText xml:space="preserve"> ADDIN EN.CITE.DATA </w:instrText>
      </w:r>
      <w:r w:rsidR="00B61E2D">
        <w:rPr>
          <w:szCs w:val="20"/>
        </w:rPr>
      </w:r>
      <w:r w:rsidR="00B61E2D">
        <w:rPr>
          <w:szCs w:val="20"/>
        </w:rPr>
        <w:fldChar w:fldCharType="end"/>
      </w:r>
      <w:r w:rsidR="005D169B">
        <w:rPr>
          <w:szCs w:val="20"/>
        </w:rPr>
      </w:r>
      <w:r w:rsidR="005D169B">
        <w:rPr>
          <w:szCs w:val="20"/>
        </w:rPr>
        <w:fldChar w:fldCharType="separate"/>
      </w:r>
      <w:hyperlink w:anchor="_ENREF_7" w:tooltip="EPA, 2011 #71" w:history="1">
        <w:r w:rsidR="00B61E2D" w:rsidRPr="00B61E2D">
          <w:rPr>
            <w:noProof/>
            <w:szCs w:val="20"/>
            <w:vertAlign w:val="superscript"/>
          </w:rPr>
          <w:t>7</w:t>
        </w:r>
      </w:hyperlink>
      <w:r w:rsidR="00B61E2D" w:rsidRPr="00B61E2D">
        <w:rPr>
          <w:noProof/>
          <w:szCs w:val="20"/>
          <w:vertAlign w:val="superscript"/>
        </w:rPr>
        <w:t>,</w:t>
      </w:r>
      <w:hyperlink w:anchor="_ENREF_11" w:tooltip="Department of Health and Human Services, 2011 #121" w:history="1">
        <w:r w:rsidR="00B61E2D" w:rsidRPr="00B61E2D">
          <w:rPr>
            <w:noProof/>
            <w:szCs w:val="20"/>
            <w:vertAlign w:val="superscript"/>
          </w:rPr>
          <w:t>11</w:t>
        </w:r>
      </w:hyperlink>
      <w:r w:rsidR="00B61E2D" w:rsidRPr="00B61E2D">
        <w:rPr>
          <w:noProof/>
          <w:szCs w:val="20"/>
          <w:vertAlign w:val="superscript"/>
        </w:rPr>
        <w:t>,</w:t>
      </w:r>
      <w:hyperlink w:anchor="_ENREF_12" w:tooltip="Department of Health and Human Services, 2013 #122" w:history="1">
        <w:r w:rsidR="00B61E2D" w:rsidRPr="00B61E2D">
          <w:rPr>
            <w:noProof/>
            <w:szCs w:val="20"/>
            <w:vertAlign w:val="superscript"/>
          </w:rPr>
          <w:t>12</w:t>
        </w:r>
      </w:hyperlink>
      <w:r w:rsidR="005D169B">
        <w:rPr>
          <w:szCs w:val="20"/>
        </w:rPr>
        <w:fldChar w:fldCharType="end"/>
      </w:r>
    </w:p>
    <w:p w14:paraId="1D1AC88D" w14:textId="33B02C14" w:rsidR="007F0B28" w:rsidRDefault="007F0B28" w:rsidP="00055F70">
      <w:pPr>
        <w:pStyle w:val="BodyText1"/>
        <w:rPr>
          <w:b/>
          <w:i/>
        </w:rPr>
      </w:pPr>
      <w:r>
        <w:t xml:space="preserve">The </w:t>
      </w:r>
      <w:r w:rsidR="00B41C8E">
        <w:t xml:space="preserve">overall </w:t>
      </w:r>
      <w:r>
        <w:t xml:space="preserve">purpose of the </w:t>
      </w:r>
      <w:r w:rsidR="00B41C8E">
        <w:t>information collection</w:t>
      </w:r>
      <w:r w:rsidR="00652F7E">
        <w:t xml:space="preserve"> </w:t>
      </w:r>
      <w:r>
        <w:t xml:space="preserve">is to compare and contrast the </w:t>
      </w:r>
      <w:r w:rsidR="00AD1BA3">
        <w:t>effect</w:t>
      </w:r>
      <w:r>
        <w:t xml:space="preserve"> of </w:t>
      </w:r>
      <w:r w:rsidR="00AD1BA3">
        <w:t xml:space="preserve">radon </w:t>
      </w:r>
      <w:r w:rsidR="00B41C8E">
        <w:t xml:space="preserve">and lead </w:t>
      </w:r>
      <w:r w:rsidR="00AD1BA3">
        <w:t xml:space="preserve">policies related to home sales and professional licensing on single-family </w:t>
      </w:r>
      <w:r w:rsidR="00971C13">
        <w:t xml:space="preserve">standalone </w:t>
      </w:r>
      <w:r w:rsidR="00AD1BA3">
        <w:t>homebuyers</w:t>
      </w:r>
      <w:r w:rsidR="00B41C8E">
        <w:t xml:space="preserve"> and real estate agents</w:t>
      </w:r>
      <w:r w:rsidR="00AD1BA3">
        <w:t xml:space="preserve"> in a total of four states</w:t>
      </w:r>
      <w:r w:rsidR="00EA0D10">
        <w:t>, two</w:t>
      </w:r>
      <w:r w:rsidR="00AD1BA3">
        <w:t xml:space="preserve"> with and </w:t>
      </w:r>
      <w:r w:rsidR="00EA0D10">
        <w:t xml:space="preserve">two </w:t>
      </w:r>
      <w:r w:rsidR="00AD1BA3">
        <w:t xml:space="preserve">without such policies. </w:t>
      </w:r>
      <w:r w:rsidR="00D06037">
        <w:t xml:space="preserve">This review will </w:t>
      </w:r>
      <w:r w:rsidR="00B41C8E">
        <w:t>inform</w:t>
      </w:r>
      <w:r w:rsidR="00D06037">
        <w:t xml:space="preserve"> federal, state, city, and local </w:t>
      </w:r>
      <w:r w:rsidR="00B41C8E">
        <w:t>decision makers how these policies affect homebuyer and real estate agent KAP in relation to these harmful substances. The primary outcome of interest is the difference in KAP between participants in states with and without these policies.</w:t>
      </w:r>
    </w:p>
    <w:p w14:paraId="278C9786" w14:textId="77777777" w:rsidR="007F0B28" w:rsidRDefault="005C08A8" w:rsidP="00754198">
      <w:pPr>
        <w:pStyle w:val="BodyText1"/>
      </w:pPr>
      <w:r>
        <w:t>Investigators</w:t>
      </w:r>
      <w:r w:rsidR="007F0B28" w:rsidRPr="00754198">
        <w:t xml:space="preserve"> will disseminate results through a variety of strategies, including</w:t>
      </w:r>
      <w:r w:rsidR="00754198">
        <w:t xml:space="preserve"> </w:t>
      </w:r>
      <w:r w:rsidR="007F0B28" w:rsidRPr="00754198">
        <w:t>(1) conference presentations,</w:t>
      </w:r>
      <w:r w:rsidR="00754198">
        <w:t xml:space="preserve"> </w:t>
      </w:r>
      <w:r w:rsidR="007F0B28" w:rsidRPr="00754198">
        <w:t>(2) final evaluation reports, (3) peer-reviewed journal articles, and (4) meetings with key stakeholder groups</w:t>
      </w:r>
      <w:r w:rsidR="00D85CCB">
        <w:t>.</w:t>
      </w:r>
    </w:p>
    <w:p w14:paraId="579DC266" w14:textId="74166F44" w:rsidR="00FF750C" w:rsidRDefault="00DB23F9" w:rsidP="00FF750C">
      <w:pPr>
        <w:spacing w:after="120" w:line="360" w:lineRule="auto"/>
        <w:ind w:firstLine="720"/>
        <w:rPr>
          <w:szCs w:val="20"/>
        </w:rPr>
      </w:pPr>
      <w:r>
        <w:rPr>
          <w:szCs w:val="20"/>
        </w:rPr>
        <w:t>Respondents to th</w:t>
      </w:r>
      <w:r w:rsidR="00FF750C">
        <w:rPr>
          <w:szCs w:val="20"/>
        </w:rPr>
        <w:t>e homebuyer</w:t>
      </w:r>
      <w:r>
        <w:rPr>
          <w:szCs w:val="20"/>
        </w:rPr>
        <w:t xml:space="preserve"> </w:t>
      </w:r>
      <w:r w:rsidR="00FF750C">
        <w:rPr>
          <w:szCs w:val="20"/>
        </w:rPr>
        <w:t>survey</w:t>
      </w:r>
      <w:r w:rsidR="00B41C8E">
        <w:rPr>
          <w:szCs w:val="20"/>
        </w:rPr>
        <w:t xml:space="preserve"> will be </w:t>
      </w:r>
      <w:r w:rsidR="00FF750C">
        <w:rPr>
          <w:szCs w:val="20"/>
        </w:rPr>
        <w:t xml:space="preserve">individuals who purchased a home in the 12-month period prior to contact. Investigators will identify the homeowner and address through review of publicly-available tax record information. A survey will be sent using this information and it will also be used to distribute </w:t>
      </w:r>
      <w:r w:rsidR="00090886">
        <w:rPr>
          <w:szCs w:val="20"/>
        </w:rPr>
        <w:t>honoraria</w:t>
      </w:r>
      <w:r w:rsidR="00FF750C">
        <w:rPr>
          <w:szCs w:val="20"/>
        </w:rPr>
        <w:t xml:space="preserve">. </w:t>
      </w:r>
      <w:r w:rsidR="00AE3631">
        <w:rPr>
          <w:szCs w:val="20"/>
        </w:rPr>
        <w:t xml:space="preserve">Respondents in notification and no-notification states will receive the same homebuyer survey. </w:t>
      </w:r>
      <w:r w:rsidR="00EA0D10">
        <w:rPr>
          <w:szCs w:val="20"/>
        </w:rPr>
        <w:t xml:space="preserve">Participants who participated in cognitive testing will not be eligible to </w:t>
      </w:r>
      <w:r w:rsidR="00216DB9">
        <w:rPr>
          <w:szCs w:val="20"/>
        </w:rPr>
        <w:t xml:space="preserve">participate in the main homebuyer survey to avoid </w:t>
      </w:r>
      <w:r w:rsidR="00EA0D10">
        <w:rPr>
          <w:szCs w:val="20"/>
        </w:rPr>
        <w:t>introducing</w:t>
      </w:r>
      <w:r w:rsidR="00216DB9">
        <w:rPr>
          <w:szCs w:val="20"/>
        </w:rPr>
        <w:t xml:space="preserve"> information bias due to education received about the topic during the cognitive testing process.</w:t>
      </w:r>
    </w:p>
    <w:p w14:paraId="5A37B146" w14:textId="0897C958" w:rsidR="00FF750C" w:rsidRDefault="00FF750C" w:rsidP="00FF750C">
      <w:pPr>
        <w:spacing w:after="120" w:line="360" w:lineRule="auto"/>
        <w:ind w:firstLine="720"/>
        <w:rPr>
          <w:szCs w:val="20"/>
        </w:rPr>
      </w:pPr>
      <w:r>
        <w:rPr>
          <w:szCs w:val="20"/>
        </w:rPr>
        <w:t>Participants in the real estate agent focus groups will be members of the National Association of Realtors or its equivalent state or local level organization. They m</w:t>
      </w:r>
      <w:r w:rsidRPr="00FF750C">
        <w:rPr>
          <w:szCs w:val="20"/>
        </w:rPr>
        <w:t xml:space="preserve">ust be working full-time as an agent involved in interacting with clients interested in buying or selling a single-family </w:t>
      </w:r>
      <w:r w:rsidR="00971C13">
        <w:rPr>
          <w:szCs w:val="20"/>
        </w:rPr>
        <w:t>standalone</w:t>
      </w:r>
      <w:r w:rsidRPr="00FF750C">
        <w:rPr>
          <w:szCs w:val="20"/>
        </w:rPr>
        <w:t xml:space="preserve"> home in </w:t>
      </w:r>
      <w:r>
        <w:rPr>
          <w:szCs w:val="20"/>
        </w:rPr>
        <w:t xml:space="preserve">one of </w:t>
      </w:r>
      <w:r w:rsidRPr="00FF750C">
        <w:rPr>
          <w:szCs w:val="20"/>
        </w:rPr>
        <w:t>the study catchment area</w:t>
      </w:r>
      <w:r>
        <w:rPr>
          <w:szCs w:val="20"/>
        </w:rPr>
        <w:t>s</w:t>
      </w:r>
      <w:r w:rsidRPr="00FF750C">
        <w:rPr>
          <w:szCs w:val="20"/>
        </w:rPr>
        <w:t>.</w:t>
      </w:r>
    </w:p>
    <w:p w14:paraId="2598ABB0" w14:textId="77777777" w:rsidR="007F0B28" w:rsidRDefault="007F0B28" w:rsidP="009D0976">
      <w:pPr>
        <w:pStyle w:val="Heading2"/>
      </w:pPr>
      <w:bookmarkStart w:id="32" w:name="_Toc143058438"/>
      <w:bookmarkStart w:id="33" w:name="_Toc146088436"/>
      <w:bookmarkStart w:id="34" w:name="_Toc260215290"/>
      <w:bookmarkStart w:id="35" w:name="_Toc296586365"/>
      <w:bookmarkStart w:id="36" w:name="_Toc389143696"/>
      <w:bookmarkStart w:id="37" w:name="_Toc411604795"/>
      <w:r w:rsidRPr="00CF1100">
        <w:t>A.3</w:t>
      </w:r>
      <w:r w:rsidRPr="00CF1100">
        <w:tab/>
        <w:t>Use of Improved Information Technology and Burden Reduction</w:t>
      </w:r>
      <w:bookmarkEnd w:id="32"/>
      <w:bookmarkEnd w:id="33"/>
      <w:bookmarkEnd w:id="34"/>
      <w:bookmarkEnd w:id="35"/>
      <w:bookmarkEnd w:id="36"/>
      <w:bookmarkEnd w:id="37"/>
      <w:r w:rsidRPr="00CF1100">
        <w:t xml:space="preserve"> </w:t>
      </w:r>
    </w:p>
    <w:p w14:paraId="6CFF4FEF" w14:textId="33166AF5" w:rsidR="00203EBA" w:rsidRPr="00CF1100" w:rsidRDefault="007F0B28" w:rsidP="004E6AA9">
      <w:pPr>
        <w:pStyle w:val="BodyText1"/>
      </w:pPr>
      <w:r>
        <w:t xml:space="preserve">All data for the </w:t>
      </w:r>
      <w:r w:rsidR="00FF750C">
        <w:t>survey and focus group</w:t>
      </w:r>
      <w:r w:rsidR="00216DB9">
        <w:t>s</w:t>
      </w:r>
      <w:r w:rsidR="00FF750C">
        <w:t xml:space="preserve"> </w:t>
      </w:r>
      <w:r>
        <w:t xml:space="preserve">will be </w:t>
      </w:r>
      <w:r w:rsidR="00BB3962">
        <w:t>compiled</w:t>
      </w:r>
      <w:r w:rsidR="00D958DE">
        <w:t xml:space="preserve"> </w:t>
      </w:r>
      <w:r>
        <w:t xml:space="preserve">from </w:t>
      </w:r>
      <w:r w:rsidR="00FF750C">
        <w:t xml:space="preserve">completed surveys or focus group sessions. </w:t>
      </w:r>
      <w:r w:rsidR="005C08A8">
        <w:t>Investigators</w:t>
      </w:r>
      <w:r>
        <w:t xml:space="preserve"> will </w:t>
      </w:r>
      <w:r w:rsidR="002F0E1A">
        <w:t xml:space="preserve">offer </w:t>
      </w:r>
      <w:r w:rsidR="004E6AA9">
        <w:t xml:space="preserve">a </w:t>
      </w:r>
      <w:r w:rsidR="002F0E1A">
        <w:t>secure website</w:t>
      </w:r>
      <w:r w:rsidR="004E6AA9">
        <w:t xml:space="preserve"> where homebuyer survey respondents can respond to the survey instead of mailing in their responses. </w:t>
      </w:r>
      <w:r w:rsidR="002F0E1A">
        <w:t>The website</w:t>
      </w:r>
      <w:r w:rsidRPr="00CF1100">
        <w:t xml:space="preserve"> </w:t>
      </w:r>
      <w:r w:rsidR="00702D6B">
        <w:t xml:space="preserve">will </w:t>
      </w:r>
      <w:r w:rsidRPr="00CF1100">
        <w:t>allow participants to complete the survey at their convenience with 24</w:t>
      </w:r>
      <w:r w:rsidR="00754198">
        <w:t>-</w:t>
      </w:r>
      <w:r w:rsidRPr="00CF1100">
        <w:t>hour accessibility and minimize the complexity of survey instructions due to electronically</w:t>
      </w:r>
      <w:r w:rsidR="00702D6B">
        <w:t>-</w:t>
      </w:r>
      <w:r w:rsidRPr="00CF1100">
        <w:t>programmed skip patterns.</w:t>
      </w:r>
      <w:r w:rsidR="00F51AAD">
        <w:t xml:space="preserve"> </w:t>
      </w:r>
      <w:r w:rsidRPr="00CF1100">
        <w:t xml:space="preserve">Thus, </w:t>
      </w:r>
      <w:r w:rsidR="008E3638">
        <w:t>Web</w:t>
      </w:r>
      <w:r w:rsidR="00F14AB4">
        <w:t>-based</w:t>
      </w:r>
      <w:r w:rsidRPr="00CF1100">
        <w:t xml:space="preserve"> data collection offers flexibility and minimizes respondent burden.</w:t>
      </w:r>
      <w:r w:rsidR="00F51AAD">
        <w:t xml:space="preserve"> </w:t>
      </w:r>
      <w:r w:rsidR="00203EBA" w:rsidRPr="00CF1100">
        <w:t>A copy of the data collection instrument</w:t>
      </w:r>
      <w:r w:rsidR="00203EBA">
        <w:t xml:space="preserve">s and </w:t>
      </w:r>
      <w:r w:rsidR="003777CD">
        <w:t xml:space="preserve">informed </w:t>
      </w:r>
      <w:r w:rsidR="00203EBA">
        <w:t>consent forms are</w:t>
      </w:r>
      <w:r w:rsidR="00203EBA" w:rsidRPr="00CF1100">
        <w:t xml:space="preserve"> </w:t>
      </w:r>
      <w:r w:rsidR="00203EBA" w:rsidRPr="00F14AB4">
        <w:t xml:space="preserve">provided in </w:t>
      </w:r>
      <w:r w:rsidR="003777CD" w:rsidRPr="003777CD">
        <w:rPr>
          <w:b/>
        </w:rPr>
        <w:t xml:space="preserve">Appendices 5, 6b, </w:t>
      </w:r>
      <w:r w:rsidR="00322339">
        <w:rPr>
          <w:b/>
        </w:rPr>
        <w:t xml:space="preserve">6c, </w:t>
      </w:r>
      <w:r w:rsidR="003777CD" w:rsidRPr="003777CD">
        <w:rPr>
          <w:b/>
        </w:rPr>
        <w:t>10, 12, and 14</w:t>
      </w:r>
      <w:r w:rsidR="00203EBA" w:rsidRPr="0034467B">
        <w:t>.</w:t>
      </w:r>
    </w:p>
    <w:p w14:paraId="19AA6B3A" w14:textId="77777777" w:rsidR="007F0B28" w:rsidRDefault="007F0B28" w:rsidP="009D0976">
      <w:pPr>
        <w:pStyle w:val="Heading2"/>
      </w:pPr>
      <w:bookmarkStart w:id="38" w:name="_Toc143058439"/>
      <w:bookmarkStart w:id="39" w:name="_Toc146088437"/>
      <w:bookmarkStart w:id="40" w:name="_Toc260215291"/>
      <w:bookmarkStart w:id="41" w:name="_Toc296586368"/>
      <w:bookmarkStart w:id="42" w:name="_Toc389143697"/>
      <w:bookmarkStart w:id="43" w:name="_Toc411604796"/>
      <w:r w:rsidRPr="00CF1100">
        <w:t>A.4</w:t>
      </w:r>
      <w:r w:rsidRPr="00CF1100">
        <w:tab/>
        <w:t>Efforts to Identify Duplication and Use of Similar Information</w:t>
      </w:r>
      <w:bookmarkEnd w:id="38"/>
      <w:bookmarkEnd w:id="39"/>
      <w:bookmarkEnd w:id="40"/>
      <w:bookmarkEnd w:id="41"/>
      <w:bookmarkEnd w:id="42"/>
      <w:bookmarkEnd w:id="43"/>
      <w:r w:rsidRPr="00CF1100">
        <w:t xml:space="preserve"> </w:t>
      </w:r>
    </w:p>
    <w:p w14:paraId="39E05D06" w14:textId="77777777" w:rsidR="00115470" w:rsidRDefault="007F0B28" w:rsidP="00754198">
      <w:pPr>
        <w:pStyle w:val="BodyText1"/>
      </w:pPr>
      <w:r w:rsidRPr="00CF1100">
        <w:t>In designing the proposed dat</w:t>
      </w:r>
      <w:r w:rsidR="007C50B1">
        <w:t>a collection activities</w:t>
      </w:r>
      <w:r>
        <w:t xml:space="preserve"> </w:t>
      </w:r>
      <w:r w:rsidR="00DC51E1">
        <w:t xml:space="preserve">investigators </w:t>
      </w:r>
      <w:r>
        <w:t>ha</w:t>
      </w:r>
      <w:r w:rsidR="00DC51E1">
        <w:t>ve</w:t>
      </w:r>
      <w:r w:rsidRPr="00CF1100">
        <w:t xml:space="preserve"> taken several steps to ensure that this effort does not duplicate ongoing efforts. </w:t>
      </w:r>
      <w:r w:rsidR="00DC51E1">
        <w:t>Investigators</w:t>
      </w:r>
      <w:r w:rsidRPr="00CF1100">
        <w:t xml:space="preserve"> </w:t>
      </w:r>
      <w:r w:rsidR="00C6322F">
        <w:t>have</w:t>
      </w:r>
      <w:r w:rsidRPr="00CF1100">
        <w:t xml:space="preserve"> reduce</w:t>
      </w:r>
      <w:r w:rsidR="00C6322F">
        <w:t>d</w:t>
      </w:r>
      <w:r w:rsidRPr="00CF1100">
        <w:t xml:space="preserve"> the amount of new</w:t>
      </w:r>
      <w:r w:rsidR="007C50B1">
        <w:t xml:space="preserve"> or</w:t>
      </w:r>
      <w:r w:rsidRPr="00CF1100">
        <w:t xml:space="preserve"> original data collection by </w:t>
      </w:r>
      <w:r w:rsidR="00C6322F">
        <w:t xml:space="preserve">working collaboratively with </w:t>
      </w:r>
      <w:r w:rsidR="00E96132">
        <w:t>the Environmental Protection Agency (</w:t>
      </w:r>
      <w:r w:rsidR="00C6322F">
        <w:t>EPA</w:t>
      </w:r>
      <w:r w:rsidR="00E96132">
        <w:t>)</w:t>
      </w:r>
      <w:r w:rsidR="00C6322F">
        <w:t xml:space="preserve">, </w:t>
      </w:r>
      <w:r w:rsidR="00E96132">
        <w:t>U.S. Department of Housing and Urban Development (</w:t>
      </w:r>
      <w:r w:rsidR="00C6322F">
        <w:t>HUD</w:t>
      </w:r>
      <w:r w:rsidR="00E96132">
        <w:t>)</w:t>
      </w:r>
      <w:r w:rsidR="00C6322F">
        <w:t xml:space="preserve">, and </w:t>
      </w:r>
      <w:r w:rsidR="00AE5541">
        <w:t>other Federal Radon Workgroup</w:t>
      </w:r>
      <w:r w:rsidR="00C6322F">
        <w:t xml:space="preserve"> partners</w:t>
      </w:r>
      <w:r w:rsidR="00E7306B">
        <w:t xml:space="preserve"> noted in Exhibit 2 </w:t>
      </w:r>
      <w:r w:rsidR="00C6322F">
        <w:t>to design the data collection instruments in a manner that collects only the necessary information that is not captured in other surveys</w:t>
      </w:r>
      <w:r w:rsidR="00195089">
        <w:t xml:space="preserve"> or focus groups</w:t>
      </w:r>
      <w:r w:rsidR="00C6322F">
        <w:t xml:space="preserve">. Investigators have also been in contact with the </w:t>
      </w:r>
      <w:r w:rsidR="00FE4392">
        <w:t xml:space="preserve">CDC </w:t>
      </w:r>
      <w:r w:rsidR="00C6322F">
        <w:t xml:space="preserve">National Center for Health Statistics </w:t>
      </w:r>
      <w:r w:rsidR="00195089" w:rsidRPr="00195089">
        <w:t>Questionnaire Design Research Laboratory</w:t>
      </w:r>
      <w:r w:rsidR="00195089">
        <w:t>. While it is cost-prohibitive to have this laboratory undertake cognitive testing of the homebuyer survey</w:t>
      </w:r>
      <w:r w:rsidR="00626180">
        <w:t>,</w:t>
      </w:r>
      <w:r w:rsidR="00195089">
        <w:t xml:space="preserve"> they have </w:t>
      </w:r>
      <w:r w:rsidR="00FE4392">
        <w:t xml:space="preserve">assisted in reviewing the </w:t>
      </w:r>
      <w:r w:rsidR="00913C4D">
        <w:t xml:space="preserve">study design and have </w:t>
      </w:r>
      <w:r w:rsidR="00195089">
        <w:t xml:space="preserve">agreed to </w:t>
      </w:r>
      <w:r w:rsidR="00913C4D">
        <w:t xml:space="preserve">continue to </w:t>
      </w:r>
      <w:r w:rsidR="00195089">
        <w:t xml:space="preserve">consult on the project as needed. </w:t>
      </w:r>
    </w:p>
    <w:p w14:paraId="6F5D778F" w14:textId="77777777" w:rsidR="007F0B28" w:rsidRPr="00CF1100" w:rsidRDefault="007F0B28" w:rsidP="009D0976">
      <w:pPr>
        <w:pStyle w:val="Heading2"/>
      </w:pPr>
      <w:bookmarkStart w:id="44" w:name="_Toc143058440"/>
      <w:bookmarkStart w:id="45" w:name="_Toc146088438"/>
      <w:bookmarkStart w:id="46" w:name="_Toc260215292"/>
      <w:bookmarkStart w:id="47" w:name="_Toc296586371"/>
      <w:bookmarkStart w:id="48" w:name="_Toc389143698"/>
      <w:bookmarkStart w:id="49" w:name="_Toc411604797"/>
      <w:r w:rsidRPr="00CF1100">
        <w:t>A.5</w:t>
      </w:r>
      <w:r w:rsidRPr="00CF1100">
        <w:tab/>
        <w:t>Impact on Small Businesses or Other Small Entities</w:t>
      </w:r>
      <w:bookmarkEnd w:id="44"/>
      <w:bookmarkEnd w:id="45"/>
      <w:bookmarkEnd w:id="46"/>
      <w:bookmarkEnd w:id="47"/>
      <w:bookmarkEnd w:id="48"/>
      <w:bookmarkEnd w:id="49"/>
      <w:r w:rsidRPr="00CF1100">
        <w:t xml:space="preserve"> </w:t>
      </w:r>
    </w:p>
    <w:p w14:paraId="6FC0949E" w14:textId="77777777" w:rsidR="007F0B28" w:rsidRPr="00CF1100" w:rsidRDefault="00195089" w:rsidP="00B769F2">
      <w:pPr>
        <w:pStyle w:val="BodyText1"/>
      </w:pPr>
      <w:r>
        <w:t>Real estate agents will be asked to participate in focus group sessions that will last approximately one hour</w:t>
      </w:r>
      <w:r w:rsidR="004B130E">
        <w:t xml:space="preserve">. </w:t>
      </w:r>
      <w:r w:rsidR="00C0752E">
        <w:t>Participation in the one-time information collection is voluntary</w:t>
      </w:r>
      <w:r>
        <w:t>.</w:t>
      </w:r>
      <w:r w:rsidR="00C0752E">
        <w:t xml:space="preserve"> No continuing commitments are imposed on real estate agents as a group or on the individuals who participate in the focus groups.</w:t>
      </w:r>
    </w:p>
    <w:p w14:paraId="4A12725A" w14:textId="77777777" w:rsidR="007F0B28" w:rsidRDefault="007F0B28" w:rsidP="009D0976">
      <w:pPr>
        <w:pStyle w:val="Heading2"/>
      </w:pPr>
      <w:bookmarkStart w:id="50" w:name="_Toc143058441"/>
      <w:bookmarkStart w:id="51" w:name="_Toc146088439"/>
      <w:bookmarkStart w:id="52" w:name="_Toc260215293"/>
      <w:bookmarkStart w:id="53" w:name="_Toc296586372"/>
      <w:bookmarkStart w:id="54" w:name="_Toc389143699"/>
      <w:bookmarkStart w:id="55" w:name="_Toc411604798"/>
      <w:r w:rsidRPr="00CF1100">
        <w:t>A.6</w:t>
      </w:r>
      <w:r w:rsidRPr="00CF1100">
        <w:tab/>
        <w:t>Consequences of Collecting the Information Less Frequently</w:t>
      </w:r>
      <w:bookmarkEnd w:id="50"/>
      <w:bookmarkEnd w:id="51"/>
      <w:bookmarkEnd w:id="52"/>
      <w:bookmarkEnd w:id="53"/>
      <w:bookmarkEnd w:id="54"/>
      <w:bookmarkEnd w:id="55"/>
      <w:r w:rsidRPr="00CF1100">
        <w:t xml:space="preserve"> </w:t>
      </w:r>
    </w:p>
    <w:p w14:paraId="40B9B166" w14:textId="77777777" w:rsidR="007F0B28" w:rsidRPr="00CF1100" w:rsidRDefault="00195089" w:rsidP="00B769F2">
      <w:pPr>
        <w:pStyle w:val="BodyText1"/>
      </w:pPr>
      <w:r>
        <w:t>This</w:t>
      </w:r>
      <w:r w:rsidR="007F0B28" w:rsidRPr="00CF1100">
        <w:t xml:space="preserve"> study only includes </w:t>
      </w:r>
      <w:r>
        <w:t xml:space="preserve">one data collection </w:t>
      </w:r>
      <w:r w:rsidR="00E7306B">
        <w:t>time point</w:t>
      </w:r>
      <w:r>
        <w:t xml:space="preserve"> for the homebuyer survey cognitive testing, homebuyer survey, or focus groups.</w:t>
      </w:r>
      <w:r w:rsidR="00F51AAD">
        <w:t xml:space="preserve"> </w:t>
      </w:r>
      <w:r>
        <w:t xml:space="preserve">It is important that data collection occur across all four states during approximately the same time period to maintain comparability among states. </w:t>
      </w:r>
    </w:p>
    <w:p w14:paraId="2ED77391" w14:textId="77777777" w:rsidR="007F0B28" w:rsidRPr="00CF1100" w:rsidRDefault="007F0B28" w:rsidP="009D0976">
      <w:pPr>
        <w:pStyle w:val="Heading2"/>
      </w:pPr>
      <w:bookmarkStart w:id="56" w:name="_Toc143058442"/>
      <w:bookmarkStart w:id="57" w:name="_Toc146088440"/>
      <w:bookmarkStart w:id="58" w:name="_Toc260215294"/>
      <w:bookmarkStart w:id="59" w:name="_Toc296586375"/>
      <w:bookmarkStart w:id="60" w:name="_Toc389143700"/>
      <w:bookmarkStart w:id="61" w:name="_Toc411604799"/>
      <w:r w:rsidRPr="00CF1100">
        <w:t>A.7</w:t>
      </w:r>
      <w:r w:rsidRPr="00CF1100">
        <w:tab/>
        <w:t>Special Circumstances Relating to the Guidelines of 5 CFR 1320.5</w:t>
      </w:r>
      <w:bookmarkEnd w:id="56"/>
      <w:bookmarkEnd w:id="57"/>
      <w:bookmarkEnd w:id="58"/>
      <w:bookmarkEnd w:id="59"/>
      <w:bookmarkEnd w:id="60"/>
      <w:bookmarkEnd w:id="61"/>
      <w:r w:rsidRPr="00CF1100">
        <w:t xml:space="preserve"> </w:t>
      </w:r>
    </w:p>
    <w:p w14:paraId="1A794F87" w14:textId="77777777" w:rsidR="007F0B28" w:rsidRPr="00CF1100" w:rsidRDefault="007F0B28" w:rsidP="00B769F2">
      <w:pPr>
        <w:pStyle w:val="BodyText1"/>
      </w:pPr>
      <w:r w:rsidRPr="00CF1100">
        <w:t>There are no other special circumstances that require the data collection to be conducted in a manner inconsistent with 5 CRF 1320.5(d</w:t>
      </w:r>
      <w:proofErr w:type="gramStart"/>
      <w:r w:rsidRPr="00CF1100">
        <w:t>)(</w:t>
      </w:r>
      <w:proofErr w:type="gramEnd"/>
      <w:r w:rsidRPr="00CF1100">
        <w:t>2). This data collection request fully complies with the regulation.</w:t>
      </w:r>
    </w:p>
    <w:p w14:paraId="3AECBD51" w14:textId="77777777" w:rsidR="007F0B28" w:rsidRPr="00CF1100" w:rsidRDefault="007F0B28" w:rsidP="009D0976">
      <w:pPr>
        <w:pStyle w:val="Heading2"/>
      </w:pPr>
      <w:bookmarkStart w:id="62" w:name="_Toc143058443"/>
      <w:bookmarkStart w:id="63" w:name="_Toc146088441"/>
      <w:bookmarkStart w:id="64" w:name="_Toc260215295"/>
      <w:bookmarkStart w:id="65" w:name="_Toc296586376"/>
      <w:bookmarkStart w:id="66" w:name="_Toc389143701"/>
      <w:bookmarkStart w:id="67" w:name="_Toc411604800"/>
      <w:r w:rsidRPr="00CF1100">
        <w:t>A.8</w:t>
      </w:r>
      <w:r w:rsidRPr="00CF1100">
        <w:tab/>
        <w:t xml:space="preserve">Comments in Response to the </w:t>
      </w:r>
      <w:r w:rsidRPr="00CF1100">
        <w:rPr>
          <w:i/>
        </w:rPr>
        <w:t>Federal Register</w:t>
      </w:r>
      <w:r w:rsidRPr="00CF1100">
        <w:t xml:space="preserve"> Notice and Efforts to Consult Outside the Agency</w:t>
      </w:r>
      <w:bookmarkEnd w:id="62"/>
      <w:bookmarkEnd w:id="63"/>
      <w:bookmarkEnd w:id="64"/>
      <w:bookmarkEnd w:id="65"/>
      <w:bookmarkEnd w:id="66"/>
      <w:bookmarkEnd w:id="67"/>
      <w:r w:rsidRPr="00CF1100">
        <w:t xml:space="preserve"> </w:t>
      </w:r>
    </w:p>
    <w:p w14:paraId="2727AD03" w14:textId="77777777" w:rsidR="007F0B28" w:rsidRPr="00CF1100" w:rsidRDefault="007F0B28" w:rsidP="009D0976">
      <w:pPr>
        <w:pStyle w:val="Heading3"/>
      </w:pPr>
      <w:bookmarkStart w:id="68" w:name="_Toc296586377"/>
      <w:bookmarkStart w:id="69" w:name="_Toc389143702"/>
      <w:bookmarkStart w:id="70" w:name="_Toc411604801"/>
      <w:r w:rsidRPr="00CF1100">
        <w:t>Federal Register Announcement</w:t>
      </w:r>
      <w:bookmarkEnd w:id="68"/>
      <w:bookmarkEnd w:id="69"/>
      <w:bookmarkEnd w:id="70"/>
    </w:p>
    <w:p w14:paraId="382504BD" w14:textId="77777777" w:rsidR="007F0B28" w:rsidRPr="00AE5541" w:rsidRDefault="00B63CDE" w:rsidP="004933A5">
      <w:pPr>
        <w:pStyle w:val="BodyText1"/>
      </w:pPr>
      <w:r w:rsidRPr="00AE5541">
        <w:t>A Notice was published in the</w:t>
      </w:r>
      <w:r w:rsidR="007F0B28" w:rsidRPr="00AE5541">
        <w:t xml:space="preserve"> </w:t>
      </w:r>
      <w:r w:rsidR="007F0B28" w:rsidRPr="00AE5541">
        <w:rPr>
          <w:i/>
          <w:iCs/>
        </w:rPr>
        <w:t>Federal Register</w:t>
      </w:r>
      <w:r w:rsidR="007F0B28" w:rsidRPr="00AE5541">
        <w:t xml:space="preserve"> </w:t>
      </w:r>
      <w:r w:rsidR="00E6780A" w:rsidRPr="00AE5541">
        <w:t xml:space="preserve">on </w:t>
      </w:r>
      <w:r w:rsidR="00AE5541" w:rsidRPr="00AE5541">
        <w:t xml:space="preserve">February 26, 2014 </w:t>
      </w:r>
      <w:r w:rsidR="00E6780A" w:rsidRPr="00AE5541">
        <w:t xml:space="preserve">(Volume </w:t>
      </w:r>
      <w:r w:rsidR="00AE5541" w:rsidRPr="00AE5541">
        <w:t>79</w:t>
      </w:r>
      <w:r w:rsidR="00E6780A" w:rsidRPr="00AE5541">
        <w:t xml:space="preserve">, Number </w:t>
      </w:r>
      <w:r w:rsidR="00AE5541" w:rsidRPr="00AE5541">
        <w:t>38</w:t>
      </w:r>
      <w:r w:rsidR="00E6780A" w:rsidRPr="00AE5541">
        <w:t xml:space="preserve">, pages </w:t>
      </w:r>
      <w:r w:rsidR="00AE5541" w:rsidRPr="00AE5541">
        <w:t>10808</w:t>
      </w:r>
      <w:r w:rsidR="00E13003" w:rsidRPr="00AE5541">
        <w:t>–</w:t>
      </w:r>
      <w:r w:rsidR="00AE5541" w:rsidRPr="00AE5541">
        <w:t>10810</w:t>
      </w:r>
      <w:r w:rsidR="00E6780A" w:rsidRPr="00AE5541">
        <w:t>)</w:t>
      </w:r>
      <w:r w:rsidRPr="00AE5541">
        <w:t xml:space="preserve"> (see </w:t>
      </w:r>
      <w:r w:rsidR="00E6780A" w:rsidRPr="00AE5541">
        <w:rPr>
          <w:b/>
          <w:bCs/>
        </w:rPr>
        <w:t>Appendix 2a</w:t>
      </w:r>
      <w:r w:rsidRPr="00AE5541">
        <w:rPr>
          <w:bCs/>
        </w:rPr>
        <w:t>)</w:t>
      </w:r>
      <w:r w:rsidR="007F0B28" w:rsidRPr="00AE5541">
        <w:t>.</w:t>
      </w:r>
      <w:r w:rsidRPr="00AE5541">
        <w:t xml:space="preserve"> </w:t>
      </w:r>
      <w:r w:rsidR="00AE5541" w:rsidRPr="004B130E">
        <w:t>Two</w:t>
      </w:r>
      <w:r w:rsidR="004933A5" w:rsidRPr="004B130E">
        <w:t xml:space="preserve"> public comment</w:t>
      </w:r>
      <w:r w:rsidR="00AE5541" w:rsidRPr="004B130E">
        <w:t>s</w:t>
      </w:r>
      <w:r w:rsidR="004933A5" w:rsidRPr="004B130E">
        <w:t xml:space="preserve"> </w:t>
      </w:r>
      <w:r w:rsidR="00AE5541" w:rsidRPr="004B130E">
        <w:t>were</w:t>
      </w:r>
      <w:r w:rsidR="004933A5" w:rsidRPr="004B130E">
        <w:t xml:space="preserve"> received</w:t>
      </w:r>
      <w:r w:rsidR="004933A5" w:rsidRPr="00AE5541">
        <w:t xml:space="preserve"> and acknowledged (see </w:t>
      </w:r>
      <w:r w:rsidR="00E6780A" w:rsidRPr="00AE5541">
        <w:rPr>
          <w:b/>
        </w:rPr>
        <w:t>Appendix 2b</w:t>
      </w:r>
      <w:r w:rsidR="004933A5" w:rsidRPr="00AE5541">
        <w:rPr>
          <w:b/>
        </w:rPr>
        <w:t>)</w:t>
      </w:r>
      <w:r w:rsidRPr="00AE5541">
        <w:t>.</w:t>
      </w:r>
      <w:r w:rsidR="007F0B28" w:rsidRPr="00AE5541">
        <w:t xml:space="preserve"> </w:t>
      </w:r>
    </w:p>
    <w:p w14:paraId="7F33866C" w14:textId="77777777" w:rsidR="007F0B28" w:rsidRPr="00AE5541" w:rsidRDefault="007F0B28" w:rsidP="009D0976">
      <w:pPr>
        <w:pStyle w:val="Heading3"/>
      </w:pPr>
      <w:bookmarkStart w:id="71" w:name="_Toc296586378"/>
      <w:bookmarkStart w:id="72" w:name="_Toc389143703"/>
      <w:bookmarkStart w:id="73" w:name="_Toc411604802"/>
      <w:r w:rsidRPr="00AE5541">
        <w:t>Consultations</w:t>
      </w:r>
      <w:bookmarkEnd w:id="71"/>
      <w:bookmarkEnd w:id="72"/>
      <w:bookmarkEnd w:id="73"/>
    </w:p>
    <w:p w14:paraId="76B8CD2D" w14:textId="77777777" w:rsidR="007F0B28" w:rsidRPr="00CF1100" w:rsidRDefault="007F0B28" w:rsidP="00D85C57">
      <w:pPr>
        <w:pStyle w:val="BodyText1"/>
      </w:pPr>
      <w:r w:rsidRPr="00AE5541">
        <w:t>A list of key evaluation consultants</w:t>
      </w:r>
      <w:r w:rsidRPr="00CF1100">
        <w:t xml:space="preserve"> for this project is provided in </w:t>
      </w:r>
      <w:r w:rsidRPr="00CF1100">
        <w:rPr>
          <w:b/>
          <w:i/>
        </w:rPr>
        <w:t xml:space="preserve">Exhibit </w:t>
      </w:r>
      <w:r w:rsidR="003777CD">
        <w:rPr>
          <w:b/>
          <w:i/>
        </w:rPr>
        <w:t>2</w:t>
      </w:r>
      <w:r w:rsidRPr="00CF1100">
        <w:t xml:space="preserve">. </w:t>
      </w:r>
      <w:r w:rsidR="007C50B1">
        <w:t>Investigators</w:t>
      </w:r>
      <w:r w:rsidRPr="00CF1100">
        <w:t xml:space="preserve"> consulted with public health scientists </w:t>
      </w:r>
      <w:r w:rsidR="007C50B1">
        <w:t xml:space="preserve">considered to be subject matter experts </w:t>
      </w:r>
      <w:r w:rsidRPr="00CF1100">
        <w:t>on the study design and evaluation instruments.</w:t>
      </w:r>
      <w:r w:rsidR="00F51AAD">
        <w:t xml:space="preserve"> </w:t>
      </w:r>
      <w:r w:rsidR="00D85C57">
        <w:t>Consultants from multiple federal and non-government</w:t>
      </w:r>
      <w:r w:rsidR="009B5E83">
        <w:t>al</w:t>
      </w:r>
      <w:r w:rsidR="00D85C57">
        <w:t xml:space="preserve"> agencies provided input into the design of the survey and focus group questions</w:t>
      </w:r>
      <w:r w:rsidRPr="00CF1100">
        <w:t>.</w:t>
      </w:r>
      <w:r w:rsidR="00F51AAD">
        <w:t xml:space="preserve"> </w:t>
      </w:r>
    </w:p>
    <w:p w14:paraId="2AA41F6D" w14:textId="77777777" w:rsidR="007F0B28" w:rsidRPr="00CF1100" w:rsidRDefault="007F0B28" w:rsidP="00B23A53">
      <w:pPr>
        <w:pStyle w:val="FigureTitle"/>
      </w:pPr>
      <w:bookmarkStart w:id="74" w:name="_Toc66689098"/>
      <w:bookmarkStart w:id="75" w:name="_Toc139093421"/>
      <w:bookmarkStart w:id="76" w:name="_Toc146088165"/>
      <w:bookmarkStart w:id="77" w:name="_Toc146089473"/>
      <w:bookmarkStart w:id="78" w:name="_Toc260210572"/>
      <w:bookmarkStart w:id="79" w:name="_Toc296586408"/>
      <w:bookmarkStart w:id="80" w:name="_Toc400113312"/>
      <w:bookmarkStart w:id="81" w:name="_Toc385929804"/>
      <w:proofErr w:type="gramStart"/>
      <w:r w:rsidRPr="00CF1100">
        <w:t xml:space="preserve">Exhibit </w:t>
      </w:r>
      <w:r w:rsidR="00626180">
        <w:t>2</w:t>
      </w:r>
      <w:r w:rsidRPr="00CF1100">
        <w:t>.</w:t>
      </w:r>
      <w:bookmarkEnd w:id="74"/>
      <w:proofErr w:type="gramEnd"/>
      <w:r w:rsidR="00E7555F">
        <w:t xml:space="preserve"> </w:t>
      </w:r>
      <w:r w:rsidRPr="00CF1100">
        <w:t>Evaluation Consultants</w:t>
      </w:r>
      <w:bookmarkEnd w:id="75"/>
      <w:bookmarkEnd w:id="76"/>
      <w:bookmarkEnd w:id="77"/>
      <w:bookmarkEnd w:id="78"/>
      <w:bookmarkEnd w:id="79"/>
      <w:bookmarkEnd w:id="80"/>
      <w:bookmarkEnd w:id="81"/>
      <w:r w:rsidRPr="00CF1100">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007F0B28" w:rsidRPr="00FE4392" w14:paraId="118E1A84" w14:textId="77777777" w:rsidTr="00592720">
        <w:trPr>
          <w:cantSplit/>
        </w:trPr>
        <w:tc>
          <w:tcPr>
            <w:tcW w:w="4752" w:type="dxa"/>
          </w:tcPr>
          <w:p w14:paraId="7556579C" w14:textId="77777777" w:rsidR="007F0B28" w:rsidRPr="001C39AB" w:rsidRDefault="007F0B28" w:rsidP="00592720">
            <w:pPr>
              <w:pStyle w:val="Style1"/>
              <w:rPr>
                <w:szCs w:val="20"/>
              </w:rPr>
            </w:pPr>
          </w:p>
          <w:p w14:paraId="0C6BF2A9" w14:textId="77777777" w:rsidR="00D85C57" w:rsidRPr="00D85C57" w:rsidRDefault="00D85C57" w:rsidP="00D85C57">
            <w:pPr>
              <w:pStyle w:val="Style1"/>
              <w:rPr>
                <w:iCs/>
                <w:szCs w:val="20"/>
              </w:rPr>
            </w:pPr>
            <w:r w:rsidRPr="00D85C57">
              <w:rPr>
                <w:iCs/>
                <w:szCs w:val="20"/>
              </w:rPr>
              <w:t>Bill Long</w:t>
            </w:r>
          </w:p>
          <w:p w14:paraId="244901F5" w14:textId="77777777" w:rsidR="00D85C57" w:rsidRDefault="00D85C57" w:rsidP="00D85C57">
            <w:pPr>
              <w:pStyle w:val="Style1"/>
              <w:rPr>
                <w:iCs/>
                <w:szCs w:val="20"/>
              </w:rPr>
            </w:pPr>
            <w:r>
              <w:rPr>
                <w:iCs/>
                <w:szCs w:val="20"/>
              </w:rPr>
              <w:t>Director</w:t>
            </w:r>
          </w:p>
          <w:p w14:paraId="1FDCCF33" w14:textId="77777777" w:rsidR="00D85C57" w:rsidRPr="00D85C57" w:rsidRDefault="00D85C57" w:rsidP="00D85C57">
            <w:pPr>
              <w:pStyle w:val="Style1"/>
              <w:rPr>
                <w:iCs/>
                <w:szCs w:val="20"/>
              </w:rPr>
            </w:pPr>
            <w:r w:rsidRPr="00D85C57">
              <w:rPr>
                <w:iCs/>
                <w:szCs w:val="20"/>
              </w:rPr>
              <w:t xml:space="preserve">Indoor Environments Division </w:t>
            </w:r>
          </w:p>
          <w:p w14:paraId="75059E08" w14:textId="77777777" w:rsidR="007F0B28" w:rsidRDefault="00D85C57" w:rsidP="00D85C57">
            <w:pPr>
              <w:pStyle w:val="Style1"/>
              <w:rPr>
                <w:iCs/>
                <w:szCs w:val="20"/>
              </w:rPr>
            </w:pPr>
            <w:r w:rsidRPr="00D85C57">
              <w:rPr>
                <w:iCs/>
                <w:szCs w:val="20"/>
              </w:rPr>
              <w:t>Center for Radon &amp; Air Toxics</w:t>
            </w:r>
          </w:p>
          <w:p w14:paraId="738C962F" w14:textId="77777777" w:rsidR="00D85C57" w:rsidRDefault="00D85C57" w:rsidP="00D85C57">
            <w:pPr>
              <w:pStyle w:val="Style1"/>
              <w:rPr>
                <w:iCs/>
                <w:szCs w:val="20"/>
              </w:rPr>
            </w:pPr>
            <w:r>
              <w:rPr>
                <w:iCs/>
                <w:szCs w:val="20"/>
              </w:rPr>
              <w:t>Environmental Protection Agency</w:t>
            </w:r>
          </w:p>
          <w:p w14:paraId="736A7DE2" w14:textId="77777777" w:rsidR="00D85C57" w:rsidRPr="00D85C57" w:rsidRDefault="00D85C57" w:rsidP="00D85C57">
            <w:pPr>
              <w:pStyle w:val="Style1"/>
              <w:rPr>
                <w:iCs/>
                <w:szCs w:val="20"/>
              </w:rPr>
            </w:pPr>
            <w:r w:rsidRPr="00D85C57">
              <w:rPr>
                <w:iCs/>
                <w:szCs w:val="20"/>
              </w:rPr>
              <w:t>Environmental Protection Agency</w:t>
            </w:r>
          </w:p>
          <w:p w14:paraId="576C4E32" w14:textId="77777777" w:rsidR="00D85C57" w:rsidRPr="00D85C57" w:rsidRDefault="00D85C57" w:rsidP="00D85C57">
            <w:pPr>
              <w:pStyle w:val="Style1"/>
              <w:rPr>
                <w:iCs/>
                <w:szCs w:val="20"/>
              </w:rPr>
            </w:pPr>
            <w:r w:rsidRPr="00D85C57">
              <w:rPr>
                <w:iCs/>
                <w:szCs w:val="20"/>
              </w:rPr>
              <w:t>1200 Pennsylvania Avenue, N.W.</w:t>
            </w:r>
          </w:p>
          <w:p w14:paraId="7100C12F" w14:textId="77777777" w:rsidR="00D85C57" w:rsidRDefault="00D85C57" w:rsidP="00D85C57">
            <w:pPr>
              <w:pStyle w:val="Style1"/>
              <w:rPr>
                <w:iCs/>
                <w:szCs w:val="20"/>
              </w:rPr>
            </w:pPr>
            <w:r w:rsidRPr="00D85C57">
              <w:rPr>
                <w:iCs/>
                <w:szCs w:val="20"/>
              </w:rPr>
              <w:t>Washington, DC 20460</w:t>
            </w:r>
          </w:p>
          <w:p w14:paraId="45000CED" w14:textId="77777777" w:rsidR="00D85C57" w:rsidRPr="00D85C57" w:rsidRDefault="00D85C57" w:rsidP="00D85C57">
            <w:pPr>
              <w:pStyle w:val="Style1"/>
              <w:rPr>
                <w:iCs/>
                <w:szCs w:val="20"/>
              </w:rPr>
            </w:pPr>
            <w:r>
              <w:rPr>
                <w:iCs/>
                <w:szCs w:val="20"/>
              </w:rPr>
              <w:t>202-</w:t>
            </w:r>
            <w:r w:rsidRPr="00D85C57">
              <w:rPr>
                <w:iCs/>
                <w:szCs w:val="20"/>
              </w:rPr>
              <w:t>343-9733</w:t>
            </w:r>
          </w:p>
          <w:p w14:paraId="2DFCCCAC" w14:textId="77777777" w:rsidR="00D85C57" w:rsidRDefault="00B82320" w:rsidP="00D85C57">
            <w:pPr>
              <w:pStyle w:val="Style1"/>
              <w:rPr>
                <w:iCs/>
                <w:szCs w:val="20"/>
              </w:rPr>
            </w:pPr>
            <w:hyperlink r:id="rId20" w:history="1">
              <w:r w:rsidR="00D85C57" w:rsidRPr="00903C52">
                <w:rPr>
                  <w:rStyle w:val="Hyperlink"/>
                  <w:iCs/>
                  <w:szCs w:val="20"/>
                </w:rPr>
                <w:t>Long.Bill@epa.gov</w:t>
              </w:r>
            </w:hyperlink>
            <w:r w:rsidR="00D85C57">
              <w:rPr>
                <w:iCs/>
                <w:szCs w:val="20"/>
              </w:rPr>
              <w:t xml:space="preserve"> </w:t>
            </w:r>
          </w:p>
          <w:p w14:paraId="56449D87" w14:textId="77777777" w:rsidR="00D85C57" w:rsidRPr="001C39AB" w:rsidRDefault="00D85C57" w:rsidP="00D85C57">
            <w:pPr>
              <w:pStyle w:val="Style1"/>
              <w:rPr>
                <w:b/>
                <w:iCs/>
                <w:szCs w:val="20"/>
              </w:rPr>
            </w:pPr>
          </w:p>
          <w:p w14:paraId="215C22FB" w14:textId="77777777" w:rsidR="007F0B28" w:rsidRDefault="00D85C57" w:rsidP="00592720">
            <w:pPr>
              <w:pStyle w:val="Style1"/>
              <w:rPr>
                <w:szCs w:val="20"/>
              </w:rPr>
            </w:pPr>
            <w:r w:rsidRPr="00D85C57">
              <w:rPr>
                <w:szCs w:val="20"/>
              </w:rPr>
              <w:t>Larainne Koehler</w:t>
            </w:r>
          </w:p>
          <w:p w14:paraId="66B6AFFA" w14:textId="77777777" w:rsidR="00D85C57" w:rsidRPr="00D85C57" w:rsidRDefault="00D85C57" w:rsidP="00D85C57">
            <w:pPr>
              <w:pStyle w:val="Style1"/>
              <w:rPr>
                <w:szCs w:val="20"/>
              </w:rPr>
            </w:pPr>
            <w:r w:rsidRPr="00D85C57">
              <w:rPr>
                <w:szCs w:val="20"/>
              </w:rPr>
              <w:t>Radon &amp; Indoor Air Coordinator</w:t>
            </w:r>
          </w:p>
          <w:p w14:paraId="0989FDE3" w14:textId="77777777" w:rsidR="00D85C57" w:rsidRPr="00D85C57" w:rsidRDefault="00D85C57" w:rsidP="00D85C57">
            <w:pPr>
              <w:pStyle w:val="Style1"/>
              <w:rPr>
                <w:szCs w:val="20"/>
              </w:rPr>
            </w:pPr>
            <w:r w:rsidRPr="00D85C57">
              <w:rPr>
                <w:szCs w:val="20"/>
              </w:rPr>
              <w:t>Radiation and Indoor Air Branch - 25th Floor</w:t>
            </w:r>
          </w:p>
          <w:p w14:paraId="0DDDAECE" w14:textId="77777777" w:rsidR="00D85C57" w:rsidRDefault="00D85C57" w:rsidP="00D85C57">
            <w:pPr>
              <w:pStyle w:val="Style1"/>
              <w:rPr>
                <w:szCs w:val="20"/>
              </w:rPr>
            </w:pPr>
            <w:r w:rsidRPr="00D85C57">
              <w:rPr>
                <w:szCs w:val="20"/>
              </w:rPr>
              <w:t>Environmental Protection Agency - Region 2</w:t>
            </w:r>
          </w:p>
          <w:p w14:paraId="0C87D74D" w14:textId="77777777" w:rsidR="00D85C57" w:rsidRPr="00D85C57" w:rsidRDefault="00D85C57" w:rsidP="00D85C57">
            <w:pPr>
              <w:pStyle w:val="Style1"/>
              <w:rPr>
                <w:szCs w:val="20"/>
              </w:rPr>
            </w:pPr>
            <w:r w:rsidRPr="00D85C57">
              <w:rPr>
                <w:szCs w:val="20"/>
              </w:rPr>
              <w:t>290 Broadway</w:t>
            </w:r>
            <w:r>
              <w:rPr>
                <w:szCs w:val="20"/>
              </w:rPr>
              <w:t>,</w:t>
            </w:r>
            <w:r w:rsidRPr="00D85C57">
              <w:rPr>
                <w:szCs w:val="20"/>
              </w:rPr>
              <w:t xml:space="preserve"> 25</w:t>
            </w:r>
            <w:r w:rsidR="000747ED" w:rsidRPr="000747ED">
              <w:rPr>
                <w:szCs w:val="20"/>
                <w:vertAlign w:val="superscript"/>
              </w:rPr>
              <w:t>th</w:t>
            </w:r>
            <w:r w:rsidR="000747ED">
              <w:rPr>
                <w:szCs w:val="20"/>
              </w:rPr>
              <w:t xml:space="preserve"> Floor</w:t>
            </w:r>
            <w:r w:rsidRPr="00D85C57">
              <w:rPr>
                <w:szCs w:val="20"/>
              </w:rPr>
              <w:t xml:space="preserve"> </w:t>
            </w:r>
          </w:p>
          <w:p w14:paraId="525B5CDE" w14:textId="77777777" w:rsidR="00D85C57" w:rsidRDefault="00D85C57" w:rsidP="00D85C57">
            <w:pPr>
              <w:pStyle w:val="Style1"/>
              <w:rPr>
                <w:szCs w:val="20"/>
              </w:rPr>
            </w:pPr>
            <w:r w:rsidRPr="00D85C57">
              <w:rPr>
                <w:szCs w:val="20"/>
              </w:rPr>
              <w:t>New York, NY 10007-1866</w:t>
            </w:r>
          </w:p>
          <w:p w14:paraId="16069DD2" w14:textId="77777777" w:rsidR="000747ED" w:rsidRDefault="000747ED" w:rsidP="00D85C57">
            <w:pPr>
              <w:pStyle w:val="Style1"/>
              <w:rPr>
                <w:szCs w:val="20"/>
              </w:rPr>
            </w:pPr>
            <w:r w:rsidRPr="000747ED">
              <w:rPr>
                <w:szCs w:val="20"/>
              </w:rPr>
              <w:t>212-637-3745</w:t>
            </w:r>
          </w:p>
          <w:p w14:paraId="16E14DB8" w14:textId="77777777" w:rsidR="000747ED" w:rsidRPr="00D85C57" w:rsidRDefault="00B82320" w:rsidP="00D85C57">
            <w:pPr>
              <w:pStyle w:val="Style1"/>
              <w:rPr>
                <w:szCs w:val="20"/>
              </w:rPr>
            </w:pPr>
            <w:hyperlink r:id="rId21" w:history="1">
              <w:r w:rsidR="000747ED" w:rsidRPr="00903C52">
                <w:rPr>
                  <w:rStyle w:val="Hyperlink"/>
                  <w:szCs w:val="20"/>
                </w:rPr>
                <w:t>Koehler.larainne@Epa.gov</w:t>
              </w:r>
            </w:hyperlink>
            <w:r w:rsidR="000747ED">
              <w:rPr>
                <w:szCs w:val="20"/>
              </w:rPr>
              <w:t xml:space="preserve"> </w:t>
            </w:r>
          </w:p>
          <w:p w14:paraId="5C6F49CF" w14:textId="77777777" w:rsidR="007473F8" w:rsidRDefault="007473F8" w:rsidP="00592720">
            <w:pPr>
              <w:pStyle w:val="Style1"/>
              <w:rPr>
                <w:b/>
                <w:szCs w:val="20"/>
              </w:rPr>
            </w:pPr>
          </w:p>
          <w:p w14:paraId="346F6C5B" w14:textId="77777777" w:rsidR="000747ED" w:rsidRDefault="000747ED" w:rsidP="000747ED">
            <w:pPr>
              <w:pStyle w:val="Style1"/>
              <w:rPr>
                <w:szCs w:val="20"/>
              </w:rPr>
            </w:pPr>
            <w:r w:rsidRPr="000747ED">
              <w:rPr>
                <w:szCs w:val="20"/>
              </w:rPr>
              <w:t>Eugene Pinzer, MS, CIH</w:t>
            </w:r>
          </w:p>
          <w:p w14:paraId="319CB6F3" w14:textId="77777777" w:rsidR="000747ED" w:rsidRDefault="000747ED" w:rsidP="000747ED">
            <w:pPr>
              <w:pStyle w:val="Style1"/>
              <w:rPr>
                <w:szCs w:val="20"/>
              </w:rPr>
            </w:pPr>
            <w:r w:rsidRPr="000747ED">
              <w:rPr>
                <w:szCs w:val="20"/>
              </w:rPr>
              <w:t xml:space="preserve">Environmental Scientist </w:t>
            </w:r>
          </w:p>
          <w:p w14:paraId="64236496" w14:textId="77777777" w:rsidR="000747ED" w:rsidRPr="000747ED" w:rsidRDefault="000747ED" w:rsidP="000747ED">
            <w:pPr>
              <w:pStyle w:val="Style1"/>
              <w:rPr>
                <w:szCs w:val="20"/>
              </w:rPr>
            </w:pPr>
            <w:r w:rsidRPr="000747ED">
              <w:rPr>
                <w:szCs w:val="20"/>
              </w:rPr>
              <w:t>Office of Healthy Homes and Lead Hazard Control</w:t>
            </w:r>
          </w:p>
          <w:p w14:paraId="3CD6C64E" w14:textId="77777777" w:rsidR="000747ED" w:rsidRPr="000747ED" w:rsidRDefault="000747ED" w:rsidP="000747ED">
            <w:pPr>
              <w:pStyle w:val="Style1"/>
              <w:rPr>
                <w:szCs w:val="20"/>
              </w:rPr>
            </w:pPr>
            <w:r w:rsidRPr="000747ED">
              <w:rPr>
                <w:szCs w:val="20"/>
              </w:rPr>
              <w:t>Department of Housing and Urban Development</w:t>
            </w:r>
          </w:p>
          <w:p w14:paraId="168262D3" w14:textId="77777777" w:rsidR="000747ED" w:rsidRDefault="000747ED" w:rsidP="000747ED">
            <w:pPr>
              <w:pStyle w:val="Style1"/>
              <w:rPr>
                <w:szCs w:val="20"/>
              </w:rPr>
            </w:pPr>
            <w:r w:rsidRPr="000747ED">
              <w:rPr>
                <w:szCs w:val="20"/>
              </w:rPr>
              <w:t xml:space="preserve"> 451 7th Street S.W., Washington, DC 20410</w:t>
            </w:r>
          </w:p>
          <w:p w14:paraId="2315ECE1" w14:textId="77777777" w:rsidR="000747ED" w:rsidRDefault="000747ED" w:rsidP="000747ED">
            <w:pPr>
              <w:pStyle w:val="Style1"/>
              <w:rPr>
                <w:szCs w:val="20"/>
              </w:rPr>
            </w:pPr>
            <w:r w:rsidRPr="000747ED">
              <w:rPr>
                <w:szCs w:val="20"/>
              </w:rPr>
              <w:t>202-402-7685</w:t>
            </w:r>
          </w:p>
          <w:p w14:paraId="1B2D3E5F" w14:textId="77777777" w:rsidR="000747ED" w:rsidRDefault="00B82320" w:rsidP="000747ED">
            <w:pPr>
              <w:pStyle w:val="Style1"/>
              <w:rPr>
                <w:szCs w:val="20"/>
              </w:rPr>
            </w:pPr>
            <w:hyperlink r:id="rId22" w:history="1">
              <w:r w:rsidR="000747ED" w:rsidRPr="00903C52">
                <w:rPr>
                  <w:rStyle w:val="Hyperlink"/>
                  <w:szCs w:val="20"/>
                </w:rPr>
                <w:t>Eugene.A.Pinzer@hud.gov</w:t>
              </w:r>
            </w:hyperlink>
            <w:r w:rsidR="000747ED">
              <w:rPr>
                <w:szCs w:val="20"/>
              </w:rPr>
              <w:t xml:space="preserve"> </w:t>
            </w:r>
          </w:p>
          <w:p w14:paraId="31BE72B1" w14:textId="77777777" w:rsidR="00374CD6" w:rsidRPr="000747ED" w:rsidRDefault="00374CD6" w:rsidP="00374CD6">
            <w:pPr>
              <w:pStyle w:val="Style1"/>
              <w:rPr>
                <w:noProof/>
                <w:szCs w:val="20"/>
              </w:rPr>
            </w:pPr>
          </w:p>
        </w:tc>
        <w:tc>
          <w:tcPr>
            <w:tcW w:w="4752" w:type="dxa"/>
          </w:tcPr>
          <w:p w14:paraId="7242C245" w14:textId="77777777" w:rsidR="00E62D49" w:rsidRDefault="00E62D49" w:rsidP="00D96582">
            <w:pPr>
              <w:pStyle w:val="Style1"/>
              <w:rPr>
                <w:noProof/>
                <w:szCs w:val="20"/>
              </w:rPr>
            </w:pPr>
          </w:p>
          <w:p w14:paraId="0623C655" w14:textId="77777777" w:rsidR="00D85C57" w:rsidRDefault="00D85C57" w:rsidP="00D96582">
            <w:pPr>
              <w:pStyle w:val="Style1"/>
              <w:rPr>
                <w:szCs w:val="20"/>
              </w:rPr>
            </w:pPr>
            <w:r w:rsidRPr="00D85C57">
              <w:rPr>
                <w:szCs w:val="20"/>
              </w:rPr>
              <w:t>Jani Palmer</w:t>
            </w:r>
          </w:p>
          <w:p w14:paraId="257C68B2" w14:textId="77777777" w:rsidR="00D85C57" w:rsidRDefault="00D85C57" w:rsidP="00D96582">
            <w:pPr>
              <w:pStyle w:val="Style1"/>
              <w:rPr>
                <w:szCs w:val="20"/>
              </w:rPr>
            </w:pPr>
            <w:r>
              <w:rPr>
                <w:szCs w:val="20"/>
              </w:rPr>
              <w:t>Scientist</w:t>
            </w:r>
          </w:p>
          <w:p w14:paraId="30C948E2" w14:textId="77777777" w:rsidR="00D85C57" w:rsidRPr="00D85C57" w:rsidRDefault="00D85C57" w:rsidP="00D85C57">
            <w:pPr>
              <w:pStyle w:val="Style1"/>
              <w:rPr>
                <w:noProof/>
                <w:szCs w:val="20"/>
              </w:rPr>
            </w:pPr>
            <w:r w:rsidRPr="00D85C57">
              <w:rPr>
                <w:noProof/>
                <w:szCs w:val="20"/>
              </w:rPr>
              <w:t xml:space="preserve">Indoor Environments Division </w:t>
            </w:r>
          </w:p>
          <w:p w14:paraId="34FDE63C" w14:textId="77777777" w:rsidR="00D85C57" w:rsidRDefault="00D85C57" w:rsidP="00D85C57">
            <w:pPr>
              <w:pStyle w:val="Style1"/>
              <w:rPr>
                <w:noProof/>
                <w:szCs w:val="20"/>
              </w:rPr>
            </w:pPr>
            <w:r w:rsidRPr="00D85C57">
              <w:rPr>
                <w:noProof/>
                <w:szCs w:val="20"/>
              </w:rPr>
              <w:t>Center for Radon &amp; Air Toxics</w:t>
            </w:r>
          </w:p>
          <w:p w14:paraId="0B76675D" w14:textId="77777777" w:rsidR="00D85C57" w:rsidRDefault="00D85C57" w:rsidP="00D85C57">
            <w:pPr>
              <w:pStyle w:val="Style1"/>
              <w:rPr>
                <w:noProof/>
                <w:szCs w:val="20"/>
              </w:rPr>
            </w:pPr>
            <w:r w:rsidRPr="00D85C57">
              <w:rPr>
                <w:noProof/>
                <w:szCs w:val="20"/>
              </w:rPr>
              <w:t>Environmental Protection Agency</w:t>
            </w:r>
          </w:p>
          <w:p w14:paraId="58680CE9" w14:textId="77777777" w:rsidR="00D85C57" w:rsidRPr="00D85C57" w:rsidRDefault="00D85C57" w:rsidP="00D85C57">
            <w:pPr>
              <w:pStyle w:val="Style1"/>
              <w:rPr>
                <w:noProof/>
                <w:szCs w:val="20"/>
              </w:rPr>
            </w:pPr>
            <w:r w:rsidRPr="00D85C57">
              <w:rPr>
                <w:noProof/>
                <w:szCs w:val="20"/>
              </w:rPr>
              <w:t>Environmental Protection Agency</w:t>
            </w:r>
          </w:p>
          <w:p w14:paraId="2AC43457" w14:textId="77777777" w:rsidR="00D85C57" w:rsidRPr="00D85C57" w:rsidRDefault="00D85C57" w:rsidP="00D85C57">
            <w:pPr>
              <w:pStyle w:val="Style1"/>
              <w:rPr>
                <w:noProof/>
                <w:szCs w:val="20"/>
              </w:rPr>
            </w:pPr>
            <w:r w:rsidRPr="00D85C57">
              <w:rPr>
                <w:noProof/>
                <w:szCs w:val="20"/>
              </w:rPr>
              <w:t>1200 Pennsylvania Avenue, N.W.</w:t>
            </w:r>
          </w:p>
          <w:p w14:paraId="4418C473" w14:textId="77777777" w:rsidR="00D85C57" w:rsidRDefault="00D85C57" w:rsidP="00D85C57">
            <w:pPr>
              <w:pStyle w:val="Style1"/>
              <w:rPr>
                <w:noProof/>
                <w:szCs w:val="20"/>
              </w:rPr>
            </w:pPr>
            <w:r w:rsidRPr="00D85C57">
              <w:rPr>
                <w:noProof/>
                <w:szCs w:val="20"/>
              </w:rPr>
              <w:t>Washington, DC 20460</w:t>
            </w:r>
          </w:p>
          <w:p w14:paraId="05353743" w14:textId="77777777" w:rsidR="00D96582" w:rsidRDefault="00D85C57" w:rsidP="00D96582">
            <w:pPr>
              <w:pStyle w:val="Style1"/>
              <w:rPr>
                <w:noProof/>
                <w:szCs w:val="20"/>
              </w:rPr>
            </w:pPr>
            <w:r>
              <w:rPr>
                <w:noProof/>
                <w:szCs w:val="20"/>
              </w:rPr>
              <w:t>202</w:t>
            </w:r>
            <w:r w:rsidR="00D96582" w:rsidRPr="00076FFE">
              <w:rPr>
                <w:noProof/>
                <w:szCs w:val="20"/>
              </w:rPr>
              <w:t>-</w:t>
            </w:r>
            <w:r w:rsidRPr="00D85C57">
              <w:rPr>
                <w:noProof/>
                <w:szCs w:val="20"/>
              </w:rPr>
              <w:t>343-9921</w:t>
            </w:r>
          </w:p>
          <w:p w14:paraId="6595C3C1" w14:textId="77777777" w:rsidR="00D85C57" w:rsidRDefault="00B82320" w:rsidP="00592720">
            <w:pPr>
              <w:pStyle w:val="Style1"/>
            </w:pPr>
            <w:hyperlink r:id="rId23" w:history="1">
              <w:r w:rsidR="00D85C57" w:rsidRPr="00903C52">
                <w:rPr>
                  <w:rStyle w:val="Hyperlink"/>
                </w:rPr>
                <w:t>palmer.janise@epa.gov</w:t>
              </w:r>
            </w:hyperlink>
            <w:r w:rsidR="00D85C57">
              <w:t xml:space="preserve"> </w:t>
            </w:r>
          </w:p>
          <w:p w14:paraId="3D83A8B7" w14:textId="77777777" w:rsidR="007F0B28" w:rsidRDefault="00D85C57" w:rsidP="00592720">
            <w:pPr>
              <w:pStyle w:val="Style1"/>
              <w:rPr>
                <w:noProof/>
                <w:szCs w:val="20"/>
              </w:rPr>
            </w:pPr>
            <w:r w:rsidRPr="00D85C57">
              <w:t xml:space="preserve"> </w:t>
            </w:r>
            <w:r>
              <w:t xml:space="preserve"> </w:t>
            </w:r>
          </w:p>
          <w:p w14:paraId="7EEC5A01" w14:textId="77777777" w:rsidR="000747ED" w:rsidRDefault="000747ED" w:rsidP="000747ED">
            <w:pPr>
              <w:pStyle w:val="Style1"/>
              <w:rPr>
                <w:noProof/>
                <w:szCs w:val="20"/>
              </w:rPr>
            </w:pPr>
            <w:r w:rsidRPr="000747ED">
              <w:rPr>
                <w:noProof/>
                <w:szCs w:val="20"/>
              </w:rPr>
              <w:t>Peter Ashley, PhD</w:t>
            </w:r>
          </w:p>
          <w:p w14:paraId="4C45DD49" w14:textId="77777777" w:rsidR="000747ED" w:rsidRPr="000747ED" w:rsidRDefault="000747ED" w:rsidP="000747ED">
            <w:pPr>
              <w:pStyle w:val="Style1"/>
              <w:rPr>
                <w:noProof/>
                <w:szCs w:val="20"/>
              </w:rPr>
            </w:pPr>
            <w:r w:rsidRPr="000747ED">
              <w:rPr>
                <w:noProof/>
                <w:szCs w:val="20"/>
              </w:rPr>
              <w:t xml:space="preserve">Program </w:t>
            </w:r>
            <w:r>
              <w:rPr>
                <w:noProof/>
                <w:szCs w:val="20"/>
              </w:rPr>
              <w:t>Director</w:t>
            </w:r>
          </w:p>
          <w:p w14:paraId="2F471C34" w14:textId="77777777" w:rsidR="00D96582" w:rsidRDefault="000747ED" w:rsidP="000747ED">
            <w:pPr>
              <w:pStyle w:val="Style1"/>
              <w:rPr>
                <w:noProof/>
                <w:szCs w:val="20"/>
              </w:rPr>
            </w:pPr>
            <w:r w:rsidRPr="000747ED">
              <w:rPr>
                <w:noProof/>
                <w:szCs w:val="20"/>
              </w:rPr>
              <w:t>Office of Healthy Homes and Lead Hazard Control</w:t>
            </w:r>
          </w:p>
          <w:p w14:paraId="5611B2D5" w14:textId="77777777" w:rsidR="000747ED" w:rsidRPr="000747ED" w:rsidRDefault="000747ED" w:rsidP="000747ED">
            <w:pPr>
              <w:pStyle w:val="Style1"/>
              <w:rPr>
                <w:noProof/>
                <w:szCs w:val="20"/>
              </w:rPr>
            </w:pPr>
            <w:r w:rsidRPr="000747ED">
              <w:rPr>
                <w:noProof/>
                <w:szCs w:val="20"/>
              </w:rPr>
              <w:t>Department of Housing and Urban Development</w:t>
            </w:r>
          </w:p>
          <w:p w14:paraId="00067B36" w14:textId="77777777" w:rsidR="000747ED" w:rsidRDefault="000747ED" w:rsidP="000747ED">
            <w:pPr>
              <w:pStyle w:val="Style1"/>
              <w:rPr>
                <w:noProof/>
                <w:szCs w:val="20"/>
              </w:rPr>
            </w:pPr>
            <w:r w:rsidRPr="000747ED">
              <w:rPr>
                <w:noProof/>
                <w:szCs w:val="20"/>
              </w:rPr>
              <w:t xml:space="preserve"> 451 7th Street S.W., Washington, DC 20410</w:t>
            </w:r>
          </w:p>
          <w:p w14:paraId="13B17454" w14:textId="77777777" w:rsidR="000747ED" w:rsidRPr="00804F46" w:rsidRDefault="000747ED" w:rsidP="000747ED">
            <w:pPr>
              <w:pStyle w:val="Style1"/>
            </w:pPr>
            <w:r w:rsidRPr="00804F46">
              <w:t>202-402-7595</w:t>
            </w:r>
          </w:p>
          <w:p w14:paraId="19C8665A" w14:textId="77777777" w:rsidR="000747ED" w:rsidRPr="00804F46" w:rsidRDefault="00B82320" w:rsidP="000747ED">
            <w:pPr>
              <w:pStyle w:val="Style1"/>
            </w:pPr>
            <w:hyperlink r:id="rId24" w:history="1">
              <w:r w:rsidR="000747ED" w:rsidRPr="00804F46">
                <w:rPr>
                  <w:rStyle w:val="Hyperlink"/>
                </w:rPr>
                <w:t>Peter.J.Ashley@hud.gov</w:t>
              </w:r>
            </w:hyperlink>
            <w:r w:rsidR="000747ED" w:rsidRPr="00804F46">
              <w:t xml:space="preserve"> </w:t>
            </w:r>
          </w:p>
          <w:p w14:paraId="380B55CB" w14:textId="77777777" w:rsidR="000747ED" w:rsidRPr="00804F46" w:rsidRDefault="000747ED" w:rsidP="000747ED">
            <w:pPr>
              <w:pStyle w:val="Style1"/>
            </w:pPr>
          </w:p>
          <w:p w14:paraId="25E71EE3" w14:textId="7E121324" w:rsidR="00374CD6" w:rsidRPr="00FE4392" w:rsidRDefault="00FE4392" w:rsidP="00374CD6">
            <w:pPr>
              <w:pStyle w:val="Style1"/>
              <w:rPr>
                <w:noProof/>
                <w:szCs w:val="20"/>
              </w:rPr>
            </w:pPr>
            <w:r w:rsidRPr="00FE4392">
              <w:rPr>
                <w:noProof/>
                <w:szCs w:val="20"/>
              </w:rPr>
              <w:t>Kristen Miller, PhD</w:t>
            </w:r>
          </w:p>
          <w:p w14:paraId="2E98BF6F" w14:textId="77777777" w:rsidR="00FE4392" w:rsidRDefault="00FE4392" w:rsidP="00374CD6">
            <w:pPr>
              <w:pStyle w:val="Style1"/>
              <w:rPr>
                <w:noProof/>
                <w:szCs w:val="20"/>
              </w:rPr>
            </w:pPr>
            <w:r w:rsidRPr="00FE4392">
              <w:rPr>
                <w:noProof/>
                <w:szCs w:val="20"/>
              </w:rPr>
              <w:t>Behavioral Scientist</w:t>
            </w:r>
          </w:p>
          <w:p w14:paraId="34F4DE6A" w14:textId="77777777" w:rsidR="00FE4392" w:rsidRDefault="00FE4392" w:rsidP="00374CD6">
            <w:pPr>
              <w:pStyle w:val="Style1"/>
              <w:rPr>
                <w:noProof/>
                <w:szCs w:val="20"/>
              </w:rPr>
            </w:pPr>
            <w:r>
              <w:rPr>
                <w:noProof/>
                <w:szCs w:val="20"/>
              </w:rPr>
              <w:t>Questionnaire Design Laboratory</w:t>
            </w:r>
          </w:p>
          <w:p w14:paraId="31056139" w14:textId="77777777" w:rsidR="00FE4392" w:rsidRDefault="00FE4392" w:rsidP="009D4FC9">
            <w:pPr>
              <w:pStyle w:val="Style1"/>
              <w:rPr>
                <w:noProof/>
                <w:szCs w:val="20"/>
              </w:rPr>
            </w:pPr>
            <w:r>
              <w:rPr>
                <w:noProof/>
                <w:szCs w:val="20"/>
              </w:rPr>
              <w:t xml:space="preserve">Office of </w:t>
            </w:r>
            <w:r w:rsidR="009D4FC9">
              <w:rPr>
                <w:noProof/>
                <w:szCs w:val="20"/>
              </w:rPr>
              <w:t>Public Health Scientific Services</w:t>
            </w:r>
          </w:p>
          <w:p w14:paraId="366FA3F2" w14:textId="77777777" w:rsidR="009D4FC9" w:rsidRDefault="009D4FC9" w:rsidP="009D4FC9">
            <w:pPr>
              <w:pStyle w:val="Style1"/>
              <w:rPr>
                <w:noProof/>
                <w:szCs w:val="20"/>
              </w:rPr>
            </w:pPr>
            <w:r>
              <w:rPr>
                <w:noProof/>
                <w:szCs w:val="20"/>
              </w:rPr>
              <w:t>National Center for Health Statistics</w:t>
            </w:r>
          </w:p>
          <w:p w14:paraId="73F14564" w14:textId="77777777" w:rsidR="009D4FC9" w:rsidRDefault="009D4FC9" w:rsidP="009D4FC9">
            <w:pPr>
              <w:pStyle w:val="Style1"/>
              <w:rPr>
                <w:noProof/>
                <w:szCs w:val="20"/>
              </w:rPr>
            </w:pPr>
            <w:r w:rsidRPr="009D4FC9">
              <w:rPr>
                <w:noProof/>
                <w:szCs w:val="20"/>
              </w:rPr>
              <w:t>Bldg IV</w:t>
            </w:r>
            <w:r>
              <w:rPr>
                <w:noProof/>
                <w:szCs w:val="20"/>
              </w:rPr>
              <w:t>,</w:t>
            </w:r>
            <w:r w:rsidRPr="009D4FC9">
              <w:rPr>
                <w:noProof/>
                <w:szCs w:val="20"/>
              </w:rPr>
              <w:t xml:space="preserve"> Rm 3216</w:t>
            </w:r>
            <w:r>
              <w:rPr>
                <w:noProof/>
                <w:szCs w:val="20"/>
              </w:rPr>
              <w:t xml:space="preserve">, </w:t>
            </w:r>
            <w:r w:rsidRPr="009D4FC9">
              <w:rPr>
                <w:noProof/>
                <w:szCs w:val="20"/>
              </w:rPr>
              <w:t>MS P08</w:t>
            </w:r>
          </w:p>
          <w:p w14:paraId="09FFFC4D" w14:textId="77777777" w:rsidR="009D4FC9" w:rsidRDefault="009D4FC9" w:rsidP="009D4FC9">
            <w:pPr>
              <w:pStyle w:val="Style1"/>
              <w:rPr>
                <w:noProof/>
                <w:szCs w:val="20"/>
              </w:rPr>
            </w:pPr>
            <w:r w:rsidRPr="009D4FC9">
              <w:rPr>
                <w:noProof/>
                <w:szCs w:val="20"/>
              </w:rPr>
              <w:t>Hyattville</w:t>
            </w:r>
            <w:r>
              <w:rPr>
                <w:noProof/>
                <w:szCs w:val="20"/>
              </w:rPr>
              <w:t xml:space="preserve">, MD </w:t>
            </w:r>
            <w:r w:rsidRPr="009D4FC9">
              <w:rPr>
                <w:noProof/>
                <w:szCs w:val="20"/>
              </w:rPr>
              <w:t>20782</w:t>
            </w:r>
          </w:p>
          <w:p w14:paraId="3C7EC9E6" w14:textId="77777777" w:rsidR="009D4FC9" w:rsidRDefault="009D4FC9" w:rsidP="009D4FC9">
            <w:pPr>
              <w:pStyle w:val="Style1"/>
              <w:rPr>
                <w:noProof/>
                <w:szCs w:val="20"/>
              </w:rPr>
            </w:pPr>
            <w:r>
              <w:rPr>
                <w:noProof/>
                <w:szCs w:val="20"/>
              </w:rPr>
              <w:t>301-458-</w:t>
            </w:r>
            <w:r w:rsidRPr="009D4FC9">
              <w:rPr>
                <w:noProof/>
                <w:szCs w:val="20"/>
              </w:rPr>
              <w:t>4625</w:t>
            </w:r>
          </w:p>
          <w:p w14:paraId="671451AC" w14:textId="77777777" w:rsidR="009D4FC9" w:rsidRPr="00FE4392" w:rsidRDefault="00B82320" w:rsidP="009D4FC9">
            <w:pPr>
              <w:pStyle w:val="Style1"/>
              <w:rPr>
                <w:noProof/>
                <w:szCs w:val="20"/>
              </w:rPr>
            </w:pPr>
            <w:hyperlink r:id="rId25" w:history="1">
              <w:r w:rsidR="009D4FC9" w:rsidRPr="00D0640D">
                <w:rPr>
                  <w:rStyle w:val="Hyperlink"/>
                  <w:noProof/>
                  <w:szCs w:val="20"/>
                </w:rPr>
                <w:t>KSMiller@cdc.gov</w:t>
              </w:r>
            </w:hyperlink>
            <w:r w:rsidR="009D4FC9">
              <w:rPr>
                <w:noProof/>
                <w:szCs w:val="20"/>
              </w:rPr>
              <w:t xml:space="preserve"> </w:t>
            </w:r>
          </w:p>
        </w:tc>
      </w:tr>
    </w:tbl>
    <w:p w14:paraId="139BE411" w14:textId="77777777" w:rsidR="007F0B28" w:rsidRPr="00FE4392" w:rsidRDefault="007F0B28" w:rsidP="007F0B28">
      <w:pPr>
        <w:pStyle w:val="exhibitsource"/>
        <w:spacing w:line="360" w:lineRule="auto"/>
        <w:contextualSpacing/>
        <w:rPr>
          <w:sz w:val="22"/>
        </w:rPr>
      </w:pPr>
    </w:p>
    <w:p w14:paraId="5E8916CC" w14:textId="77777777" w:rsidR="007F0B28" w:rsidRDefault="007F0B28" w:rsidP="009D0976">
      <w:pPr>
        <w:pStyle w:val="Heading2"/>
      </w:pPr>
      <w:bookmarkStart w:id="82" w:name="_Toc143058444"/>
      <w:bookmarkStart w:id="83" w:name="_Toc146088442"/>
      <w:bookmarkStart w:id="84" w:name="_Toc260215296"/>
      <w:bookmarkStart w:id="85" w:name="_Toc296586379"/>
      <w:bookmarkStart w:id="86" w:name="_Toc389143704"/>
      <w:bookmarkStart w:id="87" w:name="_Toc411604803"/>
      <w:r w:rsidRPr="00CF1100">
        <w:t>A.9</w:t>
      </w:r>
      <w:r w:rsidRPr="00CF1100">
        <w:tab/>
        <w:t>Explanation of Any Payment or Gift to Respondents</w:t>
      </w:r>
      <w:bookmarkEnd w:id="82"/>
      <w:bookmarkEnd w:id="83"/>
      <w:bookmarkEnd w:id="84"/>
      <w:bookmarkEnd w:id="85"/>
      <w:bookmarkEnd w:id="86"/>
      <w:bookmarkEnd w:id="87"/>
      <w:r w:rsidRPr="00CF1100">
        <w:t xml:space="preserve"> </w:t>
      </w:r>
    </w:p>
    <w:p w14:paraId="4C3C79E8" w14:textId="741DC0EB" w:rsidR="007F0B28" w:rsidRPr="00CF1100" w:rsidRDefault="001649EB" w:rsidP="007473F8">
      <w:pPr>
        <w:pStyle w:val="BodyText1"/>
      </w:pPr>
      <w:r w:rsidRPr="001649EB">
        <w:t>Participants in the homebuyer survey cognitive testing will be offered an honorarium of $15.</w:t>
      </w:r>
      <w:r>
        <w:t xml:space="preserve"> </w:t>
      </w:r>
      <w:r w:rsidR="00E530D2">
        <w:t xml:space="preserve">Real </w:t>
      </w:r>
      <w:r w:rsidR="004D2E65">
        <w:t xml:space="preserve">estate agents participating in the focus groups </w:t>
      </w:r>
      <w:r w:rsidR="004D2E65" w:rsidRPr="004D2E65">
        <w:t>will be offered an honorarium of $</w:t>
      </w:r>
      <w:r w:rsidR="004D2E65">
        <w:t>30</w:t>
      </w:r>
      <w:r w:rsidR="003965AF">
        <w:t>, in the form of a pre-paid credit card</w:t>
      </w:r>
      <w:r w:rsidR="004D2E65">
        <w:t>.</w:t>
      </w:r>
      <w:r w:rsidR="004D2E65" w:rsidRPr="004D2E65">
        <w:t xml:space="preserve"> </w:t>
      </w:r>
      <w:r w:rsidR="004D2E65">
        <w:t>The honoraria</w:t>
      </w:r>
      <w:r w:rsidR="002250FD">
        <w:t xml:space="preserve"> </w:t>
      </w:r>
      <w:r w:rsidR="004D2E65">
        <w:t>are</w:t>
      </w:r>
      <w:r w:rsidR="002250FD">
        <w:t xml:space="preserve"> </w:t>
      </w:r>
      <w:r w:rsidR="007F0B28" w:rsidRPr="00CF1100">
        <w:t xml:space="preserve">intended to recognize the time burden placed on the participants, encourage their cooperation, and convey appreciation for contributing to this important study. The amount of the honoraria was </w:t>
      </w:r>
      <w:r w:rsidR="00AE069F">
        <w:t xml:space="preserve">budgeted for and </w:t>
      </w:r>
      <w:r w:rsidR="007F0B28" w:rsidRPr="00CF1100">
        <w:t xml:space="preserve">determined through discussions with staff with expertise in conducting adult surveys. </w:t>
      </w:r>
      <w:r w:rsidR="00E87FEC">
        <w:t>The amounts are</w:t>
      </w:r>
      <w:r w:rsidR="004E2366">
        <w:t xml:space="preserve"> less than typical government-wide </w:t>
      </w:r>
      <w:r w:rsidR="00E87FEC">
        <w:t xml:space="preserve">agreed upon </w:t>
      </w:r>
      <w:r w:rsidR="004E2366">
        <w:t>rates</w:t>
      </w:r>
      <w:r w:rsidR="00E87FEC">
        <w:t xml:space="preserve"> for focus groups and cognitive interviews</w:t>
      </w:r>
      <w:r w:rsidR="004E2366">
        <w:t xml:space="preserve"> because no travel time or expenses will be incurred in completing this survey. </w:t>
      </w:r>
    </w:p>
    <w:p w14:paraId="471DA567" w14:textId="77777777" w:rsidR="007F0B28" w:rsidRPr="00CF1100" w:rsidRDefault="007F0B28" w:rsidP="009D0976">
      <w:pPr>
        <w:pStyle w:val="Heading2"/>
      </w:pPr>
      <w:bookmarkStart w:id="88" w:name="_Toc260215297"/>
      <w:bookmarkStart w:id="89" w:name="_Toc296586382"/>
      <w:bookmarkStart w:id="90" w:name="_Toc389143705"/>
      <w:bookmarkStart w:id="91" w:name="_Toc411604804"/>
      <w:r w:rsidRPr="00CF1100">
        <w:t>A.10</w:t>
      </w:r>
      <w:r w:rsidRPr="00CF1100">
        <w:tab/>
        <w:t>Assurance of Confidentiality Provided to Respondents</w:t>
      </w:r>
      <w:bookmarkEnd w:id="88"/>
      <w:bookmarkEnd w:id="89"/>
      <w:bookmarkEnd w:id="90"/>
      <w:bookmarkEnd w:id="91"/>
      <w:r w:rsidRPr="00CF1100">
        <w:t xml:space="preserve"> </w:t>
      </w:r>
    </w:p>
    <w:p w14:paraId="575F3E60" w14:textId="77777777" w:rsidR="007F0B28" w:rsidRDefault="00C440F3" w:rsidP="009D0976">
      <w:pPr>
        <w:pStyle w:val="Heading3"/>
        <w:rPr>
          <w:i w:val="0"/>
        </w:rPr>
      </w:pPr>
      <w:bookmarkStart w:id="92" w:name="_Toc260215298"/>
      <w:bookmarkStart w:id="93" w:name="_Toc296586383"/>
      <w:bookmarkStart w:id="94" w:name="_Toc411604805"/>
      <w:r>
        <w:t xml:space="preserve">A.10.1 </w:t>
      </w:r>
      <w:bookmarkStart w:id="95" w:name="_Toc389143706"/>
      <w:r w:rsidR="007F0B28" w:rsidRPr="00CF1100">
        <w:t>Privacy Impact Assessment Information</w:t>
      </w:r>
      <w:bookmarkEnd w:id="92"/>
      <w:bookmarkEnd w:id="93"/>
      <w:bookmarkEnd w:id="95"/>
      <w:bookmarkEnd w:id="94"/>
    </w:p>
    <w:p w14:paraId="7BE8E088" w14:textId="77777777" w:rsidR="00C440F3" w:rsidRDefault="00C440F3" w:rsidP="00C440F3">
      <w:pPr>
        <w:rPr>
          <w:lang w:val="en-CA"/>
        </w:rPr>
      </w:pPr>
    </w:p>
    <w:p w14:paraId="2FFAC4AF" w14:textId="77777777" w:rsidR="00C440F3" w:rsidRPr="00C440F3" w:rsidRDefault="00C440F3" w:rsidP="00C440F3">
      <w:pPr>
        <w:pStyle w:val="BodyText1"/>
        <w:ind w:firstLine="0"/>
      </w:pPr>
      <w:r w:rsidRPr="00804F46">
        <w:rPr>
          <w:b/>
        </w:rPr>
        <w:t>Overview of the Data Collection System</w:t>
      </w:r>
    </w:p>
    <w:p w14:paraId="42582A0B" w14:textId="75F6760C" w:rsidR="00C440F3" w:rsidRDefault="00C440F3" w:rsidP="00BF19BA">
      <w:pPr>
        <w:spacing w:line="360" w:lineRule="auto"/>
        <w:ind w:firstLine="720"/>
      </w:pPr>
      <w:r>
        <w:t xml:space="preserve">CDC and a data collection contract organization, </w:t>
      </w:r>
      <w:proofErr w:type="spellStart"/>
      <w:r>
        <w:t>SciMetrika</w:t>
      </w:r>
      <w:proofErr w:type="spellEnd"/>
      <w:r>
        <w:t xml:space="preserve"> LLC, will </w:t>
      </w:r>
      <w:r w:rsidR="002F0E1A">
        <w:t>help facilitate focus group interviews</w:t>
      </w:r>
      <w:r>
        <w:t xml:space="preserve"> and collect information from recent homebuyers of single-family </w:t>
      </w:r>
      <w:r w:rsidR="00971C13">
        <w:t>standalone</w:t>
      </w:r>
      <w:r>
        <w:t xml:space="preserve"> homes and real estate agents associated with these sales. To allow comparisons, information collection will be conducted at four study sites: </w:t>
      </w:r>
      <w:r w:rsidR="002F0E1A">
        <w:t>one study site each in Illinois and Minnesota</w:t>
      </w:r>
      <w:r>
        <w:t xml:space="preserve"> that have radon policies related to home sales (Notification sites) and </w:t>
      </w:r>
      <w:r w:rsidR="002F0E1A">
        <w:t>one study site each</w:t>
      </w:r>
      <w:r>
        <w:t xml:space="preserve"> </w:t>
      </w:r>
      <w:r w:rsidR="002F0E1A">
        <w:t xml:space="preserve">in Ohio and North Carolina </w:t>
      </w:r>
      <w:r>
        <w:t>that</w:t>
      </w:r>
      <w:r w:rsidR="002F0E1A">
        <w:t xml:space="preserve"> do not have such policies (No-n</w:t>
      </w:r>
      <w:r>
        <w:t>otification sites).</w:t>
      </w:r>
      <w:r w:rsidR="00A7293F">
        <w:t xml:space="preserve"> Participants at all study sites will receive the same homebuyer survey.</w:t>
      </w:r>
      <w:r>
        <w:t xml:space="preserve"> To ensure that questions are interpreted by respondents in the manner intended i</w:t>
      </w:r>
      <w:r w:rsidRPr="00A45A1A">
        <w:t xml:space="preserve">nvestigators will conduct cognitive testing of a </w:t>
      </w:r>
      <w:r>
        <w:t>homebuyer survey by telephone with 24–32</w:t>
      </w:r>
      <w:r w:rsidRPr="00A45A1A">
        <w:t xml:space="preserve"> randomly selected homebuyers who purchased a single-family </w:t>
      </w:r>
      <w:r w:rsidR="00971C13">
        <w:t>standalone</w:t>
      </w:r>
      <w:r w:rsidRPr="00A45A1A">
        <w:t xml:space="preserve"> home within the last 12 months. </w:t>
      </w:r>
    </w:p>
    <w:p w14:paraId="482303E7" w14:textId="77777777" w:rsidR="00E530D2" w:rsidRDefault="00E530D2" w:rsidP="00BF19BA">
      <w:pPr>
        <w:spacing w:line="360" w:lineRule="auto"/>
        <w:ind w:firstLine="720"/>
      </w:pPr>
    </w:p>
    <w:p w14:paraId="4B51B1E0" w14:textId="77777777" w:rsidR="00C440F3" w:rsidRDefault="00C440F3" w:rsidP="00C440F3">
      <w:pPr>
        <w:rPr>
          <w:b/>
          <w:lang w:val="en-CA"/>
        </w:rPr>
      </w:pPr>
      <w:r w:rsidRPr="00C440F3">
        <w:rPr>
          <w:b/>
          <w:lang w:val="en-CA"/>
        </w:rPr>
        <w:t xml:space="preserve">Description of the Information to be </w:t>
      </w:r>
      <w:proofErr w:type="gramStart"/>
      <w:r>
        <w:rPr>
          <w:b/>
          <w:lang w:val="en-CA"/>
        </w:rPr>
        <w:t>C</w:t>
      </w:r>
      <w:r w:rsidRPr="00C440F3">
        <w:rPr>
          <w:b/>
          <w:lang w:val="en-CA"/>
        </w:rPr>
        <w:t>ollected</w:t>
      </w:r>
      <w:proofErr w:type="gramEnd"/>
    </w:p>
    <w:p w14:paraId="1821BBF7" w14:textId="77777777" w:rsidR="00C440F3" w:rsidRDefault="00C440F3" w:rsidP="00C440F3">
      <w:pPr>
        <w:rPr>
          <w:b/>
          <w:lang w:val="en-CA"/>
        </w:rPr>
      </w:pPr>
    </w:p>
    <w:p w14:paraId="6134A12F" w14:textId="634311CE" w:rsidR="00C440F3" w:rsidRDefault="00C440F3" w:rsidP="00C440F3">
      <w:pPr>
        <w:pStyle w:val="BodyText1"/>
      </w:pPr>
      <w:r>
        <w:t xml:space="preserve">Investigators will compile data related to respondents’ KAP regarding radon and lead-based paint for both single-family </w:t>
      </w:r>
      <w:r w:rsidR="00971C13">
        <w:t xml:space="preserve">standalone </w:t>
      </w:r>
      <w:r>
        <w:t xml:space="preserve">homebuyers and full-time real estate agents that focus on single-family </w:t>
      </w:r>
      <w:r w:rsidR="00971C13">
        <w:t>standalone</w:t>
      </w:r>
      <w:r>
        <w:t xml:space="preserve"> home sales through cognitive testing, surveys, and focus groups. In order to contact participants</w:t>
      </w:r>
      <w:r w:rsidR="00BF19BA">
        <w:t>,</w:t>
      </w:r>
      <w:r>
        <w:t xml:space="preserve"> investigators will search pre-existing publicly-available tax records to identify the owners of properties. Homebuyer’s addresses and names will be collected by the contractor for the purposes of mailing the survey and honoraria but will not be retained in the final dataset sent to CDC. Information collected during the cognitive testing, survey, and focus groups is considered to be minimally sensitive as it </w:t>
      </w:r>
      <w:r w:rsidRPr="004E6AA9">
        <w:t>poses no more than minimal risk of harm to subjects given the benign nature of information being collected</w:t>
      </w:r>
      <w:r>
        <w:t>. No sensitive data with privacy concerns will be compiled in the final dataset.</w:t>
      </w:r>
    </w:p>
    <w:p w14:paraId="3B187997" w14:textId="77777777" w:rsidR="00C440F3" w:rsidRDefault="00C440F3" w:rsidP="00C440F3">
      <w:pPr>
        <w:pStyle w:val="BodyText1"/>
      </w:pPr>
      <w:r>
        <w:t xml:space="preserve"> Investigators will ask homebuyers questions regarding information about the house (e.g. </w:t>
      </w:r>
      <w:r w:rsidR="00BF19BA">
        <w:t>zip code</w:t>
      </w:r>
      <w:r>
        <w:t>, year built, purchase month/year). In addition, participants will be asked about the following topics in relation to radon or lead: understanding about health effects, whether homebuyer received information or recommendations from the real estate agent or others during the home</w:t>
      </w:r>
      <w:r w:rsidR="00BF19BA">
        <w:t xml:space="preserve"> </w:t>
      </w:r>
      <w:r>
        <w:t>buying process, understanding of availability of professionals to test or address identified issues, and factors associated with choosing a professional to test for or fix issues identified.</w:t>
      </w:r>
    </w:p>
    <w:p w14:paraId="34FD76D0" w14:textId="02889BED" w:rsidR="00C440F3" w:rsidRPr="00C440F3" w:rsidRDefault="00C440F3" w:rsidP="00BF19BA">
      <w:pPr>
        <w:spacing w:line="360" w:lineRule="auto"/>
        <w:ind w:firstLine="720"/>
        <w:rPr>
          <w:b/>
        </w:rPr>
      </w:pPr>
      <w:r>
        <w:t>During the real estate agent focus groups the investigators will ask participants to discuss their and their clients’ understanding about health effects and laws in relation to radon and lead as well as how this understanding affected the home buying process.</w:t>
      </w:r>
      <w:r w:rsidR="00E953FB">
        <w:t xml:space="preserve"> The same interview guide will be used in all real estate focus groups, regardless of site.</w:t>
      </w:r>
    </w:p>
    <w:p w14:paraId="7AC3E50C" w14:textId="77777777" w:rsidR="00C440F3" w:rsidRDefault="00C440F3" w:rsidP="00C440F3">
      <w:pPr>
        <w:rPr>
          <w:b/>
          <w:lang w:val="en-CA"/>
        </w:rPr>
      </w:pPr>
      <w:r w:rsidRPr="00C440F3">
        <w:rPr>
          <w:b/>
          <w:lang w:val="en-CA"/>
        </w:rPr>
        <w:t>How Information Will be Shared and for What Purpose</w:t>
      </w:r>
    </w:p>
    <w:p w14:paraId="4836F53F" w14:textId="77777777" w:rsidR="00C440F3" w:rsidRPr="00C440F3" w:rsidRDefault="00C440F3" w:rsidP="00C440F3">
      <w:pPr>
        <w:rPr>
          <w:b/>
          <w:lang w:val="en-CA"/>
        </w:rPr>
      </w:pPr>
    </w:p>
    <w:p w14:paraId="7F6B3D56" w14:textId="0B1B9D87" w:rsidR="00C440F3" w:rsidRDefault="00966A2F" w:rsidP="00C440F3">
      <w:pPr>
        <w:pStyle w:val="BodyText1"/>
      </w:pPr>
      <w:r w:rsidRPr="00CF1100">
        <w:t>The purpose of this study is to examine the</w:t>
      </w:r>
      <w:r>
        <w:t xml:space="preserve"> collective differences in knowledge, attitudes, and practices in relation to lead and radon, comparing states with and without various radon/lead policies</w:t>
      </w:r>
      <w:r w:rsidRPr="00CF1100">
        <w:t>.</w:t>
      </w:r>
      <w:r>
        <w:t xml:space="preserve"> </w:t>
      </w:r>
      <w:r w:rsidR="00C440F3" w:rsidRPr="00CF1100">
        <w:t xml:space="preserve">For this study, we expect the </w:t>
      </w:r>
      <w:r w:rsidR="00D753A6">
        <w:t xml:space="preserve">summary </w:t>
      </w:r>
      <w:r w:rsidR="00C440F3" w:rsidRPr="00CF1100">
        <w:t>findings to be disseminated to a number of audiences.</w:t>
      </w:r>
      <w:r w:rsidR="00C440F3">
        <w:t xml:space="preserve"> </w:t>
      </w:r>
      <w:r w:rsidR="00E530D2">
        <w:t xml:space="preserve">Planned summary findings are detailed in A.16. </w:t>
      </w:r>
      <w:r w:rsidR="00C440F3">
        <w:t>E</w:t>
      </w:r>
      <w:r w:rsidR="00C440F3" w:rsidRPr="00CF1100">
        <w:t>valuation reports will be written in a way that emphasizes scientific rigor for more technical audiences but are also intuitive, easily understood, and relevant to less technical au</w:t>
      </w:r>
      <w:r w:rsidR="00C440F3" w:rsidRPr="00076767">
        <w:t>diences. The reporting and dissemination mechanism will consist of four primary components: (1) final reports, (2) peer-reviewed journal articles,</w:t>
      </w:r>
      <w:r w:rsidR="00C440F3">
        <w:t xml:space="preserve"> (3) meetings with key stakeholder groups,</w:t>
      </w:r>
      <w:r w:rsidR="00C440F3" w:rsidRPr="00076767">
        <w:t xml:space="preserve"> </w:t>
      </w:r>
      <w:r w:rsidR="00C440F3">
        <w:t xml:space="preserve">and </w:t>
      </w:r>
      <w:r w:rsidR="00C440F3" w:rsidRPr="00076767">
        <w:t xml:space="preserve">(4) conference presentations (e.g., the </w:t>
      </w:r>
      <w:r w:rsidR="00BF19BA">
        <w:t>International Radon Symposium</w:t>
      </w:r>
      <w:r w:rsidR="00C440F3" w:rsidRPr="00076767">
        <w:t>)</w:t>
      </w:r>
      <w:r w:rsidR="00C440F3">
        <w:t>.</w:t>
      </w:r>
      <w:r w:rsidR="00E530D2">
        <w:t xml:space="preserve"> </w:t>
      </w:r>
      <w:r w:rsidR="00E530D2">
        <w:rPr>
          <w:color w:val="000000"/>
        </w:rPr>
        <w:t>All abstracts, poster presentations, and manuscripts will undergo CDC clearance review prior to submission to conferences or journals. </w:t>
      </w:r>
    </w:p>
    <w:p w14:paraId="501D0912" w14:textId="77777777" w:rsidR="00C440F3" w:rsidRDefault="00C440F3" w:rsidP="00C440F3">
      <w:pPr>
        <w:pStyle w:val="BodyText1"/>
      </w:pPr>
      <w:r w:rsidRPr="00076767">
        <w:t>The results of our study also will be used to develop at least one</w:t>
      </w:r>
      <w:r w:rsidRPr="00CF1100">
        <w:t xml:space="preserve"> peer-reviewed journal article </w:t>
      </w:r>
      <w:r w:rsidRPr="007324BF">
        <w:t>(e.g.,</w:t>
      </w:r>
      <w:r w:rsidRPr="007324BF">
        <w:rPr>
          <w:iCs/>
        </w:rPr>
        <w:t xml:space="preserve"> Preventing Chronic Disease, American Journal of Public Health, </w:t>
      </w:r>
      <w:r w:rsidR="00BF19BA">
        <w:rPr>
          <w:iCs/>
        </w:rPr>
        <w:t>Journal of Environmental Health, Health Physics</w:t>
      </w:r>
      <w:r w:rsidRPr="007324BF">
        <w:rPr>
          <w:iCs/>
        </w:rPr>
        <w:t xml:space="preserve">, </w:t>
      </w:r>
      <w:r w:rsidR="00BF19BA">
        <w:rPr>
          <w:iCs/>
        </w:rPr>
        <w:t xml:space="preserve">or </w:t>
      </w:r>
      <w:r w:rsidRPr="007324BF">
        <w:rPr>
          <w:iCs/>
        </w:rPr>
        <w:t>Cancer Prevention Research</w:t>
      </w:r>
      <w:r w:rsidRPr="007324BF">
        <w:t>)</w:t>
      </w:r>
      <w:r>
        <w:t xml:space="preserve"> that summarizes findings.</w:t>
      </w:r>
    </w:p>
    <w:p w14:paraId="04F1E8E9" w14:textId="77777777" w:rsidR="00C440F3" w:rsidRPr="00C440F3" w:rsidRDefault="00C440F3" w:rsidP="00C440F3">
      <w:pPr>
        <w:rPr>
          <w:b/>
        </w:rPr>
      </w:pPr>
      <w:r w:rsidRPr="00C440F3">
        <w:rPr>
          <w:b/>
        </w:rPr>
        <w:t>Impact of the Proposed Collection on Respondent Privacy</w:t>
      </w:r>
    </w:p>
    <w:p w14:paraId="4F80DF4D" w14:textId="77777777" w:rsidR="00C440F3" w:rsidRPr="00C440F3" w:rsidRDefault="00C440F3" w:rsidP="00804F46"/>
    <w:p w14:paraId="1E0370B4" w14:textId="77777777" w:rsidR="007F0B28" w:rsidRDefault="0000399C" w:rsidP="00B769F2">
      <w:pPr>
        <w:pStyle w:val="BodyText1"/>
      </w:pPr>
      <w:r>
        <w:t>Th</w:t>
      </w:r>
      <w:r w:rsidR="0072214F">
        <w:t xml:space="preserve">e two modalities presented in this study </w:t>
      </w:r>
      <w:r w:rsidR="007F0B28" w:rsidRPr="00076767">
        <w:t xml:space="preserve">measure minimally sensitive information. Respondents will be assured via the </w:t>
      </w:r>
      <w:r w:rsidR="0072214F">
        <w:t>interviewer</w:t>
      </w:r>
      <w:r w:rsidR="007F0B28" w:rsidRPr="00076767">
        <w:t xml:space="preserve"> script</w:t>
      </w:r>
      <w:r w:rsidR="0072214F">
        <w:t>s</w:t>
      </w:r>
      <w:r w:rsidR="007F0B28" w:rsidRPr="00076767">
        <w:t xml:space="preserve"> </w:t>
      </w:r>
      <w:r w:rsidR="0072214F">
        <w:t xml:space="preserve">(available in </w:t>
      </w:r>
      <w:r w:rsidR="0072214F" w:rsidRPr="0072214F">
        <w:rPr>
          <w:b/>
        </w:rPr>
        <w:t>Appendices 5 and 7</w:t>
      </w:r>
      <w:r w:rsidR="0072214F">
        <w:t>)</w:t>
      </w:r>
      <w:r w:rsidR="00D908A0">
        <w:t xml:space="preserve">, </w:t>
      </w:r>
      <w:r w:rsidR="0072214F">
        <w:t>recruit</w:t>
      </w:r>
      <w:r w:rsidR="00EA100B">
        <w:t>ment</w:t>
      </w:r>
      <w:r w:rsidR="0072214F">
        <w:t xml:space="preserve"> </w:t>
      </w:r>
      <w:r w:rsidR="003777CD">
        <w:t>material</w:t>
      </w:r>
      <w:r w:rsidR="0072214F">
        <w:t xml:space="preserve"> (available in </w:t>
      </w:r>
      <w:r w:rsidR="0072214F" w:rsidRPr="00D908A0">
        <w:rPr>
          <w:b/>
        </w:rPr>
        <w:t xml:space="preserve">Appendices </w:t>
      </w:r>
      <w:r w:rsidR="003777CD">
        <w:rPr>
          <w:b/>
        </w:rPr>
        <w:t>9, 11, and 13</w:t>
      </w:r>
      <w:r w:rsidR="00D908A0">
        <w:t xml:space="preserve">), and informed consent forms (available in </w:t>
      </w:r>
      <w:r w:rsidR="003777CD">
        <w:rPr>
          <w:b/>
        </w:rPr>
        <w:t>Appendices 10, 12, and 14</w:t>
      </w:r>
      <w:r w:rsidR="00D908A0">
        <w:t>)</w:t>
      </w:r>
      <w:r w:rsidR="0072214F">
        <w:t xml:space="preserve"> </w:t>
      </w:r>
      <w:r w:rsidR="007F0B28" w:rsidRPr="00076767">
        <w:t xml:space="preserve">that their </w:t>
      </w:r>
      <w:r w:rsidR="00606604">
        <w:t xml:space="preserve">individual </w:t>
      </w:r>
      <w:r w:rsidR="007F0B28" w:rsidRPr="00076767">
        <w:t>responses will not be shared with anyone outside the research team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05077A2B" w14:textId="77777777" w:rsidR="00C440F3" w:rsidRPr="00C440F3" w:rsidRDefault="00C440F3" w:rsidP="00C440F3">
      <w:pPr>
        <w:pStyle w:val="BodyText1"/>
        <w:ind w:firstLine="0"/>
        <w:rPr>
          <w:b/>
        </w:rPr>
      </w:pPr>
      <w:r>
        <w:rPr>
          <w:b/>
        </w:rPr>
        <w:t xml:space="preserve">Nature of </w:t>
      </w:r>
      <w:r w:rsidR="00E80E1F">
        <w:rPr>
          <w:b/>
        </w:rPr>
        <w:t xml:space="preserve">Participant </w:t>
      </w:r>
      <w:r w:rsidRPr="00C440F3">
        <w:rPr>
          <w:b/>
        </w:rPr>
        <w:t>Participation</w:t>
      </w:r>
    </w:p>
    <w:p w14:paraId="0AE66FC2" w14:textId="77777777" w:rsidR="00C440F3" w:rsidRPr="00076767" w:rsidRDefault="00C440F3" w:rsidP="00BF19BA">
      <w:pPr>
        <w:pStyle w:val="BodyText1"/>
      </w:pPr>
      <w:r w:rsidRPr="00C440F3">
        <w:t>Participation in this study is voluntary. Participants will be made aware of the voluntary nature of participation through recruiting material as well as prior to undertaking data collection.</w:t>
      </w:r>
    </w:p>
    <w:p w14:paraId="455A186E" w14:textId="6FA8BD21" w:rsidR="00E80E1F" w:rsidRPr="00BE7BFC" w:rsidRDefault="00E80E1F" w:rsidP="00804F46">
      <w:bookmarkStart w:id="96" w:name="_Toc296586385"/>
      <w:bookmarkStart w:id="97" w:name="_Toc297131701"/>
      <w:bookmarkStart w:id="98" w:name="_Toc389143708"/>
      <w:r w:rsidRPr="00804F46">
        <w:rPr>
          <w:b/>
        </w:rPr>
        <w:t>Consent</w:t>
      </w:r>
      <w:bookmarkEnd w:id="96"/>
      <w:bookmarkEnd w:id="97"/>
      <w:bookmarkEnd w:id="98"/>
    </w:p>
    <w:p w14:paraId="2C67FB38" w14:textId="77777777" w:rsidR="00E80E1F" w:rsidRDefault="00E80E1F" w:rsidP="00804F46">
      <w:pPr>
        <w:pStyle w:val="BodyText1"/>
      </w:pPr>
      <w:r>
        <w:t>A waiver of signed consent has been granted for these data collection instruments by the CDC IRB due to the minimal sensitivity of the data being collected. In addition, a</w:t>
      </w:r>
      <w:r w:rsidRPr="00076767">
        <w:t xml:space="preserve">ll respondents will be assured that the information will be used only for the purpose of this research and will be kept private to the extent allowable by law, as detailed in </w:t>
      </w:r>
      <w:r>
        <w:t xml:space="preserve">the surveys (available in </w:t>
      </w:r>
      <w:r w:rsidRPr="00D908A0">
        <w:rPr>
          <w:b/>
        </w:rPr>
        <w:t xml:space="preserve">Appendices </w:t>
      </w:r>
      <w:r>
        <w:rPr>
          <w:b/>
        </w:rPr>
        <w:t>9, 11, and 13</w:t>
      </w:r>
      <w:r>
        <w:t xml:space="preserve">), and informed consent forms (available in </w:t>
      </w:r>
      <w:r>
        <w:rPr>
          <w:b/>
        </w:rPr>
        <w:t>Appendices 10, 12, and 14</w:t>
      </w:r>
      <w:r>
        <w:t>)</w:t>
      </w:r>
      <w:r w:rsidRPr="00076767">
        <w:t>.</w:t>
      </w:r>
      <w:r>
        <w:t xml:space="preserve"> </w:t>
      </w:r>
      <w:r w:rsidRPr="00CF1100">
        <w:t xml:space="preserve">A copy of the </w:t>
      </w:r>
      <w:r>
        <w:t>IRB documentation is</w:t>
      </w:r>
      <w:r w:rsidRPr="00CF1100">
        <w:t xml:space="preserve"> </w:t>
      </w:r>
      <w:r w:rsidRPr="00F14AB4">
        <w:t xml:space="preserve">provided in </w:t>
      </w:r>
      <w:r w:rsidRPr="002250FD">
        <w:rPr>
          <w:b/>
        </w:rPr>
        <w:t>Appendi</w:t>
      </w:r>
      <w:r>
        <w:rPr>
          <w:b/>
        </w:rPr>
        <w:t>x 3</w:t>
      </w:r>
      <w:r w:rsidRPr="0034467B">
        <w:t>.</w:t>
      </w:r>
    </w:p>
    <w:p w14:paraId="2C1D6338" w14:textId="77777777" w:rsidR="00E80E1F" w:rsidRPr="00E80E1F" w:rsidRDefault="00E80E1F" w:rsidP="00E80E1F">
      <w:pPr>
        <w:spacing w:line="360" w:lineRule="auto"/>
        <w:rPr>
          <w:b/>
        </w:rPr>
      </w:pPr>
      <w:r w:rsidRPr="00E80E1F">
        <w:rPr>
          <w:b/>
        </w:rPr>
        <w:t>Data Security</w:t>
      </w:r>
    </w:p>
    <w:p w14:paraId="7E7426F1" w14:textId="1D527BD0" w:rsidR="00E80E1F" w:rsidRPr="00E80E1F" w:rsidRDefault="00E80E1F" w:rsidP="00804F46">
      <w:pPr>
        <w:spacing w:line="360" w:lineRule="auto"/>
        <w:ind w:firstLine="720"/>
      </w:pPr>
      <w:r>
        <w:t xml:space="preserve">To maintain privacy, each respondent will have a </w:t>
      </w:r>
      <w:r w:rsidR="00BF19BA">
        <w:t>unique identifier</w:t>
      </w:r>
      <w:r>
        <w:t xml:space="preserve"> to access the Web-based response portal for the mailed homebuyer survey if they choose to respond in that manner. </w:t>
      </w:r>
      <w:r w:rsidR="00BE7BFC">
        <w:t xml:space="preserve">The study website will not have content directed to children younger than 13. </w:t>
      </w:r>
      <w:r>
        <w:t>Investigators maintain restricted access to all data preparation areas (e.g., receipt and coding). All data files on multi-user systems will be under the control of a database manager, with access limited to project staff on a “need-to-know” basis only. Investigators take multiple security measures to ensure separation between respondents’ identities and their survey data.</w:t>
      </w:r>
    </w:p>
    <w:p w14:paraId="4906F651" w14:textId="77777777" w:rsidR="00FE6EBD" w:rsidRPr="00804F46" w:rsidRDefault="00E6780A">
      <w:pPr>
        <w:spacing w:line="360" w:lineRule="auto"/>
        <w:rPr>
          <w:b/>
          <w:lang w:val="en-CA"/>
        </w:rPr>
      </w:pPr>
      <w:r w:rsidRPr="00804F46">
        <w:rPr>
          <w:b/>
          <w:lang w:val="en-CA"/>
        </w:rPr>
        <w:t>Privacy Act Determination</w:t>
      </w:r>
    </w:p>
    <w:p w14:paraId="2B246A8D" w14:textId="59ECB69B" w:rsidR="00FE6EBD" w:rsidRDefault="00154F41" w:rsidP="00804F46">
      <w:pPr>
        <w:spacing w:line="360" w:lineRule="auto"/>
        <w:ind w:firstLine="720"/>
      </w:pPr>
      <w:r>
        <w:rPr>
          <w:lang w:val="en-CA"/>
        </w:rPr>
        <w:t xml:space="preserve">Identifiable </w:t>
      </w:r>
      <w:r w:rsidR="00BE7BFC">
        <w:rPr>
          <w:lang w:val="en-CA"/>
        </w:rPr>
        <w:t>respondent</w:t>
      </w:r>
      <w:r>
        <w:rPr>
          <w:lang w:val="en-CA"/>
        </w:rPr>
        <w:t xml:space="preserve"> intake and follow-up information will be collected for the </w:t>
      </w:r>
      <w:r w:rsidR="00D908A0">
        <w:rPr>
          <w:lang w:val="en-CA"/>
        </w:rPr>
        <w:t xml:space="preserve">initial intake into the homebuyer survey cognitive testing </w:t>
      </w:r>
      <w:r w:rsidR="00D908A0" w:rsidRPr="0046143D">
        <w:rPr>
          <w:lang w:val="en-CA"/>
        </w:rPr>
        <w:t>and mailed homebuyer survey components</w:t>
      </w:r>
      <w:r w:rsidRPr="0046143D">
        <w:rPr>
          <w:lang w:val="en-CA"/>
        </w:rPr>
        <w:t xml:space="preserve"> of the proposed study</w:t>
      </w:r>
      <w:r w:rsidR="00D908A0" w:rsidRPr="0046143D">
        <w:rPr>
          <w:lang w:val="en-CA"/>
        </w:rPr>
        <w:t xml:space="preserve"> but will be deleted once </w:t>
      </w:r>
      <w:r w:rsidR="00090886">
        <w:rPr>
          <w:lang w:val="en-CA"/>
        </w:rPr>
        <w:t>honoraria</w:t>
      </w:r>
      <w:r w:rsidR="00D908A0" w:rsidRPr="0046143D">
        <w:rPr>
          <w:lang w:val="en-CA"/>
        </w:rPr>
        <w:t xml:space="preserve"> distribution has ended</w:t>
      </w:r>
      <w:r w:rsidR="000A72CE" w:rsidRPr="0046143D">
        <w:rPr>
          <w:lang w:val="en-CA"/>
        </w:rPr>
        <w:t xml:space="preserve">. </w:t>
      </w:r>
      <w:r w:rsidR="00D82025">
        <w:rPr>
          <w:lang w:val="en-CA"/>
        </w:rPr>
        <w:t xml:space="preserve">As </w:t>
      </w:r>
      <w:r w:rsidR="0004754B">
        <w:rPr>
          <w:lang w:val="en-CA"/>
        </w:rPr>
        <w:t>no identifiable data will be retained,</w:t>
      </w:r>
      <w:r w:rsidR="00D82025">
        <w:rPr>
          <w:lang w:val="en-CA"/>
        </w:rPr>
        <w:t xml:space="preserve"> t</w:t>
      </w:r>
      <w:r w:rsidRPr="0046143D">
        <w:rPr>
          <w:lang w:val="en-CA"/>
        </w:rPr>
        <w:t xml:space="preserve">he Privacy Act </w:t>
      </w:r>
      <w:r w:rsidR="00D82025">
        <w:rPr>
          <w:lang w:val="en-CA"/>
        </w:rPr>
        <w:t xml:space="preserve">does not </w:t>
      </w:r>
      <w:r w:rsidRPr="0046143D">
        <w:rPr>
          <w:lang w:val="en-CA"/>
        </w:rPr>
        <w:t>appl</w:t>
      </w:r>
      <w:r w:rsidR="00D82025">
        <w:rPr>
          <w:lang w:val="en-CA"/>
        </w:rPr>
        <w:t>y</w:t>
      </w:r>
      <w:r w:rsidRPr="0046143D">
        <w:rPr>
          <w:lang w:val="en-CA"/>
        </w:rPr>
        <w:t xml:space="preserve"> to these data collections</w:t>
      </w:r>
      <w:r w:rsidR="000A72CE" w:rsidRPr="0046143D">
        <w:rPr>
          <w:lang w:val="en-CA"/>
        </w:rPr>
        <w:t>.</w:t>
      </w:r>
      <w:r w:rsidR="000A72CE" w:rsidRPr="00804F46">
        <w:rPr>
          <w:lang w:val="en-CA"/>
        </w:rPr>
        <w:t xml:space="preserve"> </w:t>
      </w:r>
    </w:p>
    <w:p w14:paraId="2F1876FE" w14:textId="77777777" w:rsidR="007F0B28" w:rsidRDefault="007F0B28" w:rsidP="009D0976">
      <w:pPr>
        <w:pStyle w:val="Heading2"/>
      </w:pPr>
      <w:bookmarkStart w:id="99" w:name="_Toc143058446"/>
      <w:bookmarkStart w:id="100" w:name="_Toc146088444"/>
      <w:bookmarkStart w:id="101" w:name="_Toc260215299"/>
      <w:bookmarkStart w:id="102" w:name="_Toc296586387"/>
      <w:bookmarkStart w:id="103" w:name="_Toc389143710"/>
      <w:bookmarkStart w:id="104" w:name="_Toc411604806"/>
      <w:r w:rsidRPr="00CF1100">
        <w:t>A.11</w:t>
      </w:r>
      <w:r w:rsidRPr="00CF1100">
        <w:tab/>
        <w:t>Justification for Sensitive Questions</w:t>
      </w:r>
      <w:bookmarkEnd w:id="99"/>
      <w:bookmarkEnd w:id="100"/>
      <w:bookmarkEnd w:id="101"/>
      <w:bookmarkEnd w:id="102"/>
      <w:bookmarkEnd w:id="103"/>
      <w:bookmarkEnd w:id="104"/>
      <w:r w:rsidRPr="00CF1100">
        <w:t xml:space="preserve"> </w:t>
      </w:r>
    </w:p>
    <w:p w14:paraId="46035A42" w14:textId="369B00DF" w:rsidR="008A2EAF" w:rsidRDefault="008A2EAF" w:rsidP="00B12CBB">
      <w:pPr>
        <w:spacing w:line="360" w:lineRule="auto"/>
        <w:rPr>
          <w:color w:val="000000"/>
          <w:sz w:val="22"/>
          <w:szCs w:val="22"/>
        </w:rPr>
      </w:pPr>
      <w:r>
        <w:rPr>
          <w:color w:val="000000"/>
        </w:rPr>
        <w:t xml:space="preserve">A portion of respondents could consider questions about race, ethnicity, or other demographic characteristics to be sensitive, although such questions are unlikely to be highly sensitive, and </w:t>
      </w:r>
      <w:r w:rsidR="007F0B28" w:rsidRPr="00CF1100">
        <w:t>OMB considers questions regarding race and ethnicity to be sensitive.</w:t>
      </w:r>
      <w:r w:rsidR="00F51AAD">
        <w:t xml:space="preserve"> </w:t>
      </w:r>
      <w:r w:rsidR="007F0B28" w:rsidRPr="00CF1100">
        <w:t xml:space="preserve">These items on the surveys follow all of the standards set forth by </w:t>
      </w:r>
      <w:r w:rsidR="007C3DBC">
        <w:t>OMB Directive No. 15 on Race and Ethnic Standards for Federal Statistics</w:t>
      </w:r>
      <w:r w:rsidR="0089374E">
        <w:t xml:space="preserve"> and Administrative Reporting (a</w:t>
      </w:r>
      <w:r w:rsidR="007C3DBC">
        <w:t xml:space="preserve">vailable from:  </w:t>
      </w:r>
      <w:hyperlink r:id="rId26" w:history="1">
        <w:r w:rsidR="009E714A" w:rsidRPr="00262A61">
          <w:rPr>
            <w:rStyle w:val="Hyperlink"/>
          </w:rPr>
          <w:t>http://wonder.cdc.gov/wonder/help/populations/bridged-race/Directive15.html</w:t>
        </w:r>
      </w:hyperlink>
      <w:r w:rsidR="007C3DBC">
        <w:t>).</w:t>
      </w:r>
      <w:r>
        <w:t xml:space="preserve"> </w:t>
      </w:r>
      <w:r w:rsidR="00F74061">
        <w:t xml:space="preserve">Previous studies of radon awareness and practices have indicated significant differences in awareness by race and ethnicity so such questions will help investigators analyze or account for differences in responses by race or ethnicity in their analysis. In addition, questions about race and ethnicity </w:t>
      </w:r>
      <w:r>
        <w:rPr>
          <w:color w:val="000000"/>
        </w:rPr>
        <w:t>w</w:t>
      </w:r>
      <w:r w:rsidR="00F74061">
        <w:rPr>
          <w:color w:val="000000"/>
        </w:rPr>
        <w:t>ill</w:t>
      </w:r>
      <w:r>
        <w:rPr>
          <w:color w:val="000000"/>
        </w:rPr>
        <w:t xml:space="preserve"> be </w:t>
      </w:r>
      <w:r w:rsidR="00A90E49">
        <w:rPr>
          <w:color w:val="000000"/>
        </w:rPr>
        <w:t>useful</w:t>
      </w:r>
      <w:r>
        <w:rPr>
          <w:color w:val="000000"/>
        </w:rPr>
        <w:t xml:space="preserve"> for the purposes of </w:t>
      </w:r>
      <w:r w:rsidR="00A90E49">
        <w:rPr>
          <w:color w:val="000000"/>
        </w:rPr>
        <w:t xml:space="preserve">exploring </w:t>
      </w:r>
      <w:r w:rsidR="00B2592B">
        <w:rPr>
          <w:color w:val="000000"/>
        </w:rPr>
        <w:t>how well the data collected reflected the demographic profile of the sample population, region, and state. This will allow investigators to understand and account for differences in response rates by race/ethnicity. It will also help stakeholders compare the study participant demographic makeup to their own region.</w:t>
      </w:r>
      <w:r>
        <w:rPr>
          <w:color w:val="000000"/>
        </w:rPr>
        <w:t> To minimize psychological distress, the</w:t>
      </w:r>
      <w:r w:rsidR="00326E21">
        <w:rPr>
          <w:color w:val="000000"/>
        </w:rPr>
        <w:t xml:space="preserve"> survey interviewers and focus group</w:t>
      </w:r>
      <w:r>
        <w:rPr>
          <w:color w:val="000000"/>
        </w:rPr>
        <w:t xml:space="preserve"> moderator</w:t>
      </w:r>
      <w:r w:rsidR="00326E21">
        <w:rPr>
          <w:color w:val="000000"/>
        </w:rPr>
        <w:t>s</w:t>
      </w:r>
      <w:r>
        <w:rPr>
          <w:color w:val="000000"/>
        </w:rPr>
        <w:t xml:space="preserve"> will inform participants that they do not have to respond to any questions they do not want to answer and they may stop participating at any time.  </w:t>
      </w:r>
    </w:p>
    <w:p w14:paraId="1F0C0D4C" w14:textId="4A4CB439" w:rsidR="007F0B28" w:rsidRDefault="008A2EAF" w:rsidP="00804F46">
      <w:pPr>
        <w:pStyle w:val="BodyText1"/>
        <w:ind w:firstLine="0"/>
      </w:pPr>
      <w:r>
        <w:t xml:space="preserve"> </w:t>
      </w:r>
    </w:p>
    <w:p w14:paraId="2C66CC7D" w14:textId="77777777" w:rsidR="007F0B28" w:rsidRPr="00CF1100" w:rsidRDefault="007F0B28" w:rsidP="009D0976">
      <w:pPr>
        <w:pStyle w:val="Heading2"/>
      </w:pPr>
      <w:bookmarkStart w:id="105" w:name="_Toc143058447"/>
      <w:bookmarkStart w:id="106" w:name="_Toc146088445"/>
      <w:bookmarkStart w:id="107" w:name="_Toc260215300"/>
      <w:bookmarkStart w:id="108" w:name="_Toc296586390"/>
      <w:bookmarkStart w:id="109" w:name="_Toc389143711"/>
      <w:bookmarkStart w:id="110" w:name="_Toc411604807"/>
      <w:r w:rsidRPr="00CF1100">
        <w:t>A.12</w:t>
      </w:r>
      <w:r w:rsidRPr="00CF1100">
        <w:tab/>
        <w:t xml:space="preserve">Estimates </w:t>
      </w:r>
      <w:r w:rsidR="00061CFD">
        <w:t xml:space="preserve">of </w:t>
      </w:r>
      <w:r w:rsidRPr="00CF1100">
        <w:t>Burden Hours and Costs</w:t>
      </w:r>
      <w:bookmarkEnd w:id="105"/>
      <w:bookmarkEnd w:id="106"/>
      <w:bookmarkEnd w:id="107"/>
      <w:bookmarkEnd w:id="108"/>
      <w:bookmarkEnd w:id="109"/>
      <w:bookmarkEnd w:id="110"/>
      <w:r w:rsidRPr="00CF1100">
        <w:t xml:space="preserve"> </w:t>
      </w:r>
    </w:p>
    <w:p w14:paraId="7EBFB3DE" w14:textId="144AEC02" w:rsidR="00D462A0" w:rsidRDefault="00D462A0" w:rsidP="00076767">
      <w:pPr>
        <w:pStyle w:val="BodyText1"/>
      </w:pPr>
      <w:bookmarkStart w:id="111" w:name="_Toc99431028"/>
      <w:r>
        <w:t xml:space="preserve">For the </w:t>
      </w:r>
      <w:r w:rsidR="006568E8">
        <w:t xml:space="preserve">homebuyer survey cognitive testing </w:t>
      </w:r>
      <w:r w:rsidR="005928A8">
        <w:t>component of this study</w:t>
      </w:r>
      <w:r>
        <w:t>, t</w:t>
      </w:r>
      <w:r w:rsidR="00AC4624">
        <w:t xml:space="preserve">he burden for </w:t>
      </w:r>
      <w:r w:rsidR="006568E8">
        <w:t xml:space="preserve">participants </w:t>
      </w:r>
      <w:r>
        <w:t>is estimated at</w:t>
      </w:r>
      <w:r w:rsidR="006568E8">
        <w:t xml:space="preserve"> </w:t>
      </w:r>
      <w:r w:rsidR="00BF19BA">
        <w:t>thirty minutes</w:t>
      </w:r>
      <w:r w:rsidR="00AC4624">
        <w:t xml:space="preserve"> per </w:t>
      </w:r>
      <w:r w:rsidR="006568E8">
        <w:t>respondent</w:t>
      </w:r>
      <w:r w:rsidR="00B1164E">
        <w:t xml:space="preserve"> (</w:t>
      </w:r>
      <w:r w:rsidR="00B1164E" w:rsidRPr="005042C8">
        <w:rPr>
          <w:b/>
        </w:rPr>
        <w:t>Appendix 5</w:t>
      </w:r>
      <w:r w:rsidR="00B1164E">
        <w:t>)</w:t>
      </w:r>
      <w:r w:rsidR="0095461B">
        <w:t>.</w:t>
      </w:r>
      <w:r w:rsidR="006568E8">
        <w:t xml:space="preserve"> Internal cognitive testing of the homebuyer survey by investigators has indicated that the average response time is 8 minutes per respondent</w:t>
      </w:r>
      <w:r w:rsidR="00B1164E">
        <w:t xml:space="preserve"> (</w:t>
      </w:r>
      <w:r w:rsidR="00B1164E" w:rsidRPr="005042C8">
        <w:rPr>
          <w:b/>
        </w:rPr>
        <w:t>Appendi</w:t>
      </w:r>
      <w:r w:rsidR="00322339">
        <w:rPr>
          <w:b/>
        </w:rPr>
        <w:t>ces</w:t>
      </w:r>
      <w:r w:rsidR="00B1164E" w:rsidRPr="005042C8">
        <w:rPr>
          <w:b/>
        </w:rPr>
        <w:t xml:space="preserve"> 6b</w:t>
      </w:r>
      <w:r w:rsidR="00322339">
        <w:rPr>
          <w:b/>
        </w:rPr>
        <w:t xml:space="preserve"> and 6c</w:t>
      </w:r>
      <w:r w:rsidR="00B1164E">
        <w:t>)</w:t>
      </w:r>
      <w:r w:rsidR="006568E8">
        <w:t xml:space="preserve">. </w:t>
      </w:r>
      <w:proofErr w:type="gramStart"/>
      <w:r w:rsidR="006568E8">
        <w:t xml:space="preserve">Staff with subject matter expertise in qualitative research and focus groups estimate that focus groups </w:t>
      </w:r>
      <w:r w:rsidR="00B1164E">
        <w:t xml:space="preserve">with real estate agents </w:t>
      </w:r>
      <w:r w:rsidR="006568E8">
        <w:t>will last approximately one hour</w:t>
      </w:r>
      <w:r w:rsidR="00B1164E">
        <w:t xml:space="preserve"> (</w:t>
      </w:r>
      <w:r w:rsidR="00B1164E" w:rsidRPr="005042C8">
        <w:rPr>
          <w:b/>
        </w:rPr>
        <w:t>Appendix 7</w:t>
      </w:r>
      <w:r w:rsidR="00B1164E">
        <w:t>)</w:t>
      </w:r>
      <w:r w:rsidR="006568E8">
        <w:t>.</w:t>
      </w:r>
      <w:proofErr w:type="gramEnd"/>
    </w:p>
    <w:p w14:paraId="1B645166" w14:textId="5FE6A30C" w:rsidR="007F0B28" w:rsidRDefault="004966BC" w:rsidP="00076767">
      <w:pPr>
        <w:pStyle w:val="BodyText1"/>
      </w:pPr>
      <w:r>
        <w:t>A</w:t>
      </w:r>
      <w:r w:rsidR="00E80637">
        <w:t xml:space="preserve">ll </w:t>
      </w:r>
      <w:r w:rsidR="00660881">
        <w:t>i</w:t>
      </w:r>
      <w:r w:rsidR="00E80637">
        <w:t xml:space="preserve">nformation </w:t>
      </w:r>
      <w:r w:rsidR="00660881">
        <w:t xml:space="preserve">for this study </w:t>
      </w:r>
      <w:r w:rsidR="00E80637">
        <w:t xml:space="preserve">will be </w:t>
      </w:r>
      <w:r w:rsidR="00454B6F">
        <w:t xml:space="preserve">collected by </w:t>
      </w:r>
      <w:r w:rsidR="00E80637">
        <w:t xml:space="preserve">CDC’s data collection contractor, </w:t>
      </w:r>
      <w:proofErr w:type="spellStart"/>
      <w:r w:rsidR="00454B6F">
        <w:t>SciMetrika</w:t>
      </w:r>
      <w:proofErr w:type="spellEnd"/>
      <w:r w:rsidR="00454B6F">
        <w:t xml:space="preserve"> LLC</w:t>
      </w:r>
      <w:r w:rsidR="00E80637">
        <w:t>, over 24 months</w:t>
      </w:r>
      <w:r w:rsidR="001649EB">
        <w:t>. A</w:t>
      </w:r>
      <w:r w:rsidR="00E80637">
        <w:t>ll estimates are annualized over two years</w:t>
      </w:r>
      <w:r w:rsidR="001649EB">
        <w:t xml:space="preserve"> and use the maximum expected return rate on the homebuyer survey of 30% (900 respondents total</w:t>
      </w:r>
      <w:r w:rsidR="0047325D">
        <w:t xml:space="preserve"> or 450 per year over a 2-year period</w:t>
      </w:r>
      <w:r w:rsidR="001649EB">
        <w:t>)</w:t>
      </w:r>
      <w:r w:rsidR="00E80637">
        <w:t xml:space="preserve">. </w:t>
      </w:r>
      <w:r w:rsidR="001C6983">
        <w:t>OMB approval</w:t>
      </w:r>
      <w:r w:rsidR="002B023C" w:rsidRPr="002B023C">
        <w:t xml:space="preserve"> is requested for two years to allow for adequate time for cognitive testing of the mailed survey and data collection</w:t>
      </w:r>
      <w:r w:rsidR="00DF0B5E">
        <w:t xml:space="preserve">. The final version </w:t>
      </w:r>
      <w:r w:rsidR="00BF19BA">
        <w:t>as</w:t>
      </w:r>
      <w:r w:rsidR="00DF0B5E">
        <w:t xml:space="preserve"> approved by OMB </w:t>
      </w:r>
      <w:r w:rsidR="00BF19BA">
        <w:t>will be</w:t>
      </w:r>
      <w:r w:rsidR="00DF0B5E">
        <w:t xml:space="preserve"> made publicly available at </w:t>
      </w:r>
      <w:hyperlink r:id="rId27" w:history="1">
        <w:r w:rsidR="00DF0B5E" w:rsidRPr="00074156">
          <w:rPr>
            <w:rStyle w:val="Hyperlink"/>
          </w:rPr>
          <w:t>www.Reginfo.gov</w:t>
        </w:r>
      </w:hyperlink>
      <w:r w:rsidR="00DF0B5E">
        <w:t xml:space="preserve">. </w:t>
      </w:r>
      <w:r w:rsidR="00984B1D" w:rsidRPr="00CF1100">
        <w:t xml:space="preserve">The total </w:t>
      </w:r>
      <w:r w:rsidR="00984B1D">
        <w:t xml:space="preserve">estimated annualized burden to respondents </w:t>
      </w:r>
      <w:r w:rsidR="00660881">
        <w:t>is</w:t>
      </w:r>
      <w:r w:rsidR="00CC5AAD">
        <w:t xml:space="preserve"> </w:t>
      </w:r>
      <w:r w:rsidR="00110477">
        <w:t>116</w:t>
      </w:r>
      <w:r w:rsidR="00984B1D" w:rsidRPr="00CF1100">
        <w:t xml:space="preserve"> hours</w:t>
      </w:r>
      <w:r w:rsidR="00984B1D">
        <w:t>.</w:t>
      </w:r>
    </w:p>
    <w:p w14:paraId="7293725F" w14:textId="77777777" w:rsidR="002A0946" w:rsidRPr="00CF1100" w:rsidRDefault="002A0946" w:rsidP="00076767">
      <w:pPr>
        <w:pStyle w:val="BodyText1"/>
      </w:pPr>
    </w:p>
    <w:p w14:paraId="1D9788D2" w14:textId="77777777" w:rsidR="00CE1C57" w:rsidRDefault="00A03789" w:rsidP="003E7BA2">
      <w:pPr>
        <w:pStyle w:val="Heading3"/>
        <w:rPr>
          <w:rFonts w:ascii="Courier New" w:hAnsi="Courier New"/>
          <w:szCs w:val="16"/>
        </w:rPr>
      </w:pPr>
      <w:bookmarkStart w:id="112" w:name="_Toc146088168"/>
      <w:bookmarkStart w:id="113" w:name="_Toc146089476"/>
      <w:bookmarkStart w:id="114" w:name="_Toc260210573"/>
      <w:bookmarkStart w:id="115" w:name="_Toc296586391"/>
      <w:bookmarkStart w:id="116" w:name="_Toc297131707"/>
      <w:bookmarkStart w:id="117" w:name="_Toc99431029"/>
      <w:bookmarkStart w:id="118" w:name="_Toc389143712"/>
      <w:bookmarkStart w:id="119" w:name="_Toc411604808"/>
      <w:bookmarkEnd w:id="111"/>
      <w:r>
        <w:t>A.12-1</w:t>
      </w:r>
      <w:r w:rsidR="007F0B28" w:rsidRPr="00CF1100">
        <w:t xml:space="preserve"> Estima</w:t>
      </w:r>
      <w:r w:rsidR="00B23A53">
        <w:t>t</w:t>
      </w:r>
      <w:r w:rsidR="007F0B28" w:rsidRPr="00CF1100">
        <w:t xml:space="preserve">ed </w:t>
      </w:r>
      <w:r w:rsidR="003E7BA2">
        <w:t xml:space="preserve">Annualized </w:t>
      </w:r>
      <w:r w:rsidR="007F0B28" w:rsidRPr="00CF1100">
        <w:t xml:space="preserve">Burden </w:t>
      </w:r>
      <w:bookmarkStart w:id="120" w:name="_Toc146088447"/>
      <w:bookmarkEnd w:id="112"/>
      <w:bookmarkEnd w:id="113"/>
      <w:bookmarkEnd w:id="114"/>
      <w:bookmarkEnd w:id="115"/>
      <w:bookmarkEnd w:id="116"/>
      <w:bookmarkEnd w:id="117"/>
      <w:r w:rsidR="003E7BA2">
        <w:t>Hours</w:t>
      </w:r>
      <w:bookmarkEnd w:id="118"/>
      <w:bookmarkEnd w:id="119"/>
    </w:p>
    <w:p w14:paraId="59689FC1" w14:textId="77777777" w:rsidR="003E7BA2" w:rsidRPr="00843742" w:rsidRDefault="003E7BA2" w:rsidP="003E7BA2">
      <w:pPr>
        <w:pStyle w:val="Default"/>
        <w:tabs>
          <w:tab w:val="left" w:pos="0"/>
        </w:tabs>
        <w:rPr>
          <w:rFonts w:ascii="Courier New" w:hAnsi="Courier New" w:cs="Times New Roman"/>
          <w:color w:val="auto"/>
          <w:highlight w:val="yellow"/>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250"/>
        <w:gridCol w:w="1530"/>
        <w:gridCol w:w="1710"/>
        <w:gridCol w:w="1620"/>
        <w:gridCol w:w="1080"/>
      </w:tblGrid>
      <w:tr w:rsidR="003E7BA2" w:rsidRPr="003D5EA7" w14:paraId="24E9DC2F" w14:textId="77777777" w:rsidTr="00655890">
        <w:tc>
          <w:tcPr>
            <w:tcW w:w="1530" w:type="dxa"/>
            <w:tcBorders>
              <w:bottom w:val="single" w:sz="4" w:space="0" w:color="auto"/>
            </w:tcBorders>
            <w:vAlign w:val="center"/>
          </w:tcPr>
          <w:p w14:paraId="1DC5832F" w14:textId="77777777" w:rsidR="003E7BA2" w:rsidRPr="00655890" w:rsidRDefault="003E7BA2" w:rsidP="003E7BA2">
            <w:pPr>
              <w:pStyle w:val="Default"/>
              <w:tabs>
                <w:tab w:val="left" w:pos="0"/>
              </w:tabs>
              <w:rPr>
                <w:rFonts w:ascii="Times New Roman" w:hAnsi="Times New Roman" w:cs="Times New Roman"/>
              </w:rPr>
            </w:pPr>
            <w:r w:rsidRPr="00655890">
              <w:rPr>
                <w:rFonts w:ascii="Times New Roman" w:hAnsi="Times New Roman" w:cs="Times New Roman"/>
              </w:rPr>
              <w:t>Type of Respondent</w:t>
            </w:r>
          </w:p>
        </w:tc>
        <w:tc>
          <w:tcPr>
            <w:tcW w:w="2250" w:type="dxa"/>
            <w:tcBorders>
              <w:bottom w:val="single" w:sz="4" w:space="0" w:color="auto"/>
            </w:tcBorders>
            <w:vAlign w:val="center"/>
          </w:tcPr>
          <w:p w14:paraId="3D467445" w14:textId="77777777" w:rsidR="003E7BA2" w:rsidRPr="00655890" w:rsidRDefault="003E7BA2" w:rsidP="00EA0D10">
            <w:pPr>
              <w:pStyle w:val="Default"/>
              <w:tabs>
                <w:tab w:val="left" w:pos="0"/>
              </w:tabs>
              <w:rPr>
                <w:rFonts w:ascii="Times New Roman" w:hAnsi="Times New Roman" w:cs="Times New Roman"/>
              </w:rPr>
            </w:pPr>
            <w:r w:rsidRPr="00655890">
              <w:rPr>
                <w:rFonts w:ascii="Times New Roman" w:hAnsi="Times New Roman" w:cs="Times New Roman"/>
              </w:rPr>
              <w:t>Form Name</w:t>
            </w:r>
          </w:p>
        </w:tc>
        <w:tc>
          <w:tcPr>
            <w:tcW w:w="1530" w:type="dxa"/>
            <w:tcBorders>
              <w:bottom w:val="single" w:sz="4" w:space="0" w:color="auto"/>
            </w:tcBorders>
            <w:vAlign w:val="center"/>
          </w:tcPr>
          <w:p w14:paraId="52E75EDF"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No. of Respondents</w:t>
            </w:r>
          </w:p>
        </w:tc>
        <w:tc>
          <w:tcPr>
            <w:tcW w:w="1710" w:type="dxa"/>
            <w:tcBorders>
              <w:bottom w:val="single" w:sz="4" w:space="0" w:color="auto"/>
            </w:tcBorders>
            <w:vAlign w:val="center"/>
          </w:tcPr>
          <w:p w14:paraId="112F68C2"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No. of Responses per Respondent</w:t>
            </w:r>
          </w:p>
        </w:tc>
        <w:tc>
          <w:tcPr>
            <w:tcW w:w="1620" w:type="dxa"/>
            <w:tcBorders>
              <w:bottom w:val="single" w:sz="4" w:space="0" w:color="auto"/>
            </w:tcBorders>
            <w:vAlign w:val="center"/>
          </w:tcPr>
          <w:p w14:paraId="62D2827D"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 xml:space="preserve">Avg. Burden per Response (in </w:t>
            </w:r>
            <w:proofErr w:type="spellStart"/>
            <w:r w:rsidRPr="00655890">
              <w:rPr>
                <w:rFonts w:ascii="Times New Roman" w:hAnsi="Times New Roman" w:cs="Times New Roman"/>
              </w:rPr>
              <w:t>hr</w:t>
            </w:r>
            <w:proofErr w:type="spellEnd"/>
            <w:r w:rsidRPr="00655890">
              <w:rPr>
                <w:rFonts w:ascii="Times New Roman" w:hAnsi="Times New Roman" w:cs="Times New Roman"/>
              </w:rPr>
              <w:t>)</w:t>
            </w:r>
          </w:p>
        </w:tc>
        <w:tc>
          <w:tcPr>
            <w:tcW w:w="1080" w:type="dxa"/>
            <w:tcBorders>
              <w:bottom w:val="single" w:sz="4" w:space="0" w:color="auto"/>
            </w:tcBorders>
            <w:vAlign w:val="center"/>
          </w:tcPr>
          <w:p w14:paraId="40E4CF19"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 xml:space="preserve">Total Burden (in </w:t>
            </w:r>
            <w:proofErr w:type="spellStart"/>
            <w:r w:rsidRPr="00655890">
              <w:rPr>
                <w:rFonts w:ascii="Times New Roman" w:hAnsi="Times New Roman" w:cs="Times New Roman"/>
              </w:rPr>
              <w:t>hr</w:t>
            </w:r>
            <w:proofErr w:type="spellEnd"/>
            <w:r w:rsidRPr="00655890">
              <w:rPr>
                <w:rFonts w:ascii="Times New Roman" w:hAnsi="Times New Roman" w:cs="Times New Roman"/>
              </w:rPr>
              <w:t>)</w:t>
            </w:r>
          </w:p>
        </w:tc>
      </w:tr>
      <w:tr w:rsidR="00BE7BFC" w:rsidRPr="003D5EA7" w14:paraId="2ACF5A13" w14:textId="77777777" w:rsidTr="00655890">
        <w:tc>
          <w:tcPr>
            <w:tcW w:w="1530" w:type="dxa"/>
            <w:vMerge w:val="restart"/>
            <w:shd w:val="clear" w:color="auto" w:fill="FFFFFF" w:themeFill="background1"/>
            <w:vAlign w:val="center"/>
          </w:tcPr>
          <w:p w14:paraId="3AB0B258" w14:textId="77777777" w:rsidR="00BE7BFC" w:rsidRPr="00655890" w:rsidRDefault="00BE7BFC" w:rsidP="00EA0D10">
            <w:pPr>
              <w:pStyle w:val="Default"/>
              <w:tabs>
                <w:tab w:val="left" w:pos="0"/>
              </w:tabs>
              <w:jc w:val="center"/>
              <w:rPr>
                <w:rFonts w:ascii="Times New Roman" w:hAnsi="Times New Roman" w:cs="Times New Roman"/>
              </w:rPr>
            </w:pPr>
          </w:p>
          <w:p w14:paraId="27B6A772" w14:textId="77777777" w:rsidR="00BE7BFC" w:rsidRPr="00655890" w:rsidRDefault="00BE7BFC" w:rsidP="00EA0D10">
            <w:pPr>
              <w:pStyle w:val="Default"/>
              <w:tabs>
                <w:tab w:val="left" w:pos="0"/>
              </w:tabs>
              <w:jc w:val="center"/>
              <w:rPr>
                <w:rFonts w:ascii="Times New Roman" w:hAnsi="Times New Roman" w:cs="Times New Roman"/>
              </w:rPr>
            </w:pPr>
            <w:r w:rsidRPr="00655890">
              <w:rPr>
                <w:rFonts w:ascii="Times New Roman" w:hAnsi="Times New Roman" w:cs="Times New Roman"/>
              </w:rPr>
              <w:t>Homebuyers</w:t>
            </w:r>
          </w:p>
          <w:p w14:paraId="25429336" w14:textId="2F0A4019" w:rsidR="00BE7BFC" w:rsidRPr="00655890" w:rsidRDefault="00BE7BFC" w:rsidP="00BE7BFC">
            <w:pPr>
              <w:pStyle w:val="Default"/>
              <w:tabs>
                <w:tab w:val="left" w:pos="0"/>
              </w:tabs>
              <w:rPr>
                <w:rFonts w:ascii="Times New Roman" w:hAnsi="Times New Roman" w:cs="Times New Roman"/>
              </w:rPr>
            </w:pPr>
          </w:p>
        </w:tc>
        <w:tc>
          <w:tcPr>
            <w:tcW w:w="2250" w:type="dxa"/>
            <w:shd w:val="clear" w:color="auto" w:fill="FFFFFF" w:themeFill="background1"/>
            <w:vAlign w:val="center"/>
          </w:tcPr>
          <w:p w14:paraId="06164D72" w14:textId="77777777" w:rsidR="00BE7BFC" w:rsidRPr="00655890" w:rsidRDefault="00BE7BFC" w:rsidP="00EA0D10">
            <w:pPr>
              <w:pStyle w:val="Default"/>
              <w:tabs>
                <w:tab w:val="left" w:pos="0"/>
              </w:tabs>
              <w:rPr>
                <w:rFonts w:ascii="Times New Roman" w:hAnsi="Times New Roman" w:cs="Times New Roman"/>
              </w:rPr>
            </w:pPr>
            <w:r w:rsidRPr="00655890">
              <w:rPr>
                <w:rFonts w:ascii="Times New Roman" w:hAnsi="Times New Roman" w:cs="Times New Roman"/>
              </w:rPr>
              <w:t>Cognitive Testing Interview Guide</w:t>
            </w:r>
          </w:p>
        </w:tc>
        <w:tc>
          <w:tcPr>
            <w:tcW w:w="1530" w:type="dxa"/>
            <w:shd w:val="clear" w:color="auto" w:fill="FFFFFF" w:themeFill="background1"/>
            <w:vAlign w:val="center"/>
          </w:tcPr>
          <w:p w14:paraId="20A5C530" w14:textId="77777777" w:rsidR="00BE7BFC" w:rsidRPr="00655890" w:rsidRDefault="00BE7BFC" w:rsidP="00EA0D10">
            <w:pPr>
              <w:pStyle w:val="Default"/>
              <w:tabs>
                <w:tab w:val="left" w:pos="0"/>
              </w:tabs>
              <w:jc w:val="center"/>
              <w:rPr>
                <w:rFonts w:ascii="Times New Roman" w:hAnsi="Times New Roman" w:cs="Times New Roman"/>
              </w:rPr>
            </w:pPr>
            <w:r w:rsidRPr="00655890">
              <w:rPr>
                <w:rFonts w:ascii="Times New Roman" w:hAnsi="Times New Roman" w:cs="Times New Roman"/>
              </w:rPr>
              <w:t>16</w:t>
            </w:r>
          </w:p>
        </w:tc>
        <w:tc>
          <w:tcPr>
            <w:tcW w:w="1710" w:type="dxa"/>
            <w:shd w:val="clear" w:color="auto" w:fill="FFFFFF" w:themeFill="background1"/>
            <w:vAlign w:val="center"/>
          </w:tcPr>
          <w:p w14:paraId="128A93D0" w14:textId="77777777" w:rsidR="00BE7BFC" w:rsidRPr="00655890" w:rsidRDefault="00BE7BFC" w:rsidP="00EA0D10">
            <w:pPr>
              <w:pStyle w:val="Default"/>
              <w:tabs>
                <w:tab w:val="left" w:pos="0"/>
              </w:tabs>
              <w:jc w:val="center"/>
              <w:rPr>
                <w:rFonts w:ascii="Times New Roman" w:hAnsi="Times New Roman" w:cs="Times New Roman"/>
              </w:rPr>
            </w:pPr>
            <w:r w:rsidRPr="00655890">
              <w:rPr>
                <w:rFonts w:ascii="Times New Roman" w:hAnsi="Times New Roman" w:cs="Times New Roman"/>
              </w:rPr>
              <w:t>1</w:t>
            </w:r>
          </w:p>
        </w:tc>
        <w:tc>
          <w:tcPr>
            <w:tcW w:w="1620" w:type="dxa"/>
            <w:shd w:val="clear" w:color="auto" w:fill="FFFFFF" w:themeFill="background1"/>
            <w:vAlign w:val="center"/>
          </w:tcPr>
          <w:p w14:paraId="69555014" w14:textId="1AA4EE19" w:rsidR="00BE7BFC" w:rsidRPr="00655890" w:rsidRDefault="00BE7BFC" w:rsidP="00EA0D10">
            <w:pPr>
              <w:pStyle w:val="Default"/>
              <w:tabs>
                <w:tab w:val="left" w:pos="0"/>
              </w:tabs>
              <w:jc w:val="center"/>
              <w:rPr>
                <w:rFonts w:ascii="Times New Roman" w:hAnsi="Times New Roman" w:cs="Times New Roman"/>
              </w:rPr>
            </w:pPr>
            <w:r>
              <w:rPr>
                <w:rFonts w:ascii="Times New Roman" w:hAnsi="Times New Roman" w:cs="Times New Roman"/>
              </w:rPr>
              <w:t>30/60</w:t>
            </w:r>
          </w:p>
        </w:tc>
        <w:tc>
          <w:tcPr>
            <w:tcW w:w="1080" w:type="dxa"/>
            <w:tcBorders>
              <w:bottom w:val="single" w:sz="4" w:space="0" w:color="auto"/>
            </w:tcBorders>
            <w:shd w:val="clear" w:color="auto" w:fill="FFFFFF" w:themeFill="background1"/>
            <w:vAlign w:val="center"/>
          </w:tcPr>
          <w:p w14:paraId="08EDEDFB" w14:textId="1F081B7B" w:rsidR="00BE7BFC" w:rsidRPr="00655890" w:rsidRDefault="00BE7BFC" w:rsidP="00EA0D10">
            <w:pPr>
              <w:pStyle w:val="Default"/>
              <w:tabs>
                <w:tab w:val="left" w:pos="0"/>
              </w:tabs>
              <w:jc w:val="center"/>
              <w:rPr>
                <w:rFonts w:ascii="Times New Roman" w:hAnsi="Times New Roman" w:cs="Times New Roman"/>
              </w:rPr>
            </w:pPr>
            <w:r>
              <w:rPr>
                <w:rFonts w:ascii="Times New Roman" w:hAnsi="Times New Roman" w:cs="Times New Roman"/>
              </w:rPr>
              <w:t>8</w:t>
            </w:r>
          </w:p>
        </w:tc>
      </w:tr>
      <w:tr w:rsidR="00BE7BFC" w:rsidRPr="003D5EA7" w14:paraId="4DF356A2" w14:textId="77777777" w:rsidTr="00655890">
        <w:tc>
          <w:tcPr>
            <w:tcW w:w="1530" w:type="dxa"/>
            <w:vMerge/>
            <w:shd w:val="clear" w:color="auto" w:fill="FFFFFF" w:themeFill="background1"/>
            <w:vAlign w:val="center"/>
          </w:tcPr>
          <w:p w14:paraId="6FBF64F7" w14:textId="78AF9945" w:rsidR="00BE7BFC" w:rsidRPr="00655890" w:rsidRDefault="00BE7BFC" w:rsidP="00804F46">
            <w:pPr>
              <w:pStyle w:val="Default"/>
              <w:tabs>
                <w:tab w:val="left" w:pos="0"/>
              </w:tabs>
              <w:rPr>
                <w:rFonts w:ascii="Times New Roman" w:hAnsi="Times New Roman" w:cs="Times New Roman"/>
              </w:rPr>
            </w:pPr>
          </w:p>
        </w:tc>
        <w:tc>
          <w:tcPr>
            <w:tcW w:w="2250" w:type="dxa"/>
            <w:shd w:val="clear" w:color="auto" w:fill="FFFFFF" w:themeFill="background1"/>
            <w:vAlign w:val="center"/>
          </w:tcPr>
          <w:p w14:paraId="1C913E4F" w14:textId="77777777" w:rsidR="00BE7BFC" w:rsidRPr="00655890" w:rsidRDefault="00BE7BFC" w:rsidP="00EA0D10">
            <w:pPr>
              <w:pStyle w:val="Default"/>
              <w:tabs>
                <w:tab w:val="left" w:pos="0"/>
              </w:tabs>
              <w:rPr>
                <w:rFonts w:ascii="Times New Roman" w:hAnsi="Times New Roman" w:cs="Times New Roman"/>
              </w:rPr>
            </w:pPr>
            <w:r w:rsidRPr="00655890">
              <w:rPr>
                <w:rFonts w:ascii="Times New Roman" w:hAnsi="Times New Roman" w:cs="Times New Roman"/>
              </w:rPr>
              <w:t>Homebuyer Survey</w:t>
            </w:r>
          </w:p>
        </w:tc>
        <w:tc>
          <w:tcPr>
            <w:tcW w:w="1530" w:type="dxa"/>
            <w:shd w:val="clear" w:color="auto" w:fill="FFFFFF" w:themeFill="background1"/>
            <w:vAlign w:val="center"/>
          </w:tcPr>
          <w:p w14:paraId="0B1029CE" w14:textId="4B77BF33" w:rsidR="00BE7BFC" w:rsidRPr="00655890" w:rsidRDefault="001649EB" w:rsidP="00EA0D10">
            <w:pPr>
              <w:pStyle w:val="Default"/>
              <w:tabs>
                <w:tab w:val="left" w:pos="0"/>
              </w:tabs>
              <w:jc w:val="center"/>
              <w:rPr>
                <w:rFonts w:ascii="Times New Roman" w:hAnsi="Times New Roman" w:cs="Times New Roman"/>
              </w:rPr>
            </w:pPr>
            <w:r>
              <w:rPr>
                <w:rFonts w:ascii="Times New Roman" w:hAnsi="Times New Roman" w:cs="Times New Roman"/>
              </w:rPr>
              <w:t>450</w:t>
            </w:r>
          </w:p>
        </w:tc>
        <w:tc>
          <w:tcPr>
            <w:tcW w:w="1710" w:type="dxa"/>
            <w:shd w:val="clear" w:color="auto" w:fill="FFFFFF" w:themeFill="background1"/>
            <w:vAlign w:val="center"/>
          </w:tcPr>
          <w:p w14:paraId="062073CB" w14:textId="77777777" w:rsidR="00BE7BFC" w:rsidRPr="00655890" w:rsidRDefault="00BE7BFC" w:rsidP="00EA0D10">
            <w:pPr>
              <w:pStyle w:val="Default"/>
              <w:tabs>
                <w:tab w:val="left" w:pos="0"/>
              </w:tabs>
              <w:jc w:val="center"/>
              <w:rPr>
                <w:rFonts w:ascii="Times New Roman" w:hAnsi="Times New Roman" w:cs="Times New Roman"/>
              </w:rPr>
            </w:pPr>
            <w:r w:rsidRPr="00655890">
              <w:rPr>
                <w:rFonts w:ascii="Times New Roman" w:hAnsi="Times New Roman" w:cs="Times New Roman"/>
              </w:rPr>
              <w:t>1</w:t>
            </w:r>
          </w:p>
        </w:tc>
        <w:tc>
          <w:tcPr>
            <w:tcW w:w="1620" w:type="dxa"/>
            <w:shd w:val="clear" w:color="auto" w:fill="FFFFFF" w:themeFill="background1"/>
            <w:vAlign w:val="center"/>
          </w:tcPr>
          <w:p w14:paraId="2606EFD1" w14:textId="77777777" w:rsidR="00BE7BFC" w:rsidRPr="00655890" w:rsidRDefault="00BE7BFC" w:rsidP="00EA0D10">
            <w:pPr>
              <w:pStyle w:val="Default"/>
              <w:tabs>
                <w:tab w:val="left" w:pos="0"/>
              </w:tabs>
              <w:jc w:val="center"/>
              <w:rPr>
                <w:rFonts w:ascii="Times New Roman" w:hAnsi="Times New Roman" w:cs="Times New Roman"/>
              </w:rPr>
            </w:pPr>
            <w:r w:rsidRPr="00655890">
              <w:rPr>
                <w:rFonts w:ascii="Times New Roman" w:hAnsi="Times New Roman" w:cs="Times New Roman"/>
              </w:rPr>
              <w:t>8/60</w:t>
            </w:r>
          </w:p>
        </w:tc>
        <w:tc>
          <w:tcPr>
            <w:tcW w:w="1080" w:type="dxa"/>
            <w:tcBorders>
              <w:bottom w:val="single" w:sz="4" w:space="0" w:color="auto"/>
            </w:tcBorders>
            <w:shd w:val="clear" w:color="auto" w:fill="FFFFFF" w:themeFill="background1"/>
            <w:vAlign w:val="center"/>
          </w:tcPr>
          <w:p w14:paraId="732AD9D3" w14:textId="4BEEE0EB" w:rsidR="00BE7BFC" w:rsidRPr="00655890" w:rsidRDefault="001649EB" w:rsidP="00EA0D10">
            <w:pPr>
              <w:pStyle w:val="Default"/>
              <w:tabs>
                <w:tab w:val="left" w:pos="0"/>
              </w:tabs>
              <w:jc w:val="center"/>
              <w:rPr>
                <w:rFonts w:ascii="Times New Roman" w:hAnsi="Times New Roman" w:cs="Times New Roman"/>
              </w:rPr>
            </w:pPr>
            <w:r>
              <w:rPr>
                <w:rFonts w:ascii="Times New Roman" w:hAnsi="Times New Roman" w:cs="Times New Roman"/>
              </w:rPr>
              <w:t>60</w:t>
            </w:r>
          </w:p>
        </w:tc>
      </w:tr>
      <w:tr w:rsidR="003E7BA2" w:rsidRPr="003D5EA7" w14:paraId="04A8E3B9" w14:textId="77777777" w:rsidTr="00655890">
        <w:tc>
          <w:tcPr>
            <w:tcW w:w="1530" w:type="dxa"/>
            <w:shd w:val="clear" w:color="auto" w:fill="FFFFFF" w:themeFill="background1"/>
            <w:vAlign w:val="center"/>
          </w:tcPr>
          <w:p w14:paraId="0B4F5CBF"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Real Estate Agents</w:t>
            </w:r>
          </w:p>
        </w:tc>
        <w:tc>
          <w:tcPr>
            <w:tcW w:w="2250" w:type="dxa"/>
            <w:shd w:val="clear" w:color="auto" w:fill="FFFFFF" w:themeFill="background1"/>
            <w:vAlign w:val="center"/>
          </w:tcPr>
          <w:p w14:paraId="7EA5C155" w14:textId="77777777" w:rsidR="003E7BA2" w:rsidRPr="00655890" w:rsidRDefault="003E7BA2" w:rsidP="00EA0D10">
            <w:pPr>
              <w:pStyle w:val="Default"/>
              <w:tabs>
                <w:tab w:val="left" w:pos="0"/>
              </w:tabs>
              <w:rPr>
                <w:rFonts w:ascii="Times New Roman" w:hAnsi="Times New Roman" w:cs="Times New Roman"/>
              </w:rPr>
            </w:pPr>
            <w:r w:rsidRPr="00655890">
              <w:rPr>
                <w:rFonts w:ascii="Times New Roman" w:hAnsi="Times New Roman" w:cs="Times New Roman"/>
              </w:rPr>
              <w:t>Focus Group Interview Guide</w:t>
            </w:r>
          </w:p>
        </w:tc>
        <w:tc>
          <w:tcPr>
            <w:tcW w:w="1530" w:type="dxa"/>
            <w:shd w:val="clear" w:color="auto" w:fill="FFFFFF" w:themeFill="background1"/>
            <w:vAlign w:val="center"/>
          </w:tcPr>
          <w:p w14:paraId="37F6D1B1"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48</w:t>
            </w:r>
          </w:p>
        </w:tc>
        <w:tc>
          <w:tcPr>
            <w:tcW w:w="1710" w:type="dxa"/>
            <w:shd w:val="clear" w:color="auto" w:fill="FFFFFF" w:themeFill="background1"/>
            <w:vAlign w:val="center"/>
          </w:tcPr>
          <w:p w14:paraId="12D737DD"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1</w:t>
            </w:r>
          </w:p>
        </w:tc>
        <w:tc>
          <w:tcPr>
            <w:tcW w:w="1620" w:type="dxa"/>
            <w:shd w:val="clear" w:color="auto" w:fill="FFFFFF" w:themeFill="background1"/>
            <w:vAlign w:val="center"/>
          </w:tcPr>
          <w:p w14:paraId="6586D47A"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1</w:t>
            </w:r>
          </w:p>
        </w:tc>
        <w:tc>
          <w:tcPr>
            <w:tcW w:w="1080" w:type="dxa"/>
            <w:tcBorders>
              <w:bottom w:val="single" w:sz="4" w:space="0" w:color="auto"/>
            </w:tcBorders>
            <w:shd w:val="clear" w:color="auto" w:fill="FFFFFF" w:themeFill="background1"/>
            <w:vAlign w:val="center"/>
          </w:tcPr>
          <w:p w14:paraId="00923932" w14:textId="77777777" w:rsidR="003E7BA2" w:rsidRPr="00655890" w:rsidRDefault="003E7BA2" w:rsidP="00EA0D10">
            <w:pPr>
              <w:pStyle w:val="Default"/>
              <w:tabs>
                <w:tab w:val="left" w:pos="0"/>
              </w:tabs>
              <w:jc w:val="center"/>
              <w:rPr>
                <w:rFonts w:ascii="Times New Roman" w:hAnsi="Times New Roman" w:cs="Times New Roman"/>
              </w:rPr>
            </w:pPr>
            <w:r w:rsidRPr="00655890">
              <w:rPr>
                <w:rFonts w:ascii="Times New Roman" w:hAnsi="Times New Roman" w:cs="Times New Roman"/>
              </w:rPr>
              <w:t>48</w:t>
            </w:r>
          </w:p>
        </w:tc>
      </w:tr>
      <w:tr w:rsidR="003E7BA2" w:rsidRPr="003D5EA7" w14:paraId="063DB55B" w14:textId="77777777" w:rsidTr="00655890">
        <w:tc>
          <w:tcPr>
            <w:tcW w:w="1530" w:type="dxa"/>
            <w:shd w:val="clear" w:color="auto" w:fill="FFFFFF" w:themeFill="background1"/>
            <w:vAlign w:val="center"/>
          </w:tcPr>
          <w:p w14:paraId="5E34D84B" w14:textId="77777777" w:rsidR="003E7BA2" w:rsidRPr="00655890" w:rsidRDefault="003E7BA2" w:rsidP="00EA0D10">
            <w:pPr>
              <w:pStyle w:val="Default"/>
              <w:tabs>
                <w:tab w:val="left" w:pos="0"/>
              </w:tabs>
              <w:jc w:val="center"/>
              <w:rPr>
                <w:rFonts w:ascii="Times New Roman" w:hAnsi="Times New Roman" w:cs="Times New Roman"/>
                <w:highlight w:val="yellow"/>
              </w:rPr>
            </w:pPr>
          </w:p>
        </w:tc>
        <w:tc>
          <w:tcPr>
            <w:tcW w:w="7110" w:type="dxa"/>
            <w:gridSpan w:val="4"/>
            <w:shd w:val="clear" w:color="auto" w:fill="FFFFFF" w:themeFill="background1"/>
            <w:vAlign w:val="center"/>
          </w:tcPr>
          <w:p w14:paraId="2C5AA168" w14:textId="77777777" w:rsidR="003E7BA2" w:rsidRPr="00655890" w:rsidRDefault="003E7BA2" w:rsidP="00EA0D10">
            <w:pPr>
              <w:pStyle w:val="Default"/>
              <w:tabs>
                <w:tab w:val="left" w:pos="0"/>
              </w:tabs>
              <w:jc w:val="right"/>
              <w:rPr>
                <w:rFonts w:ascii="Times New Roman" w:hAnsi="Times New Roman" w:cs="Times New Roman"/>
              </w:rPr>
            </w:pPr>
            <w:r w:rsidRPr="00655890">
              <w:rPr>
                <w:rFonts w:ascii="Times New Roman" w:hAnsi="Times New Roman" w:cs="Times New Roman"/>
              </w:rPr>
              <w:t>Total</w:t>
            </w:r>
          </w:p>
        </w:tc>
        <w:tc>
          <w:tcPr>
            <w:tcW w:w="1080" w:type="dxa"/>
            <w:shd w:val="clear" w:color="auto" w:fill="FFFFFF" w:themeFill="background1"/>
            <w:vAlign w:val="center"/>
          </w:tcPr>
          <w:p w14:paraId="2BEEE115" w14:textId="26376599" w:rsidR="003E7BA2" w:rsidRPr="00655890" w:rsidRDefault="001649EB" w:rsidP="00EA0D10">
            <w:pPr>
              <w:pStyle w:val="Default"/>
              <w:tabs>
                <w:tab w:val="left" w:pos="0"/>
              </w:tabs>
              <w:jc w:val="center"/>
              <w:rPr>
                <w:rFonts w:ascii="Times New Roman" w:hAnsi="Times New Roman" w:cs="Times New Roman"/>
              </w:rPr>
            </w:pPr>
            <w:r>
              <w:rPr>
                <w:rFonts w:ascii="Times New Roman" w:hAnsi="Times New Roman" w:cs="Times New Roman"/>
              </w:rPr>
              <w:t>116</w:t>
            </w:r>
          </w:p>
        </w:tc>
      </w:tr>
    </w:tbl>
    <w:p w14:paraId="0863058E" w14:textId="77777777" w:rsidR="00015F85" w:rsidRDefault="00015F85">
      <w:pPr>
        <w:pStyle w:val="BodyText1"/>
        <w:ind w:firstLine="0"/>
      </w:pPr>
    </w:p>
    <w:p w14:paraId="59D8D37A" w14:textId="06993139" w:rsidR="00334C42" w:rsidRDefault="00334C42" w:rsidP="0062779E">
      <w:pPr>
        <w:pStyle w:val="BodyText1"/>
      </w:pPr>
      <w:r>
        <w:t xml:space="preserve">To estimate the cost to respondents, we used $23.00/hour as the average hourly wage for </w:t>
      </w:r>
      <w:r w:rsidR="00122061">
        <w:t xml:space="preserve">real estate </w:t>
      </w:r>
      <w:proofErr w:type="gramStart"/>
      <w:r w:rsidR="00122061">
        <w:t>agents</w:t>
      </w:r>
      <w:r>
        <w:t>,</w:t>
      </w:r>
      <w:proofErr w:type="gramEnd"/>
      <w:r>
        <w:t xml:space="preserve"> and $7.37/hour (the current Federal minimum wage) as the average ho</w:t>
      </w:r>
      <w:r w:rsidR="007324BF">
        <w:t xml:space="preserve">urly wage for </w:t>
      </w:r>
      <w:r w:rsidR="00122061">
        <w:t>homebuyers</w:t>
      </w:r>
      <w:r w:rsidR="000A72CE">
        <w:t xml:space="preserve">. </w:t>
      </w:r>
      <w:r w:rsidR="00275648">
        <w:t>The total estimated annualized cost to respondents is $</w:t>
      </w:r>
      <w:r w:rsidR="00110477">
        <w:t>1,605</w:t>
      </w:r>
      <w:r w:rsidR="00275648">
        <w:t>.</w:t>
      </w:r>
    </w:p>
    <w:p w14:paraId="6E35E6AE" w14:textId="77777777" w:rsidR="00FE6EBD" w:rsidRDefault="0012453E">
      <w:pPr>
        <w:pStyle w:val="Heading3"/>
      </w:pPr>
      <w:bookmarkStart w:id="121" w:name="_Toc296586392"/>
      <w:bookmarkStart w:id="122" w:name="_Toc297131708"/>
      <w:bookmarkStart w:id="123" w:name="_Toc389143713"/>
      <w:bookmarkStart w:id="124" w:name="_Toc411604809"/>
      <w:r>
        <w:t>A.12-2</w:t>
      </w:r>
      <w:r w:rsidRPr="00CF1100">
        <w:t xml:space="preserve"> </w:t>
      </w:r>
      <w:r w:rsidR="00655890">
        <w:t xml:space="preserve">Estimated Annualized </w:t>
      </w:r>
      <w:r w:rsidRPr="00CF1100">
        <w:t>Cost to Respondents</w:t>
      </w:r>
      <w:bookmarkEnd w:id="121"/>
      <w:bookmarkEnd w:id="122"/>
      <w:bookmarkEnd w:id="123"/>
      <w:bookmarkEnd w:id="124"/>
    </w:p>
    <w:p w14:paraId="24DF889D" w14:textId="77777777" w:rsidR="00015F85" w:rsidRDefault="00015F85" w:rsidP="00015F85"/>
    <w:tbl>
      <w:tblPr>
        <w:tblW w:w="0" w:type="auto"/>
        <w:tblCellMar>
          <w:left w:w="0" w:type="dxa"/>
          <w:right w:w="0" w:type="dxa"/>
        </w:tblCellMar>
        <w:tblLook w:val="04A0" w:firstRow="1" w:lastRow="0" w:firstColumn="1" w:lastColumn="0" w:noHBand="0" w:noVBand="1"/>
      </w:tblPr>
      <w:tblGrid>
        <w:gridCol w:w="1596"/>
        <w:gridCol w:w="2652"/>
        <w:gridCol w:w="1620"/>
        <w:gridCol w:w="1350"/>
        <w:gridCol w:w="1260"/>
        <w:gridCol w:w="1098"/>
      </w:tblGrid>
      <w:tr w:rsidR="008B665D" w14:paraId="2050C490" w14:textId="77777777" w:rsidTr="00655890">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88BBFD" w14:textId="77777777" w:rsidR="008B665D" w:rsidRDefault="008B665D" w:rsidP="003524CD">
            <w:pPr>
              <w:autoSpaceDE w:val="0"/>
              <w:autoSpaceDN w:val="0"/>
              <w:jc w:val="center"/>
              <w:rPr>
                <w:rFonts w:eastAsiaTheme="minorHAnsi"/>
                <w:sz w:val="22"/>
                <w:szCs w:val="22"/>
              </w:rPr>
            </w:pPr>
            <w:r>
              <w:t>Type of Respondent</w:t>
            </w:r>
          </w:p>
        </w:tc>
        <w:tc>
          <w:tcPr>
            <w:tcW w:w="2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A0A14A" w14:textId="77777777" w:rsidR="008B665D" w:rsidRDefault="008B665D" w:rsidP="003524CD">
            <w:pPr>
              <w:autoSpaceDE w:val="0"/>
              <w:autoSpaceDN w:val="0"/>
              <w:jc w:val="center"/>
              <w:rPr>
                <w:rFonts w:eastAsiaTheme="minorHAnsi"/>
                <w:sz w:val="22"/>
                <w:szCs w:val="22"/>
              </w:rPr>
            </w:pPr>
            <w:r>
              <w:t>Form Name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587F8F" w14:textId="77777777" w:rsidR="008B665D" w:rsidRDefault="008B665D" w:rsidP="003524CD">
            <w:pPr>
              <w:autoSpaceDE w:val="0"/>
              <w:autoSpaceDN w:val="0"/>
              <w:jc w:val="center"/>
              <w:rPr>
                <w:rFonts w:eastAsiaTheme="minorHAnsi"/>
              </w:rPr>
            </w:pPr>
            <w:r>
              <w:t>Number of</w:t>
            </w:r>
          </w:p>
          <w:p w14:paraId="75224519" w14:textId="77777777" w:rsidR="008B665D" w:rsidRDefault="008B665D" w:rsidP="003524CD">
            <w:pPr>
              <w:autoSpaceDE w:val="0"/>
              <w:autoSpaceDN w:val="0"/>
              <w:jc w:val="center"/>
              <w:rPr>
                <w:rFonts w:ascii="Calibri" w:hAnsi="Calibri"/>
                <w:sz w:val="22"/>
                <w:szCs w:val="22"/>
              </w:rPr>
            </w:pPr>
            <w:r>
              <w:t>Respondents</w:t>
            </w:r>
          </w:p>
          <w:p w14:paraId="3EC1BA1B" w14:textId="77777777" w:rsidR="008B665D" w:rsidRDefault="008B665D" w:rsidP="003524CD">
            <w:pPr>
              <w:autoSpaceDE w:val="0"/>
              <w:autoSpaceDN w:val="0"/>
              <w:spacing w:after="240"/>
              <w:ind w:left="720" w:hanging="720"/>
              <w:jc w:val="center"/>
              <w:rPr>
                <w:rFonts w:eastAsiaTheme="minorHAnsi"/>
                <w:sz w:val="22"/>
                <w:szCs w:val="22"/>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0D788C" w14:textId="77777777" w:rsidR="008B665D" w:rsidRPr="00755E07" w:rsidRDefault="008B665D" w:rsidP="003524CD">
            <w:pPr>
              <w:autoSpaceDE w:val="0"/>
              <w:autoSpaceDN w:val="0"/>
              <w:jc w:val="center"/>
            </w:pPr>
            <w:r w:rsidRPr="00AA006F">
              <w:t>Total Burden</w:t>
            </w:r>
          </w:p>
          <w:p w14:paraId="04D66B6E" w14:textId="77777777" w:rsidR="008B665D" w:rsidRPr="00755E07" w:rsidRDefault="008B665D" w:rsidP="003524CD">
            <w:pPr>
              <w:autoSpaceDE w:val="0"/>
              <w:autoSpaceDN w:val="0"/>
              <w:jc w:val="center"/>
            </w:pPr>
            <w:r w:rsidRPr="00AA006F">
              <w:t xml:space="preserve">(in </w:t>
            </w:r>
            <w:proofErr w:type="spellStart"/>
            <w:r w:rsidRPr="00AA006F">
              <w:t>hr</w:t>
            </w:r>
            <w:proofErr w:type="spellEnd"/>
            <w:r w:rsidRPr="00AA006F">
              <w:t>)</w:t>
            </w:r>
          </w:p>
          <w:p w14:paraId="30E402E6" w14:textId="77777777" w:rsidR="008B665D" w:rsidRDefault="008B665D" w:rsidP="003524CD">
            <w:pPr>
              <w:autoSpaceDE w:val="0"/>
              <w:autoSpaceDN w:val="0"/>
              <w:jc w:val="center"/>
              <w:rPr>
                <w:rFonts w:eastAsiaTheme="minorHAnsi"/>
                <w:sz w:val="22"/>
                <w:szCs w:val="22"/>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500447" w14:textId="77777777" w:rsidR="008B665D" w:rsidRDefault="008B665D" w:rsidP="003524CD">
            <w:pPr>
              <w:autoSpaceDE w:val="0"/>
              <w:autoSpaceDN w:val="0"/>
              <w:jc w:val="center"/>
              <w:rPr>
                <w:rFonts w:eastAsiaTheme="minorHAnsi"/>
                <w:sz w:val="22"/>
                <w:szCs w:val="22"/>
              </w:rPr>
            </w:pPr>
            <w:r>
              <w:t>Average Hourly Wage</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C0DFA6" w14:textId="77777777" w:rsidR="008B665D" w:rsidRDefault="008B665D" w:rsidP="003524CD">
            <w:pPr>
              <w:autoSpaceDE w:val="0"/>
              <w:autoSpaceDN w:val="0"/>
              <w:jc w:val="center"/>
              <w:rPr>
                <w:rFonts w:eastAsiaTheme="minorHAnsi"/>
                <w:sz w:val="22"/>
                <w:szCs w:val="22"/>
              </w:rPr>
            </w:pPr>
            <w:r>
              <w:t>Total Cost</w:t>
            </w:r>
          </w:p>
        </w:tc>
      </w:tr>
      <w:tr w:rsidR="00AE77C9" w14:paraId="717DFBD3" w14:textId="77777777" w:rsidTr="00655890">
        <w:tc>
          <w:tcPr>
            <w:tcW w:w="1596"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5591994F" w14:textId="77777777" w:rsidR="00AE77C9" w:rsidRDefault="00AE77C9" w:rsidP="00AE77C9">
            <w:pPr>
              <w:jc w:val="center"/>
            </w:pPr>
            <w:r>
              <w:t>Homebuyers</w:t>
            </w:r>
          </w:p>
        </w:tc>
        <w:tc>
          <w:tcPr>
            <w:tcW w:w="2652" w:type="dxa"/>
            <w:tcBorders>
              <w:top w:val="nil"/>
              <w:left w:val="nil"/>
              <w:bottom w:val="single" w:sz="8" w:space="0" w:color="auto"/>
              <w:right w:val="single" w:sz="8" w:space="0" w:color="auto"/>
            </w:tcBorders>
            <w:tcMar>
              <w:top w:w="0" w:type="dxa"/>
              <w:left w:w="108" w:type="dxa"/>
              <w:bottom w:w="0" w:type="dxa"/>
              <w:right w:w="108" w:type="dxa"/>
            </w:tcMar>
          </w:tcPr>
          <w:p w14:paraId="4DB3531A" w14:textId="77777777" w:rsidR="00AE77C9" w:rsidRPr="004C0CC1" w:rsidRDefault="00AE77C9" w:rsidP="00D05593">
            <w:r w:rsidRPr="004C0CC1">
              <w:t>Cognitive Testing Interview Guide</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7387D965" w14:textId="77777777" w:rsidR="00AE77C9" w:rsidRPr="00234A36" w:rsidRDefault="00AE77C9" w:rsidP="003558D6">
            <w:pPr>
              <w:jc w:val="center"/>
            </w:pPr>
            <w:r>
              <w:t>16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BE670" w14:textId="4B23ABC2" w:rsidR="00AE77C9" w:rsidRDefault="00453B04" w:rsidP="003558D6">
            <w:pPr>
              <w:autoSpaceDE w:val="0"/>
              <w:autoSpaceDN w:val="0"/>
              <w:spacing w:line="276" w:lineRule="auto"/>
              <w:jc w:val="center"/>
              <w:rPr>
                <w:rFonts w:eastAsiaTheme="minorHAnsi"/>
                <w:sz w:val="22"/>
                <w:szCs w:val="22"/>
              </w:rPr>
            </w:pPr>
            <w:r>
              <w:t>8</w:t>
            </w: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6B41C00" w14:textId="77777777" w:rsidR="00AE77C9" w:rsidRDefault="00AE77C9" w:rsidP="003524CD">
            <w:pPr>
              <w:autoSpaceDE w:val="0"/>
              <w:autoSpaceDN w:val="0"/>
              <w:jc w:val="center"/>
              <w:rPr>
                <w:rFonts w:eastAsiaTheme="minorHAnsi"/>
                <w:sz w:val="22"/>
                <w:szCs w:val="22"/>
              </w:rPr>
            </w:pPr>
            <w:r w:rsidRPr="00140FDE">
              <w:rPr>
                <w:rFonts w:eastAsiaTheme="minorHAnsi"/>
                <w:sz w:val="22"/>
                <w:szCs w:val="22"/>
              </w:rPr>
              <w:t>$7.37</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2E026" w14:textId="414F1FF9" w:rsidR="00AE77C9" w:rsidRDefault="00AE77C9" w:rsidP="00453B04">
            <w:pPr>
              <w:autoSpaceDE w:val="0"/>
              <w:autoSpaceDN w:val="0"/>
              <w:jc w:val="center"/>
              <w:rPr>
                <w:rFonts w:eastAsiaTheme="minorHAnsi"/>
                <w:sz w:val="22"/>
                <w:szCs w:val="22"/>
              </w:rPr>
            </w:pPr>
            <w:r>
              <w:rPr>
                <w:rFonts w:eastAsiaTheme="minorHAnsi"/>
                <w:sz w:val="22"/>
                <w:szCs w:val="22"/>
              </w:rPr>
              <w:t>$</w:t>
            </w:r>
            <w:r w:rsidR="00453B04">
              <w:rPr>
                <w:rFonts w:eastAsiaTheme="minorHAnsi"/>
                <w:sz w:val="22"/>
                <w:szCs w:val="22"/>
              </w:rPr>
              <w:t>59</w:t>
            </w:r>
          </w:p>
        </w:tc>
      </w:tr>
      <w:tr w:rsidR="00AE77C9" w14:paraId="19B65455" w14:textId="77777777" w:rsidTr="00655890">
        <w:tc>
          <w:tcPr>
            <w:tcW w:w="159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932CEAF" w14:textId="77777777" w:rsidR="00AE77C9" w:rsidRDefault="00AE77C9" w:rsidP="003524CD"/>
        </w:tc>
        <w:tc>
          <w:tcPr>
            <w:tcW w:w="2652" w:type="dxa"/>
            <w:tcBorders>
              <w:top w:val="nil"/>
              <w:left w:val="nil"/>
              <w:bottom w:val="single" w:sz="8" w:space="0" w:color="auto"/>
              <w:right w:val="single" w:sz="8" w:space="0" w:color="auto"/>
            </w:tcBorders>
            <w:tcMar>
              <w:top w:w="0" w:type="dxa"/>
              <w:left w:w="108" w:type="dxa"/>
              <w:bottom w:w="0" w:type="dxa"/>
              <w:right w:w="108" w:type="dxa"/>
            </w:tcMar>
          </w:tcPr>
          <w:p w14:paraId="7D2FBACE" w14:textId="77777777" w:rsidR="00AE77C9" w:rsidRPr="004C0CC1" w:rsidRDefault="00AE77C9" w:rsidP="00D05593">
            <w:r w:rsidRPr="004C0CC1">
              <w:t>Homebuyer Survey</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2B1E699F" w14:textId="3E02123A" w:rsidR="00AE77C9" w:rsidRDefault="001649EB" w:rsidP="003558D6">
            <w:pPr>
              <w:autoSpaceDE w:val="0"/>
              <w:autoSpaceDN w:val="0"/>
              <w:spacing w:line="276" w:lineRule="auto"/>
              <w:jc w:val="center"/>
              <w:rPr>
                <w:rFonts w:eastAsiaTheme="minorHAnsi"/>
                <w:sz w:val="22"/>
                <w:szCs w:val="22"/>
              </w:rPr>
            </w:pPr>
            <w:r>
              <w:t>450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6CB1C" w14:textId="70820F96" w:rsidR="00AE77C9" w:rsidRDefault="001649EB" w:rsidP="003558D6">
            <w:pPr>
              <w:autoSpaceDE w:val="0"/>
              <w:autoSpaceDN w:val="0"/>
              <w:spacing w:line="276" w:lineRule="auto"/>
              <w:jc w:val="center"/>
              <w:rPr>
                <w:rFonts w:eastAsiaTheme="minorHAnsi"/>
                <w:sz w:val="22"/>
                <w:szCs w:val="22"/>
              </w:rPr>
            </w:pPr>
            <w:r>
              <w:t>60</w:t>
            </w: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D6ABC8E" w14:textId="77777777" w:rsidR="00AE77C9" w:rsidRDefault="00AE77C9" w:rsidP="003524CD">
            <w:pPr>
              <w:autoSpaceDE w:val="0"/>
              <w:autoSpaceDN w:val="0"/>
              <w:jc w:val="center"/>
              <w:rPr>
                <w:rFonts w:eastAsiaTheme="minorHAnsi"/>
                <w:sz w:val="22"/>
                <w:szCs w:val="22"/>
              </w:rPr>
            </w:pPr>
            <w:r w:rsidRPr="00140FDE">
              <w:rPr>
                <w:rFonts w:eastAsiaTheme="minorHAnsi"/>
                <w:sz w:val="22"/>
                <w:szCs w:val="22"/>
              </w:rPr>
              <w:t>$7.37</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03CB9" w14:textId="489CE980" w:rsidR="00AE77C9" w:rsidRDefault="00AE77C9" w:rsidP="001649EB">
            <w:pPr>
              <w:autoSpaceDE w:val="0"/>
              <w:autoSpaceDN w:val="0"/>
              <w:jc w:val="center"/>
              <w:rPr>
                <w:rFonts w:eastAsiaTheme="minorHAnsi"/>
                <w:sz w:val="22"/>
                <w:szCs w:val="22"/>
              </w:rPr>
            </w:pPr>
            <w:r>
              <w:rPr>
                <w:rFonts w:eastAsiaTheme="minorHAnsi"/>
                <w:sz w:val="22"/>
                <w:szCs w:val="22"/>
              </w:rPr>
              <w:t>$</w:t>
            </w:r>
            <w:r w:rsidR="001649EB">
              <w:rPr>
                <w:rFonts w:eastAsiaTheme="minorHAnsi"/>
                <w:sz w:val="22"/>
                <w:szCs w:val="22"/>
              </w:rPr>
              <w:t>442</w:t>
            </w:r>
          </w:p>
        </w:tc>
      </w:tr>
      <w:tr w:rsidR="003D2AB2" w14:paraId="35FD43A3" w14:textId="77777777" w:rsidTr="00655890">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E1387" w14:textId="77777777" w:rsidR="003D2AB2" w:rsidRDefault="003D2AB2" w:rsidP="003524CD">
            <w:pPr>
              <w:rPr>
                <w:rFonts w:eastAsiaTheme="minorHAnsi"/>
                <w:sz w:val="22"/>
                <w:szCs w:val="22"/>
              </w:rPr>
            </w:pPr>
            <w:r>
              <w:t>Real Estate Agents</w:t>
            </w:r>
          </w:p>
        </w:tc>
        <w:tc>
          <w:tcPr>
            <w:tcW w:w="2652" w:type="dxa"/>
            <w:tcBorders>
              <w:top w:val="nil"/>
              <w:left w:val="nil"/>
              <w:bottom w:val="single" w:sz="8" w:space="0" w:color="auto"/>
              <w:right w:val="single" w:sz="8" w:space="0" w:color="auto"/>
            </w:tcBorders>
            <w:tcMar>
              <w:top w:w="0" w:type="dxa"/>
              <w:left w:w="108" w:type="dxa"/>
              <w:bottom w:w="0" w:type="dxa"/>
              <w:right w:w="108" w:type="dxa"/>
            </w:tcMar>
          </w:tcPr>
          <w:p w14:paraId="36CFE2EF" w14:textId="77777777" w:rsidR="003D2AB2" w:rsidRDefault="003D2AB2" w:rsidP="00D05593">
            <w:r w:rsidRPr="004C0CC1">
              <w:t>Real Estate Agent Focus Group Interview Guide</w:t>
            </w:r>
          </w:p>
        </w:tc>
        <w:tc>
          <w:tcPr>
            <w:tcW w:w="1620" w:type="dxa"/>
            <w:tcBorders>
              <w:top w:val="nil"/>
              <w:left w:val="nil"/>
              <w:bottom w:val="single" w:sz="8" w:space="0" w:color="auto"/>
              <w:right w:val="single" w:sz="4" w:space="0" w:color="auto"/>
            </w:tcBorders>
            <w:tcMar>
              <w:top w:w="0" w:type="dxa"/>
              <w:left w:w="108" w:type="dxa"/>
              <w:bottom w:w="0" w:type="dxa"/>
              <w:right w:w="108" w:type="dxa"/>
            </w:tcMar>
            <w:vAlign w:val="center"/>
          </w:tcPr>
          <w:p w14:paraId="6041A9D7" w14:textId="77777777" w:rsidR="003D2AB2" w:rsidRDefault="003D2AB2" w:rsidP="003558D6">
            <w:pPr>
              <w:autoSpaceDE w:val="0"/>
              <w:autoSpaceDN w:val="0"/>
              <w:spacing w:line="276" w:lineRule="auto"/>
              <w:jc w:val="center"/>
              <w:rPr>
                <w:rFonts w:eastAsiaTheme="minorHAnsi"/>
                <w:sz w:val="22"/>
                <w:szCs w:val="22"/>
              </w:rPr>
            </w:pPr>
            <w:r>
              <w:t>48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84BB" w14:textId="77777777" w:rsidR="003D2AB2" w:rsidRDefault="00B1164E" w:rsidP="003558D6">
            <w:pPr>
              <w:autoSpaceDE w:val="0"/>
              <w:autoSpaceDN w:val="0"/>
              <w:spacing w:line="276" w:lineRule="auto"/>
              <w:jc w:val="center"/>
              <w:rPr>
                <w:rFonts w:eastAsiaTheme="minorHAnsi"/>
                <w:sz w:val="22"/>
                <w:szCs w:val="22"/>
              </w:rPr>
            </w:pPr>
            <w:r>
              <w:t>48</w:t>
            </w:r>
          </w:p>
        </w:tc>
        <w:tc>
          <w:tcPr>
            <w:tcW w:w="126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179DBCA" w14:textId="77777777" w:rsidR="003D2AB2" w:rsidRDefault="003D2AB2" w:rsidP="003524CD">
            <w:pPr>
              <w:autoSpaceDE w:val="0"/>
              <w:autoSpaceDN w:val="0"/>
              <w:jc w:val="center"/>
              <w:rPr>
                <w:rFonts w:eastAsiaTheme="minorHAnsi"/>
                <w:sz w:val="22"/>
                <w:szCs w:val="22"/>
              </w:rPr>
            </w:pPr>
            <w:r w:rsidRPr="00140FDE">
              <w:rPr>
                <w:rFonts w:eastAsiaTheme="minorHAnsi"/>
                <w:sz w:val="22"/>
                <w:szCs w:val="22"/>
              </w:rPr>
              <w:t>$23.00</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1B6C3" w14:textId="77777777" w:rsidR="003D2AB2" w:rsidRDefault="003D2AB2" w:rsidP="003524CD">
            <w:pPr>
              <w:autoSpaceDE w:val="0"/>
              <w:autoSpaceDN w:val="0"/>
              <w:jc w:val="center"/>
              <w:rPr>
                <w:rFonts w:eastAsiaTheme="minorHAnsi"/>
                <w:sz w:val="22"/>
                <w:szCs w:val="22"/>
              </w:rPr>
            </w:pPr>
            <w:r>
              <w:rPr>
                <w:rFonts w:eastAsiaTheme="minorHAnsi"/>
                <w:sz w:val="22"/>
                <w:szCs w:val="22"/>
              </w:rPr>
              <w:t>$</w:t>
            </w:r>
            <w:r w:rsidRPr="00140FDE">
              <w:rPr>
                <w:rFonts w:eastAsiaTheme="minorHAnsi"/>
                <w:sz w:val="22"/>
                <w:szCs w:val="22"/>
              </w:rPr>
              <w:t>1</w:t>
            </w:r>
            <w:r>
              <w:rPr>
                <w:rFonts w:eastAsiaTheme="minorHAnsi"/>
                <w:sz w:val="22"/>
                <w:szCs w:val="22"/>
              </w:rPr>
              <w:t>,</w:t>
            </w:r>
            <w:r w:rsidRPr="00140FDE">
              <w:rPr>
                <w:rFonts w:eastAsiaTheme="minorHAnsi"/>
                <w:sz w:val="22"/>
                <w:szCs w:val="22"/>
              </w:rPr>
              <w:t>104</w:t>
            </w:r>
          </w:p>
        </w:tc>
      </w:tr>
      <w:tr w:rsidR="00140FDE" w14:paraId="5C53E71B" w14:textId="77777777" w:rsidTr="00655890">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8942A" w14:textId="77777777" w:rsidR="00140FDE" w:rsidRDefault="00140FDE" w:rsidP="003524CD">
            <w:pPr>
              <w:rPr>
                <w:rFonts w:eastAsiaTheme="minorHAnsi"/>
                <w:sz w:val="22"/>
                <w:szCs w:val="22"/>
              </w:rPr>
            </w:pPr>
            <w:r w:rsidRPr="001465EA">
              <w:t>Total</w:t>
            </w:r>
          </w:p>
        </w:tc>
        <w:tc>
          <w:tcPr>
            <w:tcW w:w="6882"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9F8E1D4" w14:textId="77777777" w:rsidR="00140FDE" w:rsidRDefault="00140FDE" w:rsidP="003558D6">
            <w:pPr>
              <w:autoSpaceDE w:val="0"/>
              <w:autoSpaceDN w:val="0"/>
              <w:jc w:val="center"/>
              <w:rPr>
                <w:rFonts w:eastAsiaTheme="minorHAnsi"/>
                <w:sz w:val="22"/>
                <w:szCs w:val="22"/>
              </w:rPr>
            </w:pP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C624D" w14:textId="46B69EA7" w:rsidR="00140FDE" w:rsidRDefault="00140FDE" w:rsidP="001649EB">
            <w:pPr>
              <w:autoSpaceDE w:val="0"/>
              <w:autoSpaceDN w:val="0"/>
              <w:jc w:val="center"/>
              <w:rPr>
                <w:rFonts w:eastAsiaTheme="minorHAnsi"/>
                <w:sz w:val="22"/>
                <w:szCs w:val="22"/>
              </w:rPr>
            </w:pPr>
            <w:r w:rsidRPr="001465EA">
              <w:rPr>
                <w:rFonts w:eastAsiaTheme="minorHAnsi"/>
              </w:rPr>
              <w:t>$</w:t>
            </w:r>
            <w:r w:rsidR="001649EB">
              <w:rPr>
                <w:rFonts w:eastAsiaTheme="minorHAnsi"/>
              </w:rPr>
              <w:t>1,605</w:t>
            </w:r>
          </w:p>
        </w:tc>
      </w:tr>
    </w:tbl>
    <w:p w14:paraId="19D5ED6C" w14:textId="77777777" w:rsidR="0072159D" w:rsidRDefault="0072159D" w:rsidP="0062779E">
      <w:pPr>
        <w:pStyle w:val="BodyText1"/>
      </w:pPr>
    </w:p>
    <w:p w14:paraId="3F021051" w14:textId="77777777" w:rsidR="007F0B28" w:rsidRPr="00CF1100" w:rsidRDefault="007F0B28" w:rsidP="00076767">
      <w:pPr>
        <w:pStyle w:val="Heading2"/>
      </w:pPr>
      <w:bookmarkStart w:id="125" w:name="_Toc143058448"/>
      <w:bookmarkStart w:id="126" w:name="_Toc146088446"/>
      <w:bookmarkStart w:id="127" w:name="_Toc260215301"/>
      <w:bookmarkStart w:id="128" w:name="_Toc296586393"/>
      <w:bookmarkStart w:id="129" w:name="_Toc389143714"/>
      <w:bookmarkStart w:id="130" w:name="_Toc411604810"/>
      <w:r w:rsidRPr="00CF1100">
        <w:t>A.13</w:t>
      </w:r>
      <w:r w:rsidRPr="00CF1100">
        <w:tab/>
        <w:t>Estimates of Other Total Annual Cost Burden to Respondents and Record Keepers</w:t>
      </w:r>
      <w:bookmarkEnd w:id="125"/>
      <w:bookmarkEnd w:id="126"/>
      <w:bookmarkEnd w:id="127"/>
      <w:bookmarkEnd w:id="128"/>
      <w:bookmarkEnd w:id="129"/>
      <w:bookmarkEnd w:id="130"/>
      <w:r w:rsidRPr="00CF1100">
        <w:t xml:space="preserve"> </w:t>
      </w:r>
    </w:p>
    <w:p w14:paraId="4D38C339" w14:textId="77777777" w:rsidR="007F0B28" w:rsidRPr="00CF1100" w:rsidRDefault="007F0B28" w:rsidP="0062779E">
      <w:pPr>
        <w:pStyle w:val="BodyText1"/>
      </w:pPr>
      <w:r w:rsidRPr="00CF1100">
        <w:t xml:space="preserve">Respondents are subject to no direct costs other than their time to participate; there are no start-up or maintenance costs. </w:t>
      </w:r>
      <w:r w:rsidR="00E13003">
        <w:t>Investigators</w:t>
      </w:r>
      <w:r w:rsidR="00DD4194">
        <w:t xml:space="preserve"> will be financially responsible for data collection that must occur to meet study goals and sample size requirements. </w:t>
      </w:r>
    </w:p>
    <w:p w14:paraId="15A64CB5" w14:textId="77777777" w:rsidR="007F0B28" w:rsidRPr="00076767" w:rsidRDefault="007F0B28" w:rsidP="00076767">
      <w:pPr>
        <w:pStyle w:val="Heading2"/>
      </w:pPr>
      <w:bookmarkStart w:id="131" w:name="_Toc260215302"/>
      <w:bookmarkStart w:id="132" w:name="_Toc296586394"/>
      <w:bookmarkStart w:id="133" w:name="_Toc389143715"/>
      <w:bookmarkStart w:id="134" w:name="_Toc411604811"/>
      <w:r w:rsidRPr="00CF1100">
        <w:t>A.14</w:t>
      </w:r>
      <w:r w:rsidRPr="00CF1100">
        <w:tab/>
        <w:t>Annualized Cost to the Federal Government</w:t>
      </w:r>
      <w:bookmarkEnd w:id="120"/>
      <w:bookmarkEnd w:id="131"/>
      <w:bookmarkEnd w:id="132"/>
      <w:bookmarkEnd w:id="133"/>
      <w:bookmarkEnd w:id="134"/>
      <w:r w:rsidRPr="00CF1100">
        <w:t xml:space="preserve"> </w:t>
      </w:r>
    </w:p>
    <w:p w14:paraId="27D97DEB" w14:textId="11206633" w:rsidR="007F0B28" w:rsidRPr="00CF1100" w:rsidRDefault="00507A03" w:rsidP="00076767">
      <w:pPr>
        <w:pStyle w:val="BodyText1"/>
      </w:pPr>
      <w:r>
        <w:t xml:space="preserve">The contractual costs to </w:t>
      </w:r>
      <w:proofErr w:type="spellStart"/>
      <w:r w:rsidR="003558D6">
        <w:t>SciMetrika</w:t>
      </w:r>
      <w:proofErr w:type="spellEnd"/>
      <w:r w:rsidR="003558D6">
        <w:t xml:space="preserve"> LLC </w:t>
      </w:r>
      <w:r>
        <w:t xml:space="preserve"> include costs for scientific staff who have responsibilities for project management, </w:t>
      </w:r>
      <w:r w:rsidR="003558D6">
        <w:t>data collection,</w:t>
      </w:r>
      <w:r>
        <w:t xml:space="preserve"> and data analysis</w:t>
      </w:r>
      <w:r w:rsidR="003115B9">
        <w:t xml:space="preserve">; </w:t>
      </w:r>
      <w:r>
        <w:t>the personnel costs associated with recruiting</w:t>
      </w:r>
      <w:r w:rsidR="003115B9">
        <w:t xml:space="preserve"> and collaborating with </w:t>
      </w:r>
      <w:r w:rsidR="003558D6">
        <w:t>study sites</w:t>
      </w:r>
      <w:r w:rsidR="003115B9">
        <w:t xml:space="preserve">; </w:t>
      </w:r>
      <w:r>
        <w:t>distributing and tracking</w:t>
      </w:r>
      <w:r w:rsidR="003558D6">
        <w:t xml:space="preserve"> of</w:t>
      </w:r>
      <w:r>
        <w:t xml:space="preserve"> </w:t>
      </w:r>
      <w:r w:rsidR="003558D6">
        <w:t xml:space="preserve">invitations, surveys, and </w:t>
      </w:r>
      <w:r w:rsidR="00090886">
        <w:t>honoraria</w:t>
      </w:r>
      <w:r w:rsidR="003115B9">
        <w:t>;</w:t>
      </w:r>
      <w:r>
        <w:t xml:space="preserve"> managing data</w:t>
      </w:r>
      <w:r w:rsidR="003115B9">
        <w:t>;</w:t>
      </w:r>
      <w:r w:rsidR="009C5C6D">
        <w:t xml:space="preserve"> and reporting results</w:t>
      </w:r>
      <w:r w:rsidR="00A3338A">
        <w:t xml:space="preserve">. </w:t>
      </w:r>
      <w:r>
        <w:t xml:space="preserve">Other contractual costs include costs for survey production and distribution, the cost of computing equipment, study </w:t>
      </w:r>
      <w:r w:rsidR="00090886">
        <w:t>honoraria</w:t>
      </w:r>
      <w:r>
        <w:t>, and other administrative costs</w:t>
      </w:r>
      <w:r w:rsidR="00A3338A">
        <w:t xml:space="preserve">. </w:t>
      </w:r>
      <w:r>
        <w:t>The total estimated cost of the contract</w:t>
      </w:r>
      <w:r w:rsidR="001C6983">
        <w:t xml:space="preserve"> with </w:t>
      </w:r>
      <w:proofErr w:type="spellStart"/>
      <w:r w:rsidR="001C6983">
        <w:t>SciMetrika</w:t>
      </w:r>
      <w:proofErr w:type="spellEnd"/>
      <w:r w:rsidR="001C6983">
        <w:t xml:space="preserve"> LLC </w:t>
      </w:r>
      <w:r w:rsidR="00731067">
        <w:t xml:space="preserve">for </w:t>
      </w:r>
      <w:r w:rsidR="005E081A">
        <w:t xml:space="preserve">data collection </w:t>
      </w:r>
      <w:r w:rsidR="00300208">
        <w:t xml:space="preserve">pertinent to OMB purposes </w:t>
      </w:r>
      <w:r w:rsidR="00731067">
        <w:t>is $113,101</w:t>
      </w:r>
      <w:r w:rsidR="005E081A">
        <w:t>. The</w:t>
      </w:r>
      <w:r>
        <w:t xml:space="preserve"> estimated annualized cost</w:t>
      </w:r>
      <w:r w:rsidR="00D066F1">
        <w:t xml:space="preserve"> </w:t>
      </w:r>
      <w:r w:rsidR="005E081A">
        <w:t xml:space="preserve">to the government </w:t>
      </w:r>
      <w:r>
        <w:t xml:space="preserve">of </w:t>
      </w:r>
      <w:r w:rsidR="0040104B" w:rsidRPr="0040104B">
        <w:t>$</w:t>
      </w:r>
      <w:r w:rsidR="00731067">
        <w:t xml:space="preserve">56,550 </w:t>
      </w:r>
      <w:r w:rsidR="005E081A">
        <w:t xml:space="preserve">represents project costs </w:t>
      </w:r>
      <w:r w:rsidR="001C6983">
        <w:t xml:space="preserve">for data collection </w:t>
      </w:r>
      <w:r w:rsidR="005E081A" w:rsidRPr="005910FD">
        <w:t xml:space="preserve">annualized over </w:t>
      </w:r>
      <w:r w:rsidR="001C6983">
        <w:t xml:space="preserve">two </w:t>
      </w:r>
      <w:r w:rsidR="005E081A" w:rsidRPr="005910FD">
        <w:t>years</w:t>
      </w:r>
      <w:r w:rsidR="00731067">
        <w:t>.</w:t>
      </w:r>
      <w:r>
        <w:t xml:space="preserve"> </w:t>
      </w:r>
      <w:r w:rsidR="0040284D" w:rsidRPr="00CF1100">
        <w:t>The contractor</w:t>
      </w:r>
      <w:r w:rsidR="0040284D">
        <w:t>’</w:t>
      </w:r>
      <w:r w:rsidR="0040284D" w:rsidRPr="00CF1100">
        <w:t xml:space="preserve">s costs are based on estimates provided by the contractor who will carry out </w:t>
      </w:r>
      <w:r w:rsidR="007324BF">
        <w:t>the data collection activities</w:t>
      </w:r>
      <w:r w:rsidR="0040284D">
        <w:t>.</w:t>
      </w:r>
      <w:r>
        <w:t xml:space="preserve"> </w:t>
      </w:r>
      <w:r w:rsidRPr="00500C39">
        <w:rPr>
          <w:color w:val="000000"/>
        </w:rPr>
        <w:t xml:space="preserve">The </w:t>
      </w:r>
      <w:r w:rsidRPr="00532394">
        <w:t xml:space="preserve">CDC oversight costs include personnel costs of Federal </w:t>
      </w:r>
      <w:r w:rsidR="009C5C6D" w:rsidRPr="00532394">
        <w:t xml:space="preserve">employees involved in oversight and </w:t>
      </w:r>
      <w:r w:rsidR="00E13003" w:rsidRPr="00532394">
        <w:t>are</w:t>
      </w:r>
      <w:r w:rsidRPr="00532394">
        <w:t xml:space="preserve"> estimated at </w:t>
      </w:r>
      <w:r w:rsidR="00653312" w:rsidRPr="00532394">
        <w:t xml:space="preserve">$50,171 </w:t>
      </w:r>
      <w:r w:rsidRPr="00532394">
        <w:t>ann</w:t>
      </w:r>
      <w:r w:rsidR="0040284D" w:rsidRPr="00532394">
        <w:t>ually.</w:t>
      </w:r>
      <w:r w:rsidR="00803736" w:rsidRPr="00532394">
        <w:t xml:space="preserve"> This estimate includes one</w:t>
      </w:r>
      <w:r w:rsidRPr="00532394">
        <w:t xml:space="preserve"> project director </w:t>
      </w:r>
      <w:r w:rsidR="00803736" w:rsidRPr="00532394">
        <w:t xml:space="preserve">and one </w:t>
      </w:r>
      <w:r w:rsidR="00715219" w:rsidRPr="00532394">
        <w:t>technical monitor</w:t>
      </w:r>
      <w:r w:rsidR="00803736" w:rsidRPr="00532394">
        <w:t xml:space="preserve"> at the GS-13</w:t>
      </w:r>
      <w:r w:rsidRPr="00532394">
        <w:t xml:space="preserve"> level</w:t>
      </w:r>
      <w:r w:rsidR="00E047AE">
        <w:t xml:space="preserve"> (30</w:t>
      </w:r>
      <w:r w:rsidR="00803736" w:rsidRPr="00532394">
        <w:t>% FTE each)</w:t>
      </w:r>
      <w:r w:rsidR="009C5C6D" w:rsidRPr="00532394">
        <w:t>, and one</w:t>
      </w:r>
      <w:r w:rsidRPr="00532394">
        <w:t xml:space="preserve"> consulting </w:t>
      </w:r>
      <w:r w:rsidR="00803736" w:rsidRPr="00532394">
        <w:t xml:space="preserve">medical </w:t>
      </w:r>
      <w:r w:rsidR="00023B6B" w:rsidRPr="00532394">
        <w:t>epidemiologist</w:t>
      </w:r>
      <w:r w:rsidRPr="00532394">
        <w:t xml:space="preserve"> at the GS-13 level</w:t>
      </w:r>
      <w:r w:rsidR="00803736" w:rsidRPr="00532394">
        <w:t xml:space="preserve"> (10% FTE)</w:t>
      </w:r>
      <w:r w:rsidRPr="00532394">
        <w:t>.</w:t>
      </w:r>
      <w:r w:rsidR="000279D0" w:rsidRPr="00532394">
        <w:t xml:space="preserve"> The 2013</w:t>
      </w:r>
      <w:r w:rsidR="00A664A8" w:rsidRPr="00532394">
        <w:t xml:space="preserve"> Department of Labor GS-13 base pay of $71,674 was used in calculating</w:t>
      </w:r>
      <w:r w:rsidR="00A664A8">
        <w:rPr>
          <w:color w:val="000000"/>
        </w:rPr>
        <w:t xml:space="preserve"> these amounts.</w:t>
      </w:r>
    </w:p>
    <w:p w14:paraId="5DC062C2" w14:textId="77777777" w:rsidR="007F0B28" w:rsidRDefault="00A03789" w:rsidP="00AF14FC">
      <w:pPr>
        <w:pStyle w:val="Heading3"/>
      </w:pPr>
      <w:bookmarkStart w:id="135" w:name="_Toc146088170"/>
      <w:bookmarkStart w:id="136" w:name="_Toc146089478"/>
      <w:bookmarkStart w:id="137" w:name="_Toc260210575"/>
      <w:bookmarkStart w:id="138" w:name="_Toc296586395"/>
      <w:bookmarkStart w:id="139" w:name="_Toc297131711"/>
      <w:bookmarkStart w:id="140" w:name="_Toc389143716"/>
      <w:bookmarkStart w:id="141" w:name="_Toc411604812"/>
      <w:r w:rsidRPr="00A03789">
        <w:rPr>
          <w:szCs w:val="20"/>
        </w:rPr>
        <w:t>A.</w:t>
      </w:r>
      <w:r>
        <w:t xml:space="preserve">14-1 </w:t>
      </w:r>
      <w:r w:rsidR="003115B9">
        <w:t xml:space="preserve">Annualized </w:t>
      </w:r>
      <w:r w:rsidR="007F0B28" w:rsidRPr="00CF1100">
        <w:t>Government Costs</w:t>
      </w:r>
      <w:bookmarkEnd w:id="135"/>
      <w:bookmarkEnd w:id="136"/>
      <w:bookmarkEnd w:id="137"/>
      <w:bookmarkEnd w:id="138"/>
      <w:bookmarkEnd w:id="139"/>
      <w:bookmarkEnd w:id="140"/>
      <w:bookmarkEnd w:id="141"/>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888"/>
        <w:gridCol w:w="2520"/>
        <w:gridCol w:w="2520"/>
      </w:tblGrid>
      <w:tr w:rsidR="009228CF" w:rsidRPr="00295B26" w14:paraId="72BC7C5C" w14:textId="77777777" w:rsidTr="000F77AD">
        <w:tc>
          <w:tcPr>
            <w:tcW w:w="3888" w:type="dxa"/>
            <w:shd w:val="clear" w:color="auto" w:fill="auto"/>
          </w:tcPr>
          <w:p w14:paraId="389983C5" w14:textId="77777777" w:rsidR="009228CF" w:rsidRPr="00295B26" w:rsidRDefault="009228CF" w:rsidP="00B45E77">
            <w:pPr>
              <w:spacing w:before="240"/>
              <w:jc w:val="center"/>
              <w:rPr>
                <w:b/>
                <w:bCs/>
                <w:sz w:val="22"/>
                <w:szCs w:val="22"/>
              </w:rPr>
            </w:pPr>
            <w:r w:rsidRPr="00295B26">
              <w:rPr>
                <w:b/>
                <w:bCs/>
                <w:sz w:val="22"/>
                <w:szCs w:val="22"/>
              </w:rPr>
              <w:t>Type of Cost</w:t>
            </w:r>
          </w:p>
        </w:tc>
        <w:tc>
          <w:tcPr>
            <w:tcW w:w="2520" w:type="dxa"/>
            <w:shd w:val="clear" w:color="auto" w:fill="auto"/>
          </w:tcPr>
          <w:p w14:paraId="7460E77E" w14:textId="77777777" w:rsidR="009228CF" w:rsidRPr="00295B26" w:rsidRDefault="009228CF" w:rsidP="00B45E77">
            <w:pPr>
              <w:spacing w:before="240"/>
              <w:jc w:val="center"/>
              <w:rPr>
                <w:b/>
                <w:bCs/>
                <w:sz w:val="22"/>
                <w:szCs w:val="22"/>
              </w:rPr>
            </w:pPr>
            <w:r w:rsidRPr="00295B26">
              <w:rPr>
                <w:b/>
                <w:bCs/>
                <w:sz w:val="22"/>
                <w:szCs w:val="22"/>
              </w:rPr>
              <w:t>Total Cost</w:t>
            </w:r>
          </w:p>
        </w:tc>
        <w:tc>
          <w:tcPr>
            <w:tcW w:w="2520" w:type="dxa"/>
            <w:shd w:val="clear" w:color="auto" w:fill="auto"/>
          </w:tcPr>
          <w:p w14:paraId="449DBF30" w14:textId="77777777" w:rsidR="009228CF" w:rsidRPr="00295B26" w:rsidRDefault="009228CF" w:rsidP="00B45E77">
            <w:pPr>
              <w:spacing w:before="240"/>
              <w:jc w:val="center"/>
              <w:rPr>
                <w:b/>
                <w:bCs/>
                <w:sz w:val="22"/>
                <w:szCs w:val="22"/>
              </w:rPr>
            </w:pPr>
            <w:r w:rsidRPr="00295B26">
              <w:rPr>
                <w:b/>
                <w:bCs/>
                <w:sz w:val="22"/>
                <w:szCs w:val="22"/>
              </w:rPr>
              <w:t>Annualized Cost</w:t>
            </w:r>
          </w:p>
        </w:tc>
      </w:tr>
      <w:tr w:rsidR="009228CF" w:rsidRPr="00295B26" w14:paraId="2EE05111" w14:textId="77777777" w:rsidTr="000F77AD">
        <w:tc>
          <w:tcPr>
            <w:tcW w:w="8928" w:type="dxa"/>
            <w:gridSpan w:val="3"/>
            <w:shd w:val="clear" w:color="auto" w:fill="auto"/>
          </w:tcPr>
          <w:p w14:paraId="43FBD327" w14:textId="77777777" w:rsidR="009228CF" w:rsidRPr="0040104B" w:rsidRDefault="00532394" w:rsidP="00D958DE">
            <w:pPr>
              <w:pStyle w:val="BodyText2"/>
              <w:spacing w:before="40" w:after="40"/>
              <w:jc w:val="center"/>
              <w:rPr>
                <w:b/>
                <w:sz w:val="22"/>
                <w:szCs w:val="22"/>
              </w:rPr>
            </w:pPr>
            <w:proofErr w:type="spellStart"/>
            <w:r>
              <w:rPr>
                <w:b/>
                <w:sz w:val="22"/>
                <w:szCs w:val="22"/>
              </w:rPr>
              <w:t>SciMetrika</w:t>
            </w:r>
            <w:proofErr w:type="spellEnd"/>
            <w:r>
              <w:rPr>
                <w:b/>
                <w:sz w:val="22"/>
                <w:szCs w:val="22"/>
              </w:rPr>
              <w:t xml:space="preserve"> LLC.</w:t>
            </w:r>
            <w:r w:rsidR="009228CF" w:rsidRPr="0040104B">
              <w:rPr>
                <w:b/>
                <w:sz w:val="22"/>
                <w:szCs w:val="22"/>
              </w:rPr>
              <w:t xml:space="preserve"> Contract Costs</w:t>
            </w:r>
          </w:p>
        </w:tc>
      </w:tr>
      <w:tr w:rsidR="009228CF" w:rsidRPr="00295B26" w14:paraId="3BF67A17" w14:textId="77777777" w:rsidTr="000F77AD">
        <w:tc>
          <w:tcPr>
            <w:tcW w:w="3888" w:type="dxa"/>
            <w:shd w:val="clear" w:color="auto" w:fill="auto"/>
          </w:tcPr>
          <w:p w14:paraId="6E92C11B" w14:textId="77777777" w:rsidR="009228CF" w:rsidRPr="000F77AD" w:rsidRDefault="000F77AD" w:rsidP="00D958DE">
            <w:pPr>
              <w:pStyle w:val="BodyText2"/>
              <w:spacing w:before="40" w:after="40"/>
              <w:rPr>
                <w:sz w:val="22"/>
                <w:szCs w:val="22"/>
              </w:rPr>
            </w:pPr>
            <w:r w:rsidRPr="000F77AD">
              <w:rPr>
                <w:sz w:val="22"/>
                <w:szCs w:val="22"/>
              </w:rPr>
              <w:t>Labor</w:t>
            </w:r>
          </w:p>
        </w:tc>
        <w:tc>
          <w:tcPr>
            <w:tcW w:w="2520" w:type="dxa"/>
            <w:shd w:val="clear" w:color="auto" w:fill="auto"/>
          </w:tcPr>
          <w:p w14:paraId="0F07110A" w14:textId="77777777" w:rsidR="009228CF" w:rsidRPr="000F77AD" w:rsidRDefault="000F77AD" w:rsidP="00300208">
            <w:pPr>
              <w:pStyle w:val="BodyText2"/>
              <w:spacing w:before="40" w:after="40"/>
              <w:rPr>
                <w:sz w:val="22"/>
                <w:szCs w:val="22"/>
              </w:rPr>
            </w:pPr>
            <w:r w:rsidRPr="000F77AD">
              <w:rPr>
                <w:sz w:val="22"/>
                <w:szCs w:val="22"/>
              </w:rPr>
              <w:t>$</w:t>
            </w:r>
            <w:r w:rsidR="00300208">
              <w:rPr>
                <w:sz w:val="22"/>
                <w:szCs w:val="22"/>
              </w:rPr>
              <w:t>62,222</w:t>
            </w:r>
          </w:p>
        </w:tc>
        <w:tc>
          <w:tcPr>
            <w:tcW w:w="2520" w:type="dxa"/>
            <w:shd w:val="clear" w:color="auto" w:fill="auto"/>
          </w:tcPr>
          <w:p w14:paraId="1D255339" w14:textId="77777777" w:rsidR="009228CF" w:rsidRPr="0040104B" w:rsidRDefault="0040104B" w:rsidP="00300208">
            <w:pPr>
              <w:pStyle w:val="BodyText2"/>
              <w:spacing w:before="40" w:after="40"/>
              <w:jc w:val="center"/>
              <w:rPr>
                <w:sz w:val="22"/>
                <w:szCs w:val="22"/>
              </w:rPr>
            </w:pPr>
            <w:r w:rsidRPr="0040104B">
              <w:rPr>
                <w:sz w:val="22"/>
                <w:szCs w:val="22"/>
              </w:rPr>
              <w:t>$</w:t>
            </w:r>
            <w:r w:rsidR="00300208">
              <w:t xml:space="preserve"> </w:t>
            </w:r>
            <w:r w:rsidR="00300208" w:rsidRPr="00300208">
              <w:rPr>
                <w:sz w:val="22"/>
                <w:szCs w:val="22"/>
              </w:rPr>
              <w:t>31</w:t>
            </w:r>
            <w:r w:rsidR="00300208">
              <w:rPr>
                <w:sz w:val="22"/>
                <w:szCs w:val="22"/>
              </w:rPr>
              <w:t>,</w:t>
            </w:r>
            <w:r w:rsidR="00300208" w:rsidRPr="00300208">
              <w:rPr>
                <w:sz w:val="22"/>
                <w:szCs w:val="22"/>
              </w:rPr>
              <w:t>111</w:t>
            </w:r>
          </w:p>
        </w:tc>
      </w:tr>
      <w:tr w:rsidR="0040104B" w:rsidRPr="00295B26" w14:paraId="15DD8B19" w14:textId="77777777" w:rsidTr="000F77AD">
        <w:tc>
          <w:tcPr>
            <w:tcW w:w="3888" w:type="dxa"/>
            <w:shd w:val="clear" w:color="auto" w:fill="auto"/>
          </w:tcPr>
          <w:p w14:paraId="79B689A9" w14:textId="77777777" w:rsidR="0040104B" w:rsidRPr="000F77AD" w:rsidRDefault="0040104B" w:rsidP="00D958DE">
            <w:pPr>
              <w:pStyle w:val="BodyText2"/>
              <w:spacing w:before="40" w:after="40"/>
              <w:rPr>
                <w:b/>
                <w:sz w:val="22"/>
                <w:szCs w:val="22"/>
              </w:rPr>
            </w:pPr>
            <w:r w:rsidRPr="000F77AD">
              <w:rPr>
                <w:sz w:val="22"/>
                <w:szCs w:val="22"/>
              </w:rPr>
              <w:t>Materials and services</w:t>
            </w:r>
          </w:p>
        </w:tc>
        <w:tc>
          <w:tcPr>
            <w:tcW w:w="2520" w:type="dxa"/>
            <w:shd w:val="clear" w:color="auto" w:fill="auto"/>
          </w:tcPr>
          <w:p w14:paraId="6ACC1945" w14:textId="77777777" w:rsidR="0040104B" w:rsidRPr="000F77AD" w:rsidRDefault="0040104B" w:rsidP="00653312">
            <w:pPr>
              <w:pStyle w:val="BodyText2"/>
              <w:spacing w:before="40" w:after="40"/>
              <w:rPr>
                <w:sz w:val="22"/>
                <w:szCs w:val="22"/>
              </w:rPr>
            </w:pPr>
            <w:r>
              <w:rPr>
                <w:sz w:val="22"/>
                <w:szCs w:val="22"/>
              </w:rPr>
              <w:t>$</w:t>
            </w:r>
            <w:r w:rsidR="00653312">
              <w:rPr>
                <w:sz w:val="22"/>
                <w:szCs w:val="22"/>
              </w:rPr>
              <w:t>29,101</w:t>
            </w:r>
          </w:p>
        </w:tc>
        <w:tc>
          <w:tcPr>
            <w:tcW w:w="2520" w:type="dxa"/>
            <w:shd w:val="clear" w:color="auto" w:fill="auto"/>
          </w:tcPr>
          <w:p w14:paraId="32F25617" w14:textId="77777777" w:rsidR="0040104B" w:rsidRPr="0040104B" w:rsidRDefault="0040104B" w:rsidP="00300208">
            <w:pPr>
              <w:pStyle w:val="BodyText2"/>
              <w:spacing w:before="40" w:after="40"/>
              <w:jc w:val="center"/>
              <w:rPr>
                <w:sz w:val="22"/>
                <w:szCs w:val="22"/>
              </w:rPr>
            </w:pPr>
            <w:r w:rsidRPr="0040104B">
              <w:rPr>
                <w:sz w:val="22"/>
                <w:szCs w:val="22"/>
              </w:rPr>
              <w:t>$</w:t>
            </w:r>
            <w:r w:rsidR="00300208">
              <w:rPr>
                <w:sz w:val="22"/>
                <w:szCs w:val="22"/>
              </w:rPr>
              <w:t>14,550</w:t>
            </w:r>
          </w:p>
        </w:tc>
      </w:tr>
      <w:tr w:rsidR="0040104B" w:rsidRPr="00295B26" w14:paraId="7B9937D0" w14:textId="77777777" w:rsidTr="000F77AD">
        <w:tc>
          <w:tcPr>
            <w:tcW w:w="3888" w:type="dxa"/>
            <w:shd w:val="clear" w:color="auto" w:fill="auto"/>
          </w:tcPr>
          <w:p w14:paraId="6F2DF048" w14:textId="77777777" w:rsidR="0040104B" w:rsidRPr="000F77AD" w:rsidRDefault="0040104B" w:rsidP="00D958DE">
            <w:pPr>
              <w:pStyle w:val="BodyText2"/>
              <w:spacing w:before="40" w:after="40"/>
              <w:rPr>
                <w:b/>
                <w:sz w:val="22"/>
                <w:szCs w:val="22"/>
              </w:rPr>
            </w:pPr>
            <w:r w:rsidRPr="000F77AD">
              <w:rPr>
                <w:sz w:val="22"/>
                <w:szCs w:val="22"/>
              </w:rPr>
              <w:t>Indirect costs</w:t>
            </w:r>
          </w:p>
        </w:tc>
        <w:tc>
          <w:tcPr>
            <w:tcW w:w="2520" w:type="dxa"/>
            <w:shd w:val="clear" w:color="auto" w:fill="auto"/>
          </w:tcPr>
          <w:p w14:paraId="5067EED2" w14:textId="77777777" w:rsidR="0040104B" w:rsidRPr="000F77AD" w:rsidRDefault="0040104B" w:rsidP="00300208">
            <w:pPr>
              <w:pStyle w:val="BodyText2"/>
              <w:spacing w:before="40" w:after="40"/>
              <w:rPr>
                <w:sz w:val="22"/>
                <w:szCs w:val="22"/>
              </w:rPr>
            </w:pPr>
            <w:r>
              <w:rPr>
                <w:sz w:val="22"/>
                <w:szCs w:val="22"/>
              </w:rPr>
              <w:t>$</w:t>
            </w:r>
            <w:r w:rsidR="00300208">
              <w:rPr>
                <w:sz w:val="22"/>
                <w:szCs w:val="22"/>
              </w:rPr>
              <w:t>21,778</w:t>
            </w:r>
          </w:p>
        </w:tc>
        <w:tc>
          <w:tcPr>
            <w:tcW w:w="2520" w:type="dxa"/>
            <w:shd w:val="clear" w:color="auto" w:fill="auto"/>
          </w:tcPr>
          <w:p w14:paraId="3E41C116" w14:textId="77777777" w:rsidR="0040104B" w:rsidRPr="0040104B" w:rsidRDefault="0040104B" w:rsidP="00300208">
            <w:pPr>
              <w:pStyle w:val="BodyText2"/>
              <w:spacing w:before="40" w:after="40"/>
              <w:jc w:val="center"/>
              <w:rPr>
                <w:sz w:val="22"/>
                <w:szCs w:val="22"/>
              </w:rPr>
            </w:pPr>
            <w:r w:rsidRPr="0040104B">
              <w:rPr>
                <w:sz w:val="22"/>
                <w:szCs w:val="22"/>
              </w:rPr>
              <w:t>$</w:t>
            </w:r>
            <w:r w:rsidR="00300208">
              <w:rPr>
                <w:sz w:val="22"/>
                <w:szCs w:val="22"/>
              </w:rPr>
              <w:t>10,889</w:t>
            </w:r>
          </w:p>
        </w:tc>
      </w:tr>
      <w:tr w:rsidR="0040104B" w:rsidRPr="00295B26" w14:paraId="0F62503E" w14:textId="77777777" w:rsidTr="000F77AD">
        <w:tc>
          <w:tcPr>
            <w:tcW w:w="3888" w:type="dxa"/>
            <w:shd w:val="clear" w:color="auto" w:fill="auto"/>
          </w:tcPr>
          <w:p w14:paraId="3FFF2A10" w14:textId="77777777" w:rsidR="00FE6EBD" w:rsidRDefault="00DA763C" w:rsidP="00D958DE">
            <w:pPr>
              <w:pStyle w:val="BodyText2"/>
              <w:spacing w:before="40" w:after="40"/>
              <w:jc w:val="right"/>
              <w:rPr>
                <w:b/>
                <w:sz w:val="22"/>
                <w:szCs w:val="22"/>
              </w:rPr>
            </w:pPr>
            <w:r>
              <w:rPr>
                <w:b/>
                <w:sz w:val="22"/>
                <w:szCs w:val="22"/>
              </w:rPr>
              <w:t>Subt</w:t>
            </w:r>
            <w:r w:rsidR="0040104B" w:rsidRPr="000F77AD">
              <w:rPr>
                <w:b/>
                <w:sz w:val="22"/>
                <w:szCs w:val="22"/>
              </w:rPr>
              <w:t>otal</w:t>
            </w:r>
            <w:r>
              <w:rPr>
                <w:b/>
                <w:sz w:val="22"/>
                <w:szCs w:val="22"/>
              </w:rPr>
              <w:t>,</w:t>
            </w:r>
            <w:r w:rsidR="0040104B" w:rsidRPr="000F77AD">
              <w:rPr>
                <w:b/>
                <w:sz w:val="22"/>
                <w:szCs w:val="22"/>
              </w:rPr>
              <w:t xml:space="preserve"> Contract Costs</w:t>
            </w:r>
          </w:p>
        </w:tc>
        <w:tc>
          <w:tcPr>
            <w:tcW w:w="2520" w:type="dxa"/>
            <w:shd w:val="clear" w:color="auto" w:fill="auto"/>
          </w:tcPr>
          <w:p w14:paraId="3AFD7943" w14:textId="77777777" w:rsidR="00FE6EBD" w:rsidRDefault="0040104B" w:rsidP="00300208">
            <w:pPr>
              <w:pStyle w:val="BodyText2"/>
              <w:spacing w:before="40" w:after="40"/>
              <w:rPr>
                <w:sz w:val="22"/>
                <w:szCs w:val="22"/>
              </w:rPr>
            </w:pPr>
            <w:r w:rsidRPr="000F77AD">
              <w:rPr>
                <w:sz w:val="22"/>
                <w:szCs w:val="22"/>
              </w:rPr>
              <w:t>$</w:t>
            </w:r>
            <w:r w:rsidR="00300208">
              <w:t xml:space="preserve"> </w:t>
            </w:r>
            <w:r w:rsidR="00300208" w:rsidRPr="00300208">
              <w:rPr>
                <w:sz w:val="22"/>
                <w:szCs w:val="22"/>
              </w:rPr>
              <w:t>113</w:t>
            </w:r>
            <w:r w:rsidR="00300208">
              <w:rPr>
                <w:sz w:val="22"/>
                <w:szCs w:val="22"/>
              </w:rPr>
              <w:t>,</w:t>
            </w:r>
            <w:r w:rsidR="00300208" w:rsidRPr="00300208">
              <w:rPr>
                <w:sz w:val="22"/>
                <w:szCs w:val="22"/>
              </w:rPr>
              <w:t>101</w:t>
            </w:r>
          </w:p>
        </w:tc>
        <w:tc>
          <w:tcPr>
            <w:tcW w:w="2520" w:type="dxa"/>
            <w:shd w:val="clear" w:color="auto" w:fill="auto"/>
          </w:tcPr>
          <w:p w14:paraId="2921C3D3" w14:textId="77777777" w:rsidR="00FE6EBD" w:rsidRDefault="0040104B" w:rsidP="005910FD">
            <w:pPr>
              <w:pStyle w:val="BodyText2"/>
              <w:spacing w:before="40" w:after="40"/>
              <w:jc w:val="right"/>
              <w:rPr>
                <w:sz w:val="22"/>
                <w:szCs w:val="22"/>
                <w:highlight w:val="yellow"/>
              </w:rPr>
            </w:pPr>
            <w:r w:rsidRPr="0040104B">
              <w:rPr>
                <w:sz w:val="22"/>
                <w:szCs w:val="22"/>
              </w:rPr>
              <w:t>$</w:t>
            </w:r>
            <w:r w:rsidR="00300208">
              <w:t xml:space="preserve"> </w:t>
            </w:r>
            <w:r w:rsidR="00300208" w:rsidRPr="00300208">
              <w:rPr>
                <w:sz w:val="22"/>
                <w:szCs w:val="22"/>
              </w:rPr>
              <w:t>56</w:t>
            </w:r>
            <w:r w:rsidR="00300208">
              <w:rPr>
                <w:sz w:val="22"/>
                <w:szCs w:val="22"/>
              </w:rPr>
              <w:t>,</w:t>
            </w:r>
            <w:r w:rsidR="00300208" w:rsidRPr="00300208">
              <w:rPr>
                <w:sz w:val="22"/>
                <w:szCs w:val="22"/>
              </w:rPr>
              <w:t>550</w:t>
            </w:r>
          </w:p>
        </w:tc>
      </w:tr>
      <w:tr w:rsidR="0040104B" w:rsidRPr="00295B26" w14:paraId="12771FB7" w14:textId="77777777" w:rsidTr="000F77AD">
        <w:tc>
          <w:tcPr>
            <w:tcW w:w="8928" w:type="dxa"/>
            <w:gridSpan w:val="3"/>
            <w:shd w:val="clear" w:color="auto" w:fill="auto"/>
          </w:tcPr>
          <w:p w14:paraId="49AD2527" w14:textId="77777777" w:rsidR="0040104B" w:rsidRPr="0040104B" w:rsidRDefault="0040104B" w:rsidP="00D958DE">
            <w:pPr>
              <w:pStyle w:val="BodyText2"/>
              <w:spacing w:before="40" w:after="40"/>
              <w:jc w:val="center"/>
              <w:rPr>
                <w:b/>
                <w:sz w:val="22"/>
                <w:szCs w:val="22"/>
              </w:rPr>
            </w:pPr>
            <w:r w:rsidRPr="0040104B">
              <w:rPr>
                <w:b/>
                <w:sz w:val="22"/>
                <w:szCs w:val="22"/>
              </w:rPr>
              <w:t>CDC Oversight Costs</w:t>
            </w:r>
          </w:p>
        </w:tc>
      </w:tr>
      <w:tr w:rsidR="0040104B" w:rsidRPr="00295B26" w14:paraId="104B8D0B" w14:textId="77777777" w:rsidTr="000F77AD">
        <w:tc>
          <w:tcPr>
            <w:tcW w:w="3888" w:type="dxa"/>
            <w:shd w:val="clear" w:color="auto" w:fill="auto"/>
          </w:tcPr>
          <w:p w14:paraId="7F085B16" w14:textId="77777777" w:rsidR="0040104B" w:rsidRPr="00295B26" w:rsidRDefault="0040104B" w:rsidP="00D958DE">
            <w:pPr>
              <w:pStyle w:val="BodyText2"/>
              <w:spacing w:before="40" w:after="40"/>
              <w:rPr>
                <w:sz w:val="22"/>
                <w:szCs w:val="22"/>
              </w:rPr>
            </w:pPr>
            <w:r w:rsidRPr="00295B26">
              <w:rPr>
                <w:sz w:val="22"/>
                <w:szCs w:val="22"/>
              </w:rPr>
              <w:t xml:space="preserve">      </w:t>
            </w:r>
            <w:r>
              <w:rPr>
                <w:sz w:val="22"/>
                <w:szCs w:val="22"/>
              </w:rPr>
              <w:t>2 GS-13, $</w:t>
            </w:r>
            <w:r w:rsidR="00715219">
              <w:rPr>
                <w:sz w:val="22"/>
                <w:szCs w:val="22"/>
              </w:rPr>
              <w:t>71,674</w:t>
            </w:r>
            <w:r w:rsidR="00E047AE">
              <w:rPr>
                <w:sz w:val="22"/>
                <w:szCs w:val="22"/>
              </w:rPr>
              <w:t>/year @ 30</w:t>
            </w:r>
            <w:r>
              <w:rPr>
                <w:sz w:val="22"/>
                <w:szCs w:val="22"/>
              </w:rPr>
              <w:t>%</w:t>
            </w:r>
          </w:p>
        </w:tc>
        <w:tc>
          <w:tcPr>
            <w:tcW w:w="2520" w:type="dxa"/>
            <w:shd w:val="clear" w:color="auto" w:fill="auto"/>
          </w:tcPr>
          <w:p w14:paraId="7E9B5040" w14:textId="77777777" w:rsidR="0040104B" w:rsidRPr="00295B26" w:rsidRDefault="0040104B" w:rsidP="00D958DE">
            <w:pPr>
              <w:pStyle w:val="BodyText2"/>
              <w:spacing w:before="40" w:after="40"/>
              <w:rPr>
                <w:sz w:val="22"/>
                <w:szCs w:val="22"/>
              </w:rPr>
            </w:pPr>
          </w:p>
        </w:tc>
        <w:tc>
          <w:tcPr>
            <w:tcW w:w="2520" w:type="dxa"/>
            <w:shd w:val="clear" w:color="auto" w:fill="auto"/>
          </w:tcPr>
          <w:p w14:paraId="2762B1CB" w14:textId="77777777" w:rsidR="0040104B" w:rsidRPr="00295B26" w:rsidRDefault="00A664A8" w:rsidP="00D958DE">
            <w:pPr>
              <w:pStyle w:val="BodyText2"/>
              <w:spacing w:before="40" w:after="40"/>
              <w:jc w:val="center"/>
              <w:rPr>
                <w:sz w:val="22"/>
                <w:szCs w:val="22"/>
              </w:rPr>
            </w:pPr>
            <w:r>
              <w:rPr>
                <w:sz w:val="22"/>
                <w:szCs w:val="22"/>
              </w:rPr>
              <w:t>$</w:t>
            </w:r>
            <w:r w:rsidR="000279D0" w:rsidRPr="000279D0">
              <w:rPr>
                <w:sz w:val="22"/>
                <w:szCs w:val="22"/>
              </w:rPr>
              <w:t>43</w:t>
            </w:r>
            <w:r w:rsidR="000279D0">
              <w:rPr>
                <w:sz w:val="22"/>
                <w:szCs w:val="22"/>
              </w:rPr>
              <w:t>,004</w:t>
            </w:r>
          </w:p>
        </w:tc>
      </w:tr>
      <w:tr w:rsidR="0040104B" w:rsidRPr="00295B26" w14:paraId="194313DB" w14:textId="77777777" w:rsidTr="000F77AD">
        <w:tc>
          <w:tcPr>
            <w:tcW w:w="3888" w:type="dxa"/>
            <w:shd w:val="clear" w:color="auto" w:fill="auto"/>
          </w:tcPr>
          <w:p w14:paraId="3D6E9FBC" w14:textId="77777777" w:rsidR="0040104B" w:rsidRPr="00295B26" w:rsidRDefault="0040104B" w:rsidP="00D958DE">
            <w:pPr>
              <w:pStyle w:val="BodyText2"/>
              <w:spacing w:before="40" w:after="40"/>
              <w:rPr>
                <w:sz w:val="22"/>
                <w:szCs w:val="22"/>
              </w:rPr>
            </w:pPr>
            <w:r>
              <w:rPr>
                <w:sz w:val="22"/>
                <w:szCs w:val="22"/>
              </w:rPr>
              <w:t xml:space="preserve">      1 GS-13, $</w:t>
            </w:r>
            <w:r w:rsidR="00715219">
              <w:rPr>
                <w:sz w:val="22"/>
                <w:szCs w:val="22"/>
              </w:rPr>
              <w:t>71,674</w:t>
            </w:r>
            <w:r>
              <w:rPr>
                <w:sz w:val="22"/>
                <w:szCs w:val="22"/>
              </w:rPr>
              <w:t>/year @ 10%</w:t>
            </w:r>
          </w:p>
        </w:tc>
        <w:tc>
          <w:tcPr>
            <w:tcW w:w="2520" w:type="dxa"/>
            <w:shd w:val="clear" w:color="auto" w:fill="auto"/>
          </w:tcPr>
          <w:p w14:paraId="57F2C6BD" w14:textId="77777777" w:rsidR="0040104B" w:rsidRPr="00295B26" w:rsidRDefault="0040104B" w:rsidP="00D958DE">
            <w:pPr>
              <w:pStyle w:val="BodyText2"/>
              <w:spacing w:before="40" w:after="40"/>
              <w:rPr>
                <w:sz w:val="22"/>
                <w:szCs w:val="22"/>
              </w:rPr>
            </w:pPr>
          </w:p>
        </w:tc>
        <w:tc>
          <w:tcPr>
            <w:tcW w:w="2520" w:type="dxa"/>
            <w:shd w:val="clear" w:color="auto" w:fill="auto"/>
          </w:tcPr>
          <w:p w14:paraId="17BF1987" w14:textId="77777777" w:rsidR="0040104B" w:rsidRDefault="0040104B" w:rsidP="00D958DE">
            <w:pPr>
              <w:pStyle w:val="BodyText2"/>
              <w:spacing w:before="40" w:after="40"/>
              <w:jc w:val="center"/>
              <w:rPr>
                <w:sz w:val="22"/>
                <w:szCs w:val="22"/>
              </w:rPr>
            </w:pPr>
            <w:r>
              <w:rPr>
                <w:sz w:val="22"/>
                <w:szCs w:val="22"/>
              </w:rPr>
              <w:t>$</w:t>
            </w:r>
            <w:r w:rsidR="00A664A8">
              <w:rPr>
                <w:sz w:val="22"/>
                <w:szCs w:val="22"/>
              </w:rPr>
              <w:t>7,167</w:t>
            </w:r>
          </w:p>
        </w:tc>
      </w:tr>
      <w:tr w:rsidR="0040104B" w:rsidRPr="00295B26" w14:paraId="068C17BA" w14:textId="77777777" w:rsidTr="000F77AD">
        <w:tc>
          <w:tcPr>
            <w:tcW w:w="3888" w:type="dxa"/>
            <w:shd w:val="clear" w:color="auto" w:fill="auto"/>
          </w:tcPr>
          <w:p w14:paraId="3D5D7ACC" w14:textId="77777777" w:rsidR="00FE6EBD" w:rsidRDefault="00DA763C" w:rsidP="00D958DE">
            <w:pPr>
              <w:pStyle w:val="BodyText2"/>
              <w:spacing w:before="40" w:after="40"/>
              <w:jc w:val="right"/>
              <w:rPr>
                <w:b/>
                <w:sz w:val="22"/>
                <w:szCs w:val="22"/>
              </w:rPr>
            </w:pPr>
            <w:r>
              <w:rPr>
                <w:b/>
                <w:sz w:val="22"/>
                <w:szCs w:val="22"/>
              </w:rPr>
              <w:t>Subt</w:t>
            </w:r>
            <w:r w:rsidR="0040104B" w:rsidRPr="00295B26">
              <w:rPr>
                <w:b/>
                <w:sz w:val="22"/>
                <w:szCs w:val="22"/>
              </w:rPr>
              <w:t>otal</w:t>
            </w:r>
            <w:r>
              <w:rPr>
                <w:b/>
                <w:sz w:val="22"/>
                <w:szCs w:val="22"/>
              </w:rPr>
              <w:t>,</w:t>
            </w:r>
            <w:r w:rsidR="0040104B" w:rsidRPr="00295B26">
              <w:rPr>
                <w:b/>
                <w:sz w:val="22"/>
                <w:szCs w:val="22"/>
              </w:rPr>
              <w:t xml:space="preserve"> CDC Oversight Costs</w:t>
            </w:r>
          </w:p>
        </w:tc>
        <w:tc>
          <w:tcPr>
            <w:tcW w:w="2520" w:type="dxa"/>
            <w:shd w:val="clear" w:color="auto" w:fill="auto"/>
          </w:tcPr>
          <w:p w14:paraId="463CAD77" w14:textId="77777777" w:rsidR="0040104B" w:rsidRPr="00295B26" w:rsidRDefault="0040104B" w:rsidP="00D958DE">
            <w:pPr>
              <w:pStyle w:val="BodyText2"/>
              <w:spacing w:before="40" w:after="40"/>
              <w:rPr>
                <w:sz w:val="22"/>
                <w:szCs w:val="22"/>
              </w:rPr>
            </w:pPr>
          </w:p>
        </w:tc>
        <w:tc>
          <w:tcPr>
            <w:tcW w:w="2520" w:type="dxa"/>
            <w:shd w:val="clear" w:color="auto" w:fill="auto"/>
          </w:tcPr>
          <w:p w14:paraId="20D78167" w14:textId="77777777" w:rsidR="00FE6EBD" w:rsidRDefault="0040104B" w:rsidP="00D958DE">
            <w:pPr>
              <w:pStyle w:val="BodyText2"/>
              <w:spacing w:before="40" w:after="40"/>
              <w:jc w:val="right"/>
              <w:rPr>
                <w:sz w:val="22"/>
                <w:szCs w:val="22"/>
              </w:rPr>
            </w:pPr>
            <w:r>
              <w:rPr>
                <w:sz w:val="22"/>
                <w:szCs w:val="22"/>
              </w:rPr>
              <w:t>$</w:t>
            </w:r>
            <w:r w:rsidR="000279D0">
              <w:t xml:space="preserve"> </w:t>
            </w:r>
            <w:r w:rsidR="000279D0" w:rsidRPr="000279D0">
              <w:rPr>
                <w:sz w:val="22"/>
                <w:szCs w:val="22"/>
              </w:rPr>
              <w:t>50</w:t>
            </w:r>
            <w:r w:rsidR="000279D0">
              <w:rPr>
                <w:sz w:val="22"/>
                <w:szCs w:val="22"/>
              </w:rPr>
              <w:t>,171</w:t>
            </w:r>
          </w:p>
        </w:tc>
      </w:tr>
      <w:tr w:rsidR="0040104B" w:rsidRPr="00295B26" w14:paraId="6F80E2FE" w14:textId="77777777" w:rsidTr="000F77AD">
        <w:tc>
          <w:tcPr>
            <w:tcW w:w="3888" w:type="dxa"/>
            <w:shd w:val="clear" w:color="auto" w:fill="auto"/>
          </w:tcPr>
          <w:p w14:paraId="4776DCBD" w14:textId="77777777" w:rsidR="0040104B" w:rsidRPr="00295B26" w:rsidRDefault="00DA763C" w:rsidP="00D958DE">
            <w:pPr>
              <w:pStyle w:val="BodyText2"/>
              <w:spacing w:before="40" w:after="40"/>
              <w:rPr>
                <w:b/>
                <w:sz w:val="22"/>
                <w:szCs w:val="22"/>
              </w:rPr>
            </w:pPr>
            <w:r>
              <w:rPr>
                <w:b/>
                <w:sz w:val="22"/>
                <w:szCs w:val="22"/>
              </w:rPr>
              <w:t xml:space="preserve">Total </w:t>
            </w:r>
            <w:r w:rsidR="0040104B" w:rsidRPr="00295B26">
              <w:rPr>
                <w:b/>
                <w:sz w:val="22"/>
                <w:szCs w:val="22"/>
              </w:rPr>
              <w:t>Cost to Federal Government</w:t>
            </w:r>
          </w:p>
        </w:tc>
        <w:tc>
          <w:tcPr>
            <w:tcW w:w="2520" w:type="dxa"/>
            <w:shd w:val="clear" w:color="auto" w:fill="auto"/>
          </w:tcPr>
          <w:p w14:paraId="35FF11E8" w14:textId="77777777" w:rsidR="0040104B" w:rsidRPr="00295B26" w:rsidRDefault="0040104B" w:rsidP="00D958DE">
            <w:pPr>
              <w:pStyle w:val="BodyText2"/>
              <w:spacing w:before="40" w:after="40"/>
              <w:rPr>
                <w:sz w:val="22"/>
                <w:szCs w:val="22"/>
              </w:rPr>
            </w:pPr>
          </w:p>
        </w:tc>
        <w:tc>
          <w:tcPr>
            <w:tcW w:w="2520" w:type="dxa"/>
            <w:shd w:val="clear" w:color="auto" w:fill="auto"/>
          </w:tcPr>
          <w:p w14:paraId="155EC38E" w14:textId="77777777" w:rsidR="00FE6EBD" w:rsidRPr="00532394" w:rsidRDefault="0040104B" w:rsidP="00D958DE">
            <w:pPr>
              <w:pStyle w:val="BodyText2"/>
              <w:spacing w:before="40" w:after="40"/>
              <w:jc w:val="right"/>
              <w:rPr>
                <w:sz w:val="22"/>
                <w:szCs w:val="22"/>
              </w:rPr>
            </w:pPr>
            <w:r w:rsidRPr="00532394">
              <w:rPr>
                <w:sz w:val="22"/>
                <w:szCs w:val="22"/>
              </w:rPr>
              <w:t>$</w:t>
            </w:r>
            <w:r w:rsidR="005910FD" w:rsidRPr="00532394">
              <w:rPr>
                <w:sz w:val="22"/>
                <w:szCs w:val="22"/>
              </w:rPr>
              <w:t>142</w:t>
            </w:r>
            <w:r w:rsidR="00532394" w:rsidRPr="00532394">
              <w:rPr>
                <w:sz w:val="22"/>
                <w:szCs w:val="22"/>
              </w:rPr>
              <w:t>,</w:t>
            </w:r>
            <w:r w:rsidR="005910FD" w:rsidRPr="00532394">
              <w:rPr>
                <w:sz w:val="22"/>
                <w:szCs w:val="22"/>
              </w:rPr>
              <w:t>454</w:t>
            </w:r>
          </w:p>
        </w:tc>
      </w:tr>
    </w:tbl>
    <w:p w14:paraId="3E912442" w14:textId="77777777" w:rsidR="009228CF" w:rsidRPr="00CB4C7C" w:rsidRDefault="007F0B28" w:rsidP="00E92CDD">
      <w:pPr>
        <w:pStyle w:val="exhibitsource"/>
        <w:rPr>
          <w:color w:val="FF0000"/>
        </w:rPr>
      </w:pPr>
      <w:bookmarkStart w:id="142" w:name="_Toc143058449"/>
      <w:bookmarkStart w:id="143" w:name="_Toc146088448"/>
      <w:bookmarkStart w:id="144" w:name="_Toc260215303"/>
      <w:bookmarkStart w:id="145" w:name="_Toc143058450"/>
      <w:bookmarkStart w:id="146" w:name="_Toc146088449"/>
      <w:r w:rsidRPr="00CF1100">
        <w:t>CDC = Centers for Disease Control and Prevention</w:t>
      </w:r>
    </w:p>
    <w:p w14:paraId="6128C6B9" w14:textId="77777777" w:rsidR="003115B9" w:rsidRDefault="003115B9" w:rsidP="00076767">
      <w:pPr>
        <w:pStyle w:val="Heading2"/>
      </w:pPr>
    </w:p>
    <w:p w14:paraId="745CA3BC" w14:textId="77777777" w:rsidR="007F0B28" w:rsidRPr="00CF1100" w:rsidRDefault="007F0B28" w:rsidP="00076767">
      <w:pPr>
        <w:pStyle w:val="Heading2"/>
      </w:pPr>
      <w:bookmarkStart w:id="147" w:name="_Toc389143717"/>
      <w:bookmarkStart w:id="148" w:name="_Toc411604813"/>
      <w:r w:rsidRPr="00CF1100">
        <w:t>A.15</w:t>
      </w:r>
      <w:r w:rsidRPr="00CF1100">
        <w:tab/>
        <w:t>Explanation for Program Changes or Adjustments</w:t>
      </w:r>
      <w:bookmarkEnd w:id="142"/>
      <w:bookmarkEnd w:id="143"/>
      <w:bookmarkEnd w:id="144"/>
      <w:bookmarkEnd w:id="147"/>
      <w:bookmarkEnd w:id="148"/>
      <w:r w:rsidRPr="00CF1100">
        <w:t xml:space="preserve"> </w:t>
      </w:r>
    </w:p>
    <w:p w14:paraId="21025F28" w14:textId="77777777" w:rsidR="007F0B28" w:rsidRPr="00CF1100" w:rsidRDefault="003115B9" w:rsidP="00B769F2">
      <w:pPr>
        <w:pStyle w:val="BodyText1"/>
      </w:pPr>
      <w:r>
        <w:t>T</w:t>
      </w:r>
      <w:r w:rsidR="007F0B28" w:rsidRPr="00CF1100">
        <w:t xml:space="preserve">his is a new information </w:t>
      </w:r>
      <w:r>
        <w:t>request</w:t>
      </w:r>
      <w:r w:rsidR="007F0B28" w:rsidRPr="00CF1100">
        <w:t>.</w:t>
      </w:r>
    </w:p>
    <w:p w14:paraId="73093EBF" w14:textId="77777777" w:rsidR="007F0B28" w:rsidRPr="00CF1100" w:rsidRDefault="007F0B28" w:rsidP="00076767">
      <w:pPr>
        <w:pStyle w:val="Heading2"/>
      </w:pPr>
      <w:bookmarkStart w:id="149" w:name="_Toc260215304"/>
      <w:bookmarkStart w:id="150" w:name="_Toc389143718"/>
      <w:bookmarkStart w:id="151" w:name="_Toc411604814"/>
      <w:r w:rsidRPr="00CF1100">
        <w:t>A.16</w:t>
      </w:r>
      <w:r w:rsidRPr="00CF1100">
        <w:tab/>
        <w:t>Plans for Tabulation and Publication and Project Time Schedule</w:t>
      </w:r>
      <w:bookmarkEnd w:id="145"/>
      <w:bookmarkEnd w:id="146"/>
      <w:bookmarkEnd w:id="149"/>
      <w:bookmarkEnd w:id="150"/>
      <w:bookmarkEnd w:id="151"/>
    </w:p>
    <w:p w14:paraId="44B90E96" w14:textId="77777777" w:rsidR="007F0B28" w:rsidRPr="00CF1100" w:rsidRDefault="007F0B28" w:rsidP="009D0976">
      <w:pPr>
        <w:pStyle w:val="Heading3"/>
      </w:pPr>
      <w:bookmarkStart w:id="152" w:name="_Toc389143719"/>
      <w:bookmarkStart w:id="153" w:name="_Toc411604815"/>
      <w:r w:rsidRPr="00CF1100">
        <w:t>Tabulation Plans</w:t>
      </w:r>
      <w:bookmarkEnd w:id="152"/>
      <w:bookmarkEnd w:id="153"/>
    </w:p>
    <w:p w14:paraId="0A716B3C" w14:textId="32D0B0F5" w:rsidR="007F0B28" w:rsidRPr="00CF1100" w:rsidRDefault="007F0B28" w:rsidP="00076767">
      <w:pPr>
        <w:pStyle w:val="BodyText1"/>
      </w:pPr>
      <w:r w:rsidRPr="00CF1100">
        <w:t xml:space="preserve">Data will be tabulated to meet the objectives and research questions described in </w:t>
      </w:r>
      <w:r w:rsidR="0062779E">
        <w:t xml:space="preserve">Section </w:t>
      </w:r>
      <w:r w:rsidRPr="00CF1100">
        <w:t>A.2.</w:t>
      </w:r>
      <w:r w:rsidR="00F51AAD">
        <w:t xml:space="preserve"> </w:t>
      </w:r>
      <w:r w:rsidR="00065DBF">
        <w:t xml:space="preserve">A rough timeline of data collection and analysis is given below in table A16-1. </w:t>
      </w:r>
      <w:r w:rsidRPr="00CF1100">
        <w:t>The planned analyses are briefly described below</w:t>
      </w:r>
      <w:r w:rsidR="00E878F0">
        <w:t>. Preliminary results from these analyses will be shared with experts at EPA and HUD in order to gain their analytic and interpretive suggestions on the results</w:t>
      </w:r>
      <w:r w:rsidR="00BF5A73">
        <w:t>, mindful of the limitations in generalizability discussed below.</w:t>
      </w:r>
      <w:r w:rsidR="00F51AAD">
        <w:t xml:space="preserve"> </w:t>
      </w:r>
      <w:r w:rsidR="00BF5A73">
        <w:rPr>
          <w:noProof/>
        </w:rPr>
        <w:t xml:space="preserve">Conclusions drawn from these anaylses will be disseminated through </w:t>
      </w:r>
      <w:r w:rsidR="0047325D">
        <w:rPr>
          <w:noProof/>
        </w:rPr>
        <w:t>previously described mechanisms</w:t>
      </w:r>
      <w:r w:rsidR="00BF5A73">
        <w:rPr>
          <w:noProof/>
        </w:rPr>
        <w:t xml:space="preserve"> including</w:t>
      </w:r>
      <w:r w:rsidR="0047325D">
        <w:rPr>
          <w:noProof/>
        </w:rPr>
        <w:t>:</w:t>
      </w:r>
      <w:r w:rsidR="00BF5A73">
        <w:rPr>
          <w:noProof/>
        </w:rPr>
        <w:t xml:space="preserve"> a final report, peer-reviewed journal articles, conference presentations, and meeting</w:t>
      </w:r>
      <w:r w:rsidR="0047325D">
        <w:rPr>
          <w:noProof/>
        </w:rPr>
        <w:t>s</w:t>
      </w:r>
      <w:r w:rsidR="00BF5A73">
        <w:rPr>
          <w:noProof/>
        </w:rPr>
        <w:t xml:space="preserve"> with key stakeholder groups.</w:t>
      </w:r>
    </w:p>
    <w:p w14:paraId="273FCBB8" w14:textId="28668E32" w:rsidR="007A4F5C" w:rsidRDefault="007A4F5C" w:rsidP="00B12CBB">
      <w:pPr>
        <w:pStyle w:val="ListParagraph"/>
        <w:numPr>
          <w:ilvl w:val="0"/>
          <w:numId w:val="19"/>
        </w:numPr>
        <w:autoSpaceDE w:val="0"/>
        <w:autoSpaceDN w:val="0"/>
        <w:adjustRightInd w:val="0"/>
        <w:spacing w:line="276" w:lineRule="auto"/>
        <w:rPr>
          <w:noProof/>
        </w:rPr>
      </w:pPr>
      <w:r>
        <w:t>To address our first key study question, “</w:t>
      </w:r>
      <w:r w:rsidRPr="00973DA7">
        <w:rPr>
          <w:noProof/>
        </w:rPr>
        <w:t xml:space="preserve">What are the knowledge, attitudes, and practices of homebuyers and real estate agents in regard to radon health effects (including lung cancer), radon professional certification, and radon testing/control policies that affect single-family </w:t>
      </w:r>
      <w:r w:rsidR="00971C13">
        <w:rPr>
          <w:noProof/>
        </w:rPr>
        <w:t xml:space="preserve">standalone </w:t>
      </w:r>
      <w:r w:rsidRPr="00973DA7">
        <w:rPr>
          <w:noProof/>
        </w:rPr>
        <w:t>home sales?</w:t>
      </w:r>
      <w:r>
        <w:rPr>
          <w:noProof/>
        </w:rPr>
        <w:t>” results of the homebuyer surveys and real estate focus groups will be analyzed by type of radon policy in the state (notification vs. no-notification).</w:t>
      </w:r>
      <w:r w:rsidR="0028380F">
        <w:rPr>
          <w:noProof/>
        </w:rPr>
        <w:t xml:space="preserve"> Homebuyer survey data will be used to perform quantitative analyses, such as absolute numbers, proportions, cross tabulations, </w:t>
      </w:r>
      <w:r w:rsidR="00E9683D">
        <w:rPr>
          <w:noProof/>
        </w:rPr>
        <w:t xml:space="preserve">and </w:t>
      </w:r>
      <w:r w:rsidR="0028380F">
        <w:rPr>
          <w:noProof/>
        </w:rPr>
        <w:t>chi-square</w:t>
      </w:r>
      <w:r w:rsidR="0047325D">
        <w:rPr>
          <w:noProof/>
        </w:rPr>
        <w:t xml:space="preserve"> analyses</w:t>
      </w:r>
      <w:r w:rsidR="0028380F">
        <w:rPr>
          <w:noProof/>
        </w:rPr>
        <w:t xml:space="preserve">. </w:t>
      </w:r>
      <w:r w:rsidR="0047325D">
        <w:rPr>
          <w:noProof/>
        </w:rPr>
        <w:t>Qualitative analysis of r</w:t>
      </w:r>
      <w:r w:rsidR="0028380F">
        <w:rPr>
          <w:noProof/>
        </w:rPr>
        <w:t>eal estate agent focus groups will be used to identify common themes among participants.</w:t>
      </w:r>
      <w:r w:rsidR="00E9683D">
        <w:rPr>
          <w:noProof/>
        </w:rPr>
        <w:t xml:space="preserve"> These quantitative and qualitative data may be combined or reported separately in dissemination materials depending on the data obtained.</w:t>
      </w:r>
      <w:r w:rsidR="00326E21">
        <w:rPr>
          <w:noProof/>
        </w:rPr>
        <w:t xml:space="preserve"> </w:t>
      </w:r>
    </w:p>
    <w:p w14:paraId="01E56880" w14:textId="30929241" w:rsidR="00E9683D" w:rsidRDefault="003B6812" w:rsidP="00E9683D">
      <w:pPr>
        <w:pStyle w:val="ListParagraph"/>
        <w:numPr>
          <w:ilvl w:val="0"/>
          <w:numId w:val="19"/>
        </w:numPr>
        <w:autoSpaceDE w:val="0"/>
        <w:autoSpaceDN w:val="0"/>
        <w:adjustRightInd w:val="0"/>
        <w:spacing w:line="276" w:lineRule="auto"/>
        <w:rPr>
          <w:noProof/>
        </w:rPr>
      </w:pPr>
      <w:r>
        <w:rPr>
          <w:noProof/>
        </w:rPr>
        <w:t>The second key study question, “</w:t>
      </w:r>
      <w:r w:rsidR="004D231C" w:rsidRPr="00973DA7">
        <w:rPr>
          <w:noProof/>
        </w:rPr>
        <w:t xml:space="preserve">Does awareness about </w:t>
      </w:r>
      <w:r w:rsidR="004D231C">
        <w:rPr>
          <w:noProof/>
        </w:rPr>
        <w:t>Federal</w:t>
      </w:r>
      <w:r w:rsidR="004D231C" w:rsidRPr="00973DA7">
        <w:rPr>
          <w:noProof/>
        </w:rPr>
        <w:t xml:space="preserve"> lead-based paint notification </w:t>
      </w:r>
      <w:r w:rsidR="004D231C">
        <w:rPr>
          <w:noProof/>
        </w:rPr>
        <w:t>appear to influence</w:t>
      </w:r>
      <w:r w:rsidR="004D231C" w:rsidRPr="00973DA7">
        <w:rPr>
          <w:noProof/>
        </w:rPr>
        <w:t xml:space="preserve"> awareness about radon?</w:t>
      </w:r>
      <w:r w:rsidR="004D231C">
        <w:rPr>
          <w:noProof/>
        </w:rPr>
        <w:t>” will be assessed through quantitative analysis of homebuyer surveys</w:t>
      </w:r>
      <w:r w:rsidR="0047325D">
        <w:rPr>
          <w:noProof/>
        </w:rPr>
        <w:t>,</w:t>
      </w:r>
      <w:r w:rsidR="00E9683D">
        <w:rPr>
          <w:noProof/>
        </w:rPr>
        <w:t xml:space="preserve"> such as regression analyses. </w:t>
      </w:r>
      <w:r w:rsidR="0047325D">
        <w:rPr>
          <w:noProof/>
        </w:rPr>
        <w:t>Qualitative analysis of r</w:t>
      </w:r>
      <w:r w:rsidR="00E9683D">
        <w:rPr>
          <w:noProof/>
        </w:rPr>
        <w:t xml:space="preserve">eal estate agent focus groups will be used to identify common themes among participants in relation to this question. These quantitative and qualitative data may be combined or reported separately in dissemination materials depending on the data obtained. </w:t>
      </w:r>
    </w:p>
    <w:p w14:paraId="4ED5F2A1" w14:textId="527E8250" w:rsidR="0047325D" w:rsidRDefault="004D231C" w:rsidP="0047325D">
      <w:pPr>
        <w:pStyle w:val="ListParagraph"/>
        <w:numPr>
          <w:ilvl w:val="0"/>
          <w:numId w:val="19"/>
        </w:numPr>
        <w:autoSpaceDE w:val="0"/>
        <w:autoSpaceDN w:val="0"/>
        <w:adjustRightInd w:val="0"/>
        <w:spacing w:line="276" w:lineRule="auto"/>
        <w:rPr>
          <w:noProof/>
        </w:rPr>
      </w:pPr>
      <w:r>
        <w:rPr>
          <w:noProof/>
        </w:rPr>
        <w:t>To address the third key study question, “</w:t>
      </w:r>
      <w:r w:rsidRPr="00973DA7">
        <w:rPr>
          <w:noProof/>
        </w:rPr>
        <w:t xml:space="preserve">Overall, </w:t>
      </w:r>
      <w:r>
        <w:rPr>
          <w:noProof/>
        </w:rPr>
        <w:t>to what extent does the comparative analysis of various radon policies suggest that implementation of similar notification policies in other locations likely to have elevated radon could be of value (i.e., change awareness levels</w:t>
      </w:r>
      <w:r w:rsidR="0047325D">
        <w:rPr>
          <w:noProof/>
        </w:rPr>
        <w:t xml:space="preserve"> or</w:t>
      </w:r>
      <w:r>
        <w:rPr>
          <w:noProof/>
        </w:rPr>
        <w:t xml:space="preserve"> increase radon testing rates in real estate transactions) </w:t>
      </w:r>
      <w:r w:rsidRPr="00973DA7">
        <w:rPr>
          <w:noProof/>
        </w:rPr>
        <w:t>if</w:t>
      </w:r>
      <w:r>
        <w:rPr>
          <w:noProof/>
        </w:rPr>
        <w:t xml:space="preserve"> implemented at the state level?” </w:t>
      </w:r>
      <w:r w:rsidR="00E65C48">
        <w:rPr>
          <w:noProof/>
        </w:rPr>
        <w:t xml:space="preserve">results from the preceeding two analyses will be used. The previously described quantitative and qualitative </w:t>
      </w:r>
      <w:r w:rsidR="0082516F">
        <w:rPr>
          <w:noProof/>
        </w:rPr>
        <w:t>results will be assessed</w:t>
      </w:r>
      <w:r w:rsidR="00E9683D">
        <w:rPr>
          <w:noProof/>
        </w:rPr>
        <w:t xml:space="preserve"> </w:t>
      </w:r>
      <w:r w:rsidR="0082516F">
        <w:rPr>
          <w:noProof/>
        </w:rPr>
        <w:t>to interpret whether implementation of similar notification policies in other locations with elevated radon could be of value.</w:t>
      </w:r>
    </w:p>
    <w:p w14:paraId="23E9FFA2" w14:textId="5A5A28F4" w:rsidR="006E0248" w:rsidRDefault="00225C01" w:rsidP="0047325D">
      <w:pPr>
        <w:pStyle w:val="ListParagraph"/>
        <w:numPr>
          <w:ilvl w:val="0"/>
          <w:numId w:val="19"/>
        </w:numPr>
        <w:autoSpaceDE w:val="0"/>
        <w:autoSpaceDN w:val="0"/>
        <w:adjustRightInd w:val="0"/>
        <w:spacing w:line="276" w:lineRule="auto"/>
        <w:rPr>
          <w:noProof/>
        </w:rPr>
      </w:pPr>
      <w:r>
        <w:rPr>
          <w:noProof/>
        </w:rPr>
        <w:t>An additional aim of the study is to address whether radon professional certification policies in a state affect radon KAP in homebuyers and real estate agents. To address this, both quantitative and qualitative methods will be used to compare states with and without radon professional certification within notification and no-notification states.</w:t>
      </w:r>
      <w:r w:rsidR="003F03E0">
        <w:rPr>
          <w:noProof/>
        </w:rPr>
        <w:t xml:space="preserve"> </w:t>
      </w:r>
      <w:r>
        <w:rPr>
          <w:noProof/>
        </w:rPr>
        <w:t xml:space="preserve">Answers to questions on the homebuyer survey </w:t>
      </w:r>
      <w:r w:rsidRPr="00CF1100">
        <w:t>(e.g.</w:t>
      </w:r>
      <w:r>
        <w:t>,</w:t>
      </w:r>
      <w:r w:rsidRPr="00CF1100">
        <w:t xml:space="preserve"> sample characteristics in terms of demographics</w:t>
      </w:r>
      <w:r>
        <w:t xml:space="preserve"> and KAP in relation to radon and lead)</w:t>
      </w:r>
      <w:r>
        <w:rPr>
          <w:noProof/>
        </w:rPr>
        <w:t xml:space="preserve"> will also be used to </w:t>
      </w:r>
      <w:r>
        <w:t>develop regression analyses</w:t>
      </w:r>
      <w:r w:rsidR="00EB2F17">
        <w:t xml:space="preserve">, and real estate focus group data will be used to inform </w:t>
      </w:r>
      <w:r w:rsidR="00EB2F17">
        <w:rPr>
          <w:noProof/>
        </w:rPr>
        <w:t>qualitative analyses to identify common themes among participants in relation to this question.</w:t>
      </w:r>
      <w:r w:rsidR="003F03E0">
        <w:t xml:space="preserve"> </w:t>
      </w:r>
      <w:r w:rsidR="00EB2F17">
        <w:rPr>
          <w:noProof/>
        </w:rPr>
        <w:t xml:space="preserve">These quantitative and qualitative data may be combined or reported separately in dissemination materials depending on the data obtained. </w:t>
      </w:r>
    </w:p>
    <w:p w14:paraId="6E19C14C" w14:textId="60E240A2" w:rsidR="007F0B28" w:rsidRPr="00946B6C" w:rsidRDefault="00076767" w:rsidP="00076767">
      <w:pPr>
        <w:pStyle w:val="bulletsblank"/>
      </w:pPr>
      <w:r>
        <w:tab/>
      </w:r>
    </w:p>
    <w:p w14:paraId="6B81B021" w14:textId="694EE1E4" w:rsidR="00C271ED" w:rsidRDefault="00C271ED" w:rsidP="00B12CBB">
      <w:pPr>
        <w:pStyle w:val="Heading3"/>
        <w:spacing w:line="360" w:lineRule="auto"/>
      </w:pPr>
      <w:bookmarkStart w:id="154" w:name="_Toc389143720"/>
      <w:bookmarkStart w:id="155" w:name="_Toc411604816"/>
      <w:r>
        <w:t>Study Limitations</w:t>
      </w:r>
      <w:bookmarkEnd w:id="155"/>
    </w:p>
    <w:p w14:paraId="2E9B2C9E" w14:textId="28E9D9B1" w:rsidR="004715A5" w:rsidRDefault="00A90E49" w:rsidP="00B12CBB">
      <w:pPr>
        <w:spacing w:line="360" w:lineRule="auto"/>
        <w:ind w:firstLine="720"/>
      </w:pPr>
      <w:r>
        <w:t xml:space="preserve">This </w:t>
      </w:r>
      <w:r w:rsidR="00C271ED">
        <w:t xml:space="preserve">analysis study </w:t>
      </w:r>
      <w:r>
        <w:t>is</w:t>
      </w:r>
      <w:r w:rsidR="00C271ED">
        <w:t xml:space="preserve"> subject to</w:t>
      </w:r>
      <w:r w:rsidR="00D06C5E">
        <w:t xml:space="preserve"> </w:t>
      </w:r>
      <w:r w:rsidR="00C271ED">
        <w:t>limit</w:t>
      </w:r>
      <w:r w:rsidR="00760324">
        <w:t>ations regarding</w:t>
      </w:r>
      <w:r w:rsidR="00C271ED">
        <w:t xml:space="preserve"> the generalizability of the results</w:t>
      </w:r>
      <w:r w:rsidR="00760324">
        <w:t xml:space="preserve"> because: a) only four states will be included in the study, b) only one county in each state, and c) as is typical of most surveys currently a low response rate is anticipated (</w:t>
      </w:r>
      <w:r w:rsidR="00BF5A73">
        <w:t xml:space="preserve">perhaps </w:t>
      </w:r>
      <w:r w:rsidR="00760324">
        <w:t xml:space="preserve">less than 30%).  </w:t>
      </w:r>
      <w:r w:rsidR="00110477">
        <w:t xml:space="preserve">As there is no precedent to </w:t>
      </w:r>
      <w:r w:rsidR="0047325D">
        <w:t xml:space="preserve">definitively </w:t>
      </w:r>
      <w:r w:rsidR="00110477">
        <w:t xml:space="preserve">determine the power of the study to </w:t>
      </w:r>
      <w:r w:rsidR="00760324">
        <w:t xml:space="preserve">identify </w:t>
      </w:r>
      <w:r w:rsidR="00BF5A73">
        <w:t>general differences between “notification” and “non-notification” states</w:t>
      </w:r>
      <w:r w:rsidR="00110477">
        <w:t xml:space="preserve"> it is possible that larger samples may yield different results, but this does not seem likely given experiences with prior surveys related to environmental issues.</w:t>
      </w:r>
      <w:r w:rsidR="00BF5A73">
        <w:t xml:space="preserve"> </w:t>
      </w:r>
      <w:r w:rsidR="00760324">
        <w:t xml:space="preserve"> Furthermore, </w:t>
      </w:r>
      <w:r w:rsidR="00D06C5E">
        <w:t>both our homebuyer survey and our real estate agent focus group results may be limited by recall bias of the participants. Finally, a</w:t>
      </w:r>
      <w:r w:rsidR="004715A5">
        <w:t xml:space="preserve"> low response rate could impair our ability to determine differences between notification and no-notification states.</w:t>
      </w:r>
      <w:r w:rsidR="00D06C5E">
        <w:t xml:space="preserve"> We will do everything possible to minimize these limitations during data collection and to increase our response rate while </w:t>
      </w:r>
      <w:r w:rsidR="00110477">
        <w:t>minimizing the burden on the participant</w:t>
      </w:r>
      <w:r w:rsidR="00D06C5E">
        <w:t>.</w:t>
      </w:r>
    </w:p>
    <w:p w14:paraId="6D1979B1" w14:textId="77777777" w:rsidR="007F0B28" w:rsidRPr="00CF1100" w:rsidRDefault="007F0B28" w:rsidP="009D0976">
      <w:pPr>
        <w:pStyle w:val="Heading3"/>
      </w:pPr>
      <w:bookmarkStart w:id="156" w:name="_Toc411604817"/>
      <w:r w:rsidRPr="00CF1100">
        <w:t>Publication Plans</w:t>
      </w:r>
      <w:bookmarkEnd w:id="154"/>
      <w:bookmarkEnd w:id="156"/>
    </w:p>
    <w:p w14:paraId="055E6986" w14:textId="556EA6F8" w:rsidR="00076767" w:rsidRDefault="007F0B28" w:rsidP="0062779E">
      <w:pPr>
        <w:pStyle w:val="BodyText1"/>
      </w:pPr>
      <w:r w:rsidRPr="00CF1100">
        <w:t>For this study, we expect the findings to be disseminated to a number of audiences.</w:t>
      </w:r>
      <w:r w:rsidR="0000399C">
        <w:t xml:space="preserve"> </w:t>
      </w:r>
      <w:r w:rsidR="00C34E8C">
        <w:t>E</w:t>
      </w:r>
      <w:r w:rsidRPr="00CF1100">
        <w:t>valuation reports will be written in a way that emphasizes scientific rigor for more technical audiences but are also intuitive, easily understood, and relevant to less technical au</w:t>
      </w:r>
      <w:r w:rsidRPr="00076767">
        <w:t>diences. The reporting and dissemination mechanism will consist of four primary components: (1) final evaluation reports, (2) peer-reviewed journal articles,</w:t>
      </w:r>
      <w:r w:rsidR="006535DE">
        <w:t xml:space="preserve"> (3) meetings with key stakeholder groups,</w:t>
      </w:r>
      <w:r w:rsidRPr="00076767">
        <w:t xml:space="preserve"> </w:t>
      </w:r>
      <w:r w:rsidR="0062779E">
        <w:t xml:space="preserve">and </w:t>
      </w:r>
      <w:r w:rsidRPr="00076767">
        <w:t>(4) conference presentations (e.g., the American Public Health Association</w:t>
      </w:r>
      <w:r w:rsidR="00F51AAD">
        <w:t>’</w:t>
      </w:r>
      <w:r w:rsidR="00C34E8C">
        <w:t>s Cancer Forum</w:t>
      </w:r>
      <w:r w:rsidRPr="00076767">
        <w:t>)</w:t>
      </w:r>
      <w:r w:rsidR="00076767">
        <w:t>.</w:t>
      </w:r>
      <w:r w:rsidR="00D06C5E">
        <w:t xml:space="preserve"> </w:t>
      </w:r>
    </w:p>
    <w:p w14:paraId="1202F4A7" w14:textId="59A2EA65" w:rsidR="00076767" w:rsidRDefault="007F0B28" w:rsidP="0062779E">
      <w:pPr>
        <w:pStyle w:val="BodyText1"/>
      </w:pPr>
      <w:r w:rsidRPr="00076767">
        <w:t>The results of our study also will be used to develop at least one</w:t>
      </w:r>
      <w:r w:rsidRPr="00CF1100">
        <w:t xml:space="preserve"> peer-reviewed journal article </w:t>
      </w:r>
      <w:r w:rsidRPr="007324BF">
        <w:t>(e.g.,</w:t>
      </w:r>
      <w:r w:rsidRPr="007324BF">
        <w:rPr>
          <w:iCs/>
        </w:rPr>
        <w:t xml:space="preserve"> Preventing Chronic Disease, American Journal of Public Health, American Journal of Health Promotion, American Journal of Preventive Medicine</w:t>
      </w:r>
      <w:r w:rsidR="00EB5A41" w:rsidRPr="007324BF">
        <w:rPr>
          <w:iCs/>
        </w:rPr>
        <w:t>, Biomarkers and Prevention, Cancer Prevention Research</w:t>
      </w:r>
      <w:r w:rsidRPr="007324BF">
        <w:t>)</w:t>
      </w:r>
      <w:r w:rsidR="00216DB9">
        <w:t xml:space="preserve"> that summarizes findings</w:t>
      </w:r>
      <w:r w:rsidR="00DD42A5">
        <w:t>.</w:t>
      </w:r>
      <w:r w:rsidR="00D06C5E">
        <w:t xml:space="preserve"> </w:t>
      </w:r>
      <w:r w:rsidR="00D06C5E">
        <w:rPr>
          <w:color w:val="000000"/>
        </w:rPr>
        <w:t>All abstracts, poster presentations, and manuscripts will undergo CDC clearance review prior to submission to conferences or journals. </w:t>
      </w:r>
    </w:p>
    <w:p w14:paraId="16705C46" w14:textId="77777777" w:rsidR="00DD42A5" w:rsidRPr="00DD42A5" w:rsidRDefault="00DD42A5" w:rsidP="00DD42A5">
      <w:pPr>
        <w:pStyle w:val="BodyText1"/>
        <w:ind w:firstLine="0"/>
        <w:rPr>
          <w:b/>
          <w:iCs/>
        </w:rPr>
      </w:pPr>
      <w:r w:rsidRPr="00DD42A5">
        <w:rPr>
          <w:b/>
          <w:i/>
          <w:iCs/>
        </w:rPr>
        <w:t>Project Time Schedule</w:t>
      </w:r>
    </w:p>
    <w:p w14:paraId="6F90A658" w14:textId="60BE2384" w:rsidR="00DD42A5" w:rsidRDefault="00DD42A5" w:rsidP="00076767">
      <w:pPr>
        <w:pStyle w:val="BodyText1"/>
      </w:pPr>
      <w:r>
        <w:t>Once approved by OMB the project aims to complete the real estate focus groups and cognitive testing of the homebuyer survey. It is anticipated to take approximately 6</w:t>
      </w:r>
      <w:r w:rsidR="00D753A6">
        <w:t xml:space="preserve"> to 12</w:t>
      </w:r>
      <w:r>
        <w:t xml:space="preserve"> months to </w:t>
      </w:r>
      <w:r w:rsidR="00D753A6">
        <w:t>undertake</w:t>
      </w:r>
      <w:r>
        <w:t xml:space="preserve"> cognitive testing </w:t>
      </w:r>
      <w:r w:rsidR="00D753A6">
        <w:t>an</w:t>
      </w:r>
      <w:r>
        <w:t>d</w:t>
      </w:r>
      <w:r w:rsidR="00D753A6">
        <w:t>, if necessary,</w:t>
      </w:r>
      <w:r>
        <w:t xml:space="preserve"> </w:t>
      </w:r>
      <w:r w:rsidR="00065DBF">
        <w:t>make minor, non</w:t>
      </w:r>
      <w:r w:rsidR="0038301C">
        <w:t>-</w:t>
      </w:r>
      <w:r w:rsidR="00065DBF">
        <w:t xml:space="preserve">substantive </w:t>
      </w:r>
      <w:r>
        <w:t>revis</w:t>
      </w:r>
      <w:r w:rsidR="00065DBF">
        <w:t>ions</w:t>
      </w:r>
      <w:r>
        <w:t xml:space="preserve"> </w:t>
      </w:r>
      <w:r w:rsidR="0038301C">
        <w:t xml:space="preserve">to </w:t>
      </w:r>
      <w:r>
        <w:t xml:space="preserve">the homebuyer survey. </w:t>
      </w:r>
      <w:r w:rsidR="00C032B2">
        <w:t>T</w:t>
      </w:r>
      <w:r>
        <w:t xml:space="preserve">he survey will be implemented in 4 states </w:t>
      </w:r>
      <w:r w:rsidR="00C032B2">
        <w:t xml:space="preserve">(Illinois, Minnesota, North Carolina, </w:t>
      </w:r>
      <w:r w:rsidR="00D753A6">
        <w:t xml:space="preserve">and </w:t>
      </w:r>
      <w:r w:rsidR="00C032B2">
        <w:t xml:space="preserve">Ohio) </w:t>
      </w:r>
      <w:r>
        <w:t>and data collection is anticipated to take one year from the time of implementation.</w:t>
      </w:r>
      <w:r w:rsidR="00D753A6">
        <w:t xml:space="preserve"> Focus groups will take approximately 6 months to complete once approved by OMB.</w:t>
      </w:r>
    </w:p>
    <w:p w14:paraId="1B4A71A9" w14:textId="77777777" w:rsidR="007F0B28" w:rsidRPr="00CF1100" w:rsidRDefault="007F0B28" w:rsidP="00076767">
      <w:pPr>
        <w:pStyle w:val="BodyText1"/>
      </w:pPr>
      <w:r w:rsidRPr="00CF1100">
        <w:t xml:space="preserve">The key events and reports to be prepared are listed in </w:t>
      </w:r>
      <w:r w:rsidR="0058694E" w:rsidRPr="0058694E">
        <w:rPr>
          <w:b/>
          <w:i/>
        </w:rPr>
        <w:t>Table</w:t>
      </w:r>
      <w:r w:rsidRPr="00CF1100">
        <w:rPr>
          <w:b/>
          <w:i/>
        </w:rPr>
        <w:t xml:space="preserve"> </w:t>
      </w:r>
      <w:r w:rsidR="0058694E">
        <w:rPr>
          <w:b/>
          <w:i/>
        </w:rPr>
        <w:t>A.16-1.</w:t>
      </w:r>
    </w:p>
    <w:p w14:paraId="11F72542" w14:textId="77777777" w:rsidR="007F0B28" w:rsidRPr="00CF1100" w:rsidRDefault="00A03789" w:rsidP="00AF14FC">
      <w:pPr>
        <w:pStyle w:val="Heading3"/>
      </w:pPr>
      <w:bookmarkStart w:id="157" w:name="_Toc139093427"/>
      <w:bookmarkStart w:id="158" w:name="_Toc146088172"/>
      <w:bookmarkStart w:id="159" w:name="_Toc146089480"/>
      <w:bookmarkStart w:id="160" w:name="_Toc260210576"/>
      <w:bookmarkStart w:id="161" w:name="_Toc297131716"/>
      <w:bookmarkStart w:id="162" w:name="_Toc389143721"/>
      <w:bookmarkStart w:id="163" w:name="_Toc411604818"/>
      <w:r>
        <w:t>A.16-1</w:t>
      </w:r>
      <w:r w:rsidR="007F0B28" w:rsidRPr="00CF1100">
        <w:t xml:space="preserve"> Project</w:t>
      </w:r>
      <w:bookmarkEnd w:id="157"/>
      <w:r w:rsidR="007F0B28" w:rsidRPr="00CF1100">
        <w:t xml:space="preserve"> Time Schedule</w:t>
      </w:r>
      <w:bookmarkEnd w:id="158"/>
      <w:bookmarkEnd w:id="159"/>
      <w:bookmarkEnd w:id="160"/>
      <w:bookmarkEnd w:id="161"/>
      <w:bookmarkEnd w:id="162"/>
      <w:bookmarkEnd w:id="163"/>
      <w:r w:rsidR="007F0B28" w:rsidRPr="00CF1100">
        <w:t xml:space="preserve"> </w:t>
      </w:r>
    </w:p>
    <w:tbl>
      <w:tblPr>
        <w:tblW w:w="9450" w:type="dxa"/>
        <w:tblInd w:w="108" w:type="dxa"/>
        <w:tblBorders>
          <w:top w:val="single" w:sz="12" w:space="0" w:color="auto"/>
          <w:bottom w:val="single" w:sz="12" w:space="0" w:color="auto"/>
        </w:tblBorders>
        <w:tblLayout w:type="fixed"/>
        <w:tblLook w:val="0000" w:firstRow="0" w:lastRow="0" w:firstColumn="0" w:lastColumn="0" w:noHBand="0" w:noVBand="0"/>
      </w:tblPr>
      <w:tblGrid>
        <w:gridCol w:w="4860"/>
        <w:gridCol w:w="4590"/>
      </w:tblGrid>
      <w:tr w:rsidR="007F0B28" w:rsidRPr="00CF1100" w14:paraId="097C8600" w14:textId="77777777" w:rsidTr="00592720">
        <w:tc>
          <w:tcPr>
            <w:tcW w:w="4860" w:type="dxa"/>
            <w:tcBorders>
              <w:top w:val="single" w:sz="12" w:space="0" w:color="auto"/>
              <w:bottom w:val="single" w:sz="6" w:space="0" w:color="auto"/>
            </w:tcBorders>
            <w:shd w:val="clear" w:color="auto" w:fill="auto"/>
          </w:tcPr>
          <w:p w14:paraId="515D05AE" w14:textId="77777777" w:rsidR="007F0B28" w:rsidRPr="00B273A9" w:rsidRDefault="007F0B28" w:rsidP="00076767">
            <w:pPr>
              <w:pStyle w:val="Tabletext"/>
              <w:rPr>
                <w:b/>
              </w:rPr>
            </w:pPr>
            <w:r w:rsidRPr="00B273A9">
              <w:rPr>
                <w:b/>
              </w:rPr>
              <w:t xml:space="preserve">Project Activity </w:t>
            </w:r>
          </w:p>
        </w:tc>
        <w:tc>
          <w:tcPr>
            <w:tcW w:w="4590" w:type="dxa"/>
            <w:tcBorders>
              <w:top w:val="single" w:sz="12" w:space="0" w:color="auto"/>
              <w:bottom w:val="single" w:sz="6" w:space="0" w:color="auto"/>
            </w:tcBorders>
            <w:shd w:val="clear" w:color="auto" w:fill="auto"/>
          </w:tcPr>
          <w:p w14:paraId="78AFC098" w14:textId="77777777" w:rsidR="007F0B28" w:rsidRPr="00B273A9" w:rsidRDefault="007F0B28" w:rsidP="00076767">
            <w:pPr>
              <w:pStyle w:val="Tabletext"/>
              <w:rPr>
                <w:b/>
              </w:rPr>
            </w:pPr>
            <w:r w:rsidRPr="00B273A9">
              <w:rPr>
                <w:b/>
              </w:rPr>
              <w:t>Time Schedule</w:t>
            </w:r>
          </w:p>
        </w:tc>
      </w:tr>
      <w:tr w:rsidR="007F0B28" w:rsidRPr="00CF1100" w14:paraId="3EC24CDB" w14:textId="77777777" w:rsidTr="00592720">
        <w:tc>
          <w:tcPr>
            <w:tcW w:w="4860" w:type="dxa"/>
            <w:tcBorders>
              <w:top w:val="single" w:sz="6" w:space="0" w:color="auto"/>
              <w:bottom w:val="nil"/>
            </w:tcBorders>
          </w:tcPr>
          <w:p w14:paraId="092D6E5E" w14:textId="77777777" w:rsidR="007F0B28" w:rsidRPr="00B273A9" w:rsidRDefault="00621D9E" w:rsidP="00076767">
            <w:pPr>
              <w:pStyle w:val="Tabletext"/>
            </w:pPr>
            <w:r>
              <w:t>R</w:t>
            </w:r>
            <w:r w:rsidR="0058694E">
              <w:t>eal estate agent focus groups</w:t>
            </w:r>
          </w:p>
        </w:tc>
        <w:tc>
          <w:tcPr>
            <w:tcW w:w="4590" w:type="dxa"/>
            <w:tcBorders>
              <w:top w:val="single" w:sz="6" w:space="0" w:color="auto"/>
              <w:bottom w:val="nil"/>
            </w:tcBorders>
          </w:tcPr>
          <w:p w14:paraId="2EEFC0C0" w14:textId="77777777" w:rsidR="007F0B28" w:rsidRPr="00B273A9" w:rsidRDefault="00621D9E" w:rsidP="00621D9E">
            <w:pPr>
              <w:pStyle w:val="Tabletext"/>
            </w:pPr>
            <w:r>
              <w:t>Complete within 6 months of OMB approval</w:t>
            </w:r>
          </w:p>
        </w:tc>
      </w:tr>
      <w:tr w:rsidR="007F0B28" w:rsidRPr="00CF1100" w14:paraId="0F95BEDC" w14:textId="77777777" w:rsidTr="00592720">
        <w:tc>
          <w:tcPr>
            <w:tcW w:w="4860" w:type="dxa"/>
            <w:tcBorders>
              <w:top w:val="nil"/>
            </w:tcBorders>
          </w:tcPr>
          <w:p w14:paraId="3F0B55DC" w14:textId="77777777" w:rsidR="007F0B28" w:rsidRPr="00B273A9" w:rsidRDefault="00621D9E" w:rsidP="0058694E">
            <w:pPr>
              <w:pStyle w:val="Tabletext"/>
            </w:pPr>
            <w:r>
              <w:t>C</w:t>
            </w:r>
            <w:r w:rsidR="0058694E">
              <w:t>ognitive testing of homebuyer survey</w:t>
            </w:r>
          </w:p>
        </w:tc>
        <w:tc>
          <w:tcPr>
            <w:tcW w:w="4590" w:type="dxa"/>
            <w:tcBorders>
              <w:top w:val="nil"/>
            </w:tcBorders>
          </w:tcPr>
          <w:p w14:paraId="30E9ACC5" w14:textId="77777777" w:rsidR="007F0B28" w:rsidRPr="00B273A9" w:rsidRDefault="00621D9E" w:rsidP="00621D9E">
            <w:pPr>
              <w:pStyle w:val="Tabletext"/>
            </w:pPr>
            <w:r>
              <w:t xml:space="preserve">Complete </w:t>
            </w:r>
            <w:r w:rsidRPr="00621D9E">
              <w:t xml:space="preserve">within 6 months </w:t>
            </w:r>
            <w:r>
              <w:t>of</w:t>
            </w:r>
            <w:r w:rsidRPr="00621D9E">
              <w:t xml:space="preserve"> OMB approval</w:t>
            </w:r>
          </w:p>
        </w:tc>
      </w:tr>
      <w:tr w:rsidR="007F0B28" w:rsidRPr="00CF1100" w14:paraId="05A86762" w14:textId="77777777" w:rsidTr="00592720">
        <w:tc>
          <w:tcPr>
            <w:tcW w:w="4860" w:type="dxa"/>
          </w:tcPr>
          <w:p w14:paraId="7EC7C7B9" w14:textId="77777777" w:rsidR="007F0B28" w:rsidRPr="00B273A9" w:rsidRDefault="00621D9E" w:rsidP="0058694E">
            <w:pPr>
              <w:pStyle w:val="Tabletext"/>
            </w:pPr>
            <w:r>
              <w:t>M</w:t>
            </w:r>
            <w:r w:rsidR="0058694E">
              <w:t>ailed homebuyer survey</w:t>
            </w:r>
          </w:p>
        </w:tc>
        <w:tc>
          <w:tcPr>
            <w:tcW w:w="4590" w:type="dxa"/>
          </w:tcPr>
          <w:p w14:paraId="51460130" w14:textId="77777777" w:rsidR="007F0B28" w:rsidRPr="00B273A9" w:rsidRDefault="00621D9E" w:rsidP="00621D9E">
            <w:pPr>
              <w:pStyle w:val="Tabletext"/>
            </w:pPr>
            <w:r>
              <w:t>Start within 12 months of OMB approval complete within 24 months of OMB approval</w:t>
            </w:r>
          </w:p>
        </w:tc>
      </w:tr>
      <w:tr w:rsidR="007F0B28" w:rsidRPr="00CF1100" w14:paraId="22DFFA8E" w14:textId="77777777" w:rsidTr="00592720">
        <w:tc>
          <w:tcPr>
            <w:tcW w:w="4860" w:type="dxa"/>
          </w:tcPr>
          <w:p w14:paraId="2892BF05" w14:textId="77777777" w:rsidR="007F0B28" w:rsidRPr="00B273A9" w:rsidRDefault="007F0B28" w:rsidP="0062779E">
            <w:pPr>
              <w:pStyle w:val="Tabletext"/>
            </w:pPr>
            <w:r w:rsidRPr="00B273A9">
              <w:t xml:space="preserve">Data cleaning </w:t>
            </w:r>
            <w:r w:rsidR="0062779E">
              <w:t>and</w:t>
            </w:r>
            <w:r w:rsidR="0062779E" w:rsidRPr="00B273A9">
              <w:t xml:space="preserve"> </w:t>
            </w:r>
            <w:r w:rsidRPr="00B273A9">
              <w:t>analysis</w:t>
            </w:r>
          </w:p>
        </w:tc>
        <w:tc>
          <w:tcPr>
            <w:tcW w:w="4590" w:type="dxa"/>
          </w:tcPr>
          <w:p w14:paraId="20B6E0EF" w14:textId="77777777" w:rsidR="007F0B28" w:rsidRPr="00B273A9" w:rsidRDefault="0058694E" w:rsidP="00076767">
            <w:pPr>
              <w:pStyle w:val="Tabletext"/>
            </w:pPr>
            <w:r>
              <w:t>6</w:t>
            </w:r>
            <w:r w:rsidR="007F0B28" w:rsidRPr="00B273A9">
              <w:t xml:space="preserve"> months after completing data collection </w:t>
            </w:r>
          </w:p>
        </w:tc>
      </w:tr>
      <w:tr w:rsidR="007F0B28" w:rsidRPr="00CF1100" w14:paraId="09E8E554" w14:textId="77777777" w:rsidTr="00592720">
        <w:tc>
          <w:tcPr>
            <w:tcW w:w="4860" w:type="dxa"/>
          </w:tcPr>
          <w:p w14:paraId="059BE93D" w14:textId="77777777" w:rsidR="007F0B28" w:rsidRPr="00B273A9" w:rsidRDefault="007F0B28" w:rsidP="00076767">
            <w:pPr>
              <w:pStyle w:val="Tabletext"/>
            </w:pPr>
            <w:r w:rsidRPr="00B273A9">
              <w:t>Submit final report</w:t>
            </w:r>
          </w:p>
        </w:tc>
        <w:tc>
          <w:tcPr>
            <w:tcW w:w="4590" w:type="dxa"/>
          </w:tcPr>
          <w:p w14:paraId="494F7FDC" w14:textId="77777777" w:rsidR="007F0B28" w:rsidRPr="00B273A9" w:rsidRDefault="0058694E" w:rsidP="00076767">
            <w:pPr>
              <w:pStyle w:val="Tabletext"/>
            </w:pPr>
            <w:r>
              <w:t>Within 6</w:t>
            </w:r>
            <w:r w:rsidR="00DD4194">
              <w:t xml:space="preserve"> months after completing data collection</w:t>
            </w:r>
          </w:p>
        </w:tc>
      </w:tr>
      <w:tr w:rsidR="007F0B28" w:rsidRPr="00CF1100" w14:paraId="4042D1A4" w14:textId="77777777" w:rsidTr="00592720">
        <w:tc>
          <w:tcPr>
            <w:tcW w:w="4860" w:type="dxa"/>
          </w:tcPr>
          <w:p w14:paraId="46B28927" w14:textId="77777777" w:rsidR="007F0B28" w:rsidRPr="00B273A9" w:rsidRDefault="007F0B28" w:rsidP="00076767">
            <w:pPr>
              <w:pStyle w:val="Tabletext"/>
            </w:pPr>
            <w:r w:rsidRPr="00B273A9">
              <w:t xml:space="preserve">Submit at least one manuscript </w:t>
            </w:r>
          </w:p>
        </w:tc>
        <w:tc>
          <w:tcPr>
            <w:tcW w:w="4590" w:type="dxa"/>
          </w:tcPr>
          <w:p w14:paraId="4A447B81" w14:textId="77777777" w:rsidR="007F0B28" w:rsidRPr="00B273A9" w:rsidRDefault="003115B9" w:rsidP="0062779E">
            <w:pPr>
              <w:pStyle w:val="Tabletext"/>
            </w:pPr>
            <w:r>
              <w:t xml:space="preserve">Within </w:t>
            </w:r>
            <w:r w:rsidR="007F0B28" w:rsidRPr="00B273A9">
              <w:t>1 year after completi</w:t>
            </w:r>
            <w:r w:rsidR="0062779E">
              <w:t>ng</w:t>
            </w:r>
            <w:r w:rsidR="007F0B28" w:rsidRPr="00B273A9">
              <w:t xml:space="preserve"> data collection </w:t>
            </w:r>
          </w:p>
        </w:tc>
      </w:tr>
    </w:tbl>
    <w:p w14:paraId="5E7148E2" w14:textId="77777777" w:rsidR="007F0B28" w:rsidRPr="00076767" w:rsidRDefault="007F0B28" w:rsidP="00076767">
      <w:pPr>
        <w:pStyle w:val="exhibitsource"/>
      </w:pPr>
      <w:bookmarkStart w:id="164" w:name="_Toc143058451"/>
      <w:bookmarkStart w:id="165" w:name="_Toc146088450"/>
    </w:p>
    <w:p w14:paraId="3B05EACE" w14:textId="77777777" w:rsidR="007F0B28" w:rsidRPr="00CF1100" w:rsidRDefault="007F0B28" w:rsidP="00076767">
      <w:pPr>
        <w:pStyle w:val="Heading2"/>
      </w:pPr>
      <w:bookmarkStart w:id="166" w:name="_Toc260215305"/>
      <w:bookmarkStart w:id="167" w:name="_Toc389143722"/>
      <w:bookmarkStart w:id="168" w:name="_Toc411604819"/>
      <w:r w:rsidRPr="00CF1100">
        <w:t>A.17</w:t>
      </w:r>
      <w:r w:rsidRPr="00CF1100">
        <w:tab/>
        <w:t>Reason(s) Display of OMB Expiration Date is Inappropriate</w:t>
      </w:r>
      <w:bookmarkEnd w:id="164"/>
      <w:bookmarkEnd w:id="165"/>
      <w:bookmarkEnd w:id="166"/>
      <w:bookmarkEnd w:id="167"/>
      <w:bookmarkEnd w:id="168"/>
    </w:p>
    <w:p w14:paraId="6D0DBF78" w14:textId="77777777" w:rsidR="007F0B28" w:rsidRPr="00CF1100" w:rsidRDefault="007F0B28" w:rsidP="00076767">
      <w:pPr>
        <w:pStyle w:val="BodyText1"/>
      </w:pPr>
      <w:r w:rsidRPr="00CF1100">
        <w:t>We do not seek approval to eliminate the expiration date.</w:t>
      </w:r>
    </w:p>
    <w:p w14:paraId="4377483E" w14:textId="77777777" w:rsidR="007F0B28" w:rsidRPr="00CF1100" w:rsidRDefault="007F0B28" w:rsidP="00076767">
      <w:pPr>
        <w:pStyle w:val="Heading2"/>
      </w:pPr>
      <w:bookmarkStart w:id="169" w:name="_Toc143058452"/>
      <w:bookmarkStart w:id="170" w:name="_Toc146088451"/>
      <w:bookmarkStart w:id="171" w:name="_Toc260215306"/>
      <w:bookmarkStart w:id="172" w:name="_Toc389143723"/>
      <w:bookmarkStart w:id="173" w:name="_Toc411604820"/>
      <w:r w:rsidRPr="00CF1100">
        <w:t>A.18</w:t>
      </w:r>
      <w:r w:rsidRPr="00CF1100">
        <w:tab/>
        <w:t>Exceptions to Certification for Paperwork Reduction Act Submissions</w:t>
      </w:r>
      <w:bookmarkEnd w:id="169"/>
      <w:bookmarkEnd w:id="170"/>
      <w:bookmarkEnd w:id="171"/>
      <w:bookmarkEnd w:id="172"/>
      <w:bookmarkEnd w:id="173"/>
      <w:r w:rsidRPr="00CF1100">
        <w:t xml:space="preserve"> </w:t>
      </w:r>
    </w:p>
    <w:p w14:paraId="0147D2C7" w14:textId="1951F02A" w:rsidR="00D43F13" w:rsidRPr="00B2110E" w:rsidRDefault="007F0B28" w:rsidP="00B82320">
      <w:pPr>
        <w:pStyle w:val="BodyText1"/>
      </w:pPr>
      <w:r w:rsidRPr="00CF1100">
        <w:t>There are no exceptions to the certification statement.</w:t>
      </w:r>
      <w:bookmarkEnd w:id="7"/>
      <w:bookmarkEnd w:id="8"/>
      <w:r w:rsidR="00D33D52">
        <w:fldChar w:fldCharType="begin"/>
      </w:r>
      <w:r w:rsidR="00D33D52">
        <w:instrText xml:space="preserve"> ADDIN </w:instrText>
      </w:r>
      <w:r w:rsidR="00D33D52">
        <w:fldChar w:fldCharType="end"/>
      </w:r>
    </w:p>
    <w:sectPr w:rsidR="00D43F13" w:rsidRPr="00B2110E" w:rsidSect="00E67EB8">
      <w:headerReference w:type="even" r:id="rId28"/>
      <w:headerReference w:type="default" r:id="rId29"/>
      <w:headerReference w:type="first" r:id="rId30"/>
      <w:footerReference w:type="first" r:id="rId31"/>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BBB08" w15:done="0"/>
  <w15:commentEx w15:paraId="1504B374" w15:done="0"/>
  <w15:commentEx w15:paraId="0E945754" w15:done="0"/>
  <w15:commentEx w15:paraId="26183F9D" w15:done="0"/>
  <w15:commentEx w15:paraId="7E47DA0E" w15:done="0"/>
  <w15:commentEx w15:paraId="23E233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D62DF" w14:textId="77777777" w:rsidR="00AC40E1" w:rsidRDefault="00AC40E1">
      <w:r>
        <w:separator/>
      </w:r>
    </w:p>
  </w:endnote>
  <w:endnote w:type="continuationSeparator" w:id="0">
    <w:p w14:paraId="37EE20CC" w14:textId="77777777" w:rsidR="00AC40E1" w:rsidRDefault="00AC40E1">
      <w:r>
        <w:continuationSeparator/>
      </w:r>
    </w:p>
  </w:endnote>
  <w:endnote w:type="continuationNotice" w:id="1">
    <w:p w14:paraId="04FCE91B" w14:textId="77777777" w:rsidR="00AC40E1" w:rsidRDefault="00AC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News Gothic"/>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1F5D" w14:textId="77777777" w:rsidR="00481ADB" w:rsidRDefault="00481ADB"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8ECDB" w14:textId="77777777" w:rsidR="00481ADB" w:rsidRDefault="00481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FB35A" w14:textId="77777777" w:rsidR="00481ADB" w:rsidRDefault="00481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CED6" w14:textId="77777777" w:rsidR="00481ADB" w:rsidRDefault="00481A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5608"/>
      <w:docPartObj>
        <w:docPartGallery w:val="Page Numbers (Bottom of Page)"/>
        <w:docPartUnique/>
      </w:docPartObj>
    </w:sdtPr>
    <w:sdtEndPr/>
    <w:sdtContent>
      <w:p w14:paraId="2EC90262" w14:textId="77777777" w:rsidR="00481ADB" w:rsidRDefault="00481ADB">
        <w:pPr>
          <w:pStyle w:val="Footer"/>
          <w:jc w:val="center"/>
        </w:pPr>
        <w:r>
          <w:fldChar w:fldCharType="begin"/>
        </w:r>
        <w:r>
          <w:instrText xml:space="preserve"> PAGE   \* MERGEFORMAT </w:instrText>
        </w:r>
        <w:r>
          <w:fldChar w:fldCharType="separate"/>
        </w:r>
        <w:r w:rsidR="00B82320">
          <w:rPr>
            <w:noProof/>
          </w:rPr>
          <w:t>iii</w:t>
        </w:r>
        <w:r>
          <w:rPr>
            <w:noProof/>
          </w:rPr>
          <w:fldChar w:fldCharType="end"/>
        </w:r>
      </w:p>
    </w:sdtContent>
  </w:sdt>
  <w:p w14:paraId="706D2F22" w14:textId="77777777" w:rsidR="00481ADB" w:rsidRPr="00BE4668" w:rsidRDefault="00481ADB" w:rsidP="00BE46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85"/>
      <w:docPartObj>
        <w:docPartGallery w:val="Page Numbers (Bottom of Page)"/>
        <w:docPartUnique/>
      </w:docPartObj>
    </w:sdtPr>
    <w:sdtEndPr/>
    <w:sdtContent>
      <w:p w14:paraId="1B94C431" w14:textId="77777777" w:rsidR="00481ADB" w:rsidRDefault="00481ADB">
        <w:pPr>
          <w:pStyle w:val="Footer"/>
          <w:jc w:val="center"/>
        </w:pPr>
        <w:r>
          <w:fldChar w:fldCharType="begin"/>
        </w:r>
        <w:r>
          <w:instrText xml:space="preserve"> PAGE   \* MERGEFORMAT </w:instrText>
        </w:r>
        <w:r>
          <w:fldChar w:fldCharType="separate"/>
        </w:r>
        <w:r w:rsidR="00B82320">
          <w:rPr>
            <w:noProof/>
          </w:rPr>
          <w:t>1</w:t>
        </w:r>
        <w:r>
          <w:rPr>
            <w:noProof/>
          </w:rPr>
          <w:fldChar w:fldCharType="end"/>
        </w:r>
      </w:p>
    </w:sdtContent>
  </w:sdt>
  <w:p w14:paraId="35374712" w14:textId="77777777" w:rsidR="00481ADB" w:rsidRDefault="00481ADB" w:rsidP="00906F6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A0BFB" w14:textId="77777777" w:rsidR="00AC40E1" w:rsidRDefault="00AC40E1">
      <w:r>
        <w:separator/>
      </w:r>
    </w:p>
  </w:footnote>
  <w:footnote w:type="continuationSeparator" w:id="0">
    <w:p w14:paraId="508895CB" w14:textId="77777777" w:rsidR="00AC40E1" w:rsidRDefault="00AC40E1">
      <w:r>
        <w:continuationSeparator/>
      </w:r>
    </w:p>
  </w:footnote>
  <w:footnote w:type="continuationNotice" w:id="1">
    <w:p w14:paraId="2559B782" w14:textId="77777777" w:rsidR="00AC40E1" w:rsidRDefault="00AC4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BE30" w14:textId="77777777" w:rsidR="00481ADB" w:rsidRDefault="00481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D504" w14:textId="77777777" w:rsidR="00481ADB" w:rsidRDefault="00481ADB" w:rsidP="00F35E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E8995" w14:textId="77777777" w:rsidR="00481ADB" w:rsidRDefault="00481A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234DD" w14:textId="77777777" w:rsidR="00481ADB" w:rsidRDefault="00481A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748DE" w14:textId="77777777" w:rsidR="00481ADB" w:rsidRDefault="00481ADB" w:rsidP="000173A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DD54E" w14:textId="77777777" w:rsidR="00481ADB" w:rsidRDefault="00481A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41D9" w14:textId="77777777" w:rsidR="00481ADB" w:rsidRDefault="00481A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DBCB" w14:textId="77777777" w:rsidR="00481ADB" w:rsidRDefault="00481A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0036F" w14:textId="77777777" w:rsidR="00481ADB" w:rsidRDefault="00481ADB" w:rsidP="000173A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2F6"/>
    <w:multiLevelType w:val="hybridMultilevel"/>
    <w:tmpl w:val="2B4EB7FC"/>
    <w:lvl w:ilvl="0" w:tplc="D946116E">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B95768"/>
    <w:multiLevelType w:val="hybridMultilevel"/>
    <w:tmpl w:val="E3B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1B36227C"/>
    <w:multiLevelType w:val="hybridMultilevel"/>
    <w:tmpl w:val="2B527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F4B2E"/>
    <w:multiLevelType w:val="hybridMultilevel"/>
    <w:tmpl w:val="C2DC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DA5D02"/>
    <w:multiLevelType w:val="hybridMultilevel"/>
    <w:tmpl w:val="667C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94970"/>
    <w:multiLevelType w:val="hybridMultilevel"/>
    <w:tmpl w:val="2C08B07C"/>
    <w:lvl w:ilvl="0" w:tplc="5A2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F37CA5"/>
    <w:multiLevelType w:val="hybridMultilevel"/>
    <w:tmpl w:val="56162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222DDC"/>
    <w:multiLevelType w:val="hybridMultilevel"/>
    <w:tmpl w:val="11DA5E00"/>
    <w:lvl w:ilvl="0" w:tplc="B1EC28A8">
      <w:start w:val="2"/>
      <w:numFmt w:val="upperLetter"/>
      <w:lvlText w:val="%1."/>
      <w:lvlJc w:val="left"/>
      <w:pPr>
        <w:tabs>
          <w:tab w:val="num" w:pos="1080"/>
        </w:tabs>
        <w:ind w:left="1080" w:hanging="360"/>
      </w:pPr>
      <w:rPr>
        <w:rFonts w:cs="Times New Roman" w:hint="default"/>
        <w:b w:val="0"/>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9">
    <w:nsid w:val="31985768"/>
    <w:multiLevelType w:val="hybridMultilevel"/>
    <w:tmpl w:val="F82C733C"/>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337120E1"/>
    <w:multiLevelType w:val="hybridMultilevel"/>
    <w:tmpl w:val="F4CCDC42"/>
    <w:lvl w:ilvl="0" w:tplc="977276F6">
      <w:start w:val="1"/>
      <w:numFmt w:val="bullet"/>
      <w:lvlText w:val=""/>
      <w:lvlJc w:val="left"/>
      <w:pPr>
        <w:tabs>
          <w:tab w:val="num" w:pos="2160"/>
        </w:tabs>
        <w:ind w:left="2160" w:hanging="360"/>
      </w:pPr>
      <w:rPr>
        <w:rFonts w:ascii="Symbol" w:hAnsi="Symbol" w:hint="default"/>
        <w:color w:val="336699"/>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1">
    <w:nsid w:val="3C431129"/>
    <w:multiLevelType w:val="hybridMultilevel"/>
    <w:tmpl w:val="DD162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6687D"/>
    <w:multiLevelType w:val="hybridMultilevel"/>
    <w:tmpl w:val="747E8ACE"/>
    <w:lvl w:ilvl="0" w:tplc="5DB67862">
      <w:start w:val="1"/>
      <w:numFmt w:val="decimal"/>
      <w:lvlText w:val="%1."/>
      <w:lvlJc w:val="left"/>
      <w:pPr>
        <w:tabs>
          <w:tab w:val="num" w:pos="420"/>
        </w:tabs>
        <w:ind w:left="420" w:hanging="360"/>
      </w:pPr>
      <w:rPr>
        <w:rFonts w:cs="Times New Roman" w:hint="default"/>
      </w:rPr>
    </w:lvl>
    <w:lvl w:ilvl="1" w:tplc="04090003"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13">
    <w:nsid w:val="4A183553"/>
    <w:multiLevelType w:val="hybridMultilevel"/>
    <w:tmpl w:val="8CB690B6"/>
    <w:lvl w:ilvl="0" w:tplc="4A32E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425877"/>
    <w:multiLevelType w:val="hybridMultilevel"/>
    <w:tmpl w:val="D88CEA80"/>
    <w:lvl w:ilvl="0" w:tplc="D2C6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19300E6"/>
    <w:multiLevelType w:val="hybridMultilevel"/>
    <w:tmpl w:val="793EAA92"/>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63CA112A"/>
    <w:multiLevelType w:val="hybridMultilevel"/>
    <w:tmpl w:val="1F2C667A"/>
    <w:lvl w:ilvl="0" w:tplc="20F4ADDC">
      <w:start w:val="1"/>
      <w:numFmt w:val="bullet"/>
      <w:lvlText w:val=""/>
      <w:lvlJc w:val="left"/>
      <w:pPr>
        <w:ind w:left="576"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1901C9"/>
    <w:multiLevelType w:val="hybridMultilevel"/>
    <w:tmpl w:val="B5BE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10"/>
  </w:num>
  <w:num w:numId="5">
    <w:abstractNumId w:val="17"/>
  </w:num>
  <w:num w:numId="6">
    <w:abstractNumId w:val="16"/>
  </w:num>
  <w:num w:numId="7">
    <w:abstractNumId w:val="8"/>
  </w:num>
  <w:num w:numId="8">
    <w:abstractNumId w:val="4"/>
  </w:num>
  <w:num w:numId="9">
    <w:abstractNumId w:val="1"/>
  </w:num>
  <w:num w:numId="10">
    <w:abstractNumId w:val="6"/>
  </w:num>
  <w:num w:numId="11">
    <w:abstractNumId w:val="5"/>
  </w:num>
  <w:num w:numId="12">
    <w:abstractNumId w:val="13"/>
  </w:num>
  <w:num w:numId="13">
    <w:abstractNumId w:val="14"/>
  </w:num>
  <w:num w:numId="14">
    <w:abstractNumId w:val="3"/>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markup="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1&lt;/Suspended&gt;&lt;/ENInstantFormat&gt;"/>
    <w:docVar w:name="EN.Layout" w:val="&lt;ENLayout&gt;&lt;Style&gt;JAMA&lt;/Style&gt;&lt;LeftDelim&gt;{&lt;/LeftDelim&gt;&lt;RightDelim&gt;}&lt;/RightDelim&gt;&lt;FontName&gt;Times New Roman Bold&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D46A91"/>
    <w:rsid w:val="00001324"/>
    <w:rsid w:val="0000399C"/>
    <w:rsid w:val="00006439"/>
    <w:rsid w:val="000073D2"/>
    <w:rsid w:val="00010285"/>
    <w:rsid w:val="000104BD"/>
    <w:rsid w:val="00014D56"/>
    <w:rsid w:val="00015F85"/>
    <w:rsid w:val="00016172"/>
    <w:rsid w:val="00016E5D"/>
    <w:rsid w:val="0001715E"/>
    <w:rsid w:val="000173A3"/>
    <w:rsid w:val="000205EA"/>
    <w:rsid w:val="00021B3F"/>
    <w:rsid w:val="00021B81"/>
    <w:rsid w:val="00022409"/>
    <w:rsid w:val="00023424"/>
    <w:rsid w:val="00023B6B"/>
    <w:rsid w:val="000262BF"/>
    <w:rsid w:val="000279D0"/>
    <w:rsid w:val="00033E2F"/>
    <w:rsid w:val="00033F75"/>
    <w:rsid w:val="000345DD"/>
    <w:rsid w:val="0003510A"/>
    <w:rsid w:val="00035523"/>
    <w:rsid w:val="00036453"/>
    <w:rsid w:val="0003725F"/>
    <w:rsid w:val="00043D62"/>
    <w:rsid w:val="0004754B"/>
    <w:rsid w:val="00053D33"/>
    <w:rsid w:val="000555F7"/>
    <w:rsid w:val="00055BD4"/>
    <w:rsid w:val="00055F70"/>
    <w:rsid w:val="00056850"/>
    <w:rsid w:val="00057309"/>
    <w:rsid w:val="0006128E"/>
    <w:rsid w:val="00061CFD"/>
    <w:rsid w:val="00065DBF"/>
    <w:rsid w:val="000672D2"/>
    <w:rsid w:val="00072C63"/>
    <w:rsid w:val="00073E0B"/>
    <w:rsid w:val="00074091"/>
    <w:rsid w:val="000747ED"/>
    <w:rsid w:val="00076442"/>
    <w:rsid w:val="00076767"/>
    <w:rsid w:val="00076FFE"/>
    <w:rsid w:val="00080E79"/>
    <w:rsid w:val="000822C0"/>
    <w:rsid w:val="00083B89"/>
    <w:rsid w:val="000849A9"/>
    <w:rsid w:val="00084FBB"/>
    <w:rsid w:val="00087F6F"/>
    <w:rsid w:val="00090886"/>
    <w:rsid w:val="000945C6"/>
    <w:rsid w:val="00095B10"/>
    <w:rsid w:val="000965F4"/>
    <w:rsid w:val="000A1A5A"/>
    <w:rsid w:val="000A1BC4"/>
    <w:rsid w:val="000A2CF7"/>
    <w:rsid w:val="000A377F"/>
    <w:rsid w:val="000A3D71"/>
    <w:rsid w:val="000A46A8"/>
    <w:rsid w:val="000A4B65"/>
    <w:rsid w:val="000A609C"/>
    <w:rsid w:val="000A72CE"/>
    <w:rsid w:val="000B5B19"/>
    <w:rsid w:val="000B7350"/>
    <w:rsid w:val="000C0BF4"/>
    <w:rsid w:val="000C1FA1"/>
    <w:rsid w:val="000C4899"/>
    <w:rsid w:val="000C5C14"/>
    <w:rsid w:val="000C7E4D"/>
    <w:rsid w:val="000C7F6C"/>
    <w:rsid w:val="000D0D6A"/>
    <w:rsid w:val="000D183C"/>
    <w:rsid w:val="000D71B7"/>
    <w:rsid w:val="000D7FF3"/>
    <w:rsid w:val="000E395A"/>
    <w:rsid w:val="000E6546"/>
    <w:rsid w:val="000E728E"/>
    <w:rsid w:val="000F3D28"/>
    <w:rsid w:val="000F6396"/>
    <w:rsid w:val="000F77AD"/>
    <w:rsid w:val="000F7F1B"/>
    <w:rsid w:val="001002D0"/>
    <w:rsid w:val="00110477"/>
    <w:rsid w:val="00110E0C"/>
    <w:rsid w:val="00112C2B"/>
    <w:rsid w:val="0011387B"/>
    <w:rsid w:val="0011486A"/>
    <w:rsid w:val="00114F27"/>
    <w:rsid w:val="00115470"/>
    <w:rsid w:val="00116486"/>
    <w:rsid w:val="00122061"/>
    <w:rsid w:val="001229C1"/>
    <w:rsid w:val="0012453E"/>
    <w:rsid w:val="001250A4"/>
    <w:rsid w:val="001302E1"/>
    <w:rsid w:val="00131E85"/>
    <w:rsid w:val="00135C0F"/>
    <w:rsid w:val="001407F4"/>
    <w:rsid w:val="001409B2"/>
    <w:rsid w:val="00140FDE"/>
    <w:rsid w:val="00143ED5"/>
    <w:rsid w:val="001465EA"/>
    <w:rsid w:val="00147EF9"/>
    <w:rsid w:val="00151395"/>
    <w:rsid w:val="00152DFC"/>
    <w:rsid w:val="00154E46"/>
    <w:rsid w:val="00154F41"/>
    <w:rsid w:val="00155126"/>
    <w:rsid w:val="00155573"/>
    <w:rsid w:val="00155929"/>
    <w:rsid w:val="001627D9"/>
    <w:rsid w:val="00162AD1"/>
    <w:rsid w:val="00162E9D"/>
    <w:rsid w:val="0016321F"/>
    <w:rsid w:val="001649EB"/>
    <w:rsid w:val="0017124A"/>
    <w:rsid w:val="00171303"/>
    <w:rsid w:val="001748F6"/>
    <w:rsid w:val="00175EE3"/>
    <w:rsid w:val="00180162"/>
    <w:rsid w:val="00181FDB"/>
    <w:rsid w:val="00182ED7"/>
    <w:rsid w:val="001832DE"/>
    <w:rsid w:val="0018563E"/>
    <w:rsid w:val="00194200"/>
    <w:rsid w:val="001945BD"/>
    <w:rsid w:val="00194A21"/>
    <w:rsid w:val="00194E27"/>
    <w:rsid w:val="00195089"/>
    <w:rsid w:val="00196926"/>
    <w:rsid w:val="001A02EC"/>
    <w:rsid w:val="001A1A89"/>
    <w:rsid w:val="001A1BC5"/>
    <w:rsid w:val="001A480C"/>
    <w:rsid w:val="001A6506"/>
    <w:rsid w:val="001B12DF"/>
    <w:rsid w:val="001B1716"/>
    <w:rsid w:val="001B24DE"/>
    <w:rsid w:val="001B2530"/>
    <w:rsid w:val="001B2F93"/>
    <w:rsid w:val="001B3805"/>
    <w:rsid w:val="001B3FB7"/>
    <w:rsid w:val="001B4C4D"/>
    <w:rsid w:val="001B6122"/>
    <w:rsid w:val="001B78C1"/>
    <w:rsid w:val="001C2159"/>
    <w:rsid w:val="001C2942"/>
    <w:rsid w:val="001C2E2C"/>
    <w:rsid w:val="001C33B4"/>
    <w:rsid w:val="001C39AB"/>
    <w:rsid w:val="001C4E6E"/>
    <w:rsid w:val="001C6983"/>
    <w:rsid w:val="001C7102"/>
    <w:rsid w:val="001D066C"/>
    <w:rsid w:val="001D06FC"/>
    <w:rsid w:val="001D089D"/>
    <w:rsid w:val="001D16BC"/>
    <w:rsid w:val="001D2934"/>
    <w:rsid w:val="001D33C9"/>
    <w:rsid w:val="001D3F98"/>
    <w:rsid w:val="001D55FF"/>
    <w:rsid w:val="001D5EC8"/>
    <w:rsid w:val="001D5EE8"/>
    <w:rsid w:val="001E2185"/>
    <w:rsid w:val="001E2C0E"/>
    <w:rsid w:val="001E58F7"/>
    <w:rsid w:val="001E63EF"/>
    <w:rsid w:val="001E736B"/>
    <w:rsid w:val="001E7609"/>
    <w:rsid w:val="001E7FAF"/>
    <w:rsid w:val="001F0C81"/>
    <w:rsid w:val="001F2157"/>
    <w:rsid w:val="001F2259"/>
    <w:rsid w:val="001F2764"/>
    <w:rsid w:val="001F442A"/>
    <w:rsid w:val="001F5734"/>
    <w:rsid w:val="00202241"/>
    <w:rsid w:val="00202AC7"/>
    <w:rsid w:val="00203EBA"/>
    <w:rsid w:val="0020700B"/>
    <w:rsid w:val="00207501"/>
    <w:rsid w:val="00207E8F"/>
    <w:rsid w:val="00213567"/>
    <w:rsid w:val="002154C6"/>
    <w:rsid w:val="00215CB2"/>
    <w:rsid w:val="00215EF5"/>
    <w:rsid w:val="00216A5E"/>
    <w:rsid w:val="00216DB9"/>
    <w:rsid w:val="002179E0"/>
    <w:rsid w:val="00221D72"/>
    <w:rsid w:val="00222B46"/>
    <w:rsid w:val="00223327"/>
    <w:rsid w:val="00223CDD"/>
    <w:rsid w:val="00224600"/>
    <w:rsid w:val="002250FD"/>
    <w:rsid w:val="00225C01"/>
    <w:rsid w:val="00236BC0"/>
    <w:rsid w:val="00237321"/>
    <w:rsid w:val="00237701"/>
    <w:rsid w:val="00237C38"/>
    <w:rsid w:val="00240CAB"/>
    <w:rsid w:val="00242D2C"/>
    <w:rsid w:val="00246CCD"/>
    <w:rsid w:val="00250D5F"/>
    <w:rsid w:val="0025209F"/>
    <w:rsid w:val="0025240F"/>
    <w:rsid w:val="002531ED"/>
    <w:rsid w:val="00260E6A"/>
    <w:rsid w:val="00262BD5"/>
    <w:rsid w:val="00263669"/>
    <w:rsid w:val="0026399D"/>
    <w:rsid w:val="00264F98"/>
    <w:rsid w:val="002657C9"/>
    <w:rsid w:val="002677ED"/>
    <w:rsid w:val="00272383"/>
    <w:rsid w:val="00274C42"/>
    <w:rsid w:val="00275648"/>
    <w:rsid w:val="00276354"/>
    <w:rsid w:val="002764C0"/>
    <w:rsid w:val="0027712D"/>
    <w:rsid w:val="002772A2"/>
    <w:rsid w:val="002802B1"/>
    <w:rsid w:val="0028380F"/>
    <w:rsid w:val="0029141D"/>
    <w:rsid w:val="0029307A"/>
    <w:rsid w:val="00293B4D"/>
    <w:rsid w:val="00294BE9"/>
    <w:rsid w:val="00294E3D"/>
    <w:rsid w:val="002957C1"/>
    <w:rsid w:val="002A0946"/>
    <w:rsid w:val="002A1235"/>
    <w:rsid w:val="002A1494"/>
    <w:rsid w:val="002A2556"/>
    <w:rsid w:val="002A38E7"/>
    <w:rsid w:val="002A6101"/>
    <w:rsid w:val="002A7CEF"/>
    <w:rsid w:val="002B023C"/>
    <w:rsid w:val="002B1E89"/>
    <w:rsid w:val="002B3730"/>
    <w:rsid w:val="002B3C81"/>
    <w:rsid w:val="002B59FB"/>
    <w:rsid w:val="002C0770"/>
    <w:rsid w:val="002C0CFB"/>
    <w:rsid w:val="002C3412"/>
    <w:rsid w:val="002C60A4"/>
    <w:rsid w:val="002C66D1"/>
    <w:rsid w:val="002C78C3"/>
    <w:rsid w:val="002D17C6"/>
    <w:rsid w:val="002D3DB2"/>
    <w:rsid w:val="002D4820"/>
    <w:rsid w:val="002E2760"/>
    <w:rsid w:val="002E39B8"/>
    <w:rsid w:val="002E48B2"/>
    <w:rsid w:val="002F0676"/>
    <w:rsid w:val="002F0E1A"/>
    <w:rsid w:val="002F13DB"/>
    <w:rsid w:val="002F289E"/>
    <w:rsid w:val="002F3B3B"/>
    <w:rsid w:val="002F48EC"/>
    <w:rsid w:val="002F619D"/>
    <w:rsid w:val="002F6523"/>
    <w:rsid w:val="00300208"/>
    <w:rsid w:val="00300FDB"/>
    <w:rsid w:val="00302FC2"/>
    <w:rsid w:val="00304A58"/>
    <w:rsid w:val="00305805"/>
    <w:rsid w:val="00305B69"/>
    <w:rsid w:val="003103C6"/>
    <w:rsid w:val="003115B9"/>
    <w:rsid w:val="00312246"/>
    <w:rsid w:val="00322339"/>
    <w:rsid w:val="00326E21"/>
    <w:rsid w:val="003270D3"/>
    <w:rsid w:val="003276D6"/>
    <w:rsid w:val="00327FF0"/>
    <w:rsid w:val="00330673"/>
    <w:rsid w:val="00331E3B"/>
    <w:rsid w:val="00332278"/>
    <w:rsid w:val="00334B7A"/>
    <w:rsid w:val="00334C42"/>
    <w:rsid w:val="003378A5"/>
    <w:rsid w:val="00341D6E"/>
    <w:rsid w:val="00342CD5"/>
    <w:rsid w:val="00343192"/>
    <w:rsid w:val="003441BF"/>
    <w:rsid w:val="003443C8"/>
    <w:rsid w:val="0034467B"/>
    <w:rsid w:val="0034475B"/>
    <w:rsid w:val="00344E56"/>
    <w:rsid w:val="00347889"/>
    <w:rsid w:val="003506F4"/>
    <w:rsid w:val="00351267"/>
    <w:rsid w:val="0035129B"/>
    <w:rsid w:val="0035130E"/>
    <w:rsid w:val="0035210E"/>
    <w:rsid w:val="003524CD"/>
    <w:rsid w:val="00353921"/>
    <w:rsid w:val="00353D07"/>
    <w:rsid w:val="00353E7E"/>
    <w:rsid w:val="003540A9"/>
    <w:rsid w:val="00354255"/>
    <w:rsid w:val="00354793"/>
    <w:rsid w:val="003558D6"/>
    <w:rsid w:val="0035742F"/>
    <w:rsid w:val="00357746"/>
    <w:rsid w:val="00357AF0"/>
    <w:rsid w:val="00366B92"/>
    <w:rsid w:val="0036764B"/>
    <w:rsid w:val="0037064E"/>
    <w:rsid w:val="003714E8"/>
    <w:rsid w:val="0037320E"/>
    <w:rsid w:val="0037468E"/>
    <w:rsid w:val="00374CD6"/>
    <w:rsid w:val="003757F4"/>
    <w:rsid w:val="0037618E"/>
    <w:rsid w:val="003777CD"/>
    <w:rsid w:val="003804D4"/>
    <w:rsid w:val="0038301C"/>
    <w:rsid w:val="00383409"/>
    <w:rsid w:val="00383F1B"/>
    <w:rsid w:val="0038485C"/>
    <w:rsid w:val="00384BDE"/>
    <w:rsid w:val="00387DDF"/>
    <w:rsid w:val="00394287"/>
    <w:rsid w:val="003960AE"/>
    <w:rsid w:val="003965AF"/>
    <w:rsid w:val="003A08CD"/>
    <w:rsid w:val="003A3880"/>
    <w:rsid w:val="003A6CE8"/>
    <w:rsid w:val="003B208A"/>
    <w:rsid w:val="003B4083"/>
    <w:rsid w:val="003B4C9B"/>
    <w:rsid w:val="003B6812"/>
    <w:rsid w:val="003B7E27"/>
    <w:rsid w:val="003C04B5"/>
    <w:rsid w:val="003C0E59"/>
    <w:rsid w:val="003C17F5"/>
    <w:rsid w:val="003C6DD4"/>
    <w:rsid w:val="003D01BC"/>
    <w:rsid w:val="003D0294"/>
    <w:rsid w:val="003D2AB2"/>
    <w:rsid w:val="003D3974"/>
    <w:rsid w:val="003D416B"/>
    <w:rsid w:val="003D5F0F"/>
    <w:rsid w:val="003D6EC3"/>
    <w:rsid w:val="003E0A59"/>
    <w:rsid w:val="003E3A32"/>
    <w:rsid w:val="003E5576"/>
    <w:rsid w:val="003E568A"/>
    <w:rsid w:val="003E7BA2"/>
    <w:rsid w:val="003F02AD"/>
    <w:rsid w:val="003F03E0"/>
    <w:rsid w:val="003F2198"/>
    <w:rsid w:val="003F589C"/>
    <w:rsid w:val="0040022C"/>
    <w:rsid w:val="00400488"/>
    <w:rsid w:val="0040104B"/>
    <w:rsid w:val="004010C2"/>
    <w:rsid w:val="004027B3"/>
    <w:rsid w:val="0040284D"/>
    <w:rsid w:val="00402BAD"/>
    <w:rsid w:val="00405731"/>
    <w:rsid w:val="004059D1"/>
    <w:rsid w:val="00412128"/>
    <w:rsid w:val="00412B5C"/>
    <w:rsid w:val="00413C7B"/>
    <w:rsid w:val="00414608"/>
    <w:rsid w:val="004163FA"/>
    <w:rsid w:val="0041691A"/>
    <w:rsid w:val="00417DCC"/>
    <w:rsid w:val="00420F5B"/>
    <w:rsid w:val="00422959"/>
    <w:rsid w:val="00423334"/>
    <w:rsid w:val="00426098"/>
    <w:rsid w:val="00427554"/>
    <w:rsid w:val="004316FE"/>
    <w:rsid w:val="00434BC5"/>
    <w:rsid w:val="00434D88"/>
    <w:rsid w:val="00434DFE"/>
    <w:rsid w:val="00436772"/>
    <w:rsid w:val="00451757"/>
    <w:rsid w:val="00453377"/>
    <w:rsid w:val="00453B04"/>
    <w:rsid w:val="0045406A"/>
    <w:rsid w:val="00454B6F"/>
    <w:rsid w:val="00456E09"/>
    <w:rsid w:val="00457AB0"/>
    <w:rsid w:val="0046143D"/>
    <w:rsid w:val="00463AEE"/>
    <w:rsid w:val="00463DD1"/>
    <w:rsid w:val="004661CD"/>
    <w:rsid w:val="00466CA9"/>
    <w:rsid w:val="00467559"/>
    <w:rsid w:val="004701E0"/>
    <w:rsid w:val="004707F3"/>
    <w:rsid w:val="00471490"/>
    <w:rsid w:val="004715A5"/>
    <w:rsid w:val="0047325D"/>
    <w:rsid w:val="0047358D"/>
    <w:rsid w:val="00475CDB"/>
    <w:rsid w:val="00475E78"/>
    <w:rsid w:val="0047674A"/>
    <w:rsid w:val="004767F2"/>
    <w:rsid w:val="00481ADB"/>
    <w:rsid w:val="0048430B"/>
    <w:rsid w:val="00486F3C"/>
    <w:rsid w:val="004907DF"/>
    <w:rsid w:val="00491BEB"/>
    <w:rsid w:val="004920B6"/>
    <w:rsid w:val="00492F67"/>
    <w:rsid w:val="004933A5"/>
    <w:rsid w:val="00495ADF"/>
    <w:rsid w:val="004966BC"/>
    <w:rsid w:val="00496B7F"/>
    <w:rsid w:val="00497740"/>
    <w:rsid w:val="004A2778"/>
    <w:rsid w:val="004A4004"/>
    <w:rsid w:val="004A454B"/>
    <w:rsid w:val="004B130E"/>
    <w:rsid w:val="004B394C"/>
    <w:rsid w:val="004B3E35"/>
    <w:rsid w:val="004B62E4"/>
    <w:rsid w:val="004C062B"/>
    <w:rsid w:val="004C06DC"/>
    <w:rsid w:val="004C0743"/>
    <w:rsid w:val="004C0E0E"/>
    <w:rsid w:val="004C2039"/>
    <w:rsid w:val="004C439D"/>
    <w:rsid w:val="004C56A3"/>
    <w:rsid w:val="004C705D"/>
    <w:rsid w:val="004C7159"/>
    <w:rsid w:val="004D0161"/>
    <w:rsid w:val="004D1B6E"/>
    <w:rsid w:val="004D1ED6"/>
    <w:rsid w:val="004D231C"/>
    <w:rsid w:val="004D2E65"/>
    <w:rsid w:val="004D3C37"/>
    <w:rsid w:val="004D3EBE"/>
    <w:rsid w:val="004D5E3B"/>
    <w:rsid w:val="004D6CF6"/>
    <w:rsid w:val="004E0E8D"/>
    <w:rsid w:val="004E2366"/>
    <w:rsid w:val="004E330F"/>
    <w:rsid w:val="004E3347"/>
    <w:rsid w:val="004E3FE7"/>
    <w:rsid w:val="004E5D2F"/>
    <w:rsid w:val="004E62D3"/>
    <w:rsid w:val="004E66DD"/>
    <w:rsid w:val="004E6AA9"/>
    <w:rsid w:val="004F167F"/>
    <w:rsid w:val="004F4D66"/>
    <w:rsid w:val="004F5A14"/>
    <w:rsid w:val="004F5C8C"/>
    <w:rsid w:val="004F5CCA"/>
    <w:rsid w:val="004F7197"/>
    <w:rsid w:val="004F7682"/>
    <w:rsid w:val="004F7E86"/>
    <w:rsid w:val="00500479"/>
    <w:rsid w:val="00500A92"/>
    <w:rsid w:val="0050115D"/>
    <w:rsid w:val="00501DCE"/>
    <w:rsid w:val="00502A54"/>
    <w:rsid w:val="005042C8"/>
    <w:rsid w:val="00504B73"/>
    <w:rsid w:val="00504DCF"/>
    <w:rsid w:val="005052A4"/>
    <w:rsid w:val="005058C6"/>
    <w:rsid w:val="005072B5"/>
    <w:rsid w:val="00507A03"/>
    <w:rsid w:val="00507C7C"/>
    <w:rsid w:val="00510A30"/>
    <w:rsid w:val="00511375"/>
    <w:rsid w:val="00512F04"/>
    <w:rsid w:val="00513AF1"/>
    <w:rsid w:val="00513E02"/>
    <w:rsid w:val="005149E3"/>
    <w:rsid w:val="0051577F"/>
    <w:rsid w:val="00516D68"/>
    <w:rsid w:val="00517264"/>
    <w:rsid w:val="005217EF"/>
    <w:rsid w:val="0052221D"/>
    <w:rsid w:val="005241E2"/>
    <w:rsid w:val="005305B3"/>
    <w:rsid w:val="00531587"/>
    <w:rsid w:val="00532394"/>
    <w:rsid w:val="00534DAB"/>
    <w:rsid w:val="00535A87"/>
    <w:rsid w:val="0053645E"/>
    <w:rsid w:val="00536740"/>
    <w:rsid w:val="005375D0"/>
    <w:rsid w:val="005403DC"/>
    <w:rsid w:val="0054157F"/>
    <w:rsid w:val="00541CA2"/>
    <w:rsid w:val="005453DD"/>
    <w:rsid w:val="00546209"/>
    <w:rsid w:val="00547969"/>
    <w:rsid w:val="00551F4D"/>
    <w:rsid w:val="0055317C"/>
    <w:rsid w:val="00554267"/>
    <w:rsid w:val="005545F5"/>
    <w:rsid w:val="00557329"/>
    <w:rsid w:val="0055752E"/>
    <w:rsid w:val="00560046"/>
    <w:rsid w:val="00560D87"/>
    <w:rsid w:val="00565F6C"/>
    <w:rsid w:val="00570274"/>
    <w:rsid w:val="005749DD"/>
    <w:rsid w:val="0057707D"/>
    <w:rsid w:val="00581392"/>
    <w:rsid w:val="0058360B"/>
    <w:rsid w:val="005856E6"/>
    <w:rsid w:val="0058694E"/>
    <w:rsid w:val="0059043E"/>
    <w:rsid w:val="005909A3"/>
    <w:rsid w:val="00590C43"/>
    <w:rsid w:val="005910FD"/>
    <w:rsid w:val="0059246C"/>
    <w:rsid w:val="00592720"/>
    <w:rsid w:val="005928A8"/>
    <w:rsid w:val="00593F5C"/>
    <w:rsid w:val="00595453"/>
    <w:rsid w:val="005970B4"/>
    <w:rsid w:val="00597686"/>
    <w:rsid w:val="005A0FD9"/>
    <w:rsid w:val="005A2509"/>
    <w:rsid w:val="005A3E05"/>
    <w:rsid w:val="005A5E4A"/>
    <w:rsid w:val="005A7F97"/>
    <w:rsid w:val="005B21C5"/>
    <w:rsid w:val="005B2C7E"/>
    <w:rsid w:val="005B4008"/>
    <w:rsid w:val="005B4154"/>
    <w:rsid w:val="005B553B"/>
    <w:rsid w:val="005C08A8"/>
    <w:rsid w:val="005C0D53"/>
    <w:rsid w:val="005C0D9C"/>
    <w:rsid w:val="005C1F55"/>
    <w:rsid w:val="005C255F"/>
    <w:rsid w:val="005D0094"/>
    <w:rsid w:val="005D08D9"/>
    <w:rsid w:val="005D0F00"/>
    <w:rsid w:val="005D169B"/>
    <w:rsid w:val="005D7616"/>
    <w:rsid w:val="005E081A"/>
    <w:rsid w:val="005E1462"/>
    <w:rsid w:val="005E1D61"/>
    <w:rsid w:val="005E217C"/>
    <w:rsid w:val="005E62F2"/>
    <w:rsid w:val="005F1FB7"/>
    <w:rsid w:val="005F2C37"/>
    <w:rsid w:val="005F3AD7"/>
    <w:rsid w:val="005F3E92"/>
    <w:rsid w:val="006001F1"/>
    <w:rsid w:val="00602F2F"/>
    <w:rsid w:val="006040A6"/>
    <w:rsid w:val="00604753"/>
    <w:rsid w:val="006048A8"/>
    <w:rsid w:val="00604C05"/>
    <w:rsid w:val="00605B8B"/>
    <w:rsid w:val="00606604"/>
    <w:rsid w:val="00606E74"/>
    <w:rsid w:val="0060700A"/>
    <w:rsid w:val="00607C0E"/>
    <w:rsid w:val="00611D22"/>
    <w:rsid w:val="006131F4"/>
    <w:rsid w:val="00613A18"/>
    <w:rsid w:val="00614088"/>
    <w:rsid w:val="00615E9C"/>
    <w:rsid w:val="00620B9A"/>
    <w:rsid w:val="00621D9E"/>
    <w:rsid w:val="00622A6F"/>
    <w:rsid w:val="00623B2D"/>
    <w:rsid w:val="00624F2B"/>
    <w:rsid w:val="00625CC2"/>
    <w:rsid w:val="00626180"/>
    <w:rsid w:val="006269EB"/>
    <w:rsid w:val="00626DBA"/>
    <w:rsid w:val="0062779E"/>
    <w:rsid w:val="00631010"/>
    <w:rsid w:val="0063138F"/>
    <w:rsid w:val="00632AAE"/>
    <w:rsid w:val="00635CB0"/>
    <w:rsid w:val="00637DD8"/>
    <w:rsid w:val="00645280"/>
    <w:rsid w:val="006471CB"/>
    <w:rsid w:val="0065116D"/>
    <w:rsid w:val="00652BF1"/>
    <w:rsid w:val="00652BF8"/>
    <w:rsid w:val="00652F7E"/>
    <w:rsid w:val="00653312"/>
    <w:rsid w:val="006535DE"/>
    <w:rsid w:val="00655890"/>
    <w:rsid w:val="006568E8"/>
    <w:rsid w:val="00657439"/>
    <w:rsid w:val="00657935"/>
    <w:rsid w:val="0065799B"/>
    <w:rsid w:val="00660881"/>
    <w:rsid w:val="006629EA"/>
    <w:rsid w:val="00662BD9"/>
    <w:rsid w:val="006632F4"/>
    <w:rsid w:val="00663D09"/>
    <w:rsid w:val="00666E13"/>
    <w:rsid w:val="00670F0A"/>
    <w:rsid w:val="006713F3"/>
    <w:rsid w:val="00671A7D"/>
    <w:rsid w:val="006763FF"/>
    <w:rsid w:val="006765BE"/>
    <w:rsid w:val="00682231"/>
    <w:rsid w:val="00683D45"/>
    <w:rsid w:val="006900CA"/>
    <w:rsid w:val="006937C8"/>
    <w:rsid w:val="00694BE4"/>
    <w:rsid w:val="0069546C"/>
    <w:rsid w:val="00695CBA"/>
    <w:rsid w:val="006A10BF"/>
    <w:rsid w:val="006A2387"/>
    <w:rsid w:val="006A352B"/>
    <w:rsid w:val="006A3B0E"/>
    <w:rsid w:val="006A402C"/>
    <w:rsid w:val="006A46BB"/>
    <w:rsid w:val="006A604F"/>
    <w:rsid w:val="006A7086"/>
    <w:rsid w:val="006B0460"/>
    <w:rsid w:val="006B14CF"/>
    <w:rsid w:val="006B3CB0"/>
    <w:rsid w:val="006B4955"/>
    <w:rsid w:val="006B61F9"/>
    <w:rsid w:val="006B6428"/>
    <w:rsid w:val="006C1AD7"/>
    <w:rsid w:val="006C5749"/>
    <w:rsid w:val="006D08F5"/>
    <w:rsid w:val="006D29A1"/>
    <w:rsid w:val="006D3678"/>
    <w:rsid w:val="006D4460"/>
    <w:rsid w:val="006D4600"/>
    <w:rsid w:val="006D52F0"/>
    <w:rsid w:val="006D5A57"/>
    <w:rsid w:val="006D5B02"/>
    <w:rsid w:val="006E00BC"/>
    <w:rsid w:val="006E0248"/>
    <w:rsid w:val="006E2440"/>
    <w:rsid w:val="006E25C1"/>
    <w:rsid w:val="006E2B27"/>
    <w:rsid w:val="006E5049"/>
    <w:rsid w:val="006F4360"/>
    <w:rsid w:val="006F48BA"/>
    <w:rsid w:val="006F6B04"/>
    <w:rsid w:val="007000D5"/>
    <w:rsid w:val="007001E4"/>
    <w:rsid w:val="00702D6B"/>
    <w:rsid w:val="00703C72"/>
    <w:rsid w:val="00705C9B"/>
    <w:rsid w:val="00706653"/>
    <w:rsid w:val="00706C69"/>
    <w:rsid w:val="00707527"/>
    <w:rsid w:val="00707F96"/>
    <w:rsid w:val="00712259"/>
    <w:rsid w:val="0071443E"/>
    <w:rsid w:val="00715219"/>
    <w:rsid w:val="00717571"/>
    <w:rsid w:val="00720E0D"/>
    <w:rsid w:val="00720E5F"/>
    <w:rsid w:val="0072159D"/>
    <w:rsid w:val="00722025"/>
    <w:rsid w:val="00722078"/>
    <w:rsid w:val="0072214F"/>
    <w:rsid w:val="0072468E"/>
    <w:rsid w:val="00724E75"/>
    <w:rsid w:val="00726255"/>
    <w:rsid w:val="00731067"/>
    <w:rsid w:val="00731592"/>
    <w:rsid w:val="0073164C"/>
    <w:rsid w:val="007324BF"/>
    <w:rsid w:val="007340DC"/>
    <w:rsid w:val="00736695"/>
    <w:rsid w:val="00737857"/>
    <w:rsid w:val="007436A1"/>
    <w:rsid w:val="00743DE0"/>
    <w:rsid w:val="007446AB"/>
    <w:rsid w:val="00747131"/>
    <w:rsid w:val="007473F8"/>
    <w:rsid w:val="00747F72"/>
    <w:rsid w:val="0075239D"/>
    <w:rsid w:val="0075331E"/>
    <w:rsid w:val="00754198"/>
    <w:rsid w:val="00755297"/>
    <w:rsid w:val="00755E07"/>
    <w:rsid w:val="00756002"/>
    <w:rsid w:val="00756368"/>
    <w:rsid w:val="00760324"/>
    <w:rsid w:val="00763BDC"/>
    <w:rsid w:val="0076448A"/>
    <w:rsid w:val="00764529"/>
    <w:rsid w:val="00765F03"/>
    <w:rsid w:val="00773689"/>
    <w:rsid w:val="00774AA8"/>
    <w:rsid w:val="00775831"/>
    <w:rsid w:val="0077591C"/>
    <w:rsid w:val="00776B59"/>
    <w:rsid w:val="00782650"/>
    <w:rsid w:val="007838EC"/>
    <w:rsid w:val="00786C85"/>
    <w:rsid w:val="00787D03"/>
    <w:rsid w:val="007A4F5C"/>
    <w:rsid w:val="007B023A"/>
    <w:rsid w:val="007B1639"/>
    <w:rsid w:val="007B18BA"/>
    <w:rsid w:val="007B319D"/>
    <w:rsid w:val="007B39B7"/>
    <w:rsid w:val="007B3DA7"/>
    <w:rsid w:val="007B5258"/>
    <w:rsid w:val="007B577A"/>
    <w:rsid w:val="007B77E2"/>
    <w:rsid w:val="007C2040"/>
    <w:rsid w:val="007C3C05"/>
    <w:rsid w:val="007C3DBC"/>
    <w:rsid w:val="007C47F1"/>
    <w:rsid w:val="007C4A4E"/>
    <w:rsid w:val="007C50B1"/>
    <w:rsid w:val="007C5DCF"/>
    <w:rsid w:val="007C62CB"/>
    <w:rsid w:val="007C7074"/>
    <w:rsid w:val="007D2303"/>
    <w:rsid w:val="007D2DBD"/>
    <w:rsid w:val="007D30F3"/>
    <w:rsid w:val="007D3125"/>
    <w:rsid w:val="007E15BB"/>
    <w:rsid w:val="007E16F1"/>
    <w:rsid w:val="007E4A5C"/>
    <w:rsid w:val="007E6753"/>
    <w:rsid w:val="007E7C27"/>
    <w:rsid w:val="007F0B28"/>
    <w:rsid w:val="007F0B3C"/>
    <w:rsid w:val="007F0B46"/>
    <w:rsid w:val="007F0ED1"/>
    <w:rsid w:val="007F293F"/>
    <w:rsid w:val="007F3C09"/>
    <w:rsid w:val="007F4A51"/>
    <w:rsid w:val="007F50C9"/>
    <w:rsid w:val="007F576C"/>
    <w:rsid w:val="007F6BB5"/>
    <w:rsid w:val="007F7D99"/>
    <w:rsid w:val="00801ED8"/>
    <w:rsid w:val="00803736"/>
    <w:rsid w:val="00804E98"/>
    <w:rsid w:val="00804F46"/>
    <w:rsid w:val="00807E0E"/>
    <w:rsid w:val="00810192"/>
    <w:rsid w:val="00810C4A"/>
    <w:rsid w:val="00811295"/>
    <w:rsid w:val="0081656F"/>
    <w:rsid w:val="00821C16"/>
    <w:rsid w:val="00823692"/>
    <w:rsid w:val="008241F7"/>
    <w:rsid w:val="0082516F"/>
    <w:rsid w:val="00830B57"/>
    <w:rsid w:val="00832061"/>
    <w:rsid w:val="00832BA3"/>
    <w:rsid w:val="00833B35"/>
    <w:rsid w:val="00835170"/>
    <w:rsid w:val="0083572C"/>
    <w:rsid w:val="008357CC"/>
    <w:rsid w:val="00837219"/>
    <w:rsid w:val="00840276"/>
    <w:rsid w:val="008409D8"/>
    <w:rsid w:val="008423C2"/>
    <w:rsid w:val="0084603E"/>
    <w:rsid w:val="00846097"/>
    <w:rsid w:val="008472A7"/>
    <w:rsid w:val="00847929"/>
    <w:rsid w:val="00851B1A"/>
    <w:rsid w:val="00852F00"/>
    <w:rsid w:val="008537D9"/>
    <w:rsid w:val="00853C19"/>
    <w:rsid w:val="00853D00"/>
    <w:rsid w:val="008552B6"/>
    <w:rsid w:val="008567E6"/>
    <w:rsid w:val="00856CF5"/>
    <w:rsid w:val="0086043F"/>
    <w:rsid w:val="0086079C"/>
    <w:rsid w:val="00861A3F"/>
    <w:rsid w:val="00862F08"/>
    <w:rsid w:val="008631C8"/>
    <w:rsid w:val="00863CA3"/>
    <w:rsid w:val="008701BF"/>
    <w:rsid w:val="00870307"/>
    <w:rsid w:val="0087417D"/>
    <w:rsid w:val="00876A21"/>
    <w:rsid w:val="00876B48"/>
    <w:rsid w:val="00877D3A"/>
    <w:rsid w:val="008807B7"/>
    <w:rsid w:val="008808FA"/>
    <w:rsid w:val="008815DF"/>
    <w:rsid w:val="008826BF"/>
    <w:rsid w:val="00884A2B"/>
    <w:rsid w:val="00885EC5"/>
    <w:rsid w:val="00890564"/>
    <w:rsid w:val="00890626"/>
    <w:rsid w:val="00891609"/>
    <w:rsid w:val="0089374E"/>
    <w:rsid w:val="008A0231"/>
    <w:rsid w:val="008A0A0F"/>
    <w:rsid w:val="008A2EAF"/>
    <w:rsid w:val="008A3CF6"/>
    <w:rsid w:val="008A4C91"/>
    <w:rsid w:val="008A52BF"/>
    <w:rsid w:val="008A6534"/>
    <w:rsid w:val="008B35B9"/>
    <w:rsid w:val="008B3BC8"/>
    <w:rsid w:val="008B4CA0"/>
    <w:rsid w:val="008B61A1"/>
    <w:rsid w:val="008B665D"/>
    <w:rsid w:val="008B79CD"/>
    <w:rsid w:val="008C26A4"/>
    <w:rsid w:val="008C3FC1"/>
    <w:rsid w:val="008C5230"/>
    <w:rsid w:val="008C68D7"/>
    <w:rsid w:val="008C7A23"/>
    <w:rsid w:val="008D0635"/>
    <w:rsid w:val="008D0B16"/>
    <w:rsid w:val="008D1165"/>
    <w:rsid w:val="008D20ED"/>
    <w:rsid w:val="008D43BE"/>
    <w:rsid w:val="008D73E2"/>
    <w:rsid w:val="008D7E75"/>
    <w:rsid w:val="008E0EF2"/>
    <w:rsid w:val="008E17C0"/>
    <w:rsid w:val="008E2CE7"/>
    <w:rsid w:val="008E3411"/>
    <w:rsid w:val="008E3638"/>
    <w:rsid w:val="008E59B4"/>
    <w:rsid w:val="008E7D6E"/>
    <w:rsid w:val="008F267F"/>
    <w:rsid w:val="008F2F19"/>
    <w:rsid w:val="008F5037"/>
    <w:rsid w:val="008F55FE"/>
    <w:rsid w:val="008F7F28"/>
    <w:rsid w:val="009001C7"/>
    <w:rsid w:val="00900586"/>
    <w:rsid w:val="00904523"/>
    <w:rsid w:val="009057A7"/>
    <w:rsid w:val="00905E15"/>
    <w:rsid w:val="00906B3F"/>
    <w:rsid w:val="00906F6F"/>
    <w:rsid w:val="00913C4D"/>
    <w:rsid w:val="00915775"/>
    <w:rsid w:val="0091577D"/>
    <w:rsid w:val="009164CC"/>
    <w:rsid w:val="0092164B"/>
    <w:rsid w:val="0092193B"/>
    <w:rsid w:val="009228CF"/>
    <w:rsid w:val="0092360E"/>
    <w:rsid w:val="00924407"/>
    <w:rsid w:val="00926D45"/>
    <w:rsid w:val="009277A8"/>
    <w:rsid w:val="00932612"/>
    <w:rsid w:val="00932B36"/>
    <w:rsid w:val="00933043"/>
    <w:rsid w:val="00936EE4"/>
    <w:rsid w:val="00937302"/>
    <w:rsid w:val="00941729"/>
    <w:rsid w:val="00944BB4"/>
    <w:rsid w:val="00944E5C"/>
    <w:rsid w:val="00945C31"/>
    <w:rsid w:val="00946D72"/>
    <w:rsid w:val="00947647"/>
    <w:rsid w:val="00947A84"/>
    <w:rsid w:val="009523F6"/>
    <w:rsid w:val="009530B8"/>
    <w:rsid w:val="00953F38"/>
    <w:rsid w:val="0095461B"/>
    <w:rsid w:val="00954FE5"/>
    <w:rsid w:val="00955965"/>
    <w:rsid w:val="00964952"/>
    <w:rsid w:val="00964E28"/>
    <w:rsid w:val="00966A2F"/>
    <w:rsid w:val="00966C44"/>
    <w:rsid w:val="00967118"/>
    <w:rsid w:val="009676A5"/>
    <w:rsid w:val="00967FD3"/>
    <w:rsid w:val="00971C13"/>
    <w:rsid w:val="00973DA7"/>
    <w:rsid w:val="00973DC2"/>
    <w:rsid w:val="009742A5"/>
    <w:rsid w:val="009752B7"/>
    <w:rsid w:val="00975A37"/>
    <w:rsid w:val="00975B68"/>
    <w:rsid w:val="009805BD"/>
    <w:rsid w:val="00981374"/>
    <w:rsid w:val="00983EB9"/>
    <w:rsid w:val="00984B1D"/>
    <w:rsid w:val="009875AE"/>
    <w:rsid w:val="009930E8"/>
    <w:rsid w:val="009965FC"/>
    <w:rsid w:val="0099705D"/>
    <w:rsid w:val="00997B58"/>
    <w:rsid w:val="009A230F"/>
    <w:rsid w:val="009A41A4"/>
    <w:rsid w:val="009A5D09"/>
    <w:rsid w:val="009A6206"/>
    <w:rsid w:val="009A6FCA"/>
    <w:rsid w:val="009A703B"/>
    <w:rsid w:val="009A7DB5"/>
    <w:rsid w:val="009A7E20"/>
    <w:rsid w:val="009B5E83"/>
    <w:rsid w:val="009B66BB"/>
    <w:rsid w:val="009C1400"/>
    <w:rsid w:val="009C179F"/>
    <w:rsid w:val="009C1D58"/>
    <w:rsid w:val="009C2C95"/>
    <w:rsid w:val="009C4DF6"/>
    <w:rsid w:val="009C5C6D"/>
    <w:rsid w:val="009C5D61"/>
    <w:rsid w:val="009C6EA2"/>
    <w:rsid w:val="009C7003"/>
    <w:rsid w:val="009C7BE8"/>
    <w:rsid w:val="009D0976"/>
    <w:rsid w:val="009D0E6A"/>
    <w:rsid w:val="009D4FC9"/>
    <w:rsid w:val="009D5F40"/>
    <w:rsid w:val="009D6B8A"/>
    <w:rsid w:val="009E0FB3"/>
    <w:rsid w:val="009E1A11"/>
    <w:rsid w:val="009E2018"/>
    <w:rsid w:val="009E2F1C"/>
    <w:rsid w:val="009E4127"/>
    <w:rsid w:val="009E4DC5"/>
    <w:rsid w:val="009E714A"/>
    <w:rsid w:val="009F1792"/>
    <w:rsid w:val="009F2303"/>
    <w:rsid w:val="009F448A"/>
    <w:rsid w:val="009F6B39"/>
    <w:rsid w:val="009F6C56"/>
    <w:rsid w:val="00A001EC"/>
    <w:rsid w:val="00A00226"/>
    <w:rsid w:val="00A00CAE"/>
    <w:rsid w:val="00A03789"/>
    <w:rsid w:val="00A053ED"/>
    <w:rsid w:val="00A11CC9"/>
    <w:rsid w:val="00A123D8"/>
    <w:rsid w:val="00A123D9"/>
    <w:rsid w:val="00A129D0"/>
    <w:rsid w:val="00A13ECD"/>
    <w:rsid w:val="00A14087"/>
    <w:rsid w:val="00A14742"/>
    <w:rsid w:val="00A1493C"/>
    <w:rsid w:val="00A15F7A"/>
    <w:rsid w:val="00A2043A"/>
    <w:rsid w:val="00A22D53"/>
    <w:rsid w:val="00A234D4"/>
    <w:rsid w:val="00A24170"/>
    <w:rsid w:val="00A24BF8"/>
    <w:rsid w:val="00A31430"/>
    <w:rsid w:val="00A32B08"/>
    <w:rsid w:val="00A3338A"/>
    <w:rsid w:val="00A34DA6"/>
    <w:rsid w:val="00A3616F"/>
    <w:rsid w:val="00A40208"/>
    <w:rsid w:val="00A40F70"/>
    <w:rsid w:val="00A42024"/>
    <w:rsid w:val="00A42F4F"/>
    <w:rsid w:val="00A44038"/>
    <w:rsid w:val="00A45A1A"/>
    <w:rsid w:val="00A45B43"/>
    <w:rsid w:val="00A47E57"/>
    <w:rsid w:val="00A50E94"/>
    <w:rsid w:val="00A51A7F"/>
    <w:rsid w:val="00A531F7"/>
    <w:rsid w:val="00A53954"/>
    <w:rsid w:val="00A56AC4"/>
    <w:rsid w:val="00A65419"/>
    <w:rsid w:val="00A664A8"/>
    <w:rsid w:val="00A66B18"/>
    <w:rsid w:val="00A713D0"/>
    <w:rsid w:val="00A7293F"/>
    <w:rsid w:val="00A75A4D"/>
    <w:rsid w:val="00A76EE1"/>
    <w:rsid w:val="00A8116D"/>
    <w:rsid w:val="00A814A7"/>
    <w:rsid w:val="00A856FA"/>
    <w:rsid w:val="00A8574E"/>
    <w:rsid w:val="00A857F4"/>
    <w:rsid w:val="00A861AA"/>
    <w:rsid w:val="00A8662B"/>
    <w:rsid w:val="00A86AB6"/>
    <w:rsid w:val="00A90E49"/>
    <w:rsid w:val="00A935D1"/>
    <w:rsid w:val="00A944C8"/>
    <w:rsid w:val="00A95E62"/>
    <w:rsid w:val="00AA006F"/>
    <w:rsid w:val="00AA295A"/>
    <w:rsid w:val="00AA4CC9"/>
    <w:rsid w:val="00AA573E"/>
    <w:rsid w:val="00AA6473"/>
    <w:rsid w:val="00AA7361"/>
    <w:rsid w:val="00AA77BD"/>
    <w:rsid w:val="00AB26DF"/>
    <w:rsid w:val="00AB26EE"/>
    <w:rsid w:val="00AB31AE"/>
    <w:rsid w:val="00AB4C03"/>
    <w:rsid w:val="00AB6D73"/>
    <w:rsid w:val="00AC2E95"/>
    <w:rsid w:val="00AC40E1"/>
    <w:rsid w:val="00AC43A3"/>
    <w:rsid w:val="00AC4624"/>
    <w:rsid w:val="00AC6ACE"/>
    <w:rsid w:val="00AD1BA3"/>
    <w:rsid w:val="00AD3190"/>
    <w:rsid w:val="00AD4F34"/>
    <w:rsid w:val="00AD78DA"/>
    <w:rsid w:val="00AE069F"/>
    <w:rsid w:val="00AE3631"/>
    <w:rsid w:val="00AE5483"/>
    <w:rsid w:val="00AE5541"/>
    <w:rsid w:val="00AE5658"/>
    <w:rsid w:val="00AE6202"/>
    <w:rsid w:val="00AE62D5"/>
    <w:rsid w:val="00AE6AF9"/>
    <w:rsid w:val="00AE77C9"/>
    <w:rsid w:val="00AF04BC"/>
    <w:rsid w:val="00AF1349"/>
    <w:rsid w:val="00AF14FC"/>
    <w:rsid w:val="00AF32F7"/>
    <w:rsid w:val="00AF376C"/>
    <w:rsid w:val="00AF5776"/>
    <w:rsid w:val="00AF6D1B"/>
    <w:rsid w:val="00B00FE6"/>
    <w:rsid w:val="00B070E3"/>
    <w:rsid w:val="00B10B13"/>
    <w:rsid w:val="00B1164E"/>
    <w:rsid w:val="00B11AA1"/>
    <w:rsid w:val="00B12CBB"/>
    <w:rsid w:val="00B13D88"/>
    <w:rsid w:val="00B14DA8"/>
    <w:rsid w:val="00B175FD"/>
    <w:rsid w:val="00B20569"/>
    <w:rsid w:val="00B2110E"/>
    <w:rsid w:val="00B21A1D"/>
    <w:rsid w:val="00B231F5"/>
    <w:rsid w:val="00B234E3"/>
    <w:rsid w:val="00B23A53"/>
    <w:rsid w:val="00B23C0C"/>
    <w:rsid w:val="00B2592B"/>
    <w:rsid w:val="00B26058"/>
    <w:rsid w:val="00B26EC9"/>
    <w:rsid w:val="00B273A9"/>
    <w:rsid w:val="00B32C68"/>
    <w:rsid w:val="00B37A70"/>
    <w:rsid w:val="00B40650"/>
    <w:rsid w:val="00B41C8E"/>
    <w:rsid w:val="00B41D6F"/>
    <w:rsid w:val="00B432D0"/>
    <w:rsid w:val="00B4410E"/>
    <w:rsid w:val="00B444CF"/>
    <w:rsid w:val="00B45517"/>
    <w:rsid w:val="00B45E77"/>
    <w:rsid w:val="00B515E2"/>
    <w:rsid w:val="00B52718"/>
    <w:rsid w:val="00B53844"/>
    <w:rsid w:val="00B53E72"/>
    <w:rsid w:val="00B55AA4"/>
    <w:rsid w:val="00B61E2D"/>
    <w:rsid w:val="00B61FAC"/>
    <w:rsid w:val="00B62458"/>
    <w:rsid w:val="00B633AB"/>
    <w:rsid w:val="00B63CDE"/>
    <w:rsid w:val="00B64547"/>
    <w:rsid w:val="00B76002"/>
    <w:rsid w:val="00B769F2"/>
    <w:rsid w:val="00B77409"/>
    <w:rsid w:val="00B77A91"/>
    <w:rsid w:val="00B77A96"/>
    <w:rsid w:val="00B80442"/>
    <w:rsid w:val="00B80CF2"/>
    <w:rsid w:val="00B82320"/>
    <w:rsid w:val="00B823A9"/>
    <w:rsid w:val="00B8289D"/>
    <w:rsid w:val="00B854D4"/>
    <w:rsid w:val="00B95B7E"/>
    <w:rsid w:val="00BA21A3"/>
    <w:rsid w:val="00BA44DA"/>
    <w:rsid w:val="00BA496E"/>
    <w:rsid w:val="00BA52EC"/>
    <w:rsid w:val="00BB2ED0"/>
    <w:rsid w:val="00BB3962"/>
    <w:rsid w:val="00BB7866"/>
    <w:rsid w:val="00BB7CFA"/>
    <w:rsid w:val="00BC0411"/>
    <w:rsid w:val="00BC1FAD"/>
    <w:rsid w:val="00BC27F0"/>
    <w:rsid w:val="00BC378F"/>
    <w:rsid w:val="00BC7D8D"/>
    <w:rsid w:val="00BD3083"/>
    <w:rsid w:val="00BD5CEB"/>
    <w:rsid w:val="00BD60B3"/>
    <w:rsid w:val="00BE0403"/>
    <w:rsid w:val="00BE178F"/>
    <w:rsid w:val="00BE1CBB"/>
    <w:rsid w:val="00BE2D02"/>
    <w:rsid w:val="00BE4187"/>
    <w:rsid w:val="00BE4639"/>
    <w:rsid w:val="00BE4668"/>
    <w:rsid w:val="00BE7BFC"/>
    <w:rsid w:val="00BF19BA"/>
    <w:rsid w:val="00BF34E5"/>
    <w:rsid w:val="00BF5A73"/>
    <w:rsid w:val="00BF707D"/>
    <w:rsid w:val="00BF7AB2"/>
    <w:rsid w:val="00C0133A"/>
    <w:rsid w:val="00C032B2"/>
    <w:rsid w:val="00C03392"/>
    <w:rsid w:val="00C03CD9"/>
    <w:rsid w:val="00C056FE"/>
    <w:rsid w:val="00C0752E"/>
    <w:rsid w:val="00C07D4F"/>
    <w:rsid w:val="00C12DEE"/>
    <w:rsid w:val="00C13A64"/>
    <w:rsid w:val="00C149ED"/>
    <w:rsid w:val="00C156AA"/>
    <w:rsid w:val="00C162E9"/>
    <w:rsid w:val="00C207AD"/>
    <w:rsid w:val="00C21AE3"/>
    <w:rsid w:val="00C271ED"/>
    <w:rsid w:val="00C27787"/>
    <w:rsid w:val="00C3016D"/>
    <w:rsid w:val="00C32C39"/>
    <w:rsid w:val="00C337FD"/>
    <w:rsid w:val="00C34CDE"/>
    <w:rsid w:val="00C34E8C"/>
    <w:rsid w:val="00C40D2F"/>
    <w:rsid w:val="00C41497"/>
    <w:rsid w:val="00C41F53"/>
    <w:rsid w:val="00C432D5"/>
    <w:rsid w:val="00C440F3"/>
    <w:rsid w:val="00C47780"/>
    <w:rsid w:val="00C52110"/>
    <w:rsid w:val="00C536A6"/>
    <w:rsid w:val="00C54030"/>
    <w:rsid w:val="00C56316"/>
    <w:rsid w:val="00C56674"/>
    <w:rsid w:val="00C57DB3"/>
    <w:rsid w:val="00C57DF3"/>
    <w:rsid w:val="00C606F0"/>
    <w:rsid w:val="00C62587"/>
    <w:rsid w:val="00C62900"/>
    <w:rsid w:val="00C62E2B"/>
    <w:rsid w:val="00C6322F"/>
    <w:rsid w:val="00C65DD6"/>
    <w:rsid w:val="00C65FD6"/>
    <w:rsid w:val="00C723AA"/>
    <w:rsid w:val="00C73B03"/>
    <w:rsid w:val="00C73C84"/>
    <w:rsid w:val="00C74528"/>
    <w:rsid w:val="00C764DD"/>
    <w:rsid w:val="00C80E30"/>
    <w:rsid w:val="00C8160A"/>
    <w:rsid w:val="00C81A36"/>
    <w:rsid w:val="00C844D6"/>
    <w:rsid w:val="00C8711E"/>
    <w:rsid w:val="00C87A19"/>
    <w:rsid w:val="00C90433"/>
    <w:rsid w:val="00C90FBA"/>
    <w:rsid w:val="00C918C7"/>
    <w:rsid w:val="00C93A8F"/>
    <w:rsid w:val="00C93F07"/>
    <w:rsid w:val="00C94B0D"/>
    <w:rsid w:val="00C952B8"/>
    <w:rsid w:val="00C95CAF"/>
    <w:rsid w:val="00CA1153"/>
    <w:rsid w:val="00CA425A"/>
    <w:rsid w:val="00CA4353"/>
    <w:rsid w:val="00CA4F62"/>
    <w:rsid w:val="00CA5385"/>
    <w:rsid w:val="00CA6417"/>
    <w:rsid w:val="00CA6A7F"/>
    <w:rsid w:val="00CB0350"/>
    <w:rsid w:val="00CB04AD"/>
    <w:rsid w:val="00CB18A3"/>
    <w:rsid w:val="00CB37A4"/>
    <w:rsid w:val="00CB6FA9"/>
    <w:rsid w:val="00CC2139"/>
    <w:rsid w:val="00CC265A"/>
    <w:rsid w:val="00CC5AAD"/>
    <w:rsid w:val="00CC5CCB"/>
    <w:rsid w:val="00CD0CA0"/>
    <w:rsid w:val="00CD1B95"/>
    <w:rsid w:val="00CD22B6"/>
    <w:rsid w:val="00CD3575"/>
    <w:rsid w:val="00CD4194"/>
    <w:rsid w:val="00CD5B39"/>
    <w:rsid w:val="00CD6A6D"/>
    <w:rsid w:val="00CE0D5D"/>
    <w:rsid w:val="00CE1C57"/>
    <w:rsid w:val="00CE5537"/>
    <w:rsid w:val="00CE5A07"/>
    <w:rsid w:val="00CE7172"/>
    <w:rsid w:val="00CF0863"/>
    <w:rsid w:val="00CF0AC8"/>
    <w:rsid w:val="00CF1AF2"/>
    <w:rsid w:val="00CF22F5"/>
    <w:rsid w:val="00CF62F2"/>
    <w:rsid w:val="00CF6E42"/>
    <w:rsid w:val="00CF7BDB"/>
    <w:rsid w:val="00D014A8"/>
    <w:rsid w:val="00D032E0"/>
    <w:rsid w:val="00D03C09"/>
    <w:rsid w:val="00D0520D"/>
    <w:rsid w:val="00D05593"/>
    <w:rsid w:val="00D06037"/>
    <w:rsid w:val="00D066F1"/>
    <w:rsid w:val="00D06C5E"/>
    <w:rsid w:val="00D07908"/>
    <w:rsid w:val="00D17996"/>
    <w:rsid w:val="00D20B3D"/>
    <w:rsid w:val="00D21086"/>
    <w:rsid w:val="00D241A0"/>
    <w:rsid w:val="00D245EC"/>
    <w:rsid w:val="00D24D11"/>
    <w:rsid w:val="00D32145"/>
    <w:rsid w:val="00D33D52"/>
    <w:rsid w:val="00D34294"/>
    <w:rsid w:val="00D34BB1"/>
    <w:rsid w:val="00D34D18"/>
    <w:rsid w:val="00D354C0"/>
    <w:rsid w:val="00D358C3"/>
    <w:rsid w:val="00D428B5"/>
    <w:rsid w:val="00D43F13"/>
    <w:rsid w:val="00D444C4"/>
    <w:rsid w:val="00D4534A"/>
    <w:rsid w:val="00D462A0"/>
    <w:rsid w:val="00D46A91"/>
    <w:rsid w:val="00D46D1A"/>
    <w:rsid w:val="00D47208"/>
    <w:rsid w:val="00D50F46"/>
    <w:rsid w:val="00D53D99"/>
    <w:rsid w:val="00D557BC"/>
    <w:rsid w:val="00D5659D"/>
    <w:rsid w:val="00D60D66"/>
    <w:rsid w:val="00D630A0"/>
    <w:rsid w:val="00D662CD"/>
    <w:rsid w:val="00D6798C"/>
    <w:rsid w:val="00D679A5"/>
    <w:rsid w:val="00D70C31"/>
    <w:rsid w:val="00D70D55"/>
    <w:rsid w:val="00D710B1"/>
    <w:rsid w:val="00D718F3"/>
    <w:rsid w:val="00D71A04"/>
    <w:rsid w:val="00D753A6"/>
    <w:rsid w:val="00D767BC"/>
    <w:rsid w:val="00D7688C"/>
    <w:rsid w:val="00D82025"/>
    <w:rsid w:val="00D820DC"/>
    <w:rsid w:val="00D85C57"/>
    <w:rsid w:val="00D85CCB"/>
    <w:rsid w:val="00D87169"/>
    <w:rsid w:val="00D901AE"/>
    <w:rsid w:val="00D901E3"/>
    <w:rsid w:val="00D908A0"/>
    <w:rsid w:val="00D924E3"/>
    <w:rsid w:val="00D92F3E"/>
    <w:rsid w:val="00D93229"/>
    <w:rsid w:val="00D93B39"/>
    <w:rsid w:val="00D946CC"/>
    <w:rsid w:val="00D957BB"/>
    <w:rsid w:val="00D958DE"/>
    <w:rsid w:val="00D96218"/>
    <w:rsid w:val="00D96582"/>
    <w:rsid w:val="00D97206"/>
    <w:rsid w:val="00D973F1"/>
    <w:rsid w:val="00DA0A97"/>
    <w:rsid w:val="00DA0C0D"/>
    <w:rsid w:val="00DA6F9F"/>
    <w:rsid w:val="00DA72F3"/>
    <w:rsid w:val="00DA763C"/>
    <w:rsid w:val="00DA7C5E"/>
    <w:rsid w:val="00DB0439"/>
    <w:rsid w:val="00DB0810"/>
    <w:rsid w:val="00DB0E64"/>
    <w:rsid w:val="00DB23F9"/>
    <w:rsid w:val="00DB520D"/>
    <w:rsid w:val="00DB5E1A"/>
    <w:rsid w:val="00DB64C6"/>
    <w:rsid w:val="00DB6526"/>
    <w:rsid w:val="00DC20F9"/>
    <w:rsid w:val="00DC2262"/>
    <w:rsid w:val="00DC304E"/>
    <w:rsid w:val="00DC51E1"/>
    <w:rsid w:val="00DC69D5"/>
    <w:rsid w:val="00DC6FE1"/>
    <w:rsid w:val="00DC7757"/>
    <w:rsid w:val="00DC7BCA"/>
    <w:rsid w:val="00DD00EF"/>
    <w:rsid w:val="00DD248A"/>
    <w:rsid w:val="00DD4194"/>
    <w:rsid w:val="00DD42A5"/>
    <w:rsid w:val="00DD4C25"/>
    <w:rsid w:val="00DD549C"/>
    <w:rsid w:val="00DE2328"/>
    <w:rsid w:val="00DE3002"/>
    <w:rsid w:val="00DE445B"/>
    <w:rsid w:val="00DE5245"/>
    <w:rsid w:val="00DF0B5E"/>
    <w:rsid w:val="00DF2392"/>
    <w:rsid w:val="00DF61C5"/>
    <w:rsid w:val="00DF693C"/>
    <w:rsid w:val="00DF7F68"/>
    <w:rsid w:val="00E00448"/>
    <w:rsid w:val="00E047AE"/>
    <w:rsid w:val="00E059F4"/>
    <w:rsid w:val="00E0608D"/>
    <w:rsid w:val="00E07659"/>
    <w:rsid w:val="00E07B49"/>
    <w:rsid w:val="00E12833"/>
    <w:rsid w:val="00E13003"/>
    <w:rsid w:val="00E1300D"/>
    <w:rsid w:val="00E14E7A"/>
    <w:rsid w:val="00E22AC5"/>
    <w:rsid w:val="00E22CA2"/>
    <w:rsid w:val="00E326C4"/>
    <w:rsid w:val="00E33423"/>
    <w:rsid w:val="00E34879"/>
    <w:rsid w:val="00E34B93"/>
    <w:rsid w:val="00E35EC5"/>
    <w:rsid w:val="00E3737B"/>
    <w:rsid w:val="00E41945"/>
    <w:rsid w:val="00E420C4"/>
    <w:rsid w:val="00E429BE"/>
    <w:rsid w:val="00E43CF7"/>
    <w:rsid w:val="00E44A1C"/>
    <w:rsid w:val="00E44F40"/>
    <w:rsid w:val="00E51C00"/>
    <w:rsid w:val="00E530D2"/>
    <w:rsid w:val="00E5341B"/>
    <w:rsid w:val="00E5440F"/>
    <w:rsid w:val="00E556B0"/>
    <w:rsid w:val="00E55F21"/>
    <w:rsid w:val="00E57108"/>
    <w:rsid w:val="00E60CC1"/>
    <w:rsid w:val="00E62A23"/>
    <w:rsid w:val="00E62D49"/>
    <w:rsid w:val="00E63647"/>
    <w:rsid w:val="00E65C48"/>
    <w:rsid w:val="00E65D46"/>
    <w:rsid w:val="00E663F4"/>
    <w:rsid w:val="00E666E3"/>
    <w:rsid w:val="00E66F29"/>
    <w:rsid w:val="00E6780A"/>
    <w:rsid w:val="00E67EB8"/>
    <w:rsid w:val="00E717B2"/>
    <w:rsid w:val="00E719CF"/>
    <w:rsid w:val="00E72C61"/>
    <w:rsid w:val="00E7306B"/>
    <w:rsid w:val="00E736A7"/>
    <w:rsid w:val="00E738CC"/>
    <w:rsid w:val="00E74BA0"/>
    <w:rsid w:val="00E74F36"/>
    <w:rsid w:val="00E7555F"/>
    <w:rsid w:val="00E760C7"/>
    <w:rsid w:val="00E803BE"/>
    <w:rsid w:val="00E80637"/>
    <w:rsid w:val="00E80E1F"/>
    <w:rsid w:val="00E81A66"/>
    <w:rsid w:val="00E81C80"/>
    <w:rsid w:val="00E8217C"/>
    <w:rsid w:val="00E82257"/>
    <w:rsid w:val="00E8487E"/>
    <w:rsid w:val="00E848D9"/>
    <w:rsid w:val="00E855EA"/>
    <w:rsid w:val="00E878F0"/>
    <w:rsid w:val="00E87FEC"/>
    <w:rsid w:val="00E90293"/>
    <w:rsid w:val="00E92CDD"/>
    <w:rsid w:val="00E93544"/>
    <w:rsid w:val="00E94CE3"/>
    <w:rsid w:val="00E953FB"/>
    <w:rsid w:val="00E95A45"/>
    <w:rsid w:val="00E96025"/>
    <w:rsid w:val="00E96132"/>
    <w:rsid w:val="00E9682B"/>
    <w:rsid w:val="00E9683D"/>
    <w:rsid w:val="00E97BAB"/>
    <w:rsid w:val="00EA028D"/>
    <w:rsid w:val="00EA0D10"/>
    <w:rsid w:val="00EA100B"/>
    <w:rsid w:val="00EA278C"/>
    <w:rsid w:val="00EA6BB6"/>
    <w:rsid w:val="00EB2F17"/>
    <w:rsid w:val="00EB3459"/>
    <w:rsid w:val="00EB4CBA"/>
    <w:rsid w:val="00EB5252"/>
    <w:rsid w:val="00EB5757"/>
    <w:rsid w:val="00EB5A41"/>
    <w:rsid w:val="00EB7169"/>
    <w:rsid w:val="00EB7B72"/>
    <w:rsid w:val="00EC094C"/>
    <w:rsid w:val="00EC110B"/>
    <w:rsid w:val="00EC13CD"/>
    <w:rsid w:val="00EC2E8F"/>
    <w:rsid w:val="00EC4C91"/>
    <w:rsid w:val="00EC6847"/>
    <w:rsid w:val="00ED16CD"/>
    <w:rsid w:val="00ED696C"/>
    <w:rsid w:val="00ED69DB"/>
    <w:rsid w:val="00ED6ABD"/>
    <w:rsid w:val="00ED78AF"/>
    <w:rsid w:val="00EE02CB"/>
    <w:rsid w:val="00EE140F"/>
    <w:rsid w:val="00EE3E63"/>
    <w:rsid w:val="00EE4256"/>
    <w:rsid w:val="00EE42E3"/>
    <w:rsid w:val="00EE7763"/>
    <w:rsid w:val="00EE7BBA"/>
    <w:rsid w:val="00EF0772"/>
    <w:rsid w:val="00EF2984"/>
    <w:rsid w:val="00EF3F85"/>
    <w:rsid w:val="00F07D6D"/>
    <w:rsid w:val="00F13997"/>
    <w:rsid w:val="00F13C32"/>
    <w:rsid w:val="00F14AB4"/>
    <w:rsid w:val="00F177AE"/>
    <w:rsid w:val="00F17889"/>
    <w:rsid w:val="00F17979"/>
    <w:rsid w:val="00F20A34"/>
    <w:rsid w:val="00F22932"/>
    <w:rsid w:val="00F244DC"/>
    <w:rsid w:val="00F25510"/>
    <w:rsid w:val="00F26C05"/>
    <w:rsid w:val="00F27C2F"/>
    <w:rsid w:val="00F30967"/>
    <w:rsid w:val="00F31DD9"/>
    <w:rsid w:val="00F322F3"/>
    <w:rsid w:val="00F32D93"/>
    <w:rsid w:val="00F33090"/>
    <w:rsid w:val="00F34137"/>
    <w:rsid w:val="00F35E39"/>
    <w:rsid w:val="00F35EBA"/>
    <w:rsid w:val="00F36E52"/>
    <w:rsid w:val="00F40043"/>
    <w:rsid w:val="00F40BCB"/>
    <w:rsid w:val="00F41479"/>
    <w:rsid w:val="00F430D3"/>
    <w:rsid w:val="00F4631D"/>
    <w:rsid w:val="00F47939"/>
    <w:rsid w:val="00F512D4"/>
    <w:rsid w:val="00F51AAD"/>
    <w:rsid w:val="00F535C4"/>
    <w:rsid w:val="00F553C3"/>
    <w:rsid w:val="00F55F24"/>
    <w:rsid w:val="00F563BE"/>
    <w:rsid w:val="00F61150"/>
    <w:rsid w:val="00F66166"/>
    <w:rsid w:val="00F6655A"/>
    <w:rsid w:val="00F678EC"/>
    <w:rsid w:val="00F67967"/>
    <w:rsid w:val="00F72F56"/>
    <w:rsid w:val="00F74061"/>
    <w:rsid w:val="00F743B4"/>
    <w:rsid w:val="00F74B56"/>
    <w:rsid w:val="00F76D84"/>
    <w:rsid w:val="00F77DF8"/>
    <w:rsid w:val="00F80707"/>
    <w:rsid w:val="00F81D6A"/>
    <w:rsid w:val="00F82028"/>
    <w:rsid w:val="00F82D5A"/>
    <w:rsid w:val="00F83180"/>
    <w:rsid w:val="00F84D13"/>
    <w:rsid w:val="00F84E67"/>
    <w:rsid w:val="00F86544"/>
    <w:rsid w:val="00F87497"/>
    <w:rsid w:val="00F91DD0"/>
    <w:rsid w:val="00F92DC1"/>
    <w:rsid w:val="00F941B1"/>
    <w:rsid w:val="00F97687"/>
    <w:rsid w:val="00FA0E1A"/>
    <w:rsid w:val="00FA3A2E"/>
    <w:rsid w:val="00FA525B"/>
    <w:rsid w:val="00FA6B30"/>
    <w:rsid w:val="00FA7085"/>
    <w:rsid w:val="00FB2926"/>
    <w:rsid w:val="00FB2E05"/>
    <w:rsid w:val="00FB2E0C"/>
    <w:rsid w:val="00FB3E0C"/>
    <w:rsid w:val="00FB6970"/>
    <w:rsid w:val="00FC0DBB"/>
    <w:rsid w:val="00FC25DB"/>
    <w:rsid w:val="00FC28BA"/>
    <w:rsid w:val="00FC443C"/>
    <w:rsid w:val="00FC4F7B"/>
    <w:rsid w:val="00FC6E55"/>
    <w:rsid w:val="00FC7ECE"/>
    <w:rsid w:val="00FD0707"/>
    <w:rsid w:val="00FD4747"/>
    <w:rsid w:val="00FD670B"/>
    <w:rsid w:val="00FD7883"/>
    <w:rsid w:val="00FE1159"/>
    <w:rsid w:val="00FE14C5"/>
    <w:rsid w:val="00FE3C52"/>
    <w:rsid w:val="00FE4392"/>
    <w:rsid w:val="00FE6EBD"/>
    <w:rsid w:val="00FE75FE"/>
    <w:rsid w:val="00FF1003"/>
    <w:rsid w:val="00FF2F60"/>
    <w:rsid w:val="00FF423C"/>
    <w:rsid w:val="00FF44CE"/>
    <w:rsid w:val="00FF72A5"/>
    <w:rsid w:val="00FF7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3E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39"/>
    <w:lsdException w:name="footer" w:uiPriority="99"/>
    <w:lsdException w:name="caption" w:qFormat="1"/>
    <w:lsdException w:name="table of figures"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67"/>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D0976"/>
    <w:pPr>
      <w:keepNext/>
      <w:spacing w:before="240" w:after="120"/>
      <w:ind w:left="907" w:hanging="907"/>
      <w:outlineLvl w:val="2"/>
    </w:pPr>
    <w:rPr>
      <w:rFonts w:cs="Arial"/>
      <w:b/>
      <w:bCs/>
      <w:i/>
      <w:iCs/>
      <w:szCs w:val="22"/>
      <w:lang w:val="en-CA"/>
    </w:rPr>
  </w:style>
  <w:style w:type="paragraph" w:styleId="Heading4">
    <w:name w:val="heading 4"/>
    <w:basedOn w:val="Normal"/>
    <w:next w:val="Normal"/>
    <w:qFormat/>
    <w:rsid w:val="0048430B"/>
    <w:pPr>
      <w:keepNext/>
      <w:spacing w:before="120" w:after="240"/>
      <w:ind w:left="-86"/>
      <w:outlineLvl w:val="3"/>
    </w:pPr>
    <w:rPr>
      <w:rFonts w:cs="Arial"/>
      <w:b/>
      <w:bCs/>
      <w:szCs w:val="22"/>
      <w:u w:val="single"/>
    </w:rPr>
  </w:style>
  <w:style w:type="paragraph" w:styleId="Heading5">
    <w:name w:val="heading 5"/>
    <w:basedOn w:val="Normal"/>
    <w:next w:val="Normal"/>
    <w:qFormat/>
    <w:rsid w:val="00592720"/>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E5440F"/>
    <w:pPr>
      <w:numPr>
        <w:numId w:val="15"/>
      </w:numPr>
      <w:spacing w:after="120" w:line="360" w:lineRule="auto"/>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7F0B28"/>
    <w:rPr>
      <w:rFonts w:ascii="Times New Roman Bold" w:hAnsi="Times New Roman Bold"/>
      <w:b/>
      <w:bCs/>
      <w:caps/>
      <w:sz w:val="24"/>
      <w:szCs w:val="24"/>
    </w:rPr>
  </w:style>
  <w:style w:type="character" w:customStyle="1" w:styleId="Heading2Char">
    <w:name w:val="Heading 2 Char"/>
    <w:basedOn w:val="DefaultParagraphFont"/>
    <w:link w:val="Heading2"/>
    <w:locked/>
    <w:rsid w:val="007F0B28"/>
    <w:rPr>
      <w:rFonts w:cs="Arial"/>
      <w:b/>
      <w:bCs/>
      <w:iCs/>
      <w:sz w:val="24"/>
      <w:szCs w:val="28"/>
    </w:rPr>
  </w:style>
  <w:style w:type="paragraph" w:styleId="BodyTextIndent">
    <w:name w:val="Body Text Indent"/>
    <w:basedOn w:val="Normal"/>
    <w:link w:val="BodyTextIndentChar"/>
    <w:uiPriority w:val="99"/>
    <w:rsid w:val="007F0B28"/>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7F0B28"/>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7F0B28"/>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7F0B28"/>
  </w:style>
  <w:style w:type="paragraph" w:styleId="BodyText">
    <w:name w:val="Body Text"/>
    <w:basedOn w:val="Normal"/>
    <w:link w:val="BodyTextChar"/>
    <w:uiPriority w:val="99"/>
    <w:rsid w:val="007F0B28"/>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7F0B28"/>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7F0B28"/>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7F0B28"/>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Cover-Title">
    <w:name w:val="Cover-Title"/>
    <w:basedOn w:val="Normal"/>
    <w:qFormat/>
    <w:rsid w:val="007F0B28"/>
    <w:rPr>
      <w:rFonts w:ascii="Arial" w:hAnsi="Arial" w:cs="Arial"/>
      <w:b/>
      <w:bCs/>
      <w:color w:val="000000"/>
      <w:spacing w:val="-6"/>
      <w:sz w:val="60"/>
      <w:szCs w:val="60"/>
    </w:rPr>
  </w:style>
  <w:style w:type="paragraph" w:customStyle="1" w:styleId="aboxtxt">
    <w:name w:val="abox_txt"/>
    <w:qFormat/>
    <w:rsid w:val="007F0B28"/>
    <w:pPr>
      <w:framePr w:hSpace="144" w:wrap="around" w:vAnchor="text" w:hAnchor="text" w:xAlign="right" w:y="1"/>
      <w:spacing w:before="20" w:after="20"/>
      <w:suppressOverlap/>
    </w:pPr>
    <w:rPr>
      <w:rFonts w:ascii="Arial" w:hAnsi="Arial"/>
      <w:sz w:val="18"/>
    </w:rPr>
  </w:style>
  <w:style w:type="paragraph" w:customStyle="1" w:styleId="aboxhdg">
    <w:name w:val="abox_hdg"/>
    <w:qFormat/>
    <w:rsid w:val="007F0B28"/>
    <w:pPr>
      <w:framePr w:hSpace="144" w:wrap="around" w:vAnchor="text" w:hAnchor="text" w:xAlign="right" w:y="1"/>
      <w:spacing w:before="60" w:after="40"/>
      <w:suppressOverlap/>
      <w:jc w:val="center"/>
    </w:pPr>
    <w:rPr>
      <w:rFonts w:ascii="Arial" w:hAnsi="Arial"/>
      <w:b/>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bodytextpsg">
    <w:name w:val="body text_psg"/>
    <w:basedOn w:val="Normal"/>
    <w:link w:val="bodytextpsgCharChar"/>
    <w:rsid w:val="007F0B28"/>
    <w:pPr>
      <w:spacing w:after="240"/>
      <w:ind w:firstLine="720"/>
    </w:pPr>
    <w:rPr>
      <w:sz w:val="22"/>
      <w:szCs w:val="20"/>
    </w:rPr>
  </w:style>
  <w:style w:type="character" w:customStyle="1" w:styleId="bodytextpsgCharChar">
    <w:name w:val="body text_psg Char Char"/>
    <w:basedOn w:val="DefaultParagraphFont"/>
    <w:link w:val="bodytextpsg"/>
    <w:rsid w:val="007F0B28"/>
    <w:rPr>
      <w:sz w:val="22"/>
    </w:rPr>
  </w:style>
  <w:style w:type="paragraph" w:styleId="ListParagraph">
    <w:name w:val="List Paragraph"/>
    <w:basedOn w:val="Normal"/>
    <w:uiPriority w:val="34"/>
    <w:qFormat/>
    <w:rsid w:val="007F0B28"/>
    <w:pPr>
      <w:ind w:left="720"/>
      <w:contextualSpacing/>
    </w:pPr>
  </w:style>
  <w:style w:type="character" w:styleId="CommentReference">
    <w:name w:val="annotation reference"/>
    <w:basedOn w:val="DefaultParagraphFont"/>
    <w:uiPriority w:val="99"/>
    <w:rsid w:val="007F0B28"/>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7F0B28"/>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7F0B28"/>
  </w:style>
  <w:style w:type="paragraph" w:styleId="CommentSubject">
    <w:name w:val="annotation subject"/>
    <w:basedOn w:val="CommentText"/>
    <w:next w:val="CommentText"/>
    <w:link w:val="CommentSubjectChar"/>
    <w:rsid w:val="007F0B28"/>
    <w:rPr>
      <w:b/>
      <w:bCs/>
    </w:rPr>
  </w:style>
  <w:style w:type="character" w:customStyle="1" w:styleId="CommentSubjectChar">
    <w:name w:val="Comment Subject Char"/>
    <w:basedOn w:val="CommentTextChar"/>
    <w:link w:val="CommentSubject"/>
    <w:rsid w:val="007F0B28"/>
    <w:rPr>
      <w:b/>
      <w:bCs/>
    </w:rPr>
  </w:style>
  <w:style w:type="paragraph" w:customStyle="1" w:styleId="Bulletblank">
    <w:name w:val="Bullet_blank"/>
    <w:basedOn w:val="bullets"/>
    <w:qFormat/>
    <w:rsid w:val="007F0B28"/>
  </w:style>
  <w:style w:type="paragraph" w:customStyle="1" w:styleId="FootnoteText1">
    <w:name w:val="Footnote Text1"/>
    <w:rsid w:val="007F0B28"/>
    <w:pPr>
      <w:autoSpaceDE w:val="0"/>
      <w:autoSpaceDN w:val="0"/>
      <w:adjustRightInd w:val="0"/>
    </w:pPr>
  </w:style>
  <w:style w:type="paragraph" w:customStyle="1" w:styleId="bulletslast">
    <w:name w:val="bullets_last"/>
    <w:basedOn w:val="bullets"/>
    <w:qFormat/>
    <w:rsid w:val="007F0B28"/>
    <w:pPr>
      <w:spacing w:after="240" w:line="240" w:lineRule="auto"/>
    </w:pPr>
    <w:rPr>
      <w:color w:val="auto"/>
      <w:sz w:val="22"/>
      <w:szCs w:val="20"/>
    </w:rPr>
  </w:style>
  <w:style w:type="character" w:customStyle="1" w:styleId="apple-style-span">
    <w:name w:val="apple-style-span"/>
    <w:basedOn w:val="DefaultParagraphFont"/>
    <w:rsid w:val="007F0B28"/>
  </w:style>
  <w:style w:type="character" w:customStyle="1" w:styleId="apple-converted-space">
    <w:name w:val="apple-converted-space"/>
    <w:basedOn w:val="DefaultParagraphFont"/>
    <w:rsid w:val="007F0B28"/>
  </w:style>
  <w:style w:type="paragraph" w:customStyle="1" w:styleId="Default">
    <w:name w:val="Default"/>
    <w:rsid w:val="007F0B28"/>
    <w:pPr>
      <w:autoSpaceDE w:val="0"/>
      <w:autoSpaceDN w:val="0"/>
      <w:adjustRightInd w:val="0"/>
    </w:pPr>
    <w:rPr>
      <w:rFonts w:ascii="News Gothic" w:hAnsi="News Gothic" w:cs="News Gothic"/>
      <w:color w:val="000000"/>
      <w:sz w:val="24"/>
      <w:szCs w:val="24"/>
    </w:rPr>
  </w:style>
  <w:style w:type="character" w:customStyle="1" w:styleId="A6">
    <w:name w:val="A6"/>
    <w:uiPriority w:val="99"/>
    <w:rsid w:val="007F0B28"/>
    <w:rPr>
      <w:rFonts w:cs="Minion"/>
      <w:color w:val="000000"/>
      <w:sz w:val="11"/>
      <w:szCs w:val="11"/>
    </w:rPr>
  </w:style>
  <w:style w:type="character" w:styleId="FollowedHyperlink">
    <w:name w:val="FollowedHyperlink"/>
    <w:basedOn w:val="DefaultParagraphFont"/>
    <w:rsid w:val="007F0B28"/>
    <w:rPr>
      <w:color w:val="800080"/>
      <w:u w:val="single"/>
    </w:rPr>
  </w:style>
  <w:style w:type="character" w:customStyle="1" w:styleId="Footer1">
    <w:name w:val="Footer1"/>
    <w:basedOn w:val="DefaultParagraphFont"/>
    <w:rsid w:val="007F0B28"/>
  </w:style>
  <w:style w:type="paragraph" w:customStyle="1" w:styleId="ExhibitTitle">
    <w:name w:val="Exhibit Title"/>
    <w:basedOn w:val="FigureTitle"/>
    <w:qFormat/>
    <w:rsid w:val="00592720"/>
    <w:pPr>
      <w:spacing w:line="360" w:lineRule="auto"/>
      <w:contextualSpacing/>
    </w:pPr>
    <w:rPr>
      <w:snapToGrid w:val="0"/>
      <w:sz w:val="22"/>
      <w:szCs w:val="22"/>
    </w:rPr>
  </w:style>
  <w:style w:type="paragraph" w:customStyle="1" w:styleId="Style1">
    <w:name w:val="Style1"/>
    <w:basedOn w:val="Normal"/>
    <w:qFormat/>
    <w:rsid w:val="00592720"/>
    <w:rPr>
      <w:bCs/>
      <w:sz w:val="20"/>
    </w:rPr>
  </w:style>
  <w:style w:type="paragraph" w:customStyle="1" w:styleId="Tabletext">
    <w:name w:val="Table text"/>
    <w:basedOn w:val="Normal"/>
    <w:qFormat/>
    <w:rsid w:val="009D0976"/>
    <w:pPr>
      <w:autoSpaceDE w:val="0"/>
      <w:autoSpaceDN w:val="0"/>
      <w:spacing w:before="80" w:after="80"/>
      <w:contextualSpacing/>
    </w:pPr>
    <w:rPr>
      <w:bCs/>
      <w:sz w:val="22"/>
      <w:szCs w:val="22"/>
    </w:rPr>
  </w:style>
  <w:style w:type="paragraph" w:customStyle="1" w:styleId="bulletsblank">
    <w:name w:val="bullets blank"/>
    <w:basedOn w:val="BodyText1"/>
    <w:qFormat/>
    <w:rsid w:val="00076767"/>
    <w:pPr>
      <w:ind w:left="1350" w:hanging="630"/>
      <w:contextualSpacing/>
    </w:pPr>
    <w:rPr>
      <w:szCs w:val="22"/>
    </w:rPr>
  </w:style>
  <w:style w:type="table" w:styleId="TableList3">
    <w:name w:val="Table List 3"/>
    <w:basedOn w:val="TableNormal"/>
    <w:rsid w:val="00E54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2C66D1"/>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styleId="Revision">
    <w:name w:val="Revision"/>
    <w:hidden/>
    <w:uiPriority w:val="99"/>
    <w:semiHidden/>
    <w:rsid w:val="009930E8"/>
    <w:rPr>
      <w:sz w:val="24"/>
      <w:szCs w:val="24"/>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EmailStyle801">
    <w:name w:val="EmailStyle801"/>
    <w:basedOn w:val="DefaultParagraphFont"/>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basedOn w:val="DefaultParagraphFont"/>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BodyText2">
    <w:name w:val="Body Text 2"/>
    <w:basedOn w:val="Normal"/>
    <w:link w:val="BodyText2Char"/>
    <w:rsid w:val="009228CF"/>
    <w:pPr>
      <w:spacing w:after="120" w:line="480" w:lineRule="auto"/>
    </w:pPr>
  </w:style>
  <w:style w:type="character" w:customStyle="1" w:styleId="BodyText2Char">
    <w:name w:val="Body Text 2 Char"/>
    <w:basedOn w:val="DefaultParagraphFont"/>
    <w:link w:val="BodyText2"/>
    <w:rsid w:val="009228CF"/>
    <w:rPr>
      <w:sz w:val="24"/>
      <w:szCs w:val="24"/>
    </w:rPr>
  </w:style>
  <w:style w:type="paragraph" w:customStyle="1" w:styleId="Tablehead">
    <w:name w:val="Tablehead"/>
    <w:basedOn w:val="NormalWeb"/>
    <w:rsid w:val="009228CF"/>
    <w:pPr>
      <w:spacing w:line="480" w:lineRule="auto"/>
    </w:pPr>
    <w:rPr>
      <w:rFonts w:ascii="Times New Roman" w:hAnsi="Times New Roman" w:cs="Times New Roman"/>
      <w:color w:val="auto"/>
    </w:rPr>
  </w:style>
  <w:style w:type="character" w:customStyle="1" w:styleId="il">
    <w:name w:val="il"/>
    <w:basedOn w:val="DefaultParagraphFont"/>
    <w:rsid w:val="00D96582"/>
  </w:style>
  <w:style w:type="character" w:customStyle="1" w:styleId="Heading3Char">
    <w:name w:val="Heading 3 Char"/>
    <w:basedOn w:val="DefaultParagraphFont"/>
    <w:link w:val="Heading3"/>
    <w:rsid w:val="00E80E1F"/>
    <w:rPr>
      <w:rFonts w:cs="Arial"/>
      <w:b/>
      <w:bCs/>
      <w:i/>
      <w:iCs/>
      <w:sz w:val="24"/>
      <w:szCs w:val="22"/>
      <w:lang w:val="en-CA"/>
    </w:rPr>
  </w:style>
  <w:style w:type="table" w:styleId="LightShading">
    <w:name w:val="Light Shading"/>
    <w:basedOn w:val="TableNormal"/>
    <w:uiPriority w:val="60"/>
    <w:rsid w:val="00F27C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4C7159"/>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39"/>
    <w:lsdException w:name="footer" w:uiPriority="99"/>
    <w:lsdException w:name="caption" w:qFormat="1"/>
    <w:lsdException w:name="table of figures"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67"/>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D0976"/>
    <w:pPr>
      <w:keepNext/>
      <w:spacing w:before="240" w:after="120"/>
      <w:ind w:left="907" w:hanging="907"/>
      <w:outlineLvl w:val="2"/>
    </w:pPr>
    <w:rPr>
      <w:rFonts w:cs="Arial"/>
      <w:b/>
      <w:bCs/>
      <w:i/>
      <w:iCs/>
      <w:szCs w:val="22"/>
      <w:lang w:val="en-CA"/>
    </w:rPr>
  </w:style>
  <w:style w:type="paragraph" w:styleId="Heading4">
    <w:name w:val="heading 4"/>
    <w:basedOn w:val="Normal"/>
    <w:next w:val="Normal"/>
    <w:qFormat/>
    <w:rsid w:val="0048430B"/>
    <w:pPr>
      <w:keepNext/>
      <w:spacing w:before="120" w:after="240"/>
      <w:ind w:left="-86"/>
      <w:outlineLvl w:val="3"/>
    </w:pPr>
    <w:rPr>
      <w:rFonts w:cs="Arial"/>
      <w:b/>
      <w:bCs/>
      <w:szCs w:val="22"/>
      <w:u w:val="single"/>
    </w:rPr>
  </w:style>
  <w:style w:type="paragraph" w:styleId="Heading5">
    <w:name w:val="heading 5"/>
    <w:basedOn w:val="Normal"/>
    <w:next w:val="Normal"/>
    <w:qFormat/>
    <w:rsid w:val="00592720"/>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E5440F"/>
    <w:pPr>
      <w:numPr>
        <w:numId w:val="15"/>
      </w:numPr>
      <w:spacing w:after="120" w:line="360" w:lineRule="auto"/>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7F0B28"/>
    <w:rPr>
      <w:rFonts w:ascii="Times New Roman Bold" w:hAnsi="Times New Roman Bold"/>
      <w:b/>
      <w:bCs/>
      <w:caps/>
      <w:sz w:val="24"/>
      <w:szCs w:val="24"/>
    </w:rPr>
  </w:style>
  <w:style w:type="character" w:customStyle="1" w:styleId="Heading2Char">
    <w:name w:val="Heading 2 Char"/>
    <w:basedOn w:val="DefaultParagraphFont"/>
    <w:link w:val="Heading2"/>
    <w:locked/>
    <w:rsid w:val="007F0B28"/>
    <w:rPr>
      <w:rFonts w:cs="Arial"/>
      <w:b/>
      <w:bCs/>
      <w:iCs/>
      <w:sz w:val="24"/>
      <w:szCs w:val="28"/>
    </w:rPr>
  </w:style>
  <w:style w:type="paragraph" w:styleId="BodyTextIndent">
    <w:name w:val="Body Text Indent"/>
    <w:basedOn w:val="Normal"/>
    <w:link w:val="BodyTextIndentChar"/>
    <w:uiPriority w:val="99"/>
    <w:rsid w:val="007F0B28"/>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7F0B28"/>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7F0B28"/>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7F0B28"/>
  </w:style>
  <w:style w:type="paragraph" w:styleId="BodyText">
    <w:name w:val="Body Text"/>
    <w:basedOn w:val="Normal"/>
    <w:link w:val="BodyTextChar"/>
    <w:uiPriority w:val="99"/>
    <w:rsid w:val="007F0B28"/>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7F0B28"/>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7F0B28"/>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7F0B28"/>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Cover-Title">
    <w:name w:val="Cover-Title"/>
    <w:basedOn w:val="Normal"/>
    <w:qFormat/>
    <w:rsid w:val="007F0B28"/>
    <w:rPr>
      <w:rFonts w:ascii="Arial" w:hAnsi="Arial" w:cs="Arial"/>
      <w:b/>
      <w:bCs/>
      <w:color w:val="000000"/>
      <w:spacing w:val="-6"/>
      <w:sz w:val="60"/>
      <w:szCs w:val="60"/>
    </w:rPr>
  </w:style>
  <w:style w:type="paragraph" w:customStyle="1" w:styleId="aboxtxt">
    <w:name w:val="abox_txt"/>
    <w:qFormat/>
    <w:rsid w:val="007F0B28"/>
    <w:pPr>
      <w:framePr w:hSpace="144" w:wrap="around" w:vAnchor="text" w:hAnchor="text" w:xAlign="right" w:y="1"/>
      <w:spacing w:before="20" w:after="20"/>
      <w:suppressOverlap/>
    </w:pPr>
    <w:rPr>
      <w:rFonts w:ascii="Arial" w:hAnsi="Arial"/>
      <w:sz w:val="18"/>
    </w:rPr>
  </w:style>
  <w:style w:type="paragraph" w:customStyle="1" w:styleId="aboxhdg">
    <w:name w:val="abox_hdg"/>
    <w:qFormat/>
    <w:rsid w:val="007F0B28"/>
    <w:pPr>
      <w:framePr w:hSpace="144" w:wrap="around" w:vAnchor="text" w:hAnchor="text" w:xAlign="right" w:y="1"/>
      <w:spacing w:before="60" w:after="40"/>
      <w:suppressOverlap/>
      <w:jc w:val="center"/>
    </w:pPr>
    <w:rPr>
      <w:rFonts w:ascii="Arial" w:hAnsi="Arial"/>
      <w:b/>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bodytextpsg">
    <w:name w:val="body text_psg"/>
    <w:basedOn w:val="Normal"/>
    <w:link w:val="bodytextpsgCharChar"/>
    <w:rsid w:val="007F0B28"/>
    <w:pPr>
      <w:spacing w:after="240"/>
      <w:ind w:firstLine="720"/>
    </w:pPr>
    <w:rPr>
      <w:sz w:val="22"/>
      <w:szCs w:val="20"/>
    </w:rPr>
  </w:style>
  <w:style w:type="character" w:customStyle="1" w:styleId="bodytextpsgCharChar">
    <w:name w:val="body text_psg Char Char"/>
    <w:basedOn w:val="DefaultParagraphFont"/>
    <w:link w:val="bodytextpsg"/>
    <w:rsid w:val="007F0B28"/>
    <w:rPr>
      <w:sz w:val="22"/>
    </w:rPr>
  </w:style>
  <w:style w:type="paragraph" w:styleId="ListParagraph">
    <w:name w:val="List Paragraph"/>
    <w:basedOn w:val="Normal"/>
    <w:uiPriority w:val="34"/>
    <w:qFormat/>
    <w:rsid w:val="007F0B28"/>
    <w:pPr>
      <w:ind w:left="720"/>
      <w:contextualSpacing/>
    </w:pPr>
  </w:style>
  <w:style w:type="character" w:styleId="CommentReference">
    <w:name w:val="annotation reference"/>
    <w:basedOn w:val="DefaultParagraphFont"/>
    <w:uiPriority w:val="99"/>
    <w:rsid w:val="007F0B28"/>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7F0B28"/>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7F0B28"/>
  </w:style>
  <w:style w:type="paragraph" w:styleId="CommentSubject">
    <w:name w:val="annotation subject"/>
    <w:basedOn w:val="CommentText"/>
    <w:next w:val="CommentText"/>
    <w:link w:val="CommentSubjectChar"/>
    <w:rsid w:val="007F0B28"/>
    <w:rPr>
      <w:b/>
      <w:bCs/>
    </w:rPr>
  </w:style>
  <w:style w:type="character" w:customStyle="1" w:styleId="CommentSubjectChar">
    <w:name w:val="Comment Subject Char"/>
    <w:basedOn w:val="CommentTextChar"/>
    <w:link w:val="CommentSubject"/>
    <w:rsid w:val="007F0B28"/>
    <w:rPr>
      <w:b/>
      <w:bCs/>
    </w:rPr>
  </w:style>
  <w:style w:type="paragraph" w:customStyle="1" w:styleId="Bulletblank">
    <w:name w:val="Bullet_blank"/>
    <w:basedOn w:val="bullets"/>
    <w:qFormat/>
    <w:rsid w:val="007F0B28"/>
  </w:style>
  <w:style w:type="paragraph" w:customStyle="1" w:styleId="FootnoteText1">
    <w:name w:val="Footnote Text1"/>
    <w:rsid w:val="007F0B28"/>
    <w:pPr>
      <w:autoSpaceDE w:val="0"/>
      <w:autoSpaceDN w:val="0"/>
      <w:adjustRightInd w:val="0"/>
    </w:pPr>
  </w:style>
  <w:style w:type="paragraph" w:customStyle="1" w:styleId="bulletslast">
    <w:name w:val="bullets_last"/>
    <w:basedOn w:val="bullets"/>
    <w:qFormat/>
    <w:rsid w:val="007F0B28"/>
    <w:pPr>
      <w:spacing w:after="240" w:line="240" w:lineRule="auto"/>
    </w:pPr>
    <w:rPr>
      <w:color w:val="auto"/>
      <w:sz w:val="22"/>
      <w:szCs w:val="20"/>
    </w:rPr>
  </w:style>
  <w:style w:type="character" w:customStyle="1" w:styleId="apple-style-span">
    <w:name w:val="apple-style-span"/>
    <w:basedOn w:val="DefaultParagraphFont"/>
    <w:rsid w:val="007F0B28"/>
  </w:style>
  <w:style w:type="character" w:customStyle="1" w:styleId="apple-converted-space">
    <w:name w:val="apple-converted-space"/>
    <w:basedOn w:val="DefaultParagraphFont"/>
    <w:rsid w:val="007F0B28"/>
  </w:style>
  <w:style w:type="paragraph" w:customStyle="1" w:styleId="Default">
    <w:name w:val="Default"/>
    <w:rsid w:val="007F0B28"/>
    <w:pPr>
      <w:autoSpaceDE w:val="0"/>
      <w:autoSpaceDN w:val="0"/>
      <w:adjustRightInd w:val="0"/>
    </w:pPr>
    <w:rPr>
      <w:rFonts w:ascii="News Gothic" w:hAnsi="News Gothic" w:cs="News Gothic"/>
      <w:color w:val="000000"/>
      <w:sz w:val="24"/>
      <w:szCs w:val="24"/>
    </w:rPr>
  </w:style>
  <w:style w:type="character" w:customStyle="1" w:styleId="A6">
    <w:name w:val="A6"/>
    <w:uiPriority w:val="99"/>
    <w:rsid w:val="007F0B28"/>
    <w:rPr>
      <w:rFonts w:cs="Minion"/>
      <w:color w:val="000000"/>
      <w:sz w:val="11"/>
      <w:szCs w:val="11"/>
    </w:rPr>
  </w:style>
  <w:style w:type="character" w:styleId="FollowedHyperlink">
    <w:name w:val="FollowedHyperlink"/>
    <w:basedOn w:val="DefaultParagraphFont"/>
    <w:rsid w:val="007F0B28"/>
    <w:rPr>
      <w:color w:val="800080"/>
      <w:u w:val="single"/>
    </w:rPr>
  </w:style>
  <w:style w:type="character" w:customStyle="1" w:styleId="Footer1">
    <w:name w:val="Footer1"/>
    <w:basedOn w:val="DefaultParagraphFont"/>
    <w:rsid w:val="007F0B28"/>
  </w:style>
  <w:style w:type="paragraph" w:customStyle="1" w:styleId="ExhibitTitle">
    <w:name w:val="Exhibit Title"/>
    <w:basedOn w:val="FigureTitle"/>
    <w:qFormat/>
    <w:rsid w:val="00592720"/>
    <w:pPr>
      <w:spacing w:line="360" w:lineRule="auto"/>
      <w:contextualSpacing/>
    </w:pPr>
    <w:rPr>
      <w:snapToGrid w:val="0"/>
      <w:sz w:val="22"/>
      <w:szCs w:val="22"/>
    </w:rPr>
  </w:style>
  <w:style w:type="paragraph" w:customStyle="1" w:styleId="Style1">
    <w:name w:val="Style1"/>
    <w:basedOn w:val="Normal"/>
    <w:qFormat/>
    <w:rsid w:val="00592720"/>
    <w:rPr>
      <w:bCs/>
      <w:sz w:val="20"/>
    </w:rPr>
  </w:style>
  <w:style w:type="paragraph" w:customStyle="1" w:styleId="Tabletext">
    <w:name w:val="Table text"/>
    <w:basedOn w:val="Normal"/>
    <w:qFormat/>
    <w:rsid w:val="009D0976"/>
    <w:pPr>
      <w:autoSpaceDE w:val="0"/>
      <w:autoSpaceDN w:val="0"/>
      <w:spacing w:before="80" w:after="80"/>
      <w:contextualSpacing/>
    </w:pPr>
    <w:rPr>
      <w:bCs/>
      <w:sz w:val="22"/>
      <w:szCs w:val="22"/>
    </w:rPr>
  </w:style>
  <w:style w:type="paragraph" w:customStyle="1" w:styleId="bulletsblank">
    <w:name w:val="bullets blank"/>
    <w:basedOn w:val="BodyText1"/>
    <w:qFormat/>
    <w:rsid w:val="00076767"/>
    <w:pPr>
      <w:ind w:left="1350" w:hanging="630"/>
      <w:contextualSpacing/>
    </w:pPr>
    <w:rPr>
      <w:szCs w:val="22"/>
    </w:rPr>
  </w:style>
  <w:style w:type="table" w:styleId="TableList3">
    <w:name w:val="Table List 3"/>
    <w:basedOn w:val="TableNormal"/>
    <w:rsid w:val="00E54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2C66D1"/>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styleId="Revision">
    <w:name w:val="Revision"/>
    <w:hidden/>
    <w:uiPriority w:val="99"/>
    <w:semiHidden/>
    <w:rsid w:val="009930E8"/>
    <w:rPr>
      <w:sz w:val="24"/>
      <w:szCs w:val="24"/>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EmailStyle801">
    <w:name w:val="EmailStyle801"/>
    <w:basedOn w:val="DefaultParagraphFont"/>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basedOn w:val="DefaultParagraphFont"/>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BodyText2">
    <w:name w:val="Body Text 2"/>
    <w:basedOn w:val="Normal"/>
    <w:link w:val="BodyText2Char"/>
    <w:rsid w:val="009228CF"/>
    <w:pPr>
      <w:spacing w:after="120" w:line="480" w:lineRule="auto"/>
    </w:pPr>
  </w:style>
  <w:style w:type="character" w:customStyle="1" w:styleId="BodyText2Char">
    <w:name w:val="Body Text 2 Char"/>
    <w:basedOn w:val="DefaultParagraphFont"/>
    <w:link w:val="BodyText2"/>
    <w:rsid w:val="009228CF"/>
    <w:rPr>
      <w:sz w:val="24"/>
      <w:szCs w:val="24"/>
    </w:rPr>
  </w:style>
  <w:style w:type="paragraph" w:customStyle="1" w:styleId="Tablehead">
    <w:name w:val="Tablehead"/>
    <w:basedOn w:val="NormalWeb"/>
    <w:rsid w:val="009228CF"/>
    <w:pPr>
      <w:spacing w:line="480" w:lineRule="auto"/>
    </w:pPr>
    <w:rPr>
      <w:rFonts w:ascii="Times New Roman" w:hAnsi="Times New Roman" w:cs="Times New Roman"/>
      <w:color w:val="auto"/>
    </w:rPr>
  </w:style>
  <w:style w:type="character" w:customStyle="1" w:styleId="il">
    <w:name w:val="il"/>
    <w:basedOn w:val="DefaultParagraphFont"/>
    <w:rsid w:val="00D96582"/>
  </w:style>
  <w:style w:type="character" w:customStyle="1" w:styleId="Heading3Char">
    <w:name w:val="Heading 3 Char"/>
    <w:basedOn w:val="DefaultParagraphFont"/>
    <w:link w:val="Heading3"/>
    <w:rsid w:val="00E80E1F"/>
    <w:rPr>
      <w:rFonts w:cs="Arial"/>
      <w:b/>
      <w:bCs/>
      <w:i/>
      <w:iCs/>
      <w:sz w:val="24"/>
      <w:szCs w:val="22"/>
      <w:lang w:val="en-CA"/>
    </w:rPr>
  </w:style>
  <w:style w:type="table" w:styleId="LightShading">
    <w:name w:val="Light Shading"/>
    <w:basedOn w:val="TableNormal"/>
    <w:uiPriority w:val="60"/>
    <w:rsid w:val="00F27C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4C7159"/>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2186">
      <w:bodyDiv w:val="1"/>
      <w:marLeft w:val="0"/>
      <w:marRight w:val="0"/>
      <w:marTop w:val="0"/>
      <w:marBottom w:val="0"/>
      <w:divBdr>
        <w:top w:val="none" w:sz="0" w:space="0" w:color="auto"/>
        <w:left w:val="none" w:sz="0" w:space="0" w:color="auto"/>
        <w:bottom w:val="none" w:sz="0" w:space="0" w:color="auto"/>
        <w:right w:val="none" w:sz="0" w:space="0" w:color="auto"/>
      </w:divBdr>
    </w:div>
    <w:div w:id="287007473">
      <w:bodyDiv w:val="1"/>
      <w:marLeft w:val="0"/>
      <w:marRight w:val="0"/>
      <w:marTop w:val="0"/>
      <w:marBottom w:val="0"/>
      <w:divBdr>
        <w:top w:val="none" w:sz="0" w:space="0" w:color="auto"/>
        <w:left w:val="none" w:sz="0" w:space="0" w:color="auto"/>
        <w:bottom w:val="none" w:sz="0" w:space="0" w:color="auto"/>
        <w:right w:val="none" w:sz="0" w:space="0" w:color="auto"/>
      </w:divBdr>
    </w:div>
    <w:div w:id="292253865">
      <w:bodyDiv w:val="1"/>
      <w:marLeft w:val="0"/>
      <w:marRight w:val="0"/>
      <w:marTop w:val="0"/>
      <w:marBottom w:val="0"/>
      <w:divBdr>
        <w:top w:val="none" w:sz="0" w:space="0" w:color="auto"/>
        <w:left w:val="none" w:sz="0" w:space="0" w:color="auto"/>
        <w:bottom w:val="none" w:sz="0" w:space="0" w:color="auto"/>
        <w:right w:val="none" w:sz="0" w:space="0" w:color="auto"/>
      </w:divBdr>
    </w:div>
    <w:div w:id="369644464">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67552988">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61644742">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9952274">
      <w:bodyDiv w:val="1"/>
      <w:marLeft w:val="0"/>
      <w:marRight w:val="0"/>
      <w:marTop w:val="0"/>
      <w:marBottom w:val="0"/>
      <w:divBdr>
        <w:top w:val="none" w:sz="0" w:space="0" w:color="auto"/>
        <w:left w:val="none" w:sz="0" w:space="0" w:color="auto"/>
        <w:bottom w:val="none" w:sz="0" w:space="0" w:color="auto"/>
        <w:right w:val="none" w:sz="0" w:space="0" w:color="auto"/>
      </w:divBdr>
    </w:div>
    <w:div w:id="1151556313">
      <w:bodyDiv w:val="1"/>
      <w:marLeft w:val="0"/>
      <w:marRight w:val="0"/>
      <w:marTop w:val="0"/>
      <w:marBottom w:val="0"/>
      <w:divBdr>
        <w:top w:val="none" w:sz="0" w:space="0" w:color="auto"/>
        <w:left w:val="none" w:sz="0" w:space="0" w:color="auto"/>
        <w:bottom w:val="none" w:sz="0" w:space="0" w:color="auto"/>
        <w:right w:val="none" w:sz="0" w:space="0" w:color="auto"/>
      </w:divBdr>
    </w:div>
    <w:div w:id="137909238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5169">
      <w:bodyDiv w:val="1"/>
      <w:marLeft w:val="0"/>
      <w:marRight w:val="0"/>
      <w:marTop w:val="0"/>
      <w:marBottom w:val="0"/>
      <w:divBdr>
        <w:top w:val="none" w:sz="0" w:space="0" w:color="auto"/>
        <w:left w:val="none" w:sz="0" w:space="0" w:color="auto"/>
        <w:bottom w:val="none" w:sz="0" w:space="0" w:color="auto"/>
        <w:right w:val="none" w:sz="0" w:space="0" w:color="auto"/>
      </w:divBdr>
    </w:div>
    <w:div w:id="1597858939">
      <w:bodyDiv w:val="1"/>
      <w:marLeft w:val="0"/>
      <w:marRight w:val="0"/>
      <w:marTop w:val="0"/>
      <w:marBottom w:val="0"/>
      <w:divBdr>
        <w:top w:val="none" w:sz="0" w:space="0" w:color="auto"/>
        <w:left w:val="none" w:sz="0" w:space="0" w:color="auto"/>
        <w:bottom w:val="none" w:sz="0" w:space="0" w:color="auto"/>
        <w:right w:val="none" w:sz="0" w:space="0" w:color="auto"/>
      </w:divBdr>
    </w:div>
    <w:div w:id="1714427369">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331160">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218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onder.cdc.gov/wonder/help/populations/bridged-race/Directive15.html" TargetMode="External"/><Relationship Id="rId3" Type="http://schemas.openxmlformats.org/officeDocument/2006/relationships/numbering" Target="numbering.xml"/><Relationship Id="rId21" Type="http://schemas.openxmlformats.org/officeDocument/2006/relationships/hyperlink" Target="mailto:Koehler.larainne@Epa.gov"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KSMiller@cdc.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Long.Bill@epa.gov"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Peter.J.Ashley@hud.gov"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mailto:palmer.janise@epa.gov"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Eugene.A.Pinzer@hud.gov" TargetMode="External"/><Relationship Id="rId27" Type="http://schemas.openxmlformats.org/officeDocument/2006/relationships/hyperlink" Target="http://www.Reginfo.gov" TargetMode="External"/><Relationship Id="rId30" Type="http://schemas.openxmlformats.org/officeDocument/2006/relationships/header" Target="header9.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61E3-F594-4165-B5D8-DE1DF0F9381F}">
  <ds:schemaRefs>
    <ds:schemaRef ds:uri="http://schemas.openxmlformats.org/officeDocument/2006/bibliography"/>
  </ds:schemaRefs>
</ds:datastoreItem>
</file>

<file path=customXml/itemProps2.xml><?xml version="1.0" encoding="utf-8"?>
<ds:datastoreItem xmlns:ds="http://schemas.openxmlformats.org/officeDocument/2006/customXml" ds:itemID="{E3CAFE92-632E-45B6-A3FC-BA45EAD9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5814</Words>
  <Characters>42480</Characters>
  <Application>Microsoft Office Word</Application>
  <DocSecurity>0</DocSecurity>
  <Lines>354</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48198</CharactersWithSpaces>
  <SharedDoc>false</SharedDoc>
  <HLinks>
    <vt:vector size="420" baseType="variant">
      <vt:variant>
        <vt:i4>2031682</vt:i4>
      </vt:variant>
      <vt:variant>
        <vt:i4>410</vt:i4>
      </vt:variant>
      <vt:variant>
        <vt:i4>0</vt:i4>
      </vt:variant>
      <vt:variant>
        <vt:i4>5</vt:i4>
      </vt:variant>
      <vt:variant>
        <vt:lpwstr>http://www.ncbi.nlm.nih.gov/pubmed?term=%22Abrams%20DB%22%5BAuthor%5D</vt:lpwstr>
      </vt:variant>
      <vt:variant>
        <vt:lpwstr/>
      </vt:variant>
      <vt:variant>
        <vt:i4>3801198</vt:i4>
      </vt:variant>
      <vt:variant>
        <vt:i4>407</vt:i4>
      </vt:variant>
      <vt:variant>
        <vt:i4>0</vt:i4>
      </vt:variant>
      <vt:variant>
        <vt:i4>5</vt:i4>
      </vt:variant>
      <vt:variant>
        <vt:lpwstr>http://www.ncbi.nlm.nih.gov/pubmed?term=%22Papandonatos%20G%22%5BAuthor%5D</vt:lpwstr>
      </vt:variant>
      <vt:variant>
        <vt:lpwstr/>
      </vt:variant>
      <vt:variant>
        <vt:i4>6357040</vt:i4>
      </vt:variant>
      <vt:variant>
        <vt:i4>404</vt:i4>
      </vt:variant>
      <vt:variant>
        <vt:i4>0</vt:i4>
      </vt:variant>
      <vt:variant>
        <vt:i4>5</vt:i4>
      </vt:variant>
      <vt:variant>
        <vt:lpwstr>http://www.ncbi.nlm.nih.gov/pubmed?term=%22Bock%20BC%22%5BAuthor%5D</vt:lpwstr>
      </vt:variant>
      <vt:variant>
        <vt:lpwstr/>
      </vt:variant>
      <vt:variant>
        <vt:i4>524352</vt:i4>
      </vt:variant>
      <vt:variant>
        <vt:i4>401</vt:i4>
      </vt:variant>
      <vt:variant>
        <vt:i4>0</vt:i4>
      </vt:variant>
      <vt:variant>
        <vt:i4>5</vt:i4>
      </vt:variant>
      <vt:variant>
        <vt:lpwstr>http://www.ncbi.nlm.nih.gov/pubmed?term=%22Graham%20AL%22%5BAuthor%5D</vt:lpwstr>
      </vt:variant>
      <vt:variant>
        <vt:lpwstr/>
      </vt:variant>
      <vt:variant>
        <vt:i4>6881333</vt:i4>
      </vt:variant>
      <vt:variant>
        <vt:i4>398</vt:i4>
      </vt:variant>
      <vt:variant>
        <vt:i4>0</vt:i4>
      </vt:variant>
      <vt:variant>
        <vt:i4>5</vt:i4>
      </vt:variant>
      <vt:variant>
        <vt:lpwstr>http://www.ncbi.nlm.nih.gov/pubmed?term=%22Cobb%20NK%22%5BAuthor%5D</vt:lpwstr>
      </vt:variant>
      <vt:variant>
        <vt:lpwstr/>
      </vt:variant>
      <vt:variant>
        <vt:i4>7995478</vt:i4>
      </vt:variant>
      <vt:variant>
        <vt:i4>395</vt:i4>
      </vt:variant>
      <vt:variant>
        <vt:i4>0</vt:i4>
      </vt:variant>
      <vt:variant>
        <vt:i4>5</vt:i4>
      </vt:variant>
      <vt:variant>
        <vt:lpwstr>mailto:blevine@rti.org</vt:lpwstr>
      </vt:variant>
      <vt:variant>
        <vt:lpwstr/>
      </vt:variant>
      <vt:variant>
        <vt:i4>1048609</vt:i4>
      </vt:variant>
      <vt:variant>
        <vt:i4>392</vt:i4>
      </vt:variant>
      <vt:variant>
        <vt:i4>0</vt:i4>
      </vt:variant>
      <vt:variant>
        <vt:i4>5</vt:i4>
      </vt:variant>
      <vt:variant>
        <vt:lpwstr>mailto:nmann@rti.org</vt:lpwstr>
      </vt:variant>
      <vt:variant>
        <vt:lpwstr/>
      </vt:variant>
      <vt:variant>
        <vt:i4>4915321</vt:i4>
      </vt:variant>
      <vt:variant>
        <vt:i4>389</vt:i4>
      </vt:variant>
      <vt:variant>
        <vt:i4>0</vt:i4>
      </vt:variant>
      <vt:variant>
        <vt:i4>5</vt:i4>
      </vt:variant>
      <vt:variant>
        <vt:lpwstr>mailto:varabius@mdanderson.org</vt:lpwstr>
      </vt:variant>
      <vt:variant>
        <vt:lpwstr/>
      </vt:variant>
      <vt:variant>
        <vt:i4>7864400</vt:i4>
      </vt:variant>
      <vt:variant>
        <vt:i4>386</vt:i4>
      </vt:variant>
      <vt:variant>
        <vt:i4>0</vt:i4>
      </vt:variant>
      <vt:variant>
        <vt:i4>5</vt:i4>
      </vt:variant>
      <vt:variant>
        <vt:lpwstr>mailto:jwallin@rti.org</vt:lpwstr>
      </vt:variant>
      <vt:variant>
        <vt:lpwstr/>
      </vt:variant>
      <vt:variant>
        <vt:i4>7995457</vt:i4>
      </vt:variant>
      <vt:variant>
        <vt:i4>383</vt:i4>
      </vt:variant>
      <vt:variant>
        <vt:i4>0</vt:i4>
      </vt:variant>
      <vt:variant>
        <vt:i4>5</vt:i4>
      </vt:variant>
      <vt:variant>
        <vt:lpwstr>mailto:mcf@rti.org</vt:lpwstr>
      </vt:variant>
      <vt:variant>
        <vt:lpwstr/>
      </vt:variant>
      <vt:variant>
        <vt:i4>131128</vt:i4>
      </vt:variant>
      <vt:variant>
        <vt:i4>380</vt:i4>
      </vt:variant>
      <vt:variant>
        <vt:i4>0</vt:i4>
      </vt:variant>
      <vt:variant>
        <vt:i4>5</vt:i4>
      </vt:variant>
      <vt:variant>
        <vt:lpwstr>mailto:akim@rti.org</vt:lpwstr>
      </vt:variant>
      <vt:variant>
        <vt:lpwstr/>
      </vt:variant>
      <vt:variant>
        <vt:i4>4915321</vt:i4>
      </vt:variant>
      <vt:variant>
        <vt:i4>377</vt:i4>
      </vt:variant>
      <vt:variant>
        <vt:i4>0</vt:i4>
      </vt:variant>
      <vt:variant>
        <vt:i4>5</vt:i4>
      </vt:variant>
      <vt:variant>
        <vt:lpwstr>mailto:varabius@mdanderson.org</vt:lpwstr>
      </vt:variant>
      <vt:variant>
        <vt:lpwstr/>
      </vt:variant>
      <vt:variant>
        <vt:i4>1048609</vt:i4>
      </vt:variant>
      <vt:variant>
        <vt:i4>374</vt:i4>
      </vt:variant>
      <vt:variant>
        <vt:i4>0</vt:i4>
      </vt:variant>
      <vt:variant>
        <vt:i4>5</vt:i4>
      </vt:variant>
      <vt:variant>
        <vt:lpwstr>mailto:nmann@rti.org</vt:lpwstr>
      </vt:variant>
      <vt:variant>
        <vt:lpwstr/>
      </vt:variant>
      <vt:variant>
        <vt:i4>6881353</vt:i4>
      </vt:variant>
      <vt:variant>
        <vt:i4>371</vt:i4>
      </vt:variant>
      <vt:variant>
        <vt:i4>0</vt:i4>
      </vt:variant>
      <vt:variant>
        <vt:i4>5</vt:i4>
      </vt:variant>
      <vt:variant>
        <vt:lpwstr>mailto:jkeeney@rti.org</vt:lpwstr>
      </vt:variant>
      <vt:variant>
        <vt:lpwstr/>
      </vt:variant>
      <vt:variant>
        <vt:i4>1572917</vt:i4>
      </vt:variant>
      <vt:variant>
        <vt:i4>334</vt:i4>
      </vt:variant>
      <vt:variant>
        <vt:i4>0</vt:i4>
      </vt:variant>
      <vt:variant>
        <vt:i4>5</vt:i4>
      </vt:variant>
      <vt:variant>
        <vt:lpwstr/>
      </vt:variant>
      <vt:variant>
        <vt:lpwstr>_Toc287600013</vt:lpwstr>
      </vt:variant>
      <vt:variant>
        <vt:i4>1572917</vt:i4>
      </vt:variant>
      <vt:variant>
        <vt:i4>328</vt:i4>
      </vt:variant>
      <vt:variant>
        <vt:i4>0</vt:i4>
      </vt:variant>
      <vt:variant>
        <vt:i4>5</vt:i4>
      </vt:variant>
      <vt:variant>
        <vt:lpwstr/>
      </vt:variant>
      <vt:variant>
        <vt:lpwstr>_Toc287600012</vt:lpwstr>
      </vt:variant>
      <vt:variant>
        <vt:i4>1572917</vt:i4>
      </vt:variant>
      <vt:variant>
        <vt:i4>322</vt:i4>
      </vt:variant>
      <vt:variant>
        <vt:i4>0</vt:i4>
      </vt:variant>
      <vt:variant>
        <vt:i4>5</vt:i4>
      </vt:variant>
      <vt:variant>
        <vt:lpwstr/>
      </vt:variant>
      <vt:variant>
        <vt:lpwstr>_Toc287600011</vt:lpwstr>
      </vt:variant>
      <vt:variant>
        <vt:i4>1572917</vt:i4>
      </vt:variant>
      <vt:variant>
        <vt:i4>316</vt:i4>
      </vt:variant>
      <vt:variant>
        <vt:i4>0</vt:i4>
      </vt:variant>
      <vt:variant>
        <vt:i4>5</vt:i4>
      </vt:variant>
      <vt:variant>
        <vt:lpwstr/>
      </vt:variant>
      <vt:variant>
        <vt:lpwstr>_Toc287600010</vt:lpwstr>
      </vt:variant>
      <vt:variant>
        <vt:i4>1638453</vt:i4>
      </vt:variant>
      <vt:variant>
        <vt:i4>310</vt:i4>
      </vt:variant>
      <vt:variant>
        <vt:i4>0</vt:i4>
      </vt:variant>
      <vt:variant>
        <vt:i4>5</vt:i4>
      </vt:variant>
      <vt:variant>
        <vt:lpwstr/>
      </vt:variant>
      <vt:variant>
        <vt:lpwstr>_Toc287600009</vt:lpwstr>
      </vt:variant>
      <vt:variant>
        <vt:i4>1638453</vt:i4>
      </vt:variant>
      <vt:variant>
        <vt:i4>304</vt:i4>
      </vt:variant>
      <vt:variant>
        <vt:i4>0</vt:i4>
      </vt:variant>
      <vt:variant>
        <vt:i4>5</vt:i4>
      </vt:variant>
      <vt:variant>
        <vt:lpwstr/>
      </vt:variant>
      <vt:variant>
        <vt:lpwstr>_Toc287600008</vt:lpwstr>
      </vt:variant>
      <vt:variant>
        <vt:i4>1638453</vt:i4>
      </vt:variant>
      <vt:variant>
        <vt:i4>298</vt:i4>
      </vt:variant>
      <vt:variant>
        <vt:i4>0</vt:i4>
      </vt:variant>
      <vt:variant>
        <vt:i4>5</vt:i4>
      </vt:variant>
      <vt:variant>
        <vt:lpwstr/>
      </vt:variant>
      <vt:variant>
        <vt:lpwstr>_Toc287600007</vt:lpwstr>
      </vt:variant>
      <vt:variant>
        <vt:i4>1638453</vt:i4>
      </vt:variant>
      <vt:variant>
        <vt:i4>292</vt:i4>
      </vt:variant>
      <vt:variant>
        <vt:i4>0</vt:i4>
      </vt:variant>
      <vt:variant>
        <vt:i4>5</vt:i4>
      </vt:variant>
      <vt:variant>
        <vt:lpwstr/>
      </vt:variant>
      <vt:variant>
        <vt:lpwstr>_Toc287600006</vt:lpwstr>
      </vt:variant>
      <vt:variant>
        <vt:i4>1638453</vt:i4>
      </vt:variant>
      <vt:variant>
        <vt:i4>286</vt:i4>
      </vt:variant>
      <vt:variant>
        <vt:i4>0</vt:i4>
      </vt:variant>
      <vt:variant>
        <vt:i4>5</vt:i4>
      </vt:variant>
      <vt:variant>
        <vt:lpwstr/>
      </vt:variant>
      <vt:variant>
        <vt:lpwstr>_Toc287600005</vt:lpwstr>
      </vt:variant>
      <vt:variant>
        <vt:i4>1638453</vt:i4>
      </vt:variant>
      <vt:variant>
        <vt:i4>280</vt:i4>
      </vt:variant>
      <vt:variant>
        <vt:i4>0</vt:i4>
      </vt:variant>
      <vt:variant>
        <vt:i4>5</vt:i4>
      </vt:variant>
      <vt:variant>
        <vt:lpwstr/>
      </vt:variant>
      <vt:variant>
        <vt:lpwstr>_Toc287600004</vt:lpwstr>
      </vt:variant>
      <vt:variant>
        <vt:i4>1638453</vt:i4>
      </vt:variant>
      <vt:variant>
        <vt:i4>274</vt:i4>
      </vt:variant>
      <vt:variant>
        <vt:i4>0</vt:i4>
      </vt:variant>
      <vt:variant>
        <vt:i4>5</vt:i4>
      </vt:variant>
      <vt:variant>
        <vt:lpwstr/>
      </vt:variant>
      <vt:variant>
        <vt:lpwstr>_Toc287600003</vt:lpwstr>
      </vt:variant>
      <vt:variant>
        <vt:i4>1638453</vt:i4>
      </vt:variant>
      <vt:variant>
        <vt:i4>268</vt:i4>
      </vt:variant>
      <vt:variant>
        <vt:i4>0</vt:i4>
      </vt:variant>
      <vt:variant>
        <vt:i4>5</vt:i4>
      </vt:variant>
      <vt:variant>
        <vt:lpwstr/>
      </vt:variant>
      <vt:variant>
        <vt:lpwstr>_Toc287600002</vt:lpwstr>
      </vt:variant>
      <vt:variant>
        <vt:i4>1638453</vt:i4>
      </vt:variant>
      <vt:variant>
        <vt:i4>262</vt:i4>
      </vt:variant>
      <vt:variant>
        <vt:i4>0</vt:i4>
      </vt:variant>
      <vt:variant>
        <vt:i4>5</vt:i4>
      </vt:variant>
      <vt:variant>
        <vt:lpwstr/>
      </vt:variant>
      <vt:variant>
        <vt:lpwstr>_Toc287600001</vt:lpwstr>
      </vt:variant>
      <vt:variant>
        <vt:i4>1638453</vt:i4>
      </vt:variant>
      <vt:variant>
        <vt:i4>256</vt:i4>
      </vt:variant>
      <vt:variant>
        <vt:i4>0</vt:i4>
      </vt:variant>
      <vt:variant>
        <vt:i4>5</vt:i4>
      </vt:variant>
      <vt:variant>
        <vt:lpwstr/>
      </vt:variant>
      <vt:variant>
        <vt:lpwstr>_Toc287600000</vt:lpwstr>
      </vt:variant>
      <vt:variant>
        <vt:i4>1703989</vt:i4>
      </vt:variant>
      <vt:variant>
        <vt:i4>250</vt:i4>
      </vt:variant>
      <vt:variant>
        <vt:i4>0</vt:i4>
      </vt:variant>
      <vt:variant>
        <vt:i4>5</vt:i4>
      </vt:variant>
      <vt:variant>
        <vt:lpwstr/>
      </vt:variant>
      <vt:variant>
        <vt:lpwstr>_Toc287599999</vt:lpwstr>
      </vt:variant>
      <vt:variant>
        <vt:i4>1703989</vt:i4>
      </vt:variant>
      <vt:variant>
        <vt:i4>244</vt:i4>
      </vt:variant>
      <vt:variant>
        <vt:i4>0</vt:i4>
      </vt:variant>
      <vt:variant>
        <vt:i4>5</vt:i4>
      </vt:variant>
      <vt:variant>
        <vt:lpwstr/>
      </vt:variant>
      <vt:variant>
        <vt:lpwstr>_Toc287599998</vt:lpwstr>
      </vt:variant>
      <vt:variant>
        <vt:i4>1703989</vt:i4>
      </vt:variant>
      <vt:variant>
        <vt:i4>238</vt:i4>
      </vt:variant>
      <vt:variant>
        <vt:i4>0</vt:i4>
      </vt:variant>
      <vt:variant>
        <vt:i4>5</vt:i4>
      </vt:variant>
      <vt:variant>
        <vt:lpwstr/>
      </vt:variant>
      <vt:variant>
        <vt:lpwstr>_Toc287599997</vt:lpwstr>
      </vt:variant>
      <vt:variant>
        <vt:i4>1703989</vt:i4>
      </vt:variant>
      <vt:variant>
        <vt:i4>232</vt:i4>
      </vt:variant>
      <vt:variant>
        <vt:i4>0</vt:i4>
      </vt:variant>
      <vt:variant>
        <vt:i4>5</vt:i4>
      </vt:variant>
      <vt:variant>
        <vt:lpwstr/>
      </vt:variant>
      <vt:variant>
        <vt:lpwstr>_Toc287599996</vt:lpwstr>
      </vt:variant>
      <vt:variant>
        <vt:i4>1703989</vt:i4>
      </vt:variant>
      <vt:variant>
        <vt:i4>226</vt:i4>
      </vt:variant>
      <vt:variant>
        <vt:i4>0</vt:i4>
      </vt:variant>
      <vt:variant>
        <vt:i4>5</vt:i4>
      </vt:variant>
      <vt:variant>
        <vt:lpwstr/>
      </vt:variant>
      <vt:variant>
        <vt:lpwstr>_Toc287599995</vt:lpwstr>
      </vt:variant>
      <vt:variant>
        <vt:i4>1703989</vt:i4>
      </vt:variant>
      <vt:variant>
        <vt:i4>220</vt:i4>
      </vt:variant>
      <vt:variant>
        <vt:i4>0</vt:i4>
      </vt:variant>
      <vt:variant>
        <vt:i4>5</vt:i4>
      </vt:variant>
      <vt:variant>
        <vt:lpwstr/>
      </vt:variant>
      <vt:variant>
        <vt:lpwstr>_Toc287599994</vt:lpwstr>
      </vt:variant>
      <vt:variant>
        <vt:i4>1703989</vt:i4>
      </vt:variant>
      <vt:variant>
        <vt:i4>214</vt:i4>
      </vt:variant>
      <vt:variant>
        <vt:i4>0</vt:i4>
      </vt:variant>
      <vt:variant>
        <vt:i4>5</vt:i4>
      </vt:variant>
      <vt:variant>
        <vt:lpwstr/>
      </vt:variant>
      <vt:variant>
        <vt:lpwstr>_Toc287599993</vt:lpwstr>
      </vt:variant>
      <vt:variant>
        <vt:i4>1703989</vt:i4>
      </vt:variant>
      <vt:variant>
        <vt:i4>208</vt:i4>
      </vt:variant>
      <vt:variant>
        <vt:i4>0</vt:i4>
      </vt:variant>
      <vt:variant>
        <vt:i4>5</vt:i4>
      </vt:variant>
      <vt:variant>
        <vt:lpwstr/>
      </vt:variant>
      <vt:variant>
        <vt:lpwstr>_Toc287599992</vt:lpwstr>
      </vt:variant>
      <vt:variant>
        <vt:i4>1703989</vt:i4>
      </vt:variant>
      <vt:variant>
        <vt:i4>202</vt:i4>
      </vt:variant>
      <vt:variant>
        <vt:i4>0</vt:i4>
      </vt:variant>
      <vt:variant>
        <vt:i4>5</vt:i4>
      </vt:variant>
      <vt:variant>
        <vt:lpwstr/>
      </vt:variant>
      <vt:variant>
        <vt:lpwstr>_Toc287599991</vt:lpwstr>
      </vt:variant>
      <vt:variant>
        <vt:i4>1703989</vt:i4>
      </vt:variant>
      <vt:variant>
        <vt:i4>196</vt:i4>
      </vt:variant>
      <vt:variant>
        <vt:i4>0</vt:i4>
      </vt:variant>
      <vt:variant>
        <vt:i4>5</vt:i4>
      </vt:variant>
      <vt:variant>
        <vt:lpwstr/>
      </vt:variant>
      <vt:variant>
        <vt:lpwstr>_Toc287599990</vt:lpwstr>
      </vt:variant>
      <vt:variant>
        <vt:i4>1769525</vt:i4>
      </vt:variant>
      <vt:variant>
        <vt:i4>190</vt:i4>
      </vt:variant>
      <vt:variant>
        <vt:i4>0</vt:i4>
      </vt:variant>
      <vt:variant>
        <vt:i4>5</vt:i4>
      </vt:variant>
      <vt:variant>
        <vt:lpwstr/>
      </vt:variant>
      <vt:variant>
        <vt:lpwstr>_Toc287599989</vt:lpwstr>
      </vt:variant>
      <vt:variant>
        <vt:i4>1769525</vt:i4>
      </vt:variant>
      <vt:variant>
        <vt:i4>184</vt:i4>
      </vt:variant>
      <vt:variant>
        <vt:i4>0</vt:i4>
      </vt:variant>
      <vt:variant>
        <vt:i4>5</vt:i4>
      </vt:variant>
      <vt:variant>
        <vt:lpwstr/>
      </vt:variant>
      <vt:variant>
        <vt:lpwstr>_Toc287599988</vt:lpwstr>
      </vt:variant>
      <vt:variant>
        <vt:i4>1769525</vt:i4>
      </vt:variant>
      <vt:variant>
        <vt:i4>178</vt:i4>
      </vt:variant>
      <vt:variant>
        <vt:i4>0</vt:i4>
      </vt:variant>
      <vt:variant>
        <vt:i4>5</vt:i4>
      </vt:variant>
      <vt:variant>
        <vt:lpwstr/>
      </vt:variant>
      <vt:variant>
        <vt:lpwstr>_Toc287599987</vt:lpwstr>
      </vt:variant>
      <vt:variant>
        <vt:i4>1769525</vt:i4>
      </vt:variant>
      <vt:variant>
        <vt:i4>172</vt:i4>
      </vt:variant>
      <vt:variant>
        <vt:i4>0</vt:i4>
      </vt:variant>
      <vt:variant>
        <vt:i4>5</vt:i4>
      </vt:variant>
      <vt:variant>
        <vt:lpwstr/>
      </vt:variant>
      <vt:variant>
        <vt:lpwstr>_Toc287599986</vt:lpwstr>
      </vt:variant>
      <vt:variant>
        <vt:i4>1769525</vt:i4>
      </vt:variant>
      <vt:variant>
        <vt:i4>166</vt:i4>
      </vt:variant>
      <vt:variant>
        <vt:i4>0</vt:i4>
      </vt:variant>
      <vt:variant>
        <vt:i4>5</vt:i4>
      </vt:variant>
      <vt:variant>
        <vt:lpwstr/>
      </vt:variant>
      <vt:variant>
        <vt:lpwstr>_Toc287599985</vt:lpwstr>
      </vt:variant>
      <vt:variant>
        <vt:i4>1769525</vt:i4>
      </vt:variant>
      <vt:variant>
        <vt:i4>160</vt:i4>
      </vt:variant>
      <vt:variant>
        <vt:i4>0</vt:i4>
      </vt:variant>
      <vt:variant>
        <vt:i4>5</vt:i4>
      </vt:variant>
      <vt:variant>
        <vt:lpwstr/>
      </vt:variant>
      <vt:variant>
        <vt:lpwstr>_Toc287599984</vt:lpwstr>
      </vt:variant>
      <vt:variant>
        <vt:i4>1769525</vt:i4>
      </vt:variant>
      <vt:variant>
        <vt:i4>154</vt:i4>
      </vt:variant>
      <vt:variant>
        <vt:i4>0</vt:i4>
      </vt:variant>
      <vt:variant>
        <vt:i4>5</vt:i4>
      </vt:variant>
      <vt:variant>
        <vt:lpwstr/>
      </vt:variant>
      <vt:variant>
        <vt:lpwstr>_Toc287599983</vt:lpwstr>
      </vt:variant>
      <vt:variant>
        <vt:i4>1769525</vt:i4>
      </vt:variant>
      <vt:variant>
        <vt:i4>148</vt:i4>
      </vt:variant>
      <vt:variant>
        <vt:i4>0</vt:i4>
      </vt:variant>
      <vt:variant>
        <vt:i4>5</vt:i4>
      </vt:variant>
      <vt:variant>
        <vt:lpwstr/>
      </vt:variant>
      <vt:variant>
        <vt:lpwstr>_Toc287599982</vt:lpwstr>
      </vt:variant>
      <vt:variant>
        <vt:i4>1769525</vt:i4>
      </vt:variant>
      <vt:variant>
        <vt:i4>142</vt:i4>
      </vt:variant>
      <vt:variant>
        <vt:i4>0</vt:i4>
      </vt:variant>
      <vt:variant>
        <vt:i4>5</vt:i4>
      </vt:variant>
      <vt:variant>
        <vt:lpwstr/>
      </vt:variant>
      <vt:variant>
        <vt:lpwstr>_Toc287599981</vt:lpwstr>
      </vt:variant>
      <vt:variant>
        <vt:i4>1769525</vt:i4>
      </vt:variant>
      <vt:variant>
        <vt:i4>136</vt:i4>
      </vt:variant>
      <vt:variant>
        <vt:i4>0</vt:i4>
      </vt:variant>
      <vt:variant>
        <vt:i4>5</vt:i4>
      </vt:variant>
      <vt:variant>
        <vt:lpwstr/>
      </vt:variant>
      <vt:variant>
        <vt:lpwstr>_Toc287599980</vt:lpwstr>
      </vt:variant>
      <vt:variant>
        <vt:i4>1310773</vt:i4>
      </vt:variant>
      <vt:variant>
        <vt:i4>130</vt:i4>
      </vt:variant>
      <vt:variant>
        <vt:i4>0</vt:i4>
      </vt:variant>
      <vt:variant>
        <vt:i4>5</vt:i4>
      </vt:variant>
      <vt:variant>
        <vt:lpwstr/>
      </vt:variant>
      <vt:variant>
        <vt:lpwstr>_Toc287599979</vt:lpwstr>
      </vt:variant>
      <vt:variant>
        <vt:i4>1310773</vt:i4>
      </vt:variant>
      <vt:variant>
        <vt:i4>124</vt:i4>
      </vt:variant>
      <vt:variant>
        <vt:i4>0</vt:i4>
      </vt:variant>
      <vt:variant>
        <vt:i4>5</vt:i4>
      </vt:variant>
      <vt:variant>
        <vt:lpwstr/>
      </vt:variant>
      <vt:variant>
        <vt:lpwstr>_Toc287599978</vt:lpwstr>
      </vt:variant>
      <vt:variant>
        <vt:i4>1310773</vt:i4>
      </vt:variant>
      <vt:variant>
        <vt:i4>118</vt:i4>
      </vt:variant>
      <vt:variant>
        <vt:i4>0</vt:i4>
      </vt:variant>
      <vt:variant>
        <vt:i4>5</vt:i4>
      </vt:variant>
      <vt:variant>
        <vt:lpwstr/>
      </vt:variant>
      <vt:variant>
        <vt:lpwstr>_Toc287599977</vt:lpwstr>
      </vt:variant>
      <vt:variant>
        <vt:i4>1310773</vt:i4>
      </vt:variant>
      <vt:variant>
        <vt:i4>112</vt:i4>
      </vt:variant>
      <vt:variant>
        <vt:i4>0</vt:i4>
      </vt:variant>
      <vt:variant>
        <vt:i4>5</vt:i4>
      </vt:variant>
      <vt:variant>
        <vt:lpwstr/>
      </vt:variant>
      <vt:variant>
        <vt:lpwstr>_Toc287599976</vt:lpwstr>
      </vt:variant>
      <vt:variant>
        <vt:i4>1310773</vt:i4>
      </vt:variant>
      <vt:variant>
        <vt:i4>106</vt:i4>
      </vt:variant>
      <vt:variant>
        <vt:i4>0</vt:i4>
      </vt:variant>
      <vt:variant>
        <vt:i4>5</vt:i4>
      </vt:variant>
      <vt:variant>
        <vt:lpwstr/>
      </vt:variant>
      <vt:variant>
        <vt:lpwstr>_Toc287599975</vt:lpwstr>
      </vt:variant>
      <vt:variant>
        <vt:i4>1310773</vt:i4>
      </vt:variant>
      <vt:variant>
        <vt:i4>100</vt:i4>
      </vt:variant>
      <vt:variant>
        <vt:i4>0</vt:i4>
      </vt:variant>
      <vt:variant>
        <vt:i4>5</vt:i4>
      </vt:variant>
      <vt:variant>
        <vt:lpwstr/>
      </vt:variant>
      <vt:variant>
        <vt:lpwstr>_Toc287599974</vt:lpwstr>
      </vt:variant>
      <vt:variant>
        <vt:i4>1310773</vt:i4>
      </vt:variant>
      <vt:variant>
        <vt:i4>94</vt:i4>
      </vt:variant>
      <vt:variant>
        <vt:i4>0</vt:i4>
      </vt:variant>
      <vt:variant>
        <vt:i4>5</vt:i4>
      </vt:variant>
      <vt:variant>
        <vt:lpwstr/>
      </vt:variant>
      <vt:variant>
        <vt:lpwstr>_Toc287599973</vt:lpwstr>
      </vt:variant>
      <vt:variant>
        <vt:i4>1310773</vt:i4>
      </vt:variant>
      <vt:variant>
        <vt:i4>88</vt:i4>
      </vt:variant>
      <vt:variant>
        <vt:i4>0</vt:i4>
      </vt:variant>
      <vt:variant>
        <vt:i4>5</vt:i4>
      </vt:variant>
      <vt:variant>
        <vt:lpwstr/>
      </vt:variant>
      <vt:variant>
        <vt:lpwstr>_Toc287599972</vt:lpwstr>
      </vt:variant>
      <vt:variant>
        <vt:i4>1310773</vt:i4>
      </vt:variant>
      <vt:variant>
        <vt:i4>82</vt:i4>
      </vt:variant>
      <vt:variant>
        <vt:i4>0</vt:i4>
      </vt:variant>
      <vt:variant>
        <vt:i4>5</vt:i4>
      </vt:variant>
      <vt:variant>
        <vt:lpwstr/>
      </vt:variant>
      <vt:variant>
        <vt:lpwstr>_Toc287599971</vt:lpwstr>
      </vt:variant>
      <vt:variant>
        <vt:i4>1310773</vt:i4>
      </vt:variant>
      <vt:variant>
        <vt:i4>76</vt:i4>
      </vt:variant>
      <vt:variant>
        <vt:i4>0</vt:i4>
      </vt:variant>
      <vt:variant>
        <vt:i4>5</vt:i4>
      </vt:variant>
      <vt:variant>
        <vt:lpwstr/>
      </vt:variant>
      <vt:variant>
        <vt:lpwstr>_Toc287599970</vt:lpwstr>
      </vt:variant>
      <vt:variant>
        <vt:i4>1376309</vt:i4>
      </vt:variant>
      <vt:variant>
        <vt:i4>70</vt:i4>
      </vt:variant>
      <vt:variant>
        <vt:i4>0</vt:i4>
      </vt:variant>
      <vt:variant>
        <vt:i4>5</vt:i4>
      </vt:variant>
      <vt:variant>
        <vt:lpwstr/>
      </vt:variant>
      <vt:variant>
        <vt:lpwstr>_Toc287599969</vt:lpwstr>
      </vt:variant>
      <vt:variant>
        <vt:i4>1376309</vt:i4>
      </vt:variant>
      <vt:variant>
        <vt:i4>64</vt:i4>
      </vt:variant>
      <vt:variant>
        <vt:i4>0</vt:i4>
      </vt:variant>
      <vt:variant>
        <vt:i4>5</vt:i4>
      </vt:variant>
      <vt:variant>
        <vt:lpwstr/>
      </vt:variant>
      <vt:variant>
        <vt:lpwstr>_Toc287599968</vt:lpwstr>
      </vt:variant>
      <vt:variant>
        <vt:i4>1376309</vt:i4>
      </vt:variant>
      <vt:variant>
        <vt:i4>58</vt:i4>
      </vt:variant>
      <vt:variant>
        <vt:i4>0</vt:i4>
      </vt:variant>
      <vt:variant>
        <vt:i4>5</vt:i4>
      </vt:variant>
      <vt:variant>
        <vt:lpwstr/>
      </vt:variant>
      <vt:variant>
        <vt:lpwstr>_Toc287599967</vt:lpwstr>
      </vt:variant>
      <vt:variant>
        <vt:i4>1376309</vt:i4>
      </vt:variant>
      <vt:variant>
        <vt:i4>52</vt:i4>
      </vt:variant>
      <vt:variant>
        <vt:i4>0</vt:i4>
      </vt:variant>
      <vt:variant>
        <vt:i4>5</vt:i4>
      </vt:variant>
      <vt:variant>
        <vt:lpwstr/>
      </vt:variant>
      <vt:variant>
        <vt:lpwstr>_Toc287599966</vt:lpwstr>
      </vt:variant>
      <vt:variant>
        <vt:i4>1376309</vt:i4>
      </vt:variant>
      <vt:variant>
        <vt:i4>46</vt:i4>
      </vt:variant>
      <vt:variant>
        <vt:i4>0</vt:i4>
      </vt:variant>
      <vt:variant>
        <vt:i4>5</vt:i4>
      </vt:variant>
      <vt:variant>
        <vt:lpwstr/>
      </vt:variant>
      <vt:variant>
        <vt:lpwstr>_Toc287599965</vt:lpwstr>
      </vt:variant>
      <vt:variant>
        <vt:i4>1376309</vt:i4>
      </vt:variant>
      <vt:variant>
        <vt:i4>40</vt:i4>
      </vt:variant>
      <vt:variant>
        <vt:i4>0</vt:i4>
      </vt:variant>
      <vt:variant>
        <vt:i4>5</vt:i4>
      </vt:variant>
      <vt:variant>
        <vt:lpwstr/>
      </vt:variant>
      <vt:variant>
        <vt:lpwstr>_Toc287599964</vt:lpwstr>
      </vt:variant>
      <vt:variant>
        <vt:i4>1376309</vt:i4>
      </vt:variant>
      <vt:variant>
        <vt:i4>34</vt:i4>
      </vt:variant>
      <vt:variant>
        <vt:i4>0</vt:i4>
      </vt:variant>
      <vt:variant>
        <vt:i4>5</vt:i4>
      </vt:variant>
      <vt:variant>
        <vt:lpwstr/>
      </vt:variant>
      <vt:variant>
        <vt:lpwstr>_Toc287599963</vt:lpwstr>
      </vt:variant>
      <vt:variant>
        <vt:i4>1376309</vt:i4>
      </vt:variant>
      <vt:variant>
        <vt:i4>28</vt:i4>
      </vt:variant>
      <vt:variant>
        <vt:i4>0</vt:i4>
      </vt:variant>
      <vt:variant>
        <vt:i4>5</vt:i4>
      </vt:variant>
      <vt:variant>
        <vt:lpwstr/>
      </vt:variant>
      <vt:variant>
        <vt:lpwstr>_Toc287599962</vt:lpwstr>
      </vt:variant>
      <vt:variant>
        <vt:i4>1376309</vt:i4>
      </vt:variant>
      <vt:variant>
        <vt:i4>22</vt:i4>
      </vt:variant>
      <vt:variant>
        <vt:i4>0</vt:i4>
      </vt:variant>
      <vt:variant>
        <vt:i4>5</vt:i4>
      </vt:variant>
      <vt:variant>
        <vt:lpwstr/>
      </vt:variant>
      <vt:variant>
        <vt:lpwstr>_Toc287599961</vt:lpwstr>
      </vt:variant>
      <vt:variant>
        <vt:i4>1376309</vt:i4>
      </vt:variant>
      <vt:variant>
        <vt:i4>16</vt:i4>
      </vt:variant>
      <vt:variant>
        <vt:i4>0</vt:i4>
      </vt:variant>
      <vt:variant>
        <vt:i4>5</vt:i4>
      </vt:variant>
      <vt:variant>
        <vt:lpwstr/>
      </vt:variant>
      <vt:variant>
        <vt:lpwstr>_Toc287599960</vt:lpwstr>
      </vt:variant>
      <vt:variant>
        <vt:i4>1441845</vt:i4>
      </vt:variant>
      <vt:variant>
        <vt:i4>10</vt:i4>
      </vt:variant>
      <vt:variant>
        <vt:i4>0</vt:i4>
      </vt:variant>
      <vt:variant>
        <vt:i4>5</vt:i4>
      </vt:variant>
      <vt:variant>
        <vt:lpwstr/>
      </vt:variant>
      <vt:variant>
        <vt:lpwstr>_Toc287599959</vt:lpwstr>
      </vt:variant>
      <vt:variant>
        <vt:i4>1441845</vt:i4>
      </vt:variant>
      <vt:variant>
        <vt:i4>4</vt:i4>
      </vt:variant>
      <vt:variant>
        <vt:i4>0</vt:i4>
      </vt:variant>
      <vt:variant>
        <vt:i4>5</vt:i4>
      </vt:variant>
      <vt:variant>
        <vt:lpwstr/>
      </vt:variant>
      <vt:variant>
        <vt:lpwstr>_Toc287599958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2015-02-13T20:30:00Z</dcterms:created>
  <dcterms:modified xsi:type="dcterms:W3CDTF">2015-02-13T20:31:00Z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