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54A93">
        <w:rPr>
          <w:sz w:val="28"/>
        </w:rPr>
        <w:t>0920</w:t>
      </w:r>
      <w:r>
        <w:rPr>
          <w:sz w:val="28"/>
        </w:rPr>
        <w:t>-</w:t>
      </w:r>
      <w:r w:rsidR="00354A93">
        <w:rPr>
          <w:sz w:val="28"/>
        </w:rPr>
        <w:t>0919</w:t>
      </w:r>
      <w:r>
        <w:rPr>
          <w:sz w:val="28"/>
        </w:rPr>
        <w:t>)</w:t>
      </w:r>
    </w:p>
    <w:p w:rsidR="00F51661" w:rsidRDefault="00F51661" w:rsidP="00D66BB2"/>
    <w:p w:rsidR="00F51661" w:rsidRPr="00F51661" w:rsidRDefault="00F4770F" w:rsidP="00D66BB2">
      <w:pPr>
        <w:jc w:val="center"/>
      </w:pPr>
      <w:r>
        <w:t>March 17</w:t>
      </w:r>
      <w:r w:rsidR="00F51661">
        <w:t>, 2015</w:t>
      </w:r>
    </w:p>
    <w:p w:rsidR="004F0FBC" w:rsidRDefault="004F0FBC" w:rsidP="00434E33">
      <w:pPr>
        <w:rPr>
          <w:b/>
        </w:rPr>
      </w:pPr>
    </w:p>
    <w:p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F96539" wp14:editId="5BAD2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354A93" w:rsidRDefault="0093101A">
      <w:r>
        <w:t>Assess</w:t>
      </w:r>
      <w:r w:rsidR="005D3800">
        <w:t>ing</w:t>
      </w:r>
      <w:r>
        <w:t xml:space="preserve"> Customer Satisfaction with the Extramural Research Program </w:t>
      </w:r>
      <w:r w:rsidR="005D3800">
        <w:t xml:space="preserve">Services </w:t>
      </w:r>
      <w:r>
        <w:t>Office</w:t>
      </w:r>
      <w:r w:rsidR="006D5130">
        <w:t xml:space="preserve"> Serving NCCDPHP and NCBDDD</w:t>
      </w:r>
    </w:p>
    <w:p w:rsidR="00354A93" w:rsidRDefault="00354A93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0C2F46" w:rsidRDefault="00354A93" w:rsidP="00354A93">
      <w:r>
        <w:t xml:space="preserve">The Centers for Disease Control and Prevention (CDC) seeks to obtain Office of Management and Budget (OMB) approval to conduct </w:t>
      </w:r>
      <w:r w:rsidR="005D6309">
        <w:t>telephone interviews with applicants and panelists who have recently interacted with the Extramural Research Program Services</w:t>
      </w:r>
      <w:bookmarkStart w:id="0" w:name="_GoBack"/>
      <w:bookmarkEnd w:id="0"/>
      <w:r w:rsidR="005D6309">
        <w:t xml:space="preserve"> Of</w:t>
      </w:r>
      <w:r w:rsidR="002C1D83">
        <w:t xml:space="preserve">fice (ERPOS).  ERPOS is an administrative office that </w:t>
      </w:r>
      <w:r w:rsidR="006D5130">
        <w:t xml:space="preserve">supports the National Center for Chronic Disease Prevention and Health Promotion (NCCDPHP) and the National Center for Birth Defects and Developmental Disabilities (NCBDDD).  ERPOS works with programs </w:t>
      </w:r>
      <w:r w:rsidR="002C1D83">
        <w:t xml:space="preserve">to develop, announce, review, and administer grants, cooperative agreements, and contracts. </w:t>
      </w:r>
      <w:r w:rsidR="00532E2B">
        <w:t xml:space="preserve">The quality of </w:t>
      </w:r>
      <w:r w:rsidR="006D5130">
        <w:t xml:space="preserve">NCCDPHP- and NCBDDD- </w:t>
      </w:r>
      <w:r w:rsidR="00532E2B">
        <w:t>funded activities depends</w:t>
      </w:r>
      <w:r w:rsidR="006822C0">
        <w:t xml:space="preserve"> on CDC’s</w:t>
      </w:r>
      <w:r w:rsidR="00532E2B">
        <w:t xml:space="preserve"> ability to attract qualified public health professionals to participate in (a) generating project proposals</w:t>
      </w:r>
      <w:r w:rsidR="009564FC">
        <w:t>, and (b) identifying</w:t>
      </w:r>
      <w:r w:rsidR="00C80A49">
        <w:t xml:space="preserve"> meritorious</w:t>
      </w:r>
      <w:r w:rsidR="009564FC">
        <w:t xml:space="preserve"> </w:t>
      </w:r>
      <w:r w:rsidR="00532E2B">
        <w:t xml:space="preserve">proposals. </w:t>
      </w:r>
      <w:r w:rsidR="00417C9B">
        <w:t xml:space="preserve">As part of a customer satisfaction and quality improvement initiative, ERPOS plans to </w:t>
      </w:r>
      <w:r w:rsidR="00BB3CFB">
        <w:t>collect information from</w:t>
      </w:r>
      <w:r w:rsidR="00B05622">
        <w:t xml:space="preserve"> two key audiences: (1) individuals who have</w:t>
      </w:r>
      <w:r w:rsidR="00417C9B">
        <w:t xml:space="preserve"> submit</w:t>
      </w:r>
      <w:r w:rsidR="00B05622">
        <w:t>ted</w:t>
      </w:r>
      <w:r w:rsidR="00BB3CFB">
        <w:t xml:space="preserve"> applications for extramural </w:t>
      </w:r>
      <w:r w:rsidR="00417C9B">
        <w:t xml:space="preserve">funding, and (2) individuals who </w:t>
      </w:r>
      <w:r w:rsidR="00B05622">
        <w:t xml:space="preserve">have </w:t>
      </w:r>
      <w:r w:rsidR="00417C9B">
        <w:t>serve</w:t>
      </w:r>
      <w:r w:rsidR="00B05622">
        <w:t>d</w:t>
      </w:r>
      <w:r w:rsidR="00417C9B">
        <w:t xml:space="preserve"> on merit review pane</w:t>
      </w:r>
      <w:r w:rsidR="00B05622">
        <w:t xml:space="preserve">ls that rate </w:t>
      </w:r>
      <w:r w:rsidR="00532E2B">
        <w:t>applications.</w:t>
      </w:r>
      <w:r w:rsidR="00C80A49">
        <w:t xml:space="preserve">  Findings will be used for process improvement.</w:t>
      </w:r>
    </w:p>
    <w:p w:rsidR="000C2F46" w:rsidRDefault="000C2F46" w:rsidP="00354A93"/>
    <w:p w:rsidR="006822C0" w:rsidRDefault="00FE34F9" w:rsidP="00354A93">
      <w:r>
        <w:t xml:space="preserve">In this information collection, we will focus on applicants and panelists </w:t>
      </w:r>
      <w:r w:rsidR="009620CB">
        <w:t>associated with</w:t>
      </w:r>
      <w:r w:rsidR="007768AA">
        <w:t xml:space="preserve"> two types of funding opportunities. </w:t>
      </w:r>
      <w:r w:rsidR="009620CB">
        <w:t xml:space="preserve"> </w:t>
      </w:r>
      <w:r w:rsidR="007768AA">
        <w:t>T</w:t>
      </w:r>
      <w:r w:rsidR="0088209F">
        <w:t>he funding opportunity announcement</w:t>
      </w:r>
      <w:r w:rsidR="007768AA">
        <w:t xml:space="preserve"> (FOA) mechanism is used for relatively large-scale research projects or public health programs. Small-scale projects may be announced through </w:t>
      </w:r>
      <w:r w:rsidR="0088209F">
        <w:t xml:space="preserve">the </w:t>
      </w:r>
      <w:r>
        <w:t>Prevention Research Center</w:t>
      </w:r>
      <w:r w:rsidR="009620CB">
        <w:t>s</w:t>
      </w:r>
      <w:r>
        <w:t xml:space="preserve"> (PRC)</w:t>
      </w:r>
      <w:r w:rsidR="006822C0">
        <w:t xml:space="preserve">, </w:t>
      </w:r>
      <w:r w:rsidR="006822C0">
        <w:rPr>
          <w:lang w:val="en"/>
        </w:rPr>
        <w:t xml:space="preserve">a CDC-supported national network of 26 academic research </w:t>
      </w:r>
      <w:r w:rsidR="00EF443C">
        <w:rPr>
          <w:lang w:val="en"/>
        </w:rPr>
        <w:t xml:space="preserve">institutions.  Each PRC </w:t>
      </w:r>
      <w:r w:rsidR="006822C0">
        <w:rPr>
          <w:lang w:val="en"/>
        </w:rPr>
        <w:t>is placed within a school of public health or a medical school that has a preventive medicine residency program</w:t>
      </w:r>
      <w:r w:rsidR="00EF443C">
        <w:t xml:space="preserve">. </w:t>
      </w:r>
      <w:r w:rsidR="00360B4C">
        <w:rPr>
          <w:lang w:val="en"/>
        </w:rPr>
        <w:t xml:space="preserve"> PRC</w:t>
      </w:r>
      <w:r w:rsidR="006822C0">
        <w:rPr>
          <w:lang w:val="en"/>
        </w:rPr>
        <w:t xml:space="preserve"> are committed to conducting prevention research and are leaders in translating research results into policy </w:t>
      </w:r>
      <w:r w:rsidR="00076DFC">
        <w:rPr>
          <w:lang w:val="en"/>
        </w:rPr>
        <w:t xml:space="preserve">and public health practice. </w:t>
      </w:r>
      <w:r w:rsidR="00EC2ED1">
        <w:rPr>
          <w:lang w:val="en"/>
        </w:rPr>
        <w:t xml:space="preserve"> </w:t>
      </w:r>
      <w:r w:rsidR="00076DFC">
        <w:rPr>
          <w:lang w:val="en"/>
        </w:rPr>
        <w:t>The PRC</w:t>
      </w:r>
      <w:r w:rsidR="006822C0">
        <w:rPr>
          <w:lang w:val="en"/>
        </w:rPr>
        <w:t xml:space="preserve"> network has rich capacity for the community-based, participatory prevention research needed to drive the major community changes </w:t>
      </w:r>
      <w:r w:rsidR="00252930">
        <w:rPr>
          <w:lang w:val="en"/>
        </w:rPr>
        <w:t>that can promote public health</w:t>
      </w:r>
      <w:r w:rsidR="006822C0">
        <w:rPr>
          <w:lang w:val="en"/>
        </w:rPr>
        <w:t>.</w:t>
      </w:r>
      <w:r w:rsidR="006822C0">
        <w:t xml:space="preserve"> </w:t>
      </w:r>
      <w:r w:rsidR="00EC2ED1">
        <w:t xml:space="preserve"> </w:t>
      </w:r>
      <w:r w:rsidR="00D8042A">
        <w:t xml:space="preserve">Numerous CDC programs develop and fund </w:t>
      </w:r>
      <w:r w:rsidR="009564FC">
        <w:t xml:space="preserve">special interest projects (SIP) </w:t>
      </w:r>
      <w:r w:rsidR="00225DAF">
        <w:t>through the PRC mechanism</w:t>
      </w:r>
      <w:r w:rsidR="003B7A2F">
        <w:t>.</w:t>
      </w:r>
    </w:p>
    <w:p w:rsidR="006822C0" w:rsidRDefault="006822C0" w:rsidP="00354A93"/>
    <w:p w:rsidR="00FD0935" w:rsidRDefault="00AF2742" w:rsidP="00354A93">
      <w:r>
        <w:t xml:space="preserve">ERPOS </w:t>
      </w:r>
      <w:r w:rsidR="00CA58ED">
        <w:t xml:space="preserve">provides critical support for </w:t>
      </w:r>
      <w:r w:rsidR="00225DAF">
        <w:t>FOA</w:t>
      </w:r>
      <w:r w:rsidR="009E4D1F">
        <w:t>s</w:t>
      </w:r>
      <w:r w:rsidR="00225DAF">
        <w:t xml:space="preserve"> </w:t>
      </w:r>
      <w:r w:rsidR="00A840F2">
        <w:t xml:space="preserve">issued by </w:t>
      </w:r>
      <w:r w:rsidR="00BB3CFB">
        <w:t xml:space="preserve">NCCDPHP and </w:t>
      </w:r>
      <w:r w:rsidR="00A840F2">
        <w:t xml:space="preserve">NCBDDD, </w:t>
      </w:r>
      <w:r w:rsidR="00225DAF">
        <w:t xml:space="preserve">and </w:t>
      </w:r>
      <w:r w:rsidR="00B756C3">
        <w:t>SIP</w:t>
      </w:r>
      <w:r w:rsidR="009E4D1F">
        <w:t>s</w:t>
      </w:r>
      <w:r w:rsidR="00225DAF">
        <w:t xml:space="preserve"> administered through </w:t>
      </w:r>
      <w:r w:rsidR="00CA58ED">
        <w:t xml:space="preserve">the PRC </w:t>
      </w:r>
      <w:r w:rsidR="00225DAF">
        <w:t xml:space="preserve">program.  </w:t>
      </w:r>
      <w:r w:rsidR="008F4579">
        <w:t>ERPOS works with the originating</w:t>
      </w:r>
      <w:r w:rsidR="0002124B">
        <w:t xml:space="preserve"> program</w:t>
      </w:r>
      <w:r w:rsidR="00E1599E">
        <w:t>s</w:t>
      </w:r>
      <w:r w:rsidR="0002124B">
        <w:t xml:space="preserve"> in</w:t>
      </w:r>
      <w:r w:rsidR="008F4579">
        <w:t xml:space="preserve"> </w:t>
      </w:r>
      <w:r w:rsidR="00BB3CFB">
        <w:t xml:space="preserve">NCCDPHP and </w:t>
      </w:r>
      <w:r w:rsidR="008F4579">
        <w:t>NCBDDD to develop a</w:t>
      </w:r>
      <w:r w:rsidR="003B7A2F">
        <w:t>nnouncements</w:t>
      </w:r>
      <w:r w:rsidR="00D8042A">
        <w:t xml:space="preserve"> </w:t>
      </w:r>
      <w:r w:rsidR="008F4579">
        <w:t xml:space="preserve">that </w:t>
      </w:r>
      <w:r w:rsidR="00D8042A">
        <w:t xml:space="preserve">reflect </w:t>
      </w:r>
      <w:r w:rsidR="00E1599E">
        <w:t>each</w:t>
      </w:r>
      <w:r w:rsidR="0002124B">
        <w:t xml:space="preserve"> program’</w:t>
      </w:r>
      <w:r w:rsidR="00C80A49">
        <w:t>s</w:t>
      </w:r>
      <w:r w:rsidR="004E0288">
        <w:t xml:space="preserve"> goal</w:t>
      </w:r>
      <w:r w:rsidR="003B7A2F">
        <w:t xml:space="preserve">s and </w:t>
      </w:r>
      <w:r w:rsidR="00D8042A">
        <w:t>rating criteria</w:t>
      </w:r>
      <w:r w:rsidR="004E0288">
        <w:t xml:space="preserve">.  ERPOS also </w:t>
      </w:r>
      <w:r w:rsidR="0021360C">
        <w:t>manages the</w:t>
      </w:r>
      <w:r w:rsidR="00CA58ED">
        <w:t xml:space="preserve"> objective review </w:t>
      </w:r>
      <w:r w:rsidR="0021360C">
        <w:t>process for</w:t>
      </w:r>
      <w:r w:rsidR="00225DAF">
        <w:t xml:space="preserve"> proposals</w:t>
      </w:r>
      <w:r w:rsidR="00CA58ED">
        <w:t xml:space="preserve">.  </w:t>
      </w:r>
      <w:r w:rsidR="005C27FC">
        <w:t xml:space="preserve">ERPOS recruits external subject matter experts </w:t>
      </w:r>
      <w:r w:rsidR="00FD0935">
        <w:t xml:space="preserve">who have appropriate areas of expertise, </w:t>
      </w:r>
      <w:r w:rsidR="00D8042A">
        <w:t xml:space="preserve">selects reviewers who do not have conflicts of interest, </w:t>
      </w:r>
      <w:r w:rsidR="00FD0935">
        <w:t xml:space="preserve">and manages the </w:t>
      </w:r>
      <w:r w:rsidR="00D8042A">
        <w:t xml:space="preserve">objective </w:t>
      </w:r>
      <w:r w:rsidR="00FD0935">
        <w:t>review panel meetings where</w:t>
      </w:r>
      <w:r w:rsidR="0021360C">
        <w:t xml:space="preserve"> proposals </w:t>
      </w:r>
      <w:r w:rsidR="00FD0935">
        <w:t>are rated</w:t>
      </w:r>
      <w:r w:rsidR="00C80A49">
        <w:t xml:space="preserve"> and ranked</w:t>
      </w:r>
      <w:r w:rsidR="00FD0935">
        <w:t>.</w:t>
      </w:r>
      <w:r w:rsidR="00D8042A">
        <w:t xml:space="preserve"> </w:t>
      </w:r>
    </w:p>
    <w:p w:rsidR="00FD0935" w:rsidRDefault="00FD0935" w:rsidP="00354A93"/>
    <w:p w:rsidR="001D67CD" w:rsidRDefault="00354A93" w:rsidP="00354A93">
      <w:r>
        <w:t xml:space="preserve">CDC is requesting OMB approval to </w:t>
      </w:r>
      <w:r w:rsidR="000C4C3B">
        <w:t xml:space="preserve">collect qualitative information from a </w:t>
      </w:r>
      <w:r w:rsidR="00D02898">
        <w:t xml:space="preserve">convenience </w:t>
      </w:r>
      <w:r w:rsidR="000C4C3B">
        <w:t>sample of applicants and panelists</w:t>
      </w:r>
      <w:r>
        <w:t xml:space="preserve">. </w:t>
      </w:r>
      <w:r w:rsidR="000C4C3B">
        <w:t xml:space="preserve"> </w:t>
      </w:r>
      <w:r w:rsidR="006B0D78">
        <w:t xml:space="preserve">Feedback obtained through this process </w:t>
      </w:r>
      <w:r w:rsidR="000C4C3B">
        <w:t xml:space="preserve">will be used to identify </w:t>
      </w:r>
      <w:r w:rsidR="000C4C3B">
        <w:lastRenderedPageBreak/>
        <w:t>strengths, weaknesses, and opportunities for improvement in ERPOS operations.</w:t>
      </w:r>
      <w:r w:rsidR="006B0D78" w:rsidRPr="006B0D78">
        <w:t xml:space="preserve"> </w:t>
      </w:r>
      <w:r w:rsidR="001D67CD">
        <w:t>For example, we</w:t>
      </w:r>
      <w:r w:rsidR="00C80A49">
        <w:t>re the review</w:t>
      </w:r>
      <w:r w:rsidR="001D67CD">
        <w:t xml:space="preserve"> criteria for proposals clear to both applicants and panelists?  Were the application and review processes managed efficiently</w:t>
      </w:r>
      <w:r w:rsidR="00C80A49">
        <w:t xml:space="preserve"> and effectively</w:t>
      </w:r>
      <w:r w:rsidR="001D67CD">
        <w:t>?</w:t>
      </w:r>
    </w:p>
    <w:p w:rsidR="001D67CD" w:rsidRDefault="001D67CD" w:rsidP="00354A93"/>
    <w:p w:rsidR="00354A93" w:rsidRDefault="006B0D78" w:rsidP="00354A93">
      <w:r>
        <w:t>Telephone interviews will be conducted on CDC’s behalf by a consultant who specializes in communication and organizational improvement. The consultant will provide a</w:t>
      </w:r>
      <w:r w:rsidR="00C548B1">
        <w:t xml:space="preserve"> de-identified,</w:t>
      </w:r>
      <w:r>
        <w:t xml:space="preserve"> aggregate summary report to ERPOS management.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01184C" w:rsidRDefault="001926D2" w:rsidP="00354A93">
      <w:r>
        <w:t>Applicant interviews will be conducted with</w:t>
      </w:r>
      <w:r w:rsidR="00D8042A">
        <w:t xml:space="preserve"> </w:t>
      </w:r>
      <w:r>
        <w:t xml:space="preserve">28 </w:t>
      </w:r>
      <w:r w:rsidR="00D8042A">
        <w:t xml:space="preserve">individuals who have previously applied for </w:t>
      </w:r>
      <w:r>
        <w:t xml:space="preserve">a </w:t>
      </w:r>
      <w:r w:rsidR="00D8042A">
        <w:t xml:space="preserve">funding </w:t>
      </w:r>
      <w:r>
        <w:t>announcement managed by ERPOS</w:t>
      </w:r>
      <w:r w:rsidR="0001184C">
        <w:t>.</w:t>
      </w:r>
      <w:r w:rsidR="00F2062B">
        <w:t xml:space="preserve"> These </w:t>
      </w:r>
      <w:r w:rsidR="00AC53E1">
        <w:t>respondents</w:t>
      </w:r>
      <w:r w:rsidR="00F2062B">
        <w:t xml:space="preserve"> will be affiliated with academic institutions</w:t>
      </w:r>
      <w:r w:rsidR="00AC53E1">
        <w:t xml:space="preserve"> or state/local health departments</w:t>
      </w:r>
      <w:r w:rsidR="00F2062B">
        <w:t xml:space="preserve"> (state/local/tribal government sector).</w:t>
      </w:r>
    </w:p>
    <w:p w:rsidR="0001184C" w:rsidRDefault="0001184C" w:rsidP="0001184C">
      <w:pPr>
        <w:pStyle w:val="ListParagraph"/>
        <w:numPr>
          <w:ilvl w:val="0"/>
          <w:numId w:val="19"/>
        </w:numPr>
      </w:pPr>
      <w:r>
        <w:t>7 respondents will be applicants who were funded through the PRC program</w:t>
      </w:r>
    </w:p>
    <w:p w:rsidR="0001184C" w:rsidRDefault="0001184C" w:rsidP="0001184C">
      <w:pPr>
        <w:pStyle w:val="ListParagraph"/>
        <w:numPr>
          <w:ilvl w:val="0"/>
          <w:numId w:val="19"/>
        </w:numPr>
      </w:pPr>
      <w:r>
        <w:t xml:space="preserve">7 respondents will be applicants who </w:t>
      </w:r>
      <w:r w:rsidR="00C80A49">
        <w:t xml:space="preserve">applied </w:t>
      </w:r>
      <w:r w:rsidR="0002124B">
        <w:t xml:space="preserve">for </w:t>
      </w:r>
      <w:r>
        <w:t>fund</w:t>
      </w:r>
      <w:r w:rsidR="0002124B">
        <w:t>ing</w:t>
      </w:r>
      <w:r>
        <w:t xml:space="preserve"> through the PRC program</w:t>
      </w:r>
      <w:r w:rsidR="0002124B">
        <w:t xml:space="preserve"> but were not funded</w:t>
      </w:r>
    </w:p>
    <w:p w:rsidR="0001184C" w:rsidRDefault="0001184C" w:rsidP="0001184C">
      <w:pPr>
        <w:pStyle w:val="ListParagraph"/>
        <w:numPr>
          <w:ilvl w:val="0"/>
          <w:numId w:val="19"/>
        </w:numPr>
      </w:pPr>
      <w:r>
        <w:t>7 respondents will be applicants wh</w:t>
      </w:r>
      <w:r w:rsidR="00D450B2">
        <w:t>o were funded through other FOA</w:t>
      </w:r>
    </w:p>
    <w:p w:rsidR="0001184C" w:rsidRDefault="0001184C" w:rsidP="0001184C">
      <w:pPr>
        <w:pStyle w:val="ListParagraph"/>
        <w:numPr>
          <w:ilvl w:val="0"/>
          <w:numId w:val="19"/>
        </w:numPr>
      </w:pPr>
      <w:r>
        <w:t xml:space="preserve">7 respondents will be applicants who </w:t>
      </w:r>
      <w:r w:rsidR="00C80A49">
        <w:t xml:space="preserve">applied </w:t>
      </w:r>
      <w:r w:rsidR="0002124B">
        <w:t>for</w:t>
      </w:r>
      <w:r w:rsidR="00D450B2">
        <w:t xml:space="preserve"> fund</w:t>
      </w:r>
      <w:r w:rsidR="0002124B">
        <w:t>ing</w:t>
      </w:r>
      <w:r w:rsidR="00D450B2">
        <w:t xml:space="preserve"> through other FOA</w:t>
      </w:r>
      <w:r w:rsidR="0002124B">
        <w:t xml:space="preserve"> but were not funded</w:t>
      </w:r>
    </w:p>
    <w:p w:rsidR="0001184C" w:rsidRDefault="0001184C" w:rsidP="00354A93"/>
    <w:p w:rsidR="00354A93" w:rsidRDefault="0001184C" w:rsidP="00354A93">
      <w:r>
        <w:t>Panelist interviews will be conducted with 14 individuals who have participated as reviewers in objective review panels managed by ERPOS</w:t>
      </w:r>
      <w:r w:rsidR="00354A93">
        <w:t>.</w:t>
      </w:r>
      <w:r w:rsidR="00D8042A">
        <w:t xml:space="preserve"> </w:t>
      </w:r>
      <w:r w:rsidR="00AC53E1">
        <w:t>These respondents will be affiliated with academic institutions or state/local health departments (state/local/tribal government sector).</w:t>
      </w:r>
      <w:r w:rsidR="00D8042A">
        <w:t xml:space="preserve"> </w:t>
      </w:r>
    </w:p>
    <w:p w:rsidR="0001184C" w:rsidRDefault="004B66A8" w:rsidP="0001184C">
      <w:pPr>
        <w:pStyle w:val="ListParagraph"/>
        <w:numPr>
          <w:ilvl w:val="0"/>
          <w:numId w:val="19"/>
        </w:numPr>
      </w:pPr>
      <w:r>
        <w:t>7</w:t>
      </w:r>
      <w:r w:rsidR="0001184C">
        <w:t xml:space="preserve"> respondents will be </w:t>
      </w:r>
      <w:r>
        <w:t>panelists for the</w:t>
      </w:r>
      <w:r w:rsidR="0001184C">
        <w:t xml:space="preserve"> PRC program</w:t>
      </w:r>
    </w:p>
    <w:p w:rsidR="0001184C" w:rsidRDefault="004B66A8" w:rsidP="0001184C">
      <w:pPr>
        <w:pStyle w:val="ListParagraph"/>
        <w:numPr>
          <w:ilvl w:val="0"/>
          <w:numId w:val="19"/>
        </w:numPr>
      </w:pPr>
      <w:r>
        <w:t>7 respondents will be panelist</w:t>
      </w:r>
      <w:r w:rsidR="0001184C">
        <w:t xml:space="preserve">s </w:t>
      </w:r>
      <w:r>
        <w:t>for other FOAs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354A93">
        <w:rPr>
          <w:bCs/>
          <w:sz w:val="24"/>
        </w:rPr>
        <w:t xml:space="preserve"> Comment Card/Complaint Form </w:t>
      </w:r>
      <w:r w:rsidR="00354A93">
        <w:rPr>
          <w:bCs/>
          <w:sz w:val="24"/>
        </w:rPr>
        <w:tab/>
        <w:t>[</w:t>
      </w:r>
      <w:r w:rsidR="000C529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0C529A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54A93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proofErr w:type="gramStart"/>
      <w:r w:rsidR="00EA07C4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Other:</w:t>
      </w:r>
      <w:r w:rsidR="0078578A" w:rsidRPr="0078578A">
        <w:rPr>
          <w:bCs/>
          <w:sz w:val="24"/>
        </w:rPr>
        <w:t xml:space="preserve">  </w:t>
      </w:r>
      <w:r w:rsidR="00EA07C4">
        <w:rPr>
          <w:bCs/>
          <w:sz w:val="24"/>
          <w:u w:val="single"/>
        </w:rPr>
        <w:t>Telephone interviews</w:t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2E0AFC">
        <w:t xml:space="preserve"> </w:t>
      </w:r>
      <w:r w:rsidR="00C14902">
        <w:rPr>
          <w:u w:val="single"/>
        </w:rPr>
        <w:t xml:space="preserve">   </w:t>
      </w:r>
      <w:r w:rsidR="00BD2C37">
        <w:rPr>
          <w:u w:val="single"/>
        </w:rPr>
        <w:t>Sam Posne</w:t>
      </w:r>
      <w:r w:rsidR="000C529A">
        <w:rPr>
          <w:u w:val="single"/>
        </w:rPr>
        <w:t>r</w:t>
      </w:r>
      <w:r w:rsidR="00C14902" w:rsidRPr="00C14902">
        <w:t xml:space="preserve">    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2E0AFC">
        <w:t>n (PII) collected?  [  ] Yes  [X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</w:t>
      </w:r>
      <w:r w:rsidR="00BD2C37">
        <w:t>X</w:t>
      </w:r>
      <w:r>
        <w:t xml:space="preserve">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1926D2">
        <w:t>X</w:t>
      </w:r>
      <w:r>
        <w:t xml:space="preserve"> ] No</w:t>
      </w:r>
    </w:p>
    <w:p w:rsidR="00685324" w:rsidRDefault="00685324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</w:t>
      </w:r>
      <w:r w:rsidR="002E0AFC">
        <w:t>d to participants?  [  ] Yes [X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2E0AFC" w:rsidRDefault="002E0AFC" w:rsidP="00C86E91"/>
    <w:p w:rsidR="00B46F2C" w:rsidRPr="006832D9" w:rsidRDefault="002E0AFC" w:rsidP="002E0AFC">
      <w:pPr>
        <w:rPr>
          <w:b/>
        </w:rPr>
      </w:pPr>
      <w:r w:rsidRPr="00D151AD">
        <w:t>There will be no direct costs to the respondents other than their time to participate in the survey.</w:t>
      </w:r>
      <w:r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2E0AFC">
              <w:rPr>
                <w:b/>
              </w:rPr>
              <w:t xml:space="preserve"> Hours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D6580F" w:rsidP="00843796">
            <w:r>
              <w:t>Applicant</w:t>
            </w:r>
          </w:p>
        </w:tc>
        <w:tc>
          <w:tcPr>
            <w:tcW w:w="1530" w:type="dxa"/>
          </w:tcPr>
          <w:p w:rsidR="00B46F2C" w:rsidRDefault="00D6580F" w:rsidP="00843796">
            <w:r>
              <w:t>28</w:t>
            </w:r>
          </w:p>
        </w:tc>
        <w:tc>
          <w:tcPr>
            <w:tcW w:w="1710" w:type="dxa"/>
          </w:tcPr>
          <w:p w:rsidR="00B46F2C" w:rsidRDefault="00D6580F" w:rsidP="00641A50">
            <w:r>
              <w:t>30</w:t>
            </w:r>
            <w:r w:rsidR="002E0AFC">
              <w:t>/6</w:t>
            </w:r>
            <w:r w:rsidR="009D5AE6">
              <w:t>0</w:t>
            </w:r>
          </w:p>
        </w:tc>
        <w:tc>
          <w:tcPr>
            <w:tcW w:w="1003" w:type="dxa"/>
          </w:tcPr>
          <w:p w:rsidR="00B46F2C" w:rsidRDefault="007B1A21" w:rsidP="009D5AE6">
            <w:r>
              <w:t>1</w:t>
            </w:r>
            <w:r w:rsidR="00D6580F">
              <w:t>4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D6580F" w:rsidP="00843796">
            <w:r>
              <w:t>Panelist</w:t>
            </w:r>
          </w:p>
        </w:tc>
        <w:tc>
          <w:tcPr>
            <w:tcW w:w="1530" w:type="dxa"/>
          </w:tcPr>
          <w:p w:rsidR="00B46F2C" w:rsidRDefault="00D6580F" w:rsidP="00843796">
            <w:r>
              <w:t>14</w:t>
            </w:r>
          </w:p>
        </w:tc>
        <w:tc>
          <w:tcPr>
            <w:tcW w:w="1710" w:type="dxa"/>
          </w:tcPr>
          <w:p w:rsidR="00B46F2C" w:rsidRDefault="00D6580F" w:rsidP="00843796">
            <w:r>
              <w:t>30/60</w:t>
            </w:r>
          </w:p>
        </w:tc>
        <w:tc>
          <w:tcPr>
            <w:tcW w:w="1003" w:type="dxa"/>
          </w:tcPr>
          <w:p w:rsidR="00B46F2C" w:rsidRDefault="00D6580F" w:rsidP="00843796">
            <w:r>
              <w:t>7</w:t>
            </w:r>
          </w:p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D6580F" w:rsidP="0084379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B46F2C" w:rsidRDefault="00B46F2C" w:rsidP="00F3170F"/>
    <w:p w:rsidR="00F7554A" w:rsidRDefault="00B46F2C">
      <w:pPr>
        <w:rPr>
          <w:b/>
        </w:rPr>
      </w:pPr>
      <w:r>
        <w:rPr>
          <w:b/>
        </w:rPr>
        <w:t xml:space="preserve">FEDERAL COST:  </w:t>
      </w:r>
    </w:p>
    <w:p w:rsidR="00F7554A" w:rsidRDefault="00F7554A">
      <w:pPr>
        <w:rPr>
          <w:b/>
        </w:rPr>
      </w:pPr>
    </w:p>
    <w:p w:rsidR="001E23D9" w:rsidRDefault="00B46F2C">
      <w:pPr>
        <w:rPr>
          <w:b/>
        </w:rPr>
      </w:pPr>
      <w:r>
        <w:t>The estimated annual cost</w:t>
      </w:r>
      <w:r w:rsidR="00D151AD">
        <w:t xml:space="preserve"> to </w:t>
      </w:r>
      <w:r w:rsidR="00144D9F">
        <w:t>the Federal government is $</w:t>
      </w:r>
      <w:r w:rsidR="00F47279">
        <w:t>4,5</w:t>
      </w:r>
      <w:r w:rsidR="00F7554A">
        <w:t>00</w:t>
      </w:r>
      <w:r w:rsidR="00D151AD">
        <w:t>.</w:t>
      </w:r>
    </w:p>
    <w:p w:rsidR="002E0AFC" w:rsidRDefault="002E0AFC" w:rsidP="00D66BB2">
      <w:r w:rsidRPr="008A71A5">
        <w:t xml:space="preserve">This estimate </w:t>
      </w:r>
      <w:r w:rsidR="001E23D9">
        <w:t>includes 10 hours for a CDC employee to plan and oversee the project.</w:t>
      </w:r>
      <w:r w:rsidR="006D4CE5">
        <w:t xml:space="preserve">  The estimate also includes the cost of the consultant’s time to conduct the interviews and prepare a de-identified, aggregate report of findings</w:t>
      </w:r>
      <w:r w:rsidR="008C20DF">
        <w:t>.</w:t>
      </w:r>
      <w:r>
        <w:br/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990"/>
      </w:tblGrid>
      <w:tr w:rsidR="002E0AFC" w:rsidTr="00023019">
        <w:trPr>
          <w:trHeight w:val="356"/>
        </w:trPr>
        <w:tc>
          <w:tcPr>
            <w:tcW w:w="5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FC" w:rsidRPr="00D450B2" w:rsidRDefault="002E0AFC" w:rsidP="0002301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450B2">
              <w:rPr>
                <w:rFonts w:ascii="Times New Roman" w:hAnsi="Times New Roman" w:cs="Times New Roman"/>
                <w:b/>
              </w:rPr>
              <w:t xml:space="preserve">Staff or Contractor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FC" w:rsidRPr="00D450B2" w:rsidRDefault="002E0AFC" w:rsidP="0002301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450B2">
              <w:rPr>
                <w:rFonts w:ascii="Times New Roman" w:hAnsi="Times New Roman" w:cs="Times New Roman"/>
                <w:b/>
                <w:i/>
                <w:iCs/>
              </w:rPr>
              <w:t xml:space="preserve">Hours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2E0AFC" w:rsidP="0002301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450B2">
              <w:rPr>
                <w:rFonts w:ascii="Times New Roman" w:hAnsi="Times New Roman" w:cs="Times New Roman"/>
                <w:b/>
                <w:i/>
                <w:iCs/>
              </w:rPr>
              <w:t xml:space="preserve">Average Hourly Rate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2E0AFC" w:rsidP="0002301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450B2">
              <w:rPr>
                <w:rFonts w:ascii="Times New Roman" w:hAnsi="Times New Roman" w:cs="Times New Roman"/>
                <w:b/>
                <w:i/>
                <w:iCs/>
              </w:rPr>
              <w:t xml:space="preserve">Cost </w:t>
            </w:r>
          </w:p>
        </w:tc>
      </w:tr>
      <w:tr w:rsidR="002E0AFC" w:rsidTr="00023019">
        <w:trPr>
          <w:trHeight w:val="233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FC" w:rsidRPr="00D450B2" w:rsidRDefault="001E23D9" w:rsidP="00D151A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CDC Oversight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1E23D9" w:rsidP="0002301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1E23D9" w:rsidP="00D151A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1E23D9" w:rsidP="000C529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$1,000</w:t>
            </w:r>
          </w:p>
        </w:tc>
      </w:tr>
      <w:tr w:rsidR="002E0AFC" w:rsidTr="00023019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1E23D9" w:rsidP="000230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2E0AFC" w:rsidP="0002301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450B2">
              <w:rPr>
                <w:rFonts w:ascii="Times New Roman" w:hAnsi="Times New Roman" w:cs="Times New Roman"/>
              </w:rPr>
              <w:t xml:space="preserve"> </w:t>
            </w:r>
            <w:r w:rsidR="006D4F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1E23D9" w:rsidP="0002301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6D4FD1" w:rsidP="000C529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$3,5</w:t>
            </w:r>
            <w:r w:rsidR="001E23D9">
              <w:rPr>
                <w:rFonts w:ascii="Times New Roman" w:hAnsi="Times New Roman" w:cs="Times New Roman"/>
              </w:rPr>
              <w:t>00</w:t>
            </w:r>
          </w:p>
        </w:tc>
      </w:tr>
      <w:tr w:rsidR="002E0AFC" w:rsidTr="00023019">
        <w:trPr>
          <w:trHeight w:val="12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2E0AFC" w:rsidP="0002301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450B2"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6D4FD1" w:rsidP="0002301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2E0AFC" w:rsidP="0002301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AFC" w:rsidRPr="00D450B2" w:rsidRDefault="006D4FD1" w:rsidP="000C529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$4,5</w:t>
            </w:r>
            <w:r w:rsidR="001E23D9"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:rsidR="002E0AFC" w:rsidRDefault="002E0AFC" w:rsidP="002E0AFC">
      <w:pPr>
        <w:spacing w:before="240"/>
        <w:rPr>
          <w:b/>
        </w:rPr>
      </w:pPr>
      <w:r>
        <w:t xml:space="preserve"> </w:t>
      </w: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2E0AFC">
        <w:t>X</w:t>
      </w:r>
      <w:r>
        <w:t>] Yes</w:t>
      </w:r>
      <w:r>
        <w:tab/>
        <w:t>[ ] No</w:t>
      </w:r>
    </w:p>
    <w:p w:rsidR="00B46F2C" w:rsidRDefault="00B46F2C" w:rsidP="00D02898"/>
    <w:p w:rsidR="00B46F2C" w:rsidRDefault="004C36BD" w:rsidP="00A403BB">
      <w:r>
        <w:t>ERPOS will compile 2 lists from its existing records:</w:t>
      </w:r>
    </w:p>
    <w:p w:rsidR="004C36BD" w:rsidRDefault="004C36BD" w:rsidP="004C36BD">
      <w:pPr>
        <w:pStyle w:val="ListParagraph"/>
        <w:numPr>
          <w:ilvl w:val="0"/>
          <w:numId w:val="20"/>
        </w:numPr>
      </w:pPr>
      <w:r>
        <w:t xml:space="preserve">A list of applicants </w:t>
      </w:r>
      <w:r w:rsidR="00C14902" w:rsidRPr="00C14902">
        <w:t>for 9</w:t>
      </w:r>
      <w:r w:rsidRPr="00C14902">
        <w:t xml:space="preserve"> recent FOA and</w:t>
      </w:r>
      <w:r>
        <w:t xml:space="preserve"> the PRC program.  The list will provide the name of the</w:t>
      </w:r>
      <w:r w:rsidR="000A0654">
        <w:t xml:space="preserve"> </w:t>
      </w:r>
      <w:r w:rsidR="00D02898">
        <w:t>principal investigator (</w:t>
      </w:r>
      <w:r w:rsidR="000A0654">
        <w:t>PI</w:t>
      </w:r>
      <w:r w:rsidR="00D02898">
        <w:t>)</w:t>
      </w:r>
      <w:r w:rsidR="000A0654">
        <w:t xml:space="preserve"> for the application, the</w:t>
      </w:r>
      <w:r>
        <w:t xml:space="preserve"> PI’s telephone number</w:t>
      </w:r>
      <w:r w:rsidR="000A0654">
        <w:t>, and the PI’s mailing address</w:t>
      </w:r>
      <w:r>
        <w:t>.  The list will indicate whe</w:t>
      </w:r>
      <w:r w:rsidR="00DB78C9">
        <w:t>ther the application was funded</w:t>
      </w:r>
      <w:r>
        <w:t xml:space="preserve"> or not funded.</w:t>
      </w:r>
    </w:p>
    <w:p w:rsidR="004C36BD" w:rsidRDefault="004C36BD" w:rsidP="004C36BD">
      <w:pPr>
        <w:pStyle w:val="ListParagraph"/>
        <w:numPr>
          <w:ilvl w:val="0"/>
          <w:numId w:val="20"/>
        </w:numPr>
      </w:pPr>
      <w:r>
        <w:lastRenderedPageBreak/>
        <w:t>A list of panelists who participated as reviewers for the selected FOA or the PRC program.  The list will provide the name of the</w:t>
      </w:r>
      <w:r w:rsidR="00DB78C9">
        <w:t xml:space="preserve"> panelist, the panelist</w:t>
      </w:r>
      <w:r w:rsidR="000A0654">
        <w:t xml:space="preserve">’s </w:t>
      </w:r>
      <w:r>
        <w:t>telephone number</w:t>
      </w:r>
      <w:r w:rsidR="000A0654">
        <w:t>, and the</w:t>
      </w:r>
      <w:r w:rsidR="00DB78C9">
        <w:t xml:space="preserve"> panelist</w:t>
      </w:r>
      <w:r w:rsidR="000A0654">
        <w:t>’s mailing address</w:t>
      </w:r>
      <w:r>
        <w:t xml:space="preserve">. </w:t>
      </w:r>
    </w:p>
    <w:p w:rsidR="004C36BD" w:rsidRDefault="004C36BD" w:rsidP="004C36BD"/>
    <w:p w:rsidR="006C7897" w:rsidRDefault="000A0654" w:rsidP="004C36BD">
      <w:r>
        <w:t xml:space="preserve">CDC </w:t>
      </w:r>
      <w:r w:rsidR="006C7897">
        <w:t xml:space="preserve">will send an advance </w:t>
      </w:r>
      <w:r w:rsidR="00D02898">
        <w:t>email</w:t>
      </w:r>
      <w:r w:rsidR="006C7897">
        <w:t xml:space="preserve"> to interview candidates.  The advance </w:t>
      </w:r>
      <w:r w:rsidR="00D02898">
        <w:t>email</w:t>
      </w:r>
      <w:r w:rsidR="006C7897">
        <w:t xml:space="preserve"> will inform candidates about ERPO’s customer satisfaction and quality improvement initiative, and ask them to consider participating in an interview, if contacted by CDC’s independent consultant.  The advance </w:t>
      </w:r>
      <w:r w:rsidR="00D02898">
        <w:t>email</w:t>
      </w:r>
      <w:r w:rsidR="006C7897">
        <w:t xml:space="preserve"> will also inform candidates that </w:t>
      </w:r>
      <w:r w:rsidR="000D63E5">
        <w:t xml:space="preserve">participation is voluntary and that </w:t>
      </w:r>
      <w:r w:rsidR="006C7897">
        <w:t xml:space="preserve">the consultant’s findings will only be presented to CDC in </w:t>
      </w:r>
      <w:r w:rsidR="00C80A49">
        <w:t xml:space="preserve">a </w:t>
      </w:r>
      <w:r w:rsidR="006C7897">
        <w:t xml:space="preserve">de-identified, </w:t>
      </w:r>
      <w:r w:rsidR="00C80A49">
        <w:t>summary report</w:t>
      </w:r>
      <w:r w:rsidR="006C7897">
        <w:t>.</w:t>
      </w:r>
    </w:p>
    <w:p w:rsidR="006C7897" w:rsidRDefault="006C7897" w:rsidP="004C36BD"/>
    <w:p w:rsidR="000A0654" w:rsidRDefault="006C7897" w:rsidP="004C36BD">
      <w:r>
        <w:t xml:space="preserve">The </w:t>
      </w:r>
      <w:r w:rsidR="000A0654">
        <w:t xml:space="preserve">independent consultant will </w:t>
      </w:r>
      <w:r>
        <w:t xml:space="preserve">use the </w:t>
      </w:r>
      <w:r w:rsidR="00DB78C9">
        <w:t xml:space="preserve">CDC-supplied </w:t>
      </w:r>
      <w:r>
        <w:t xml:space="preserve">lists to randomly select </w:t>
      </w:r>
      <w:r w:rsidR="00C80A49">
        <w:t>respondent</w:t>
      </w:r>
      <w:r>
        <w:t xml:space="preserve">s for interviews.  CDC will not know which candidates actually participated in interviews. The consultant </w:t>
      </w:r>
      <w:r w:rsidR="000A0654">
        <w:t xml:space="preserve">will </w:t>
      </w:r>
      <w:r w:rsidR="0025174F">
        <w:t xml:space="preserve">prepare a summary report for ERPOS management.  The consultant will destroy </w:t>
      </w:r>
      <w:r w:rsidR="00E82519">
        <w:t>the list</w:t>
      </w:r>
      <w:r w:rsidR="00C80A49">
        <w:t>s of candidate</w:t>
      </w:r>
      <w:r w:rsidR="00E82519">
        <w:t xml:space="preserve">s and </w:t>
      </w:r>
      <w:r w:rsidR="0025174F">
        <w:t>all notes</w:t>
      </w:r>
      <w:r w:rsidR="00D66BB2">
        <w:t xml:space="preserve"> </w:t>
      </w:r>
      <w:r w:rsidR="0025174F">
        <w:t xml:space="preserve">and other records </w:t>
      </w:r>
      <w:r w:rsidR="00D66BB2">
        <w:t xml:space="preserve">that were </w:t>
      </w:r>
      <w:r w:rsidR="0025174F">
        <w:t>used to prepare the summary report.</w:t>
      </w:r>
    </w:p>
    <w:p w:rsidR="000D63E5" w:rsidRDefault="000D63E5" w:rsidP="004C36BD"/>
    <w:p w:rsidR="000D63E5" w:rsidRDefault="000D63E5" w:rsidP="004C36BD">
      <w:r>
        <w:t>Prior to initiating the telephone interview, the consultant will highlight key consent</w:t>
      </w:r>
      <w:r w:rsidR="00DB78C9">
        <w:t xml:space="preserve"> issues</w:t>
      </w:r>
      <w:r>
        <w:t>, and address any questions that respondents may have.</w:t>
      </w:r>
    </w:p>
    <w:p w:rsidR="002A13EC" w:rsidRDefault="002A13EC" w:rsidP="004C36BD"/>
    <w:p w:rsidR="002A13EC" w:rsidRDefault="002A13EC" w:rsidP="004C36BD">
      <w:r>
        <w:t xml:space="preserve">The purpose of this information collection is to collect </w:t>
      </w:r>
      <w:r w:rsidR="00046764">
        <w:t xml:space="preserve">customer satisfaction </w:t>
      </w:r>
      <w:r>
        <w:t xml:space="preserve">feedback that will assist </w:t>
      </w:r>
      <w:r w:rsidR="001A1B5C">
        <w:t>NCCDPHP and NCBDDD</w:t>
      </w:r>
      <w:r>
        <w:t xml:space="preserve"> in improving the services and guidance delivered by ERPOS. The interview guides are process-oriented.  The consultant will not have access to CDC records pertaining to the substantive review of applications for funding, i.e., the consultant will not have access to</w:t>
      </w:r>
      <w:r w:rsidR="00E343B6">
        <w:t xml:space="preserve"> the applications or the panelists’ comments on the applications.  This information is sensitive and outside the scope of a </w:t>
      </w:r>
      <w:r w:rsidR="00065EE1">
        <w:t>process improvement initiative</w:t>
      </w:r>
      <w:r w:rsidR="00E343B6">
        <w:t>.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4D2483" w:rsidP="001B0AAA">
      <w:pPr>
        <w:ind w:left="720"/>
      </w:pPr>
      <w:r>
        <w:t xml:space="preserve">[ </w:t>
      </w:r>
      <w:r w:rsidR="00D66BB2">
        <w:t xml:space="preserve"> </w:t>
      </w:r>
      <w:r w:rsidR="00B46F2C">
        <w:t xml:space="preserve">] Web-based or other forms of Social Media </w:t>
      </w:r>
    </w:p>
    <w:p w:rsidR="00B46F2C" w:rsidRDefault="00036832" w:rsidP="001B0AAA">
      <w:pPr>
        <w:ind w:left="720"/>
      </w:pPr>
      <w:r>
        <w:t>[</w:t>
      </w:r>
      <w:r w:rsidR="004D2483">
        <w:t>X</w:t>
      </w:r>
      <w:r w:rsidR="00B46F2C">
        <w:t xml:space="preserve"> ] Telephone</w:t>
      </w:r>
      <w:r w:rsidR="00B46F2C"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E2DC3" w:rsidRDefault="00BE2DC3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8488E">
        <w:t xml:space="preserve">ilitators be used?  [ </w:t>
      </w:r>
      <w:r w:rsidR="004D2483">
        <w:t xml:space="preserve">X ] Yes [ </w:t>
      </w:r>
      <w:r>
        <w:t>] No</w:t>
      </w:r>
    </w:p>
    <w:p w:rsidR="00E9272E" w:rsidRDefault="00E9272E" w:rsidP="00A840F2"/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D0EDB" w:rsidRDefault="00ED0EDB" w:rsidP="00ED0EDB">
      <w:pPr>
        <w:pStyle w:val="Heading2"/>
        <w:ind w:right="-180"/>
        <w:jc w:val="left"/>
        <w:rPr>
          <w:sz w:val="28"/>
        </w:rPr>
      </w:pPr>
    </w:p>
    <w:p w:rsidR="00ED0EDB" w:rsidRPr="00ED0EDB" w:rsidRDefault="00ED0EDB" w:rsidP="00ED0EDB">
      <w:pPr>
        <w:pStyle w:val="Heading2"/>
        <w:ind w:right="-180"/>
        <w:jc w:val="left"/>
      </w:pPr>
      <w:r w:rsidRPr="00ED0EDB">
        <w:t>List of Attachments</w:t>
      </w:r>
    </w:p>
    <w:p w:rsidR="00ED0EDB" w:rsidRDefault="00ED0EDB" w:rsidP="00ED0EDB">
      <w:pPr>
        <w:pStyle w:val="Heading2"/>
        <w:ind w:right="-180"/>
        <w:jc w:val="left"/>
      </w:pPr>
    </w:p>
    <w:p w:rsidR="001E441B" w:rsidRPr="00ED0EDB" w:rsidRDefault="001E441B" w:rsidP="001E441B">
      <w:pPr>
        <w:pStyle w:val="Heading2"/>
        <w:ind w:right="-180"/>
        <w:jc w:val="left"/>
        <w:rPr>
          <w:b w:val="0"/>
        </w:rPr>
      </w:pPr>
      <w:r>
        <w:rPr>
          <w:b w:val="0"/>
        </w:rPr>
        <w:t>A1</w:t>
      </w:r>
      <w:r w:rsidRPr="00ED0EDB">
        <w:rPr>
          <w:b w:val="0"/>
        </w:rPr>
        <w:tab/>
        <w:t xml:space="preserve">Advance </w:t>
      </w:r>
      <w:r>
        <w:rPr>
          <w:b w:val="0"/>
        </w:rPr>
        <w:t>Email</w:t>
      </w:r>
      <w:r w:rsidRPr="00ED0EDB">
        <w:rPr>
          <w:b w:val="0"/>
        </w:rPr>
        <w:t xml:space="preserve"> for Applicants</w:t>
      </w:r>
    </w:p>
    <w:p w:rsidR="00ED0EDB" w:rsidRPr="00ED0EDB" w:rsidRDefault="001E441B" w:rsidP="00ED0EDB">
      <w:pPr>
        <w:pStyle w:val="Heading2"/>
        <w:ind w:right="-180"/>
        <w:jc w:val="left"/>
        <w:rPr>
          <w:b w:val="0"/>
        </w:rPr>
      </w:pPr>
      <w:r>
        <w:rPr>
          <w:b w:val="0"/>
        </w:rPr>
        <w:t>A2</w:t>
      </w:r>
      <w:r w:rsidR="00ED0EDB" w:rsidRPr="00ED0EDB">
        <w:rPr>
          <w:b w:val="0"/>
        </w:rPr>
        <w:tab/>
        <w:t>Interview Guide for Applicants</w:t>
      </w:r>
    </w:p>
    <w:p w:rsidR="00ED0EDB" w:rsidRPr="00ED0EDB" w:rsidRDefault="00ED0EDB" w:rsidP="00ED0EDB">
      <w:pPr>
        <w:pStyle w:val="Heading2"/>
        <w:ind w:right="-180"/>
        <w:jc w:val="left"/>
        <w:rPr>
          <w:b w:val="0"/>
        </w:rPr>
      </w:pPr>
    </w:p>
    <w:p w:rsidR="001E441B" w:rsidRPr="00ED0EDB" w:rsidRDefault="001E441B" w:rsidP="001E441B">
      <w:pPr>
        <w:pStyle w:val="Heading2"/>
        <w:ind w:right="-180"/>
        <w:jc w:val="left"/>
      </w:pPr>
      <w:r>
        <w:rPr>
          <w:b w:val="0"/>
        </w:rPr>
        <w:t>B1</w:t>
      </w:r>
      <w:r w:rsidRPr="00ED0EDB">
        <w:rPr>
          <w:b w:val="0"/>
        </w:rPr>
        <w:tab/>
        <w:t xml:space="preserve">Advance </w:t>
      </w:r>
      <w:r>
        <w:rPr>
          <w:b w:val="0"/>
        </w:rPr>
        <w:t>Email</w:t>
      </w:r>
      <w:r w:rsidRPr="00ED0EDB">
        <w:rPr>
          <w:b w:val="0"/>
        </w:rPr>
        <w:t xml:space="preserve"> for Pan</w:t>
      </w:r>
      <w:r>
        <w:rPr>
          <w:b w:val="0"/>
        </w:rPr>
        <w:t>e</w:t>
      </w:r>
      <w:r w:rsidRPr="00ED0EDB">
        <w:rPr>
          <w:b w:val="0"/>
        </w:rPr>
        <w:t>lists</w:t>
      </w:r>
    </w:p>
    <w:p w:rsidR="00ED0EDB" w:rsidRPr="00ED0EDB" w:rsidRDefault="001E441B" w:rsidP="00ED0EDB">
      <w:pPr>
        <w:pStyle w:val="Heading2"/>
        <w:ind w:right="-180"/>
        <w:jc w:val="left"/>
        <w:rPr>
          <w:b w:val="0"/>
        </w:rPr>
      </w:pPr>
      <w:r>
        <w:rPr>
          <w:b w:val="0"/>
        </w:rPr>
        <w:t>B2</w:t>
      </w:r>
      <w:r w:rsidR="00ED0EDB" w:rsidRPr="00ED0EDB">
        <w:rPr>
          <w:b w:val="0"/>
        </w:rPr>
        <w:tab/>
        <w:t>Interview Guide for Panelists</w:t>
      </w:r>
    </w:p>
    <w:p w:rsidR="001E441B" w:rsidRPr="00ED0EDB" w:rsidRDefault="001E441B">
      <w:pPr>
        <w:pStyle w:val="Heading2"/>
        <w:ind w:right="-180"/>
        <w:jc w:val="left"/>
      </w:pPr>
    </w:p>
    <w:sectPr w:rsidR="001E441B" w:rsidRPr="00ED0ED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60" w:rsidRDefault="00DD4B60">
      <w:r>
        <w:separator/>
      </w:r>
    </w:p>
  </w:endnote>
  <w:endnote w:type="continuationSeparator" w:id="0">
    <w:p w:rsidR="00DD4B60" w:rsidRDefault="00DD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E0" w:rsidRDefault="00FE6C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4C3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60" w:rsidRDefault="00DD4B60">
      <w:r>
        <w:separator/>
      </w:r>
    </w:p>
  </w:footnote>
  <w:footnote w:type="continuationSeparator" w:id="0">
    <w:p w:rsidR="00DD4B60" w:rsidRDefault="00DD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B3" w:rsidRDefault="009241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72DDC"/>
    <w:multiLevelType w:val="hybridMultilevel"/>
    <w:tmpl w:val="100C038A"/>
    <w:lvl w:ilvl="0" w:tplc="DB060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F767D9"/>
    <w:multiLevelType w:val="hybridMultilevel"/>
    <w:tmpl w:val="86B2C89A"/>
    <w:lvl w:ilvl="0" w:tplc="DB060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448"/>
    <w:rsid w:val="0001184C"/>
    <w:rsid w:val="0002124B"/>
    <w:rsid w:val="00023019"/>
    <w:rsid w:val="00023A57"/>
    <w:rsid w:val="00036832"/>
    <w:rsid w:val="00041B57"/>
    <w:rsid w:val="00046764"/>
    <w:rsid w:val="00047A64"/>
    <w:rsid w:val="00065EE1"/>
    <w:rsid w:val="00067329"/>
    <w:rsid w:val="00076DFC"/>
    <w:rsid w:val="000A0654"/>
    <w:rsid w:val="000B2838"/>
    <w:rsid w:val="000C2F46"/>
    <w:rsid w:val="000C4C3B"/>
    <w:rsid w:val="000C529A"/>
    <w:rsid w:val="000D44CA"/>
    <w:rsid w:val="000D63E5"/>
    <w:rsid w:val="000E200B"/>
    <w:rsid w:val="000F193C"/>
    <w:rsid w:val="000F3756"/>
    <w:rsid w:val="000F68BE"/>
    <w:rsid w:val="001100BB"/>
    <w:rsid w:val="00144D9F"/>
    <w:rsid w:val="001611F7"/>
    <w:rsid w:val="001926D2"/>
    <w:rsid w:val="001927A4"/>
    <w:rsid w:val="00194AC6"/>
    <w:rsid w:val="001A1B5C"/>
    <w:rsid w:val="001A23B0"/>
    <w:rsid w:val="001A25CC"/>
    <w:rsid w:val="001A7D6A"/>
    <w:rsid w:val="001B0AAA"/>
    <w:rsid w:val="001C39F7"/>
    <w:rsid w:val="001D67CD"/>
    <w:rsid w:val="001E23D9"/>
    <w:rsid w:val="001E441B"/>
    <w:rsid w:val="00202F8B"/>
    <w:rsid w:val="0021360C"/>
    <w:rsid w:val="00225DAF"/>
    <w:rsid w:val="00226202"/>
    <w:rsid w:val="00233D2A"/>
    <w:rsid w:val="002374E2"/>
    <w:rsid w:val="00237B48"/>
    <w:rsid w:val="0024521E"/>
    <w:rsid w:val="0025174F"/>
    <w:rsid w:val="00252930"/>
    <w:rsid w:val="00261253"/>
    <w:rsid w:val="00263C3D"/>
    <w:rsid w:val="00274D0B"/>
    <w:rsid w:val="002821FF"/>
    <w:rsid w:val="002A13EC"/>
    <w:rsid w:val="002B3C95"/>
    <w:rsid w:val="002C1D83"/>
    <w:rsid w:val="002C66D1"/>
    <w:rsid w:val="002D0B92"/>
    <w:rsid w:val="002D4C33"/>
    <w:rsid w:val="002E0AFC"/>
    <w:rsid w:val="002E3FAB"/>
    <w:rsid w:val="002F23DF"/>
    <w:rsid w:val="0033668D"/>
    <w:rsid w:val="00354A93"/>
    <w:rsid w:val="00360B4C"/>
    <w:rsid w:val="00366EC7"/>
    <w:rsid w:val="003675DB"/>
    <w:rsid w:val="00384675"/>
    <w:rsid w:val="0038488E"/>
    <w:rsid w:val="0039457C"/>
    <w:rsid w:val="003A4C87"/>
    <w:rsid w:val="003B7A2F"/>
    <w:rsid w:val="003C157A"/>
    <w:rsid w:val="003C5942"/>
    <w:rsid w:val="003D5BBE"/>
    <w:rsid w:val="003E3C61"/>
    <w:rsid w:val="003F1C5B"/>
    <w:rsid w:val="004058CF"/>
    <w:rsid w:val="0041337D"/>
    <w:rsid w:val="00417C9B"/>
    <w:rsid w:val="00434E33"/>
    <w:rsid w:val="00441434"/>
    <w:rsid w:val="0045264C"/>
    <w:rsid w:val="004735E5"/>
    <w:rsid w:val="004876EC"/>
    <w:rsid w:val="004B66A8"/>
    <w:rsid w:val="004C36BD"/>
    <w:rsid w:val="004D2483"/>
    <w:rsid w:val="004D6E14"/>
    <w:rsid w:val="004E0288"/>
    <w:rsid w:val="004F0FBC"/>
    <w:rsid w:val="005009B0"/>
    <w:rsid w:val="005077F2"/>
    <w:rsid w:val="00507E80"/>
    <w:rsid w:val="00512CA7"/>
    <w:rsid w:val="00526D81"/>
    <w:rsid w:val="00532E2B"/>
    <w:rsid w:val="00561919"/>
    <w:rsid w:val="005A1006"/>
    <w:rsid w:val="005A468E"/>
    <w:rsid w:val="005C27FC"/>
    <w:rsid w:val="005C28AF"/>
    <w:rsid w:val="005D3800"/>
    <w:rsid w:val="005D6309"/>
    <w:rsid w:val="005E714A"/>
    <w:rsid w:val="006140A0"/>
    <w:rsid w:val="00636621"/>
    <w:rsid w:val="00641A50"/>
    <w:rsid w:val="00642B49"/>
    <w:rsid w:val="00645532"/>
    <w:rsid w:val="006822C0"/>
    <w:rsid w:val="006832D9"/>
    <w:rsid w:val="00685324"/>
    <w:rsid w:val="0069403B"/>
    <w:rsid w:val="006B0D78"/>
    <w:rsid w:val="006C7897"/>
    <w:rsid w:val="006D4CE5"/>
    <w:rsid w:val="006D4FD1"/>
    <w:rsid w:val="006D5130"/>
    <w:rsid w:val="006F3DDE"/>
    <w:rsid w:val="006F6A73"/>
    <w:rsid w:val="00704678"/>
    <w:rsid w:val="007425E7"/>
    <w:rsid w:val="007768AA"/>
    <w:rsid w:val="0078578A"/>
    <w:rsid w:val="007B1A21"/>
    <w:rsid w:val="00802607"/>
    <w:rsid w:val="008101A5"/>
    <w:rsid w:val="00822664"/>
    <w:rsid w:val="00843796"/>
    <w:rsid w:val="0084390B"/>
    <w:rsid w:val="00862909"/>
    <w:rsid w:val="00871A81"/>
    <w:rsid w:val="0088209F"/>
    <w:rsid w:val="00885295"/>
    <w:rsid w:val="00895229"/>
    <w:rsid w:val="008B3AD8"/>
    <w:rsid w:val="008C20DF"/>
    <w:rsid w:val="008E0473"/>
    <w:rsid w:val="008F0203"/>
    <w:rsid w:val="008F18C9"/>
    <w:rsid w:val="008F4579"/>
    <w:rsid w:val="008F50D4"/>
    <w:rsid w:val="00912338"/>
    <w:rsid w:val="009239AA"/>
    <w:rsid w:val="009241B3"/>
    <w:rsid w:val="0093101A"/>
    <w:rsid w:val="00935ADA"/>
    <w:rsid w:val="00946B6C"/>
    <w:rsid w:val="00955A71"/>
    <w:rsid w:val="009564FC"/>
    <w:rsid w:val="0096108F"/>
    <w:rsid w:val="009620CB"/>
    <w:rsid w:val="009C13B9"/>
    <w:rsid w:val="009D01A2"/>
    <w:rsid w:val="009D5AE6"/>
    <w:rsid w:val="009E0AEB"/>
    <w:rsid w:val="009E4D1F"/>
    <w:rsid w:val="009F0950"/>
    <w:rsid w:val="009F5923"/>
    <w:rsid w:val="00A403BB"/>
    <w:rsid w:val="00A53366"/>
    <w:rsid w:val="00A674DF"/>
    <w:rsid w:val="00A83AA6"/>
    <w:rsid w:val="00A840F2"/>
    <w:rsid w:val="00A9729E"/>
    <w:rsid w:val="00AC53E1"/>
    <w:rsid w:val="00AE1809"/>
    <w:rsid w:val="00AF2742"/>
    <w:rsid w:val="00B05622"/>
    <w:rsid w:val="00B46F2C"/>
    <w:rsid w:val="00B62DDD"/>
    <w:rsid w:val="00B756C3"/>
    <w:rsid w:val="00B80D76"/>
    <w:rsid w:val="00BA2105"/>
    <w:rsid w:val="00BA7E06"/>
    <w:rsid w:val="00BB3CFB"/>
    <w:rsid w:val="00BB43B5"/>
    <w:rsid w:val="00BB6219"/>
    <w:rsid w:val="00BC7721"/>
    <w:rsid w:val="00BD08D4"/>
    <w:rsid w:val="00BD290F"/>
    <w:rsid w:val="00BD2AEF"/>
    <w:rsid w:val="00BD2C37"/>
    <w:rsid w:val="00BE2DC3"/>
    <w:rsid w:val="00BE443F"/>
    <w:rsid w:val="00C008AA"/>
    <w:rsid w:val="00C14902"/>
    <w:rsid w:val="00C14CC4"/>
    <w:rsid w:val="00C33C52"/>
    <w:rsid w:val="00C40D8B"/>
    <w:rsid w:val="00C548B1"/>
    <w:rsid w:val="00C63AB8"/>
    <w:rsid w:val="00C80A49"/>
    <w:rsid w:val="00C8407A"/>
    <w:rsid w:val="00C8488C"/>
    <w:rsid w:val="00C86E91"/>
    <w:rsid w:val="00CA13B4"/>
    <w:rsid w:val="00CA2650"/>
    <w:rsid w:val="00CA58ED"/>
    <w:rsid w:val="00CA7B29"/>
    <w:rsid w:val="00CB1078"/>
    <w:rsid w:val="00CB619F"/>
    <w:rsid w:val="00CC6FAF"/>
    <w:rsid w:val="00CD580A"/>
    <w:rsid w:val="00D02898"/>
    <w:rsid w:val="00D151AD"/>
    <w:rsid w:val="00D24698"/>
    <w:rsid w:val="00D450B2"/>
    <w:rsid w:val="00D6383F"/>
    <w:rsid w:val="00D6580F"/>
    <w:rsid w:val="00D66111"/>
    <w:rsid w:val="00D66BB2"/>
    <w:rsid w:val="00D71221"/>
    <w:rsid w:val="00D8042A"/>
    <w:rsid w:val="00D84968"/>
    <w:rsid w:val="00DA52D2"/>
    <w:rsid w:val="00DB59D0"/>
    <w:rsid w:val="00DB78C9"/>
    <w:rsid w:val="00DC089E"/>
    <w:rsid w:val="00DC33D3"/>
    <w:rsid w:val="00DC33E6"/>
    <w:rsid w:val="00DD4B60"/>
    <w:rsid w:val="00DE3A9F"/>
    <w:rsid w:val="00E01444"/>
    <w:rsid w:val="00E1599E"/>
    <w:rsid w:val="00E26329"/>
    <w:rsid w:val="00E343B6"/>
    <w:rsid w:val="00E40B50"/>
    <w:rsid w:val="00E50293"/>
    <w:rsid w:val="00E65FFC"/>
    <w:rsid w:val="00E80951"/>
    <w:rsid w:val="00E82519"/>
    <w:rsid w:val="00E854FE"/>
    <w:rsid w:val="00E86CC6"/>
    <w:rsid w:val="00E9272E"/>
    <w:rsid w:val="00EA07C4"/>
    <w:rsid w:val="00EA5E92"/>
    <w:rsid w:val="00EB56B3"/>
    <w:rsid w:val="00EB5950"/>
    <w:rsid w:val="00EC2ED1"/>
    <w:rsid w:val="00ED0EDB"/>
    <w:rsid w:val="00ED6492"/>
    <w:rsid w:val="00EF2095"/>
    <w:rsid w:val="00EF443C"/>
    <w:rsid w:val="00F06866"/>
    <w:rsid w:val="00F15956"/>
    <w:rsid w:val="00F2062B"/>
    <w:rsid w:val="00F24CFC"/>
    <w:rsid w:val="00F3170F"/>
    <w:rsid w:val="00F3472B"/>
    <w:rsid w:val="00F4017B"/>
    <w:rsid w:val="00F47279"/>
    <w:rsid w:val="00F4770F"/>
    <w:rsid w:val="00F51661"/>
    <w:rsid w:val="00F7554A"/>
    <w:rsid w:val="00F976B0"/>
    <w:rsid w:val="00FA6DE7"/>
    <w:rsid w:val="00FC0A8E"/>
    <w:rsid w:val="00FD0935"/>
    <w:rsid w:val="00FE2FA6"/>
    <w:rsid w:val="00FE34F9"/>
    <w:rsid w:val="00FE3DF2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2E0A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22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2E0A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2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Jeff Zirger</cp:lastModifiedBy>
  <cp:revision>4</cp:revision>
  <cp:lastPrinted>2015-03-19T16:34:00Z</cp:lastPrinted>
  <dcterms:created xsi:type="dcterms:W3CDTF">2015-03-19T15:26:00Z</dcterms:created>
  <dcterms:modified xsi:type="dcterms:W3CDTF">2015-03-19T17:05:00Z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