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52B" w:rsidRPr="004A6531" w:rsidRDefault="00E0752B" w:rsidP="00E0752B">
      <w:pPr>
        <w:pStyle w:val="Heading2"/>
        <w:tabs>
          <w:tab w:val="left" w:pos="900"/>
        </w:tabs>
        <w:ind w:right="-180"/>
      </w:pPr>
      <w:r w:rsidRPr="004A6531">
        <w:rPr>
          <w:sz w:val="28"/>
        </w:rPr>
        <w:t>Request for Approval under the “Generic Clearance for the Collection of Routine Customer Feedback” (OMB Control Number:)</w:t>
      </w:r>
    </w:p>
    <w:p w:rsidR="00E0752B" w:rsidRPr="004A6531" w:rsidRDefault="00E0752B" w:rsidP="00E0752B">
      <w:pPr>
        <w:rPr>
          <w:b/>
        </w:rPr>
      </w:pPr>
      <w:r w:rsidRPr="004A6531">
        <w:rPr>
          <w:noProof/>
        </w:rPr>
        <mc:AlternateContent>
          <mc:Choice Requires="wps">
            <w:drawing>
              <wp:anchor distT="4294967293" distB="4294967293" distL="114300" distR="114300" simplePos="0" relativeHeight="251659264" behindDoc="0" locked="0" layoutInCell="0" allowOverlap="1" wp14:anchorId="196CA9CC" wp14:editId="78BAA470">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p>
    <w:p w:rsidR="00E0752B" w:rsidRPr="004A6531" w:rsidRDefault="00E0752B" w:rsidP="00E0752B">
      <w:pPr>
        <w:rPr>
          <w:b/>
        </w:rPr>
      </w:pPr>
      <w:r w:rsidRPr="004A6531">
        <w:rPr>
          <w:b/>
        </w:rPr>
        <w:t>TITLE OF INFORMATION COLLECTION:</w:t>
      </w:r>
      <w:r w:rsidRPr="004A6531">
        <w:t xml:space="preserve">  </w:t>
      </w:r>
    </w:p>
    <w:p w:rsidR="00E0752B" w:rsidRPr="004A6531" w:rsidRDefault="00DF2EF4" w:rsidP="00E0752B">
      <w:r w:rsidRPr="004A6531">
        <w:t xml:space="preserve">Customer Feedback on </w:t>
      </w:r>
      <w:r w:rsidR="00343C3F" w:rsidRPr="004A6531">
        <w:t xml:space="preserve">“Learn the Signs. Act Early.” </w:t>
      </w:r>
      <w:r w:rsidR="00A00A8D">
        <w:t xml:space="preserve">Partner </w:t>
      </w:r>
      <w:r w:rsidRPr="004A6531">
        <w:t xml:space="preserve">Webinars </w:t>
      </w:r>
    </w:p>
    <w:p w:rsidR="00E0752B" w:rsidRPr="004A6531" w:rsidRDefault="00E0752B" w:rsidP="00E0752B"/>
    <w:p w:rsidR="00E0752B" w:rsidRPr="004A6531" w:rsidRDefault="00E0752B" w:rsidP="00E0752B">
      <w:pPr>
        <w:rPr>
          <w:b/>
        </w:rPr>
      </w:pPr>
      <w:r w:rsidRPr="004A6531">
        <w:rPr>
          <w:b/>
        </w:rPr>
        <w:t xml:space="preserve">PURPOSE:  </w:t>
      </w:r>
    </w:p>
    <w:p w:rsidR="00F74BB4" w:rsidRPr="004A6531" w:rsidRDefault="00F74BB4" w:rsidP="00E0752B">
      <w:pPr>
        <w:rPr>
          <w:rFonts w:eastAsia="Arial Unicode MS"/>
          <w:color w:val="000000"/>
        </w:rPr>
      </w:pPr>
    </w:p>
    <w:p w:rsidR="00B760AD" w:rsidRPr="004A6531" w:rsidRDefault="00F74BB4" w:rsidP="00B760AD">
      <w:pPr>
        <w:rPr>
          <w:rFonts w:eastAsia="Arial Unicode MS"/>
          <w:color w:val="000000"/>
        </w:rPr>
      </w:pPr>
      <w:r w:rsidRPr="004A6531">
        <w:rPr>
          <w:rFonts w:eastAsia="Arial Unicode MS"/>
          <w:color w:val="000000"/>
        </w:rPr>
        <w:t>Since 2004, CDC’s “Learn the Signs. Act Early.” (LTSAE) campaign (</w:t>
      </w:r>
      <w:hyperlink r:id="rId8" w:history="1">
        <w:r w:rsidRPr="004A6531">
          <w:rPr>
            <w:rStyle w:val="Hyperlink"/>
            <w:rFonts w:eastAsia="Arial Unicode MS"/>
          </w:rPr>
          <w:t>www.cdc.gov/actearly</w:t>
        </w:r>
      </w:hyperlink>
      <w:r w:rsidRPr="004A6531">
        <w:rPr>
          <w:rFonts w:eastAsia="Arial Unicode MS"/>
          <w:color w:val="000000"/>
        </w:rPr>
        <w:t>)</w:t>
      </w:r>
      <w:r w:rsidR="00144C05" w:rsidRPr="004A6531">
        <w:rPr>
          <w:rFonts w:eastAsia="Arial Unicode MS"/>
          <w:color w:val="000000"/>
        </w:rPr>
        <w:t xml:space="preserve"> </w:t>
      </w:r>
      <w:r w:rsidR="00B760AD" w:rsidRPr="004A6531">
        <w:rPr>
          <w:rFonts w:eastAsia="Arial Unicode MS"/>
          <w:color w:val="000000"/>
        </w:rPr>
        <w:t xml:space="preserve">promotes </w:t>
      </w:r>
      <w:r w:rsidR="00DF2EF4" w:rsidRPr="004A6531">
        <w:rPr>
          <w:rFonts w:eastAsia="Arial Unicode MS"/>
          <w:color w:val="000000"/>
        </w:rPr>
        <w:t xml:space="preserve">messages and materials that aim to increase parents’ </w:t>
      </w:r>
      <w:r w:rsidR="00B760AD" w:rsidRPr="004A6531">
        <w:rPr>
          <w:rFonts w:eastAsia="Arial Unicode MS"/>
          <w:color w:val="000000"/>
        </w:rPr>
        <w:t>awareness of healthy developmental milestones during early childhood, the importance of tracking each child’s development, and the importance of acting early if there are concerns.</w:t>
      </w:r>
    </w:p>
    <w:p w:rsidR="00B760AD" w:rsidRPr="004A6531" w:rsidRDefault="00B760AD" w:rsidP="00F74BB4">
      <w:pPr>
        <w:rPr>
          <w:rFonts w:eastAsia="Arial Unicode MS"/>
          <w:color w:val="000000"/>
        </w:rPr>
      </w:pPr>
    </w:p>
    <w:p w:rsidR="003D0CB6" w:rsidRPr="004A6531" w:rsidRDefault="00D86F4F" w:rsidP="00E0752B">
      <w:pPr>
        <w:rPr>
          <w:rFonts w:eastAsia="Arial Unicode MS"/>
          <w:color w:val="000000"/>
        </w:rPr>
      </w:pPr>
      <w:r w:rsidRPr="004A6531">
        <w:rPr>
          <w:rFonts w:eastAsia="Arial Unicode MS"/>
          <w:color w:val="000000"/>
        </w:rPr>
        <w:t>Low-income families with young children</w:t>
      </w:r>
      <w:r w:rsidR="00F74BB4" w:rsidRPr="004A6531">
        <w:rPr>
          <w:rFonts w:eastAsia="Arial Unicode MS"/>
          <w:color w:val="000000"/>
        </w:rPr>
        <w:t xml:space="preserve"> a</w:t>
      </w:r>
      <w:r w:rsidR="00960469" w:rsidRPr="004A6531">
        <w:rPr>
          <w:rFonts w:eastAsia="Arial Unicode MS"/>
          <w:color w:val="000000"/>
        </w:rPr>
        <w:t xml:space="preserve">re a priority audience of the campaign. </w:t>
      </w:r>
      <w:r w:rsidR="006A47FF" w:rsidRPr="004A6531">
        <w:rPr>
          <w:rFonts w:eastAsia="Arial Unicode MS"/>
          <w:color w:val="000000"/>
        </w:rPr>
        <w:t xml:space="preserve">A small budget </w:t>
      </w:r>
      <w:r w:rsidRPr="004A6531">
        <w:rPr>
          <w:rFonts w:eastAsia="Arial Unicode MS"/>
          <w:color w:val="000000"/>
        </w:rPr>
        <w:t>prevents</w:t>
      </w:r>
      <w:r w:rsidR="006A47FF" w:rsidRPr="004A6531">
        <w:rPr>
          <w:rFonts w:eastAsia="Arial Unicode MS"/>
          <w:color w:val="000000"/>
        </w:rPr>
        <w:t xml:space="preserve"> </w:t>
      </w:r>
      <w:r w:rsidR="00960469" w:rsidRPr="004A6531">
        <w:rPr>
          <w:rFonts w:eastAsia="Arial Unicode MS"/>
          <w:color w:val="000000"/>
        </w:rPr>
        <w:t>LTSAE</w:t>
      </w:r>
      <w:r w:rsidR="006A47FF" w:rsidRPr="004A6531">
        <w:rPr>
          <w:rFonts w:eastAsia="Arial Unicode MS"/>
          <w:color w:val="000000"/>
        </w:rPr>
        <w:t xml:space="preserve"> </w:t>
      </w:r>
      <w:r w:rsidRPr="004A6531">
        <w:rPr>
          <w:rFonts w:eastAsia="Arial Unicode MS"/>
          <w:color w:val="000000"/>
        </w:rPr>
        <w:t>from</w:t>
      </w:r>
      <w:r w:rsidR="006A47FF" w:rsidRPr="004A6531">
        <w:rPr>
          <w:rFonts w:eastAsia="Arial Unicode MS"/>
          <w:color w:val="000000"/>
        </w:rPr>
        <w:t xml:space="preserve"> </w:t>
      </w:r>
      <w:r w:rsidRPr="004A6531">
        <w:rPr>
          <w:rFonts w:eastAsia="Arial Unicode MS"/>
          <w:color w:val="000000"/>
        </w:rPr>
        <w:t xml:space="preserve">directly </w:t>
      </w:r>
      <w:r w:rsidR="006A47FF" w:rsidRPr="004A6531">
        <w:rPr>
          <w:rFonts w:eastAsia="Arial Unicode MS"/>
          <w:color w:val="000000"/>
        </w:rPr>
        <w:t>reach</w:t>
      </w:r>
      <w:r w:rsidRPr="004A6531">
        <w:rPr>
          <w:rFonts w:eastAsia="Arial Unicode MS"/>
          <w:color w:val="000000"/>
        </w:rPr>
        <w:t>ing</w:t>
      </w:r>
      <w:r w:rsidR="006A47FF" w:rsidRPr="004A6531">
        <w:rPr>
          <w:rFonts w:eastAsia="Arial Unicode MS"/>
          <w:color w:val="000000"/>
        </w:rPr>
        <w:t xml:space="preserve"> this target audience with its messages and materials; therefore, LTSAE’s main dissemination strategy is </w:t>
      </w:r>
      <w:r w:rsidR="00343C3F" w:rsidRPr="004A6531">
        <w:rPr>
          <w:rFonts w:eastAsia="Arial Unicode MS"/>
          <w:color w:val="000000"/>
        </w:rPr>
        <w:t>through</w:t>
      </w:r>
      <w:r w:rsidR="006A47FF" w:rsidRPr="004A6531">
        <w:rPr>
          <w:rFonts w:eastAsia="Arial Unicode MS"/>
          <w:color w:val="000000"/>
        </w:rPr>
        <w:t xml:space="preserve"> key partners with similar mission</w:t>
      </w:r>
      <w:r w:rsidR="00343C3F" w:rsidRPr="004A6531">
        <w:rPr>
          <w:rFonts w:eastAsia="Arial Unicode MS"/>
          <w:color w:val="000000"/>
        </w:rPr>
        <w:t xml:space="preserve">s, </w:t>
      </w:r>
      <w:r w:rsidR="006A47FF" w:rsidRPr="004A6531">
        <w:rPr>
          <w:rFonts w:eastAsia="Arial Unicode MS"/>
          <w:color w:val="000000"/>
        </w:rPr>
        <w:t xml:space="preserve">who </w:t>
      </w:r>
      <w:r w:rsidRPr="004A6531">
        <w:rPr>
          <w:rFonts w:eastAsia="Arial Unicode MS"/>
          <w:color w:val="000000"/>
        </w:rPr>
        <w:t xml:space="preserve">do </w:t>
      </w:r>
      <w:r w:rsidR="006A47FF" w:rsidRPr="004A6531">
        <w:rPr>
          <w:rFonts w:eastAsia="Arial Unicode MS"/>
          <w:color w:val="000000"/>
        </w:rPr>
        <w:t>d</w:t>
      </w:r>
      <w:r w:rsidRPr="004A6531">
        <w:rPr>
          <w:rFonts w:eastAsia="Arial Unicode MS"/>
          <w:color w:val="000000"/>
        </w:rPr>
        <w:t>irectly reach low-income families</w:t>
      </w:r>
      <w:r w:rsidR="00E46E9B" w:rsidRPr="004A6531">
        <w:rPr>
          <w:rFonts w:eastAsia="Arial Unicode MS"/>
          <w:color w:val="000000"/>
        </w:rPr>
        <w:t>. Key</w:t>
      </w:r>
      <w:r w:rsidR="00F74BB4" w:rsidRPr="004A6531">
        <w:rPr>
          <w:rFonts w:eastAsia="Arial Unicode MS"/>
          <w:color w:val="000000"/>
        </w:rPr>
        <w:t xml:space="preserve"> partners include</w:t>
      </w:r>
      <w:r w:rsidR="003D7528" w:rsidRPr="004A6531">
        <w:rPr>
          <w:rFonts w:eastAsia="Arial Unicode MS"/>
          <w:color w:val="000000"/>
        </w:rPr>
        <w:t xml:space="preserve"> but are not limited to:</w:t>
      </w:r>
      <w:r w:rsidR="00F74BB4" w:rsidRPr="004A6531">
        <w:rPr>
          <w:rFonts w:eastAsia="Arial Unicode MS"/>
          <w:color w:val="000000"/>
        </w:rPr>
        <w:t xml:space="preserve"> Special Supplemental Nutrition Program for Women, Infants and Children (WIC); Head Start; Early Head Start; Child Find; </w:t>
      </w:r>
      <w:r w:rsidR="00343C3F" w:rsidRPr="004A6531">
        <w:rPr>
          <w:rFonts w:eastAsia="Arial Unicode MS"/>
          <w:color w:val="000000"/>
        </w:rPr>
        <w:t xml:space="preserve">and </w:t>
      </w:r>
      <w:r w:rsidR="00F74BB4" w:rsidRPr="004A6531">
        <w:rPr>
          <w:rFonts w:eastAsia="Arial Unicode MS"/>
          <w:color w:val="000000"/>
        </w:rPr>
        <w:t>Federall</w:t>
      </w:r>
      <w:r w:rsidR="00343C3F" w:rsidRPr="004A6531">
        <w:rPr>
          <w:rFonts w:eastAsia="Arial Unicode MS"/>
          <w:color w:val="000000"/>
        </w:rPr>
        <w:t>y Qualified Health Centers</w:t>
      </w:r>
      <w:r w:rsidR="003D7528" w:rsidRPr="004A6531">
        <w:rPr>
          <w:rFonts w:eastAsia="Arial Unicode MS"/>
          <w:color w:val="000000"/>
        </w:rPr>
        <w:t>.</w:t>
      </w:r>
      <w:r w:rsidRPr="004A6531">
        <w:rPr>
          <w:rFonts w:eastAsia="Arial Unicode MS"/>
          <w:color w:val="000000"/>
        </w:rPr>
        <w:t xml:space="preserve"> Webinars are an important outreach strategy for making </w:t>
      </w:r>
      <w:r w:rsidR="00E46E9B" w:rsidRPr="004A6531">
        <w:rPr>
          <w:rFonts w:eastAsia="Arial Unicode MS"/>
          <w:color w:val="000000"/>
        </w:rPr>
        <w:t>employees within</w:t>
      </w:r>
      <w:r w:rsidRPr="004A6531">
        <w:rPr>
          <w:rFonts w:eastAsia="Arial Unicode MS"/>
          <w:color w:val="000000"/>
        </w:rPr>
        <w:t xml:space="preserve"> key </w:t>
      </w:r>
      <w:r w:rsidR="00E46E9B" w:rsidRPr="004A6531">
        <w:rPr>
          <w:rFonts w:eastAsia="Arial Unicode MS"/>
          <w:color w:val="000000"/>
        </w:rPr>
        <w:t>partner groups</w:t>
      </w:r>
      <w:r w:rsidRPr="004A6531">
        <w:rPr>
          <w:rFonts w:eastAsia="Arial Unicode MS"/>
          <w:color w:val="000000"/>
        </w:rPr>
        <w:t xml:space="preserve"> </w:t>
      </w:r>
      <w:r w:rsidR="003D0CB6" w:rsidRPr="004A6531">
        <w:rPr>
          <w:rFonts w:eastAsia="Arial Unicode MS"/>
          <w:color w:val="000000"/>
        </w:rPr>
        <w:t xml:space="preserve">aware of LTSAE and </w:t>
      </w:r>
      <w:r w:rsidR="00E46E9B" w:rsidRPr="004A6531">
        <w:rPr>
          <w:rFonts w:eastAsia="Arial Unicode MS"/>
          <w:color w:val="000000"/>
        </w:rPr>
        <w:t>its messages and materials. I</w:t>
      </w:r>
      <w:r w:rsidR="003D0CB6" w:rsidRPr="004A6531">
        <w:rPr>
          <w:rFonts w:eastAsia="Arial Unicode MS"/>
          <w:color w:val="000000"/>
        </w:rPr>
        <w:t>d</w:t>
      </w:r>
      <w:r w:rsidR="00E46E9B" w:rsidRPr="004A6531">
        <w:rPr>
          <w:rFonts w:eastAsia="Arial Unicode MS"/>
          <w:color w:val="000000"/>
        </w:rPr>
        <w:t>eally, these webinars facilitate the organization’s dissemination and/or integration of</w:t>
      </w:r>
      <w:r w:rsidR="003D0CB6" w:rsidRPr="004A6531">
        <w:rPr>
          <w:rFonts w:eastAsia="Arial Unicode MS"/>
          <w:color w:val="000000"/>
        </w:rPr>
        <w:t xml:space="preserve"> LTSAE into their organizations and </w:t>
      </w:r>
      <w:r w:rsidRPr="004A6531">
        <w:rPr>
          <w:rFonts w:eastAsia="Arial Unicode MS"/>
          <w:color w:val="000000"/>
        </w:rPr>
        <w:t xml:space="preserve">within their </w:t>
      </w:r>
      <w:r w:rsidR="003D0CB6" w:rsidRPr="004A6531">
        <w:rPr>
          <w:rFonts w:eastAsia="Arial Unicode MS"/>
          <w:color w:val="000000"/>
        </w:rPr>
        <w:t>communities. W</w:t>
      </w:r>
      <w:r w:rsidR="00E17124" w:rsidRPr="004A6531">
        <w:rPr>
          <w:rFonts w:eastAsia="Arial Unicode MS"/>
          <w:color w:val="000000"/>
        </w:rPr>
        <w:t xml:space="preserve">ebinars are </w:t>
      </w:r>
      <w:r w:rsidR="003D0CB6" w:rsidRPr="004A6531">
        <w:rPr>
          <w:rFonts w:eastAsia="Arial Unicode MS"/>
          <w:color w:val="000000"/>
        </w:rPr>
        <w:t xml:space="preserve">appealing because they are </w:t>
      </w:r>
      <w:r w:rsidR="00E17124" w:rsidRPr="004A6531">
        <w:rPr>
          <w:rFonts w:eastAsia="Arial Unicode MS"/>
          <w:color w:val="000000"/>
        </w:rPr>
        <w:t>a low</w:t>
      </w:r>
      <w:r w:rsidR="00E83CFE" w:rsidRPr="004A6531">
        <w:rPr>
          <w:rFonts w:eastAsia="Arial Unicode MS"/>
          <w:color w:val="000000"/>
        </w:rPr>
        <w:t xml:space="preserve">-cost </w:t>
      </w:r>
      <w:r w:rsidR="003D0CB6" w:rsidRPr="004A6531">
        <w:rPr>
          <w:rFonts w:eastAsia="Arial Unicode MS"/>
          <w:color w:val="000000"/>
        </w:rPr>
        <w:t>way</w:t>
      </w:r>
      <w:r w:rsidR="00E83CFE" w:rsidRPr="004A6531">
        <w:rPr>
          <w:rFonts w:eastAsia="Arial Unicode MS"/>
          <w:color w:val="000000"/>
        </w:rPr>
        <w:t xml:space="preserve"> to</w:t>
      </w:r>
      <w:r w:rsidR="003D0CB6" w:rsidRPr="004A6531">
        <w:rPr>
          <w:rFonts w:eastAsia="Arial Unicode MS"/>
          <w:color w:val="000000"/>
        </w:rPr>
        <w:t xml:space="preserve"> reach </w:t>
      </w:r>
      <w:r w:rsidR="00E46E9B" w:rsidRPr="004A6531">
        <w:rPr>
          <w:rFonts w:eastAsia="Arial Unicode MS"/>
          <w:color w:val="000000"/>
        </w:rPr>
        <w:t>hundreds of people</w:t>
      </w:r>
      <w:r w:rsidR="003D0CB6" w:rsidRPr="004A6531">
        <w:rPr>
          <w:rFonts w:eastAsia="Arial Unicode MS"/>
          <w:color w:val="000000"/>
        </w:rPr>
        <w:t xml:space="preserve"> who work for key partners across the </w:t>
      </w:r>
      <w:r w:rsidR="00E46E9B" w:rsidRPr="004A6531">
        <w:rPr>
          <w:rFonts w:eastAsia="Arial Unicode MS"/>
          <w:color w:val="000000"/>
        </w:rPr>
        <w:t>United States</w:t>
      </w:r>
      <w:r w:rsidR="003D0CB6" w:rsidRPr="004A6531">
        <w:rPr>
          <w:rFonts w:eastAsia="Arial Unicode MS"/>
          <w:color w:val="000000"/>
        </w:rPr>
        <w:t>.</w:t>
      </w:r>
    </w:p>
    <w:p w:rsidR="004B4E2D" w:rsidRPr="004A6531" w:rsidRDefault="003D0CB6" w:rsidP="00E0752B">
      <w:pPr>
        <w:rPr>
          <w:rFonts w:eastAsia="Arial Unicode MS"/>
          <w:color w:val="000000"/>
        </w:rPr>
      </w:pPr>
      <w:r w:rsidRPr="004A6531">
        <w:rPr>
          <w:rFonts w:eastAsia="Arial Unicode MS"/>
          <w:color w:val="000000"/>
        </w:rPr>
        <w:t xml:space="preserve"> </w:t>
      </w:r>
    </w:p>
    <w:p w:rsidR="00F74BB4" w:rsidRPr="004A6531" w:rsidRDefault="00B513BB" w:rsidP="00E0752B">
      <w:pPr>
        <w:rPr>
          <w:rFonts w:eastAsia="Arial Unicode MS"/>
          <w:color w:val="000000"/>
        </w:rPr>
      </w:pPr>
      <w:r w:rsidRPr="004A6531">
        <w:rPr>
          <w:rFonts w:eastAsia="Arial Unicode MS"/>
          <w:color w:val="000000"/>
        </w:rPr>
        <w:t xml:space="preserve">The proposed </w:t>
      </w:r>
      <w:r w:rsidR="00630D3C" w:rsidRPr="004A6531">
        <w:rPr>
          <w:rFonts w:eastAsia="Arial Unicode MS"/>
          <w:color w:val="000000"/>
        </w:rPr>
        <w:t xml:space="preserve">online </w:t>
      </w:r>
      <w:r w:rsidRPr="004A6531">
        <w:rPr>
          <w:rFonts w:eastAsia="Arial Unicode MS"/>
          <w:color w:val="000000"/>
        </w:rPr>
        <w:t>surveys will assess the ability of LTSAE to communicate to partners through webinars, focusing specifically on customer satisfaction of the webinar. A</w:t>
      </w:r>
      <w:r w:rsidR="004B4E2D" w:rsidRPr="004A6531">
        <w:rPr>
          <w:rFonts w:eastAsia="Arial Unicode MS"/>
          <w:color w:val="000000"/>
        </w:rPr>
        <w:t xml:space="preserve"> brief onlin</w:t>
      </w:r>
      <w:r w:rsidRPr="004A6531">
        <w:rPr>
          <w:rFonts w:eastAsia="Arial Unicode MS"/>
          <w:color w:val="000000"/>
        </w:rPr>
        <w:t xml:space="preserve">e survey will be conducted </w:t>
      </w:r>
      <w:r w:rsidR="004B4E2D" w:rsidRPr="004A6531">
        <w:rPr>
          <w:rFonts w:eastAsia="Arial Unicode MS"/>
          <w:color w:val="000000"/>
        </w:rPr>
        <w:t>following the conclusion of each webinar</w:t>
      </w:r>
      <w:r w:rsidR="00C43A64" w:rsidRPr="004A6531">
        <w:rPr>
          <w:rFonts w:eastAsia="Arial Unicode MS"/>
          <w:color w:val="000000"/>
        </w:rPr>
        <w:t xml:space="preserve"> to </w:t>
      </w:r>
      <w:r w:rsidR="00EE0F6C" w:rsidRPr="004A6531">
        <w:rPr>
          <w:rFonts w:eastAsia="Arial Unicode MS"/>
          <w:color w:val="000000"/>
        </w:rPr>
        <w:t>assess part</w:t>
      </w:r>
      <w:r w:rsidR="00C43A64" w:rsidRPr="004A6531">
        <w:rPr>
          <w:rFonts w:eastAsia="Arial Unicode MS"/>
          <w:color w:val="000000"/>
        </w:rPr>
        <w:t xml:space="preserve">icipants’ </w:t>
      </w:r>
      <w:r w:rsidRPr="004A6531">
        <w:rPr>
          <w:rFonts w:eastAsia="Arial Unicode MS"/>
          <w:color w:val="000000"/>
        </w:rPr>
        <w:t xml:space="preserve">perceived </w:t>
      </w:r>
      <w:r w:rsidR="00EE0F6C" w:rsidRPr="004A6531">
        <w:rPr>
          <w:rFonts w:eastAsia="Arial Unicode MS"/>
          <w:color w:val="000000"/>
        </w:rPr>
        <w:t xml:space="preserve">utility of information provided in the webinars. </w:t>
      </w:r>
      <w:r w:rsidR="00C43A64" w:rsidRPr="004A6531">
        <w:rPr>
          <w:rFonts w:eastAsia="Arial Unicode MS"/>
          <w:color w:val="000000"/>
        </w:rPr>
        <w:t>A follow-</w:t>
      </w:r>
      <w:r w:rsidR="004B4E2D" w:rsidRPr="004A6531">
        <w:rPr>
          <w:rFonts w:eastAsia="Arial Unicode MS"/>
          <w:color w:val="000000"/>
        </w:rPr>
        <w:t xml:space="preserve">up survey </w:t>
      </w:r>
      <w:r w:rsidR="00C43A64" w:rsidRPr="004A6531">
        <w:rPr>
          <w:rFonts w:eastAsia="Arial Unicode MS"/>
          <w:color w:val="000000"/>
        </w:rPr>
        <w:t xml:space="preserve">will be administered </w:t>
      </w:r>
      <w:r w:rsidR="001F6C11" w:rsidRPr="004A6531">
        <w:rPr>
          <w:rFonts w:eastAsia="Arial Unicode MS"/>
          <w:color w:val="000000"/>
        </w:rPr>
        <w:t xml:space="preserve">approximately 3 </w:t>
      </w:r>
      <w:r w:rsidR="004B4E2D" w:rsidRPr="004A6531">
        <w:rPr>
          <w:rFonts w:eastAsia="Arial Unicode MS"/>
          <w:color w:val="000000"/>
        </w:rPr>
        <w:t>months post-webinar</w:t>
      </w:r>
      <w:r w:rsidRPr="004A6531">
        <w:rPr>
          <w:rFonts w:eastAsia="Arial Unicode MS"/>
          <w:color w:val="000000"/>
        </w:rPr>
        <w:t>, gathering</w:t>
      </w:r>
      <w:r w:rsidR="004B4E2D" w:rsidRPr="004A6531">
        <w:rPr>
          <w:rFonts w:eastAsia="Arial Unicode MS"/>
          <w:color w:val="000000"/>
        </w:rPr>
        <w:t xml:space="preserve"> feedback on participants</w:t>
      </w:r>
      <w:r w:rsidR="00C43A64" w:rsidRPr="004A6531">
        <w:rPr>
          <w:rFonts w:eastAsia="Arial Unicode MS"/>
          <w:color w:val="000000"/>
        </w:rPr>
        <w:t>’ recollection of the webinar and additional needs they may have regarding LTSAE materials</w:t>
      </w:r>
      <w:r w:rsidR="00774E3D">
        <w:rPr>
          <w:rFonts w:eastAsia="Arial Unicode MS"/>
          <w:color w:val="000000"/>
        </w:rPr>
        <w:t xml:space="preserve">. Totals from these surveys will be automatically calculated based on the data participants entered, and </w:t>
      </w:r>
      <w:r w:rsidR="00630D3C" w:rsidRPr="004A6531">
        <w:rPr>
          <w:rFonts w:eastAsia="Arial Unicode MS"/>
          <w:color w:val="000000"/>
        </w:rPr>
        <w:t>we hope</w:t>
      </w:r>
      <w:r w:rsidR="00774E3D">
        <w:rPr>
          <w:rFonts w:eastAsia="Arial Unicode MS"/>
          <w:color w:val="000000"/>
        </w:rPr>
        <w:t xml:space="preserve"> the results</w:t>
      </w:r>
      <w:r w:rsidR="00630D3C" w:rsidRPr="004A6531">
        <w:rPr>
          <w:rFonts w:eastAsia="Arial Unicode MS"/>
          <w:color w:val="000000"/>
        </w:rPr>
        <w:t xml:space="preserve"> will provide us with insight into the</w:t>
      </w:r>
      <w:r w:rsidRPr="004A6531">
        <w:rPr>
          <w:rFonts w:eastAsia="Arial Unicode MS"/>
          <w:color w:val="000000"/>
        </w:rPr>
        <w:t xml:space="preserve"> long</w:t>
      </w:r>
      <w:r w:rsidR="00C43A64" w:rsidRPr="004A6531">
        <w:rPr>
          <w:rFonts w:eastAsia="Arial Unicode MS"/>
          <w:color w:val="000000"/>
        </w:rPr>
        <w:t>-term utility o</w:t>
      </w:r>
      <w:r w:rsidRPr="004A6531">
        <w:rPr>
          <w:rFonts w:eastAsia="Arial Unicode MS"/>
          <w:color w:val="000000"/>
        </w:rPr>
        <w:t>f the webinar</w:t>
      </w:r>
      <w:r w:rsidR="00C43A64" w:rsidRPr="004A6531">
        <w:rPr>
          <w:rFonts w:eastAsia="Arial Unicode MS"/>
          <w:color w:val="000000"/>
        </w:rPr>
        <w:t xml:space="preserve">. </w:t>
      </w:r>
    </w:p>
    <w:p w:rsidR="00AE4E35" w:rsidRPr="004A6531" w:rsidRDefault="00AE4E35" w:rsidP="00E0752B">
      <w:pPr>
        <w:pStyle w:val="Header"/>
        <w:tabs>
          <w:tab w:val="clear" w:pos="4320"/>
          <w:tab w:val="clear" w:pos="8640"/>
        </w:tabs>
        <w:rPr>
          <w:b/>
        </w:rPr>
      </w:pPr>
    </w:p>
    <w:p w:rsidR="00E0752B" w:rsidRPr="004A6531" w:rsidRDefault="00E0752B" w:rsidP="00E0752B">
      <w:pPr>
        <w:pStyle w:val="Header"/>
        <w:tabs>
          <w:tab w:val="clear" w:pos="4320"/>
          <w:tab w:val="clear" w:pos="8640"/>
        </w:tabs>
        <w:rPr>
          <w:b/>
        </w:rPr>
      </w:pPr>
    </w:p>
    <w:p w:rsidR="00E0752B" w:rsidRPr="004A6531" w:rsidRDefault="00E0752B" w:rsidP="00E0752B">
      <w:pPr>
        <w:pStyle w:val="Header"/>
        <w:tabs>
          <w:tab w:val="clear" w:pos="4320"/>
          <w:tab w:val="clear" w:pos="8640"/>
        </w:tabs>
        <w:rPr>
          <w:i/>
        </w:rPr>
      </w:pPr>
      <w:r w:rsidRPr="004A6531">
        <w:rPr>
          <w:b/>
        </w:rPr>
        <w:t>DESCRIPTION OF RESPONDENTS</w:t>
      </w:r>
      <w:r w:rsidRPr="004A6531">
        <w:t xml:space="preserve">: </w:t>
      </w:r>
    </w:p>
    <w:p w:rsidR="00E0752B" w:rsidRPr="004A6531" w:rsidRDefault="00E0752B" w:rsidP="00E0752B"/>
    <w:p w:rsidR="00E0752B" w:rsidRPr="004A6531" w:rsidRDefault="00B82319" w:rsidP="00E0752B">
      <w:r w:rsidRPr="004A6531">
        <w:t>LTSAE proposes to administer two o</w:t>
      </w:r>
      <w:r w:rsidR="00E0752B" w:rsidRPr="004A6531">
        <w:t>nline survey</w:t>
      </w:r>
      <w:r w:rsidRPr="004A6531">
        <w:t>s</w:t>
      </w:r>
      <w:r w:rsidR="00E0752B" w:rsidRPr="004A6531">
        <w:t xml:space="preserve"> </w:t>
      </w:r>
      <w:r w:rsidRPr="004A6531">
        <w:t>to</w:t>
      </w:r>
      <w:r w:rsidR="00E0752B" w:rsidRPr="004A6531">
        <w:t xml:space="preserve"> webinar participants.</w:t>
      </w:r>
      <w:r w:rsidRPr="004A6531">
        <w:t xml:space="preserve"> Participants could</w:t>
      </w:r>
      <w:r w:rsidR="00DC5598" w:rsidRPr="004A6531">
        <w:t xml:space="preserve"> </w:t>
      </w:r>
      <w:r w:rsidRPr="004A6531">
        <w:t>be either health care providers or</w:t>
      </w:r>
      <w:r w:rsidR="00934D68" w:rsidRPr="004A6531">
        <w:t xml:space="preserve"> administrative </w:t>
      </w:r>
      <w:r w:rsidR="009972F2" w:rsidRPr="004A6531">
        <w:t xml:space="preserve">staff </w:t>
      </w:r>
      <w:r w:rsidRPr="004A6531">
        <w:t xml:space="preserve">members who work for various </w:t>
      </w:r>
      <w:r w:rsidR="00934D68" w:rsidRPr="004A6531">
        <w:t xml:space="preserve">partner </w:t>
      </w:r>
      <w:r w:rsidR="00DC5598" w:rsidRPr="004A6531">
        <w:t>organizations including</w:t>
      </w:r>
      <w:r w:rsidRPr="004A6531">
        <w:t>,</w:t>
      </w:r>
      <w:r w:rsidR="00DC5598" w:rsidRPr="004A6531">
        <w:t xml:space="preserve"> </w:t>
      </w:r>
      <w:r w:rsidR="009972F2" w:rsidRPr="004A6531">
        <w:t>but not limited to</w:t>
      </w:r>
      <w:r w:rsidRPr="004A6531">
        <w:t>,</w:t>
      </w:r>
      <w:r w:rsidR="009972F2" w:rsidRPr="004A6531">
        <w:t xml:space="preserve"> </w:t>
      </w:r>
      <w:r w:rsidR="00781337" w:rsidRPr="004A6531">
        <w:rPr>
          <w:rFonts w:eastAsia="Arial Unicode MS"/>
          <w:color w:val="000000"/>
        </w:rPr>
        <w:t xml:space="preserve">Special Supplemental Nutrition Program for Women, Infants and Children (WIC), Head Start, Early Head Start, Child Find, </w:t>
      </w:r>
      <w:r w:rsidR="005E0A5E" w:rsidRPr="004A6531">
        <w:rPr>
          <w:rFonts w:eastAsia="Arial Unicode MS"/>
          <w:color w:val="000000"/>
        </w:rPr>
        <w:t>tribal g</w:t>
      </w:r>
      <w:r w:rsidR="002C52B7" w:rsidRPr="004A6531">
        <w:rPr>
          <w:rFonts w:eastAsia="Arial Unicode MS"/>
          <w:color w:val="000000"/>
        </w:rPr>
        <w:t xml:space="preserve">rantees, </w:t>
      </w:r>
      <w:r w:rsidR="00781337" w:rsidRPr="004A6531">
        <w:rPr>
          <w:rFonts w:eastAsia="Arial Unicode MS"/>
          <w:color w:val="000000"/>
        </w:rPr>
        <w:t>and Federally Qualified Health Centers.</w:t>
      </w:r>
    </w:p>
    <w:p w:rsidR="00E0752B" w:rsidRPr="004A6531" w:rsidRDefault="00E0752B" w:rsidP="00E0752B">
      <w:pPr>
        <w:pStyle w:val="Heading1"/>
      </w:pPr>
    </w:p>
    <w:p w:rsidR="003E1BF0" w:rsidRPr="004A6531" w:rsidRDefault="009972F2" w:rsidP="003E1BF0">
      <w:pPr>
        <w:tabs>
          <w:tab w:val="left" w:pos="0"/>
        </w:tabs>
      </w:pPr>
      <w:r w:rsidRPr="004A6531">
        <w:t>S</w:t>
      </w:r>
      <w:r w:rsidR="003E1BF0" w:rsidRPr="004A6531">
        <w:t xml:space="preserve">urveys will be administered </w:t>
      </w:r>
      <w:r w:rsidRPr="004A6531">
        <w:t xml:space="preserve">online, </w:t>
      </w:r>
      <w:r w:rsidR="003E1BF0" w:rsidRPr="004A6531">
        <w:t xml:space="preserve">via Survey Monkey. </w:t>
      </w:r>
      <w:r w:rsidR="001F71B2" w:rsidRPr="004A6531">
        <w:t>Participants must provide an e-mail address in order to gain access to the webinar. Immediately following the webinar, a</w:t>
      </w:r>
      <w:r w:rsidR="003E1BF0" w:rsidRPr="004A6531">
        <w:t xml:space="preserve"> link to the survey wi</w:t>
      </w:r>
      <w:r w:rsidR="001F71B2" w:rsidRPr="004A6531">
        <w:t xml:space="preserve">ll be embedded in an email to webinar participants, </w:t>
      </w:r>
      <w:r w:rsidRPr="004A6531">
        <w:t xml:space="preserve">and </w:t>
      </w:r>
      <w:r w:rsidR="001F71B2" w:rsidRPr="004A6531">
        <w:t xml:space="preserve">another e-mail with a link to the survey will be sent </w:t>
      </w:r>
      <w:r w:rsidRPr="004A6531">
        <w:t>at follow up,</w:t>
      </w:r>
      <w:r w:rsidR="001F6C11" w:rsidRPr="004A6531">
        <w:t xml:space="preserve"> approximately</w:t>
      </w:r>
      <w:r w:rsidR="001F71B2" w:rsidRPr="004A6531">
        <w:t xml:space="preserve"> 3 months</w:t>
      </w:r>
      <w:r w:rsidR="00934D68" w:rsidRPr="004A6531">
        <w:t xml:space="preserve"> post-webinar. </w:t>
      </w:r>
      <w:r w:rsidR="003E1BF0" w:rsidRPr="004A6531">
        <w:t>Surveys will be administered once</w:t>
      </w:r>
      <w:r w:rsidR="00934D68" w:rsidRPr="004A6531">
        <w:t>,</w:t>
      </w:r>
      <w:r w:rsidR="003E1BF0" w:rsidRPr="004A6531">
        <w:t xml:space="preserve"> and not all surveys will be completed by all </w:t>
      </w:r>
      <w:r w:rsidR="005E0A5E" w:rsidRPr="004A6531">
        <w:t xml:space="preserve">potential </w:t>
      </w:r>
      <w:r w:rsidR="003E1BF0" w:rsidRPr="004A6531">
        <w:t xml:space="preserve">respondents. The surveys will be deployed </w:t>
      </w:r>
      <w:r w:rsidR="005E0A5E" w:rsidRPr="004A6531">
        <w:t>at different points during the year, each time LTSAE hosts a webinar.</w:t>
      </w:r>
      <w:r w:rsidR="003E1BF0" w:rsidRPr="004A6531">
        <w:t xml:space="preserve"> </w:t>
      </w:r>
    </w:p>
    <w:p w:rsidR="00E0752B" w:rsidRPr="004A6531" w:rsidRDefault="00E0752B" w:rsidP="00E0752B">
      <w:pPr>
        <w:rPr>
          <w:b/>
        </w:rPr>
      </w:pPr>
    </w:p>
    <w:p w:rsidR="00237061" w:rsidRDefault="00237061" w:rsidP="00E0752B">
      <w:pPr>
        <w:rPr>
          <w:b/>
        </w:rPr>
      </w:pPr>
    </w:p>
    <w:p w:rsidR="00E0752B" w:rsidRPr="004A6531" w:rsidRDefault="00E0752B" w:rsidP="00E0752B">
      <w:pPr>
        <w:rPr>
          <w:b/>
        </w:rPr>
      </w:pPr>
      <w:r w:rsidRPr="004A6531">
        <w:rPr>
          <w:b/>
        </w:rPr>
        <w:t>TYPE OF COLLECTION:</w:t>
      </w:r>
      <w:r w:rsidRPr="004A6531">
        <w:t xml:space="preserve"> (Check one)</w:t>
      </w:r>
    </w:p>
    <w:p w:rsidR="00E0752B" w:rsidRPr="004A6531" w:rsidRDefault="00E0752B" w:rsidP="00E0752B">
      <w:pPr>
        <w:pStyle w:val="BodyTextIndent"/>
        <w:tabs>
          <w:tab w:val="left" w:pos="360"/>
        </w:tabs>
        <w:ind w:left="0"/>
        <w:rPr>
          <w:bCs/>
          <w:sz w:val="16"/>
          <w:szCs w:val="16"/>
        </w:rPr>
      </w:pPr>
    </w:p>
    <w:p w:rsidR="00E0752B" w:rsidRPr="004A6531" w:rsidRDefault="00E0752B" w:rsidP="00E0752B">
      <w:pPr>
        <w:pStyle w:val="BodyTextIndent"/>
        <w:tabs>
          <w:tab w:val="left" w:pos="360"/>
        </w:tabs>
        <w:ind w:left="0"/>
        <w:rPr>
          <w:bCs/>
          <w:sz w:val="24"/>
        </w:rPr>
      </w:pPr>
      <w:r w:rsidRPr="004A6531">
        <w:rPr>
          <w:bCs/>
          <w:sz w:val="24"/>
        </w:rPr>
        <w:t xml:space="preserve">[ ] </w:t>
      </w:r>
      <w:r w:rsidRPr="004A6531">
        <w:rPr>
          <w:b/>
          <w:bCs/>
          <w:sz w:val="24"/>
        </w:rPr>
        <w:t xml:space="preserve">Customer Comment Card/Complaint Form </w:t>
      </w:r>
      <w:r w:rsidRPr="004A6531">
        <w:rPr>
          <w:b/>
          <w:bCs/>
          <w:sz w:val="24"/>
        </w:rPr>
        <w:tab/>
      </w:r>
      <w:r w:rsidRPr="004A6531">
        <w:rPr>
          <w:bCs/>
          <w:sz w:val="24"/>
        </w:rPr>
        <w:t xml:space="preserve">[ </w:t>
      </w:r>
      <w:r w:rsidR="002C52B7" w:rsidRPr="004A6531">
        <w:rPr>
          <w:bCs/>
          <w:sz w:val="24"/>
        </w:rPr>
        <w:t>X</w:t>
      </w:r>
      <w:r w:rsidRPr="004A6531">
        <w:rPr>
          <w:bCs/>
          <w:sz w:val="24"/>
        </w:rPr>
        <w:t xml:space="preserve">] </w:t>
      </w:r>
      <w:r w:rsidRPr="004A6531">
        <w:rPr>
          <w:b/>
          <w:bCs/>
          <w:sz w:val="24"/>
        </w:rPr>
        <w:t>Customer Satisfaction Survey</w:t>
      </w:r>
      <w:r w:rsidRPr="004A6531">
        <w:rPr>
          <w:bCs/>
          <w:sz w:val="24"/>
        </w:rPr>
        <w:t xml:space="preserve">    </w:t>
      </w:r>
    </w:p>
    <w:p w:rsidR="00E0752B" w:rsidRPr="004A6531" w:rsidRDefault="00E0752B" w:rsidP="00E0752B">
      <w:pPr>
        <w:pStyle w:val="BodyTextIndent"/>
        <w:tabs>
          <w:tab w:val="left" w:pos="360"/>
        </w:tabs>
        <w:ind w:left="0"/>
        <w:rPr>
          <w:bCs/>
          <w:sz w:val="24"/>
        </w:rPr>
      </w:pPr>
      <w:r w:rsidRPr="004A6531">
        <w:rPr>
          <w:bCs/>
          <w:sz w:val="24"/>
        </w:rPr>
        <w:t xml:space="preserve">[ ] </w:t>
      </w:r>
      <w:r w:rsidRPr="004A6531">
        <w:rPr>
          <w:b/>
          <w:bCs/>
          <w:sz w:val="24"/>
        </w:rPr>
        <w:t>Usability Testing (e.g., Website or Software</w:t>
      </w:r>
      <w:r w:rsidRPr="004A6531">
        <w:rPr>
          <w:b/>
          <w:bCs/>
          <w:sz w:val="24"/>
        </w:rPr>
        <w:tab/>
      </w:r>
      <w:r w:rsidRPr="004A6531">
        <w:rPr>
          <w:bCs/>
          <w:sz w:val="24"/>
        </w:rPr>
        <w:t xml:space="preserve">[ ] </w:t>
      </w:r>
      <w:r w:rsidRPr="004A6531">
        <w:rPr>
          <w:b/>
          <w:bCs/>
          <w:sz w:val="24"/>
        </w:rPr>
        <w:t>Small Discussion Group</w:t>
      </w:r>
    </w:p>
    <w:p w:rsidR="00E0752B" w:rsidRPr="004A6531" w:rsidRDefault="00E0752B" w:rsidP="00E0752B">
      <w:pPr>
        <w:pStyle w:val="BodyTextIndent"/>
        <w:tabs>
          <w:tab w:val="left" w:pos="360"/>
        </w:tabs>
        <w:ind w:left="0"/>
        <w:rPr>
          <w:bCs/>
          <w:sz w:val="24"/>
        </w:rPr>
      </w:pPr>
      <w:r w:rsidRPr="004A6531">
        <w:rPr>
          <w:bCs/>
          <w:sz w:val="24"/>
        </w:rPr>
        <w:t xml:space="preserve">[ ]  </w:t>
      </w:r>
      <w:r w:rsidRPr="004A6531">
        <w:rPr>
          <w:b/>
          <w:bCs/>
          <w:sz w:val="24"/>
        </w:rPr>
        <w:t>Focus Group</w:t>
      </w:r>
      <w:r w:rsidRPr="004A6531">
        <w:rPr>
          <w:bCs/>
          <w:sz w:val="24"/>
        </w:rPr>
        <w:t xml:space="preserve">  </w:t>
      </w:r>
      <w:r w:rsidRPr="004A6531">
        <w:rPr>
          <w:bCs/>
          <w:sz w:val="24"/>
        </w:rPr>
        <w:tab/>
      </w:r>
      <w:r w:rsidRPr="004A6531">
        <w:rPr>
          <w:bCs/>
          <w:sz w:val="24"/>
        </w:rPr>
        <w:tab/>
      </w:r>
      <w:r w:rsidRPr="004A6531">
        <w:rPr>
          <w:bCs/>
          <w:sz w:val="24"/>
        </w:rPr>
        <w:tab/>
      </w:r>
      <w:r w:rsidRPr="004A6531">
        <w:rPr>
          <w:bCs/>
          <w:sz w:val="24"/>
        </w:rPr>
        <w:tab/>
      </w:r>
      <w:r w:rsidRPr="004A6531">
        <w:rPr>
          <w:bCs/>
          <w:sz w:val="24"/>
        </w:rPr>
        <w:tab/>
        <w:t>[</w:t>
      </w:r>
      <w:r w:rsidR="002C52B7" w:rsidRPr="004A6531">
        <w:rPr>
          <w:b/>
          <w:bCs/>
          <w:sz w:val="24"/>
        </w:rPr>
        <w:t xml:space="preserve"> </w:t>
      </w:r>
      <w:r w:rsidRPr="004A6531">
        <w:rPr>
          <w:bCs/>
          <w:sz w:val="24"/>
        </w:rPr>
        <w:t xml:space="preserve">] </w:t>
      </w:r>
      <w:r w:rsidRPr="004A6531">
        <w:rPr>
          <w:b/>
          <w:bCs/>
          <w:sz w:val="24"/>
        </w:rPr>
        <w:t>Other:</w:t>
      </w:r>
      <w:r w:rsidRPr="004A6531">
        <w:rPr>
          <w:bCs/>
          <w:sz w:val="24"/>
          <w:u w:val="single"/>
        </w:rPr>
        <w:t xml:space="preserve"> </w:t>
      </w:r>
    </w:p>
    <w:p w:rsidR="00E0752B" w:rsidRPr="004A6531" w:rsidRDefault="00E0752B" w:rsidP="00E0752B">
      <w:pPr>
        <w:rPr>
          <w:b/>
        </w:rPr>
      </w:pPr>
    </w:p>
    <w:p w:rsidR="00E0752B" w:rsidRPr="004A6531" w:rsidRDefault="00E0752B" w:rsidP="00E0752B">
      <w:pPr>
        <w:rPr>
          <w:b/>
        </w:rPr>
      </w:pPr>
      <w:r w:rsidRPr="004A6531">
        <w:rPr>
          <w:b/>
        </w:rPr>
        <w:t>CERTIFICATION:</w:t>
      </w:r>
    </w:p>
    <w:p w:rsidR="00E0752B" w:rsidRPr="004A6531" w:rsidRDefault="00E0752B" w:rsidP="00E0752B">
      <w:pPr>
        <w:rPr>
          <w:sz w:val="16"/>
          <w:szCs w:val="16"/>
        </w:rPr>
      </w:pPr>
    </w:p>
    <w:p w:rsidR="00E0752B" w:rsidRPr="004A6531" w:rsidRDefault="00E0752B" w:rsidP="00E0752B">
      <w:pPr>
        <w:rPr>
          <w:b/>
        </w:rPr>
      </w:pPr>
      <w:r w:rsidRPr="004A6531">
        <w:rPr>
          <w:b/>
        </w:rPr>
        <w:t xml:space="preserve">I certify the following to be true: </w:t>
      </w:r>
    </w:p>
    <w:p w:rsidR="00E0752B" w:rsidRPr="004A6531" w:rsidRDefault="00E0752B" w:rsidP="00E0752B">
      <w:pPr>
        <w:pStyle w:val="ListParagraph"/>
        <w:numPr>
          <w:ilvl w:val="0"/>
          <w:numId w:val="1"/>
        </w:numPr>
        <w:rPr>
          <w:b/>
        </w:rPr>
      </w:pPr>
      <w:r w:rsidRPr="004A6531">
        <w:rPr>
          <w:b/>
        </w:rPr>
        <w:t xml:space="preserve">The collection is voluntary. </w:t>
      </w:r>
    </w:p>
    <w:p w:rsidR="00E0752B" w:rsidRPr="004A6531" w:rsidRDefault="00E0752B" w:rsidP="00E0752B">
      <w:pPr>
        <w:pStyle w:val="ListParagraph"/>
        <w:numPr>
          <w:ilvl w:val="0"/>
          <w:numId w:val="1"/>
        </w:numPr>
        <w:rPr>
          <w:b/>
        </w:rPr>
      </w:pPr>
      <w:r w:rsidRPr="004A6531">
        <w:rPr>
          <w:b/>
        </w:rPr>
        <w:t>The collection is low-burden for respondents and low-cost for the Federal Government.</w:t>
      </w:r>
    </w:p>
    <w:p w:rsidR="00E0752B" w:rsidRPr="004A6531" w:rsidRDefault="00E0752B" w:rsidP="00E0752B">
      <w:pPr>
        <w:pStyle w:val="ListParagraph"/>
        <w:numPr>
          <w:ilvl w:val="0"/>
          <w:numId w:val="1"/>
        </w:numPr>
        <w:rPr>
          <w:b/>
        </w:rPr>
      </w:pPr>
      <w:r w:rsidRPr="004A6531">
        <w:rPr>
          <w:b/>
        </w:rPr>
        <w:t xml:space="preserve">The collection is non-controversial and does </w:t>
      </w:r>
      <w:r w:rsidRPr="004A6531">
        <w:rPr>
          <w:b/>
          <w:u w:val="single"/>
        </w:rPr>
        <w:t>not</w:t>
      </w:r>
      <w:r w:rsidRPr="004A6531">
        <w:rPr>
          <w:b/>
        </w:rPr>
        <w:t xml:space="preserve"> raise issues of concern to other federal agencies.</w:t>
      </w:r>
      <w:r w:rsidRPr="004A6531">
        <w:rPr>
          <w:b/>
        </w:rPr>
        <w:tab/>
      </w:r>
      <w:r w:rsidRPr="004A6531">
        <w:rPr>
          <w:b/>
        </w:rPr>
        <w:tab/>
      </w:r>
      <w:r w:rsidRPr="004A6531">
        <w:rPr>
          <w:b/>
        </w:rPr>
        <w:tab/>
      </w:r>
      <w:r w:rsidRPr="004A6531">
        <w:rPr>
          <w:b/>
        </w:rPr>
        <w:tab/>
      </w:r>
      <w:r w:rsidRPr="004A6531">
        <w:rPr>
          <w:b/>
        </w:rPr>
        <w:tab/>
      </w:r>
      <w:r w:rsidRPr="004A6531">
        <w:rPr>
          <w:b/>
        </w:rPr>
        <w:tab/>
      </w:r>
      <w:r w:rsidRPr="004A6531">
        <w:rPr>
          <w:b/>
        </w:rPr>
        <w:tab/>
      </w:r>
      <w:r w:rsidRPr="004A6531">
        <w:rPr>
          <w:b/>
        </w:rPr>
        <w:tab/>
      </w:r>
      <w:r w:rsidRPr="004A6531">
        <w:rPr>
          <w:b/>
        </w:rPr>
        <w:tab/>
      </w:r>
    </w:p>
    <w:p w:rsidR="00E0752B" w:rsidRPr="004A6531" w:rsidRDefault="00E0752B" w:rsidP="00E0752B">
      <w:pPr>
        <w:pStyle w:val="ListParagraph"/>
        <w:numPr>
          <w:ilvl w:val="0"/>
          <w:numId w:val="1"/>
        </w:numPr>
        <w:rPr>
          <w:b/>
        </w:rPr>
      </w:pPr>
      <w:r w:rsidRPr="004A6531">
        <w:rPr>
          <w:b/>
        </w:rPr>
        <w:t xml:space="preserve">The results are </w:t>
      </w:r>
      <w:r w:rsidRPr="004A6531">
        <w:rPr>
          <w:b/>
          <w:u w:val="single"/>
        </w:rPr>
        <w:t>not</w:t>
      </w:r>
      <w:r w:rsidRPr="004A6531">
        <w:rPr>
          <w:b/>
        </w:rPr>
        <w:t xml:space="preserve"> intended to be disseminated to the public.</w:t>
      </w:r>
      <w:r w:rsidRPr="004A6531">
        <w:rPr>
          <w:b/>
        </w:rPr>
        <w:tab/>
      </w:r>
      <w:r w:rsidRPr="004A6531">
        <w:rPr>
          <w:b/>
        </w:rPr>
        <w:tab/>
      </w:r>
    </w:p>
    <w:p w:rsidR="00E0752B" w:rsidRPr="004A6531" w:rsidRDefault="00E0752B" w:rsidP="00E0752B">
      <w:pPr>
        <w:pStyle w:val="ListParagraph"/>
        <w:numPr>
          <w:ilvl w:val="0"/>
          <w:numId w:val="1"/>
        </w:numPr>
        <w:rPr>
          <w:b/>
        </w:rPr>
      </w:pPr>
      <w:r w:rsidRPr="004A6531">
        <w:rPr>
          <w:b/>
        </w:rPr>
        <w:t xml:space="preserve">Information gathered will not be used for the purpose of </w:t>
      </w:r>
      <w:r w:rsidRPr="004A6531">
        <w:rPr>
          <w:b/>
          <w:u w:val="single"/>
        </w:rPr>
        <w:t>substantially</w:t>
      </w:r>
      <w:r w:rsidRPr="004A6531">
        <w:rPr>
          <w:b/>
        </w:rPr>
        <w:t xml:space="preserve"> informing </w:t>
      </w:r>
      <w:r w:rsidRPr="004A6531">
        <w:rPr>
          <w:b/>
          <w:u w:val="single"/>
        </w:rPr>
        <w:t xml:space="preserve">influential </w:t>
      </w:r>
      <w:r w:rsidRPr="004A6531">
        <w:rPr>
          <w:b/>
        </w:rPr>
        <w:t xml:space="preserve">policy decisions. </w:t>
      </w:r>
    </w:p>
    <w:p w:rsidR="00E0752B" w:rsidRPr="004A6531" w:rsidRDefault="00E0752B" w:rsidP="00E0752B">
      <w:pPr>
        <w:pStyle w:val="ListParagraph"/>
        <w:numPr>
          <w:ilvl w:val="0"/>
          <w:numId w:val="1"/>
        </w:numPr>
        <w:rPr>
          <w:b/>
        </w:rPr>
      </w:pPr>
      <w:r w:rsidRPr="004A6531">
        <w:rPr>
          <w:b/>
        </w:rPr>
        <w:t>The collection is targeted to the solicitation of opinions from respondents who have experience with the program or may have experience with the program in the future.</w:t>
      </w:r>
    </w:p>
    <w:p w:rsidR="00E0752B" w:rsidRPr="004A6531" w:rsidRDefault="00E0752B" w:rsidP="00E0752B"/>
    <w:p w:rsidR="00E0752B" w:rsidRPr="004A6531" w:rsidRDefault="00E0752B" w:rsidP="00E0752B">
      <w:r w:rsidRPr="004A6531">
        <w:rPr>
          <w:b/>
        </w:rPr>
        <w:t>Name:</w:t>
      </w:r>
      <w:r w:rsidRPr="004A6531">
        <w:t xml:space="preserve"> Denise Levis</w:t>
      </w:r>
      <w:r w:rsidR="00BD4268" w:rsidRPr="004A6531">
        <w:t>,</w:t>
      </w:r>
      <w:r w:rsidRPr="004A6531">
        <w:t xml:space="preserve"> igc1@cdc.gov</w:t>
      </w:r>
      <w:r w:rsidRPr="004A6531" w:rsidDel="00956E34">
        <w:t xml:space="preserve"> </w:t>
      </w:r>
    </w:p>
    <w:p w:rsidR="00E0752B" w:rsidRPr="004A6531" w:rsidRDefault="00E0752B" w:rsidP="00E0752B">
      <w:pPr>
        <w:pStyle w:val="ListParagraph"/>
        <w:ind w:left="360"/>
      </w:pPr>
    </w:p>
    <w:p w:rsidR="00E0752B" w:rsidRPr="004A6531" w:rsidRDefault="00E0752B" w:rsidP="00E0752B">
      <w:pPr>
        <w:rPr>
          <w:b/>
        </w:rPr>
      </w:pPr>
      <w:r w:rsidRPr="004A6531">
        <w:rPr>
          <w:b/>
        </w:rPr>
        <w:t>To assist review, please provide answers to the following question:</w:t>
      </w:r>
    </w:p>
    <w:p w:rsidR="00E0752B" w:rsidRPr="004A6531" w:rsidRDefault="00E0752B" w:rsidP="00E0752B">
      <w:pPr>
        <w:pStyle w:val="ListParagraph"/>
        <w:ind w:left="360"/>
      </w:pPr>
    </w:p>
    <w:p w:rsidR="00E0752B" w:rsidRPr="004A6531" w:rsidRDefault="00E0752B" w:rsidP="00E0752B">
      <w:pPr>
        <w:rPr>
          <w:b/>
        </w:rPr>
      </w:pPr>
      <w:r w:rsidRPr="004A6531">
        <w:rPr>
          <w:b/>
        </w:rPr>
        <w:t>Personally Identifiable Information:</w:t>
      </w:r>
    </w:p>
    <w:p w:rsidR="00E0752B" w:rsidRPr="004A6531" w:rsidRDefault="00E0752B" w:rsidP="00E0752B">
      <w:pPr>
        <w:pStyle w:val="ListParagraph"/>
        <w:numPr>
          <w:ilvl w:val="0"/>
          <w:numId w:val="4"/>
        </w:numPr>
      </w:pPr>
      <w:r w:rsidRPr="004A6531">
        <w:rPr>
          <w:b/>
        </w:rPr>
        <w:t>Is personally identifiable information (PII) collected?</w:t>
      </w:r>
      <w:r w:rsidRPr="004A6531">
        <w:t xml:space="preserve">  [  ] Yes  [</w:t>
      </w:r>
      <w:r w:rsidRPr="004A6531">
        <w:rPr>
          <w:b/>
        </w:rPr>
        <w:t>X</w:t>
      </w:r>
      <w:r w:rsidRPr="004A6531">
        <w:t xml:space="preserve"> ]  No </w:t>
      </w:r>
    </w:p>
    <w:p w:rsidR="00E0752B" w:rsidRPr="004A6531" w:rsidRDefault="00E0752B" w:rsidP="00E0752B">
      <w:pPr>
        <w:pStyle w:val="ListParagraph"/>
        <w:numPr>
          <w:ilvl w:val="0"/>
          <w:numId w:val="4"/>
        </w:numPr>
      </w:pPr>
      <w:r w:rsidRPr="004A6531">
        <w:rPr>
          <w:b/>
        </w:rPr>
        <w:t>If Yes, is the information that will be collected included in records that are subject to the Privacy Act of 1974?</w:t>
      </w:r>
      <w:r w:rsidRPr="004A6531">
        <w:t xml:space="preserve">   [  ] Yes [  ] No   </w:t>
      </w:r>
    </w:p>
    <w:p w:rsidR="00E0752B" w:rsidRPr="004A6531" w:rsidRDefault="00E0752B" w:rsidP="00E0752B">
      <w:pPr>
        <w:pStyle w:val="ListParagraph"/>
        <w:numPr>
          <w:ilvl w:val="0"/>
          <w:numId w:val="4"/>
        </w:numPr>
      </w:pPr>
      <w:r w:rsidRPr="004A6531">
        <w:rPr>
          <w:b/>
        </w:rPr>
        <w:t>If Applicable, has a System or Records Notice been published?</w:t>
      </w:r>
      <w:r w:rsidRPr="004A6531">
        <w:t xml:space="preserve">  [  ] Yes  [</w:t>
      </w:r>
      <w:r w:rsidR="003F6244" w:rsidRPr="004A6531">
        <w:t xml:space="preserve"> </w:t>
      </w:r>
      <w:r w:rsidRPr="004A6531">
        <w:t>] No</w:t>
      </w:r>
    </w:p>
    <w:p w:rsidR="00E0752B" w:rsidRPr="004A6531" w:rsidRDefault="00E0752B" w:rsidP="00E0752B">
      <w:pPr>
        <w:pStyle w:val="ListParagraph"/>
        <w:ind w:left="0"/>
        <w:rPr>
          <w:b/>
        </w:rPr>
      </w:pPr>
    </w:p>
    <w:p w:rsidR="00E0752B" w:rsidRPr="004A6531" w:rsidRDefault="00E0752B" w:rsidP="00E0752B">
      <w:pPr>
        <w:pStyle w:val="ListParagraph"/>
        <w:ind w:left="0"/>
        <w:rPr>
          <w:b/>
        </w:rPr>
      </w:pPr>
      <w:r w:rsidRPr="004A6531">
        <w:rPr>
          <w:b/>
        </w:rPr>
        <w:t>Gifts or Payments:</w:t>
      </w:r>
    </w:p>
    <w:p w:rsidR="00E0752B" w:rsidRPr="004A6531" w:rsidRDefault="00E0752B" w:rsidP="00E0752B">
      <w:pPr>
        <w:rPr>
          <w:b/>
        </w:rPr>
      </w:pPr>
    </w:p>
    <w:p w:rsidR="00E0752B" w:rsidRPr="004A6531" w:rsidRDefault="00E0752B" w:rsidP="00E0752B">
      <w:r w:rsidRPr="004A6531">
        <w:rPr>
          <w:b/>
        </w:rPr>
        <w:t>Is an incentive (e.g., money or reimbursement of expenses, token of appreciation) provided to participants?</w:t>
      </w:r>
      <w:r w:rsidRPr="004A6531">
        <w:t xml:space="preserve">  [  ] Yes [  </w:t>
      </w:r>
      <w:r w:rsidRPr="004A6531">
        <w:rPr>
          <w:b/>
        </w:rPr>
        <w:t xml:space="preserve">X </w:t>
      </w:r>
      <w:r w:rsidRPr="004A6531">
        <w:t xml:space="preserve">] No  </w:t>
      </w:r>
    </w:p>
    <w:p w:rsidR="00E0752B" w:rsidRPr="004A6531" w:rsidRDefault="00E0752B" w:rsidP="00E0752B">
      <w:pPr>
        <w:rPr>
          <w:b/>
        </w:rPr>
      </w:pPr>
    </w:p>
    <w:p w:rsidR="00E0752B" w:rsidRPr="004A6531" w:rsidRDefault="00E0752B" w:rsidP="00E0752B">
      <w:r w:rsidRPr="004A6531">
        <w:rPr>
          <w:b/>
        </w:rPr>
        <w:t>BURDEN HOURS</w:t>
      </w:r>
      <w:r w:rsidRPr="004A6531">
        <w:t xml:space="preserve"> </w:t>
      </w:r>
    </w:p>
    <w:p w:rsidR="00E0752B" w:rsidRPr="004A6531" w:rsidRDefault="00E0752B" w:rsidP="00E0752B"/>
    <w:p w:rsidR="00E0752B" w:rsidRPr="004A6531" w:rsidRDefault="00E0752B" w:rsidP="00E0752B">
      <w:pPr>
        <w:rPr>
          <w:b/>
          <w:u w:val="single"/>
        </w:rPr>
      </w:pPr>
      <w:r w:rsidRPr="004A6531">
        <w:rPr>
          <w:b/>
          <w:u w:val="single"/>
        </w:rPr>
        <w:t>Category of Respondent</w:t>
      </w:r>
    </w:p>
    <w:p w:rsidR="00A46A3E" w:rsidRPr="004A6531" w:rsidRDefault="00A46A3E" w:rsidP="00E0752B"/>
    <w:p w:rsidR="00E0752B" w:rsidRPr="004A6531" w:rsidRDefault="00E0752B" w:rsidP="00E0752B">
      <w:pPr>
        <w:rPr>
          <w:b/>
          <w:u w:val="single"/>
        </w:rPr>
      </w:pPr>
      <w:r w:rsidRPr="004A6531">
        <w:t xml:space="preserve">Surveys will be emailed directly to </w:t>
      </w:r>
      <w:r w:rsidR="00A46A3E" w:rsidRPr="004A6531">
        <w:t>webinar participants</w:t>
      </w:r>
      <w:r w:rsidR="002064E0" w:rsidRPr="004A6531">
        <w:t xml:space="preserve">; </w:t>
      </w:r>
      <w:r w:rsidRPr="004A6531">
        <w:t>no personally identifiable information wi</w:t>
      </w:r>
      <w:r w:rsidR="001F71B2" w:rsidRPr="004A6531">
        <w:t>ll be collected</w:t>
      </w:r>
      <w:r w:rsidRPr="004A6531">
        <w:t xml:space="preserve">. This is a targeted, pre-determined sample </w:t>
      </w:r>
      <w:r w:rsidR="0093164C" w:rsidRPr="004A6531">
        <w:t xml:space="preserve">based on webinar </w:t>
      </w:r>
      <w:r w:rsidR="002064E0" w:rsidRPr="004A6531">
        <w:t>participation</w:t>
      </w:r>
      <w:r w:rsidR="00100BA9" w:rsidRPr="004A6531">
        <w:t>;</w:t>
      </w:r>
      <w:r w:rsidR="0093164C" w:rsidRPr="004A6531">
        <w:t xml:space="preserve"> </w:t>
      </w:r>
      <w:r w:rsidRPr="004A6531">
        <w:t xml:space="preserve">therefore there are no burden hours for screening. </w:t>
      </w:r>
      <w:r w:rsidR="00683F2D" w:rsidRPr="004A6531">
        <w:t>There is no cost to respondents other than their time. Each webinar participant will receive a</w:t>
      </w:r>
      <w:r w:rsidR="00AC7131" w:rsidRPr="004A6531">
        <w:t xml:space="preserve">n initial survey </w:t>
      </w:r>
      <w:r w:rsidR="00683F2D" w:rsidRPr="004A6531">
        <w:t>following the conclusion</w:t>
      </w:r>
      <w:r w:rsidR="00AC7131" w:rsidRPr="004A6531">
        <w:t xml:space="preserve"> of the webinar and a follow-up</w:t>
      </w:r>
      <w:r w:rsidR="00975FBD">
        <w:t xml:space="preserve"> survey approximately 3 </w:t>
      </w:r>
      <w:r w:rsidR="00683F2D" w:rsidRPr="004A6531">
        <w:t xml:space="preserve">months post-webinar. </w:t>
      </w:r>
      <w:r w:rsidR="000401AD" w:rsidRPr="004A6531">
        <w:t>LTSAE will conduct approximately 6 webinars</w:t>
      </w:r>
      <w:r w:rsidR="00683F2D" w:rsidRPr="004A6531">
        <w:t xml:space="preserve"> each year</w:t>
      </w:r>
      <w:r w:rsidR="00AC7131" w:rsidRPr="004A6531">
        <w:t xml:space="preserve">, with an </w:t>
      </w:r>
      <w:r w:rsidR="00C9440C" w:rsidRPr="004A6531">
        <w:t>average of</w:t>
      </w:r>
      <w:r w:rsidR="00AC7131" w:rsidRPr="004A6531">
        <w:t xml:space="preserve"> </w:t>
      </w:r>
      <w:r w:rsidR="00C9440C" w:rsidRPr="004A6531">
        <w:t>100</w:t>
      </w:r>
      <w:r w:rsidR="00AC7131" w:rsidRPr="004A6531">
        <w:t xml:space="preserve"> participants per </w:t>
      </w:r>
      <w:r w:rsidR="00094BAF" w:rsidRPr="004A6531">
        <w:t>webinar</w:t>
      </w:r>
      <w:r w:rsidR="00C9440C" w:rsidRPr="004A6531">
        <w:t xml:space="preserve"> (for a total of 600 participants over the year)</w:t>
      </w:r>
      <w:r w:rsidR="00683F2D" w:rsidRPr="004A6531">
        <w:t xml:space="preserve">. </w:t>
      </w:r>
      <w:r w:rsidR="00C9440C" w:rsidRPr="004A6531">
        <w:t>It is estimated that each survey will take approximately 2 minutes to complete, for a total burden of 20</w:t>
      </w:r>
      <w:r w:rsidR="00683F2D" w:rsidRPr="004A6531">
        <w:t xml:space="preserve"> hours</w:t>
      </w:r>
      <w:r w:rsidR="000401AD" w:rsidRPr="004A6531">
        <w:t xml:space="preserve"> per </w:t>
      </w:r>
      <w:r w:rsidR="00C9440C" w:rsidRPr="004A6531">
        <w:t>survey</w:t>
      </w:r>
      <w:r w:rsidR="00683F2D" w:rsidRPr="004A6531">
        <w:t xml:space="preserve">. </w:t>
      </w:r>
    </w:p>
    <w:p w:rsidR="00E0752B" w:rsidRPr="004A6531" w:rsidRDefault="00E0752B" w:rsidP="00E0752B">
      <w:pPr>
        <w:rPr>
          <w:b/>
          <w:u w:val="single"/>
        </w:rPr>
      </w:pPr>
    </w:p>
    <w:p w:rsidR="0058566A" w:rsidRDefault="0058566A" w:rsidP="00E0752B">
      <w:pPr>
        <w:rPr>
          <w:b/>
          <w:u w:val="single"/>
        </w:rPr>
      </w:pPr>
    </w:p>
    <w:p w:rsidR="00E0752B" w:rsidRPr="004A6531" w:rsidRDefault="00E0752B" w:rsidP="00E0752B">
      <w:pPr>
        <w:rPr>
          <w:b/>
          <w:u w:val="single"/>
        </w:rPr>
      </w:pPr>
      <w:r w:rsidRPr="004A6531">
        <w:rPr>
          <w:b/>
          <w:u w:val="single"/>
        </w:rPr>
        <w:lastRenderedPageBreak/>
        <w:t>Web Survey Participation</w:t>
      </w:r>
    </w:p>
    <w:p w:rsidR="00E0752B" w:rsidRPr="004A6531" w:rsidRDefault="00E0752B" w:rsidP="00E0752B">
      <w:pPr>
        <w:rPr>
          <w:b/>
          <w:u w:val="single"/>
        </w:rPr>
      </w:pPr>
    </w:p>
    <w:p w:rsidR="00E0752B" w:rsidRPr="004A6531" w:rsidRDefault="00E0752B" w:rsidP="00E0752B">
      <w:r w:rsidRPr="004A6531">
        <w:t xml:space="preserve">There are two </w:t>
      </w:r>
      <w:r w:rsidR="000401AD" w:rsidRPr="004A6531">
        <w:t>online</w:t>
      </w:r>
      <w:r w:rsidRPr="004A6531">
        <w:t xml:space="preserve"> survey</w:t>
      </w:r>
      <w:r w:rsidR="00A46A3E" w:rsidRPr="004A6531">
        <w:t>s</w:t>
      </w:r>
      <w:r w:rsidR="00A00A8D">
        <w:t>.</w:t>
      </w:r>
      <w:r w:rsidRPr="004A6531">
        <w:t xml:space="preserve"> </w:t>
      </w:r>
      <w:r w:rsidR="00352566">
        <w:t>Three</w:t>
      </w:r>
      <w:bookmarkStart w:id="0" w:name="_GoBack"/>
      <w:bookmarkEnd w:id="0"/>
      <w:r w:rsidR="00352566">
        <w:t xml:space="preserve"> </w:t>
      </w:r>
      <w:r w:rsidR="00A00A8D">
        <w:t>LTSAE staff completed the survey as if they were webinar participants in order to test how long they would take to complete. All staff members completed the surveys in less than two minutes, so we are rounding up in our estimate and calculating with an average completion time of two minutes for each survey.</w:t>
      </w:r>
      <w:r w:rsidRPr="004A6531">
        <w:t xml:space="preserve">. </w:t>
      </w:r>
    </w:p>
    <w:p w:rsidR="00E0752B" w:rsidRPr="004A6531" w:rsidRDefault="00E0752B" w:rsidP="00E0752B"/>
    <w:p w:rsidR="00E0752B" w:rsidRPr="004A6531" w:rsidRDefault="00E0752B" w:rsidP="00E0752B">
      <w:pPr>
        <w:rPr>
          <w:b/>
          <w:u w:val="single"/>
        </w:rPr>
      </w:pPr>
      <w:r w:rsidRPr="004A6531">
        <w:rPr>
          <w:u w:val="single"/>
        </w:rPr>
        <w:t>Therefore, for</w:t>
      </w:r>
      <w:r w:rsidR="00A00A8D">
        <w:rPr>
          <w:u w:val="single"/>
        </w:rPr>
        <w:t xml:space="preserve"> the</w:t>
      </w:r>
      <w:r w:rsidRPr="004A6531">
        <w:rPr>
          <w:u w:val="single"/>
        </w:rPr>
        <w:t xml:space="preserve"> </w:t>
      </w:r>
      <w:r w:rsidR="00480822" w:rsidRPr="004A6531">
        <w:rPr>
          <w:u w:val="single"/>
        </w:rPr>
        <w:t>initial survey, the burden is calculated as</w:t>
      </w:r>
      <w:r w:rsidRPr="004A6531">
        <w:rPr>
          <w:u w:val="single"/>
        </w:rPr>
        <w:t>:</w:t>
      </w:r>
    </w:p>
    <w:p w:rsidR="00E0752B" w:rsidRPr="004A6531" w:rsidRDefault="00E0752B" w:rsidP="00E0752B">
      <w:r w:rsidRPr="004A6531">
        <w:t xml:space="preserve"> </w:t>
      </w:r>
    </w:p>
    <w:p w:rsidR="00E0752B" w:rsidRPr="004A6531" w:rsidRDefault="00C9440C" w:rsidP="00E0752B">
      <w:pPr>
        <w:ind w:firstLine="720"/>
      </w:pPr>
      <w:r w:rsidRPr="004A6531">
        <w:rPr>
          <w:b/>
        </w:rPr>
        <w:t>6</w:t>
      </w:r>
      <w:r w:rsidR="001D4D55" w:rsidRPr="004A6531">
        <w:rPr>
          <w:b/>
        </w:rPr>
        <w:t>00</w:t>
      </w:r>
      <w:r w:rsidR="001D4D55" w:rsidRPr="004A6531">
        <w:t xml:space="preserve"> </w:t>
      </w:r>
      <w:r w:rsidR="004A74D4" w:rsidRPr="004A6531">
        <w:t>participants</w:t>
      </w:r>
      <w:r w:rsidR="00E0752B" w:rsidRPr="004A6531">
        <w:t xml:space="preserve"> </w:t>
      </w:r>
      <w:r w:rsidR="00E0752B" w:rsidRPr="004A6531">
        <w:rPr>
          <w:b/>
        </w:rPr>
        <w:t>x</w:t>
      </w:r>
      <w:r w:rsidR="00E0752B" w:rsidRPr="004A6531">
        <w:t xml:space="preserve"> </w:t>
      </w:r>
      <w:r w:rsidR="00E0752B" w:rsidRPr="004A6531">
        <w:rPr>
          <w:b/>
        </w:rPr>
        <w:t>2</w:t>
      </w:r>
      <w:r w:rsidR="00E0752B" w:rsidRPr="004A6531">
        <w:t xml:space="preserve"> minutes (Initial survey)</w:t>
      </w:r>
      <w:r w:rsidR="00E0752B" w:rsidRPr="004A6531">
        <w:rPr>
          <w:b/>
        </w:rPr>
        <w:t xml:space="preserve"> =</w:t>
      </w:r>
      <w:r w:rsidR="00E0752B" w:rsidRPr="004A6531">
        <w:t xml:space="preserve"> </w:t>
      </w:r>
      <w:r w:rsidRPr="004A6531">
        <w:rPr>
          <w:b/>
        </w:rPr>
        <w:t>12</w:t>
      </w:r>
      <w:r w:rsidR="00E0752B" w:rsidRPr="004A6531">
        <w:rPr>
          <w:b/>
        </w:rPr>
        <w:t>00</w:t>
      </w:r>
      <w:r w:rsidR="00E0752B" w:rsidRPr="004A6531">
        <w:t xml:space="preserve"> minutes </w:t>
      </w:r>
      <w:r w:rsidR="00E0752B" w:rsidRPr="004A6531">
        <w:rPr>
          <w:b/>
        </w:rPr>
        <w:t>/60</w:t>
      </w:r>
      <w:r w:rsidR="00E0752B" w:rsidRPr="004A6531">
        <w:t xml:space="preserve"> minutes = </w:t>
      </w:r>
      <w:r w:rsidRPr="004A6531">
        <w:rPr>
          <w:b/>
        </w:rPr>
        <w:t>20</w:t>
      </w:r>
      <w:r w:rsidR="00E0752B" w:rsidRPr="004A6531">
        <w:rPr>
          <w:b/>
        </w:rPr>
        <w:t xml:space="preserve"> hours</w:t>
      </w:r>
    </w:p>
    <w:p w:rsidR="00E0752B" w:rsidRPr="004A6531" w:rsidRDefault="00E0752B" w:rsidP="00E0752B"/>
    <w:p w:rsidR="00E0752B" w:rsidRPr="004A6531" w:rsidRDefault="00E0752B" w:rsidP="00E0752B"/>
    <w:p w:rsidR="00E0752B" w:rsidRPr="004A6531" w:rsidRDefault="00480822" w:rsidP="00E0752B">
      <w:pPr>
        <w:rPr>
          <w:u w:val="single"/>
        </w:rPr>
      </w:pPr>
      <w:r w:rsidRPr="004A6531">
        <w:rPr>
          <w:u w:val="single"/>
        </w:rPr>
        <w:t xml:space="preserve">For the follow-up survey </w:t>
      </w:r>
      <w:r w:rsidR="00E0752B" w:rsidRPr="004A6531">
        <w:rPr>
          <w:u w:val="single"/>
        </w:rPr>
        <w:t>(asked of all respondents</w:t>
      </w:r>
      <w:r w:rsidR="00A46A3E" w:rsidRPr="004A6531">
        <w:rPr>
          <w:u w:val="single"/>
        </w:rPr>
        <w:t xml:space="preserve"> from initial survey</w:t>
      </w:r>
      <w:r w:rsidR="00E0752B" w:rsidRPr="004A6531">
        <w:rPr>
          <w:u w:val="single"/>
        </w:rPr>
        <w:t>)</w:t>
      </w:r>
      <w:r w:rsidRPr="004A6531">
        <w:rPr>
          <w:u w:val="single"/>
        </w:rPr>
        <w:t>, the burden is calculated as</w:t>
      </w:r>
      <w:r w:rsidR="00E0752B" w:rsidRPr="004A6531">
        <w:rPr>
          <w:u w:val="single"/>
        </w:rPr>
        <w:t>:</w:t>
      </w:r>
    </w:p>
    <w:p w:rsidR="00E0752B" w:rsidRPr="004A6531" w:rsidRDefault="00E0752B" w:rsidP="00E0752B">
      <w:pPr>
        <w:rPr>
          <w:b/>
        </w:rPr>
      </w:pPr>
    </w:p>
    <w:p w:rsidR="00E0752B" w:rsidRPr="004A6531" w:rsidRDefault="00C9440C" w:rsidP="00E0752B">
      <w:pPr>
        <w:ind w:left="720"/>
      </w:pPr>
      <w:r w:rsidRPr="004A6531">
        <w:rPr>
          <w:b/>
        </w:rPr>
        <w:t>6</w:t>
      </w:r>
      <w:r w:rsidR="001D4D55" w:rsidRPr="004A6531">
        <w:rPr>
          <w:b/>
        </w:rPr>
        <w:t>00</w:t>
      </w:r>
      <w:r w:rsidR="00E0752B" w:rsidRPr="004A6531">
        <w:t xml:space="preserve"> </w:t>
      </w:r>
      <w:r w:rsidR="004A74D4" w:rsidRPr="004A6531">
        <w:t>participants</w:t>
      </w:r>
      <w:r w:rsidR="00E0752B" w:rsidRPr="004A6531">
        <w:t xml:space="preserve"> </w:t>
      </w:r>
      <w:r w:rsidR="00E0752B" w:rsidRPr="004A6531">
        <w:rPr>
          <w:b/>
        </w:rPr>
        <w:t xml:space="preserve">x </w:t>
      </w:r>
      <w:r w:rsidR="004A74D4" w:rsidRPr="004A6531">
        <w:rPr>
          <w:b/>
        </w:rPr>
        <w:t>2</w:t>
      </w:r>
      <w:r w:rsidR="00E0752B" w:rsidRPr="004A6531">
        <w:t xml:space="preserve"> minutes</w:t>
      </w:r>
      <w:r w:rsidR="00A00A8D">
        <w:t xml:space="preserve"> (follow-up survey)</w:t>
      </w:r>
      <w:r w:rsidR="00E0752B" w:rsidRPr="004A6531">
        <w:t xml:space="preserve"> </w:t>
      </w:r>
      <w:r w:rsidR="00E0752B" w:rsidRPr="004A6531">
        <w:rPr>
          <w:b/>
        </w:rPr>
        <w:t xml:space="preserve">= </w:t>
      </w:r>
      <w:r w:rsidR="001D4D55" w:rsidRPr="004A6531">
        <w:rPr>
          <w:b/>
        </w:rPr>
        <w:t>1</w:t>
      </w:r>
      <w:r w:rsidR="00912DD9" w:rsidRPr="004A6531">
        <w:rPr>
          <w:b/>
        </w:rPr>
        <w:t>2</w:t>
      </w:r>
      <w:r w:rsidR="001D4D55" w:rsidRPr="004A6531">
        <w:rPr>
          <w:b/>
        </w:rPr>
        <w:t>00</w:t>
      </w:r>
      <w:r w:rsidR="004A74D4" w:rsidRPr="004A6531">
        <w:t xml:space="preserve"> minutes </w:t>
      </w:r>
      <w:r w:rsidR="004A74D4" w:rsidRPr="004A6531">
        <w:rPr>
          <w:b/>
        </w:rPr>
        <w:t>/60</w:t>
      </w:r>
      <w:r w:rsidR="004A74D4" w:rsidRPr="004A6531">
        <w:t xml:space="preserve"> minutes = </w:t>
      </w:r>
      <w:r w:rsidRPr="004A6531">
        <w:rPr>
          <w:b/>
        </w:rPr>
        <w:t xml:space="preserve">20 </w:t>
      </w:r>
      <w:r w:rsidR="004A74D4" w:rsidRPr="004A6531">
        <w:rPr>
          <w:b/>
        </w:rPr>
        <w:t>hours</w:t>
      </w:r>
    </w:p>
    <w:p w:rsidR="00E0752B" w:rsidRPr="004A6531" w:rsidRDefault="00E0752B" w:rsidP="00E0752B">
      <w:r w:rsidRPr="004A6531">
        <w:t xml:space="preserve"> </w:t>
      </w:r>
    </w:p>
    <w:p w:rsidR="00E0752B" w:rsidRPr="004A6531" w:rsidRDefault="00665FCB" w:rsidP="00E0752B">
      <w:r w:rsidRPr="004A6531">
        <w:t>Therefore, the t</w:t>
      </w:r>
      <w:r w:rsidR="00E0752B" w:rsidRPr="004A6531">
        <w:t xml:space="preserve">otal estimated burden hours for the </w:t>
      </w:r>
      <w:r w:rsidRPr="004A6531">
        <w:t>initial survey questions and the</w:t>
      </w:r>
      <w:r w:rsidR="00E0752B" w:rsidRPr="004A6531">
        <w:t xml:space="preserve"> follow-up</w:t>
      </w:r>
      <w:r w:rsidRPr="004A6531">
        <w:t xml:space="preserve"> survey questions </w:t>
      </w:r>
      <w:r w:rsidR="00E0752B" w:rsidRPr="004A6531">
        <w:rPr>
          <w:b/>
        </w:rPr>
        <w:t xml:space="preserve">= </w:t>
      </w:r>
      <w:r w:rsidR="00C9440C" w:rsidRPr="004A6531">
        <w:rPr>
          <w:b/>
        </w:rPr>
        <w:t>20</w:t>
      </w:r>
      <w:r w:rsidR="001D4D55" w:rsidRPr="004A6531">
        <w:rPr>
          <w:b/>
        </w:rPr>
        <w:t xml:space="preserve"> </w:t>
      </w:r>
      <w:r w:rsidR="00E0752B" w:rsidRPr="004A6531">
        <w:rPr>
          <w:b/>
        </w:rPr>
        <w:t>hours</w:t>
      </w:r>
      <w:r w:rsidR="00E0752B" w:rsidRPr="004A6531">
        <w:t xml:space="preserve"> </w:t>
      </w:r>
      <w:r w:rsidR="00E0752B" w:rsidRPr="004A6531">
        <w:rPr>
          <w:b/>
        </w:rPr>
        <w:t>+</w:t>
      </w:r>
      <w:r w:rsidR="004A74D4" w:rsidRPr="004A6531">
        <w:rPr>
          <w:b/>
        </w:rPr>
        <w:t xml:space="preserve"> </w:t>
      </w:r>
      <w:r w:rsidR="00C9440C" w:rsidRPr="004A6531">
        <w:rPr>
          <w:b/>
        </w:rPr>
        <w:t>20</w:t>
      </w:r>
      <w:r w:rsidR="001D4D55" w:rsidRPr="004A6531">
        <w:rPr>
          <w:b/>
        </w:rPr>
        <w:t xml:space="preserve"> </w:t>
      </w:r>
      <w:r w:rsidR="00E0752B" w:rsidRPr="004A6531">
        <w:rPr>
          <w:b/>
        </w:rPr>
        <w:t>hours</w:t>
      </w:r>
      <w:r w:rsidR="00E0752B" w:rsidRPr="004A6531">
        <w:t xml:space="preserve"> </w:t>
      </w:r>
      <w:r w:rsidR="00E0752B" w:rsidRPr="004A6531">
        <w:rPr>
          <w:b/>
        </w:rPr>
        <w:t xml:space="preserve">= </w:t>
      </w:r>
      <w:r w:rsidR="00C9440C" w:rsidRPr="004A6531">
        <w:rPr>
          <w:b/>
        </w:rPr>
        <w:t>40</w:t>
      </w:r>
      <w:r w:rsidR="001D4D55" w:rsidRPr="004A6531">
        <w:rPr>
          <w:b/>
        </w:rPr>
        <w:t xml:space="preserve"> </w:t>
      </w:r>
      <w:r w:rsidR="00E0752B" w:rsidRPr="004A6531">
        <w:rPr>
          <w:b/>
        </w:rPr>
        <w:t>hours total burden for participants</w:t>
      </w:r>
      <w:r w:rsidR="00E0752B" w:rsidRPr="004A6531">
        <w:t xml:space="preserve">. </w:t>
      </w:r>
    </w:p>
    <w:p w:rsidR="00E0752B" w:rsidRPr="004A6531" w:rsidRDefault="0061609E" w:rsidP="0061609E">
      <w:pPr>
        <w:tabs>
          <w:tab w:val="left" w:pos="7095"/>
        </w:tabs>
      </w:pPr>
      <w:r w:rsidRPr="004A6531">
        <w:tab/>
      </w:r>
    </w:p>
    <w:p w:rsidR="00E0752B" w:rsidRPr="004A6531" w:rsidRDefault="00E0752B" w:rsidP="00E0752B"/>
    <w:p w:rsidR="00E0752B" w:rsidRPr="004A6531" w:rsidRDefault="00E0752B" w:rsidP="00E0752B">
      <w:r w:rsidRPr="004A6531">
        <w:rPr>
          <w:b/>
        </w:rPr>
        <w:t xml:space="preserve">Table 2:  Respondent Burden </w:t>
      </w:r>
    </w:p>
    <w:tbl>
      <w:tblPr>
        <w:tblStyle w:val="TableGrid"/>
        <w:tblW w:w="0" w:type="auto"/>
        <w:tblInd w:w="108" w:type="dxa"/>
        <w:tblLook w:val="04A0" w:firstRow="1" w:lastRow="0" w:firstColumn="1" w:lastColumn="0" w:noHBand="0" w:noVBand="1"/>
      </w:tblPr>
      <w:tblGrid>
        <w:gridCol w:w="1546"/>
        <w:gridCol w:w="1456"/>
        <w:gridCol w:w="1539"/>
        <w:gridCol w:w="1439"/>
        <w:gridCol w:w="2301"/>
        <w:gridCol w:w="1282"/>
      </w:tblGrid>
      <w:tr w:rsidR="004A74D4" w:rsidRPr="004A6531" w:rsidTr="004A74D4">
        <w:trPr>
          <w:trHeight w:val="1104"/>
        </w:trPr>
        <w:tc>
          <w:tcPr>
            <w:tcW w:w="1546" w:type="dxa"/>
          </w:tcPr>
          <w:p w:rsidR="00E0752B" w:rsidRPr="004A6531" w:rsidRDefault="00E0752B" w:rsidP="002277C5">
            <w:pPr>
              <w:keepNext/>
              <w:keepLines/>
              <w:rPr>
                <w:b/>
              </w:rPr>
            </w:pPr>
            <w:r w:rsidRPr="004A6531">
              <w:rPr>
                <w:b/>
              </w:rPr>
              <w:t xml:space="preserve">Respondent Type </w:t>
            </w:r>
          </w:p>
        </w:tc>
        <w:tc>
          <w:tcPr>
            <w:tcW w:w="1456" w:type="dxa"/>
          </w:tcPr>
          <w:p w:rsidR="00E0752B" w:rsidRPr="004A6531" w:rsidRDefault="00E0752B" w:rsidP="002277C5">
            <w:pPr>
              <w:keepNext/>
              <w:keepLines/>
              <w:rPr>
                <w:b/>
              </w:rPr>
            </w:pPr>
            <w:r w:rsidRPr="004A6531">
              <w:rPr>
                <w:b/>
              </w:rPr>
              <w:t>Instrument</w:t>
            </w:r>
          </w:p>
        </w:tc>
        <w:tc>
          <w:tcPr>
            <w:tcW w:w="1539" w:type="dxa"/>
          </w:tcPr>
          <w:p w:rsidR="00E0752B" w:rsidRPr="004A6531" w:rsidRDefault="00E0752B" w:rsidP="002277C5">
            <w:pPr>
              <w:keepNext/>
              <w:keepLines/>
              <w:rPr>
                <w:b/>
              </w:rPr>
            </w:pPr>
            <w:r w:rsidRPr="004A6531">
              <w:rPr>
                <w:b/>
              </w:rPr>
              <w:t xml:space="preserve"> Number  of Respondents</w:t>
            </w:r>
          </w:p>
        </w:tc>
        <w:tc>
          <w:tcPr>
            <w:tcW w:w="1439" w:type="dxa"/>
          </w:tcPr>
          <w:p w:rsidR="00E0752B" w:rsidRPr="004A6531" w:rsidDel="007A35D9" w:rsidRDefault="00E0752B" w:rsidP="002277C5">
            <w:pPr>
              <w:keepNext/>
              <w:keepLines/>
              <w:rPr>
                <w:b/>
              </w:rPr>
            </w:pPr>
            <w:r w:rsidRPr="004A6531">
              <w:rPr>
                <w:b/>
              </w:rPr>
              <w:t>Number of Responses Per Respondent</w:t>
            </w:r>
          </w:p>
        </w:tc>
        <w:tc>
          <w:tcPr>
            <w:tcW w:w="2301" w:type="dxa"/>
          </w:tcPr>
          <w:p w:rsidR="00E0752B" w:rsidRPr="004A6531" w:rsidRDefault="00E0752B" w:rsidP="002277C5">
            <w:pPr>
              <w:keepNext/>
              <w:keepLines/>
              <w:rPr>
                <w:b/>
              </w:rPr>
            </w:pPr>
            <w:r w:rsidRPr="004A6531">
              <w:rPr>
                <w:b/>
              </w:rPr>
              <w:t>Burden per Respondent</w:t>
            </w:r>
          </w:p>
        </w:tc>
        <w:tc>
          <w:tcPr>
            <w:tcW w:w="1282" w:type="dxa"/>
          </w:tcPr>
          <w:p w:rsidR="00E0752B" w:rsidRPr="004A6531" w:rsidRDefault="00E0752B" w:rsidP="002277C5">
            <w:pPr>
              <w:keepNext/>
              <w:keepLines/>
              <w:rPr>
                <w:b/>
              </w:rPr>
            </w:pPr>
            <w:r w:rsidRPr="004A6531">
              <w:rPr>
                <w:b/>
              </w:rPr>
              <w:t>Burden</w:t>
            </w:r>
          </w:p>
        </w:tc>
      </w:tr>
      <w:tr w:rsidR="004A74D4" w:rsidRPr="004A6531" w:rsidTr="004A74D4">
        <w:tc>
          <w:tcPr>
            <w:tcW w:w="1546" w:type="dxa"/>
            <w:vMerge w:val="restart"/>
          </w:tcPr>
          <w:p w:rsidR="004A74D4" w:rsidRPr="004A6531" w:rsidRDefault="004A74D4" w:rsidP="002277C5">
            <w:pPr>
              <w:keepNext/>
              <w:keepLines/>
            </w:pPr>
            <w:r w:rsidRPr="004A6531">
              <w:t>Webinar</w:t>
            </w:r>
          </w:p>
          <w:p w:rsidR="00E0752B" w:rsidRPr="004A6531" w:rsidRDefault="004A74D4" w:rsidP="002277C5">
            <w:pPr>
              <w:keepNext/>
              <w:keepLines/>
            </w:pPr>
            <w:r w:rsidRPr="004A6531">
              <w:t>participants</w:t>
            </w:r>
            <w:r w:rsidR="00E0752B" w:rsidRPr="004A6531">
              <w:t xml:space="preserve"> </w:t>
            </w:r>
          </w:p>
        </w:tc>
        <w:tc>
          <w:tcPr>
            <w:tcW w:w="1456" w:type="dxa"/>
          </w:tcPr>
          <w:p w:rsidR="00E0752B" w:rsidRPr="004A6531" w:rsidRDefault="00E0752B" w:rsidP="002277C5">
            <w:pPr>
              <w:keepNext/>
              <w:keepLines/>
            </w:pPr>
            <w:r w:rsidRPr="004A6531">
              <w:t xml:space="preserve">Initial </w:t>
            </w:r>
            <w:r w:rsidR="00137F71" w:rsidRPr="004A6531">
              <w:t>Webinar Survey</w:t>
            </w:r>
          </w:p>
        </w:tc>
        <w:tc>
          <w:tcPr>
            <w:tcW w:w="1539" w:type="dxa"/>
          </w:tcPr>
          <w:p w:rsidR="00E0752B" w:rsidRPr="004A6531" w:rsidRDefault="00C9440C" w:rsidP="002277C5">
            <w:pPr>
              <w:keepNext/>
              <w:keepLines/>
            </w:pPr>
            <w:r w:rsidRPr="004A6531">
              <w:t>6</w:t>
            </w:r>
            <w:r w:rsidR="001D4D55" w:rsidRPr="004A6531">
              <w:t>00</w:t>
            </w:r>
          </w:p>
        </w:tc>
        <w:tc>
          <w:tcPr>
            <w:tcW w:w="1439" w:type="dxa"/>
          </w:tcPr>
          <w:p w:rsidR="00E0752B" w:rsidRPr="004A6531" w:rsidDel="007A35D9" w:rsidRDefault="00E0752B" w:rsidP="002277C5">
            <w:pPr>
              <w:keepNext/>
              <w:keepLines/>
            </w:pPr>
            <w:r w:rsidRPr="004A6531">
              <w:t>1</w:t>
            </w:r>
          </w:p>
        </w:tc>
        <w:tc>
          <w:tcPr>
            <w:tcW w:w="2301" w:type="dxa"/>
          </w:tcPr>
          <w:p w:rsidR="00E0752B" w:rsidRPr="004A6531" w:rsidRDefault="00E0752B" w:rsidP="002277C5">
            <w:pPr>
              <w:keepNext/>
              <w:keepLines/>
            </w:pPr>
            <w:r w:rsidRPr="004A6531">
              <w:t xml:space="preserve"> 2/60</w:t>
            </w:r>
          </w:p>
        </w:tc>
        <w:tc>
          <w:tcPr>
            <w:tcW w:w="1282" w:type="dxa"/>
          </w:tcPr>
          <w:p w:rsidR="00E0752B" w:rsidRPr="004A6531" w:rsidRDefault="00C9440C" w:rsidP="002277C5">
            <w:pPr>
              <w:keepNext/>
              <w:keepLines/>
            </w:pPr>
            <w:r w:rsidRPr="004A6531">
              <w:t>20</w:t>
            </w:r>
          </w:p>
        </w:tc>
      </w:tr>
      <w:tr w:rsidR="004A74D4" w:rsidRPr="004A6531" w:rsidTr="004A74D4">
        <w:tc>
          <w:tcPr>
            <w:tcW w:w="1546" w:type="dxa"/>
            <w:vMerge/>
          </w:tcPr>
          <w:p w:rsidR="004A74D4" w:rsidRPr="004A6531" w:rsidRDefault="004A74D4" w:rsidP="002277C5">
            <w:pPr>
              <w:keepNext/>
              <w:keepLines/>
            </w:pPr>
          </w:p>
        </w:tc>
        <w:tc>
          <w:tcPr>
            <w:tcW w:w="1456" w:type="dxa"/>
          </w:tcPr>
          <w:p w:rsidR="004A74D4" w:rsidRPr="004A6531" w:rsidRDefault="00137F71" w:rsidP="004A74D4">
            <w:pPr>
              <w:keepNext/>
              <w:keepLines/>
            </w:pPr>
            <w:r w:rsidRPr="004A6531">
              <w:t>Follow-up Webinar Survey</w:t>
            </w:r>
          </w:p>
        </w:tc>
        <w:tc>
          <w:tcPr>
            <w:tcW w:w="1539" w:type="dxa"/>
          </w:tcPr>
          <w:p w:rsidR="004A74D4" w:rsidRPr="004A6531" w:rsidRDefault="00C9440C" w:rsidP="002277C5">
            <w:pPr>
              <w:keepNext/>
              <w:keepLines/>
            </w:pPr>
            <w:r w:rsidRPr="004A6531">
              <w:t>6</w:t>
            </w:r>
            <w:r w:rsidR="001D4D55" w:rsidRPr="004A6531">
              <w:t>00</w:t>
            </w:r>
          </w:p>
        </w:tc>
        <w:tc>
          <w:tcPr>
            <w:tcW w:w="1439" w:type="dxa"/>
          </w:tcPr>
          <w:p w:rsidR="004A74D4" w:rsidRPr="004A6531" w:rsidDel="007A35D9" w:rsidRDefault="004A74D4" w:rsidP="002277C5">
            <w:pPr>
              <w:keepNext/>
              <w:keepLines/>
            </w:pPr>
            <w:r w:rsidRPr="004A6531">
              <w:t>1</w:t>
            </w:r>
          </w:p>
        </w:tc>
        <w:tc>
          <w:tcPr>
            <w:tcW w:w="2301" w:type="dxa"/>
          </w:tcPr>
          <w:p w:rsidR="004A74D4" w:rsidRPr="004A6531" w:rsidRDefault="00E82C5D" w:rsidP="002277C5">
            <w:pPr>
              <w:keepNext/>
              <w:keepLines/>
            </w:pPr>
            <w:r w:rsidRPr="004A6531">
              <w:t>2</w:t>
            </w:r>
            <w:r w:rsidR="004A74D4" w:rsidRPr="004A6531">
              <w:t>/60</w:t>
            </w:r>
          </w:p>
        </w:tc>
        <w:tc>
          <w:tcPr>
            <w:tcW w:w="1282" w:type="dxa"/>
          </w:tcPr>
          <w:p w:rsidR="004A74D4" w:rsidRPr="004A6531" w:rsidRDefault="00C9440C" w:rsidP="002277C5">
            <w:pPr>
              <w:keepNext/>
              <w:keepLines/>
            </w:pPr>
            <w:r w:rsidRPr="004A6531">
              <w:t>20</w:t>
            </w:r>
          </w:p>
        </w:tc>
      </w:tr>
      <w:tr w:rsidR="004A74D4" w:rsidRPr="004A6531" w:rsidTr="004A74D4">
        <w:tc>
          <w:tcPr>
            <w:tcW w:w="1546" w:type="dxa"/>
          </w:tcPr>
          <w:p w:rsidR="004A74D4" w:rsidRPr="004A6531" w:rsidRDefault="004A74D4" w:rsidP="002277C5">
            <w:pPr>
              <w:keepNext/>
              <w:keepLines/>
              <w:rPr>
                <w:b/>
              </w:rPr>
            </w:pPr>
            <w:r w:rsidRPr="004A6531">
              <w:rPr>
                <w:b/>
              </w:rPr>
              <w:t>TOTAL</w:t>
            </w:r>
          </w:p>
        </w:tc>
        <w:tc>
          <w:tcPr>
            <w:tcW w:w="6735" w:type="dxa"/>
            <w:gridSpan w:val="4"/>
          </w:tcPr>
          <w:p w:rsidR="004A74D4" w:rsidRPr="004A6531" w:rsidRDefault="004A74D4" w:rsidP="002277C5">
            <w:pPr>
              <w:keepNext/>
              <w:keepLines/>
              <w:rPr>
                <w:b/>
              </w:rPr>
            </w:pPr>
          </w:p>
        </w:tc>
        <w:tc>
          <w:tcPr>
            <w:tcW w:w="1282" w:type="dxa"/>
          </w:tcPr>
          <w:p w:rsidR="004A74D4" w:rsidRPr="004A6531" w:rsidRDefault="00C9440C" w:rsidP="002277C5">
            <w:pPr>
              <w:keepNext/>
              <w:keepLines/>
              <w:rPr>
                <w:b/>
              </w:rPr>
            </w:pPr>
            <w:r w:rsidRPr="004A6531">
              <w:rPr>
                <w:b/>
              </w:rPr>
              <w:t>40</w:t>
            </w:r>
          </w:p>
        </w:tc>
      </w:tr>
    </w:tbl>
    <w:p w:rsidR="00E0752B" w:rsidRPr="004A6531" w:rsidRDefault="00E0752B" w:rsidP="00E0752B">
      <w:pPr>
        <w:keepNext/>
        <w:keepLines/>
      </w:pPr>
    </w:p>
    <w:p w:rsidR="00E0752B" w:rsidRPr="004A6531" w:rsidRDefault="00E0752B" w:rsidP="00E0752B">
      <w:pPr>
        <w:keepNext/>
        <w:keepLines/>
      </w:pPr>
    </w:p>
    <w:p w:rsidR="00E0752B" w:rsidRPr="004A6531" w:rsidRDefault="00E0752B" w:rsidP="00E0752B"/>
    <w:p w:rsidR="00E0752B" w:rsidRPr="004A6531" w:rsidRDefault="00E0752B" w:rsidP="00E0752B"/>
    <w:p w:rsidR="00E0752B" w:rsidRPr="004A6531" w:rsidRDefault="00E0752B" w:rsidP="00E0752B">
      <w:pPr>
        <w:rPr>
          <w:b/>
        </w:rPr>
      </w:pPr>
      <w:r w:rsidRPr="004A6531">
        <w:rPr>
          <w:b/>
        </w:rPr>
        <w:t xml:space="preserve">FEDERAL COST:  </w:t>
      </w:r>
      <w:r w:rsidR="000401AD" w:rsidRPr="004A6531">
        <w:t xml:space="preserve">The estimated annual cost to the Federal government is federal employee/contractor staff time. The approximately cost for all proposed surveys is </w:t>
      </w:r>
      <w:r w:rsidRPr="004A6531">
        <w:t>$</w:t>
      </w:r>
      <w:r w:rsidR="00472110" w:rsidRPr="004A6531">
        <w:t>1,380</w:t>
      </w:r>
      <w:r w:rsidRPr="004A6531">
        <w:t>.</w:t>
      </w:r>
    </w:p>
    <w:p w:rsidR="00E0752B" w:rsidRPr="004A6531" w:rsidRDefault="00E0752B" w:rsidP="00E0752B">
      <w:pPr>
        <w:rPr>
          <w:b/>
          <w:bCs/>
          <w:u w:val="single"/>
        </w:rPr>
      </w:pPr>
    </w:p>
    <w:p w:rsidR="00E0752B" w:rsidRPr="004A6531" w:rsidRDefault="00E0752B" w:rsidP="00E0752B">
      <w:pPr>
        <w:rPr>
          <w:b/>
        </w:rPr>
      </w:pPr>
      <w:r w:rsidRPr="004A6531">
        <w:rPr>
          <w:b/>
          <w:bCs/>
          <w:u w:val="single"/>
        </w:rPr>
        <w:t>If you are conducting a focus group, survey, or plan to employ statistical methods, please provide answers to the following questions:</w:t>
      </w:r>
    </w:p>
    <w:p w:rsidR="00E0752B" w:rsidRPr="004A6531" w:rsidRDefault="00E0752B" w:rsidP="00E0752B">
      <w:pPr>
        <w:rPr>
          <w:b/>
        </w:rPr>
      </w:pPr>
    </w:p>
    <w:p w:rsidR="00E0752B" w:rsidRPr="004A6531" w:rsidRDefault="00E0752B" w:rsidP="00E0752B">
      <w:pPr>
        <w:rPr>
          <w:b/>
        </w:rPr>
      </w:pPr>
      <w:r w:rsidRPr="004A6531">
        <w:rPr>
          <w:b/>
        </w:rPr>
        <w:t>The selection of your targeted respondents</w:t>
      </w:r>
    </w:p>
    <w:p w:rsidR="00E0752B" w:rsidRPr="004A6531" w:rsidRDefault="00E0752B" w:rsidP="00E0752B">
      <w:pPr>
        <w:pStyle w:val="ListParagraph"/>
        <w:numPr>
          <w:ilvl w:val="0"/>
          <w:numId w:val="2"/>
        </w:numPr>
      </w:pPr>
      <w:r w:rsidRPr="004A6531">
        <w:rPr>
          <w:b/>
        </w:rPr>
        <w:t>Do you have a customer list or something similar that defines the universe of potential respondents and do you have a sampling plan for selecting from this universe?</w:t>
      </w:r>
      <w:r w:rsidRPr="004A6531">
        <w:rPr>
          <w:b/>
        </w:rPr>
        <w:tab/>
      </w:r>
      <w:r w:rsidRPr="004A6531">
        <w:rPr>
          <w:b/>
        </w:rPr>
        <w:tab/>
      </w:r>
      <w:r w:rsidRPr="004A6531">
        <w:tab/>
      </w:r>
      <w:r w:rsidRPr="004A6531">
        <w:tab/>
      </w:r>
      <w:r w:rsidRPr="004A6531">
        <w:tab/>
      </w:r>
      <w:r w:rsidRPr="004A6531">
        <w:tab/>
      </w:r>
      <w:r w:rsidRPr="004A6531">
        <w:tab/>
      </w:r>
      <w:r w:rsidRPr="004A6531">
        <w:tab/>
      </w:r>
      <w:r w:rsidRPr="004A6531">
        <w:tab/>
      </w:r>
      <w:r w:rsidRPr="004A6531">
        <w:tab/>
      </w:r>
      <w:r w:rsidRPr="004A6531">
        <w:tab/>
        <w:t>[</w:t>
      </w:r>
      <w:r w:rsidRPr="004A6531">
        <w:rPr>
          <w:b/>
        </w:rPr>
        <w:t>X</w:t>
      </w:r>
      <w:r w:rsidRPr="004A6531">
        <w:t xml:space="preserve"> ] Yes</w:t>
      </w:r>
      <w:r w:rsidRPr="004A6531">
        <w:tab/>
        <w:t>[ ] No</w:t>
      </w:r>
    </w:p>
    <w:p w:rsidR="00E0752B" w:rsidRPr="004A6531" w:rsidRDefault="00E0752B" w:rsidP="00E0752B">
      <w:pPr>
        <w:pStyle w:val="ListParagraph"/>
      </w:pPr>
    </w:p>
    <w:p w:rsidR="00E0752B" w:rsidRPr="004A6531" w:rsidRDefault="00E0752B" w:rsidP="00E0752B">
      <w:pPr>
        <w:rPr>
          <w:b/>
        </w:rPr>
      </w:pPr>
      <w:r w:rsidRPr="004A6531">
        <w:rPr>
          <w:b/>
        </w:rPr>
        <w:lastRenderedPageBreak/>
        <w:t>If the answer is yes, please provide a description of both below (or attach the sampling plan)?   If the answer is no, please provide a description of how you plan to identify your potential group of respondents and how you will select them?</w:t>
      </w:r>
    </w:p>
    <w:p w:rsidR="00E0752B" w:rsidRPr="004A6531" w:rsidRDefault="00E0752B" w:rsidP="00E0752B">
      <w:pPr>
        <w:pStyle w:val="ListParagraph"/>
      </w:pPr>
    </w:p>
    <w:p w:rsidR="00892837" w:rsidRPr="004A6531" w:rsidRDefault="00892837" w:rsidP="00892837">
      <w:r w:rsidRPr="004A6531">
        <w:t xml:space="preserve">LTSAE proposes to administer two online surveys to webinar participants. Participants could be either health care providers or administrative staff members who work for various partner organizations including, but not limited to, </w:t>
      </w:r>
      <w:r w:rsidRPr="004A6531">
        <w:rPr>
          <w:rFonts w:eastAsia="Arial Unicode MS"/>
          <w:color w:val="000000"/>
        </w:rPr>
        <w:t>Special Supplemental Nutrition Program for Women, Infants and Children (WIC), Head Start, Early Head Start, Child Find, tribal grantees, and Federally Qualified Health Centers.</w:t>
      </w:r>
    </w:p>
    <w:p w:rsidR="00892837" w:rsidRPr="004A6531" w:rsidRDefault="00892837" w:rsidP="00892837">
      <w:pPr>
        <w:pStyle w:val="Heading1"/>
      </w:pPr>
    </w:p>
    <w:p w:rsidR="00892837" w:rsidRPr="004A6531" w:rsidRDefault="00892837" w:rsidP="00892837">
      <w:pPr>
        <w:tabs>
          <w:tab w:val="left" w:pos="0"/>
        </w:tabs>
      </w:pPr>
      <w:r w:rsidRPr="004A6531">
        <w:t xml:space="preserve">Surveys will be administered online, via Survey Monkey. Participants must provide an e-mail address in order to gain access to the webinar. Immediately following the webinar, a link to the survey will be embedded in an email to webinar participants, and another e-mail with a link to the survey will be sent at follow up, approximately 3 months post-webinar. Surveys will be administered once, and not all surveys will be completed by all potential respondents. The surveys will be deployed at different points during the year, each time LTSAE hosts a webinar. </w:t>
      </w:r>
    </w:p>
    <w:p w:rsidR="00892837" w:rsidRPr="004A6531" w:rsidRDefault="00892837" w:rsidP="00892837">
      <w:pPr>
        <w:rPr>
          <w:b/>
        </w:rPr>
      </w:pPr>
    </w:p>
    <w:p w:rsidR="00E0752B" w:rsidRPr="004A6531" w:rsidRDefault="00E0752B" w:rsidP="00E0752B">
      <w:r w:rsidRPr="004A6531">
        <w:t>The target population for this project</w:t>
      </w:r>
      <w:r w:rsidR="004A74D4" w:rsidRPr="004A6531">
        <w:t xml:space="preserve"> will be all participants who attend a </w:t>
      </w:r>
      <w:r w:rsidR="00683F2D" w:rsidRPr="004A6531">
        <w:t>“Learn the Signs. Act Early.”</w:t>
      </w:r>
      <w:r w:rsidR="004A74D4" w:rsidRPr="004A6531">
        <w:t xml:space="preserve"> webinar. </w:t>
      </w:r>
      <w:r w:rsidR="00341630" w:rsidRPr="004A6531">
        <w:t>We have been conducting these webinars for several years and expect that, on average,</w:t>
      </w:r>
      <w:r w:rsidR="00C9440C" w:rsidRPr="004A6531">
        <w:t xml:space="preserve"> about</w:t>
      </w:r>
      <w:r w:rsidR="00341630" w:rsidRPr="004A6531">
        <w:t xml:space="preserve"> </w:t>
      </w:r>
      <w:r w:rsidR="00C9440C" w:rsidRPr="004A6531">
        <w:t>10</w:t>
      </w:r>
      <w:r w:rsidR="00094BAF" w:rsidRPr="004A6531">
        <w:t>0</w:t>
      </w:r>
      <w:r w:rsidR="00341630" w:rsidRPr="004A6531">
        <w:t xml:space="preserve"> participants attend. </w:t>
      </w:r>
    </w:p>
    <w:p w:rsidR="00E0752B" w:rsidRPr="004A6531" w:rsidRDefault="00E0752B" w:rsidP="00E0752B"/>
    <w:p w:rsidR="00E0752B" w:rsidRPr="004A6531" w:rsidRDefault="00E0752B" w:rsidP="00E0752B"/>
    <w:p w:rsidR="00E0752B" w:rsidRPr="004A6531" w:rsidRDefault="00E0752B" w:rsidP="00E0752B"/>
    <w:p w:rsidR="00E0752B" w:rsidRPr="004A6531" w:rsidRDefault="00E0752B" w:rsidP="00E0752B">
      <w:pPr>
        <w:rPr>
          <w:b/>
        </w:rPr>
      </w:pPr>
      <w:r w:rsidRPr="004A6531">
        <w:rPr>
          <w:b/>
        </w:rPr>
        <w:t>Administration of the Instrument</w:t>
      </w:r>
    </w:p>
    <w:p w:rsidR="00E0752B" w:rsidRPr="004A6531" w:rsidRDefault="00E0752B" w:rsidP="00E0752B">
      <w:pPr>
        <w:pStyle w:val="ListParagraph"/>
        <w:numPr>
          <w:ilvl w:val="0"/>
          <w:numId w:val="3"/>
        </w:numPr>
      </w:pPr>
      <w:r w:rsidRPr="004A6531">
        <w:t>How will you collect the information? (Check all that apply)</w:t>
      </w:r>
    </w:p>
    <w:p w:rsidR="00E0752B" w:rsidRPr="004A6531" w:rsidRDefault="00E0752B" w:rsidP="00E0752B">
      <w:pPr>
        <w:pStyle w:val="ListParagraph"/>
        <w:ind w:left="360"/>
      </w:pPr>
    </w:p>
    <w:p w:rsidR="00E0752B" w:rsidRPr="004A6531" w:rsidRDefault="00E0752B" w:rsidP="00E0752B">
      <w:pPr>
        <w:ind w:left="720"/>
      </w:pPr>
      <w:r w:rsidRPr="004A6531">
        <w:t xml:space="preserve">[ X] Web-based or other forms of Social Media </w:t>
      </w:r>
    </w:p>
    <w:p w:rsidR="00E0752B" w:rsidRPr="004A6531" w:rsidRDefault="00E0752B" w:rsidP="00E0752B">
      <w:pPr>
        <w:ind w:left="720"/>
      </w:pPr>
      <w:r w:rsidRPr="004A6531">
        <w:t>[  ] Telephone</w:t>
      </w:r>
      <w:r w:rsidRPr="004A6531">
        <w:tab/>
      </w:r>
    </w:p>
    <w:p w:rsidR="00E0752B" w:rsidRPr="004A6531" w:rsidRDefault="00E0752B" w:rsidP="00E0752B">
      <w:pPr>
        <w:ind w:left="720"/>
      </w:pPr>
      <w:r w:rsidRPr="004A6531">
        <w:t>[  ] In-person</w:t>
      </w:r>
      <w:r w:rsidRPr="004A6531">
        <w:tab/>
      </w:r>
    </w:p>
    <w:p w:rsidR="00E0752B" w:rsidRPr="004A6531" w:rsidRDefault="00E0752B" w:rsidP="00E0752B">
      <w:pPr>
        <w:ind w:left="720"/>
      </w:pPr>
      <w:r w:rsidRPr="004A6531">
        <w:t xml:space="preserve">[  ] Mail </w:t>
      </w:r>
    </w:p>
    <w:p w:rsidR="00E0752B" w:rsidRPr="004A6531" w:rsidRDefault="00E0752B" w:rsidP="00E0752B">
      <w:pPr>
        <w:ind w:left="720"/>
      </w:pPr>
      <w:r w:rsidRPr="004A6531">
        <w:t>[  ] Other, Explain</w:t>
      </w:r>
    </w:p>
    <w:p w:rsidR="00E0752B" w:rsidRPr="004A6531" w:rsidRDefault="00E0752B" w:rsidP="00E0752B">
      <w:pPr>
        <w:ind w:left="720"/>
      </w:pPr>
    </w:p>
    <w:p w:rsidR="00E0752B" w:rsidRPr="004A6531" w:rsidRDefault="00E0752B" w:rsidP="00E0752B">
      <w:pPr>
        <w:pStyle w:val="ListParagraph"/>
        <w:numPr>
          <w:ilvl w:val="0"/>
          <w:numId w:val="3"/>
        </w:numPr>
      </w:pPr>
      <w:r w:rsidRPr="004A6531">
        <w:t>Will interviewers or facilitators be used?  [  ] Yes [X ] No</w:t>
      </w:r>
    </w:p>
    <w:p w:rsidR="00E0752B" w:rsidRPr="004A6531" w:rsidRDefault="00E0752B" w:rsidP="00E0752B">
      <w:pPr>
        <w:pStyle w:val="ListParagraph"/>
        <w:ind w:left="360"/>
      </w:pPr>
      <w:r w:rsidRPr="004A6531">
        <w:t xml:space="preserve"> </w:t>
      </w:r>
    </w:p>
    <w:p w:rsidR="00E0752B" w:rsidRPr="004A6531" w:rsidRDefault="00E0752B" w:rsidP="00E0752B">
      <w:pPr>
        <w:rPr>
          <w:b/>
        </w:rPr>
      </w:pPr>
      <w:r w:rsidRPr="004A6531">
        <w:rPr>
          <w:b/>
        </w:rPr>
        <w:t>Please make sure that all instruments, instructions, and scripts are submitted with the request.</w:t>
      </w:r>
    </w:p>
    <w:p w:rsidR="00E0752B" w:rsidRPr="004A6531" w:rsidRDefault="00E0752B" w:rsidP="00E0752B">
      <w:pPr>
        <w:rPr>
          <w:b/>
        </w:rPr>
      </w:pPr>
    </w:p>
    <w:p w:rsidR="00E0752B" w:rsidRDefault="00A725BF" w:rsidP="00E0752B">
      <w:pPr>
        <w:tabs>
          <w:tab w:val="left" w:pos="5670"/>
        </w:tabs>
        <w:suppressAutoHyphens/>
      </w:pPr>
      <w:r w:rsidRPr="004A6531">
        <w:t>Attachment 1: Initial Survey</w:t>
      </w:r>
    </w:p>
    <w:p w:rsidR="00596030" w:rsidRDefault="00596030" w:rsidP="00596030">
      <w:pPr>
        <w:tabs>
          <w:tab w:val="left" w:pos="5670"/>
        </w:tabs>
        <w:suppressAutoHyphens/>
      </w:pPr>
      <w:r w:rsidRPr="004A6531">
        <w:t xml:space="preserve">Attachment </w:t>
      </w:r>
      <w:r>
        <w:t>1a</w:t>
      </w:r>
      <w:r w:rsidRPr="004A6531">
        <w:t>: Screen shots for Initial Survey</w:t>
      </w:r>
    </w:p>
    <w:p w:rsidR="00A725BF" w:rsidRDefault="00A725BF" w:rsidP="00E0752B">
      <w:pPr>
        <w:tabs>
          <w:tab w:val="left" w:pos="5670"/>
        </w:tabs>
        <w:suppressAutoHyphens/>
      </w:pPr>
      <w:r w:rsidRPr="004A6531">
        <w:t>Attachment 2: Follow-Up Survey</w:t>
      </w:r>
    </w:p>
    <w:p w:rsidR="00596030" w:rsidRPr="004A6531" w:rsidRDefault="00596030" w:rsidP="00596030">
      <w:pPr>
        <w:tabs>
          <w:tab w:val="left" w:pos="5670"/>
        </w:tabs>
        <w:suppressAutoHyphens/>
      </w:pPr>
      <w:r w:rsidRPr="004A6531">
        <w:t xml:space="preserve">Attachment </w:t>
      </w:r>
      <w:r>
        <w:t>2a</w:t>
      </w:r>
      <w:r w:rsidRPr="004A6531">
        <w:t>: Screen shots for Follow-Up Survey</w:t>
      </w:r>
    </w:p>
    <w:p w:rsidR="00A725BF" w:rsidRDefault="00A725BF" w:rsidP="00E0752B">
      <w:pPr>
        <w:tabs>
          <w:tab w:val="left" w:pos="5670"/>
        </w:tabs>
        <w:suppressAutoHyphens/>
      </w:pPr>
      <w:r w:rsidRPr="004A6531">
        <w:t>Attachment 3: Recruitment E-mail</w:t>
      </w:r>
    </w:p>
    <w:p w:rsidR="00596030" w:rsidRPr="004A6531" w:rsidRDefault="00596030" w:rsidP="00E0752B">
      <w:pPr>
        <w:tabs>
          <w:tab w:val="left" w:pos="5670"/>
        </w:tabs>
        <w:suppressAutoHyphens/>
      </w:pPr>
      <w:r>
        <w:t>Attachment 4: LTSAE Webinar PowerPoint Slides</w:t>
      </w:r>
    </w:p>
    <w:p w:rsidR="00596030" w:rsidRPr="004A6531" w:rsidRDefault="00596030" w:rsidP="00E0752B">
      <w:pPr>
        <w:tabs>
          <w:tab w:val="left" w:pos="5670"/>
        </w:tabs>
        <w:suppressAutoHyphens/>
      </w:pPr>
    </w:p>
    <w:p w:rsidR="00A725BF" w:rsidRPr="004A6531" w:rsidRDefault="00A725BF" w:rsidP="00E0752B">
      <w:pPr>
        <w:tabs>
          <w:tab w:val="left" w:pos="5670"/>
        </w:tabs>
        <w:suppressAutoHyphens/>
      </w:pPr>
    </w:p>
    <w:p w:rsidR="0017314F" w:rsidRPr="004A6531" w:rsidRDefault="0017314F"/>
    <w:sectPr w:rsidR="0017314F" w:rsidRPr="004A6531" w:rsidSect="001F09CE">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030" w:rsidRDefault="00596030" w:rsidP="00E0752B">
      <w:r>
        <w:separator/>
      </w:r>
    </w:p>
  </w:endnote>
  <w:endnote w:type="continuationSeparator" w:id="0">
    <w:p w:rsidR="00596030" w:rsidRDefault="00596030" w:rsidP="00E0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909998"/>
      <w:docPartObj>
        <w:docPartGallery w:val="Page Numbers (Bottom of Page)"/>
        <w:docPartUnique/>
      </w:docPartObj>
    </w:sdtPr>
    <w:sdtEndPr>
      <w:rPr>
        <w:noProof/>
        <w:sz w:val="20"/>
        <w:szCs w:val="20"/>
      </w:rPr>
    </w:sdtEndPr>
    <w:sdtContent>
      <w:p w:rsidR="00596030" w:rsidRPr="0061609E" w:rsidRDefault="00596030">
        <w:pPr>
          <w:pStyle w:val="Footer"/>
          <w:jc w:val="right"/>
          <w:rPr>
            <w:sz w:val="20"/>
            <w:szCs w:val="20"/>
          </w:rPr>
        </w:pPr>
        <w:r w:rsidRPr="0061609E">
          <w:rPr>
            <w:sz w:val="20"/>
            <w:szCs w:val="20"/>
          </w:rPr>
          <w:fldChar w:fldCharType="begin"/>
        </w:r>
        <w:r w:rsidRPr="0061609E">
          <w:rPr>
            <w:sz w:val="20"/>
            <w:szCs w:val="20"/>
          </w:rPr>
          <w:instrText xml:space="preserve"> PAGE   \* MERGEFORMAT </w:instrText>
        </w:r>
        <w:r w:rsidRPr="0061609E">
          <w:rPr>
            <w:sz w:val="20"/>
            <w:szCs w:val="20"/>
          </w:rPr>
          <w:fldChar w:fldCharType="separate"/>
        </w:r>
        <w:r w:rsidR="00352566">
          <w:rPr>
            <w:noProof/>
            <w:sz w:val="20"/>
            <w:szCs w:val="20"/>
          </w:rPr>
          <w:t>1</w:t>
        </w:r>
        <w:r w:rsidRPr="0061609E">
          <w:rPr>
            <w:noProof/>
            <w:sz w:val="20"/>
            <w:szCs w:val="20"/>
          </w:rPr>
          <w:fldChar w:fldCharType="end"/>
        </w:r>
      </w:p>
    </w:sdtContent>
  </w:sdt>
  <w:p w:rsidR="00596030" w:rsidRDefault="00596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030" w:rsidRDefault="00596030" w:rsidP="00E0752B">
      <w:r>
        <w:separator/>
      </w:r>
    </w:p>
  </w:footnote>
  <w:footnote w:type="continuationSeparator" w:id="0">
    <w:p w:rsidR="00596030" w:rsidRDefault="00596030" w:rsidP="00E075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2F5047DF"/>
    <w:multiLevelType w:val="hybridMultilevel"/>
    <w:tmpl w:val="FC363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52B"/>
    <w:rsid w:val="000401AD"/>
    <w:rsid w:val="00051599"/>
    <w:rsid w:val="00057EC3"/>
    <w:rsid w:val="00094BAF"/>
    <w:rsid w:val="000C5822"/>
    <w:rsid w:val="00100BA9"/>
    <w:rsid w:val="00137F71"/>
    <w:rsid w:val="00144C05"/>
    <w:rsid w:val="0017314F"/>
    <w:rsid w:val="001866F3"/>
    <w:rsid w:val="001B24ED"/>
    <w:rsid w:val="001D4D55"/>
    <w:rsid w:val="001F09CE"/>
    <w:rsid w:val="001F6C11"/>
    <w:rsid w:val="001F71B2"/>
    <w:rsid w:val="002064E0"/>
    <w:rsid w:val="002277C5"/>
    <w:rsid w:val="00237061"/>
    <w:rsid w:val="002C52B7"/>
    <w:rsid w:val="00341630"/>
    <w:rsid w:val="00343C3F"/>
    <w:rsid w:val="00352566"/>
    <w:rsid w:val="003606E7"/>
    <w:rsid w:val="003A569A"/>
    <w:rsid w:val="003D0CB6"/>
    <w:rsid w:val="003D7528"/>
    <w:rsid w:val="003E1BF0"/>
    <w:rsid w:val="003F6244"/>
    <w:rsid w:val="00453C88"/>
    <w:rsid w:val="004565BA"/>
    <w:rsid w:val="00472110"/>
    <w:rsid w:val="00480822"/>
    <w:rsid w:val="00497DCB"/>
    <w:rsid w:val="004A6531"/>
    <w:rsid w:val="004A74D4"/>
    <w:rsid w:val="004B4E2D"/>
    <w:rsid w:val="0058566A"/>
    <w:rsid w:val="00596030"/>
    <w:rsid w:val="005B3685"/>
    <w:rsid w:val="005E0A5E"/>
    <w:rsid w:val="0061609E"/>
    <w:rsid w:val="00623AC3"/>
    <w:rsid w:val="00630D3C"/>
    <w:rsid w:val="00665FCB"/>
    <w:rsid w:val="00682A6E"/>
    <w:rsid w:val="00683F2D"/>
    <w:rsid w:val="006A47FF"/>
    <w:rsid w:val="006C15AA"/>
    <w:rsid w:val="00774E3D"/>
    <w:rsid w:val="00781337"/>
    <w:rsid w:val="007B1D26"/>
    <w:rsid w:val="0084639D"/>
    <w:rsid w:val="00892837"/>
    <w:rsid w:val="008F3609"/>
    <w:rsid w:val="008F7585"/>
    <w:rsid w:val="00912DD9"/>
    <w:rsid w:val="009205EA"/>
    <w:rsid w:val="0093164C"/>
    <w:rsid w:val="00934D68"/>
    <w:rsid w:val="00951778"/>
    <w:rsid w:val="00960469"/>
    <w:rsid w:val="00975384"/>
    <w:rsid w:val="00975FBD"/>
    <w:rsid w:val="009972F2"/>
    <w:rsid w:val="009B7F7C"/>
    <w:rsid w:val="00A00A8D"/>
    <w:rsid w:val="00A46A3E"/>
    <w:rsid w:val="00A725BF"/>
    <w:rsid w:val="00AC7131"/>
    <w:rsid w:val="00AE4E35"/>
    <w:rsid w:val="00B113AB"/>
    <w:rsid w:val="00B513BB"/>
    <w:rsid w:val="00B760AD"/>
    <w:rsid w:val="00B82319"/>
    <w:rsid w:val="00BD4268"/>
    <w:rsid w:val="00C43A64"/>
    <w:rsid w:val="00C60E2C"/>
    <w:rsid w:val="00C9440C"/>
    <w:rsid w:val="00D86F4F"/>
    <w:rsid w:val="00DC5598"/>
    <w:rsid w:val="00DF2EF4"/>
    <w:rsid w:val="00E0752B"/>
    <w:rsid w:val="00E17124"/>
    <w:rsid w:val="00E2271E"/>
    <w:rsid w:val="00E46E9B"/>
    <w:rsid w:val="00E76CB4"/>
    <w:rsid w:val="00E82C5D"/>
    <w:rsid w:val="00E83CFE"/>
    <w:rsid w:val="00EE0F6C"/>
    <w:rsid w:val="00F62C01"/>
    <w:rsid w:val="00F74BB4"/>
    <w:rsid w:val="00FB736B"/>
    <w:rsid w:val="00FE7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5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E0752B"/>
    <w:pPr>
      <w:keepNext/>
      <w:ind w:right="-360"/>
      <w:outlineLvl w:val="0"/>
    </w:pPr>
    <w:rPr>
      <w:b/>
      <w:bCs/>
    </w:rPr>
  </w:style>
  <w:style w:type="paragraph" w:styleId="Heading2">
    <w:name w:val="heading 2"/>
    <w:basedOn w:val="Normal"/>
    <w:next w:val="Normal"/>
    <w:link w:val="Heading2Char"/>
    <w:uiPriority w:val="99"/>
    <w:qFormat/>
    <w:rsid w:val="00E0752B"/>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0752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E0752B"/>
    <w:rPr>
      <w:rFonts w:ascii="Times New Roman" w:eastAsia="Times New Roman" w:hAnsi="Times New Roman" w:cs="Times New Roman"/>
      <w:b/>
      <w:bCs/>
      <w:sz w:val="24"/>
      <w:szCs w:val="24"/>
    </w:rPr>
  </w:style>
  <w:style w:type="paragraph" w:styleId="Header">
    <w:name w:val="header"/>
    <w:basedOn w:val="Normal"/>
    <w:link w:val="HeaderChar"/>
    <w:uiPriority w:val="99"/>
    <w:rsid w:val="00E0752B"/>
    <w:pPr>
      <w:widowControl w:val="0"/>
      <w:tabs>
        <w:tab w:val="center" w:pos="4320"/>
        <w:tab w:val="right" w:pos="8640"/>
      </w:tabs>
    </w:pPr>
  </w:style>
  <w:style w:type="character" w:customStyle="1" w:styleId="HeaderChar">
    <w:name w:val="Header Char"/>
    <w:basedOn w:val="DefaultParagraphFont"/>
    <w:link w:val="Header"/>
    <w:uiPriority w:val="99"/>
    <w:rsid w:val="00E0752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E0752B"/>
    <w:pPr>
      <w:ind w:left="288"/>
    </w:pPr>
    <w:rPr>
      <w:sz w:val="20"/>
      <w:szCs w:val="20"/>
      <w:lang w:eastAsia="zh-CN"/>
    </w:rPr>
  </w:style>
  <w:style w:type="character" w:customStyle="1" w:styleId="BodyTextIndentChar">
    <w:name w:val="Body Text Indent Char"/>
    <w:basedOn w:val="DefaultParagraphFont"/>
    <w:link w:val="BodyTextIndent"/>
    <w:uiPriority w:val="99"/>
    <w:rsid w:val="00E0752B"/>
    <w:rPr>
      <w:rFonts w:ascii="Times New Roman" w:eastAsia="Times New Roman" w:hAnsi="Times New Roman" w:cs="Times New Roman"/>
      <w:sz w:val="20"/>
      <w:szCs w:val="20"/>
      <w:lang w:eastAsia="zh-CN"/>
    </w:rPr>
  </w:style>
  <w:style w:type="table" w:styleId="TableGrid">
    <w:name w:val="Table Grid"/>
    <w:basedOn w:val="TableNormal"/>
    <w:uiPriority w:val="99"/>
    <w:rsid w:val="00E075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752B"/>
    <w:pPr>
      <w:ind w:left="720"/>
      <w:contextualSpacing/>
    </w:pPr>
  </w:style>
  <w:style w:type="paragraph" w:styleId="FootnoteText">
    <w:name w:val="footnote text"/>
    <w:basedOn w:val="Normal"/>
    <w:link w:val="FootnoteTextChar"/>
    <w:uiPriority w:val="99"/>
    <w:semiHidden/>
    <w:unhideWhenUsed/>
    <w:rsid w:val="00E0752B"/>
    <w:rPr>
      <w:sz w:val="20"/>
      <w:szCs w:val="20"/>
    </w:rPr>
  </w:style>
  <w:style w:type="character" w:customStyle="1" w:styleId="FootnoteTextChar">
    <w:name w:val="Footnote Text Char"/>
    <w:basedOn w:val="DefaultParagraphFont"/>
    <w:link w:val="FootnoteText"/>
    <w:uiPriority w:val="99"/>
    <w:semiHidden/>
    <w:rsid w:val="00E0752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0752B"/>
    <w:rPr>
      <w:vertAlign w:val="superscript"/>
    </w:rPr>
  </w:style>
  <w:style w:type="character" w:styleId="Hyperlink">
    <w:name w:val="Hyperlink"/>
    <w:basedOn w:val="DefaultParagraphFont"/>
    <w:uiPriority w:val="99"/>
    <w:unhideWhenUsed/>
    <w:rsid w:val="00E0752B"/>
    <w:rPr>
      <w:color w:val="0000FF" w:themeColor="hyperlink"/>
      <w:u w:val="single"/>
    </w:rPr>
  </w:style>
  <w:style w:type="character" w:styleId="CommentReference">
    <w:name w:val="annotation reference"/>
    <w:basedOn w:val="DefaultParagraphFont"/>
    <w:uiPriority w:val="99"/>
    <w:semiHidden/>
    <w:unhideWhenUsed/>
    <w:rsid w:val="00E0752B"/>
    <w:rPr>
      <w:sz w:val="16"/>
      <w:szCs w:val="16"/>
    </w:rPr>
  </w:style>
  <w:style w:type="paragraph" w:styleId="CommentText">
    <w:name w:val="annotation text"/>
    <w:basedOn w:val="Normal"/>
    <w:link w:val="CommentTextChar"/>
    <w:uiPriority w:val="99"/>
    <w:semiHidden/>
    <w:unhideWhenUsed/>
    <w:rsid w:val="00E0752B"/>
    <w:rPr>
      <w:sz w:val="20"/>
      <w:szCs w:val="20"/>
    </w:rPr>
  </w:style>
  <w:style w:type="character" w:customStyle="1" w:styleId="CommentTextChar">
    <w:name w:val="Comment Text Char"/>
    <w:basedOn w:val="DefaultParagraphFont"/>
    <w:link w:val="CommentText"/>
    <w:uiPriority w:val="99"/>
    <w:semiHidden/>
    <w:rsid w:val="00E075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752B"/>
    <w:rPr>
      <w:b/>
      <w:bCs/>
    </w:rPr>
  </w:style>
  <w:style w:type="character" w:customStyle="1" w:styleId="CommentSubjectChar">
    <w:name w:val="Comment Subject Char"/>
    <w:basedOn w:val="CommentTextChar"/>
    <w:link w:val="CommentSubject"/>
    <w:uiPriority w:val="99"/>
    <w:semiHidden/>
    <w:rsid w:val="00E0752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752B"/>
    <w:rPr>
      <w:rFonts w:ascii="Tahoma" w:hAnsi="Tahoma" w:cs="Tahoma"/>
      <w:sz w:val="16"/>
      <w:szCs w:val="16"/>
    </w:rPr>
  </w:style>
  <w:style w:type="character" w:customStyle="1" w:styleId="BalloonTextChar">
    <w:name w:val="Balloon Text Char"/>
    <w:basedOn w:val="DefaultParagraphFont"/>
    <w:link w:val="BalloonText"/>
    <w:uiPriority w:val="99"/>
    <w:semiHidden/>
    <w:rsid w:val="00E0752B"/>
    <w:rPr>
      <w:rFonts w:ascii="Tahoma" w:eastAsia="Times New Roman" w:hAnsi="Tahoma" w:cs="Tahoma"/>
      <w:sz w:val="16"/>
      <w:szCs w:val="16"/>
    </w:rPr>
  </w:style>
  <w:style w:type="paragraph" w:styleId="Footer">
    <w:name w:val="footer"/>
    <w:basedOn w:val="Normal"/>
    <w:link w:val="FooterChar"/>
    <w:uiPriority w:val="99"/>
    <w:unhideWhenUsed/>
    <w:rsid w:val="0061609E"/>
    <w:pPr>
      <w:tabs>
        <w:tab w:val="center" w:pos="4680"/>
        <w:tab w:val="right" w:pos="9360"/>
      </w:tabs>
    </w:pPr>
  </w:style>
  <w:style w:type="character" w:customStyle="1" w:styleId="FooterChar">
    <w:name w:val="Footer Char"/>
    <w:basedOn w:val="DefaultParagraphFont"/>
    <w:link w:val="Footer"/>
    <w:uiPriority w:val="99"/>
    <w:rsid w:val="0061609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5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E0752B"/>
    <w:pPr>
      <w:keepNext/>
      <w:ind w:right="-360"/>
      <w:outlineLvl w:val="0"/>
    </w:pPr>
    <w:rPr>
      <w:b/>
      <w:bCs/>
    </w:rPr>
  </w:style>
  <w:style w:type="paragraph" w:styleId="Heading2">
    <w:name w:val="heading 2"/>
    <w:basedOn w:val="Normal"/>
    <w:next w:val="Normal"/>
    <w:link w:val="Heading2Char"/>
    <w:uiPriority w:val="99"/>
    <w:qFormat/>
    <w:rsid w:val="00E0752B"/>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0752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9"/>
    <w:rsid w:val="00E0752B"/>
    <w:rPr>
      <w:rFonts w:ascii="Times New Roman" w:eastAsia="Times New Roman" w:hAnsi="Times New Roman" w:cs="Times New Roman"/>
      <w:b/>
      <w:bCs/>
      <w:sz w:val="24"/>
      <w:szCs w:val="24"/>
    </w:rPr>
  </w:style>
  <w:style w:type="paragraph" w:styleId="Header">
    <w:name w:val="header"/>
    <w:basedOn w:val="Normal"/>
    <w:link w:val="HeaderChar"/>
    <w:uiPriority w:val="99"/>
    <w:rsid w:val="00E0752B"/>
    <w:pPr>
      <w:widowControl w:val="0"/>
      <w:tabs>
        <w:tab w:val="center" w:pos="4320"/>
        <w:tab w:val="right" w:pos="8640"/>
      </w:tabs>
    </w:pPr>
  </w:style>
  <w:style w:type="character" w:customStyle="1" w:styleId="HeaderChar">
    <w:name w:val="Header Char"/>
    <w:basedOn w:val="DefaultParagraphFont"/>
    <w:link w:val="Header"/>
    <w:uiPriority w:val="99"/>
    <w:rsid w:val="00E0752B"/>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E0752B"/>
    <w:pPr>
      <w:ind w:left="288"/>
    </w:pPr>
    <w:rPr>
      <w:sz w:val="20"/>
      <w:szCs w:val="20"/>
      <w:lang w:eastAsia="zh-CN"/>
    </w:rPr>
  </w:style>
  <w:style w:type="character" w:customStyle="1" w:styleId="BodyTextIndentChar">
    <w:name w:val="Body Text Indent Char"/>
    <w:basedOn w:val="DefaultParagraphFont"/>
    <w:link w:val="BodyTextIndent"/>
    <w:uiPriority w:val="99"/>
    <w:rsid w:val="00E0752B"/>
    <w:rPr>
      <w:rFonts w:ascii="Times New Roman" w:eastAsia="Times New Roman" w:hAnsi="Times New Roman" w:cs="Times New Roman"/>
      <w:sz w:val="20"/>
      <w:szCs w:val="20"/>
      <w:lang w:eastAsia="zh-CN"/>
    </w:rPr>
  </w:style>
  <w:style w:type="table" w:styleId="TableGrid">
    <w:name w:val="Table Grid"/>
    <w:basedOn w:val="TableNormal"/>
    <w:uiPriority w:val="99"/>
    <w:rsid w:val="00E075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752B"/>
    <w:pPr>
      <w:ind w:left="720"/>
      <w:contextualSpacing/>
    </w:pPr>
  </w:style>
  <w:style w:type="paragraph" w:styleId="FootnoteText">
    <w:name w:val="footnote text"/>
    <w:basedOn w:val="Normal"/>
    <w:link w:val="FootnoteTextChar"/>
    <w:uiPriority w:val="99"/>
    <w:semiHidden/>
    <w:unhideWhenUsed/>
    <w:rsid w:val="00E0752B"/>
    <w:rPr>
      <w:sz w:val="20"/>
      <w:szCs w:val="20"/>
    </w:rPr>
  </w:style>
  <w:style w:type="character" w:customStyle="1" w:styleId="FootnoteTextChar">
    <w:name w:val="Footnote Text Char"/>
    <w:basedOn w:val="DefaultParagraphFont"/>
    <w:link w:val="FootnoteText"/>
    <w:uiPriority w:val="99"/>
    <w:semiHidden/>
    <w:rsid w:val="00E0752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0752B"/>
    <w:rPr>
      <w:vertAlign w:val="superscript"/>
    </w:rPr>
  </w:style>
  <w:style w:type="character" w:styleId="Hyperlink">
    <w:name w:val="Hyperlink"/>
    <w:basedOn w:val="DefaultParagraphFont"/>
    <w:uiPriority w:val="99"/>
    <w:unhideWhenUsed/>
    <w:rsid w:val="00E0752B"/>
    <w:rPr>
      <w:color w:val="0000FF" w:themeColor="hyperlink"/>
      <w:u w:val="single"/>
    </w:rPr>
  </w:style>
  <w:style w:type="character" w:styleId="CommentReference">
    <w:name w:val="annotation reference"/>
    <w:basedOn w:val="DefaultParagraphFont"/>
    <w:uiPriority w:val="99"/>
    <w:semiHidden/>
    <w:unhideWhenUsed/>
    <w:rsid w:val="00E0752B"/>
    <w:rPr>
      <w:sz w:val="16"/>
      <w:szCs w:val="16"/>
    </w:rPr>
  </w:style>
  <w:style w:type="paragraph" w:styleId="CommentText">
    <w:name w:val="annotation text"/>
    <w:basedOn w:val="Normal"/>
    <w:link w:val="CommentTextChar"/>
    <w:uiPriority w:val="99"/>
    <w:semiHidden/>
    <w:unhideWhenUsed/>
    <w:rsid w:val="00E0752B"/>
    <w:rPr>
      <w:sz w:val="20"/>
      <w:szCs w:val="20"/>
    </w:rPr>
  </w:style>
  <w:style w:type="character" w:customStyle="1" w:styleId="CommentTextChar">
    <w:name w:val="Comment Text Char"/>
    <w:basedOn w:val="DefaultParagraphFont"/>
    <w:link w:val="CommentText"/>
    <w:uiPriority w:val="99"/>
    <w:semiHidden/>
    <w:rsid w:val="00E075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752B"/>
    <w:rPr>
      <w:b/>
      <w:bCs/>
    </w:rPr>
  </w:style>
  <w:style w:type="character" w:customStyle="1" w:styleId="CommentSubjectChar">
    <w:name w:val="Comment Subject Char"/>
    <w:basedOn w:val="CommentTextChar"/>
    <w:link w:val="CommentSubject"/>
    <w:uiPriority w:val="99"/>
    <w:semiHidden/>
    <w:rsid w:val="00E0752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752B"/>
    <w:rPr>
      <w:rFonts w:ascii="Tahoma" w:hAnsi="Tahoma" w:cs="Tahoma"/>
      <w:sz w:val="16"/>
      <w:szCs w:val="16"/>
    </w:rPr>
  </w:style>
  <w:style w:type="character" w:customStyle="1" w:styleId="BalloonTextChar">
    <w:name w:val="Balloon Text Char"/>
    <w:basedOn w:val="DefaultParagraphFont"/>
    <w:link w:val="BalloonText"/>
    <w:uiPriority w:val="99"/>
    <w:semiHidden/>
    <w:rsid w:val="00E0752B"/>
    <w:rPr>
      <w:rFonts w:ascii="Tahoma" w:eastAsia="Times New Roman" w:hAnsi="Tahoma" w:cs="Tahoma"/>
      <w:sz w:val="16"/>
      <w:szCs w:val="16"/>
    </w:rPr>
  </w:style>
  <w:style w:type="paragraph" w:styleId="Footer">
    <w:name w:val="footer"/>
    <w:basedOn w:val="Normal"/>
    <w:link w:val="FooterChar"/>
    <w:uiPriority w:val="99"/>
    <w:unhideWhenUsed/>
    <w:rsid w:val="0061609E"/>
    <w:pPr>
      <w:tabs>
        <w:tab w:val="center" w:pos="4680"/>
        <w:tab w:val="right" w:pos="9360"/>
      </w:tabs>
    </w:pPr>
  </w:style>
  <w:style w:type="character" w:customStyle="1" w:styleId="FooterChar">
    <w:name w:val="Footer Char"/>
    <w:basedOn w:val="DefaultParagraphFont"/>
    <w:link w:val="Footer"/>
    <w:uiPriority w:val="99"/>
    <w:rsid w:val="0061609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81832">
      <w:bodyDiv w:val="1"/>
      <w:marLeft w:val="0"/>
      <w:marRight w:val="0"/>
      <w:marTop w:val="0"/>
      <w:marBottom w:val="0"/>
      <w:divBdr>
        <w:top w:val="none" w:sz="0" w:space="0" w:color="auto"/>
        <w:left w:val="none" w:sz="0" w:space="0" w:color="auto"/>
        <w:bottom w:val="none" w:sz="0" w:space="0" w:color="auto"/>
        <w:right w:val="none" w:sz="0" w:space="0" w:color="auto"/>
      </w:divBdr>
      <w:divsChild>
        <w:div w:id="731461534">
          <w:marLeft w:val="0"/>
          <w:marRight w:val="0"/>
          <w:marTop w:val="0"/>
          <w:marBottom w:val="0"/>
          <w:divBdr>
            <w:top w:val="none" w:sz="0" w:space="0" w:color="auto"/>
            <w:left w:val="none" w:sz="0" w:space="0" w:color="auto"/>
            <w:bottom w:val="none" w:sz="0" w:space="0" w:color="auto"/>
            <w:right w:val="none" w:sz="0" w:space="0" w:color="auto"/>
          </w:divBdr>
          <w:divsChild>
            <w:div w:id="1929776854">
              <w:marLeft w:val="0"/>
              <w:marRight w:val="0"/>
              <w:marTop w:val="0"/>
              <w:marBottom w:val="0"/>
              <w:divBdr>
                <w:top w:val="none" w:sz="0" w:space="0" w:color="auto"/>
                <w:left w:val="none" w:sz="0" w:space="0" w:color="auto"/>
                <w:bottom w:val="none" w:sz="0" w:space="0" w:color="auto"/>
                <w:right w:val="none" w:sz="0" w:space="0" w:color="auto"/>
              </w:divBdr>
              <w:divsChild>
                <w:div w:id="597372454">
                  <w:marLeft w:val="0"/>
                  <w:marRight w:val="0"/>
                  <w:marTop w:val="150"/>
                  <w:marBottom w:val="0"/>
                  <w:divBdr>
                    <w:top w:val="none" w:sz="0" w:space="0" w:color="auto"/>
                    <w:left w:val="none" w:sz="0" w:space="0" w:color="auto"/>
                    <w:bottom w:val="none" w:sz="0" w:space="0" w:color="auto"/>
                    <w:right w:val="none" w:sz="0" w:space="0" w:color="auto"/>
                  </w:divBdr>
                  <w:divsChild>
                    <w:div w:id="361058948">
                      <w:marLeft w:val="-150"/>
                      <w:marRight w:val="0"/>
                      <w:marTop w:val="0"/>
                      <w:marBottom w:val="0"/>
                      <w:divBdr>
                        <w:top w:val="none" w:sz="0" w:space="0" w:color="auto"/>
                        <w:left w:val="none" w:sz="0" w:space="0" w:color="auto"/>
                        <w:bottom w:val="none" w:sz="0" w:space="0" w:color="auto"/>
                        <w:right w:val="none" w:sz="0" w:space="0" w:color="auto"/>
                      </w:divBdr>
                      <w:divsChild>
                        <w:div w:id="585771812">
                          <w:marLeft w:val="0"/>
                          <w:marRight w:val="0"/>
                          <w:marTop w:val="0"/>
                          <w:marBottom w:val="0"/>
                          <w:divBdr>
                            <w:top w:val="none" w:sz="0" w:space="0" w:color="auto"/>
                            <w:left w:val="none" w:sz="0" w:space="0" w:color="auto"/>
                            <w:bottom w:val="none" w:sz="0" w:space="0" w:color="auto"/>
                            <w:right w:val="none" w:sz="0" w:space="0" w:color="auto"/>
                          </w:divBdr>
                          <w:divsChild>
                            <w:div w:id="928200849">
                              <w:marLeft w:val="0"/>
                              <w:marRight w:val="0"/>
                              <w:marTop w:val="0"/>
                              <w:marBottom w:val="0"/>
                              <w:divBdr>
                                <w:top w:val="none" w:sz="0" w:space="0" w:color="auto"/>
                                <w:left w:val="none" w:sz="0" w:space="0" w:color="auto"/>
                                <w:bottom w:val="none" w:sz="0" w:space="0" w:color="auto"/>
                                <w:right w:val="none" w:sz="0" w:space="0" w:color="auto"/>
                              </w:divBdr>
                              <w:divsChild>
                                <w:div w:id="1231498828">
                                  <w:marLeft w:val="0"/>
                                  <w:marRight w:val="0"/>
                                  <w:marTop w:val="0"/>
                                  <w:marBottom w:val="0"/>
                                  <w:divBdr>
                                    <w:top w:val="none" w:sz="0" w:space="0" w:color="auto"/>
                                    <w:left w:val="none" w:sz="0" w:space="0" w:color="auto"/>
                                    <w:bottom w:val="none" w:sz="0" w:space="0" w:color="auto"/>
                                    <w:right w:val="none" w:sz="0" w:space="0" w:color="auto"/>
                                  </w:divBdr>
                                  <w:divsChild>
                                    <w:div w:id="10676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actearl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dc:creator>
  <cp:lastModifiedBy>Grant, Dorthina G. (CDC/ONDIEH/NCBDDD)</cp:lastModifiedBy>
  <cp:revision>2</cp:revision>
  <dcterms:created xsi:type="dcterms:W3CDTF">2014-12-03T15:15:00Z</dcterms:created>
  <dcterms:modified xsi:type="dcterms:W3CDTF">2014-12-03T15:15:00Z</dcterms:modified>
</cp:coreProperties>
</file>