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49" w:rsidRDefault="004A7049">
      <w:pPr>
        <w:pStyle w:val="Title"/>
        <w:rPr>
          <w:u w:val="none"/>
        </w:rPr>
      </w:pPr>
      <w:r>
        <w:rPr>
          <w:u w:val="none"/>
        </w:rPr>
        <w:t>Adverse Experience Reporting for Licensed Biological Products;</w:t>
      </w:r>
    </w:p>
    <w:p w:rsidR="004A7049" w:rsidRDefault="004A7049">
      <w:pPr>
        <w:pStyle w:val="Title"/>
        <w:rPr>
          <w:u w:val="none"/>
        </w:rPr>
      </w:pPr>
      <w:r>
        <w:rPr>
          <w:u w:val="none"/>
        </w:rPr>
        <w:t xml:space="preserve"> and General Records </w:t>
      </w:r>
    </w:p>
    <w:p w:rsidR="004A7049" w:rsidRDefault="004A7049">
      <w:pPr>
        <w:pStyle w:val="Title"/>
        <w:rPr>
          <w:u w:val="none"/>
        </w:rPr>
      </w:pPr>
    </w:p>
    <w:p w:rsidR="004A7049" w:rsidRPr="00A27A5B" w:rsidRDefault="004A7049" w:rsidP="00700957">
      <w:pPr>
        <w:jc w:val="center"/>
        <w:rPr>
          <w:sz w:val="24"/>
        </w:rPr>
      </w:pPr>
      <w:r w:rsidRPr="00A27A5B">
        <w:rPr>
          <w:sz w:val="24"/>
        </w:rPr>
        <w:t>0910-0308</w:t>
      </w:r>
    </w:p>
    <w:p w:rsidR="004A7049" w:rsidRDefault="004A7049">
      <w:pPr>
        <w:pStyle w:val="Title"/>
        <w:rPr>
          <w:u w:val="none"/>
        </w:rPr>
      </w:pPr>
    </w:p>
    <w:p w:rsidR="004A7049" w:rsidRDefault="004A7049">
      <w:pPr>
        <w:pStyle w:val="Heading2"/>
        <w:rPr>
          <w:u w:val="none"/>
        </w:rPr>
      </w:pPr>
      <w:r w:rsidRPr="00A27A5B">
        <w:rPr>
          <w:u w:val="none"/>
        </w:rPr>
        <w:t>SUPPORTING STATEMENT</w:t>
      </w:r>
    </w:p>
    <w:p w:rsidR="00E4056B" w:rsidRPr="00E4056B" w:rsidRDefault="00E4056B" w:rsidP="00E4056B">
      <w:pPr>
        <w:rPr>
          <w:sz w:val="24"/>
          <w:szCs w:val="24"/>
        </w:rPr>
      </w:pPr>
    </w:p>
    <w:p w:rsidR="00E4056B" w:rsidRPr="00E4056B" w:rsidRDefault="00E4056B" w:rsidP="00E4056B">
      <w:r w:rsidRPr="00E4056B">
        <w:rPr>
          <w:b/>
          <w:sz w:val="24"/>
          <w:szCs w:val="24"/>
        </w:rPr>
        <w:t>Terms of Clearance</w:t>
      </w:r>
      <w:r w:rsidRPr="00E4056B">
        <w:rPr>
          <w:sz w:val="24"/>
          <w:szCs w:val="24"/>
        </w:rPr>
        <w:t>:  None</w:t>
      </w:r>
      <w:r>
        <w:t>.</w:t>
      </w:r>
    </w:p>
    <w:p w:rsidR="004A7049" w:rsidRDefault="004A7049" w:rsidP="00700957">
      <w:pPr>
        <w:rPr>
          <w:sz w:val="24"/>
        </w:rPr>
      </w:pPr>
    </w:p>
    <w:p w:rsidR="004A7049" w:rsidRDefault="004A7049">
      <w:pPr>
        <w:jc w:val="center"/>
        <w:rPr>
          <w:sz w:val="24"/>
        </w:rPr>
      </w:pPr>
    </w:p>
    <w:p w:rsidR="004A7049" w:rsidRPr="00700957" w:rsidRDefault="004A7049" w:rsidP="00E4056B">
      <w:pPr>
        <w:numPr>
          <w:ilvl w:val="0"/>
          <w:numId w:val="1"/>
        </w:numPr>
        <w:rPr>
          <w:sz w:val="24"/>
        </w:rPr>
      </w:pPr>
      <w:r>
        <w:rPr>
          <w:b/>
          <w:sz w:val="24"/>
        </w:rPr>
        <w:t>Justification</w:t>
      </w:r>
    </w:p>
    <w:p w:rsidR="004A7049" w:rsidRDefault="00E4056B">
      <w:pPr>
        <w:rPr>
          <w:sz w:val="24"/>
        </w:rPr>
      </w:pPr>
      <w:r>
        <w:rPr>
          <w:sz w:val="24"/>
        </w:rPr>
        <w:t xml:space="preserve"> </w:t>
      </w:r>
    </w:p>
    <w:p w:rsidR="004A7049" w:rsidRPr="00700957" w:rsidRDefault="004A7049">
      <w:pPr>
        <w:rPr>
          <w:sz w:val="24"/>
        </w:rPr>
      </w:pPr>
      <w:r w:rsidRPr="00700957">
        <w:rPr>
          <w:sz w:val="24"/>
        </w:rPr>
        <w:t xml:space="preserve">1.  </w:t>
      </w:r>
      <w:r w:rsidRPr="00700957">
        <w:rPr>
          <w:sz w:val="24"/>
          <w:u w:val="single"/>
        </w:rPr>
        <w:t>Circumstances Making</w:t>
      </w:r>
      <w:r>
        <w:rPr>
          <w:sz w:val="24"/>
          <w:u w:val="single"/>
        </w:rPr>
        <w:t xml:space="preserve"> the Collection of Information</w:t>
      </w:r>
      <w:r w:rsidRPr="00700957">
        <w:rPr>
          <w:sz w:val="24"/>
          <w:u w:val="single"/>
        </w:rPr>
        <w:t xml:space="preserve"> Necessary</w:t>
      </w:r>
    </w:p>
    <w:p w:rsidR="004A7049" w:rsidRDefault="004A7049">
      <w:pPr>
        <w:rPr>
          <w:sz w:val="24"/>
        </w:rPr>
      </w:pPr>
    </w:p>
    <w:p w:rsidR="004A7049" w:rsidRDefault="004A7049">
      <w:pPr>
        <w:rPr>
          <w:sz w:val="24"/>
        </w:rPr>
      </w:pPr>
      <w:r>
        <w:rPr>
          <w:sz w:val="24"/>
        </w:rPr>
        <w:t>The Food and Drug Administration (FDA) is requesting an extension of Office of Management and Budget (OMB) Control No. 0910-0308 and OMB approval of the information collection requirements listed below:</w:t>
      </w:r>
    </w:p>
    <w:p w:rsidR="004A7049" w:rsidRDefault="004A7049">
      <w:pPr>
        <w:rPr>
          <w:sz w:val="24"/>
        </w:rPr>
      </w:pPr>
    </w:p>
    <w:tbl>
      <w:tblPr>
        <w:tblW w:w="0" w:type="auto"/>
        <w:tblInd w:w="100" w:type="dxa"/>
        <w:tblLayout w:type="fixed"/>
        <w:tblCellMar>
          <w:left w:w="100" w:type="dxa"/>
          <w:right w:w="100" w:type="dxa"/>
        </w:tblCellMar>
        <w:tblLook w:val="0000" w:firstRow="0" w:lastRow="0" w:firstColumn="0" w:lastColumn="0" w:noHBand="0" w:noVBand="0"/>
      </w:tblPr>
      <w:tblGrid>
        <w:gridCol w:w="2520"/>
        <w:gridCol w:w="1710"/>
        <w:gridCol w:w="5130"/>
      </w:tblGrid>
      <w:tr w:rsidR="004A7049">
        <w:trPr>
          <w:cantSplit/>
          <w:trHeight w:val="403"/>
        </w:trPr>
        <w:tc>
          <w:tcPr>
            <w:tcW w:w="2520" w:type="dxa"/>
            <w:tcBorders>
              <w:top w:val="single" w:sz="6" w:space="0" w:color="auto"/>
              <w:left w:val="single" w:sz="6" w:space="0" w:color="auto"/>
            </w:tcBorders>
          </w:tcPr>
          <w:p w:rsidR="004A7049" w:rsidRDefault="004A7049">
            <w:pPr>
              <w:rPr>
                <w:sz w:val="24"/>
              </w:rPr>
            </w:pPr>
            <w:r>
              <w:rPr>
                <w:sz w:val="24"/>
              </w:rPr>
              <w:t>21 CFR 600.80(c)(1)</w:t>
            </w:r>
          </w:p>
        </w:tc>
        <w:tc>
          <w:tcPr>
            <w:tcW w:w="1710" w:type="dxa"/>
            <w:tcBorders>
              <w:top w:val="single" w:sz="6" w:space="0" w:color="auto"/>
              <w:left w:val="single" w:sz="6" w:space="0" w:color="auto"/>
            </w:tcBorders>
          </w:tcPr>
          <w:p w:rsidR="004A7049" w:rsidRDefault="004A7049">
            <w:pPr>
              <w:rPr>
                <w:sz w:val="24"/>
              </w:rPr>
            </w:pPr>
            <w:r>
              <w:rPr>
                <w:sz w:val="24"/>
              </w:rPr>
              <w:t>Reporting</w:t>
            </w:r>
          </w:p>
        </w:tc>
        <w:tc>
          <w:tcPr>
            <w:tcW w:w="5130" w:type="dxa"/>
            <w:tcBorders>
              <w:top w:val="single" w:sz="6" w:space="0" w:color="auto"/>
              <w:left w:val="single" w:sz="6" w:space="0" w:color="auto"/>
              <w:right w:val="single" w:sz="6" w:space="0" w:color="auto"/>
            </w:tcBorders>
          </w:tcPr>
          <w:p w:rsidR="004A7049" w:rsidRDefault="004A7049" w:rsidP="002E53E0">
            <w:pPr>
              <w:rPr>
                <w:sz w:val="24"/>
              </w:rPr>
            </w:pPr>
            <w:r>
              <w:rPr>
                <w:sz w:val="24"/>
              </w:rPr>
              <w:t>Requires licensed manufacturers or any person whose name appears on the label of a licensed biological product to report each adverse experience that is both serious and unexpected, whether foreign or domestic, as soon as possible but in no case later than 15 calendar days of initial receipt of the information by the licensed manufacturer (postmarketing 15-day Alert reports).  A</w:t>
            </w:r>
            <w:r w:rsidRPr="00D54C72">
              <w:rPr>
                <w:color w:val="000000"/>
                <w:sz w:val="24"/>
                <w:szCs w:val="24"/>
              </w:rPr>
              <w:t>lso requires licensed manufacturers to submit any follow</w:t>
            </w:r>
            <w:r>
              <w:rPr>
                <w:color w:val="000000"/>
                <w:sz w:val="24"/>
                <w:szCs w:val="24"/>
              </w:rPr>
              <w:t>-</w:t>
            </w:r>
            <w:r w:rsidRPr="00D54C72">
              <w:rPr>
                <w:color w:val="000000"/>
                <w:sz w:val="24"/>
                <w:szCs w:val="24"/>
              </w:rPr>
              <w:t>up reports within 15 calendar days of receipt of new information or as requested by FDA, and if additional information is not obtainable to maintain records of the unsuccessful steps taken to seek additional information.  In addition, requires a person who submits an adverse action report to the licensed manufacturer</w:t>
            </w:r>
            <w:r>
              <w:rPr>
                <w:color w:val="000000"/>
                <w:sz w:val="24"/>
                <w:szCs w:val="24"/>
              </w:rPr>
              <w:t>,</w:t>
            </w:r>
            <w:r w:rsidRPr="00D54C72">
              <w:rPr>
                <w:color w:val="000000"/>
                <w:sz w:val="24"/>
                <w:szCs w:val="24"/>
              </w:rPr>
              <w:t xml:space="preserve"> rather than FDA</w:t>
            </w:r>
            <w:r>
              <w:rPr>
                <w:color w:val="000000"/>
                <w:sz w:val="24"/>
                <w:szCs w:val="24"/>
              </w:rPr>
              <w:t>,</w:t>
            </w:r>
            <w:r w:rsidRPr="00D54C72">
              <w:rPr>
                <w:color w:val="000000"/>
                <w:sz w:val="24"/>
                <w:szCs w:val="24"/>
              </w:rPr>
              <w:t xml:space="preserve"> to maintain a record of this action.</w:t>
            </w:r>
          </w:p>
        </w:tc>
      </w:tr>
      <w:tr w:rsidR="004A7049">
        <w:trPr>
          <w:cantSplit/>
          <w:trHeight w:val="403"/>
        </w:trPr>
        <w:tc>
          <w:tcPr>
            <w:tcW w:w="2520" w:type="dxa"/>
            <w:tcBorders>
              <w:top w:val="single" w:sz="6" w:space="0" w:color="auto"/>
              <w:left w:val="single" w:sz="6" w:space="0" w:color="auto"/>
            </w:tcBorders>
          </w:tcPr>
          <w:p w:rsidR="004A7049" w:rsidRDefault="004A7049">
            <w:pPr>
              <w:rPr>
                <w:sz w:val="24"/>
              </w:rPr>
            </w:pPr>
            <w:r>
              <w:rPr>
                <w:sz w:val="24"/>
              </w:rPr>
              <w:t>21 CFR 600.80(c)(2)</w:t>
            </w:r>
          </w:p>
        </w:tc>
        <w:tc>
          <w:tcPr>
            <w:tcW w:w="1710" w:type="dxa"/>
            <w:tcBorders>
              <w:top w:val="single" w:sz="6" w:space="0" w:color="auto"/>
              <w:left w:val="single" w:sz="6" w:space="0" w:color="auto"/>
            </w:tcBorders>
          </w:tcPr>
          <w:p w:rsidR="004A7049" w:rsidRDefault="004A7049">
            <w:pPr>
              <w:rPr>
                <w:sz w:val="24"/>
              </w:rPr>
            </w:pPr>
            <w:r>
              <w:rPr>
                <w:sz w:val="24"/>
              </w:rPr>
              <w:t>Reporting</w:t>
            </w:r>
          </w:p>
        </w:tc>
        <w:tc>
          <w:tcPr>
            <w:tcW w:w="5130" w:type="dxa"/>
            <w:tcBorders>
              <w:top w:val="single" w:sz="6" w:space="0" w:color="auto"/>
              <w:left w:val="single" w:sz="6" w:space="0" w:color="auto"/>
              <w:right w:val="single" w:sz="6" w:space="0" w:color="auto"/>
            </w:tcBorders>
          </w:tcPr>
          <w:p w:rsidR="004A7049" w:rsidRDefault="004A7049">
            <w:pPr>
              <w:rPr>
                <w:sz w:val="24"/>
              </w:rPr>
            </w:pPr>
            <w:r>
              <w:rPr>
                <w:sz w:val="24"/>
              </w:rPr>
              <w:t>Requires licensed manufacturers to report each adverse experience not reported in a postmarketing 15-day Alert report (21 CFR</w:t>
            </w:r>
            <w:r>
              <w:rPr>
                <w:color w:val="000000"/>
                <w:sz w:val="24"/>
                <w:szCs w:val="24"/>
              </w:rPr>
              <w:t xml:space="preserve"> </w:t>
            </w:r>
            <w:r>
              <w:rPr>
                <w:sz w:val="24"/>
              </w:rPr>
              <w:t xml:space="preserve">600.80(c)(1)(i)) at quarterly intervals, for 3 years from the date of issuance of the biologics license, and then at annual intervals.  </w:t>
            </w:r>
          </w:p>
        </w:tc>
      </w:tr>
      <w:tr w:rsidR="004A7049">
        <w:trPr>
          <w:cantSplit/>
          <w:trHeight w:val="403"/>
        </w:trPr>
        <w:tc>
          <w:tcPr>
            <w:tcW w:w="2520" w:type="dxa"/>
            <w:tcBorders>
              <w:top w:val="single" w:sz="6" w:space="0" w:color="auto"/>
              <w:left w:val="single" w:sz="6" w:space="0" w:color="auto"/>
            </w:tcBorders>
          </w:tcPr>
          <w:p w:rsidR="004A7049" w:rsidRDefault="004A7049">
            <w:pPr>
              <w:rPr>
                <w:sz w:val="24"/>
              </w:rPr>
            </w:pPr>
            <w:r>
              <w:rPr>
                <w:sz w:val="24"/>
              </w:rPr>
              <w:t>21 CFR 600.80(e)</w:t>
            </w:r>
          </w:p>
        </w:tc>
        <w:tc>
          <w:tcPr>
            <w:tcW w:w="1710" w:type="dxa"/>
            <w:tcBorders>
              <w:top w:val="single" w:sz="6" w:space="0" w:color="auto"/>
              <w:left w:val="single" w:sz="6" w:space="0" w:color="auto"/>
            </w:tcBorders>
          </w:tcPr>
          <w:p w:rsidR="004A7049" w:rsidRDefault="004A7049">
            <w:pPr>
              <w:rPr>
                <w:sz w:val="24"/>
              </w:rPr>
            </w:pPr>
            <w:r>
              <w:rPr>
                <w:sz w:val="24"/>
              </w:rPr>
              <w:t>Reporting</w:t>
            </w:r>
          </w:p>
        </w:tc>
        <w:tc>
          <w:tcPr>
            <w:tcW w:w="5130" w:type="dxa"/>
            <w:tcBorders>
              <w:top w:val="single" w:sz="6" w:space="0" w:color="auto"/>
              <w:left w:val="single" w:sz="6" w:space="0" w:color="auto"/>
              <w:right w:val="single" w:sz="6" w:space="0" w:color="auto"/>
            </w:tcBorders>
          </w:tcPr>
          <w:p w:rsidR="004A7049" w:rsidRDefault="004A7049">
            <w:pPr>
              <w:rPr>
                <w:sz w:val="24"/>
              </w:rPr>
            </w:pPr>
            <w:r>
              <w:rPr>
                <w:sz w:val="24"/>
              </w:rPr>
              <w:t xml:space="preserve">Requires licensed manufacturers to submit a 15-day Alert report for an adverse experience obtained from a postmarketing clinical study only if </w:t>
            </w:r>
            <w:r w:rsidRPr="00D54C72">
              <w:rPr>
                <w:color w:val="000000"/>
                <w:sz w:val="24"/>
                <w:szCs w:val="24"/>
              </w:rPr>
              <w:t>the licensed manufacturer concludes that</w:t>
            </w:r>
            <w:r w:rsidRPr="00D54C72">
              <w:rPr>
                <w:sz w:val="24"/>
                <w:szCs w:val="24"/>
              </w:rPr>
              <w:t xml:space="preserve"> </w:t>
            </w:r>
            <w:r>
              <w:rPr>
                <w:sz w:val="24"/>
              </w:rPr>
              <w:t xml:space="preserve">there is a reasonable possibility that the product caused the adverse experience.  </w:t>
            </w:r>
          </w:p>
        </w:tc>
      </w:tr>
      <w:tr w:rsidR="004A7049">
        <w:trPr>
          <w:cantSplit/>
          <w:trHeight w:val="403"/>
        </w:trPr>
        <w:tc>
          <w:tcPr>
            <w:tcW w:w="2520" w:type="dxa"/>
            <w:tcBorders>
              <w:top w:val="single" w:sz="6" w:space="0" w:color="auto"/>
              <w:left w:val="single" w:sz="6" w:space="0" w:color="auto"/>
            </w:tcBorders>
          </w:tcPr>
          <w:p w:rsidR="004A7049" w:rsidRDefault="004A7049">
            <w:pPr>
              <w:rPr>
                <w:sz w:val="24"/>
              </w:rPr>
            </w:pPr>
            <w:r>
              <w:rPr>
                <w:sz w:val="24"/>
              </w:rPr>
              <w:lastRenderedPageBreak/>
              <w:t>21 CFR 600.81</w:t>
            </w:r>
          </w:p>
        </w:tc>
        <w:tc>
          <w:tcPr>
            <w:tcW w:w="1710" w:type="dxa"/>
            <w:tcBorders>
              <w:top w:val="single" w:sz="6" w:space="0" w:color="auto"/>
              <w:left w:val="single" w:sz="6" w:space="0" w:color="auto"/>
            </w:tcBorders>
          </w:tcPr>
          <w:p w:rsidR="004A7049" w:rsidRDefault="004A7049">
            <w:pPr>
              <w:pStyle w:val="Heading1"/>
            </w:pPr>
            <w:r>
              <w:t>Reporting</w:t>
            </w:r>
          </w:p>
        </w:tc>
        <w:tc>
          <w:tcPr>
            <w:tcW w:w="5130" w:type="dxa"/>
            <w:tcBorders>
              <w:top w:val="single" w:sz="6" w:space="0" w:color="auto"/>
              <w:left w:val="single" w:sz="6" w:space="0" w:color="auto"/>
              <w:right w:val="single" w:sz="6" w:space="0" w:color="auto"/>
            </w:tcBorders>
          </w:tcPr>
          <w:p w:rsidR="004A7049" w:rsidRDefault="004A7049">
            <w:pPr>
              <w:rPr>
                <w:sz w:val="24"/>
              </w:rPr>
            </w:pPr>
            <w:r>
              <w:rPr>
                <w:sz w:val="24"/>
              </w:rPr>
              <w:t>Requires licensed manufacturers to submit, at an interval of every 6 months, information about the quantity of the product distributed under the biologics license, including the quantity distributed to distributors.</w:t>
            </w:r>
          </w:p>
        </w:tc>
      </w:tr>
      <w:tr w:rsidR="004A7049">
        <w:trPr>
          <w:cantSplit/>
          <w:trHeight w:val="403"/>
        </w:trPr>
        <w:tc>
          <w:tcPr>
            <w:tcW w:w="2520" w:type="dxa"/>
            <w:tcBorders>
              <w:top w:val="single" w:sz="6" w:space="0" w:color="auto"/>
              <w:left w:val="single" w:sz="6" w:space="0" w:color="auto"/>
              <w:bottom w:val="single" w:sz="4" w:space="0" w:color="auto"/>
            </w:tcBorders>
          </w:tcPr>
          <w:p w:rsidR="004A7049" w:rsidRDefault="004A7049">
            <w:pPr>
              <w:rPr>
                <w:sz w:val="24"/>
              </w:rPr>
            </w:pPr>
            <w:r>
              <w:rPr>
                <w:sz w:val="24"/>
              </w:rPr>
              <w:t>21 CFR 600.90</w:t>
            </w:r>
          </w:p>
        </w:tc>
        <w:tc>
          <w:tcPr>
            <w:tcW w:w="1710" w:type="dxa"/>
            <w:tcBorders>
              <w:top w:val="single" w:sz="6" w:space="0" w:color="auto"/>
              <w:left w:val="single" w:sz="6" w:space="0" w:color="auto"/>
              <w:bottom w:val="single" w:sz="4" w:space="0" w:color="auto"/>
            </w:tcBorders>
          </w:tcPr>
          <w:p w:rsidR="004A7049" w:rsidRDefault="004A7049">
            <w:pPr>
              <w:rPr>
                <w:sz w:val="24"/>
              </w:rPr>
            </w:pPr>
            <w:r>
              <w:rPr>
                <w:sz w:val="24"/>
              </w:rPr>
              <w:t>Reporting</w:t>
            </w:r>
          </w:p>
        </w:tc>
        <w:tc>
          <w:tcPr>
            <w:tcW w:w="5130" w:type="dxa"/>
            <w:tcBorders>
              <w:top w:val="single" w:sz="6" w:space="0" w:color="auto"/>
              <w:left w:val="single" w:sz="6" w:space="0" w:color="auto"/>
              <w:bottom w:val="single" w:sz="4" w:space="0" w:color="auto"/>
              <w:right w:val="single" w:sz="6" w:space="0" w:color="auto"/>
            </w:tcBorders>
          </w:tcPr>
          <w:p w:rsidR="004A7049" w:rsidRDefault="004A7049">
            <w:pPr>
              <w:rPr>
                <w:sz w:val="24"/>
              </w:rPr>
            </w:pPr>
            <w:r>
              <w:rPr>
                <w:sz w:val="24"/>
              </w:rPr>
              <w:t xml:space="preserve">Licensed manufacturers may submit a waiver request for any requirement that applies to the licensed manufacturer under §§ 600.80 and 600.81.  A waiver request must include supporting documentation.  </w:t>
            </w:r>
          </w:p>
        </w:tc>
      </w:tr>
      <w:tr w:rsidR="004A7049">
        <w:trPr>
          <w:cantSplit/>
          <w:trHeight w:val="403"/>
        </w:trPr>
        <w:tc>
          <w:tcPr>
            <w:tcW w:w="2520" w:type="dxa"/>
            <w:tcBorders>
              <w:top w:val="single" w:sz="4" w:space="0" w:color="auto"/>
              <w:left w:val="single" w:sz="6" w:space="0" w:color="auto"/>
              <w:bottom w:val="single" w:sz="6" w:space="0" w:color="auto"/>
            </w:tcBorders>
          </w:tcPr>
          <w:p w:rsidR="004A7049" w:rsidRDefault="004A7049">
            <w:pPr>
              <w:rPr>
                <w:sz w:val="24"/>
              </w:rPr>
            </w:pPr>
            <w:r>
              <w:rPr>
                <w:sz w:val="24"/>
              </w:rPr>
              <w:t>21 CFR 600.12(a), (b)(1), (c), (d) &amp; (e)</w:t>
            </w:r>
          </w:p>
        </w:tc>
        <w:tc>
          <w:tcPr>
            <w:tcW w:w="1710" w:type="dxa"/>
            <w:tcBorders>
              <w:top w:val="single" w:sz="4" w:space="0" w:color="auto"/>
              <w:left w:val="single" w:sz="6" w:space="0" w:color="auto"/>
              <w:bottom w:val="single" w:sz="6" w:space="0" w:color="auto"/>
            </w:tcBorders>
          </w:tcPr>
          <w:p w:rsidR="004A7049" w:rsidRDefault="004A7049">
            <w:pPr>
              <w:rPr>
                <w:sz w:val="24"/>
              </w:rPr>
            </w:pPr>
            <w:r>
              <w:rPr>
                <w:sz w:val="24"/>
              </w:rPr>
              <w:t>Recordkeeping</w:t>
            </w:r>
          </w:p>
        </w:tc>
        <w:tc>
          <w:tcPr>
            <w:tcW w:w="5130" w:type="dxa"/>
            <w:tcBorders>
              <w:top w:val="single" w:sz="4" w:space="0" w:color="auto"/>
              <w:left w:val="single" w:sz="6" w:space="0" w:color="auto"/>
              <w:bottom w:val="single" w:sz="6" w:space="0" w:color="auto"/>
              <w:right w:val="single" w:sz="6" w:space="0" w:color="auto"/>
            </w:tcBorders>
          </w:tcPr>
          <w:p w:rsidR="004A7049" w:rsidRDefault="004A7049">
            <w:pPr>
              <w:rPr>
                <w:sz w:val="24"/>
              </w:rPr>
            </w:pPr>
            <w:r>
              <w:rPr>
                <w:sz w:val="24"/>
              </w:rPr>
              <w:t xml:space="preserve">Requires, among other things, </w:t>
            </w:r>
            <w:r w:rsidRPr="00FE4CD4">
              <w:rPr>
                <w:color w:val="000000"/>
                <w:sz w:val="24"/>
                <w:szCs w:val="24"/>
              </w:rPr>
              <w:t>that records must be made</w:t>
            </w:r>
            <w:r>
              <w:rPr>
                <w:color w:val="000000"/>
                <w:sz w:val="24"/>
                <w:szCs w:val="24"/>
              </w:rPr>
              <w:t xml:space="preserve"> </w:t>
            </w:r>
            <w:r>
              <w:rPr>
                <w:sz w:val="24"/>
              </w:rPr>
              <w:t xml:space="preserve">concurrently with the performance of each step in the manufacture and distribution of a product and be retained for no less that 5 years after the records of manufacture have been completed or 6 months after the latest expiration date for the individual products, whichever represents a later date.  </w:t>
            </w:r>
            <w:r w:rsidRPr="00583839">
              <w:rPr>
                <w:color w:val="000000"/>
                <w:sz w:val="24"/>
                <w:szCs w:val="24"/>
              </w:rPr>
              <w:t>In addition, manufacturers must maintain records relating to the sterilization of equipment and supplies, animal necropsy records, and records in cases of divided manufacturing responsibility with respect to a product.</w:t>
            </w:r>
            <w:r>
              <w:rPr>
                <w:color w:val="000000"/>
              </w:rPr>
              <w:t xml:space="preserve">  </w:t>
            </w:r>
          </w:p>
        </w:tc>
      </w:tr>
      <w:tr w:rsidR="004A7049">
        <w:trPr>
          <w:cantSplit/>
          <w:trHeight w:val="403"/>
        </w:trPr>
        <w:tc>
          <w:tcPr>
            <w:tcW w:w="2520" w:type="dxa"/>
            <w:tcBorders>
              <w:top w:val="single" w:sz="6" w:space="0" w:color="auto"/>
              <w:left w:val="single" w:sz="6" w:space="0" w:color="auto"/>
              <w:bottom w:val="single" w:sz="6" w:space="0" w:color="auto"/>
            </w:tcBorders>
          </w:tcPr>
          <w:p w:rsidR="004A7049" w:rsidRDefault="004A7049">
            <w:pPr>
              <w:rPr>
                <w:sz w:val="24"/>
              </w:rPr>
            </w:pPr>
            <w:r>
              <w:rPr>
                <w:sz w:val="24"/>
              </w:rPr>
              <w:t>21 CFR 600.12(b)(2)</w:t>
            </w:r>
          </w:p>
        </w:tc>
        <w:tc>
          <w:tcPr>
            <w:tcW w:w="1710" w:type="dxa"/>
            <w:tcBorders>
              <w:top w:val="single" w:sz="6" w:space="0" w:color="auto"/>
              <w:left w:val="single" w:sz="6" w:space="0" w:color="auto"/>
              <w:bottom w:val="single" w:sz="6" w:space="0" w:color="auto"/>
            </w:tcBorders>
          </w:tcPr>
          <w:p w:rsidR="004A7049" w:rsidRDefault="004A7049">
            <w:pPr>
              <w:rPr>
                <w:sz w:val="24"/>
              </w:rPr>
            </w:pPr>
            <w:r>
              <w:rPr>
                <w:sz w:val="24"/>
              </w:rPr>
              <w:t>Recordkeeping</w:t>
            </w:r>
          </w:p>
        </w:tc>
        <w:tc>
          <w:tcPr>
            <w:tcW w:w="5130" w:type="dxa"/>
            <w:tcBorders>
              <w:top w:val="single" w:sz="6" w:space="0" w:color="auto"/>
              <w:left w:val="single" w:sz="6" w:space="0" w:color="auto"/>
              <w:bottom w:val="single" w:sz="6" w:space="0" w:color="auto"/>
              <w:right w:val="single" w:sz="6" w:space="0" w:color="auto"/>
            </w:tcBorders>
          </w:tcPr>
          <w:p w:rsidR="004A7049" w:rsidRDefault="004A7049">
            <w:pPr>
              <w:rPr>
                <w:sz w:val="24"/>
              </w:rPr>
            </w:pPr>
            <w:r>
              <w:rPr>
                <w:sz w:val="24"/>
              </w:rPr>
              <w:t>Requires manufacturers to maintain complete records pertaining to the recall from distribution of any product.</w:t>
            </w:r>
          </w:p>
        </w:tc>
      </w:tr>
      <w:tr w:rsidR="004A7049">
        <w:trPr>
          <w:cantSplit/>
          <w:trHeight w:val="403"/>
        </w:trPr>
        <w:tc>
          <w:tcPr>
            <w:tcW w:w="2520" w:type="dxa"/>
            <w:tcBorders>
              <w:top w:val="single" w:sz="6" w:space="0" w:color="auto"/>
              <w:left w:val="single" w:sz="6" w:space="0" w:color="auto"/>
              <w:bottom w:val="single" w:sz="6" w:space="0" w:color="auto"/>
            </w:tcBorders>
          </w:tcPr>
          <w:p w:rsidR="004A7049" w:rsidRDefault="004A7049">
            <w:pPr>
              <w:rPr>
                <w:sz w:val="24"/>
              </w:rPr>
            </w:pPr>
            <w:r>
              <w:rPr>
                <w:sz w:val="24"/>
              </w:rPr>
              <w:t>21 CFR 600.80(i)</w:t>
            </w:r>
          </w:p>
        </w:tc>
        <w:tc>
          <w:tcPr>
            <w:tcW w:w="1710" w:type="dxa"/>
            <w:tcBorders>
              <w:top w:val="single" w:sz="6" w:space="0" w:color="auto"/>
              <w:left w:val="single" w:sz="6" w:space="0" w:color="auto"/>
              <w:bottom w:val="single" w:sz="6" w:space="0" w:color="auto"/>
            </w:tcBorders>
          </w:tcPr>
          <w:p w:rsidR="004A7049" w:rsidRDefault="004A7049">
            <w:pPr>
              <w:rPr>
                <w:sz w:val="24"/>
              </w:rPr>
            </w:pPr>
            <w:r>
              <w:rPr>
                <w:sz w:val="24"/>
              </w:rPr>
              <w:t>Recordkeeping</w:t>
            </w:r>
          </w:p>
        </w:tc>
        <w:tc>
          <w:tcPr>
            <w:tcW w:w="5130" w:type="dxa"/>
            <w:tcBorders>
              <w:top w:val="single" w:sz="6" w:space="0" w:color="auto"/>
              <w:left w:val="single" w:sz="6" w:space="0" w:color="auto"/>
              <w:bottom w:val="single" w:sz="6" w:space="0" w:color="auto"/>
              <w:right w:val="single" w:sz="6" w:space="0" w:color="auto"/>
            </w:tcBorders>
          </w:tcPr>
          <w:p w:rsidR="004A7049" w:rsidRDefault="004A7049">
            <w:pPr>
              <w:rPr>
                <w:sz w:val="24"/>
              </w:rPr>
            </w:pPr>
            <w:r>
              <w:rPr>
                <w:sz w:val="24"/>
              </w:rPr>
              <w:t>Requires licensed manufacturers to maintain for a period of 10 years records of all adverse experiences known to the licensed manufacturer, including raw data and any correspondence relating to the adverse experiences.</w:t>
            </w:r>
          </w:p>
        </w:tc>
      </w:tr>
      <w:tr w:rsidR="004A7049">
        <w:trPr>
          <w:cantSplit/>
          <w:trHeight w:val="403"/>
        </w:trPr>
        <w:tc>
          <w:tcPr>
            <w:tcW w:w="2520" w:type="dxa"/>
            <w:tcBorders>
              <w:top w:val="single" w:sz="6" w:space="0" w:color="auto"/>
              <w:left w:val="single" w:sz="6" w:space="0" w:color="auto"/>
              <w:bottom w:val="single" w:sz="6" w:space="0" w:color="auto"/>
            </w:tcBorders>
          </w:tcPr>
          <w:p w:rsidR="004A7049" w:rsidRDefault="004A7049">
            <w:pPr>
              <w:rPr>
                <w:sz w:val="24"/>
              </w:rPr>
            </w:pPr>
            <w:r>
              <w:rPr>
                <w:sz w:val="24"/>
              </w:rPr>
              <w:t>21 CFR 610.18(b)</w:t>
            </w:r>
          </w:p>
        </w:tc>
        <w:tc>
          <w:tcPr>
            <w:tcW w:w="1710" w:type="dxa"/>
            <w:tcBorders>
              <w:top w:val="single" w:sz="6" w:space="0" w:color="auto"/>
              <w:left w:val="single" w:sz="6" w:space="0" w:color="auto"/>
              <w:bottom w:val="single" w:sz="6" w:space="0" w:color="auto"/>
            </w:tcBorders>
          </w:tcPr>
          <w:p w:rsidR="004A7049" w:rsidRDefault="004A7049">
            <w:pPr>
              <w:rPr>
                <w:sz w:val="24"/>
              </w:rPr>
            </w:pPr>
            <w:r>
              <w:rPr>
                <w:sz w:val="24"/>
              </w:rPr>
              <w:t>Recordkeeping</w:t>
            </w:r>
          </w:p>
        </w:tc>
        <w:tc>
          <w:tcPr>
            <w:tcW w:w="5130" w:type="dxa"/>
            <w:tcBorders>
              <w:top w:val="single" w:sz="6" w:space="0" w:color="auto"/>
              <w:left w:val="single" w:sz="6" w:space="0" w:color="auto"/>
              <w:bottom w:val="single" w:sz="6" w:space="0" w:color="auto"/>
              <w:right w:val="single" w:sz="6" w:space="0" w:color="auto"/>
            </w:tcBorders>
          </w:tcPr>
          <w:p w:rsidR="004A7049" w:rsidRPr="00F11FE3" w:rsidRDefault="004A7049">
            <w:pPr>
              <w:rPr>
                <w:sz w:val="24"/>
                <w:szCs w:val="24"/>
              </w:rPr>
            </w:pPr>
            <w:r w:rsidRPr="00694309">
              <w:rPr>
                <w:color w:val="000000"/>
                <w:sz w:val="24"/>
                <w:szCs w:val="24"/>
              </w:rPr>
              <w:t>Requires, in part, that the results of all periodic tests for verification of cultures and determination of freedom from extraneous organisms be recorded and maintained.</w:t>
            </w:r>
            <w:r>
              <w:rPr>
                <w:color w:val="000000"/>
                <w:sz w:val="24"/>
                <w:szCs w:val="24"/>
              </w:rPr>
              <w:t xml:space="preserve"> </w:t>
            </w:r>
          </w:p>
        </w:tc>
      </w:tr>
    </w:tbl>
    <w:p w:rsidR="004A7049" w:rsidRDefault="004A7049">
      <w:pPr>
        <w:rPr>
          <w:sz w:val="24"/>
        </w:rPr>
      </w:pPr>
    </w:p>
    <w:p w:rsidR="004A7049" w:rsidRDefault="004A7049">
      <w:pPr>
        <w:rPr>
          <w:color w:val="000000"/>
        </w:rPr>
      </w:pPr>
      <w:r>
        <w:rPr>
          <w:sz w:val="24"/>
        </w:rPr>
        <w:t xml:space="preserve">Under the Public Health Service </w:t>
      </w:r>
      <w:r w:rsidR="00B744D6">
        <w:rPr>
          <w:sz w:val="24"/>
        </w:rPr>
        <w:t xml:space="preserve">(PHS) </w:t>
      </w:r>
      <w:r>
        <w:rPr>
          <w:sz w:val="24"/>
        </w:rPr>
        <w:t>Act (42 U.S.C. 262), FDA may only approve a biologics license application for a biological product that is safe, pure, and potent.  When a biological product is approved and enters the market, the product is introduced to a larger patient population in settings different from clinical trials.  New information generated during the postmarketing period offers further insight into the benefits and risks of the product, and evaluation of this information is important to ensure its safe use.  FDA issued the adverse experience reporting (AER) requirements in 21 CFR Part 600 to enable FDA to take actions necessary for the protection of the public health in response to reports of adverse experiences related to licensed biological products</w:t>
      </w:r>
      <w:r w:rsidR="002E53E0">
        <w:rPr>
          <w:rStyle w:val="FootnoteReference"/>
          <w:sz w:val="24"/>
        </w:rPr>
        <w:footnoteReference w:id="1"/>
      </w:r>
      <w:r>
        <w:rPr>
          <w:sz w:val="24"/>
        </w:rPr>
        <w:t xml:space="preserve">.  The primary purpose of FDA’s AER system is to identify potentially serious safety problems with licensed biological products, focusing especially on newly licensed products.  </w:t>
      </w:r>
      <w:r w:rsidRPr="00DB07A7">
        <w:rPr>
          <w:color w:val="000000"/>
          <w:sz w:val="24"/>
          <w:szCs w:val="24"/>
        </w:rPr>
        <w:t xml:space="preserve">Although </w:t>
      </w:r>
      <w:r w:rsidR="008F16A5">
        <w:rPr>
          <w:color w:val="000000"/>
          <w:sz w:val="24"/>
          <w:szCs w:val="24"/>
        </w:rPr>
        <w:t xml:space="preserve">the </w:t>
      </w:r>
      <w:r w:rsidRPr="00DB07A7">
        <w:rPr>
          <w:color w:val="000000"/>
          <w:sz w:val="24"/>
          <w:szCs w:val="24"/>
        </w:rPr>
        <w:t xml:space="preserve">premarket </w:t>
      </w:r>
      <w:r w:rsidR="008F16A5">
        <w:rPr>
          <w:color w:val="000000"/>
          <w:sz w:val="24"/>
          <w:szCs w:val="24"/>
        </w:rPr>
        <w:lastRenderedPageBreak/>
        <w:t xml:space="preserve">approval process is meant to </w:t>
      </w:r>
      <w:r w:rsidRPr="00DB07A7">
        <w:rPr>
          <w:color w:val="000000"/>
          <w:sz w:val="24"/>
          <w:szCs w:val="24"/>
        </w:rPr>
        <w:t>disclose a general safety profile of a biological product’s comparatively common adverse effects, the larger and more diverse patient populations exposed to the licensed biological product provides the opportunity to collect information on rare, latent, and long-term effects.</w:t>
      </w:r>
      <w:r>
        <w:rPr>
          <w:color w:val="000000"/>
          <w:sz w:val="24"/>
          <w:szCs w:val="24"/>
        </w:rPr>
        <w:t xml:space="preserve">  In addition, production and/or distribution problems have contaminated biological products in the past.  AER r</w:t>
      </w:r>
      <w:r w:rsidRPr="00DB07A7">
        <w:rPr>
          <w:color w:val="000000"/>
          <w:sz w:val="24"/>
          <w:szCs w:val="24"/>
        </w:rPr>
        <w:t>eports are obtained from a variety of sources, including</w:t>
      </w:r>
      <w:r>
        <w:rPr>
          <w:color w:val="000000"/>
          <w:sz w:val="24"/>
          <w:szCs w:val="24"/>
        </w:rPr>
        <w:t xml:space="preserve"> manufacturers,</w:t>
      </w:r>
      <w:r w:rsidRPr="00DB07A7">
        <w:rPr>
          <w:color w:val="000000"/>
          <w:sz w:val="24"/>
          <w:szCs w:val="24"/>
        </w:rPr>
        <w:t xml:space="preserve"> patients, physicians, foreign regulatory agencies, and clinical investigators.  </w:t>
      </w:r>
      <w:r>
        <w:rPr>
          <w:color w:val="000000"/>
          <w:sz w:val="24"/>
          <w:szCs w:val="24"/>
        </w:rPr>
        <w:t>Identification of new and unexpected safety issues through the analysis of the data in the AER system contributes directly to increased public health protection.  For example, evaluation of these safety issues enables FDA to take focused regulatory action.  Such action may include, but is not limited to, important changes in the product’s labeling (such as adding a new warning), coordination with manufacturers to ensure adequate corrective action is taken, and removal of a biological product from the market when necessary.</w:t>
      </w:r>
    </w:p>
    <w:p w:rsidR="004A7049" w:rsidRDefault="004A7049">
      <w:pPr>
        <w:rPr>
          <w:color w:val="000000"/>
        </w:rPr>
      </w:pPr>
    </w:p>
    <w:p w:rsidR="004A7049" w:rsidRDefault="004A7049">
      <w:pPr>
        <w:rPr>
          <w:sz w:val="24"/>
        </w:rPr>
      </w:pPr>
      <w:r>
        <w:rPr>
          <w:sz w:val="24"/>
        </w:rPr>
        <w:t>AER reports are filed using the MEDWATCH Form FDA-3500A (approved under OMB No.0910-0291) or the Vaccine Adverse Experience Reporting System Form (VAERS-1).  Section 321 of the National Childhood Vaccine Injury Act (NCVIA, Public Law 99-660) specifically addresses the waiver of paperwork reduction in the implementation of this statute.  Under § 600.80(f)(3), a manufacturer may also use an alternative report form provided the format is equivalent to all elements of information specified in the designated forms and the format is pre-approved by MEDWATCH or FDA.</w:t>
      </w:r>
    </w:p>
    <w:p w:rsidR="004A7049" w:rsidRDefault="004A7049">
      <w:pPr>
        <w:rPr>
          <w:sz w:val="24"/>
          <w:szCs w:val="24"/>
        </w:rPr>
      </w:pPr>
    </w:p>
    <w:p w:rsidR="004A7049" w:rsidRDefault="004A7049" w:rsidP="00761A47">
      <w:pPr>
        <w:rPr>
          <w:color w:val="000000"/>
          <w:sz w:val="24"/>
          <w:szCs w:val="24"/>
        </w:rPr>
      </w:pPr>
      <w:r w:rsidRPr="0024237D">
        <w:rPr>
          <w:sz w:val="24"/>
          <w:szCs w:val="24"/>
        </w:rPr>
        <w:t>The general recordkeeping provisions under 21 CFR 600.12 require manufacturers of licensed biological products for human use to maintain records of each step in the manufacture and distribution of products.  These requirements provide FDA with the necessary information to help ensure the safety, purity</w:t>
      </w:r>
      <w:r w:rsidR="00FE45BA">
        <w:rPr>
          <w:sz w:val="24"/>
          <w:szCs w:val="24"/>
        </w:rPr>
        <w:t>,</w:t>
      </w:r>
      <w:r w:rsidRPr="0024237D">
        <w:rPr>
          <w:sz w:val="24"/>
          <w:szCs w:val="24"/>
        </w:rPr>
        <w:t xml:space="preserve"> and potency of biological products.  </w:t>
      </w:r>
      <w:r w:rsidRPr="00666DB3">
        <w:rPr>
          <w:color w:val="000000"/>
          <w:sz w:val="24"/>
          <w:szCs w:val="24"/>
        </w:rPr>
        <w:t>The recordkeeping requirements for §§ 610.12(g), 610.13(a)(2), 610.18(d), 680.2(f) and 680.3(f) are approved under OMB Control No. 0910-0139.</w:t>
      </w:r>
    </w:p>
    <w:p w:rsidR="004A7049" w:rsidRPr="007A5A3F" w:rsidRDefault="004A7049" w:rsidP="00761A47">
      <w:pPr>
        <w:rPr>
          <w:sz w:val="24"/>
          <w:szCs w:val="24"/>
        </w:rPr>
      </w:pPr>
    </w:p>
    <w:p w:rsidR="004A7049" w:rsidRPr="00700957" w:rsidRDefault="004A7049">
      <w:pPr>
        <w:rPr>
          <w:sz w:val="24"/>
        </w:rPr>
      </w:pPr>
      <w:r w:rsidRPr="00700957">
        <w:rPr>
          <w:sz w:val="24"/>
        </w:rPr>
        <w:t xml:space="preserve">2.  </w:t>
      </w:r>
      <w:r w:rsidRPr="00700957">
        <w:rPr>
          <w:sz w:val="24"/>
          <w:u w:val="single"/>
        </w:rPr>
        <w:t>Purpose and Use of the Information</w:t>
      </w:r>
      <w:r>
        <w:rPr>
          <w:sz w:val="24"/>
          <w:u w:val="single"/>
        </w:rPr>
        <w:t xml:space="preserve"> Collection</w:t>
      </w:r>
    </w:p>
    <w:p w:rsidR="004A7049" w:rsidRDefault="004A7049">
      <w:pPr>
        <w:rPr>
          <w:sz w:val="24"/>
        </w:rPr>
      </w:pPr>
    </w:p>
    <w:p w:rsidR="004A7049" w:rsidRDefault="004A7049">
      <w:pPr>
        <w:rPr>
          <w:sz w:val="24"/>
        </w:rPr>
      </w:pPr>
      <w:r>
        <w:rPr>
          <w:sz w:val="24"/>
        </w:rPr>
        <w:t xml:space="preserve">The primary purpose of FDA’s AER system is to identify potentially serious safety problems with licensed biological products, focusing especially on newly licensed products.  Although premarket testing discloses a general safety profile of a new drug’s comparatively common adverse effects, the larger and more diverse patient populations exposed to the licensed biological product provides, for the first time, the opportunity to collect information on rare, latent, and long-term effects.  AER reports are obtained from a variety of sources, including manufacturers, patients, physicians, foreign regulatory agencies, and clinical investigators.  </w:t>
      </w:r>
      <w:r>
        <w:rPr>
          <w:color w:val="000000"/>
          <w:sz w:val="24"/>
          <w:szCs w:val="24"/>
        </w:rPr>
        <w:t>Identification of new and unexpected safety issues through the analysis of the data in the AERS system contributes directly to increased public health protection.  For example, evaluation of these safety issues enables FDA to take focused regulatory action.  Such action may include, but not be limited to important changes in the product’s labeling (such as adding a new warning), coordination with manufacturers to ensure adequate corrective action is taken, and removal of a biological product from the market where necessary.</w:t>
      </w:r>
      <w:r>
        <w:rPr>
          <w:sz w:val="24"/>
        </w:rPr>
        <w:t xml:space="preserve">  </w:t>
      </w:r>
    </w:p>
    <w:p w:rsidR="004A7049" w:rsidRDefault="004A7049">
      <w:pPr>
        <w:rPr>
          <w:sz w:val="24"/>
        </w:rPr>
      </w:pPr>
    </w:p>
    <w:p w:rsidR="004A7049" w:rsidRDefault="004A7049">
      <w:pPr>
        <w:rPr>
          <w:sz w:val="24"/>
        </w:rPr>
      </w:pPr>
      <w:r w:rsidRPr="00694309">
        <w:rPr>
          <w:color w:val="000000"/>
          <w:sz w:val="24"/>
          <w:szCs w:val="24"/>
        </w:rPr>
        <w:t xml:space="preserve">The </w:t>
      </w:r>
      <w:r>
        <w:rPr>
          <w:sz w:val="24"/>
        </w:rPr>
        <w:t>semiannual</w:t>
      </w:r>
      <w:r>
        <w:rPr>
          <w:color w:val="000000"/>
          <w:sz w:val="24"/>
          <w:szCs w:val="24"/>
        </w:rPr>
        <w:t xml:space="preserve"> </w:t>
      </w:r>
      <w:r w:rsidRPr="00694309">
        <w:rPr>
          <w:color w:val="000000"/>
          <w:sz w:val="24"/>
          <w:szCs w:val="24"/>
        </w:rPr>
        <w:t>distribution reports provide FDA with important information about products distributed under biologics licenses, including the quantity, certain lot numbers, labeled date of expiration, the fill lot numbers for the total number of dosage units of each strength or potency distributed ( e.g., 50,000 per 10-milliliter vials), and date of release.</w:t>
      </w:r>
      <w:r>
        <w:rPr>
          <w:sz w:val="24"/>
        </w:rPr>
        <w:t xml:space="preserve">  This allows FDA to estimate more accurately the incidence of a product’s adverse effects in relation to the volume of the product distributed.</w:t>
      </w:r>
    </w:p>
    <w:p w:rsidR="004A7049" w:rsidRDefault="004A7049">
      <w:pPr>
        <w:rPr>
          <w:sz w:val="24"/>
        </w:rPr>
      </w:pPr>
    </w:p>
    <w:p w:rsidR="004A7049" w:rsidRPr="004C55F2" w:rsidRDefault="004A7049" w:rsidP="004C55F2">
      <w:pPr>
        <w:rPr>
          <w:sz w:val="24"/>
          <w:szCs w:val="24"/>
        </w:rPr>
      </w:pPr>
      <w:r w:rsidRPr="00694309">
        <w:rPr>
          <w:sz w:val="24"/>
          <w:szCs w:val="24"/>
        </w:rPr>
        <w:t>The recordkeeping requirements serve preventative and remedial purposes by establishing accountability and traceability in the manufacture and distribution of products.  These requirements also enable FDA to perform meaningful inspections.  Without this information, FDA could not monitor industry procedures and discharge its statutory responsibility for protecting the nation</w:t>
      </w:r>
      <w:r>
        <w:rPr>
          <w:sz w:val="24"/>
          <w:szCs w:val="24"/>
        </w:rPr>
        <w:t>’</w:t>
      </w:r>
      <w:r w:rsidRPr="00694309">
        <w:rPr>
          <w:sz w:val="24"/>
          <w:szCs w:val="24"/>
        </w:rPr>
        <w:t xml:space="preserve">s health. </w:t>
      </w:r>
    </w:p>
    <w:p w:rsidR="004A7049" w:rsidRDefault="004A7049" w:rsidP="00091B24">
      <w:pPr>
        <w:pStyle w:val="BodyText"/>
      </w:pPr>
    </w:p>
    <w:p w:rsidR="004A7049" w:rsidRPr="00700957" w:rsidRDefault="004A7049">
      <w:pPr>
        <w:rPr>
          <w:u w:val="single"/>
        </w:rPr>
      </w:pPr>
      <w:r w:rsidRPr="00700957">
        <w:rPr>
          <w:sz w:val="24"/>
          <w:u w:val="single"/>
        </w:rPr>
        <w:t xml:space="preserve">3.  Use </w:t>
      </w:r>
      <w:r w:rsidRPr="00700957">
        <w:rPr>
          <w:sz w:val="24"/>
          <w:szCs w:val="24"/>
          <w:u w:val="single"/>
        </w:rPr>
        <w:t>of Improved Information Technology and Burden Reduction</w:t>
      </w:r>
    </w:p>
    <w:p w:rsidR="004A7049" w:rsidRDefault="004A7049">
      <w:pPr>
        <w:rPr>
          <w:sz w:val="24"/>
        </w:rPr>
      </w:pPr>
    </w:p>
    <w:p w:rsidR="004A7049" w:rsidRDefault="004A7049">
      <w:pPr>
        <w:rPr>
          <w:sz w:val="24"/>
        </w:rPr>
      </w:pPr>
      <w:r>
        <w:rPr>
          <w:sz w:val="24"/>
        </w:rPr>
        <w:t>Most of the information required under the AER regulations is submitted using FDA Form 3500A or VAERS-1.  Both versions of the forms and instructions are available on the Internet.  This information can be submitted electronically through MEDWATCH or VAERS.  The forms can also be downloaded so that computers can be used to fill out and print the report, which can then be mailed or faxed to the agency.</w:t>
      </w:r>
    </w:p>
    <w:p w:rsidR="004A7049" w:rsidRDefault="004A7049">
      <w:pPr>
        <w:rPr>
          <w:sz w:val="24"/>
        </w:rPr>
      </w:pPr>
    </w:p>
    <w:p w:rsidR="004A7049" w:rsidRDefault="004A7049">
      <w:pPr>
        <w:rPr>
          <w:sz w:val="24"/>
        </w:rPr>
      </w:pPr>
      <w:r>
        <w:rPr>
          <w:sz w:val="24"/>
        </w:rPr>
        <w:t>Licensed manufacturers may use computers, discs, tapes, microfiche or microfilm in lieu of hard copy records for the purpose of maintaining records.  Computers may be used for filing distribution records.  FDA is not aware of any other improved technology to reduce the burden.</w:t>
      </w:r>
    </w:p>
    <w:p w:rsidR="004A7049" w:rsidRDefault="004A7049">
      <w:pPr>
        <w:rPr>
          <w:sz w:val="24"/>
        </w:rPr>
      </w:pPr>
    </w:p>
    <w:p w:rsidR="004A7049" w:rsidRPr="00700957" w:rsidRDefault="004A7049">
      <w:r w:rsidRPr="00700957">
        <w:rPr>
          <w:sz w:val="24"/>
        </w:rPr>
        <w:t xml:space="preserve">4.  </w:t>
      </w:r>
      <w:r w:rsidRPr="00700957">
        <w:rPr>
          <w:sz w:val="24"/>
          <w:szCs w:val="24"/>
          <w:u w:val="single"/>
        </w:rPr>
        <w:t>Efforts to Identify Duplication and Use of Similar Information</w:t>
      </w:r>
      <w:r w:rsidRPr="00700957">
        <w:t xml:space="preserve"> </w:t>
      </w:r>
    </w:p>
    <w:p w:rsidR="004A7049" w:rsidRDefault="004A7049"/>
    <w:p w:rsidR="004A7049" w:rsidRDefault="004A7049">
      <w:pPr>
        <w:rPr>
          <w:sz w:val="24"/>
        </w:rPr>
      </w:pPr>
      <w:r>
        <w:rPr>
          <w:sz w:val="24"/>
        </w:rPr>
        <w:t>FDA is the only agency that requires this information.  The required information is not available from any other source.</w:t>
      </w:r>
    </w:p>
    <w:p w:rsidR="004A7049" w:rsidRDefault="004A7049">
      <w:pPr>
        <w:rPr>
          <w:sz w:val="24"/>
        </w:rPr>
      </w:pPr>
    </w:p>
    <w:p w:rsidR="004A7049" w:rsidRPr="00700957" w:rsidRDefault="004A7049">
      <w:pPr>
        <w:rPr>
          <w:sz w:val="24"/>
          <w:u w:val="single"/>
        </w:rPr>
      </w:pPr>
      <w:r w:rsidRPr="00700957">
        <w:rPr>
          <w:sz w:val="24"/>
        </w:rPr>
        <w:t xml:space="preserve">5.  </w:t>
      </w:r>
      <w:r w:rsidRPr="00700957">
        <w:rPr>
          <w:sz w:val="24"/>
          <w:szCs w:val="24"/>
          <w:u w:val="single"/>
        </w:rPr>
        <w:t>Impact on Small Businesses or Other Small Entities</w:t>
      </w:r>
    </w:p>
    <w:p w:rsidR="004A7049" w:rsidRDefault="004A7049">
      <w:pPr>
        <w:rPr>
          <w:sz w:val="24"/>
          <w:u w:val="single"/>
        </w:rPr>
      </w:pPr>
    </w:p>
    <w:p w:rsidR="004A7049" w:rsidRDefault="004A7049" w:rsidP="004E3384">
      <w:pPr>
        <w:rPr>
          <w:sz w:val="24"/>
          <w:szCs w:val="24"/>
        </w:rPr>
      </w:pPr>
      <w:r>
        <w:rPr>
          <w:sz w:val="24"/>
        </w:rPr>
        <w:t>This collection of information applies to both small as well as large establishment.  Although FDA must apply the statutory and regulatory requirements to all enterprises, FDA does provide special help to small businesses.  The Center for Biologics Evaluation and Research (CBER), Office of Communications, Outreach, and Development, Division of Manufacturer’s Assistance and Training, and the Center for Drug Evaluation and Research (CDER), Office of Communication, Division of Drug Information provides assistance to small businesses concerning FDA’s regulatory requirements.</w:t>
      </w:r>
      <w:r>
        <w:rPr>
          <w:sz w:val="24"/>
          <w:szCs w:val="24"/>
        </w:rPr>
        <w:br/>
      </w:r>
    </w:p>
    <w:p w:rsidR="004A7049" w:rsidRPr="00700957" w:rsidRDefault="004A7049">
      <w:pPr>
        <w:rPr>
          <w:sz w:val="24"/>
        </w:rPr>
      </w:pPr>
      <w:r w:rsidRPr="00700957">
        <w:rPr>
          <w:sz w:val="24"/>
        </w:rPr>
        <w:t xml:space="preserve">6.  </w:t>
      </w:r>
      <w:r w:rsidRPr="00700957">
        <w:rPr>
          <w:sz w:val="24"/>
          <w:szCs w:val="24"/>
          <w:u w:val="single"/>
        </w:rPr>
        <w:t xml:space="preserve">Consequences </w:t>
      </w:r>
      <w:r w:rsidRPr="00700957">
        <w:rPr>
          <w:sz w:val="24"/>
          <w:u w:val="single"/>
        </w:rPr>
        <w:t>of Collecting</w:t>
      </w:r>
      <w:r>
        <w:rPr>
          <w:sz w:val="24"/>
          <w:u w:val="single"/>
        </w:rPr>
        <w:t xml:space="preserve"> the</w:t>
      </w:r>
      <w:r w:rsidRPr="00700957">
        <w:rPr>
          <w:sz w:val="24"/>
          <w:u w:val="single"/>
        </w:rPr>
        <w:t xml:space="preserve"> Information Less Frequently</w:t>
      </w:r>
    </w:p>
    <w:p w:rsidR="004A7049" w:rsidRDefault="004A7049">
      <w:pPr>
        <w:rPr>
          <w:sz w:val="24"/>
        </w:rPr>
      </w:pPr>
    </w:p>
    <w:p w:rsidR="004A7049" w:rsidRDefault="004A7049">
      <w:pPr>
        <w:rPr>
          <w:sz w:val="24"/>
        </w:rPr>
      </w:pPr>
      <w:r>
        <w:rPr>
          <w:sz w:val="24"/>
        </w:rPr>
        <w:t>Less frequent data collection would delay identification of biological products believed responsible for adverse reactions, including permanent injuries and fatalities.  Appropriate FDA action such as withdrawal from the market or changes in labeling would also be delayed.</w:t>
      </w:r>
    </w:p>
    <w:p w:rsidR="004A7049" w:rsidRDefault="004A7049">
      <w:pPr>
        <w:rPr>
          <w:sz w:val="24"/>
        </w:rPr>
      </w:pPr>
    </w:p>
    <w:p w:rsidR="004A7049" w:rsidRDefault="004A7049">
      <w:pPr>
        <w:rPr>
          <w:sz w:val="24"/>
        </w:rPr>
      </w:pPr>
      <w:r>
        <w:rPr>
          <w:sz w:val="24"/>
        </w:rPr>
        <w:t>There are no technical or legal obstacles to reducing the burden.</w:t>
      </w:r>
    </w:p>
    <w:p w:rsidR="004A7049" w:rsidRDefault="004A7049">
      <w:pPr>
        <w:rPr>
          <w:sz w:val="24"/>
        </w:rPr>
      </w:pPr>
    </w:p>
    <w:p w:rsidR="004A7049" w:rsidRPr="00700957" w:rsidRDefault="004A7049">
      <w:pPr>
        <w:rPr>
          <w:sz w:val="24"/>
        </w:rPr>
      </w:pPr>
      <w:r w:rsidRPr="00700957">
        <w:rPr>
          <w:sz w:val="24"/>
        </w:rPr>
        <w:t xml:space="preserve">7.  </w:t>
      </w:r>
      <w:r w:rsidRPr="00700957">
        <w:rPr>
          <w:sz w:val="24"/>
          <w:u w:val="single"/>
        </w:rPr>
        <w:t xml:space="preserve">Special Circumstances </w:t>
      </w:r>
      <w:r w:rsidRPr="00700957">
        <w:rPr>
          <w:sz w:val="24"/>
          <w:szCs w:val="24"/>
          <w:u w:val="single"/>
        </w:rPr>
        <w:t>Relating to the Guidelines of 5 CFR 1320.5</w:t>
      </w:r>
    </w:p>
    <w:p w:rsidR="004A7049" w:rsidRDefault="004A7049">
      <w:pPr>
        <w:rPr>
          <w:sz w:val="24"/>
        </w:rPr>
      </w:pPr>
    </w:p>
    <w:p w:rsidR="004A7049" w:rsidRDefault="004A7049">
      <w:pPr>
        <w:rPr>
          <w:sz w:val="24"/>
        </w:rPr>
      </w:pPr>
      <w:r>
        <w:rPr>
          <w:sz w:val="24"/>
        </w:rPr>
        <w:t>The licensed manufacturers are required to submit to FDA a 15-day Alert report for each serious and unexpected adverse experience as well as any follow-up</w:t>
      </w:r>
      <w:r w:rsidR="00FE45BA">
        <w:rPr>
          <w:sz w:val="24"/>
        </w:rPr>
        <w:t xml:space="preserve"> reports within 15 calendar days</w:t>
      </w:r>
      <w:r>
        <w:rPr>
          <w:sz w:val="24"/>
        </w:rPr>
        <w:t xml:space="preserve"> of receipt of new information or as requested by FDA.  This requirement enables FDA to promptly investigate and, when necessary, initiate corrective action to protect the public from potential adverse product interactions.</w:t>
      </w:r>
    </w:p>
    <w:p w:rsidR="004A7049" w:rsidRDefault="004A7049">
      <w:pPr>
        <w:rPr>
          <w:sz w:val="24"/>
        </w:rPr>
      </w:pPr>
    </w:p>
    <w:p w:rsidR="004A7049" w:rsidRPr="00700957" w:rsidRDefault="004A7049">
      <w:pPr>
        <w:rPr>
          <w:sz w:val="24"/>
          <w:szCs w:val="24"/>
          <w:u w:val="single"/>
        </w:rPr>
      </w:pPr>
      <w:r w:rsidRPr="00700957">
        <w:rPr>
          <w:sz w:val="24"/>
        </w:rPr>
        <w:lastRenderedPageBreak/>
        <w:t xml:space="preserve">8.  </w:t>
      </w:r>
      <w:r w:rsidRPr="00700957">
        <w:rPr>
          <w:sz w:val="24"/>
          <w:szCs w:val="24"/>
          <w:u w:val="single"/>
        </w:rPr>
        <w:t>Comments in Response to the Federal Register Notice and Efforts to Consult Outside the</w:t>
      </w:r>
    </w:p>
    <w:p w:rsidR="004A7049" w:rsidRPr="00700957" w:rsidRDefault="004A7049">
      <w:pPr>
        <w:rPr>
          <w:sz w:val="24"/>
          <w:szCs w:val="24"/>
          <w:u w:val="single"/>
        </w:rPr>
      </w:pPr>
      <w:r w:rsidRPr="00700957">
        <w:rPr>
          <w:sz w:val="24"/>
          <w:szCs w:val="24"/>
        </w:rPr>
        <w:t xml:space="preserve">     </w:t>
      </w:r>
      <w:r w:rsidRPr="00700957">
        <w:rPr>
          <w:sz w:val="24"/>
          <w:szCs w:val="24"/>
          <w:u w:val="single"/>
        </w:rPr>
        <w:t>Agency</w:t>
      </w:r>
    </w:p>
    <w:p w:rsidR="004A7049" w:rsidRDefault="004A7049">
      <w:pPr>
        <w:rPr>
          <w:sz w:val="24"/>
        </w:rPr>
      </w:pPr>
    </w:p>
    <w:p w:rsidR="004A7049" w:rsidRPr="0023348B" w:rsidRDefault="004A7049" w:rsidP="0023348B">
      <w:pPr>
        <w:widowControl/>
        <w:autoSpaceDE w:val="0"/>
        <w:autoSpaceDN w:val="0"/>
        <w:adjustRightInd w:val="0"/>
        <w:rPr>
          <w:sz w:val="24"/>
          <w:szCs w:val="24"/>
        </w:rPr>
      </w:pPr>
      <w:r>
        <w:rPr>
          <w:sz w:val="24"/>
        </w:rPr>
        <w:t xml:space="preserve">In accordance with 5 CFR 1320.8(d), FDA published a 60-day notice for public comment in the </w:t>
      </w:r>
      <w:r w:rsidRPr="00B379E7">
        <w:rPr>
          <w:sz w:val="24"/>
        </w:rPr>
        <w:t xml:space="preserve">Federal Register </w:t>
      </w:r>
      <w:r>
        <w:rPr>
          <w:sz w:val="24"/>
        </w:rPr>
        <w:t>of April 7, 2014 (79 FR 19097).</w:t>
      </w:r>
      <w:r>
        <w:rPr>
          <w:sz w:val="24"/>
          <w:szCs w:val="24"/>
        </w:rPr>
        <w:t xml:space="preserve">   </w:t>
      </w:r>
      <w:r w:rsidRPr="005B054D">
        <w:rPr>
          <w:sz w:val="24"/>
          <w:szCs w:val="24"/>
        </w:rPr>
        <w:t>FDA received one comment from the public.  The comment was not responsive to the comment request on the four specified aspects of the collection of information and did not provide any data or explanation that would support a change regarding the information collection requirements.</w:t>
      </w:r>
    </w:p>
    <w:p w:rsidR="004A7049" w:rsidRPr="00700957" w:rsidRDefault="004A7049">
      <w:pPr>
        <w:rPr>
          <w:sz w:val="24"/>
        </w:rPr>
      </w:pPr>
    </w:p>
    <w:p w:rsidR="004A7049" w:rsidRPr="00700957" w:rsidRDefault="004A7049">
      <w:pPr>
        <w:rPr>
          <w:sz w:val="24"/>
        </w:rPr>
      </w:pPr>
      <w:r w:rsidRPr="00700957">
        <w:rPr>
          <w:sz w:val="24"/>
        </w:rPr>
        <w:t xml:space="preserve">9.  </w:t>
      </w:r>
      <w:r w:rsidRPr="00700957">
        <w:rPr>
          <w:sz w:val="24"/>
          <w:szCs w:val="24"/>
          <w:u w:val="single"/>
        </w:rPr>
        <w:t>Explanation of Any</w:t>
      </w:r>
      <w:r w:rsidRPr="00700957">
        <w:rPr>
          <w:u w:val="single"/>
        </w:rPr>
        <w:t xml:space="preserve"> </w:t>
      </w:r>
      <w:r w:rsidRPr="00700957">
        <w:rPr>
          <w:sz w:val="24"/>
          <w:u w:val="single"/>
        </w:rPr>
        <w:t>Payment or Gift to Respondents</w:t>
      </w:r>
    </w:p>
    <w:p w:rsidR="004A7049" w:rsidRDefault="004A7049">
      <w:pPr>
        <w:rPr>
          <w:sz w:val="24"/>
        </w:rPr>
      </w:pPr>
    </w:p>
    <w:p w:rsidR="004A7049" w:rsidRDefault="004A7049">
      <w:pPr>
        <w:rPr>
          <w:sz w:val="24"/>
        </w:rPr>
      </w:pPr>
      <w:r>
        <w:rPr>
          <w:sz w:val="24"/>
        </w:rPr>
        <w:t>No payment or gift was provided to respondents.</w:t>
      </w:r>
    </w:p>
    <w:p w:rsidR="004A7049" w:rsidRDefault="004A7049">
      <w:pPr>
        <w:rPr>
          <w:sz w:val="24"/>
        </w:rPr>
      </w:pPr>
    </w:p>
    <w:p w:rsidR="004A7049" w:rsidRPr="00700957" w:rsidRDefault="004A7049">
      <w:pPr>
        <w:rPr>
          <w:sz w:val="24"/>
        </w:rPr>
      </w:pPr>
      <w:r w:rsidRPr="00700957">
        <w:rPr>
          <w:sz w:val="24"/>
        </w:rPr>
        <w:t xml:space="preserve">10.  </w:t>
      </w:r>
      <w:r w:rsidRPr="00700957">
        <w:rPr>
          <w:sz w:val="24"/>
          <w:szCs w:val="24"/>
          <w:u w:val="single"/>
        </w:rPr>
        <w:t>Assurance of Confidentiality Provided to Respondents</w:t>
      </w:r>
    </w:p>
    <w:p w:rsidR="004A7049" w:rsidRDefault="004A7049">
      <w:pPr>
        <w:rPr>
          <w:sz w:val="24"/>
        </w:rPr>
      </w:pPr>
    </w:p>
    <w:p w:rsidR="004A7049" w:rsidRDefault="004A7049">
      <w:pPr>
        <w:rPr>
          <w:sz w:val="24"/>
        </w:rPr>
      </w:pPr>
      <w:r>
        <w:rPr>
          <w:sz w:val="24"/>
        </w:rPr>
        <w:t>The confidentiality of information received by FDA is consistent with the Freedom of Information Act and FDA’s published regulations under 21 CFR Part 20, 21 CFR 312.130, 314.430, 601.50, and 601.51.</w:t>
      </w:r>
    </w:p>
    <w:p w:rsidR="004A7049" w:rsidRDefault="004A7049">
      <w:pPr>
        <w:rPr>
          <w:sz w:val="24"/>
        </w:rPr>
      </w:pPr>
    </w:p>
    <w:p w:rsidR="004A7049" w:rsidRPr="00700957" w:rsidRDefault="004A7049">
      <w:pPr>
        <w:rPr>
          <w:sz w:val="24"/>
        </w:rPr>
      </w:pPr>
      <w:r w:rsidRPr="00700957">
        <w:rPr>
          <w:sz w:val="24"/>
        </w:rPr>
        <w:t xml:space="preserve">11.  </w:t>
      </w:r>
      <w:r w:rsidRPr="00700957">
        <w:rPr>
          <w:sz w:val="24"/>
          <w:szCs w:val="24"/>
          <w:u w:val="single"/>
        </w:rPr>
        <w:t>Justification for</w:t>
      </w:r>
      <w:r w:rsidRPr="00700957">
        <w:rPr>
          <w:u w:val="single"/>
        </w:rPr>
        <w:t xml:space="preserve"> </w:t>
      </w:r>
      <w:r w:rsidRPr="00700957">
        <w:rPr>
          <w:sz w:val="24"/>
          <w:u w:val="single"/>
        </w:rPr>
        <w:t>Sensitive Questions</w:t>
      </w:r>
    </w:p>
    <w:p w:rsidR="004A7049" w:rsidRDefault="004A7049">
      <w:pPr>
        <w:rPr>
          <w:sz w:val="24"/>
        </w:rPr>
      </w:pPr>
    </w:p>
    <w:p w:rsidR="004A7049" w:rsidRDefault="004A7049">
      <w:pPr>
        <w:rPr>
          <w:sz w:val="24"/>
        </w:rPr>
      </w:pPr>
      <w:r>
        <w:rPr>
          <w:sz w:val="24"/>
        </w:rPr>
        <w:t>Questions of a sensitive nature are not applicable to this collection</w:t>
      </w:r>
      <w:r w:rsidRPr="000C301C">
        <w:rPr>
          <w:sz w:val="24"/>
        </w:rPr>
        <w:t xml:space="preserve"> </w:t>
      </w:r>
      <w:r>
        <w:rPr>
          <w:sz w:val="24"/>
        </w:rPr>
        <w:t>of information.</w:t>
      </w:r>
    </w:p>
    <w:p w:rsidR="004A7049" w:rsidRDefault="004A7049">
      <w:pPr>
        <w:rPr>
          <w:sz w:val="24"/>
        </w:rPr>
      </w:pPr>
    </w:p>
    <w:p w:rsidR="004A7049" w:rsidRPr="00700957" w:rsidRDefault="004A7049">
      <w:pPr>
        <w:rPr>
          <w:sz w:val="24"/>
          <w:szCs w:val="24"/>
          <w:u w:val="single"/>
        </w:rPr>
      </w:pPr>
      <w:r w:rsidRPr="00700957">
        <w:rPr>
          <w:sz w:val="24"/>
          <w:szCs w:val="24"/>
        </w:rPr>
        <w:t xml:space="preserve">12.  </w:t>
      </w:r>
      <w:r w:rsidRPr="00700957">
        <w:rPr>
          <w:sz w:val="24"/>
          <w:szCs w:val="24"/>
          <w:u w:val="single"/>
        </w:rPr>
        <w:t>Estimates of Annualized Burden Hours and Costs</w:t>
      </w:r>
    </w:p>
    <w:p w:rsidR="004A7049" w:rsidRDefault="004A7049">
      <w:pPr>
        <w:rPr>
          <w:sz w:val="24"/>
        </w:rPr>
      </w:pPr>
    </w:p>
    <w:p w:rsidR="004A7049" w:rsidRDefault="004A7049">
      <w:pPr>
        <w:rPr>
          <w:sz w:val="24"/>
        </w:rPr>
      </w:pPr>
      <w:r>
        <w:rPr>
          <w:sz w:val="24"/>
        </w:rPr>
        <w:t xml:space="preserve">The estimated annual burden for this information collection is </w:t>
      </w:r>
      <w:bookmarkStart w:id="0" w:name="OLE_LINK1"/>
      <w:bookmarkStart w:id="1" w:name="OLE_LINK2"/>
      <w:r>
        <w:rPr>
          <w:sz w:val="24"/>
        </w:rPr>
        <w:t xml:space="preserve">4,293,361 </w:t>
      </w:r>
      <w:bookmarkEnd w:id="0"/>
      <w:bookmarkEnd w:id="1"/>
      <w:r>
        <w:rPr>
          <w:sz w:val="24"/>
        </w:rPr>
        <w:t>hours.</w:t>
      </w:r>
    </w:p>
    <w:p w:rsidR="004A7049" w:rsidRDefault="004A7049">
      <w:pPr>
        <w:rPr>
          <w:sz w:val="24"/>
        </w:rPr>
      </w:pPr>
    </w:p>
    <w:p w:rsidR="004A7049" w:rsidRDefault="004A7049" w:rsidP="00515AD3">
      <w:pPr>
        <w:ind w:firstLine="720"/>
        <w:rPr>
          <w:sz w:val="24"/>
        </w:rPr>
      </w:pPr>
      <w:r>
        <w:rPr>
          <w:sz w:val="24"/>
        </w:rPr>
        <w:t xml:space="preserve">12a. </w:t>
      </w:r>
      <w:r w:rsidRPr="00F52FB7">
        <w:rPr>
          <w:sz w:val="24"/>
          <w:u w:val="single"/>
        </w:rPr>
        <w:t>Annualized Hour Burden Estimate</w:t>
      </w:r>
    </w:p>
    <w:p w:rsidR="004A7049" w:rsidRDefault="004A7049">
      <w:pPr>
        <w:rPr>
          <w:sz w:val="24"/>
        </w:rPr>
      </w:pPr>
    </w:p>
    <w:tbl>
      <w:tblPr>
        <w:tblW w:w="0" w:type="auto"/>
        <w:tblInd w:w="100" w:type="dxa"/>
        <w:tblLayout w:type="fixed"/>
        <w:tblCellMar>
          <w:left w:w="100" w:type="dxa"/>
          <w:right w:w="100" w:type="dxa"/>
        </w:tblCellMar>
        <w:tblLook w:val="0000" w:firstRow="0" w:lastRow="0" w:firstColumn="0" w:lastColumn="0" w:noHBand="0" w:noVBand="0"/>
      </w:tblPr>
      <w:tblGrid>
        <w:gridCol w:w="1560"/>
        <w:gridCol w:w="1560"/>
        <w:gridCol w:w="1560"/>
        <w:gridCol w:w="1560"/>
        <w:gridCol w:w="1560"/>
        <w:gridCol w:w="1497"/>
      </w:tblGrid>
      <w:tr w:rsidR="004A7049">
        <w:trPr>
          <w:cantSplit/>
        </w:trPr>
        <w:tc>
          <w:tcPr>
            <w:tcW w:w="9297" w:type="dxa"/>
            <w:gridSpan w:val="6"/>
            <w:tcBorders>
              <w:top w:val="single" w:sz="6" w:space="0" w:color="auto"/>
              <w:left w:val="single" w:sz="6" w:space="0" w:color="auto"/>
              <w:right w:val="single" w:sz="6" w:space="0" w:color="auto"/>
            </w:tcBorders>
          </w:tcPr>
          <w:p w:rsidR="004A7049" w:rsidRPr="00590797" w:rsidRDefault="004A7049" w:rsidP="00E4056B">
            <w:pPr>
              <w:jc w:val="center"/>
              <w:rPr>
                <w:vertAlign w:val="superscript"/>
              </w:rPr>
            </w:pPr>
            <w:r>
              <w:rPr>
                <w:sz w:val="24"/>
              </w:rPr>
              <w:br w:type="page"/>
            </w:r>
            <w:r w:rsidR="00370870">
              <w:rPr>
                <w:sz w:val="24"/>
              </w:rPr>
              <w:t>Table 1.--</w:t>
            </w:r>
            <w:r>
              <w:rPr>
                <w:sz w:val="24"/>
              </w:rPr>
              <w:t>Estimated Annual Reporting Burden</w:t>
            </w:r>
          </w:p>
        </w:tc>
      </w:tr>
      <w:tr w:rsidR="004A7049">
        <w:trPr>
          <w:cantSplit/>
          <w:trHeight w:val="403"/>
        </w:trPr>
        <w:tc>
          <w:tcPr>
            <w:tcW w:w="1560" w:type="dxa"/>
            <w:tcBorders>
              <w:top w:val="double" w:sz="6" w:space="0" w:color="auto"/>
              <w:left w:val="single" w:sz="6" w:space="0" w:color="auto"/>
              <w:bottom w:val="double" w:sz="6" w:space="0" w:color="auto"/>
            </w:tcBorders>
          </w:tcPr>
          <w:p w:rsidR="004A7049" w:rsidRDefault="004A7049">
            <w:pPr>
              <w:jc w:val="center"/>
              <w:rPr>
                <w:sz w:val="24"/>
              </w:rPr>
            </w:pPr>
            <w:r>
              <w:rPr>
                <w:sz w:val="24"/>
              </w:rPr>
              <w:t>21 CFR Section</w:t>
            </w:r>
          </w:p>
        </w:tc>
        <w:tc>
          <w:tcPr>
            <w:tcW w:w="156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Respondents</w:t>
            </w:r>
          </w:p>
        </w:tc>
        <w:tc>
          <w:tcPr>
            <w:tcW w:w="156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Responses per Respondent</w:t>
            </w:r>
          </w:p>
        </w:tc>
        <w:tc>
          <w:tcPr>
            <w:tcW w:w="1560" w:type="dxa"/>
            <w:tcBorders>
              <w:top w:val="double" w:sz="6" w:space="0" w:color="auto"/>
              <w:left w:val="single" w:sz="6" w:space="0" w:color="auto"/>
              <w:bottom w:val="double" w:sz="6" w:space="0" w:color="auto"/>
            </w:tcBorders>
          </w:tcPr>
          <w:p w:rsidR="004A7049" w:rsidRDefault="004A7049">
            <w:pPr>
              <w:jc w:val="center"/>
              <w:rPr>
                <w:sz w:val="24"/>
              </w:rPr>
            </w:pPr>
            <w:r>
              <w:rPr>
                <w:sz w:val="24"/>
              </w:rPr>
              <w:t>Total Annual Responses</w:t>
            </w:r>
          </w:p>
        </w:tc>
        <w:tc>
          <w:tcPr>
            <w:tcW w:w="1560" w:type="dxa"/>
            <w:tcBorders>
              <w:top w:val="double" w:sz="6" w:space="0" w:color="auto"/>
              <w:left w:val="single" w:sz="6" w:space="0" w:color="auto"/>
              <w:bottom w:val="double" w:sz="6" w:space="0" w:color="auto"/>
            </w:tcBorders>
          </w:tcPr>
          <w:p w:rsidR="004A7049" w:rsidRDefault="004A7049" w:rsidP="00E4056B">
            <w:pPr>
              <w:jc w:val="center"/>
              <w:rPr>
                <w:sz w:val="24"/>
              </w:rPr>
            </w:pPr>
            <w:r>
              <w:rPr>
                <w:sz w:val="24"/>
              </w:rPr>
              <w:t xml:space="preserve">Average Burden per Response      </w:t>
            </w:r>
          </w:p>
        </w:tc>
        <w:tc>
          <w:tcPr>
            <w:tcW w:w="1497" w:type="dxa"/>
            <w:tcBorders>
              <w:top w:val="double" w:sz="6" w:space="0" w:color="auto"/>
              <w:left w:val="single" w:sz="6" w:space="0" w:color="auto"/>
              <w:bottom w:val="double" w:sz="6" w:space="0" w:color="auto"/>
              <w:right w:val="single" w:sz="6" w:space="0" w:color="auto"/>
            </w:tcBorders>
          </w:tcPr>
          <w:p w:rsidR="004A7049" w:rsidRDefault="004A7049">
            <w:pPr>
              <w:jc w:val="center"/>
              <w:rPr>
                <w:sz w:val="24"/>
              </w:rPr>
            </w:pPr>
            <w:r>
              <w:rPr>
                <w:sz w:val="24"/>
              </w:rPr>
              <w:t>Total Hours</w:t>
            </w:r>
          </w:p>
        </w:tc>
      </w:tr>
      <w:tr w:rsidR="004A7049">
        <w:trPr>
          <w:cantSplit/>
          <w:trHeight w:val="403"/>
        </w:trPr>
        <w:tc>
          <w:tcPr>
            <w:tcW w:w="1560" w:type="dxa"/>
            <w:tcBorders>
              <w:left w:val="single" w:sz="6" w:space="0" w:color="auto"/>
            </w:tcBorders>
          </w:tcPr>
          <w:p w:rsidR="004A7049" w:rsidRDefault="004A7049">
            <w:pPr>
              <w:rPr>
                <w:sz w:val="24"/>
              </w:rPr>
            </w:pPr>
            <w:r>
              <w:rPr>
                <w:sz w:val="24"/>
              </w:rPr>
              <w:t>600.80(c)(1) &amp; 600.80(e)</w:t>
            </w:r>
          </w:p>
        </w:tc>
        <w:tc>
          <w:tcPr>
            <w:tcW w:w="1560" w:type="dxa"/>
            <w:tcBorders>
              <w:left w:val="single" w:sz="6" w:space="0" w:color="auto"/>
            </w:tcBorders>
          </w:tcPr>
          <w:p w:rsidR="004A7049" w:rsidRDefault="004A7049">
            <w:pPr>
              <w:jc w:val="center"/>
              <w:rPr>
                <w:sz w:val="24"/>
              </w:rPr>
            </w:pPr>
            <w:r>
              <w:rPr>
                <w:sz w:val="24"/>
              </w:rPr>
              <w:t>131</w:t>
            </w:r>
          </w:p>
        </w:tc>
        <w:tc>
          <w:tcPr>
            <w:tcW w:w="1560" w:type="dxa"/>
            <w:tcBorders>
              <w:left w:val="single" w:sz="6" w:space="0" w:color="auto"/>
            </w:tcBorders>
          </w:tcPr>
          <w:p w:rsidR="004A7049" w:rsidRDefault="004A7049">
            <w:pPr>
              <w:jc w:val="center"/>
              <w:rPr>
                <w:sz w:val="24"/>
              </w:rPr>
            </w:pPr>
            <w:r>
              <w:rPr>
                <w:sz w:val="24"/>
              </w:rPr>
              <w:t>705.88</w:t>
            </w:r>
          </w:p>
        </w:tc>
        <w:tc>
          <w:tcPr>
            <w:tcW w:w="1560" w:type="dxa"/>
            <w:tcBorders>
              <w:left w:val="single" w:sz="6" w:space="0" w:color="auto"/>
            </w:tcBorders>
          </w:tcPr>
          <w:p w:rsidR="004A7049" w:rsidRDefault="004A7049">
            <w:pPr>
              <w:jc w:val="center"/>
              <w:rPr>
                <w:sz w:val="24"/>
              </w:rPr>
            </w:pPr>
            <w:r>
              <w:rPr>
                <w:sz w:val="24"/>
              </w:rPr>
              <w:t xml:space="preserve"> 92,470</w:t>
            </w:r>
          </w:p>
        </w:tc>
        <w:tc>
          <w:tcPr>
            <w:tcW w:w="1560" w:type="dxa"/>
            <w:tcBorders>
              <w:left w:val="single" w:sz="6" w:space="0" w:color="auto"/>
            </w:tcBorders>
          </w:tcPr>
          <w:p w:rsidR="004A7049" w:rsidRDefault="004A7049">
            <w:pPr>
              <w:jc w:val="center"/>
              <w:rPr>
                <w:sz w:val="24"/>
              </w:rPr>
            </w:pPr>
            <w:r>
              <w:rPr>
                <w:sz w:val="24"/>
              </w:rPr>
              <w:t>1</w:t>
            </w:r>
          </w:p>
        </w:tc>
        <w:tc>
          <w:tcPr>
            <w:tcW w:w="1497" w:type="dxa"/>
            <w:tcBorders>
              <w:left w:val="single" w:sz="6" w:space="0" w:color="auto"/>
              <w:right w:val="single" w:sz="6" w:space="0" w:color="auto"/>
            </w:tcBorders>
          </w:tcPr>
          <w:p w:rsidR="004A7049" w:rsidRDefault="004A7049" w:rsidP="005A746D">
            <w:pPr>
              <w:tabs>
                <w:tab w:val="left" w:pos="1025"/>
              </w:tabs>
              <w:jc w:val="center"/>
              <w:rPr>
                <w:sz w:val="24"/>
              </w:rPr>
            </w:pPr>
            <w:r>
              <w:rPr>
                <w:sz w:val="24"/>
              </w:rPr>
              <w:t xml:space="preserve">     92,470</w:t>
            </w:r>
          </w:p>
        </w:tc>
      </w:tr>
      <w:tr w:rsidR="004A7049">
        <w:trPr>
          <w:cantSplit/>
          <w:trHeight w:val="403"/>
        </w:trPr>
        <w:tc>
          <w:tcPr>
            <w:tcW w:w="1560" w:type="dxa"/>
            <w:tcBorders>
              <w:top w:val="single" w:sz="6" w:space="0" w:color="auto"/>
              <w:left w:val="single" w:sz="6" w:space="0" w:color="auto"/>
            </w:tcBorders>
          </w:tcPr>
          <w:p w:rsidR="004A7049" w:rsidRDefault="004A7049">
            <w:pPr>
              <w:rPr>
                <w:sz w:val="24"/>
              </w:rPr>
            </w:pPr>
            <w:r>
              <w:rPr>
                <w:sz w:val="24"/>
              </w:rPr>
              <w:t>600.80(c)(2)</w:t>
            </w:r>
          </w:p>
        </w:tc>
        <w:tc>
          <w:tcPr>
            <w:tcW w:w="1560" w:type="dxa"/>
            <w:tcBorders>
              <w:top w:val="single" w:sz="6" w:space="0" w:color="auto"/>
              <w:left w:val="single" w:sz="6" w:space="0" w:color="auto"/>
            </w:tcBorders>
          </w:tcPr>
          <w:p w:rsidR="004A7049" w:rsidRDefault="004A7049">
            <w:pPr>
              <w:jc w:val="center"/>
              <w:rPr>
                <w:sz w:val="24"/>
              </w:rPr>
            </w:pPr>
            <w:r>
              <w:rPr>
                <w:sz w:val="24"/>
              </w:rPr>
              <w:t>131</w:t>
            </w:r>
          </w:p>
        </w:tc>
        <w:tc>
          <w:tcPr>
            <w:tcW w:w="1560" w:type="dxa"/>
            <w:tcBorders>
              <w:top w:val="single" w:sz="6" w:space="0" w:color="auto"/>
              <w:left w:val="single" w:sz="6" w:space="0" w:color="auto"/>
            </w:tcBorders>
          </w:tcPr>
          <w:p w:rsidR="004A7049" w:rsidRDefault="004A7049" w:rsidP="00515AD3">
            <w:pPr>
              <w:rPr>
                <w:sz w:val="24"/>
              </w:rPr>
            </w:pPr>
            <w:r>
              <w:rPr>
                <w:sz w:val="24"/>
              </w:rPr>
              <w:t xml:space="preserve">   1,012.73</w:t>
            </w:r>
          </w:p>
        </w:tc>
        <w:tc>
          <w:tcPr>
            <w:tcW w:w="1560" w:type="dxa"/>
            <w:tcBorders>
              <w:top w:val="single" w:sz="6" w:space="0" w:color="auto"/>
              <w:left w:val="single" w:sz="6" w:space="0" w:color="auto"/>
            </w:tcBorders>
          </w:tcPr>
          <w:p w:rsidR="004A7049" w:rsidRDefault="004A7049">
            <w:pPr>
              <w:jc w:val="center"/>
              <w:rPr>
                <w:sz w:val="24"/>
              </w:rPr>
            </w:pPr>
            <w:r>
              <w:rPr>
                <w:sz w:val="24"/>
              </w:rPr>
              <w:t>132,667</w:t>
            </w:r>
          </w:p>
        </w:tc>
        <w:tc>
          <w:tcPr>
            <w:tcW w:w="1560" w:type="dxa"/>
            <w:tcBorders>
              <w:top w:val="single" w:sz="6" w:space="0" w:color="auto"/>
              <w:left w:val="single" w:sz="6" w:space="0" w:color="auto"/>
            </w:tcBorders>
          </w:tcPr>
          <w:p w:rsidR="004A7049" w:rsidRDefault="004A7049">
            <w:pPr>
              <w:jc w:val="center"/>
              <w:rPr>
                <w:sz w:val="24"/>
              </w:rPr>
            </w:pPr>
            <w:r>
              <w:rPr>
                <w:sz w:val="24"/>
              </w:rPr>
              <w:t>28</w:t>
            </w:r>
          </w:p>
        </w:tc>
        <w:tc>
          <w:tcPr>
            <w:tcW w:w="1497" w:type="dxa"/>
            <w:tcBorders>
              <w:top w:val="single" w:sz="6" w:space="0" w:color="auto"/>
              <w:left w:val="single" w:sz="6" w:space="0" w:color="auto"/>
              <w:right w:val="single" w:sz="6" w:space="0" w:color="auto"/>
            </w:tcBorders>
          </w:tcPr>
          <w:p w:rsidR="004A7049" w:rsidRDefault="004A7049">
            <w:pPr>
              <w:jc w:val="center"/>
              <w:rPr>
                <w:sz w:val="24"/>
              </w:rPr>
            </w:pPr>
            <w:r>
              <w:rPr>
                <w:sz w:val="24"/>
              </w:rPr>
              <w:t>3,714,676</w:t>
            </w:r>
          </w:p>
        </w:tc>
      </w:tr>
      <w:tr w:rsidR="004A7049">
        <w:trPr>
          <w:cantSplit/>
          <w:trHeight w:val="403"/>
        </w:trPr>
        <w:tc>
          <w:tcPr>
            <w:tcW w:w="1560" w:type="dxa"/>
            <w:tcBorders>
              <w:top w:val="single" w:sz="6" w:space="0" w:color="auto"/>
              <w:left w:val="single" w:sz="6" w:space="0" w:color="auto"/>
            </w:tcBorders>
          </w:tcPr>
          <w:p w:rsidR="004A7049" w:rsidRDefault="004A7049">
            <w:pPr>
              <w:rPr>
                <w:sz w:val="24"/>
              </w:rPr>
            </w:pPr>
            <w:r>
              <w:rPr>
                <w:sz w:val="24"/>
              </w:rPr>
              <w:t>600.81</w:t>
            </w:r>
          </w:p>
        </w:tc>
        <w:tc>
          <w:tcPr>
            <w:tcW w:w="1560" w:type="dxa"/>
            <w:tcBorders>
              <w:top w:val="single" w:sz="6" w:space="0" w:color="auto"/>
              <w:left w:val="single" w:sz="6" w:space="0" w:color="auto"/>
            </w:tcBorders>
          </w:tcPr>
          <w:p w:rsidR="004A7049" w:rsidRDefault="004A7049">
            <w:pPr>
              <w:jc w:val="center"/>
              <w:rPr>
                <w:sz w:val="24"/>
              </w:rPr>
            </w:pPr>
            <w:r>
              <w:rPr>
                <w:sz w:val="24"/>
              </w:rPr>
              <w:t>131</w:t>
            </w:r>
          </w:p>
        </w:tc>
        <w:tc>
          <w:tcPr>
            <w:tcW w:w="1560" w:type="dxa"/>
            <w:tcBorders>
              <w:top w:val="single" w:sz="6" w:space="0" w:color="auto"/>
              <w:left w:val="single" w:sz="6" w:space="0" w:color="auto"/>
            </w:tcBorders>
          </w:tcPr>
          <w:p w:rsidR="004A7049" w:rsidRDefault="004A7049">
            <w:pPr>
              <w:jc w:val="center"/>
              <w:rPr>
                <w:sz w:val="24"/>
              </w:rPr>
            </w:pPr>
            <w:r>
              <w:rPr>
                <w:sz w:val="24"/>
              </w:rPr>
              <w:t xml:space="preserve">     2.55</w:t>
            </w:r>
          </w:p>
        </w:tc>
        <w:tc>
          <w:tcPr>
            <w:tcW w:w="1560" w:type="dxa"/>
            <w:tcBorders>
              <w:top w:val="single" w:sz="6" w:space="0" w:color="auto"/>
              <w:left w:val="single" w:sz="6" w:space="0" w:color="auto"/>
            </w:tcBorders>
          </w:tcPr>
          <w:p w:rsidR="004A7049" w:rsidRDefault="004A7049">
            <w:pPr>
              <w:jc w:val="center"/>
              <w:rPr>
                <w:sz w:val="24"/>
              </w:rPr>
            </w:pPr>
            <w:r>
              <w:rPr>
                <w:sz w:val="24"/>
              </w:rPr>
              <w:t xml:space="preserve">       334</w:t>
            </w:r>
          </w:p>
        </w:tc>
        <w:tc>
          <w:tcPr>
            <w:tcW w:w="1560" w:type="dxa"/>
            <w:tcBorders>
              <w:top w:val="single" w:sz="6" w:space="0" w:color="auto"/>
              <w:left w:val="single" w:sz="6" w:space="0" w:color="auto"/>
            </w:tcBorders>
          </w:tcPr>
          <w:p w:rsidR="004A7049" w:rsidRDefault="004A7049">
            <w:pPr>
              <w:jc w:val="center"/>
              <w:rPr>
                <w:sz w:val="24"/>
              </w:rPr>
            </w:pPr>
            <w:r>
              <w:rPr>
                <w:sz w:val="24"/>
              </w:rPr>
              <w:t>1</w:t>
            </w:r>
          </w:p>
        </w:tc>
        <w:tc>
          <w:tcPr>
            <w:tcW w:w="1497" w:type="dxa"/>
            <w:tcBorders>
              <w:top w:val="single" w:sz="6" w:space="0" w:color="auto"/>
              <w:left w:val="single" w:sz="6" w:space="0" w:color="auto"/>
              <w:right w:val="single" w:sz="6" w:space="0" w:color="auto"/>
            </w:tcBorders>
          </w:tcPr>
          <w:p w:rsidR="004A7049" w:rsidRDefault="004A7049" w:rsidP="005A746D">
            <w:pPr>
              <w:tabs>
                <w:tab w:val="left" w:pos="995"/>
              </w:tabs>
              <w:jc w:val="center"/>
              <w:rPr>
                <w:sz w:val="24"/>
              </w:rPr>
            </w:pPr>
            <w:r>
              <w:rPr>
                <w:sz w:val="24"/>
              </w:rPr>
              <w:t xml:space="preserve">          334</w:t>
            </w:r>
          </w:p>
        </w:tc>
      </w:tr>
      <w:tr w:rsidR="004A7049">
        <w:trPr>
          <w:cantSplit/>
          <w:trHeight w:val="403"/>
        </w:trPr>
        <w:tc>
          <w:tcPr>
            <w:tcW w:w="1560" w:type="dxa"/>
            <w:tcBorders>
              <w:top w:val="single" w:sz="6" w:space="0" w:color="auto"/>
              <w:left w:val="single" w:sz="6" w:space="0" w:color="auto"/>
            </w:tcBorders>
          </w:tcPr>
          <w:p w:rsidR="004A7049" w:rsidRDefault="004A7049">
            <w:pPr>
              <w:rPr>
                <w:sz w:val="24"/>
              </w:rPr>
            </w:pPr>
            <w:r>
              <w:rPr>
                <w:sz w:val="24"/>
              </w:rPr>
              <w:t>600.90</w:t>
            </w:r>
          </w:p>
        </w:tc>
        <w:tc>
          <w:tcPr>
            <w:tcW w:w="1560" w:type="dxa"/>
            <w:tcBorders>
              <w:top w:val="single" w:sz="6" w:space="0" w:color="auto"/>
              <w:left w:val="single" w:sz="6" w:space="0" w:color="auto"/>
            </w:tcBorders>
          </w:tcPr>
          <w:p w:rsidR="004A7049" w:rsidRDefault="004A7049">
            <w:pPr>
              <w:jc w:val="center"/>
              <w:rPr>
                <w:sz w:val="24"/>
              </w:rPr>
            </w:pPr>
            <w:r>
              <w:rPr>
                <w:sz w:val="24"/>
              </w:rPr>
              <w:t>35</w:t>
            </w:r>
          </w:p>
        </w:tc>
        <w:tc>
          <w:tcPr>
            <w:tcW w:w="1560" w:type="dxa"/>
            <w:tcBorders>
              <w:top w:val="single" w:sz="6" w:space="0" w:color="auto"/>
              <w:left w:val="single" w:sz="6" w:space="0" w:color="auto"/>
            </w:tcBorders>
          </w:tcPr>
          <w:p w:rsidR="004A7049" w:rsidRDefault="004A7049">
            <w:pPr>
              <w:jc w:val="center"/>
              <w:rPr>
                <w:sz w:val="24"/>
              </w:rPr>
            </w:pPr>
            <w:r>
              <w:rPr>
                <w:sz w:val="24"/>
              </w:rPr>
              <w:t xml:space="preserve">     1.83</w:t>
            </w:r>
          </w:p>
        </w:tc>
        <w:tc>
          <w:tcPr>
            <w:tcW w:w="1560" w:type="dxa"/>
            <w:tcBorders>
              <w:top w:val="single" w:sz="6" w:space="0" w:color="auto"/>
              <w:left w:val="single" w:sz="6" w:space="0" w:color="auto"/>
            </w:tcBorders>
          </w:tcPr>
          <w:p w:rsidR="004A7049" w:rsidRDefault="004A7049" w:rsidP="00D22872">
            <w:pPr>
              <w:rPr>
                <w:sz w:val="24"/>
              </w:rPr>
            </w:pPr>
            <w:r>
              <w:rPr>
                <w:sz w:val="24"/>
              </w:rPr>
              <w:t xml:space="preserve">              64</w:t>
            </w:r>
          </w:p>
        </w:tc>
        <w:tc>
          <w:tcPr>
            <w:tcW w:w="1560" w:type="dxa"/>
            <w:tcBorders>
              <w:top w:val="single" w:sz="6" w:space="0" w:color="auto"/>
              <w:left w:val="single" w:sz="6" w:space="0" w:color="auto"/>
            </w:tcBorders>
          </w:tcPr>
          <w:p w:rsidR="004A7049" w:rsidRDefault="004A7049">
            <w:pPr>
              <w:jc w:val="center"/>
              <w:rPr>
                <w:sz w:val="24"/>
              </w:rPr>
            </w:pPr>
            <w:r>
              <w:rPr>
                <w:sz w:val="24"/>
              </w:rPr>
              <w:t>1</w:t>
            </w:r>
          </w:p>
        </w:tc>
        <w:tc>
          <w:tcPr>
            <w:tcW w:w="1497" w:type="dxa"/>
            <w:tcBorders>
              <w:top w:val="single" w:sz="6" w:space="0" w:color="auto"/>
              <w:left w:val="single" w:sz="6" w:space="0" w:color="auto"/>
              <w:right w:val="single" w:sz="6" w:space="0" w:color="auto"/>
            </w:tcBorders>
          </w:tcPr>
          <w:p w:rsidR="004A7049" w:rsidRDefault="004A7049" w:rsidP="00D22872">
            <w:pPr>
              <w:tabs>
                <w:tab w:val="left" w:pos="275"/>
                <w:tab w:val="left" w:pos="845"/>
              </w:tabs>
              <w:rPr>
                <w:sz w:val="24"/>
              </w:rPr>
            </w:pPr>
            <w:r>
              <w:rPr>
                <w:sz w:val="24"/>
              </w:rPr>
              <w:t xml:space="preserve">               64</w:t>
            </w:r>
          </w:p>
        </w:tc>
      </w:tr>
      <w:tr w:rsidR="004A7049">
        <w:trPr>
          <w:cantSplit/>
          <w:trHeight w:val="403"/>
        </w:trPr>
        <w:tc>
          <w:tcPr>
            <w:tcW w:w="7800" w:type="dxa"/>
            <w:gridSpan w:val="5"/>
            <w:tcBorders>
              <w:top w:val="single" w:sz="6" w:space="0" w:color="auto"/>
              <w:left w:val="single" w:sz="6" w:space="0" w:color="auto"/>
              <w:bottom w:val="single" w:sz="6" w:space="0" w:color="auto"/>
            </w:tcBorders>
          </w:tcPr>
          <w:p w:rsidR="004A7049" w:rsidRDefault="00E4056B" w:rsidP="00E4056B">
            <w:pPr>
              <w:rPr>
                <w:sz w:val="24"/>
              </w:rPr>
            </w:pPr>
            <w:r>
              <w:rPr>
                <w:sz w:val="24"/>
              </w:rPr>
              <w:t>Total</w:t>
            </w:r>
          </w:p>
        </w:tc>
        <w:tc>
          <w:tcPr>
            <w:tcW w:w="1497" w:type="dxa"/>
            <w:tcBorders>
              <w:top w:val="single" w:sz="6" w:space="0" w:color="auto"/>
              <w:left w:val="single" w:sz="6" w:space="0" w:color="auto"/>
              <w:bottom w:val="single" w:sz="6" w:space="0" w:color="auto"/>
              <w:right w:val="single" w:sz="6" w:space="0" w:color="auto"/>
            </w:tcBorders>
          </w:tcPr>
          <w:p w:rsidR="004A7049" w:rsidRDefault="004A7049" w:rsidP="005A746D">
            <w:pPr>
              <w:tabs>
                <w:tab w:val="left" w:pos="365"/>
                <w:tab w:val="left" w:pos="995"/>
              </w:tabs>
              <w:jc w:val="center"/>
              <w:rPr>
                <w:sz w:val="24"/>
              </w:rPr>
            </w:pPr>
            <w:r>
              <w:rPr>
                <w:sz w:val="24"/>
              </w:rPr>
              <w:t xml:space="preserve"> 3,807,544</w:t>
            </w:r>
          </w:p>
        </w:tc>
      </w:tr>
    </w:tbl>
    <w:p w:rsidR="004A7049" w:rsidRDefault="004A7049" w:rsidP="00762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985ED0">
        <w:rPr>
          <w:color w:val="000000"/>
          <w:sz w:val="24"/>
          <w:szCs w:val="24"/>
        </w:rPr>
        <w:t xml:space="preserve">Respondents to this collection of information are manufacturers of biological </w:t>
      </w:r>
      <w:r w:rsidRPr="00432F11">
        <w:rPr>
          <w:color w:val="000000"/>
          <w:sz w:val="24"/>
          <w:szCs w:val="24"/>
        </w:rPr>
        <w:t>products and any person whose name appears on the label of a licensed biological product</w:t>
      </w:r>
      <w:r w:rsidRPr="00985ED0">
        <w:rPr>
          <w:color w:val="000000"/>
          <w:sz w:val="24"/>
          <w:szCs w:val="24"/>
        </w:rPr>
        <w:t xml:space="preserve">.  </w:t>
      </w:r>
      <w:r>
        <w:rPr>
          <w:color w:val="000000"/>
          <w:sz w:val="24"/>
          <w:szCs w:val="24"/>
        </w:rPr>
        <w:t>T</w:t>
      </w:r>
      <w:r w:rsidRPr="00985ED0">
        <w:rPr>
          <w:color w:val="000000"/>
          <w:sz w:val="24"/>
          <w:szCs w:val="24"/>
        </w:rPr>
        <w:t xml:space="preserve">he number of respondents is based on the estimated number of manufacturers </w:t>
      </w:r>
      <w:r w:rsidRPr="00432F11">
        <w:rPr>
          <w:color w:val="000000"/>
          <w:sz w:val="24"/>
          <w:szCs w:val="24"/>
        </w:rPr>
        <w:t>that are subject to those regulations or</w:t>
      </w:r>
      <w:r>
        <w:rPr>
          <w:color w:val="000000"/>
        </w:rPr>
        <w:t xml:space="preserve"> </w:t>
      </w:r>
      <w:r w:rsidRPr="00985ED0">
        <w:rPr>
          <w:color w:val="000000"/>
          <w:sz w:val="24"/>
          <w:szCs w:val="24"/>
        </w:rPr>
        <w:t>that submitted the required information to the CBER and CDE</w:t>
      </w:r>
      <w:r>
        <w:rPr>
          <w:color w:val="000000"/>
          <w:sz w:val="24"/>
          <w:szCs w:val="24"/>
        </w:rPr>
        <w:t>R, FDA, in fiscal year (FY) 2013</w:t>
      </w:r>
      <w:r w:rsidRPr="00985ED0">
        <w:rPr>
          <w:color w:val="000000"/>
          <w:sz w:val="24"/>
          <w:szCs w:val="24"/>
        </w:rPr>
        <w:t>.  Based on information obtained from the FDA’</w:t>
      </w:r>
      <w:r>
        <w:rPr>
          <w:color w:val="000000"/>
          <w:sz w:val="24"/>
          <w:szCs w:val="24"/>
        </w:rPr>
        <w:t>s database system, there were 131</w:t>
      </w:r>
      <w:r w:rsidRPr="00985ED0">
        <w:rPr>
          <w:color w:val="000000"/>
          <w:sz w:val="24"/>
          <w:szCs w:val="24"/>
        </w:rPr>
        <w:t xml:space="preserve"> licensed biologics manufacturers.  This number excludes t</w:t>
      </w:r>
      <w:r>
        <w:rPr>
          <w:color w:val="000000"/>
          <w:sz w:val="24"/>
          <w:szCs w:val="24"/>
        </w:rPr>
        <w:t xml:space="preserve">hose manufacturers who produce Whole Blood or </w:t>
      </w:r>
      <w:r>
        <w:rPr>
          <w:color w:val="000000"/>
          <w:sz w:val="24"/>
          <w:szCs w:val="24"/>
        </w:rPr>
        <w:lastRenderedPageBreak/>
        <w:t xml:space="preserve">components of Whole Blood </w:t>
      </w:r>
      <w:r w:rsidRPr="00985ED0">
        <w:rPr>
          <w:color w:val="000000"/>
          <w:sz w:val="24"/>
          <w:szCs w:val="24"/>
        </w:rPr>
        <w:t>and in-vitro diagnostic licensed products, because</w:t>
      </w:r>
      <w:r>
        <w:rPr>
          <w:color w:val="000000"/>
          <w:sz w:val="24"/>
          <w:szCs w:val="24"/>
        </w:rPr>
        <w:t xml:space="preserve"> of the exemption under</w:t>
      </w:r>
      <w:r w:rsidRPr="00985ED0">
        <w:rPr>
          <w:color w:val="000000"/>
          <w:sz w:val="24"/>
          <w:szCs w:val="24"/>
        </w:rPr>
        <w:t xml:space="preserve"> § 60</w:t>
      </w:r>
      <w:r>
        <w:rPr>
          <w:color w:val="000000"/>
          <w:sz w:val="24"/>
          <w:szCs w:val="24"/>
        </w:rPr>
        <w:t>0.80(k)</w:t>
      </w:r>
      <w:r w:rsidRPr="00985ED0">
        <w:rPr>
          <w:color w:val="000000"/>
          <w:sz w:val="24"/>
          <w:szCs w:val="24"/>
        </w:rPr>
        <w:t>.  The total annual resp</w:t>
      </w:r>
      <w:r>
        <w:rPr>
          <w:color w:val="000000"/>
          <w:sz w:val="24"/>
          <w:szCs w:val="24"/>
        </w:rPr>
        <w:t>onses are based on the</w:t>
      </w:r>
      <w:r w:rsidRPr="00985ED0">
        <w:rPr>
          <w:color w:val="000000"/>
          <w:sz w:val="24"/>
          <w:szCs w:val="24"/>
        </w:rPr>
        <w:t xml:space="preserve"> number of submissions rec</w:t>
      </w:r>
      <w:r>
        <w:rPr>
          <w:color w:val="000000"/>
          <w:sz w:val="24"/>
          <w:szCs w:val="24"/>
        </w:rPr>
        <w:t>eived annually by FDA in FY 2013</w:t>
      </w:r>
      <w:r w:rsidRPr="00985ED0">
        <w:rPr>
          <w:color w:val="000000"/>
          <w:sz w:val="24"/>
          <w:szCs w:val="24"/>
        </w:rPr>
        <w:t xml:space="preserve">.  </w:t>
      </w:r>
      <w:r>
        <w:rPr>
          <w:color w:val="000000"/>
          <w:sz w:val="24"/>
          <w:szCs w:val="24"/>
        </w:rPr>
        <w:t>There were an estimated 92,470 15-day Alert reports, 132,667</w:t>
      </w:r>
      <w:r w:rsidRPr="00985ED0">
        <w:rPr>
          <w:color w:val="000000"/>
          <w:sz w:val="24"/>
          <w:szCs w:val="24"/>
        </w:rPr>
        <w:t xml:space="preserve"> periodic reports, </w:t>
      </w:r>
      <w:r>
        <w:rPr>
          <w:color w:val="000000"/>
          <w:sz w:val="24"/>
          <w:szCs w:val="24"/>
        </w:rPr>
        <w:t>and 334</w:t>
      </w:r>
      <w:r w:rsidRPr="00985ED0">
        <w:rPr>
          <w:color w:val="000000"/>
          <w:sz w:val="24"/>
          <w:szCs w:val="24"/>
        </w:rPr>
        <w:t xml:space="preserve"> lot distribution reports submitted to FDA.  The number of 15-day Alert reports for postmarketing studies under § 600.80(e) is included in the total number of 15-da</w:t>
      </w:r>
      <w:r>
        <w:rPr>
          <w:color w:val="000000"/>
          <w:sz w:val="24"/>
          <w:szCs w:val="24"/>
        </w:rPr>
        <w:t>y Alert reports.  FDA received 64</w:t>
      </w:r>
      <w:r w:rsidRPr="00985ED0">
        <w:rPr>
          <w:color w:val="000000"/>
          <w:sz w:val="24"/>
          <w:szCs w:val="24"/>
        </w:rPr>
        <w:t xml:space="preserve"> requests</w:t>
      </w:r>
      <w:r>
        <w:rPr>
          <w:color w:val="000000"/>
          <w:sz w:val="24"/>
          <w:szCs w:val="24"/>
        </w:rPr>
        <w:t xml:space="preserve"> from 35 manufacturers</w:t>
      </w:r>
      <w:r w:rsidRPr="00985ED0">
        <w:rPr>
          <w:color w:val="000000"/>
          <w:sz w:val="24"/>
          <w:szCs w:val="24"/>
        </w:rPr>
        <w:t xml:space="preserve"> for wa</w:t>
      </w:r>
      <w:r>
        <w:rPr>
          <w:color w:val="000000"/>
          <w:sz w:val="24"/>
          <w:szCs w:val="24"/>
        </w:rPr>
        <w:t xml:space="preserve">ivers under § 600.90, </w:t>
      </w:r>
      <w:r w:rsidRPr="00985ED0">
        <w:rPr>
          <w:color w:val="000000"/>
          <w:sz w:val="24"/>
          <w:szCs w:val="24"/>
        </w:rPr>
        <w:t>of which</w:t>
      </w:r>
      <w:r>
        <w:rPr>
          <w:color w:val="000000"/>
          <w:sz w:val="24"/>
          <w:szCs w:val="24"/>
        </w:rPr>
        <w:t xml:space="preserve"> 63</w:t>
      </w:r>
      <w:r w:rsidRPr="00985ED0">
        <w:rPr>
          <w:color w:val="000000"/>
          <w:sz w:val="24"/>
          <w:szCs w:val="24"/>
        </w:rPr>
        <w:t xml:space="preserve"> were granted.  The hours per response are based on FDA experience.  The burden hours required to complete the MedWatch Form for § 600.80(c)(1), (e), and (f) are reported under OMB Control No. 0910-0291.</w:t>
      </w:r>
    </w:p>
    <w:p w:rsidR="004A7049" w:rsidRPr="00985ED0" w:rsidRDefault="004A7049" w:rsidP="00762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4A7049" w:rsidRDefault="004A7049">
      <w:pPr>
        <w:rPr>
          <w:sz w:val="24"/>
        </w:rPr>
      </w:pPr>
    </w:p>
    <w:tbl>
      <w:tblPr>
        <w:tblW w:w="0" w:type="auto"/>
        <w:tblInd w:w="100" w:type="dxa"/>
        <w:tblLayout w:type="fixed"/>
        <w:tblCellMar>
          <w:left w:w="100" w:type="dxa"/>
          <w:right w:w="100" w:type="dxa"/>
        </w:tblCellMar>
        <w:tblLook w:val="0000" w:firstRow="0" w:lastRow="0" w:firstColumn="0" w:lastColumn="0" w:noHBand="0" w:noVBand="0"/>
      </w:tblPr>
      <w:tblGrid>
        <w:gridCol w:w="1620"/>
        <w:gridCol w:w="1710"/>
        <w:gridCol w:w="1800"/>
        <w:gridCol w:w="1440"/>
        <w:gridCol w:w="1710"/>
        <w:gridCol w:w="1080"/>
      </w:tblGrid>
      <w:tr w:rsidR="004A7049">
        <w:trPr>
          <w:cantSplit/>
          <w:trHeight w:val="403"/>
        </w:trPr>
        <w:tc>
          <w:tcPr>
            <w:tcW w:w="9360" w:type="dxa"/>
            <w:gridSpan w:val="6"/>
            <w:tcBorders>
              <w:top w:val="single" w:sz="6" w:space="0" w:color="auto"/>
              <w:left w:val="single" w:sz="6" w:space="0" w:color="auto"/>
              <w:right w:val="single" w:sz="6" w:space="0" w:color="auto"/>
            </w:tcBorders>
          </w:tcPr>
          <w:p w:rsidR="004A7049" w:rsidRPr="00BB51F7" w:rsidRDefault="00370870" w:rsidP="00E4056B">
            <w:pPr>
              <w:jc w:val="center"/>
              <w:rPr>
                <w:vertAlign w:val="superscript"/>
              </w:rPr>
            </w:pPr>
            <w:r>
              <w:rPr>
                <w:sz w:val="24"/>
              </w:rPr>
              <w:t>Table 2.--</w:t>
            </w:r>
            <w:r w:rsidR="004A7049">
              <w:rPr>
                <w:sz w:val="24"/>
              </w:rPr>
              <w:t>Estimated Annual Recordkeeping Burden</w:t>
            </w:r>
          </w:p>
        </w:tc>
      </w:tr>
      <w:tr w:rsidR="004A7049">
        <w:trPr>
          <w:cantSplit/>
          <w:trHeight w:val="403"/>
        </w:trPr>
        <w:tc>
          <w:tcPr>
            <w:tcW w:w="1620" w:type="dxa"/>
            <w:tcBorders>
              <w:top w:val="double" w:sz="6" w:space="0" w:color="auto"/>
              <w:left w:val="single" w:sz="6" w:space="0" w:color="auto"/>
              <w:bottom w:val="double" w:sz="6" w:space="0" w:color="auto"/>
            </w:tcBorders>
          </w:tcPr>
          <w:p w:rsidR="004A7049" w:rsidRDefault="004A7049">
            <w:pPr>
              <w:jc w:val="center"/>
              <w:rPr>
                <w:sz w:val="24"/>
              </w:rPr>
            </w:pPr>
            <w:r>
              <w:rPr>
                <w:sz w:val="24"/>
              </w:rPr>
              <w:t>21 CFR Section</w:t>
            </w:r>
          </w:p>
        </w:tc>
        <w:tc>
          <w:tcPr>
            <w:tcW w:w="171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Recordkeepers</w:t>
            </w:r>
          </w:p>
        </w:tc>
        <w:tc>
          <w:tcPr>
            <w:tcW w:w="180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Records per Recordkeeper</w:t>
            </w:r>
          </w:p>
        </w:tc>
        <w:tc>
          <w:tcPr>
            <w:tcW w:w="1440" w:type="dxa"/>
            <w:tcBorders>
              <w:top w:val="double" w:sz="6" w:space="0" w:color="auto"/>
              <w:left w:val="single" w:sz="6" w:space="0" w:color="auto"/>
              <w:bottom w:val="double" w:sz="6" w:space="0" w:color="auto"/>
            </w:tcBorders>
          </w:tcPr>
          <w:p w:rsidR="004A7049" w:rsidRDefault="004A7049">
            <w:pPr>
              <w:jc w:val="center"/>
              <w:rPr>
                <w:sz w:val="24"/>
              </w:rPr>
            </w:pPr>
            <w:r>
              <w:rPr>
                <w:sz w:val="24"/>
              </w:rPr>
              <w:t>Total Annual Records</w:t>
            </w:r>
          </w:p>
        </w:tc>
        <w:tc>
          <w:tcPr>
            <w:tcW w:w="1710" w:type="dxa"/>
            <w:tcBorders>
              <w:top w:val="double" w:sz="6" w:space="0" w:color="auto"/>
              <w:left w:val="single" w:sz="6" w:space="0" w:color="auto"/>
              <w:bottom w:val="double" w:sz="6" w:space="0" w:color="auto"/>
            </w:tcBorders>
          </w:tcPr>
          <w:p w:rsidR="004A7049" w:rsidRDefault="004A7049" w:rsidP="00E4056B">
            <w:pPr>
              <w:jc w:val="center"/>
              <w:rPr>
                <w:sz w:val="24"/>
              </w:rPr>
            </w:pPr>
            <w:r>
              <w:rPr>
                <w:sz w:val="24"/>
              </w:rPr>
              <w:t xml:space="preserve">Average Burden per Recordkeeping </w:t>
            </w:r>
          </w:p>
        </w:tc>
        <w:tc>
          <w:tcPr>
            <w:tcW w:w="1080" w:type="dxa"/>
            <w:tcBorders>
              <w:top w:val="double" w:sz="6" w:space="0" w:color="auto"/>
              <w:left w:val="single" w:sz="6" w:space="0" w:color="auto"/>
              <w:bottom w:val="double" w:sz="6" w:space="0" w:color="auto"/>
              <w:right w:val="single" w:sz="6" w:space="0" w:color="auto"/>
            </w:tcBorders>
          </w:tcPr>
          <w:p w:rsidR="004A7049" w:rsidRDefault="004A7049">
            <w:pPr>
              <w:jc w:val="center"/>
              <w:rPr>
                <w:sz w:val="24"/>
              </w:rPr>
            </w:pPr>
            <w:r>
              <w:rPr>
                <w:sz w:val="24"/>
              </w:rPr>
              <w:t>Total Hours</w:t>
            </w:r>
          </w:p>
        </w:tc>
      </w:tr>
      <w:tr w:rsidR="004A7049">
        <w:trPr>
          <w:cantSplit/>
          <w:trHeight w:val="403"/>
        </w:trPr>
        <w:tc>
          <w:tcPr>
            <w:tcW w:w="1620" w:type="dxa"/>
            <w:tcBorders>
              <w:left w:val="single" w:sz="6" w:space="0" w:color="auto"/>
            </w:tcBorders>
          </w:tcPr>
          <w:p w:rsidR="004A7049" w:rsidRDefault="004A7049" w:rsidP="00DC16EE">
            <w:pPr>
              <w:rPr>
                <w:sz w:val="24"/>
              </w:rPr>
            </w:pPr>
            <w:r>
              <w:rPr>
                <w:sz w:val="24"/>
              </w:rPr>
              <w:t>600.12</w:t>
            </w:r>
            <w:r w:rsidR="00DC16EE">
              <w:rPr>
                <w:vertAlign w:val="superscript"/>
              </w:rPr>
              <w:t>1</w:t>
            </w:r>
            <w:r>
              <w:rPr>
                <w:sz w:val="24"/>
              </w:rPr>
              <w:t xml:space="preserve"> </w:t>
            </w:r>
          </w:p>
        </w:tc>
        <w:tc>
          <w:tcPr>
            <w:tcW w:w="1710" w:type="dxa"/>
            <w:tcBorders>
              <w:left w:val="single" w:sz="6" w:space="0" w:color="auto"/>
            </w:tcBorders>
          </w:tcPr>
          <w:p w:rsidR="004A7049" w:rsidRDefault="004A7049">
            <w:pPr>
              <w:jc w:val="center"/>
              <w:rPr>
                <w:sz w:val="24"/>
              </w:rPr>
            </w:pPr>
            <w:r>
              <w:rPr>
                <w:sz w:val="24"/>
              </w:rPr>
              <w:t>164</w:t>
            </w:r>
          </w:p>
        </w:tc>
        <w:tc>
          <w:tcPr>
            <w:tcW w:w="1800" w:type="dxa"/>
            <w:tcBorders>
              <w:left w:val="single" w:sz="6" w:space="0" w:color="auto"/>
            </w:tcBorders>
          </w:tcPr>
          <w:p w:rsidR="004A7049" w:rsidRDefault="004A7049">
            <w:pPr>
              <w:jc w:val="center"/>
              <w:rPr>
                <w:sz w:val="24"/>
              </w:rPr>
            </w:pPr>
            <w:r>
              <w:rPr>
                <w:sz w:val="24"/>
              </w:rPr>
              <w:t>41.99</w:t>
            </w:r>
          </w:p>
        </w:tc>
        <w:tc>
          <w:tcPr>
            <w:tcW w:w="1440" w:type="dxa"/>
            <w:tcBorders>
              <w:left w:val="single" w:sz="6" w:space="0" w:color="auto"/>
            </w:tcBorders>
          </w:tcPr>
          <w:p w:rsidR="004A7049" w:rsidRDefault="004A7049">
            <w:pPr>
              <w:jc w:val="center"/>
              <w:rPr>
                <w:sz w:val="24"/>
              </w:rPr>
            </w:pPr>
            <w:r>
              <w:rPr>
                <w:sz w:val="24"/>
              </w:rPr>
              <w:t xml:space="preserve">   6,887</w:t>
            </w:r>
          </w:p>
        </w:tc>
        <w:tc>
          <w:tcPr>
            <w:tcW w:w="1710" w:type="dxa"/>
            <w:tcBorders>
              <w:left w:val="single" w:sz="6" w:space="0" w:color="auto"/>
            </w:tcBorders>
          </w:tcPr>
          <w:p w:rsidR="004A7049" w:rsidRDefault="004A7049">
            <w:pPr>
              <w:jc w:val="center"/>
              <w:rPr>
                <w:sz w:val="24"/>
              </w:rPr>
            </w:pPr>
            <w:r>
              <w:rPr>
                <w:sz w:val="24"/>
              </w:rPr>
              <w:t>32</w:t>
            </w:r>
          </w:p>
        </w:tc>
        <w:tc>
          <w:tcPr>
            <w:tcW w:w="1080" w:type="dxa"/>
            <w:tcBorders>
              <w:left w:val="single" w:sz="6" w:space="0" w:color="auto"/>
              <w:right w:val="single" w:sz="6" w:space="0" w:color="auto"/>
            </w:tcBorders>
          </w:tcPr>
          <w:p w:rsidR="004A7049" w:rsidRDefault="004A7049">
            <w:pPr>
              <w:jc w:val="center"/>
              <w:rPr>
                <w:sz w:val="24"/>
              </w:rPr>
            </w:pPr>
            <w:r>
              <w:rPr>
                <w:sz w:val="24"/>
              </w:rPr>
              <w:t>220,384</w:t>
            </w:r>
          </w:p>
        </w:tc>
      </w:tr>
      <w:tr w:rsidR="004A7049">
        <w:trPr>
          <w:cantSplit/>
          <w:trHeight w:val="403"/>
        </w:trPr>
        <w:tc>
          <w:tcPr>
            <w:tcW w:w="1620" w:type="dxa"/>
            <w:tcBorders>
              <w:top w:val="single" w:sz="6" w:space="0" w:color="auto"/>
              <w:left w:val="single" w:sz="6" w:space="0" w:color="auto"/>
            </w:tcBorders>
          </w:tcPr>
          <w:p w:rsidR="004A7049" w:rsidRDefault="004A7049">
            <w:pPr>
              <w:rPr>
                <w:sz w:val="24"/>
              </w:rPr>
            </w:pPr>
            <w:r>
              <w:rPr>
                <w:sz w:val="24"/>
              </w:rPr>
              <w:t>600.12(b)(2)</w:t>
            </w:r>
          </w:p>
        </w:tc>
        <w:tc>
          <w:tcPr>
            <w:tcW w:w="1710" w:type="dxa"/>
            <w:tcBorders>
              <w:top w:val="single" w:sz="6" w:space="0" w:color="auto"/>
              <w:left w:val="single" w:sz="6" w:space="0" w:color="auto"/>
            </w:tcBorders>
          </w:tcPr>
          <w:p w:rsidR="004A7049" w:rsidRDefault="004A7049">
            <w:pPr>
              <w:jc w:val="center"/>
              <w:rPr>
                <w:sz w:val="24"/>
              </w:rPr>
            </w:pPr>
            <w:r>
              <w:rPr>
                <w:sz w:val="24"/>
              </w:rPr>
              <w:t>334</w:t>
            </w:r>
          </w:p>
        </w:tc>
        <w:tc>
          <w:tcPr>
            <w:tcW w:w="1800" w:type="dxa"/>
            <w:tcBorders>
              <w:top w:val="single" w:sz="6" w:space="0" w:color="auto"/>
              <w:left w:val="single" w:sz="6" w:space="0" w:color="auto"/>
            </w:tcBorders>
          </w:tcPr>
          <w:p w:rsidR="004A7049" w:rsidRDefault="004A7049">
            <w:pPr>
              <w:jc w:val="center"/>
              <w:rPr>
                <w:sz w:val="24"/>
              </w:rPr>
            </w:pPr>
            <w:r>
              <w:rPr>
                <w:sz w:val="24"/>
              </w:rPr>
              <w:t xml:space="preserve">   5.03</w:t>
            </w:r>
          </w:p>
        </w:tc>
        <w:tc>
          <w:tcPr>
            <w:tcW w:w="1440" w:type="dxa"/>
            <w:tcBorders>
              <w:top w:val="single" w:sz="6" w:space="0" w:color="auto"/>
              <w:left w:val="single" w:sz="6" w:space="0" w:color="auto"/>
            </w:tcBorders>
          </w:tcPr>
          <w:p w:rsidR="004A7049" w:rsidRDefault="004A7049">
            <w:pPr>
              <w:jc w:val="center"/>
              <w:rPr>
                <w:sz w:val="24"/>
              </w:rPr>
            </w:pPr>
            <w:r>
              <w:rPr>
                <w:sz w:val="24"/>
              </w:rPr>
              <w:t xml:space="preserve">   1,679</w:t>
            </w:r>
          </w:p>
        </w:tc>
        <w:tc>
          <w:tcPr>
            <w:tcW w:w="1710" w:type="dxa"/>
            <w:tcBorders>
              <w:top w:val="single" w:sz="6" w:space="0" w:color="auto"/>
              <w:left w:val="single" w:sz="6" w:space="0" w:color="auto"/>
            </w:tcBorders>
          </w:tcPr>
          <w:p w:rsidR="004A7049" w:rsidRDefault="004A7049">
            <w:pPr>
              <w:jc w:val="center"/>
              <w:rPr>
                <w:sz w:val="24"/>
              </w:rPr>
            </w:pPr>
            <w:r>
              <w:rPr>
                <w:sz w:val="24"/>
              </w:rPr>
              <w:t>24</w:t>
            </w:r>
          </w:p>
        </w:tc>
        <w:tc>
          <w:tcPr>
            <w:tcW w:w="1080" w:type="dxa"/>
            <w:tcBorders>
              <w:top w:val="single" w:sz="6" w:space="0" w:color="auto"/>
              <w:left w:val="single" w:sz="6" w:space="0" w:color="auto"/>
              <w:right w:val="single" w:sz="6" w:space="0" w:color="auto"/>
            </w:tcBorders>
          </w:tcPr>
          <w:p w:rsidR="004A7049" w:rsidRPr="00402D8A" w:rsidRDefault="004A7049">
            <w:pPr>
              <w:jc w:val="center"/>
              <w:rPr>
                <w:sz w:val="24"/>
              </w:rPr>
            </w:pPr>
            <w:r>
              <w:rPr>
                <w:sz w:val="24"/>
              </w:rPr>
              <w:t xml:space="preserve">  </w:t>
            </w:r>
            <w:r w:rsidRPr="00402D8A">
              <w:rPr>
                <w:sz w:val="24"/>
              </w:rPr>
              <w:t>4</w:t>
            </w:r>
            <w:r>
              <w:rPr>
                <w:sz w:val="24"/>
              </w:rPr>
              <w:t>0,296</w:t>
            </w:r>
          </w:p>
        </w:tc>
      </w:tr>
      <w:tr w:rsidR="004A7049">
        <w:trPr>
          <w:cantSplit/>
          <w:trHeight w:val="403"/>
        </w:trPr>
        <w:tc>
          <w:tcPr>
            <w:tcW w:w="1620" w:type="dxa"/>
            <w:tcBorders>
              <w:top w:val="single" w:sz="6" w:space="0" w:color="auto"/>
              <w:left w:val="single" w:sz="6" w:space="0" w:color="auto"/>
            </w:tcBorders>
          </w:tcPr>
          <w:p w:rsidR="004A7049" w:rsidRDefault="004A7049">
            <w:pPr>
              <w:rPr>
                <w:sz w:val="24"/>
              </w:rPr>
            </w:pPr>
            <w:r>
              <w:rPr>
                <w:sz w:val="24"/>
              </w:rPr>
              <w:t>600.80(i)</w:t>
            </w:r>
          </w:p>
        </w:tc>
        <w:tc>
          <w:tcPr>
            <w:tcW w:w="1710" w:type="dxa"/>
            <w:tcBorders>
              <w:top w:val="single" w:sz="6" w:space="0" w:color="auto"/>
              <w:left w:val="single" w:sz="6" w:space="0" w:color="auto"/>
            </w:tcBorders>
          </w:tcPr>
          <w:p w:rsidR="004A7049" w:rsidRDefault="004A7049">
            <w:pPr>
              <w:jc w:val="center"/>
              <w:rPr>
                <w:sz w:val="24"/>
              </w:rPr>
            </w:pPr>
            <w:r>
              <w:rPr>
                <w:sz w:val="24"/>
              </w:rPr>
              <w:t>131</w:t>
            </w:r>
          </w:p>
        </w:tc>
        <w:tc>
          <w:tcPr>
            <w:tcW w:w="1800" w:type="dxa"/>
            <w:tcBorders>
              <w:top w:val="single" w:sz="6" w:space="0" w:color="auto"/>
              <w:left w:val="single" w:sz="6" w:space="0" w:color="auto"/>
            </w:tcBorders>
          </w:tcPr>
          <w:p w:rsidR="004A7049" w:rsidRDefault="004A7049" w:rsidP="00515AD3">
            <w:pPr>
              <w:rPr>
                <w:sz w:val="24"/>
              </w:rPr>
            </w:pPr>
            <w:r>
              <w:rPr>
                <w:sz w:val="24"/>
              </w:rPr>
              <w:t xml:space="preserve">     1,718.60</w:t>
            </w:r>
          </w:p>
        </w:tc>
        <w:tc>
          <w:tcPr>
            <w:tcW w:w="1440" w:type="dxa"/>
            <w:tcBorders>
              <w:top w:val="single" w:sz="6" w:space="0" w:color="auto"/>
              <w:left w:val="single" w:sz="6" w:space="0" w:color="auto"/>
            </w:tcBorders>
          </w:tcPr>
          <w:p w:rsidR="004A7049" w:rsidRDefault="004A7049">
            <w:pPr>
              <w:jc w:val="center"/>
              <w:rPr>
                <w:sz w:val="24"/>
              </w:rPr>
            </w:pPr>
            <w:r>
              <w:rPr>
                <w:sz w:val="24"/>
              </w:rPr>
              <w:t>225,137</w:t>
            </w:r>
          </w:p>
        </w:tc>
        <w:tc>
          <w:tcPr>
            <w:tcW w:w="1710" w:type="dxa"/>
            <w:tcBorders>
              <w:top w:val="single" w:sz="6" w:space="0" w:color="auto"/>
              <w:left w:val="single" w:sz="6" w:space="0" w:color="auto"/>
            </w:tcBorders>
          </w:tcPr>
          <w:p w:rsidR="004A7049" w:rsidRDefault="004A7049">
            <w:pPr>
              <w:jc w:val="center"/>
              <w:rPr>
                <w:sz w:val="24"/>
              </w:rPr>
            </w:pPr>
            <w:r>
              <w:rPr>
                <w:sz w:val="24"/>
              </w:rPr>
              <w:t>1</w:t>
            </w:r>
          </w:p>
        </w:tc>
        <w:tc>
          <w:tcPr>
            <w:tcW w:w="1080" w:type="dxa"/>
            <w:tcBorders>
              <w:top w:val="single" w:sz="6" w:space="0" w:color="auto"/>
              <w:left w:val="single" w:sz="6" w:space="0" w:color="auto"/>
              <w:right w:val="single" w:sz="6" w:space="0" w:color="auto"/>
            </w:tcBorders>
          </w:tcPr>
          <w:p w:rsidR="004A7049" w:rsidRDefault="004A7049">
            <w:pPr>
              <w:jc w:val="center"/>
              <w:rPr>
                <w:sz w:val="24"/>
              </w:rPr>
            </w:pPr>
            <w:r>
              <w:rPr>
                <w:sz w:val="24"/>
              </w:rPr>
              <w:t>225,137</w:t>
            </w:r>
          </w:p>
        </w:tc>
      </w:tr>
      <w:tr w:rsidR="004A7049">
        <w:trPr>
          <w:cantSplit/>
          <w:trHeight w:val="403"/>
        </w:trPr>
        <w:tc>
          <w:tcPr>
            <w:tcW w:w="8280" w:type="dxa"/>
            <w:gridSpan w:val="5"/>
            <w:tcBorders>
              <w:top w:val="single" w:sz="6" w:space="0" w:color="auto"/>
              <w:left w:val="single" w:sz="6" w:space="0" w:color="auto"/>
              <w:bottom w:val="single" w:sz="6" w:space="0" w:color="auto"/>
            </w:tcBorders>
          </w:tcPr>
          <w:p w:rsidR="004A7049" w:rsidRDefault="004A7049">
            <w:pPr>
              <w:rPr>
                <w:sz w:val="24"/>
              </w:rPr>
            </w:pPr>
            <w:r>
              <w:rPr>
                <w:sz w:val="24"/>
              </w:rPr>
              <w:t>TOTAL</w:t>
            </w:r>
          </w:p>
        </w:tc>
        <w:tc>
          <w:tcPr>
            <w:tcW w:w="1080" w:type="dxa"/>
            <w:tcBorders>
              <w:top w:val="single" w:sz="6" w:space="0" w:color="auto"/>
              <w:left w:val="single" w:sz="6" w:space="0" w:color="auto"/>
              <w:bottom w:val="single" w:sz="6" w:space="0" w:color="auto"/>
              <w:right w:val="single" w:sz="6" w:space="0" w:color="auto"/>
            </w:tcBorders>
          </w:tcPr>
          <w:p w:rsidR="004A7049" w:rsidRDefault="004A7049">
            <w:pPr>
              <w:jc w:val="center"/>
              <w:rPr>
                <w:sz w:val="24"/>
              </w:rPr>
            </w:pPr>
            <w:r>
              <w:rPr>
                <w:sz w:val="24"/>
              </w:rPr>
              <w:t>485,817</w:t>
            </w:r>
          </w:p>
        </w:tc>
      </w:tr>
    </w:tbl>
    <w:p w:rsidR="004A7049" w:rsidRPr="00EF15D8" w:rsidRDefault="00DC16EE" w:rsidP="007375DD">
      <w:pPr>
        <w:tabs>
          <w:tab w:val="left" w:pos="-90"/>
          <w:tab w:val="left" w:pos="630"/>
          <w:tab w:val="left" w:pos="1350"/>
          <w:tab w:val="left" w:pos="2070"/>
          <w:tab w:val="left" w:pos="2790"/>
          <w:tab w:val="left" w:pos="3510"/>
          <w:tab w:val="left" w:pos="4230"/>
          <w:tab w:val="left" w:pos="4950"/>
          <w:tab w:val="left" w:pos="5670"/>
          <w:tab w:val="left" w:pos="6030"/>
          <w:tab w:val="left" w:pos="6390"/>
          <w:tab w:val="left" w:pos="7110"/>
          <w:tab w:val="left" w:pos="7830"/>
          <w:tab w:val="left" w:pos="8550"/>
        </w:tabs>
        <w:ind w:left="-86"/>
        <w:rPr>
          <w:color w:val="000000"/>
          <w:sz w:val="24"/>
          <w:szCs w:val="24"/>
        </w:rPr>
      </w:pPr>
      <w:r w:rsidRPr="00DC16EE">
        <w:rPr>
          <w:color w:val="000000"/>
          <w:szCs w:val="24"/>
          <w:vertAlign w:val="superscript"/>
        </w:rPr>
        <w:t>1</w:t>
      </w:r>
      <w:r w:rsidR="004A7049" w:rsidRPr="008452C5">
        <w:rPr>
          <w:color w:val="000000"/>
          <w:szCs w:val="24"/>
        </w:rPr>
        <w:t xml:space="preserve">The recordkeeping requirements in </w:t>
      </w:r>
      <w:r w:rsidR="004A7049">
        <w:rPr>
          <w:color w:val="000000"/>
          <w:szCs w:val="24"/>
        </w:rPr>
        <w:t xml:space="preserve">§ </w:t>
      </w:r>
      <w:r w:rsidR="004A7049" w:rsidRPr="008452C5">
        <w:rPr>
          <w:color w:val="000000"/>
          <w:szCs w:val="24"/>
        </w:rPr>
        <w:t xml:space="preserve">610.18(b) are included in the estimate for </w:t>
      </w:r>
      <w:r w:rsidR="004A7049">
        <w:rPr>
          <w:color w:val="000000"/>
          <w:szCs w:val="24"/>
        </w:rPr>
        <w:t>§</w:t>
      </w:r>
      <w:r w:rsidR="004A7049" w:rsidRPr="008452C5">
        <w:rPr>
          <w:color w:val="000000"/>
          <w:szCs w:val="24"/>
        </w:rPr>
        <w:t xml:space="preserve"> 600.12.</w:t>
      </w:r>
    </w:p>
    <w:p w:rsidR="004A7049" w:rsidRDefault="004A7049" w:rsidP="007375DD">
      <w:pPr>
        <w:tabs>
          <w:tab w:val="left" w:pos="-90"/>
          <w:tab w:val="left" w:pos="630"/>
          <w:tab w:val="left" w:pos="1350"/>
          <w:tab w:val="left" w:pos="2070"/>
          <w:tab w:val="left" w:pos="2790"/>
          <w:tab w:val="left" w:pos="3510"/>
          <w:tab w:val="left" w:pos="4230"/>
          <w:tab w:val="left" w:pos="4950"/>
          <w:tab w:val="left" w:pos="5670"/>
          <w:tab w:val="left" w:pos="6030"/>
          <w:tab w:val="left" w:pos="6390"/>
          <w:tab w:val="left" w:pos="7110"/>
          <w:tab w:val="left" w:pos="7830"/>
          <w:tab w:val="left" w:pos="8550"/>
        </w:tabs>
        <w:ind w:left="-86"/>
        <w:rPr>
          <w:color w:val="000000"/>
          <w:sz w:val="24"/>
          <w:szCs w:val="24"/>
        </w:rPr>
      </w:pPr>
    </w:p>
    <w:p w:rsidR="004A7049" w:rsidRPr="007375DD" w:rsidRDefault="004A7049" w:rsidP="007375DD">
      <w:pPr>
        <w:tabs>
          <w:tab w:val="left" w:pos="-90"/>
          <w:tab w:val="left" w:pos="630"/>
          <w:tab w:val="left" w:pos="1350"/>
          <w:tab w:val="left" w:pos="2070"/>
          <w:tab w:val="left" w:pos="2790"/>
          <w:tab w:val="left" w:pos="3510"/>
          <w:tab w:val="left" w:pos="4230"/>
          <w:tab w:val="left" w:pos="4950"/>
          <w:tab w:val="left" w:pos="5670"/>
          <w:tab w:val="left" w:pos="6030"/>
          <w:tab w:val="left" w:pos="6390"/>
          <w:tab w:val="left" w:pos="7110"/>
          <w:tab w:val="left" w:pos="7830"/>
          <w:tab w:val="left" w:pos="8550"/>
        </w:tabs>
        <w:ind w:left="-86"/>
        <w:rPr>
          <w:color w:val="000000"/>
          <w:sz w:val="24"/>
          <w:szCs w:val="24"/>
        </w:rPr>
      </w:pPr>
      <w:r>
        <w:rPr>
          <w:color w:val="000000"/>
          <w:sz w:val="24"/>
          <w:szCs w:val="24"/>
        </w:rPr>
        <w:t>The</w:t>
      </w:r>
      <w:r w:rsidRPr="007375DD">
        <w:rPr>
          <w:color w:val="000000"/>
          <w:sz w:val="24"/>
          <w:szCs w:val="24"/>
        </w:rPr>
        <w:t xml:space="preserve"> number of respondents is based on the number of manufacturers subject to those regulations.  Based on information obtained from FDA’s</w:t>
      </w:r>
      <w:r>
        <w:rPr>
          <w:color w:val="000000"/>
          <w:sz w:val="24"/>
          <w:szCs w:val="24"/>
        </w:rPr>
        <w:t xml:space="preserve"> database system, there were 334</w:t>
      </w:r>
      <w:r w:rsidRPr="007375DD">
        <w:rPr>
          <w:color w:val="000000"/>
          <w:sz w:val="24"/>
          <w:szCs w:val="24"/>
        </w:rPr>
        <w:t xml:space="preserve"> licensed manufacturers o</w:t>
      </w:r>
      <w:r>
        <w:rPr>
          <w:color w:val="000000"/>
          <w:sz w:val="24"/>
          <w:szCs w:val="24"/>
        </w:rPr>
        <w:t>f biological products in FY 2013</w:t>
      </w:r>
      <w:r w:rsidRPr="007375DD">
        <w:rPr>
          <w:color w:val="000000"/>
          <w:sz w:val="24"/>
          <w:szCs w:val="24"/>
        </w:rPr>
        <w:t>.  However, the number of recordkeepers listed for § 600.12(a)-(e)</w:t>
      </w:r>
      <w:r>
        <w:rPr>
          <w:color w:val="000000"/>
          <w:sz w:val="24"/>
          <w:szCs w:val="24"/>
        </w:rPr>
        <w:t>,</w:t>
      </w:r>
      <w:r w:rsidRPr="007375DD">
        <w:rPr>
          <w:color w:val="000000"/>
          <w:sz w:val="24"/>
          <w:szCs w:val="24"/>
        </w:rPr>
        <w:t xml:space="preserve"> excluding (b)(2)</w:t>
      </w:r>
      <w:r>
        <w:rPr>
          <w:color w:val="000000"/>
          <w:sz w:val="24"/>
          <w:szCs w:val="24"/>
        </w:rPr>
        <w:t>, is estimated to be 164</w:t>
      </w:r>
      <w:r w:rsidRPr="007375DD">
        <w:rPr>
          <w:color w:val="000000"/>
          <w:sz w:val="24"/>
          <w:szCs w:val="24"/>
        </w:rPr>
        <w:t>.  This number excludes manufacturers of blood and blood components because their burden hours for recordkeeping have been reported</w:t>
      </w:r>
      <w:r>
        <w:rPr>
          <w:color w:val="000000"/>
          <w:sz w:val="24"/>
          <w:szCs w:val="24"/>
        </w:rPr>
        <w:t>/approved</w:t>
      </w:r>
      <w:r w:rsidRPr="007375DD">
        <w:rPr>
          <w:color w:val="000000"/>
          <w:sz w:val="24"/>
          <w:szCs w:val="24"/>
        </w:rPr>
        <w:t xml:space="preserve"> under § 606.160 in </w:t>
      </w:r>
      <w:r>
        <w:rPr>
          <w:color w:val="000000"/>
          <w:sz w:val="24"/>
          <w:szCs w:val="24"/>
        </w:rPr>
        <w:t xml:space="preserve">OMB Control No. 0910-0116.  The </w:t>
      </w:r>
      <w:r w:rsidRPr="007375DD">
        <w:rPr>
          <w:color w:val="000000"/>
          <w:sz w:val="24"/>
          <w:szCs w:val="24"/>
        </w:rPr>
        <w:t>total annual records is based on the ann</w:t>
      </w:r>
      <w:r>
        <w:rPr>
          <w:color w:val="000000"/>
          <w:sz w:val="24"/>
          <w:szCs w:val="24"/>
        </w:rPr>
        <w:t>ual average of lots released in 2013 (6,887), number of recalls made (1,679</w:t>
      </w:r>
      <w:r w:rsidRPr="007375DD">
        <w:rPr>
          <w:color w:val="000000"/>
          <w:sz w:val="24"/>
          <w:szCs w:val="24"/>
        </w:rPr>
        <w:t>), and total number of adverse exp</w:t>
      </w:r>
      <w:r>
        <w:rPr>
          <w:color w:val="000000"/>
          <w:sz w:val="24"/>
          <w:szCs w:val="24"/>
        </w:rPr>
        <w:t>erience reports received (225,137) in FY 2013</w:t>
      </w:r>
      <w:r w:rsidRPr="007375DD">
        <w:rPr>
          <w:color w:val="000000"/>
          <w:sz w:val="24"/>
          <w:szCs w:val="24"/>
        </w:rPr>
        <w:t>.  The hours per record are based on FDA experience.</w:t>
      </w:r>
    </w:p>
    <w:p w:rsidR="004A7049" w:rsidRPr="00441544" w:rsidRDefault="004A7049">
      <w:pPr>
        <w:pStyle w:val="BodyText"/>
      </w:pPr>
    </w:p>
    <w:p w:rsidR="004A7049" w:rsidRDefault="004A7049" w:rsidP="00515AD3">
      <w:pPr>
        <w:pStyle w:val="Heading3"/>
        <w:ind w:firstLine="720"/>
      </w:pPr>
      <w:r>
        <w:t>12b.  Annualized Cost Burden Estimate</w:t>
      </w:r>
    </w:p>
    <w:p w:rsidR="004A7049" w:rsidRDefault="004A7049">
      <w:pPr>
        <w:rPr>
          <w:sz w:val="24"/>
        </w:rPr>
      </w:pPr>
    </w:p>
    <w:p w:rsidR="004A7049" w:rsidRDefault="004A7049">
      <w:pPr>
        <w:rPr>
          <w:sz w:val="24"/>
        </w:rPr>
      </w:pPr>
      <w:r>
        <w:rPr>
          <w:sz w:val="24"/>
        </w:rPr>
        <w:t>The estimated annualized cost to the respondents is $249,342,771.</w:t>
      </w:r>
    </w:p>
    <w:p w:rsidR="004A7049" w:rsidRDefault="004A7049">
      <w:pPr>
        <w:rPr>
          <w:sz w:val="24"/>
        </w:rP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4A7049">
        <w:trPr>
          <w:cantSplit/>
          <w:trHeight w:val="403"/>
        </w:trPr>
        <w:tc>
          <w:tcPr>
            <w:tcW w:w="9360" w:type="dxa"/>
            <w:gridSpan w:val="4"/>
            <w:tcBorders>
              <w:top w:val="single" w:sz="6" w:space="0" w:color="auto"/>
              <w:left w:val="single" w:sz="6" w:space="0" w:color="auto"/>
              <w:right w:val="single" w:sz="6" w:space="0" w:color="auto"/>
            </w:tcBorders>
          </w:tcPr>
          <w:p w:rsidR="004A7049" w:rsidRDefault="004A7049">
            <w:pPr>
              <w:jc w:val="center"/>
              <w:rPr>
                <w:sz w:val="24"/>
              </w:rPr>
            </w:pPr>
            <w:r>
              <w:rPr>
                <w:sz w:val="24"/>
              </w:rPr>
              <w:t>Cost to Respondents</w:t>
            </w:r>
          </w:p>
        </w:tc>
      </w:tr>
      <w:tr w:rsidR="004A7049">
        <w:trPr>
          <w:cantSplit/>
          <w:trHeight w:val="403"/>
        </w:trPr>
        <w:tc>
          <w:tcPr>
            <w:tcW w:w="2340" w:type="dxa"/>
            <w:tcBorders>
              <w:top w:val="double" w:sz="6" w:space="0" w:color="auto"/>
              <w:left w:val="single" w:sz="6" w:space="0" w:color="auto"/>
              <w:bottom w:val="double" w:sz="6" w:space="0" w:color="auto"/>
            </w:tcBorders>
          </w:tcPr>
          <w:p w:rsidR="004A7049" w:rsidRDefault="004A7049">
            <w:pPr>
              <w:jc w:val="center"/>
              <w:rPr>
                <w:sz w:val="24"/>
              </w:rPr>
            </w:pPr>
            <w:r>
              <w:rPr>
                <w:sz w:val="24"/>
              </w:rPr>
              <w:t>Activity</w:t>
            </w:r>
          </w:p>
        </w:tc>
        <w:tc>
          <w:tcPr>
            <w:tcW w:w="2340" w:type="dxa"/>
            <w:tcBorders>
              <w:top w:val="double" w:sz="6" w:space="0" w:color="auto"/>
              <w:left w:val="single" w:sz="6" w:space="0" w:color="auto"/>
              <w:bottom w:val="double" w:sz="6" w:space="0" w:color="auto"/>
            </w:tcBorders>
          </w:tcPr>
          <w:p w:rsidR="004A7049" w:rsidRDefault="004A7049">
            <w:pPr>
              <w:jc w:val="center"/>
              <w:rPr>
                <w:sz w:val="24"/>
              </w:rPr>
            </w:pPr>
            <w:r>
              <w:rPr>
                <w:sz w:val="24"/>
              </w:rPr>
              <w:t>Total Burden Hours</w:t>
            </w:r>
          </w:p>
        </w:tc>
        <w:tc>
          <w:tcPr>
            <w:tcW w:w="2340" w:type="dxa"/>
            <w:tcBorders>
              <w:top w:val="double" w:sz="6" w:space="0" w:color="auto"/>
              <w:left w:val="single" w:sz="6" w:space="0" w:color="auto"/>
              <w:bottom w:val="double" w:sz="6" w:space="0" w:color="auto"/>
            </w:tcBorders>
          </w:tcPr>
          <w:p w:rsidR="004A7049" w:rsidRDefault="004A7049">
            <w:pPr>
              <w:jc w:val="center"/>
              <w:rPr>
                <w:sz w:val="24"/>
              </w:rPr>
            </w:pPr>
            <w:r>
              <w:rPr>
                <w:sz w:val="24"/>
              </w:rPr>
              <w:t>Hourly Wage Rate</w:t>
            </w:r>
          </w:p>
        </w:tc>
        <w:tc>
          <w:tcPr>
            <w:tcW w:w="2340" w:type="dxa"/>
            <w:tcBorders>
              <w:top w:val="double" w:sz="6" w:space="0" w:color="auto"/>
              <w:left w:val="single" w:sz="6" w:space="0" w:color="auto"/>
              <w:bottom w:val="double" w:sz="6" w:space="0" w:color="auto"/>
              <w:right w:val="single" w:sz="6" w:space="0" w:color="auto"/>
            </w:tcBorders>
          </w:tcPr>
          <w:p w:rsidR="004A7049" w:rsidRDefault="004A7049">
            <w:pPr>
              <w:jc w:val="center"/>
              <w:rPr>
                <w:sz w:val="24"/>
              </w:rPr>
            </w:pPr>
            <w:r>
              <w:rPr>
                <w:sz w:val="24"/>
              </w:rPr>
              <w:t>Total Respondent Cost</w:t>
            </w:r>
          </w:p>
        </w:tc>
      </w:tr>
      <w:tr w:rsidR="004A7049">
        <w:trPr>
          <w:cantSplit/>
          <w:trHeight w:val="403"/>
        </w:trPr>
        <w:tc>
          <w:tcPr>
            <w:tcW w:w="2340" w:type="dxa"/>
            <w:tcBorders>
              <w:left w:val="single" w:sz="6" w:space="0" w:color="auto"/>
            </w:tcBorders>
          </w:tcPr>
          <w:p w:rsidR="004A7049" w:rsidRDefault="004A7049">
            <w:pPr>
              <w:pStyle w:val="Heading1"/>
            </w:pPr>
            <w:r>
              <w:t>Reporting</w:t>
            </w:r>
          </w:p>
        </w:tc>
        <w:tc>
          <w:tcPr>
            <w:tcW w:w="2340" w:type="dxa"/>
            <w:tcBorders>
              <w:left w:val="single" w:sz="6" w:space="0" w:color="auto"/>
            </w:tcBorders>
          </w:tcPr>
          <w:p w:rsidR="004A7049" w:rsidRDefault="004A7049">
            <w:pPr>
              <w:jc w:val="center"/>
              <w:rPr>
                <w:sz w:val="24"/>
              </w:rPr>
            </w:pPr>
            <w:r>
              <w:rPr>
                <w:sz w:val="24"/>
              </w:rPr>
              <w:t>3,807,544</w:t>
            </w:r>
          </w:p>
        </w:tc>
        <w:tc>
          <w:tcPr>
            <w:tcW w:w="2340" w:type="dxa"/>
            <w:tcBorders>
              <w:left w:val="single" w:sz="6" w:space="0" w:color="auto"/>
            </w:tcBorders>
          </w:tcPr>
          <w:p w:rsidR="004A7049" w:rsidRDefault="004A7049">
            <w:pPr>
              <w:jc w:val="center"/>
              <w:rPr>
                <w:sz w:val="24"/>
              </w:rPr>
            </w:pPr>
            <w:r>
              <w:rPr>
                <w:sz w:val="24"/>
              </w:rPr>
              <w:t>$60</w:t>
            </w:r>
          </w:p>
        </w:tc>
        <w:tc>
          <w:tcPr>
            <w:tcW w:w="2340" w:type="dxa"/>
            <w:tcBorders>
              <w:left w:val="single" w:sz="6" w:space="0" w:color="auto"/>
              <w:right w:val="single" w:sz="6" w:space="0" w:color="auto"/>
            </w:tcBorders>
          </w:tcPr>
          <w:p w:rsidR="004A7049" w:rsidRDefault="004A7049">
            <w:pPr>
              <w:rPr>
                <w:sz w:val="24"/>
              </w:rPr>
            </w:pPr>
            <w:r>
              <w:rPr>
                <w:sz w:val="24"/>
              </w:rPr>
              <w:t xml:space="preserve">     $228,452,640</w:t>
            </w:r>
          </w:p>
        </w:tc>
      </w:tr>
      <w:tr w:rsidR="004A7049">
        <w:trPr>
          <w:cantSplit/>
          <w:trHeight w:val="403"/>
        </w:trPr>
        <w:tc>
          <w:tcPr>
            <w:tcW w:w="2340" w:type="dxa"/>
            <w:tcBorders>
              <w:top w:val="single" w:sz="6" w:space="0" w:color="auto"/>
              <w:left w:val="single" w:sz="6" w:space="0" w:color="auto"/>
            </w:tcBorders>
          </w:tcPr>
          <w:p w:rsidR="004A7049" w:rsidRDefault="004A7049">
            <w:pPr>
              <w:pStyle w:val="Heading1"/>
            </w:pPr>
            <w:r>
              <w:t>Recordkeeping</w:t>
            </w:r>
          </w:p>
        </w:tc>
        <w:tc>
          <w:tcPr>
            <w:tcW w:w="2340" w:type="dxa"/>
            <w:tcBorders>
              <w:top w:val="single" w:sz="6" w:space="0" w:color="auto"/>
              <w:left w:val="single" w:sz="6" w:space="0" w:color="auto"/>
            </w:tcBorders>
          </w:tcPr>
          <w:p w:rsidR="004A7049" w:rsidRDefault="004A7049">
            <w:pPr>
              <w:jc w:val="center"/>
              <w:rPr>
                <w:sz w:val="24"/>
              </w:rPr>
            </w:pPr>
            <w:r>
              <w:rPr>
                <w:sz w:val="24"/>
              </w:rPr>
              <w:t xml:space="preserve">   485,817</w:t>
            </w:r>
          </w:p>
        </w:tc>
        <w:tc>
          <w:tcPr>
            <w:tcW w:w="2340" w:type="dxa"/>
            <w:tcBorders>
              <w:top w:val="single" w:sz="6" w:space="0" w:color="auto"/>
              <w:left w:val="single" w:sz="6" w:space="0" w:color="auto"/>
            </w:tcBorders>
          </w:tcPr>
          <w:p w:rsidR="004A7049" w:rsidRDefault="004A7049">
            <w:pPr>
              <w:jc w:val="center"/>
              <w:rPr>
                <w:sz w:val="24"/>
              </w:rPr>
            </w:pPr>
            <w:r>
              <w:rPr>
                <w:sz w:val="24"/>
              </w:rPr>
              <w:t>$43</w:t>
            </w:r>
          </w:p>
        </w:tc>
        <w:tc>
          <w:tcPr>
            <w:tcW w:w="2340" w:type="dxa"/>
            <w:tcBorders>
              <w:top w:val="single" w:sz="6" w:space="0" w:color="auto"/>
              <w:left w:val="single" w:sz="6" w:space="0" w:color="auto"/>
              <w:right w:val="single" w:sz="6" w:space="0" w:color="auto"/>
            </w:tcBorders>
          </w:tcPr>
          <w:p w:rsidR="004A7049" w:rsidRDefault="004A7049">
            <w:pPr>
              <w:jc w:val="center"/>
              <w:rPr>
                <w:sz w:val="24"/>
              </w:rPr>
            </w:pPr>
            <w:r>
              <w:rPr>
                <w:sz w:val="24"/>
              </w:rPr>
              <w:t>$20,890,131</w:t>
            </w:r>
          </w:p>
        </w:tc>
      </w:tr>
      <w:tr w:rsidR="004A7049">
        <w:trPr>
          <w:cantSplit/>
          <w:trHeight w:val="403"/>
        </w:trPr>
        <w:tc>
          <w:tcPr>
            <w:tcW w:w="7020" w:type="dxa"/>
            <w:gridSpan w:val="3"/>
            <w:tcBorders>
              <w:top w:val="single" w:sz="6" w:space="0" w:color="auto"/>
              <w:left w:val="single" w:sz="6" w:space="0" w:color="auto"/>
              <w:bottom w:val="single" w:sz="6" w:space="0" w:color="auto"/>
            </w:tcBorders>
          </w:tcPr>
          <w:p w:rsidR="004A7049" w:rsidRDefault="004A7049">
            <w:pPr>
              <w:pStyle w:val="Heading1"/>
            </w:pPr>
            <w:r>
              <w:t>TOTAL</w:t>
            </w:r>
          </w:p>
        </w:tc>
        <w:tc>
          <w:tcPr>
            <w:tcW w:w="2340" w:type="dxa"/>
            <w:tcBorders>
              <w:top w:val="single" w:sz="6" w:space="0" w:color="auto"/>
              <w:left w:val="single" w:sz="6" w:space="0" w:color="auto"/>
              <w:bottom w:val="single" w:sz="6" w:space="0" w:color="auto"/>
              <w:right w:val="single" w:sz="6" w:space="0" w:color="auto"/>
            </w:tcBorders>
          </w:tcPr>
          <w:p w:rsidR="004A7049" w:rsidRDefault="004A7049" w:rsidP="009A11A7">
            <w:pPr>
              <w:tabs>
                <w:tab w:val="left" w:pos="1295"/>
              </w:tabs>
              <w:jc w:val="center"/>
              <w:rPr>
                <w:sz w:val="24"/>
              </w:rPr>
            </w:pPr>
            <w:r>
              <w:rPr>
                <w:sz w:val="24"/>
              </w:rPr>
              <w:t>$249,342,771</w:t>
            </w:r>
          </w:p>
        </w:tc>
      </w:tr>
    </w:tbl>
    <w:p w:rsidR="004A7049" w:rsidRDefault="004A7049" w:rsidP="004C449B">
      <w:pPr>
        <w:rPr>
          <w:sz w:val="24"/>
        </w:rPr>
      </w:pPr>
    </w:p>
    <w:p w:rsidR="004A7049" w:rsidRDefault="004A7049" w:rsidP="001A5443">
      <w:pPr>
        <w:rPr>
          <w:sz w:val="24"/>
        </w:rPr>
      </w:pPr>
      <w:r>
        <w:rPr>
          <w:sz w:val="24"/>
        </w:rPr>
        <w:t xml:space="preserve">This cost is based on an average pay rate of $60.00 per hour for an upper level manager, and mid-level professional that handle the various reporting requirements.  This cost is also based on a pay </w:t>
      </w:r>
      <w:r>
        <w:rPr>
          <w:sz w:val="24"/>
        </w:rPr>
        <w:lastRenderedPageBreak/>
        <w:t>rate of $43 per hour for a mid-level professional that handles the various recordkeeping requirements.  This salary estimate includes benefits but no overhead costs.</w:t>
      </w:r>
    </w:p>
    <w:p w:rsidR="004A7049" w:rsidRDefault="004A7049" w:rsidP="001A5443">
      <w:pPr>
        <w:rPr>
          <w:sz w:val="24"/>
        </w:rPr>
      </w:pPr>
    </w:p>
    <w:p w:rsidR="004A7049" w:rsidRPr="00700957" w:rsidRDefault="004A7049">
      <w:r w:rsidRPr="00700957">
        <w:rPr>
          <w:sz w:val="24"/>
        </w:rPr>
        <w:t xml:space="preserve">13.  </w:t>
      </w:r>
      <w:r w:rsidRPr="00700957">
        <w:rPr>
          <w:sz w:val="24"/>
          <w:szCs w:val="24"/>
          <w:u w:val="single"/>
        </w:rPr>
        <w:t>Estimates o</w:t>
      </w:r>
      <w:r>
        <w:rPr>
          <w:sz w:val="24"/>
          <w:szCs w:val="24"/>
          <w:u w:val="single"/>
        </w:rPr>
        <w:t>f Other Total Annual Costs</w:t>
      </w:r>
      <w:r w:rsidRPr="00700957">
        <w:rPr>
          <w:sz w:val="24"/>
          <w:szCs w:val="24"/>
          <w:u w:val="single"/>
        </w:rPr>
        <w:t xml:space="preserve"> to Respondents and</w:t>
      </w:r>
      <w:r>
        <w:rPr>
          <w:sz w:val="24"/>
          <w:szCs w:val="24"/>
          <w:u w:val="single"/>
        </w:rPr>
        <w:t>/or</w:t>
      </w:r>
      <w:r w:rsidRPr="00700957">
        <w:rPr>
          <w:sz w:val="24"/>
          <w:szCs w:val="24"/>
          <w:u w:val="single"/>
        </w:rPr>
        <w:t xml:space="preserve"> RecordKeepers</w:t>
      </w:r>
      <w:r>
        <w:rPr>
          <w:sz w:val="24"/>
          <w:szCs w:val="24"/>
          <w:u w:val="single"/>
        </w:rPr>
        <w:t>/Capital Costs</w:t>
      </w:r>
    </w:p>
    <w:p w:rsidR="004A7049" w:rsidRDefault="004A7049">
      <w:pPr>
        <w:rPr>
          <w:sz w:val="24"/>
        </w:rPr>
      </w:pPr>
    </w:p>
    <w:p w:rsidR="004A7049" w:rsidRDefault="004A7049">
      <w:pPr>
        <w:rPr>
          <w:sz w:val="24"/>
          <w:u w:val="single"/>
        </w:rPr>
      </w:pPr>
      <w:r>
        <w:rPr>
          <w:sz w:val="24"/>
        </w:rPr>
        <w:t>There are no capital</w:t>
      </w:r>
      <w:r w:rsidR="00E4056B">
        <w:rPr>
          <w:sz w:val="24"/>
        </w:rPr>
        <w:t>,</w:t>
      </w:r>
      <w:r>
        <w:rPr>
          <w:sz w:val="24"/>
        </w:rPr>
        <w:t xml:space="preserve"> </w:t>
      </w:r>
      <w:r w:rsidR="00E4056B">
        <w:rPr>
          <w:sz w:val="24"/>
        </w:rPr>
        <w:t xml:space="preserve">start-up, </w:t>
      </w:r>
      <w:r>
        <w:rPr>
          <w:sz w:val="24"/>
        </w:rPr>
        <w:t xml:space="preserve">operating </w:t>
      </w:r>
      <w:r w:rsidR="00E4056B">
        <w:rPr>
          <w:sz w:val="24"/>
        </w:rPr>
        <w:t xml:space="preserve">or </w:t>
      </w:r>
      <w:r>
        <w:rPr>
          <w:sz w:val="24"/>
        </w:rPr>
        <w:t xml:space="preserve">maintenance costs associated with this </w:t>
      </w:r>
      <w:r w:rsidR="00E4056B">
        <w:rPr>
          <w:sz w:val="24"/>
        </w:rPr>
        <w:t xml:space="preserve">information </w:t>
      </w:r>
      <w:r>
        <w:rPr>
          <w:sz w:val="24"/>
        </w:rPr>
        <w:t>collection.</w:t>
      </w:r>
    </w:p>
    <w:p w:rsidR="004A7049" w:rsidRDefault="004A7049">
      <w:pPr>
        <w:rPr>
          <w:sz w:val="24"/>
          <w:u w:val="single"/>
        </w:rPr>
      </w:pPr>
    </w:p>
    <w:p w:rsidR="004A7049" w:rsidRPr="00700957" w:rsidRDefault="004A7049">
      <w:pPr>
        <w:rPr>
          <w:sz w:val="24"/>
          <w:u w:val="single"/>
        </w:rPr>
      </w:pPr>
      <w:r w:rsidRPr="00700957">
        <w:rPr>
          <w:sz w:val="24"/>
        </w:rPr>
        <w:t xml:space="preserve">14.  </w:t>
      </w:r>
      <w:r w:rsidRPr="00700957">
        <w:rPr>
          <w:sz w:val="24"/>
          <w:u w:val="single"/>
        </w:rPr>
        <w:t xml:space="preserve">Annualized Cost to the Federal Government </w:t>
      </w:r>
    </w:p>
    <w:p w:rsidR="004A7049" w:rsidRDefault="004A7049">
      <w:pPr>
        <w:rPr>
          <w:sz w:val="24"/>
        </w:rPr>
      </w:pPr>
    </w:p>
    <w:p w:rsidR="004A7049" w:rsidRDefault="004A7049">
      <w:pPr>
        <w:rPr>
          <w:sz w:val="24"/>
        </w:rPr>
      </w:pPr>
      <w:r>
        <w:rPr>
          <w:sz w:val="24"/>
        </w:rPr>
        <w:t>The estimated a</w:t>
      </w:r>
      <w:r w:rsidR="002B6226">
        <w:rPr>
          <w:sz w:val="24"/>
        </w:rPr>
        <w:t>nnual cost to FDA is $83,423,289</w:t>
      </w:r>
      <w:r>
        <w:rPr>
          <w:sz w:val="24"/>
        </w:rPr>
        <w:t>.</w:t>
      </w:r>
    </w:p>
    <w:p w:rsidR="004A7049" w:rsidRDefault="004A7049">
      <w:pPr>
        <w:rPr>
          <w:sz w:val="24"/>
        </w:rPr>
      </w:pPr>
    </w:p>
    <w:tbl>
      <w:tblPr>
        <w:tblW w:w="0" w:type="auto"/>
        <w:tblInd w:w="100" w:type="dxa"/>
        <w:tblLayout w:type="fixed"/>
        <w:tblCellMar>
          <w:left w:w="100" w:type="dxa"/>
          <w:right w:w="100" w:type="dxa"/>
        </w:tblCellMar>
        <w:tblLook w:val="0000" w:firstRow="0" w:lastRow="0" w:firstColumn="0" w:lastColumn="0" w:noHBand="0" w:noVBand="0"/>
      </w:tblPr>
      <w:tblGrid>
        <w:gridCol w:w="1710"/>
        <w:gridCol w:w="2070"/>
        <w:gridCol w:w="2340"/>
        <w:gridCol w:w="1710"/>
        <w:gridCol w:w="1530"/>
      </w:tblGrid>
      <w:tr w:rsidR="004A7049">
        <w:trPr>
          <w:cantSplit/>
          <w:trHeight w:val="403"/>
        </w:trPr>
        <w:tc>
          <w:tcPr>
            <w:tcW w:w="9360" w:type="dxa"/>
            <w:gridSpan w:val="5"/>
            <w:tcBorders>
              <w:top w:val="single" w:sz="6" w:space="0" w:color="auto"/>
              <w:left w:val="single" w:sz="6" w:space="0" w:color="auto"/>
              <w:right w:val="single" w:sz="6" w:space="0" w:color="auto"/>
            </w:tcBorders>
          </w:tcPr>
          <w:p w:rsidR="004A7049" w:rsidRDefault="004A7049">
            <w:pPr>
              <w:jc w:val="center"/>
              <w:rPr>
                <w:sz w:val="24"/>
              </w:rPr>
            </w:pPr>
            <w:r>
              <w:rPr>
                <w:sz w:val="24"/>
              </w:rPr>
              <w:t>Annual Cost to FDA</w:t>
            </w:r>
          </w:p>
        </w:tc>
      </w:tr>
      <w:tr w:rsidR="004A7049">
        <w:trPr>
          <w:cantSplit/>
          <w:trHeight w:val="403"/>
        </w:trPr>
        <w:tc>
          <w:tcPr>
            <w:tcW w:w="1710" w:type="dxa"/>
            <w:tcBorders>
              <w:top w:val="double" w:sz="6" w:space="0" w:color="auto"/>
              <w:left w:val="single" w:sz="6" w:space="0" w:color="auto"/>
              <w:bottom w:val="double" w:sz="6" w:space="0" w:color="auto"/>
            </w:tcBorders>
          </w:tcPr>
          <w:p w:rsidR="004A7049" w:rsidRDefault="004A7049">
            <w:pPr>
              <w:jc w:val="center"/>
              <w:rPr>
                <w:sz w:val="24"/>
              </w:rPr>
            </w:pPr>
            <w:r>
              <w:rPr>
                <w:sz w:val="24"/>
              </w:rPr>
              <w:t>Activity</w:t>
            </w:r>
          </w:p>
        </w:tc>
        <w:tc>
          <w:tcPr>
            <w:tcW w:w="207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Reports</w:t>
            </w:r>
          </w:p>
        </w:tc>
        <w:tc>
          <w:tcPr>
            <w:tcW w:w="2340" w:type="dxa"/>
            <w:tcBorders>
              <w:top w:val="double" w:sz="6" w:space="0" w:color="auto"/>
              <w:left w:val="single" w:sz="6" w:space="0" w:color="auto"/>
              <w:bottom w:val="double" w:sz="6" w:space="0" w:color="auto"/>
            </w:tcBorders>
          </w:tcPr>
          <w:p w:rsidR="004A7049" w:rsidRDefault="004A7049">
            <w:pPr>
              <w:jc w:val="center"/>
              <w:rPr>
                <w:sz w:val="24"/>
              </w:rPr>
            </w:pPr>
            <w:r>
              <w:rPr>
                <w:sz w:val="24"/>
              </w:rPr>
              <w:t>Hours per Report</w:t>
            </w:r>
          </w:p>
        </w:tc>
        <w:tc>
          <w:tcPr>
            <w:tcW w:w="1710" w:type="dxa"/>
            <w:tcBorders>
              <w:top w:val="double" w:sz="6" w:space="0" w:color="auto"/>
              <w:left w:val="single" w:sz="6" w:space="0" w:color="auto"/>
              <w:bottom w:val="double" w:sz="6" w:space="0" w:color="auto"/>
            </w:tcBorders>
          </w:tcPr>
          <w:p w:rsidR="004A7049" w:rsidRDefault="004A7049">
            <w:pPr>
              <w:jc w:val="center"/>
              <w:rPr>
                <w:sz w:val="24"/>
              </w:rPr>
            </w:pPr>
            <w:r>
              <w:rPr>
                <w:sz w:val="24"/>
              </w:rPr>
              <w:t>Cost per Hour</w:t>
            </w:r>
          </w:p>
        </w:tc>
        <w:tc>
          <w:tcPr>
            <w:tcW w:w="1530" w:type="dxa"/>
            <w:tcBorders>
              <w:top w:val="double" w:sz="6" w:space="0" w:color="auto"/>
              <w:left w:val="single" w:sz="6" w:space="0" w:color="auto"/>
              <w:bottom w:val="double" w:sz="6" w:space="0" w:color="auto"/>
              <w:right w:val="single" w:sz="6" w:space="0" w:color="auto"/>
            </w:tcBorders>
          </w:tcPr>
          <w:p w:rsidR="004A7049" w:rsidRDefault="004A7049">
            <w:pPr>
              <w:jc w:val="center"/>
              <w:rPr>
                <w:sz w:val="24"/>
              </w:rPr>
            </w:pPr>
            <w:r>
              <w:rPr>
                <w:sz w:val="24"/>
              </w:rPr>
              <w:t>Total Cost</w:t>
            </w:r>
          </w:p>
        </w:tc>
      </w:tr>
      <w:tr w:rsidR="004A7049">
        <w:trPr>
          <w:cantSplit/>
          <w:trHeight w:val="403"/>
        </w:trPr>
        <w:tc>
          <w:tcPr>
            <w:tcW w:w="1710" w:type="dxa"/>
            <w:tcBorders>
              <w:left w:val="single" w:sz="6" w:space="0" w:color="auto"/>
            </w:tcBorders>
          </w:tcPr>
          <w:p w:rsidR="004A7049" w:rsidRDefault="004A7049" w:rsidP="00715C77">
            <w:pPr>
              <w:rPr>
                <w:sz w:val="24"/>
              </w:rPr>
            </w:pPr>
            <w:r>
              <w:rPr>
                <w:sz w:val="24"/>
              </w:rPr>
              <w:t>Report Distribution</w:t>
            </w:r>
          </w:p>
        </w:tc>
        <w:tc>
          <w:tcPr>
            <w:tcW w:w="2070" w:type="dxa"/>
            <w:tcBorders>
              <w:left w:val="single" w:sz="6" w:space="0" w:color="auto"/>
            </w:tcBorders>
          </w:tcPr>
          <w:p w:rsidR="004A7049" w:rsidRDefault="004A7049">
            <w:pPr>
              <w:jc w:val="center"/>
              <w:rPr>
                <w:sz w:val="24"/>
              </w:rPr>
            </w:pPr>
            <w:r>
              <w:rPr>
                <w:sz w:val="24"/>
              </w:rPr>
              <w:t>3,807,544</w:t>
            </w:r>
          </w:p>
        </w:tc>
        <w:tc>
          <w:tcPr>
            <w:tcW w:w="2340" w:type="dxa"/>
            <w:tcBorders>
              <w:left w:val="single" w:sz="6" w:space="0" w:color="auto"/>
            </w:tcBorders>
          </w:tcPr>
          <w:p w:rsidR="004A7049" w:rsidRDefault="004A7049">
            <w:pPr>
              <w:jc w:val="center"/>
              <w:rPr>
                <w:sz w:val="24"/>
              </w:rPr>
            </w:pPr>
            <w:r>
              <w:rPr>
                <w:sz w:val="24"/>
              </w:rPr>
              <w:t>0.1</w:t>
            </w:r>
          </w:p>
        </w:tc>
        <w:tc>
          <w:tcPr>
            <w:tcW w:w="1710" w:type="dxa"/>
            <w:tcBorders>
              <w:left w:val="single" w:sz="6" w:space="0" w:color="auto"/>
            </w:tcBorders>
          </w:tcPr>
          <w:p w:rsidR="004A7049" w:rsidRDefault="004A7049">
            <w:pPr>
              <w:jc w:val="center"/>
              <w:rPr>
                <w:sz w:val="24"/>
              </w:rPr>
            </w:pPr>
            <w:r>
              <w:rPr>
                <w:sz w:val="24"/>
              </w:rPr>
              <w:t>$</w:t>
            </w:r>
            <w:r w:rsidR="002B6226">
              <w:rPr>
                <w:sz w:val="24"/>
              </w:rPr>
              <w:t>31</w:t>
            </w:r>
          </w:p>
        </w:tc>
        <w:tc>
          <w:tcPr>
            <w:tcW w:w="1530" w:type="dxa"/>
            <w:tcBorders>
              <w:left w:val="single" w:sz="6" w:space="0" w:color="auto"/>
              <w:right w:val="single" w:sz="6" w:space="0" w:color="auto"/>
            </w:tcBorders>
          </w:tcPr>
          <w:p w:rsidR="004A7049" w:rsidRDefault="004A7049">
            <w:pPr>
              <w:jc w:val="center"/>
              <w:rPr>
                <w:sz w:val="24"/>
              </w:rPr>
            </w:pPr>
            <w:r>
              <w:rPr>
                <w:sz w:val="24"/>
              </w:rPr>
              <w:t>$</w:t>
            </w:r>
            <w:r w:rsidR="002B6226">
              <w:rPr>
                <w:sz w:val="24"/>
              </w:rPr>
              <w:t>11,803,386</w:t>
            </w:r>
          </w:p>
        </w:tc>
      </w:tr>
      <w:tr w:rsidR="004A7049">
        <w:trPr>
          <w:cantSplit/>
          <w:trHeight w:val="403"/>
        </w:trPr>
        <w:tc>
          <w:tcPr>
            <w:tcW w:w="1710" w:type="dxa"/>
            <w:tcBorders>
              <w:top w:val="single" w:sz="6" w:space="0" w:color="auto"/>
              <w:left w:val="single" w:sz="6" w:space="0" w:color="auto"/>
            </w:tcBorders>
          </w:tcPr>
          <w:p w:rsidR="004A7049" w:rsidRDefault="004A7049" w:rsidP="00715C77">
            <w:pPr>
              <w:rPr>
                <w:sz w:val="24"/>
              </w:rPr>
            </w:pPr>
            <w:r>
              <w:rPr>
                <w:sz w:val="24"/>
              </w:rPr>
              <w:t>Report Review</w:t>
            </w:r>
          </w:p>
        </w:tc>
        <w:tc>
          <w:tcPr>
            <w:tcW w:w="2070" w:type="dxa"/>
            <w:tcBorders>
              <w:top w:val="single" w:sz="6" w:space="0" w:color="auto"/>
              <w:left w:val="single" w:sz="6" w:space="0" w:color="auto"/>
            </w:tcBorders>
          </w:tcPr>
          <w:p w:rsidR="004A7049" w:rsidRDefault="004A7049">
            <w:pPr>
              <w:jc w:val="center"/>
              <w:rPr>
                <w:sz w:val="24"/>
              </w:rPr>
            </w:pPr>
            <w:r>
              <w:rPr>
                <w:sz w:val="24"/>
              </w:rPr>
              <w:t>3,807,544</w:t>
            </w:r>
          </w:p>
        </w:tc>
        <w:tc>
          <w:tcPr>
            <w:tcW w:w="2340" w:type="dxa"/>
            <w:tcBorders>
              <w:top w:val="single" w:sz="6" w:space="0" w:color="auto"/>
              <w:left w:val="single" w:sz="6" w:space="0" w:color="auto"/>
            </w:tcBorders>
          </w:tcPr>
          <w:p w:rsidR="004A7049" w:rsidRDefault="004A7049">
            <w:pPr>
              <w:jc w:val="center"/>
              <w:rPr>
                <w:sz w:val="24"/>
              </w:rPr>
            </w:pPr>
            <w:r>
              <w:rPr>
                <w:sz w:val="24"/>
              </w:rPr>
              <w:t>0.33</w:t>
            </w:r>
          </w:p>
        </w:tc>
        <w:tc>
          <w:tcPr>
            <w:tcW w:w="1710" w:type="dxa"/>
            <w:tcBorders>
              <w:top w:val="single" w:sz="6" w:space="0" w:color="auto"/>
              <w:left w:val="single" w:sz="6" w:space="0" w:color="auto"/>
            </w:tcBorders>
          </w:tcPr>
          <w:p w:rsidR="004A7049" w:rsidRDefault="004A7049">
            <w:pPr>
              <w:jc w:val="center"/>
              <w:rPr>
                <w:sz w:val="24"/>
              </w:rPr>
            </w:pPr>
            <w:r>
              <w:rPr>
                <w:sz w:val="24"/>
              </w:rPr>
              <w:t>$57</w:t>
            </w:r>
          </w:p>
        </w:tc>
        <w:tc>
          <w:tcPr>
            <w:tcW w:w="1530" w:type="dxa"/>
            <w:tcBorders>
              <w:top w:val="single" w:sz="6" w:space="0" w:color="auto"/>
              <w:left w:val="single" w:sz="6" w:space="0" w:color="auto"/>
              <w:right w:val="single" w:sz="6" w:space="0" w:color="auto"/>
            </w:tcBorders>
          </w:tcPr>
          <w:p w:rsidR="004A7049" w:rsidRDefault="004A7049">
            <w:pPr>
              <w:jc w:val="center"/>
              <w:rPr>
                <w:sz w:val="24"/>
              </w:rPr>
            </w:pPr>
            <w:r>
              <w:rPr>
                <w:sz w:val="24"/>
              </w:rPr>
              <w:t>$71,619,903</w:t>
            </w:r>
          </w:p>
        </w:tc>
      </w:tr>
      <w:tr w:rsidR="004A7049">
        <w:trPr>
          <w:cantSplit/>
          <w:trHeight w:val="403"/>
        </w:trPr>
        <w:tc>
          <w:tcPr>
            <w:tcW w:w="7830" w:type="dxa"/>
            <w:gridSpan w:val="4"/>
            <w:tcBorders>
              <w:top w:val="single" w:sz="6" w:space="0" w:color="auto"/>
              <w:left w:val="single" w:sz="6" w:space="0" w:color="auto"/>
              <w:bottom w:val="single" w:sz="6" w:space="0" w:color="auto"/>
            </w:tcBorders>
          </w:tcPr>
          <w:p w:rsidR="004A7049" w:rsidRDefault="004A7049">
            <w:pPr>
              <w:pStyle w:val="Heading1"/>
            </w:pPr>
            <w:r>
              <w:t>TOTAL</w:t>
            </w:r>
          </w:p>
        </w:tc>
        <w:tc>
          <w:tcPr>
            <w:tcW w:w="1530" w:type="dxa"/>
            <w:tcBorders>
              <w:top w:val="single" w:sz="6" w:space="0" w:color="auto"/>
              <w:left w:val="single" w:sz="6" w:space="0" w:color="auto"/>
              <w:bottom w:val="single" w:sz="6" w:space="0" w:color="auto"/>
              <w:right w:val="single" w:sz="6" w:space="0" w:color="auto"/>
            </w:tcBorders>
          </w:tcPr>
          <w:p w:rsidR="004A7049" w:rsidRDefault="002B6226" w:rsidP="00B57921">
            <w:pPr>
              <w:tabs>
                <w:tab w:val="left" w:pos="290"/>
                <w:tab w:val="left" w:pos="710"/>
                <w:tab w:val="left" w:pos="1070"/>
              </w:tabs>
              <w:rPr>
                <w:sz w:val="24"/>
              </w:rPr>
            </w:pPr>
            <w:r>
              <w:rPr>
                <w:sz w:val="24"/>
              </w:rPr>
              <w:t xml:space="preserve"> $83,423,289</w:t>
            </w:r>
            <w:r w:rsidR="004A7049">
              <w:rPr>
                <w:sz w:val="24"/>
              </w:rPr>
              <w:t xml:space="preserve"> </w:t>
            </w:r>
          </w:p>
        </w:tc>
      </w:tr>
    </w:tbl>
    <w:p w:rsidR="004A7049" w:rsidRDefault="004A7049">
      <w:pPr>
        <w:rPr>
          <w:b/>
          <w:sz w:val="24"/>
        </w:rPr>
      </w:pPr>
    </w:p>
    <w:p w:rsidR="004A7049" w:rsidRDefault="00E000F6" w:rsidP="00150A64">
      <w:pPr>
        <w:rPr>
          <w:sz w:val="24"/>
        </w:rPr>
      </w:pPr>
      <w:r>
        <w:rPr>
          <w:sz w:val="24"/>
        </w:rPr>
        <w:t>The</w:t>
      </w:r>
      <w:r w:rsidR="002A7A4B">
        <w:rPr>
          <w:sz w:val="24"/>
        </w:rPr>
        <w:t xml:space="preserve"> cost is based</w:t>
      </w:r>
      <w:r w:rsidR="00EB0A89">
        <w:rPr>
          <w:sz w:val="24"/>
        </w:rPr>
        <w:t xml:space="preserve"> on</w:t>
      </w:r>
      <w:r>
        <w:rPr>
          <w:sz w:val="24"/>
        </w:rPr>
        <w:t xml:space="preserve"> two Regulatory Informa</w:t>
      </w:r>
      <w:bookmarkStart w:id="2" w:name="_GoBack"/>
      <w:bookmarkEnd w:id="2"/>
      <w:r>
        <w:rPr>
          <w:sz w:val="24"/>
        </w:rPr>
        <w:t xml:space="preserve">tion </w:t>
      </w:r>
      <w:r w:rsidR="002A7A4B">
        <w:rPr>
          <w:sz w:val="24"/>
        </w:rPr>
        <w:t>Specialists</w:t>
      </w:r>
      <w:r w:rsidR="00BE64AF">
        <w:rPr>
          <w:sz w:val="24"/>
        </w:rPr>
        <w:t>, (GS-9</w:t>
      </w:r>
      <w:r w:rsidR="002A7A4B">
        <w:rPr>
          <w:sz w:val="24"/>
        </w:rPr>
        <w:t>/11),</w:t>
      </w:r>
      <w:r>
        <w:rPr>
          <w:sz w:val="24"/>
        </w:rPr>
        <w:t xml:space="preserve"> who are</w:t>
      </w:r>
      <w:r w:rsidR="004A7049">
        <w:rPr>
          <w:sz w:val="24"/>
        </w:rPr>
        <w:t xml:space="preserve"> responsible for distributing the report</w:t>
      </w:r>
      <w:r w:rsidR="00FF2C58">
        <w:rPr>
          <w:sz w:val="24"/>
        </w:rPr>
        <w:t>s</w:t>
      </w:r>
      <w:r>
        <w:rPr>
          <w:sz w:val="24"/>
        </w:rPr>
        <w:t>.  The</w:t>
      </w:r>
      <w:r w:rsidR="004A7049">
        <w:rPr>
          <w:sz w:val="24"/>
        </w:rPr>
        <w:t xml:space="preserve"> cost is also based on a GS-14 Reviewer who is responsible for reviewing the reports.  The salaries include benefits but no overhead costs.</w:t>
      </w:r>
    </w:p>
    <w:p w:rsidR="004A7049" w:rsidRDefault="004A7049">
      <w:pPr>
        <w:pStyle w:val="BodyText"/>
        <w:rPr>
          <w:bCs/>
        </w:rPr>
      </w:pPr>
    </w:p>
    <w:tbl>
      <w:tblPr>
        <w:tblW w:w="0" w:type="auto"/>
        <w:tblInd w:w="100" w:type="dxa"/>
        <w:tblLayout w:type="fixed"/>
        <w:tblCellMar>
          <w:left w:w="100" w:type="dxa"/>
          <w:right w:w="100" w:type="dxa"/>
        </w:tblCellMar>
        <w:tblLook w:val="0000" w:firstRow="0" w:lastRow="0" w:firstColumn="0" w:lastColumn="0" w:noHBand="0" w:noVBand="0"/>
      </w:tblPr>
      <w:tblGrid>
        <w:gridCol w:w="1710"/>
        <w:gridCol w:w="2070"/>
        <w:gridCol w:w="2340"/>
        <w:gridCol w:w="1710"/>
        <w:gridCol w:w="1530"/>
      </w:tblGrid>
      <w:tr w:rsidR="004A7049">
        <w:trPr>
          <w:cantSplit/>
          <w:trHeight w:val="403"/>
        </w:trPr>
        <w:tc>
          <w:tcPr>
            <w:tcW w:w="9360" w:type="dxa"/>
            <w:gridSpan w:val="5"/>
            <w:tcBorders>
              <w:top w:val="single" w:sz="6" w:space="0" w:color="auto"/>
              <w:left w:val="single" w:sz="6" w:space="0" w:color="auto"/>
              <w:right w:val="single" w:sz="6" w:space="0" w:color="auto"/>
            </w:tcBorders>
          </w:tcPr>
          <w:p w:rsidR="004A7049" w:rsidRDefault="004A7049">
            <w:pPr>
              <w:jc w:val="center"/>
              <w:rPr>
                <w:sz w:val="24"/>
              </w:rPr>
            </w:pPr>
            <w:r>
              <w:rPr>
                <w:sz w:val="24"/>
              </w:rPr>
              <w:t>Annual Cost to FDA</w:t>
            </w:r>
          </w:p>
        </w:tc>
      </w:tr>
      <w:tr w:rsidR="004A7049">
        <w:trPr>
          <w:cantSplit/>
          <w:trHeight w:val="403"/>
        </w:trPr>
        <w:tc>
          <w:tcPr>
            <w:tcW w:w="1710" w:type="dxa"/>
            <w:tcBorders>
              <w:top w:val="double" w:sz="6" w:space="0" w:color="auto"/>
              <w:left w:val="single" w:sz="6" w:space="0" w:color="auto"/>
              <w:bottom w:val="double" w:sz="6" w:space="0" w:color="auto"/>
            </w:tcBorders>
          </w:tcPr>
          <w:p w:rsidR="004A7049" w:rsidRDefault="004A7049">
            <w:pPr>
              <w:jc w:val="center"/>
              <w:rPr>
                <w:sz w:val="24"/>
              </w:rPr>
            </w:pPr>
            <w:r>
              <w:rPr>
                <w:sz w:val="24"/>
              </w:rPr>
              <w:t>Activity</w:t>
            </w:r>
          </w:p>
        </w:tc>
        <w:tc>
          <w:tcPr>
            <w:tcW w:w="2070" w:type="dxa"/>
            <w:tcBorders>
              <w:top w:val="double" w:sz="6" w:space="0" w:color="auto"/>
              <w:left w:val="single" w:sz="6" w:space="0" w:color="auto"/>
              <w:bottom w:val="double" w:sz="6" w:space="0" w:color="auto"/>
            </w:tcBorders>
          </w:tcPr>
          <w:p w:rsidR="004A7049" w:rsidRDefault="004A7049">
            <w:pPr>
              <w:jc w:val="center"/>
              <w:rPr>
                <w:sz w:val="24"/>
              </w:rPr>
            </w:pPr>
            <w:r>
              <w:rPr>
                <w:sz w:val="24"/>
              </w:rPr>
              <w:t>Number of Respondents</w:t>
            </w:r>
          </w:p>
        </w:tc>
        <w:tc>
          <w:tcPr>
            <w:tcW w:w="2340" w:type="dxa"/>
            <w:tcBorders>
              <w:top w:val="double" w:sz="6" w:space="0" w:color="auto"/>
              <w:left w:val="single" w:sz="6" w:space="0" w:color="auto"/>
              <w:bottom w:val="double" w:sz="6" w:space="0" w:color="auto"/>
            </w:tcBorders>
          </w:tcPr>
          <w:p w:rsidR="004A7049" w:rsidRDefault="004A7049">
            <w:pPr>
              <w:jc w:val="center"/>
              <w:rPr>
                <w:sz w:val="24"/>
              </w:rPr>
            </w:pPr>
            <w:r>
              <w:rPr>
                <w:sz w:val="24"/>
              </w:rPr>
              <w:t>Hours per Inspection</w:t>
            </w:r>
          </w:p>
        </w:tc>
        <w:tc>
          <w:tcPr>
            <w:tcW w:w="1710" w:type="dxa"/>
            <w:tcBorders>
              <w:top w:val="double" w:sz="6" w:space="0" w:color="auto"/>
              <w:left w:val="single" w:sz="6" w:space="0" w:color="auto"/>
              <w:bottom w:val="double" w:sz="6" w:space="0" w:color="auto"/>
            </w:tcBorders>
          </w:tcPr>
          <w:p w:rsidR="004A7049" w:rsidRDefault="004A7049">
            <w:pPr>
              <w:jc w:val="center"/>
              <w:rPr>
                <w:sz w:val="24"/>
              </w:rPr>
            </w:pPr>
            <w:r>
              <w:rPr>
                <w:sz w:val="24"/>
              </w:rPr>
              <w:t>Cost per Hour</w:t>
            </w:r>
          </w:p>
        </w:tc>
        <w:tc>
          <w:tcPr>
            <w:tcW w:w="1530" w:type="dxa"/>
            <w:tcBorders>
              <w:top w:val="double" w:sz="6" w:space="0" w:color="auto"/>
              <w:left w:val="single" w:sz="6" w:space="0" w:color="auto"/>
              <w:bottom w:val="double" w:sz="6" w:space="0" w:color="auto"/>
              <w:right w:val="single" w:sz="6" w:space="0" w:color="auto"/>
            </w:tcBorders>
          </w:tcPr>
          <w:p w:rsidR="004A7049" w:rsidRDefault="004A7049">
            <w:pPr>
              <w:jc w:val="center"/>
              <w:rPr>
                <w:sz w:val="24"/>
              </w:rPr>
            </w:pPr>
            <w:r>
              <w:rPr>
                <w:sz w:val="24"/>
              </w:rPr>
              <w:t>Total Cost</w:t>
            </w:r>
          </w:p>
        </w:tc>
      </w:tr>
      <w:tr w:rsidR="004A7049">
        <w:trPr>
          <w:cantSplit/>
          <w:trHeight w:val="403"/>
        </w:trPr>
        <w:tc>
          <w:tcPr>
            <w:tcW w:w="1710" w:type="dxa"/>
            <w:tcBorders>
              <w:left w:val="single" w:sz="6" w:space="0" w:color="auto"/>
              <w:bottom w:val="single" w:sz="4" w:space="0" w:color="auto"/>
            </w:tcBorders>
          </w:tcPr>
          <w:p w:rsidR="004A7049" w:rsidRDefault="004A7049">
            <w:pPr>
              <w:jc w:val="center"/>
              <w:rPr>
                <w:sz w:val="24"/>
              </w:rPr>
            </w:pPr>
            <w:r>
              <w:rPr>
                <w:sz w:val="24"/>
              </w:rPr>
              <w:t>Inspection</w:t>
            </w:r>
          </w:p>
        </w:tc>
        <w:tc>
          <w:tcPr>
            <w:tcW w:w="2070" w:type="dxa"/>
            <w:tcBorders>
              <w:left w:val="single" w:sz="6" w:space="0" w:color="auto"/>
              <w:bottom w:val="single" w:sz="4" w:space="0" w:color="auto"/>
            </w:tcBorders>
          </w:tcPr>
          <w:p w:rsidR="004A7049" w:rsidRDefault="004A7049">
            <w:pPr>
              <w:jc w:val="center"/>
              <w:rPr>
                <w:sz w:val="24"/>
              </w:rPr>
            </w:pPr>
            <w:r>
              <w:rPr>
                <w:sz w:val="24"/>
              </w:rPr>
              <w:t>167</w:t>
            </w:r>
          </w:p>
        </w:tc>
        <w:tc>
          <w:tcPr>
            <w:tcW w:w="2340" w:type="dxa"/>
            <w:tcBorders>
              <w:left w:val="single" w:sz="6" w:space="0" w:color="auto"/>
              <w:bottom w:val="single" w:sz="4" w:space="0" w:color="auto"/>
            </w:tcBorders>
          </w:tcPr>
          <w:p w:rsidR="004A7049" w:rsidRDefault="004A7049">
            <w:pPr>
              <w:jc w:val="center"/>
              <w:rPr>
                <w:sz w:val="24"/>
              </w:rPr>
            </w:pPr>
            <w:r>
              <w:rPr>
                <w:sz w:val="24"/>
              </w:rPr>
              <w:t>40</w:t>
            </w:r>
          </w:p>
        </w:tc>
        <w:tc>
          <w:tcPr>
            <w:tcW w:w="1710" w:type="dxa"/>
            <w:tcBorders>
              <w:left w:val="single" w:sz="6" w:space="0" w:color="auto"/>
              <w:bottom w:val="single" w:sz="4" w:space="0" w:color="auto"/>
            </w:tcBorders>
          </w:tcPr>
          <w:p w:rsidR="004A7049" w:rsidRDefault="004A7049">
            <w:pPr>
              <w:jc w:val="center"/>
              <w:rPr>
                <w:sz w:val="24"/>
              </w:rPr>
            </w:pPr>
            <w:r>
              <w:rPr>
                <w:sz w:val="24"/>
              </w:rPr>
              <w:t>$57</w:t>
            </w:r>
          </w:p>
        </w:tc>
        <w:tc>
          <w:tcPr>
            <w:tcW w:w="1530" w:type="dxa"/>
            <w:tcBorders>
              <w:left w:val="single" w:sz="6" w:space="0" w:color="auto"/>
              <w:bottom w:val="single" w:sz="4" w:space="0" w:color="auto"/>
              <w:right w:val="single" w:sz="6" w:space="0" w:color="auto"/>
            </w:tcBorders>
          </w:tcPr>
          <w:p w:rsidR="004A7049" w:rsidRDefault="004A7049">
            <w:pPr>
              <w:jc w:val="center"/>
              <w:rPr>
                <w:sz w:val="24"/>
              </w:rPr>
            </w:pPr>
            <w:r>
              <w:rPr>
                <w:sz w:val="24"/>
              </w:rPr>
              <w:t>$380,760</w:t>
            </w:r>
          </w:p>
        </w:tc>
      </w:tr>
    </w:tbl>
    <w:p w:rsidR="004A7049" w:rsidRDefault="004A7049">
      <w:pPr>
        <w:rPr>
          <w:bCs/>
          <w:sz w:val="24"/>
        </w:rPr>
      </w:pPr>
    </w:p>
    <w:p w:rsidR="004A7049" w:rsidRDefault="004A7049" w:rsidP="00150A64">
      <w:pPr>
        <w:pStyle w:val="BodyText"/>
        <w:rPr>
          <w:bCs/>
        </w:rPr>
      </w:pPr>
      <w:r>
        <w:rPr>
          <w:bCs/>
        </w:rPr>
        <w:t>There are 334 licensed manufacturers of biological products that will be inspected on a biennial basis.  Therefore it is estimated that approximately one-half (167 establishments) will be inspected annually.  The cost estimate is based on a FDA inspector at an average grade of GS-13/5 who takes an average of 40 hours for each establishment to perform the on-site inspection, review the records, and write the report.</w:t>
      </w:r>
    </w:p>
    <w:p w:rsidR="004A7049" w:rsidRDefault="004A7049">
      <w:pPr>
        <w:rPr>
          <w:bCs/>
          <w:sz w:val="24"/>
        </w:rPr>
      </w:pPr>
    </w:p>
    <w:p w:rsidR="004A7049" w:rsidRPr="00700957" w:rsidRDefault="004A7049">
      <w:r w:rsidRPr="00700957">
        <w:rPr>
          <w:sz w:val="24"/>
        </w:rPr>
        <w:t xml:space="preserve">15.  </w:t>
      </w:r>
      <w:r w:rsidRPr="00700957">
        <w:rPr>
          <w:sz w:val="24"/>
          <w:szCs w:val="24"/>
          <w:u w:val="single"/>
        </w:rPr>
        <w:t>Explanation for Program Changes or Adjustments</w:t>
      </w:r>
    </w:p>
    <w:p w:rsidR="004A7049" w:rsidRDefault="004A7049">
      <w:pPr>
        <w:rPr>
          <w:sz w:val="24"/>
        </w:rPr>
      </w:pPr>
    </w:p>
    <w:p w:rsidR="004A7049" w:rsidRDefault="004A7049">
      <w:pPr>
        <w:rPr>
          <w:sz w:val="24"/>
        </w:rPr>
      </w:pPr>
      <w:r>
        <w:rPr>
          <w:sz w:val="24"/>
        </w:rPr>
        <w:t>The estimated total annual burden for this information collection in 2010 was 2,096,444 hours.  The current increase to</w:t>
      </w:r>
      <w:r w:rsidR="00822CF1">
        <w:rPr>
          <w:sz w:val="24"/>
        </w:rPr>
        <w:t xml:space="preserve"> the</w:t>
      </w:r>
      <w:r>
        <w:rPr>
          <w:sz w:val="24"/>
        </w:rPr>
        <w:t xml:space="preserve"> total annual burden</w:t>
      </w:r>
      <w:r w:rsidR="00822CF1">
        <w:rPr>
          <w:sz w:val="24"/>
        </w:rPr>
        <w:t xml:space="preserve"> of</w:t>
      </w:r>
      <w:r>
        <w:rPr>
          <w:sz w:val="24"/>
        </w:rPr>
        <w:t xml:space="preserve"> 4,293,3</w:t>
      </w:r>
      <w:r w:rsidR="009C2DC9">
        <w:rPr>
          <w:sz w:val="24"/>
        </w:rPr>
        <w:t>6</w:t>
      </w:r>
      <w:r>
        <w:rPr>
          <w:sz w:val="24"/>
        </w:rPr>
        <w:t>1 burden hours is mostly attributed to the increase in the number of respond</w:t>
      </w:r>
      <w:r w:rsidR="00822CF1">
        <w:rPr>
          <w:sz w:val="24"/>
        </w:rPr>
        <w:t>ents and</w:t>
      </w:r>
      <w:r>
        <w:rPr>
          <w:sz w:val="24"/>
        </w:rPr>
        <w:t xml:space="preserve"> total annual responses (number of AER reports)  submitted under 21 CFR 600.80(c)(2) and the corresponding recordkeeping requirements under 21 CFR 600.80(i).  The increase under these requirements (~ 2,200,000) is due to the normal variation in the submission of AER reports depending on various factors (e.g., new biological products on the market).</w:t>
      </w:r>
    </w:p>
    <w:p w:rsidR="004A7049" w:rsidRDefault="004A7049">
      <w:pPr>
        <w:rPr>
          <w:sz w:val="24"/>
        </w:rPr>
      </w:pPr>
    </w:p>
    <w:p w:rsidR="004A7049" w:rsidRPr="007471B7" w:rsidRDefault="004A7049">
      <w:r w:rsidRPr="007471B7">
        <w:rPr>
          <w:sz w:val="24"/>
        </w:rPr>
        <w:t xml:space="preserve">16.  </w:t>
      </w:r>
      <w:r w:rsidRPr="007471B7">
        <w:rPr>
          <w:sz w:val="24"/>
          <w:szCs w:val="24"/>
          <w:u w:val="single"/>
        </w:rPr>
        <w:t>Plans for Tabulation and Publication and Project Time Schedule</w:t>
      </w:r>
    </w:p>
    <w:p w:rsidR="004A7049" w:rsidRDefault="004A7049">
      <w:pPr>
        <w:rPr>
          <w:sz w:val="24"/>
        </w:rPr>
      </w:pPr>
    </w:p>
    <w:p w:rsidR="004A7049" w:rsidRDefault="004A7049">
      <w:pPr>
        <w:rPr>
          <w:sz w:val="24"/>
        </w:rPr>
      </w:pPr>
      <w:r>
        <w:rPr>
          <w:sz w:val="24"/>
        </w:rPr>
        <w:t>There are no tabulated results to publish for this information collection.</w:t>
      </w:r>
    </w:p>
    <w:p w:rsidR="004A7049" w:rsidRDefault="004A7049">
      <w:pPr>
        <w:rPr>
          <w:sz w:val="24"/>
        </w:rPr>
      </w:pPr>
    </w:p>
    <w:p w:rsidR="004A7049" w:rsidRPr="007471B7" w:rsidRDefault="004A7049">
      <w:pPr>
        <w:rPr>
          <w:sz w:val="24"/>
        </w:rPr>
      </w:pPr>
      <w:r w:rsidRPr="007471B7">
        <w:rPr>
          <w:sz w:val="24"/>
        </w:rPr>
        <w:t xml:space="preserve">17.  </w:t>
      </w:r>
      <w:r w:rsidRPr="007471B7">
        <w:rPr>
          <w:sz w:val="24"/>
          <w:szCs w:val="24"/>
          <w:u w:val="single"/>
        </w:rPr>
        <w:t>Reason(s) Display of OMB Expiration Date is Inappropriate</w:t>
      </w:r>
    </w:p>
    <w:p w:rsidR="004A7049" w:rsidRDefault="004A7049">
      <w:pPr>
        <w:rPr>
          <w:sz w:val="24"/>
        </w:rPr>
      </w:pPr>
    </w:p>
    <w:p w:rsidR="004A7049" w:rsidRDefault="004A7049">
      <w:pPr>
        <w:rPr>
          <w:sz w:val="24"/>
        </w:rPr>
      </w:pPr>
      <w:r>
        <w:rPr>
          <w:sz w:val="24"/>
        </w:rPr>
        <w:t>FDA is not seeking approval to exempt display of the expiration date for OMB approval.</w:t>
      </w:r>
    </w:p>
    <w:p w:rsidR="004A7049" w:rsidRDefault="004A7049">
      <w:pPr>
        <w:rPr>
          <w:sz w:val="24"/>
        </w:rPr>
      </w:pPr>
    </w:p>
    <w:p w:rsidR="004A7049" w:rsidRPr="007471B7" w:rsidRDefault="004A7049">
      <w:pPr>
        <w:rPr>
          <w:sz w:val="24"/>
          <w:u w:val="single"/>
        </w:rPr>
      </w:pPr>
      <w:r w:rsidRPr="007471B7">
        <w:rPr>
          <w:sz w:val="24"/>
        </w:rPr>
        <w:t xml:space="preserve">18.  </w:t>
      </w:r>
      <w:r w:rsidRPr="007471B7">
        <w:rPr>
          <w:sz w:val="24"/>
          <w:szCs w:val="24"/>
          <w:u w:val="single"/>
        </w:rPr>
        <w:t>Exceptions to Certification for Paperwork Reduction Act Submissions</w:t>
      </w:r>
    </w:p>
    <w:p w:rsidR="004A7049" w:rsidRDefault="004A7049">
      <w:pPr>
        <w:rPr>
          <w:sz w:val="24"/>
          <w:u w:val="single"/>
        </w:rPr>
      </w:pPr>
    </w:p>
    <w:p w:rsidR="004A7049" w:rsidRDefault="004A7049" w:rsidP="002A61BF">
      <w:r w:rsidRPr="00694309">
        <w:rPr>
          <w:sz w:val="24"/>
          <w:szCs w:val="24"/>
        </w:rPr>
        <w:t>There are no exceptions to the certification.</w:t>
      </w:r>
    </w:p>
    <w:sectPr w:rsidR="004A7049" w:rsidSect="008079AB">
      <w:footerReference w:type="even" r:id="rId9"/>
      <w:footerReference w:type="default" r:id="rId10"/>
      <w:footnotePr>
        <w:numRestart w:val="eachSect"/>
      </w:footnotePr>
      <w:endnotePr>
        <w:numFmt w:val="decimal"/>
      </w:endnotePr>
      <w:type w:val="continuous"/>
      <w:pgSz w:w="12240" w:h="15840"/>
      <w:pgMar w:top="1152" w:right="1008"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F55" w:rsidRDefault="00DC3F55">
      <w:r>
        <w:separator/>
      </w:r>
    </w:p>
  </w:endnote>
  <w:endnote w:type="continuationSeparator" w:id="0">
    <w:p w:rsidR="00DC3F55" w:rsidRDefault="00DC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49" w:rsidRDefault="004A7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7049" w:rsidRDefault="004A7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49" w:rsidRDefault="004A7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DC9">
      <w:rPr>
        <w:rStyle w:val="PageNumber"/>
        <w:noProof/>
      </w:rPr>
      <w:t>7</w:t>
    </w:r>
    <w:r>
      <w:rPr>
        <w:rStyle w:val="PageNumber"/>
      </w:rPr>
      <w:fldChar w:fldCharType="end"/>
    </w:r>
  </w:p>
  <w:p w:rsidR="004A7049" w:rsidRDefault="004A7049">
    <w:pPr>
      <w:rPr>
        <w:sz w:val="16"/>
      </w:rPr>
    </w:pPr>
    <w:r>
      <w:rPr>
        <w:sz w:val="16"/>
      </w:rPr>
      <w:tab/>
    </w:r>
    <w:r>
      <w:rPr>
        <w:sz w:val="16"/>
      </w:rPr>
      <w:tab/>
    </w:r>
    <w:r>
      <w:rPr>
        <w:sz w:val="16"/>
      </w:rPr>
      <w:tab/>
    </w: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F55" w:rsidRDefault="00DC3F55">
      <w:r>
        <w:separator/>
      </w:r>
    </w:p>
  </w:footnote>
  <w:footnote w:type="continuationSeparator" w:id="0">
    <w:p w:rsidR="00DC3F55" w:rsidRDefault="00DC3F55">
      <w:r>
        <w:continuationSeparator/>
      </w:r>
    </w:p>
  </w:footnote>
  <w:footnote w:id="1">
    <w:p w:rsidR="002E53E0" w:rsidRDefault="002E53E0" w:rsidP="002E53E0">
      <w:pPr>
        <w:pStyle w:val="FootnoteText"/>
      </w:pPr>
      <w:r>
        <w:rPr>
          <w:rStyle w:val="FootnoteReference"/>
        </w:rPr>
        <w:footnoteRef/>
      </w:r>
      <w:r>
        <w:t xml:space="preserve">  </w:t>
      </w:r>
      <w:r w:rsidRPr="00FD5A37">
        <w:t xml:space="preserve">Please note that </w:t>
      </w:r>
      <w:r>
        <w:t xml:space="preserve">throughout the regulations referenced in relation to these information collections, </w:t>
      </w:r>
      <w:r w:rsidRPr="00FD5A37">
        <w:t>licensed biolo</w:t>
      </w:r>
      <w:r>
        <w:t xml:space="preserve">gical products refers to </w:t>
      </w:r>
      <w:r w:rsidRPr="00FD5A37">
        <w:t xml:space="preserve">biologics licensed under </w:t>
      </w:r>
      <w:r>
        <w:t xml:space="preserve">any provision of </w:t>
      </w:r>
      <w:r w:rsidRPr="00FD5A37">
        <w:t xml:space="preserve">section 351 of the </w:t>
      </w:r>
      <w:r>
        <w:t>PHS Act</w:t>
      </w:r>
      <w:r w:rsidR="00B744D6">
        <w:t xml:space="preserve"> (</w:t>
      </w:r>
      <w:r>
        <w:t>42 U.S.C 262</w:t>
      </w:r>
      <w:r w:rsidR="00B744D6">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843F6"/>
    <w:multiLevelType w:val="hybridMultilevel"/>
    <w:tmpl w:val="910AA1DE"/>
    <w:lvl w:ilvl="0" w:tplc="A41683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534"/>
    <w:rsid w:val="000173C7"/>
    <w:rsid w:val="00017D30"/>
    <w:rsid w:val="00027AB9"/>
    <w:rsid w:val="0003249B"/>
    <w:rsid w:val="000448D7"/>
    <w:rsid w:val="0006131D"/>
    <w:rsid w:val="00065315"/>
    <w:rsid w:val="0007303E"/>
    <w:rsid w:val="00091B24"/>
    <w:rsid w:val="000C301C"/>
    <w:rsid w:val="000C559D"/>
    <w:rsid w:val="00113122"/>
    <w:rsid w:val="001323FD"/>
    <w:rsid w:val="00134957"/>
    <w:rsid w:val="001354E9"/>
    <w:rsid w:val="001363A6"/>
    <w:rsid w:val="001372ED"/>
    <w:rsid w:val="00150A64"/>
    <w:rsid w:val="00161B94"/>
    <w:rsid w:val="00173EB0"/>
    <w:rsid w:val="0018452A"/>
    <w:rsid w:val="001A299C"/>
    <w:rsid w:val="001A5443"/>
    <w:rsid w:val="001D345B"/>
    <w:rsid w:val="001D7E9D"/>
    <w:rsid w:val="001E34F7"/>
    <w:rsid w:val="001E7EA3"/>
    <w:rsid w:val="001F0A33"/>
    <w:rsid w:val="00226EAF"/>
    <w:rsid w:val="002322F6"/>
    <w:rsid w:val="0023269D"/>
    <w:rsid w:val="0023348B"/>
    <w:rsid w:val="0024237D"/>
    <w:rsid w:val="00250AEC"/>
    <w:rsid w:val="00252E5F"/>
    <w:rsid w:val="00253E96"/>
    <w:rsid w:val="00255025"/>
    <w:rsid w:val="0026112C"/>
    <w:rsid w:val="002A61BF"/>
    <w:rsid w:val="002A7A4B"/>
    <w:rsid w:val="002B6226"/>
    <w:rsid w:val="002E53E0"/>
    <w:rsid w:val="002E7DB4"/>
    <w:rsid w:val="0032463C"/>
    <w:rsid w:val="0033229C"/>
    <w:rsid w:val="003334F8"/>
    <w:rsid w:val="00356600"/>
    <w:rsid w:val="0036299B"/>
    <w:rsid w:val="00370870"/>
    <w:rsid w:val="00396D51"/>
    <w:rsid w:val="003B3BC6"/>
    <w:rsid w:val="003E1C5E"/>
    <w:rsid w:val="003E6A84"/>
    <w:rsid w:val="003F1FF0"/>
    <w:rsid w:val="003F42BA"/>
    <w:rsid w:val="00402D8A"/>
    <w:rsid w:val="00427E31"/>
    <w:rsid w:val="00432F11"/>
    <w:rsid w:val="00441544"/>
    <w:rsid w:val="0044251B"/>
    <w:rsid w:val="004532F3"/>
    <w:rsid w:val="00454E60"/>
    <w:rsid w:val="004859A5"/>
    <w:rsid w:val="004921D0"/>
    <w:rsid w:val="004945D6"/>
    <w:rsid w:val="004A5C3E"/>
    <w:rsid w:val="004A7049"/>
    <w:rsid w:val="004B2E5E"/>
    <w:rsid w:val="004B40C0"/>
    <w:rsid w:val="004C449B"/>
    <w:rsid w:val="004C55F2"/>
    <w:rsid w:val="004C7EDC"/>
    <w:rsid w:val="004E055A"/>
    <w:rsid w:val="004E3384"/>
    <w:rsid w:val="004E6287"/>
    <w:rsid w:val="004F6E97"/>
    <w:rsid w:val="0050026C"/>
    <w:rsid w:val="00515AD3"/>
    <w:rsid w:val="0052692E"/>
    <w:rsid w:val="005273D6"/>
    <w:rsid w:val="00532AF1"/>
    <w:rsid w:val="00534234"/>
    <w:rsid w:val="005447AD"/>
    <w:rsid w:val="00583839"/>
    <w:rsid w:val="00590797"/>
    <w:rsid w:val="00594F18"/>
    <w:rsid w:val="005A5EBA"/>
    <w:rsid w:val="005A746D"/>
    <w:rsid w:val="005A7829"/>
    <w:rsid w:val="005B054D"/>
    <w:rsid w:val="005B37B8"/>
    <w:rsid w:val="005B7D54"/>
    <w:rsid w:val="005C7BEE"/>
    <w:rsid w:val="005F1FE4"/>
    <w:rsid w:val="006016DA"/>
    <w:rsid w:val="00610125"/>
    <w:rsid w:val="00620050"/>
    <w:rsid w:val="006239DA"/>
    <w:rsid w:val="006575EF"/>
    <w:rsid w:val="00660CE6"/>
    <w:rsid w:val="00666DB3"/>
    <w:rsid w:val="0068083E"/>
    <w:rsid w:val="00694309"/>
    <w:rsid w:val="00695054"/>
    <w:rsid w:val="006B6012"/>
    <w:rsid w:val="006C36A3"/>
    <w:rsid w:val="006C36F9"/>
    <w:rsid w:val="006D3AB0"/>
    <w:rsid w:val="006F45FF"/>
    <w:rsid w:val="006F71F2"/>
    <w:rsid w:val="00700957"/>
    <w:rsid w:val="00715C77"/>
    <w:rsid w:val="00721DAD"/>
    <w:rsid w:val="007375DD"/>
    <w:rsid w:val="0074437F"/>
    <w:rsid w:val="007462A4"/>
    <w:rsid w:val="007471B7"/>
    <w:rsid w:val="00761A47"/>
    <w:rsid w:val="00762BCE"/>
    <w:rsid w:val="0076775B"/>
    <w:rsid w:val="00771D9B"/>
    <w:rsid w:val="00781639"/>
    <w:rsid w:val="00786DC8"/>
    <w:rsid w:val="007A0D2D"/>
    <w:rsid w:val="007A5A3F"/>
    <w:rsid w:val="008048E8"/>
    <w:rsid w:val="008079AB"/>
    <w:rsid w:val="00822CF1"/>
    <w:rsid w:val="008440AE"/>
    <w:rsid w:val="008452C5"/>
    <w:rsid w:val="00846C6B"/>
    <w:rsid w:val="00847F35"/>
    <w:rsid w:val="008710C3"/>
    <w:rsid w:val="00874545"/>
    <w:rsid w:val="00880C03"/>
    <w:rsid w:val="00887FC2"/>
    <w:rsid w:val="008C426C"/>
    <w:rsid w:val="008D196B"/>
    <w:rsid w:val="008D3438"/>
    <w:rsid w:val="008F12CE"/>
    <w:rsid w:val="008F16A5"/>
    <w:rsid w:val="00910779"/>
    <w:rsid w:val="00927ABE"/>
    <w:rsid w:val="00947931"/>
    <w:rsid w:val="00953B64"/>
    <w:rsid w:val="009653D3"/>
    <w:rsid w:val="009654C1"/>
    <w:rsid w:val="00980F09"/>
    <w:rsid w:val="00982F9F"/>
    <w:rsid w:val="00985ED0"/>
    <w:rsid w:val="00995009"/>
    <w:rsid w:val="00995A1A"/>
    <w:rsid w:val="00997CF2"/>
    <w:rsid w:val="009A11A7"/>
    <w:rsid w:val="009A355C"/>
    <w:rsid w:val="009C2DC9"/>
    <w:rsid w:val="009C75EC"/>
    <w:rsid w:val="009D11C9"/>
    <w:rsid w:val="009E4F40"/>
    <w:rsid w:val="009F723D"/>
    <w:rsid w:val="00A00BFF"/>
    <w:rsid w:val="00A01ECC"/>
    <w:rsid w:val="00A27A5B"/>
    <w:rsid w:val="00A30AFB"/>
    <w:rsid w:val="00A4086B"/>
    <w:rsid w:val="00A43F9F"/>
    <w:rsid w:val="00A458C8"/>
    <w:rsid w:val="00A56149"/>
    <w:rsid w:val="00A7799C"/>
    <w:rsid w:val="00A80560"/>
    <w:rsid w:val="00AA1F69"/>
    <w:rsid w:val="00AB4494"/>
    <w:rsid w:val="00AE176C"/>
    <w:rsid w:val="00AE23D1"/>
    <w:rsid w:val="00B05366"/>
    <w:rsid w:val="00B1141A"/>
    <w:rsid w:val="00B21073"/>
    <w:rsid w:val="00B27A90"/>
    <w:rsid w:val="00B35082"/>
    <w:rsid w:val="00B37160"/>
    <w:rsid w:val="00B379E7"/>
    <w:rsid w:val="00B46E7A"/>
    <w:rsid w:val="00B506DA"/>
    <w:rsid w:val="00B50B13"/>
    <w:rsid w:val="00B52A1E"/>
    <w:rsid w:val="00B57921"/>
    <w:rsid w:val="00B744D6"/>
    <w:rsid w:val="00B9178D"/>
    <w:rsid w:val="00B93C4F"/>
    <w:rsid w:val="00B93E2F"/>
    <w:rsid w:val="00B972D3"/>
    <w:rsid w:val="00BB22A2"/>
    <w:rsid w:val="00BB51F7"/>
    <w:rsid w:val="00BD6DA3"/>
    <w:rsid w:val="00BE1D7E"/>
    <w:rsid w:val="00BE33B7"/>
    <w:rsid w:val="00BE64AF"/>
    <w:rsid w:val="00BF0685"/>
    <w:rsid w:val="00C10FF4"/>
    <w:rsid w:val="00C62715"/>
    <w:rsid w:val="00C63772"/>
    <w:rsid w:val="00C720CB"/>
    <w:rsid w:val="00C80E3F"/>
    <w:rsid w:val="00CA024E"/>
    <w:rsid w:val="00CA03BC"/>
    <w:rsid w:val="00CB0A85"/>
    <w:rsid w:val="00CB7958"/>
    <w:rsid w:val="00CC30CA"/>
    <w:rsid w:val="00CE26D5"/>
    <w:rsid w:val="00CF3DF3"/>
    <w:rsid w:val="00CF4CD6"/>
    <w:rsid w:val="00CF73D6"/>
    <w:rsid w:val="00D14F01"/>
    <w:rsid w:val="00D1531B"/>
    <w:rsid w:val="00D22872"/>
    <w:rsid w:val="00D30E08"/>
    <w:rsid w:val="00D5074E"/>
    <w:rsid w:val="00D54C72"/>
    <w:rsid w:val="00D61418"/>
    <w:rsid w:val="00D95E3B"/>
    <w:rsid w:val="00DB07A7"/>
    <w:rsid w:val="00DC16EE"/>
    <w:rsid w:val="00DC3F55"/>
    <w:rsid w:val="00DF766E"/>
    <w:rsid w:val="00E000F6"/>
    <w:rsid w:val="00E02A63"/>
    <w:rsid w:val="00E03605"/>
    <w:rsid w:val="00E4056B"/>
    <w:rsid w:val="00E50AB5"/>
    <w:rsid w:val="00E50E93"/>
    <w:rsid w:val="00E60BC4"/>
    <w:rsid w:val="00E82AD3"/>
    <w:rsid w:val="00E83E70"/>
    <w:rsid w:val="00E92A89"/>
    <w:rsid w:val="00EA11BF"/>
    <w:rsid w:val="00EA688C"/>
    <w:rsid w:val="00EB0A89"/>
    <w:rsid w:val="00EB625C"/>
    <w:rsid w:val="00ED5BDF"/>
    <w:rsid w:val="00EE7A46"/>
    <w:rsid w:val="00EF15D8"/>
    <w:rsid w:val="00EF45BE"/>
    <w:rsid w:val="00EF553B"/>
    <w:rsid w:val="00F01946"/>
    <w:rsid w:val="00F1065D"/>
    <w:rsid w:val="00F11FE3"/>
    <w:rsid w:val="00F305FE"/>
    <w:rsid w:val="00F30ED9"/>
    <w:rsid w:val="00F31D78"/>
    <w:rsid w:val="00F450B2"/>
    <w:rsid w:val="00F52827"/>
    <w:rsid w:val="00F52FB7"/>
    <w:rsid w:val="00F54534"/>
    <w:rsid w:val="00F57E3B"/>
    <w:rsid w:val="00F60EDD"/>
    <w:rsid w:val="00F629CE"/>
    <w:rsid w:val="00F73731"/>
    <w:rsid w:val="00F8272C"/>
    <w:rsid w:val="00F933E2"/>
    <w:rsid w:val="00FB1BDA"/>
    <w:rsid w:val="00FC4B30"/>
    <w:rsid w:val="00FD069A"/>
    <w:rsid w:val="00FD5A37"/>
    <w:rsid w:val="00FE45BA"/>
    <w:rsid w:val="00FE4CD4"/>
    <w:rsid w:val="00FF0B4D"/>
    <w:rsid w:val="00FF240E"/>
    <w:rsid w:val="00FF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9AB"/>
    <w:pPr>
      <w:widowControl w:val="0"/>
    </w:pPr>
  </w:style>
  <w:style w:type="paragraph" w:styleId="Heading1">
    <w:name w:val="heading 1"/>
    <w:basedOn w:val="Normal"/>
    <w:next w:val="Normal"/>
    <w:link w:val="Heading1Char"/>
    <w:uiPriority w:val="99"/>
    <w:qFormat/>
    <w:rsid w:val="008079AB"/>
    <w:pPr>
      <w:keepNext/>
      <w:outlineLvl w:val="0"/>
    </w:pPr>
    <w:rPr>
      <w:sz w:val="24"/>
    </w:rPr>
  </w:style>
  <w:style w:type="paragraph" w:styleId="Heading2">
    <w:name w:val="heading 2"/>
    <w:basedOn w:val="Normal"/>
    <w:next w:val="Normal"/>
    <w:link w:val="Heading2Char"/>
    <w:uiPriority w:val="99"/>
    <w:qFormat/>
    <w:rsid w:val="008079AB"/>
    <w:pPr>
      <w:keepNext/>
      <w:jc w:val="center"/>
      <w:outlineLvl w:val="1"/>
    </w:pPr>
    <w:rPr>
      <w:sz w:val="24"/>
      <w:u w:val="single"/>
    </w:rPr>
  </w:style>
  <w:style w:type="paragraph" w:styleId="Heading3">
    <w:name w:val="heading 3"/>
    <w:basedOn w:val="Normal"/>
    <w:next w:val="Normal"/>
    <w:link w:val="Heading3Char"/>
    <w:uiPriority w:val="99"/>
    <w:qFormat/>
    <w:rsid w:val="008079AB"/>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0AB5"/>
    <w:rPr>
      <w:rFonts w:ascii="Cambria" w:hAnsi="Cambria" w:cs="Times New Roman"/>
      <w:b/>
      <w:bCs/>
      <w:kern w:val="32"/>
      <w:sz w:val="32"/>
      <w:szCs w:val="32"/>
    </w:rPr>
  </w:style>
  <w:style w:type="character" w:customStyle="1" w:styleId="Heading2Char">
    <w:name w:val="Heading 2 Char"/>
    <w:link w:val="Heading2"/>
    <w:uiPriority w:val="99"/>
    <w:semiHidden/>
    <w:locked/>
    <w:rsid w:val="00E50AB5"/>
    <w:rPr>
      <w:rFonts w:ascii="Cambria" w:hAnsi="Cambria" w:cs="Times New Roman"/>
      <w:b/>
      <w:bCs/>
      <w:i/>
      <w:iCs/>
      <w:sz w:val="28"/>
      <w:szCs w:val="28"/>
    </w:rPr>
  </w:style>
  <w:style w:type="character" w:customStyle="1" w:styleId="Heading3Char">
    <w:name w:val="Heading 3 Char"/>
    <w:link w:val="Heading3"/>
    <w:uiPriority w:val="99"/>
    <w:semiHidden/>
    <w:locked/>
    <w:rsid w:val="00E50AB5"/>
    <w:rPr>
      <w:rFonts w:ascii="Cambria" w:hAnsi="Cambria" w:cs="Times New Roman"/>
      <w:b/>
      <w:bCs/>
      <w:sz w:val="26"/>
      <w:szCs w:val="26"/>
    </w:rPr>
  </w:style>
  <w:style w:type="paragraph" w:customStyle="1" w:styleId="a">
    <w:name w:val="_"/>
    <w:uiPriority w:val="99"/>
    <w:rsid w:val="008079AB"/>
    <w:pPr>
      <w:widowControl w:val="0"/>
      <w:ind w:left="-1440"/>
    </w:pPr>
    <w:rPr>
      <w:sz w:val="24"/>
    </w:rPr>
  </w:style>
  <w:style w:type="paragraph" w:styleId="Header">
    <w:name w:val="header"/>
    <w:basedOn w:val="Normal"/>
    <w:link w:val="HeaderChar"/>
    <w:uiPriority w:val="99"/>
    <w:rsid w:val="008079AB"/>
    <w:pPr>
      <w:tabs>
        <w:tab w:val="center" w:pos="4320"/>
        <w:tab w:val="right" w:pos="8640"/>
      </w:tabs>
    </w:pPr>
  </w:style>
  <w:style w:type="character" w:customStyle="1" w:styleId="HeaderChar">
    <w:name w:val="Header Char"/>
    <w:link w:val="Header"/>
    <w:uiPriority w:val="99"/>
    <w:semiHidden/>
    <w:locked/>
    <w:rsid w:val="00E50AB5"/>
    <w:rPr>
      <w:rFonts w:cs="Times New Roman"/>
      <w:sz w:val="20"/>
      <w:szCs w:val="20"/>
    </w:rPr>
  </w:style>
  <w:style w:type="paragraph" w:styleId="Footer">
    <w:name w:val="footer"/>
    <w:basedOn w:val="Normal"/>
    <w:link w:val="FooterChar"/>
    <w:uiPriority w:val="99"/>
    <w:rsid w:val="008079AB"/>
    <w:pPr>
      <w:tabs>
        <w:tab w:val="center" w:pos="4320"/>
        <w:tab w:val="right" w:pos="8640"/>
      </w:tabs>
    </w:pPr>
  </w:style>
  <w:style w:type="character" w:customStyle="1" w:styleId="FooterChar">
    <w:name w:val="Footer Char"/>
    <w:link w:val="Footer"/>
    <w:uiPriority w:val="99"/>
    <w:semiHidden/>
    <w:locked/>
    <w:rsid w:val="00E50AB5"/>
    <w:rPr>
      <w:rFonts w:cs="Times New Roman"/>
      <w:sz w:val="20"/>
      <w:szCs w:val="20"/>
    </w:rPr>
  </w:style>
  <w:style w:type="character" w:styleId="PageNumber">
    <w:name w:val="page number"/>
    <w:uiPriority w:val="99"/>
    <w:rsid w:val="008079AB"/>
    <w:rPr>
      <w:rFonts w:cs="Times New Roman"/>
    </w:rPr>
  </w:style>
  <w:style w:type="paragraph" w:styleId="BodyText">
    <w:name w:val="Body Text"/>
    <w:basedOn w:val="Normal"/>
    <w:link w:val="BodyTextChar"/>
    <w:uiPriority w:val="99"/>
    <w:rsid w:val="008079AB"/>
    <w:rPr>
      <w:sz w:val="24"/>
    </w:rPr>
  </w:style>
  <w:style w:type="character" w:customStyle="1" w:styleId="BodyTextChar">
    <w:name w:val="Body Text Char"/>
    <w:link w:val="BodyText"/>
    <w:uiPriority w:val="99"/>
    <w:semiHidden/>
    <w:locked/>
    <w:rsid w:val="00E50AB5"/>
    <w:rPr>
      <w:rFonts w:cs="Times New Roman"/>
      <w:sz w:val="20"/>
      <w:szCs w:val="20"/>
    </w:rPr>
  </w:style>
  <w:style w:type="paragraph" w:styleId="Title">
    <w:name w:val="Title"/>
    <w:basedOn w:val="Normal"/>
    <w:link w:val="TitleChar"/>
    <w:uiPriority w:val="99"/>
    <w:qFormat/>
    <w:rsid w:val="008079AB"/>
    <w:pPr>
      <w:jc w:val="center"/>
    </w:pPr>
    <w:rPr>
      <w:sz w:val="24"/>
      <w:u w:val="single"/>
    </w:rPr>
  </w:style>
  <w:style w:type="character" w:customStyle="1" w:styleId="TitleChar">
    <w:name w:val="Title Char"/>
    <w:link w:val="Title"/>
    <w:uiPriority w:val="99"/>
    <w:locked/>
    <w:rsid w:val="00E50AB5"/>
    <w:rPr>
      <w:rFonts w:ascii="Cambria" w:hAnsi="Cambria" w:cs="Times New Roman"/>
      <w:b/>
      <w:bCs/>
      <w:kern w:val="28"/>
      <w:sz w:val="32"/>
      <w:szCs w:val="32"/>
    </w:rPr>
  </w:style>
  <w:style w:type="paragraph" w:styleId="BalloonText">
    <w:name w:val="Balloon Text"/>
    <w:basedOn w:val="Normal"/>
    <w:link w:val="BalloonTextChar"/>
    <w:uiPriority w:val="99"/>
    <w:semiHidden/>
    <w:rsid w:val="00252E5F"/>
    <w:rPr>
      <w:rFonts w:ascii="Tahoma" w:hAnsi="Tahoma" w:cs="Tahoma"/>
      <w:sz w:val="16"/>
      <w:szCs w:val="16"/>
    </w:rPr>
  </w:style>
  <w:style w:type="character" w:customStyle="1" w:styleId="BalloonTextChar">
    <w:name w:val="Balloon Text Char"/>
    <w:link w:val="BalloonText"/>
    <w:uiPriority w:val="99"/>
    <w:semiHidden/>
    <w:locked/>
    <w:rsid w:val="00E50AB5"/>
    <w:rPr>
      <w:rFonts w:cs="Times New Roman"/>
      <w:sz w:val="2"/>
    </w:rPr>
  </w:style>
  <w:style w:type="paragraph" w:styleId="FootnoteText">
    <w:name w:val="footnote text"/>
    <w:basedOn w:val="Normal"/>
    <w:link w:val="FootnoteTextChar"/>
    <w:uiPriority w:val="99"/>
    <w:semiHidden/>
    <w:unhideWhenUsed/>
    <w:rsid w:val="00FD5A37"/>
  </w:style>
  <w:style w:type="character" w:customStyle="1" w:styleId="FootnoteTextChar">
    <w:name w:val="Footnote Text Char"/>
    <w:link w:val="FootnoteText"/>
    <w:uiPriority w:val="99"/>
    <w:semiHidden/>
    <w:rsid w:val="00FD5A37"/>
    <w:rPr>
      <w:sz w:val="20"/>
      <w:szCs w:val="20"/>
    </w:rPr>
  </w:style>
  <w:style w:type="character" w:styleId="FootnoteReference">
    <w:name w:val="footnote reference"/>
    <w:uiPriority w:val="99"/>
    <w:semiHidden/>
    <w:unhideWhenUsed/>
    <w:rsid w:val="00FD5A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2902-E907-4D54-B75B-AE6561F7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CBER</dc:creator>
  <cp:lastModifiedBy>Mizrachi, Ila</cp:lastModifiedBy>
  <cp:revision>10</cp:revision>
  <cp:lastPrinted>2014-07-26T00:35:00Z</cp:lastPrinted>
  <dcterms:created xsi:type="dcterms:W3CDTF">2014-10-03T18:57:00Z</dcterms:created>
  <dcterms:modified xsi:type="dcterms:W3CDTF">2014-11-03T15:30:00Z</dcterms:modified>
</cp:coreProperties>
</file>