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Default="000173E5">
      <w:pPr>
        <w:jc w:val="center"/>
        <w:rPr>
          <w:b/>
          <w:bCs/>
          <w:sz w:val="24"/>
          <w:szCs w:val="24"/>
        </w:rPr>
      </w:pPr>
      <w:r>
        <w:rPr>
          <w:b/>
          <w:bCs/>
          <w:sz w:val="24"/>
          <w:szCs w:val="24"/>
        </w:rPr>
        <w:t>SUPPORTING STATEMENT</w:t>
      </w:r>
    </w:p>
    <w:p w:rsidR="004F26E9" w:rsidRDefault="000173E5">
      <w:pPr>
        <w:jc w:val="center"/>
        <w:rPr>
          <w:b/>
          <w:bCs/>
          <w:sz w:val="24"/>
          <w:szCs w:val="24"/>
        </w:rPr>
      </w:pPr>
      <w:r>
        <w:rPr>
          <w:b/>
          <w:bCs/>
          <w:sz w:val="24"/>
          <w:szCs w:val="24"/>
        </w:rPr>
        <w:t>GULF OF ALASKA ECOSYSTEM INDICATOR SURVEY</w:t>
      </w:r>
    </w:p>
    <w:p w:rsidR="004F26E9" w:rsidRDefault="000173E5">
      <w:pPr>
        <w:jc w:val="center"/>
        <w:rPr>
          <w:sz w:val="24"/>
          <w:szCs w:val="24"/>
        </w:rPr>
      </w:pPr>
      <w:proofErr w:type="gramStart"/>
      <w:r>
        <w:rPr>
          <w:b/>
          <w:bCs/>
          <w:sz w:val="24"/>
          <w:szCs w:val="24"/>
        </w:rPr>
        <w:t>OMB CONTROL NO.</w:t>
      </w:r>
      <w:proofErr w:type="gramEnd"/>
      <w:r>
        <w:rPr>
          <w:b/>
          <w:bCs/>
          <w:sz w:val="24"/>
          <w:szCs w:val="24"/>
        </w:rPr>
        <w:t xml:space="preserve"> 0648-XXXX</w:t>
      </w:r>
    </w:p>
    <w:p w:rsidR="004F26E9" w:rsidRDefault="004F26E9">
      <w:pPr>
        <w:rPr>
          <w:sz w:val="24"/>
          <w:szCs w:val="24"/>
        </w:rPr>
      </w:pPr>
    </w:p>
    <w:p w:rsidR="004F26E9" w:rsidRDefault="004F26E9">
      <w:pPr>
        <w:rPr>
          <w:sz w:val="24"/>
          <w:szCs w:val="24"/>
        </w:rPr>
      </w:pPr>
    </w:p>
    <w:p w:rsidR="004F26E9" w:rsidRDefault="004F26E9">
      <w:pPr>
        <w:tabs>
          <w:tab w:val="left" w:pos="720"/>
        </w:tabs>
        <w:ind w:left="720" w:hanging="720"/>
        <w:rPr>
          <w:sz w:val="24"/>
          <w:szCs w:val="24"/>
        </w:rPr>
      </w:pPr>
      <w:r>
        <w:rPr>
          <w:b/>
          <w:bCs/>
          <w:sz w:val="24"/>
          <w:szCs w:val="24"/>
        </w:rPr>
        <w:t xml:space="preserve">A. </w:t>
      </w:r>
      <w:r>
        <w:rPr>
          <w:b/>
          <w:bCs/>
          <w:sz w:val="24"/>
          <w:szCs w:val="24"/>
        </w:rPr>
        <w:tab/>
        <w:t>JUSTIFICATION</w:t>
      </w:r>
    </w:p>
    <w:p w:rsidR="004F26E9" w:rsidRDefault="004F26E9">
      <w:pPr>
        <w:rPr>
          <w:sz w:val="24"/>
          <w:szCs w:val="24"/>
        </w:rPr>
      </w:pPr>
    </w:p>
    <w:p w:rsidR="004F26E9" w:rsidRDefault="004F26E9">
      <w:pPr>
        <w:rPr>
          <w:sz w:val="24"/>
          <w:szCs w:val="24"/>
        </w:rPr>
        <w:sectPr w:rsidR="004F26E9">
          <w:footerReference w:type="default" r:id="rId8"/>
          <w:footnotePr>
            <w:numRestart w:val="eachSect"/>
          </w:footnotePr>
          <w:endnotePr>
            <w:numFmt w:val="decimal"/>
          </w:endnotePr>
          <w:type w:val="continuous"/>
          <w:pgSz w:w="12240" w:h="15840"/>
          <w:pgMar w:top="1440" w:right="1440" w:bottom="1080" w:left="1440" w:header="720" w:footer="720" w:gutter="0"/>
          <w:cols w:space="720"/>
        </w:sectPr>
      </w:pPr>
    </w:p>
    <w:p w:rsidR="004F26E9" w:rsidRDefault="004F26E9">
      <w:pPr>
        <w:rPr>
          <w:sz w:val="24"/>
          <w:szCs w:val="24"/>
        </w:rPr>
      </w:pPr>
      <w:r>
        <w:rPr>
          <w:b/>
          <w:bCs/>
          <w:sz w:val="24"/>
          <w:szCs w:val="24"/>
        </w:rPr>
        <w:lastRenderedPageBreak/>
        <w:t xml:space="preserve">1.  </w:t>
      </w:r>
      <w:r>
        <w:rPr>
          <w:b/>
          <w:bCs/>
          <w:sz w:val="24"/>
          <w:szCs w:val="24"/>
          <w:u w:val="single"/>
        </w:rPr>
        <w:t>Explain the circumstances that make the collection of information necessary.</w:t>
      </w:r>
    </w:p>
    <w:p w:rsidR="004F26E9" w:rsidRDefault="004F26E9">
      <w:pPr>
        <w:rPr>
          <w:sz w:val="24"/>
          <w:szCs w:val="24"/>
        </w:rPr>
      </w:pPr>
    </w:p>
    <w:p w:rsidR="006220BC" w:rsidRDefault="006220BC">
      <w:pPr>
        <w:rPr>
          <w:color w:val="000000"/>
          <w:sz w:val="24"/>
          <w:szCs w:val="24"/>
        </w:rPr>
      </w:pPr>
      <w:r w:rsidRPr="006220BC">
        <w:rPr>
          <w:sz w:val="24"/>
          <w:szCs w:val="24"/>
        </w:rPr>
        <w:t>The Alaska Fisheries Science Center (AFSC) is requesting approval for a new collection of information on ecosystem indicators for the Gulf of Alaska</w:t>
      </w:r>
      <w:r w:rsidR="000173E5">
        <w:rPr>
          <w:sz w:val="24"/>
          <w:szCs w:val="24"/>
        </w:rPr>
        <w:t xml:space="preserve"> (GOA)</w:t>
      </w:r>
      <w:r w:rsidRPr="006220BC">
        <w:rPr>
          <w:sz w:val="24"/>
          <w:szCs w:val="24"/>
        </w:rPr>
        <w:t xml:space="preserve">. </w:t>
      </w:r>
      <w:r w:rsidRPr="006220BC">
        <w:rPr>
          <w:color w:val="000000"/>
          <w:sz w:val="24"/>
          <w:szCs w:val="24"/>
        </w:rPr>
        <w:t xml:space="preserve">The goal of this project is to select a short (8-10) list of ecosystem indicators for the </w:t>
      </w:r>
      <w:r w:rsidR="000173E5">
        <w:rPr>
          <w:color w:val="000000"/>
          <w:sz w:val="24"/>
          <w:szCs w:val="24"/>
        </w:rPr>
        <w:t>GOA</w:t>
      </w:r>
      <w:r w:rsidRPr="006220BC">
        <w:rPr>
          <w:color w:val="000000"/>
          <w:sz w:val="24"/>
          <w:szCs w:val="24"/>
        </w:rPr>
        <w:t xml:space="preserve"> that will form the basis of a </w:t>
      </w:r>
      <w:r w:rsidR="000173E5">
        <w:rPr>
          <w:color w:val="000000"/>
          <w:sz w:val="24"/>
          <w:szCs w:val="24"/>
        </w:rPr>
        <w:t xml:space="preserve">GOA </w:t>
      </w:r>
      <w:r w:rsidRPr="006220BC">
        <w:rPr>
          <w:color w:val="000000"/>
          <w:sz w:val="24"/>
          <w:szCs w:val="24"/>
        </w:rPr>
        <w:t>Report Card and Ecosystem Assessment to include in</w:t>
      </w:r>
      <w:r w:rsidR="000173E5">
        <w:rPr>
          <w:color w:val="000000"/>
          <w:sz w:val="24"/>
          <w:szCs w:val="24"/>
        </w:rPr>
        <w:t xml:space="preserve"> the National Oceanic and Atmospheric Administration’s (NOAA)</w:t>
      </w:r>
      <w:r w:rsidR="0051172C">
        <w:rPr>
          <w:color w:val="000000"/>
          <w:sz w:val="24"/>
          <w:szCs w:val="24"/>
        </w:rPr>
        <w:t xml:space="preserve"> AFSC</w:t>
      </w:r>
      <w:r w:rsidRPr="006220BC">
        <w:rPr>
          <w:color w:val="000000"/>
          <w:sz w:val="24"/>
          <w:szCs w:val="24"/>
        </w:rPr>
        <w:t>’s Ecosystem Considerations report</w:t>
      </w:r>
      <w:r w:rsidR="0051172C">
        <w:rPr>
          <w:color w:val="000000"/>
          <w:sz w:val="24"/>
          <w:szCs w:val="24"/>
        </w:rPr>
        <w:t xml:space="preserve"> (</w:t>
      </w:r>
      <w:r w:rsidR="0051172C" w:rsidRPr="0051172C">
        <w:rPr>
          <w:color w:val="000000"/>
          <w:sz w:val="24"/>
          <w:szCs w:val="24"/>
        </w:rPr>
        <w:t>http://access.afsc.noaa.gov/reem/ecoweb/Index.php</w:t>
      </w:r>
      <w:r w:rsidR="0051172C">
        <w:rPr>
          <w:color w:val="000000"/>
          <w:sz w:val="24"/>
          <w:szCs w:val="24"/>
        </w:rPr>
        <w:t>)</w:t>
      </w:r>
      <w:r w:rsidRPr="006220BC">
        <w:rPr>
          <w:color w:val="000000"/>
          <w:sz w:val="24"/>
          <w:szCs w:val="24"/>
        </w:rPr>
        <w:t>. This report is produced annually as part of the Stock Assessment and Fishery Evaluation report for the North Pacific Fishery Management Council</w:t>
      </w:r>
      <w:r w:rsidR="00A16DFF">
        <w:rPr>
          <w:color w:val="000000"/>
          <w:sz w:val="24"/>
          <w:szCs w:val="24"/>
        </w:rPr>
        <w:t xml:space="preserve">, established under the authority of the </w:t>
      </w:r>
      <w:hyperlink r:id="rId9" w:history="1">
        <w:r w:rsidR="00A16DFF" w:rsidRPr="00A16DFF">
          <w:rPr>
            <w:rStyle w:val="Hyperlink"/>
            <w:sz w:val="24"/>
            <w:szCs w:val="24"/>
          </w:rPr>
          <w:t>Magnuson-Stevens Fishery Conservation and Management Act</w:t>
        </w:r>
      </w:hyperlink>
      <w:r w:rsidR="000173E5">
        <w:rPr>
          <w:color w:val="000000"/>
          <w:sz w:val="24"/>
          <w:szCs w:val="24"/>
        </w:rPr>
        <w:t xml:space="preserve"> (16 U.S.C 1801 et</w:t>
      </w:r>
      <w:r w:rsidR="00A16DFF">
        <w:rPr>
          <w:color w:val="000000"/>
          <w:sz w:val="24"/>
          <w:szCs w:val="24"/>
        </w:rPr>
        <w:t xml:space="preserve"> </w:t>
      </w:r>
      <w:proofErr w:type="spellStart"/>
      <w:r w:rsidR="00A16DFF">
        <w:rPr>
          <w:color w:val="000000"/>
          <w:sz w:val="24"/>
          <w:szCs w:val="24"/>
        </w:rPr>
        <w:t>seq</w:t>
      </w:r>
      <w:proofErr w:type="spellEnd"/>
      <w:r w:rsidR="00A16DFF">
        <w:rPr>
          <w:color w:val="000000"/>
          <w:sz w:val="24"/>
          <w:szCs w:val="24"/>
        </w:rPr>
        <w:t>)</w:t>
      </w:r>
      <w:r w:rsidRPr="006220BC">
        <w:rPr>
          <w:color w:val="000000"/>
          <w:sz w:val="24"/>
          <w:szCs w:val="24"/>
        </w:rPr>
        <w:t>. The format of the new GOA Report Card and Ecosystem Assessment will be similar to those that have been produced in recent years for the eastern Bering Sea and Aleutian Islands. </w:t>
      </w:r>
    </w:p>
    <w:p w:rsidR="006220BC" w:rsidRPr="006220BC" w:rsidRDefault="006220BC">
      <w:pPr>
        <w:rPr>
          <w:color w:val="000000"/>
          <w:sz w:val="24"/>
          <w:szCs w:val="24"/>
        </w:rPr>
      </w:pPr>
    </w:p>
    <w:p w:rsidR="006220BC" w:rsidRPr="006220BC" w:rsidRDefault="006220BC">
      <w:pPr>
        <w:rPr>
          <w:sz w:val="24"/>
          <w:szCs w:val="24"/>
        </w:rPr>
      </w:pPr>
      <w:r w:rsidRPr="006220BC">
        <w:rPr>
          <w:color w:val="000000"/>
          <w:sz w:val="24"/>
          <w:szCs w:val="24"/>
        </w:rPr>
        <w:t>During a workshop in 2010, a group of largely</w:t>
      </w:r>
      <w:r w:rsidR="002F10A8">
        <w:rPr>
          <w:color w:val="000000"/>
          <w:sz w:val="24"/>
          <w:szCs w:val="24"/>
        </w:rPr>
        <w:t xml:space="preserve"> NOAA</w:t>
      </w:r>
      <w:r w:rsidRPr="006220BC">
        <w:rPr>
          <w:color w:val="000000"/>
          <w:sz w:val="24"/>
          <w:szCs w:val="24"/>
        </w:rPr>
        <w:t xml:space="preserve"> scientists and some fisheries managers with expertise in the eastern Bering Sea ecosystem selected 10 indicators to best represent trends in productivity in the eastern Bering Sea. In </w:t>
      </w:r>
      <w:r>
        <w:rPr>
          <w:color w:val="000000"/>
          <w:sz w:val="24"/>
          <w:szCs w:val="24"/>
        </w:rPr>
        <w:t xml:space="preserve">response to a request to increase diversity in the indicator-selection team, </w:t>
      </w:r>
      <w:r w:rsidRPr="006220BC">
        <w:rPr>
          <w:color w:val="000000"/>
          <w:sz w:val="24"/>
          <w:szCs w:val="24"/>
        </w:rPr>
        <w:t xml:space="preserve"> a more diverse group including a commercial fisherman and conservation non-governmental organization representative met in a similar workshop format </w:t>
      </w:r>
      <w:r>
        <w:rPr>
          <w:color w:val="000000"/>
          <w:sz w:val="24"/>
          <w:szCs w:val="24"/>
        </w:rPr>
        <w:t xml:space="preserve">in 2011 </w:t>
      </w:r>
      <w:r w:rsidRPr="006220BC">
        <w:rPr>
          <w:color w:val="000000"/>
          <w:sz w:val="24"/>
          <w:szCs w:val="24"/>
        </w:rPr>
        <w:t xml:space="preserve">to select 8 ecosystem indicators for the Aleutian Islands that best characterized trends in variability throughout the ecosystem. For the GOA, we hope to increase the group size and diversity in GOA expertise of the participants in the indicator selection process by soliciting </w:t>
      </w:r>
      <w:r>
        <w:rPr>
          <w:color w:val="000000"/>
          <w:sz w:val="24"/>
          <w:szCs w:val="24"/>
        </w:rPr>
        <w:t xml:space="preserve">information individually via an </w:t>
      </w:r>
      <w:r w:rsidRPr="006220BC">
        <w:rPr>
          <w:color w:val="000000"/>
          <w:sz w:val="24"/>
          <w:szCs w:val="24"/>
        </w:rPr>
        <w:t>online</w:t>
      </w:r>
      <w:r>
        <w:rPr>
          <w:color w:val="000000"/>
          <w:sz w:val="24"/>
          <w:szCs w:val="24"/>
        </w:rPr>
        <w:t xml:space="preserve"> survey, thus partic</w:t>
      </w:r>
      <w:r w:rsidR="0000223E">
        <w:rPr>
          <w:color w:val="000000"/>
          <w:sz w:val="24"/>
          <w:szCs w:val="24"/>
        </w:rPr>
        <w:t xml:space="preserve">ipation will not require travel or funding. </w:t>
      </w:r>
      <w:r w:rsidRPr="006220BC">
        <w:rPr>
          <w:color w:val="000000"/>
          <w:sz w:val="24"/>
          <w:szCs w:val="24"/>
        </w:rPr>
        <w:t xml:space="preserve">The main objective of the survey is to have participants rank the importance of ecosystem indicators among lists of indicators that are presented; the surveys will then be </w:t>
      </w:r>
      <w:r w:rsidRPr="00AD2A70">
        <w:rPr>
          <w:color w:val="000000"/>
          <w:sz w:val="24"/>
          <w:szCs w:val="24"/>
        </w:rPr>
        <w:t>compiled to generate a list of top indicators.</w:t>
      </w:r>
      <w:r w:rsidR="00AD2A70" w:rsidRPr="00AD2A70">
        <w:rPr>
          <w:color w:val="000000"/>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2.  </w:t>
      </w:r>
      <w:r>
        <w:rPr>
          <w:b/>
          <w:bCs/>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F26E9" w:rsidRDefault="004F26E9">
      <w:pPr>
        <w:rPr>
          <w:sz w:val="24"/>
          <w:szCs w:val="24"/>
        </w:rPr>
      </w:pPr>
    </w:p>
    <w:p w:rsidR="00C0528E" w:rsidRDefault="007474FB" w:rsidP="00C0528E">
      <w:pPr>
        <w:rPr>
          <w:color w:val="000000"/>
          <w:sz w:val="24"/>
          <w:szCs w:val="24"/>
        </w:rPr>
      </w:pPr>
      <w:r>
        <w:rPr>
          <w:color w:val="000000"/>
          <w:sz w:val="24"/>
          <w:szCs w:val="24"/>
        </w:rPr>
        <w:t xml:space="preserve">The survey will be disseminated to scientists, fishers, and managers with expertise in the Gulf of Alaska. </w:t>
      </w:r>
      <w:r w:rsidR="00AD2A70">
        <w:rPr>
          <w:color w:val="000000"/>
          <w:sz w:val="24"/>
          <w:szCs w:val="24"/>
        </w:rPr>
        <w:t>The</w:t>
      </w:r>
      <w:r>
        <w:rPr>
          <w:color w:val="000000"/>
          <w:sz w:val="24"/>
          <w:szCs w:val="24"/>
        </w:rPr>
        <w:t xml:space="preserve"> respond</w:t>
      </w:r>
      <w:r w:rsidR="002F10A8">
        <w:rPr>
          <w:color w:val="000000"/>
          <w:sz w:val="24"/>
          <w:szCs w:val="24"/>
        </w:rPr>
        <w:t>e</w:t>
      </w:r>
      <w:r>
        <w:rPr>
          <w:color w:val="000000"/>
          <w:sz w:val="24"/>
          <w:szCs w:val="24"/>
        </w:rPr>
        <w:t>nts’</w:t>
      </w:r>
      <w:r w:rsidR="00AD2A70">
        <w:rPr>
          <w:color w:val="000000"/>
          <w:sz w:val="24"/>
          <w:szCs w:val="24"/>
        </w:rPr>
        <w:t xml:space="preserve"> individual indicator rankings will be compiled and summarized by AFSC scientists. The information will be used to inform the final ecosystem indicators used to create the new Gulf of Alaska Report Card and Ecosystem Assessment. </w:t>
      </w:r>
      <w:r w:rsidR="0000223E" w:rsidRPr="0000223E">
        <w:rPr>
          <w:color w:val="000000"/>
          <w:sz w:val="24"/>
          <w:szCs w:val="24"/>
        </w:rPr>
        <w:t>The primary recipients, considered to be the stakeholders, of the Report Card and Ecosystem Assessment are those involved with the fishery quota-setting process for the North Pacific Fisheries Management Council. This includes the Science and Statistical Committee and the regional Plan Teams, which of are composed of mainly federal and state scientists, academics, and other individuals. Additional recipients</w:t>
      </w:r>
      <w:r w:rsidR="002F10A8">
        <w:rPr>
          <w:color w:val="000000"/>
          <w:sz w:val="24"/>
          <w:szCs w:val="24"/>
        </w:rPr>
        <w:t xml:space="preserve"> will</w:t>
      </w:r>
      <w:r w:rsidR="0000223E" w:rsidRPr="0000223E">
        <w:rPr>
          <w:color w:val="000000"/>
          <w:sz w:val="24"/>
          <w:szCs w:val="24"/>
        </w:rPr>
        <w:t xml:space="preserve"> include the Advisory Panel, Council, and stock assessment scientists. </w:t>
      </w:r>
      <w:r w:rsidR="0000223E" w:rsidRPr="0000223E">
        <w:rPr>
          <w:color w:val="000000"/>
          <w:sz w:val="24"/>
          <w:szCs w:val="24"/>
        </w:rPr>
        <w:lastRenderedPageBreak/>
        <w:t>The Report Card and Ecosystem Assessment are also made available to the public.</w:t>
      </w:r>
      <w:r w:rsidR="00AD2A70">
        <w:rPr>
          <w:color w:val="000000"/>
          <w:sz w:val="24"/>
          <w:szCs w:val="24"/>
        </w:rPr>
        <w:t xml:space="preserve"> </w:t>
      </w:r>
      <w:r w:rsidR="00AD2A70" w:rsidRPr="00AD2A70">
        <w:rPr>
          <w:color w:val="000000"/>
          <w:sz w:val="24"/>
          <w:szCs w:val="24"/>
        </w:rPr>
        <w:t>We hope that by surveying a greater number of individuals than were involved with indicator selection for the eastern Bering Sea and Aleutian Islands, the survey results will reflect broader expertise and an ‘equal voice’ from all participants.</w:t>
      </w:r>
      <w:r w:rsidR="00AD2A70">
        <w:rPr>
          <w:color w:val="000000"/>
          <w:sz w:val="24"/>
          <w:szCs w:val="24"/>
        </w:rPr>
        <w:t xml:space="preserve"> </w:t>
      </w:r>
    </w:p>
    <w:p w:rsidR="00C0528E" w:rsidRDefault="00C0528E" w:rsidP="00C0528E">
      <w:pPr>
        <w:rPr>
          <w:color w:val="000000"/>
          <w:sz w:val="24"/>
          <w:szCs w:val="24"/>
        </w:rPr>
      </w:pPr>
    </w:p>
    <w:p w:rsidR="00C0528E" w:rsidRPr="0000223E" w:rsidRDefault="00C0528E" w:rsidP="00C0528E">
      <w:pPr>
        <w:rPr>
          <w:sz w:val="24"/>
          <w:szCs w:val="24"/>
        </w:rPr>
      </w:pPr>
      <w:r w:rsidRPr="00C0528E">
        <w:rPr>
          <w:sz w:val="24"/>
          <w:szCs w:val="24"/>
        </w:rPr>
        <w:t>It is anticipated that the information collected will be used to</w:t>
      </w:r>
      <w:r>
        <w:rPr>
          <w:sz w:val="24"/>
          <w:szCs w:val="24"/>
        </w:rPr>
        <w:t xml:space="preserve"> </w:t>
      </w:r>
      <w:r w:rsidRPr="00C0528E">
        <w:rPr>
          <w:sz w:val="24"/>
          <w:szCs w:val="24"/>
        </w:rPr>
        <w:t xml:space="preserve">support publicly disseminated information. NOAA AFSC </w:t>
      </w:r>
      <w:r>
        <w:rPr>
          <w:sz w:val="24"/>
          <w:szCs w:val="24"/>
        </w:rPr>
        <w:t>Resource Ecology and Ecosystem Modeling</w:t>
      </w:r>
      <w:r w:rsidRPr="00C0528E">
        <w:rPr>
          <w:sz w:val="24"/>
          <w:szCs w:val="24"/>
        </w:rPr>
        <w:t xml:space="preserve"> Program will retain control over the information and safeguard it from improper</w:t>
      </w:r>
      <w:r>
        <w:rPr>
          <w:sz w:val="24"/>
          <w:szCs w:val="24"/>
        </w:rPr>
        <w:t xml:space="preserve"> </w:t>
      </w:r>
      <w:r w:rsidRPr="00C0528E">
        <w:rPr>
          <w:sz w:val="24"/>
          <w:szCs w:val="24"/>
        </w:rPr>
        <w:t xml:space="preserve">access, modification, and </w:t>
      </w:r>
      <w:r>
        <w:rPr>
          <w:sz w:val="24"/>
          <w:szCs w:val="24"/>
        </w:rPr>
        <w:t>d</w:t>
      </w:r>
      <w:r w:rsidRPr="00C0528E">
        <w:rPr>
          <w:sz w:val="24"/>
          <w:szCs w:val="24"/>
        </w:rPr>
        <w:t xml:space="preserve">estruction, consistent with NOAA standards for confidentiality, privacy, and electronic information. The information collection is designed to yield data that meet all applicable information quality guidelines. Prior to dissemination, the </w:t>
      </w:r>
      <w:r>
        <w:rPr>
          <w:sz w:val="24"/>
          <w:szCs w:val="24"/>
        </w:rPr>
        <w:t>i</w:t>
      </w:r>
      <w:r w:rsidRPr="00C0528E">
        <w:rPr>
          <w:sz w:val="24"/>
          <w:szCs w:val="24"/>
        </w:rPr>
        <w:t xml:space="preserve">nformation will be subject to quality control measures and pre-dissemination review pursuant to </w:t>
      </w:r>
      <w:hyperlink r:id="rId10" w:history="1">
        <w:r w:rsidRPr="00A16DFF">
          <w:rPr>
            <w:rStyle w:val="Hyperlink"/>
            <w:sz w:val="24"/>
            <w:szCs w:val="24"/>
          </w:rPr>
          <w:t>Section 515 of Public Law 106-554</w:t>
        </w:r>
      </w:hyperlink>
      <w:r w:rsidRPr="00C0528E">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AD2A70" w:rsidRDefault="00D0488A">
      <w:pPr>
        <w:rPr>
          <w:sz w:val="24"/>
          <w:szCs w:val="24"/>
        </w:rPr>
      </w:pPr>
      <w:r>
        <w:rPr>
          <w:sz w:val="24"/>
          <w:szCs w:val="24"/>
        </w:rPr>
        <w:t>Google Forms will be used to create, disseminate, and collect</w:t>
      </w:r>
      <w:r w:rsidR="00AD2A70">
        <w:rPr>
          <w:sz w:val="24"/>
          <w:szCs w:val="24"/>
        </w:rPr>
        <w:t xml:space="preserve"> </w:t>
      </w:r>
      <w:r>
        <w:rPr>
          <w:sz w:val="24"/>
          <w:szCs w:val="24"/>
        </w:rPr>
        <w:t xml:space="preserve">the </w:t>
      </w:r>
      <w:r w:rsidR="00AD2A70">
        <w:rPr>
          <w:sz w:val="24"/>
          <w:szCs w:val="24"/>
        </w:rPr>
        <w:t>surveys from participants. Survey Monkey provides a free service for basic surveys. Survey Monkey provides some statistical and summary application of the survey data, but the raw data are also available to be downloaded and analyzed.</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4F26E9" w:rsidRDefault="0051172C">
      <w:pPr>
        <w:rPr>
          <w:sz w:val="24"/>
          <w:szCs w:val="24"/>
        </w:rPr>
      </w:pPr>
      <w:r>
        <w:rPr>
          <w:sz w:val="24"/>
          <w:szCs w:val="24"/>
        </w:rPr>
        <w:t>This is a new survey, so it will not</w:t>
      </w:r>
      <w:r w:rsidR="005017BE">
        <w:rPr>
          <w:sz w:val="24"/>
          <w:szCs w:val="24"/>
        </w:rPr>
        <w:t xml:space="preserve"> duplicate other efforts. </w:t>
      </w:r>
      <w:r w:rsidR="0014057F">
        <w:rPr>
          <w:sz w:val="24"/>
          <w:szCs w:val="24"/>
        </w:rPr>
        <w:t>To the best of our knowledge, no other agencies are conducting or have conducted a similar survey</w:t>
      </w:r>
      <w:r w:rsidR="00D65A58">
        <w:rPr>
          <w:sz w:val="24"/>
          <w:szCs w:val="24"/>
        </w:rPr>
        <w:t xml:space="preserve">. </w:t>
      </w:r>
    </w:p>
    <w:p w:rsidR="00D65A58" w:rsidRDefault="00D65A58">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4F26E9" w:rsidRDefault="002F10A8">
      <w:pPr>
        <w:rPr>
          <w:sz w:val="24"/>
          <w:szCs w:val="24"/>
        </w:rPr>
      </w:pPr>
      <w:r>
        <w:rPr>
          <w:sz w:val="24"/>
          <w:szCs w:val="24"/>
        </w:rPr>
        <w:t xml:space="preserve">We estimate that approximately half the respondents, or 50, will be classified as small businesses. </w:t>
      </w:r>
      <w:r w:rsidR="00E61865">
        <w:rPr>
          <w:sz w:val="24"/>
          <w:szCs w:val="24"/>
        </w:rPr>
        <w:t>The survey can be completed at any time that is convenient for the participant and should require no more than 30 minutes.</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4F26E9" w:rsidRDefault="0006094F" w:rsidP="008E7E6E">
      <w:pPr>
        <w:rPr>
          <w:sz w:val="24"/>
          <w:szCs w:val="24"/>
        </w:rPr>
      </w:pPr>
      <w:r>
        <w:rPr>
          <w:sz w:val="24"/>
          <w:szCs w:val="24"/>
        </w:rPr>
        <w:t xml:space="preserve">If the survey is not conducted, the Gulf of Alaska Report Card and Assessment will not </w:t>
      </w:r>
      <w:proofErr w:type="spellStart"/>
      <w:r w:rsidR="008E7E6E">
        <w:rPr>
          <w:sz w:val="24"/>
          <w:szCs w:val="24"/>
        </w:rPr>
        <w:t>reflectthe</w:t>
      </w:r>
      <w:proofErr w:type="spellEnd"/>
      <w:r w:rsidR="008E7E6E">
        <w:rPr>
          <w:sz w:val="24"/>
          <w:szCs w:val="24"/>
        </w:rPr>
        <w:t xml:space="preserve"> formal input of members of the public with Gulf of Alaska ecosystem expertise. The expertise of some non-federal government individuals is extensive, for example through commercial fishing, conservation work, or state government research.</w:t>
      </w:r>
      <w:r w:rsidR="00D84370">
        <w:rPr>
          <w:sz w:val="24"/>
          <w:szCs w:val="24"/>
        </w:rPr>
        <w:t xml:space="preserve"> The reviewing body from the North Pacific Fisheries Management Council has requested that the input in the indicator selection process represent a broader array of expertise and experience.</w:t>
      </w:r>
    </w:p>
    <w:p w:rsidR="004F26E9" w:rsidRDefault="004F26E9">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4F26E9" w:rsidRDefault="008E7E6E">
      <w:pPr>
        <w:rPr>
          <w:sz w:val="24"/>
          <w:szCs w:val="24"/>
        </w:rPr>
      </w:pPr>
      <w:proofErr w:type="gramStart"/>
      <w:r>
        <w:rPr>
          <w:sz w:val="24"/>
          <w:szCs w:val="24"/>
        </w:rPr>
        <w:t>None.</w:t>
      </w:r>
      <w:proofErr w:type="gramEnd"/>
    </w:p>
    <w:p w:rsidR="004F26E9" w:rsidRDefault="004F26E9">
      <w:pPr>
        <w:rPr>
          <w:sz w:val="24"/>
          <w:szCs w:val="24"/>
        </w:rPr>
      </w:pPr>
      <w:r>
        <w:rPr>
          <w:b/>
          <w:bCs/>
          <w:sz w:val="24"/>
          <w:szCs w:val="24"/>
        </w:rPr>
        <w:lastRenderedPageBreak/>
        <w:t xml:space="preserve">8.  </w:t>
      </w:r>
      <w:r>
        <w:rPr>
          <w:b/>
          <w:bCs/>
          <w:sz w:val="24"/>
          <w:szCs w:val="24"/>
          <w:u w:val="single"/>
        </w:rPr>
        <w:t xml:space="preserve">Provide </w:t>
      </w:r>
      <w:r w:rsidR="00107F5D">
        <w:rPr>
          <w:b/>
          <w:bCs/>
          <w:sz w:val="24"/>
          <w:szCs w:val="24"/>
          <w:u w:val="single"/>
        </w:rPr>
        <w:t>information on</w:t>
      </w:r>
      <w:r>
        <w:rPr>
          <w:b/>
          <w:bCs/>
          <w:sz w:val="24"/>
          <w:szCs w:val="24"/>
          <w:u w:val="single"/>
        </w:rPr>
        <w:t xml:space="preserve"> the PRA Federal Register </w:t>
      </w:r>
      <w:r w:rsidR="001E6F72">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AD2A70" w:rsidRDefault="001E6F72" w:rsidP="000B36B1">
      <w:pPr>
        <w:rPr>
          <w:sz w:val="24"/>
          <w:szCs w:val="24"/>
        </w:rPr>
      </w:pPr>
      <w:r w:rsidRPr="00AD2A70">
        <w:rPr>
          <w:sz w:val="24"/>
          <w:szCs w:val="24"/>
        </w:rPr>
        <w:t xml:space="preserve">A </w:t>
      </w:r>
      <w:r w:rsidRPr="00AD2A70">
        <w:rPr>
          <w:sz w:val="24"/>
          <w:szCs w:val="24"/>
          <w:u w:val="single"/>
        </w:rPr>
        <w:t>Federal Register</w:t>
      </w:r>
      <w:r w:rsidRPr="00AD2A70">
        <w:rPr>
          <w:sz w:val="24"/>
          <w:szCs w:val="24"/>
        </w:rPr>
        <w:t xml:space="preserve"> Notice published on </w:t>
      </w:r>
      <w:r w:rsidR="00AD2A70" w:rsidRPr="00AD2A70">
        <w:rPr>
          <w:sz w:val="24"/>
          <w:szCs w:val="24"/>
        </w:rPr>
        <w:t>June 2, 2014</w:t>
      </w:r>
      <w:r w:rsidRPr="00AD2A70">
        <w:rPr>
          <w:sz w:val="24"/>
          <w:szCs w:val="24"/>
        </w:rPr>
        <w:t xml:space="preserve"> (</w:t>
      </w:r>
      <w:r w:rsidR="002F10A8">
        <w:rPr>
          <w:sz w:val="24"/>
          <w:szCs w:val="24"/>
        </w:rPr>
        <w:t xml:space="preserve">79 </w:t>
      </w:r>
      <w:r w:rsidRPr="00AD2A70">
        <w:rPr>
          <w:sz w:val="24"/>
          <w:szCs w:val="24"/>
        </w:rPr>
        <w:t xml:space="preserve">FR </w:t>
      </w:r>
      <w:r w:rsidR="002F10A8">
        <w:rPr>
          <w:sz w:val="24"/>
          <w:szCs w:val="24"/>
        </w:rPr>
        <w:t>31296</w:t>
      </w:r>
      <w:r w:rsidRPr="00AD2A70">
        <w:rPr>
          <w:sz w:val="24"/>
          <w:szCs w:val="24"/>
        </w:rPr>
        <w:t xml:space="preserve">) solicited public comments. </w:t>
      </w:r>
      <w:r w:rsidR="000B36B1">
        <w:rPr>
          <w:sz w:val="24"/>
          <w:szCs w:val="24"/>
        </w:rPr>
        <w:t>No substantive comments were received.</w:t>
      </w:r>
    </w:p>
    <w:p w:rsidR="004F26E9" w:rsidRDefault="004F26E9">
      <w:pPr>
        <w:rPr>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4F26E9" w:rsidRDefault="00AD2A70">
      <w:pPr>
        <w:rPr>
          <w:sz w:val="24"/>
          <w:szCs w:val="24"/>
        </w:rPr>
      </w:pPr>
      <w:proofErr w:type="gramStart"/>
      <w:r>
        <w:rPr>
          <w:sz w:val="24"/>
          <w:szCs w:val="24"/>
        </w:rPr>
        <w:t>None</w:t>
      </w:r>
      <w:r w:rsidR="002F10A8">
        <w:rPr>
          <w:sz w:val="24"/>
          <w:szCs w:val="24"/>
        </w:rPr>
        <w:t>.</w:t>
      </w:r>
      <w:proofErr w:type="gramEnd"/>
    </w:p>
    <w:p w:rsidR="004F26E9" w:rsidRDefault="004F26E9">
      <w:pPr>
        <w:rPr>
          <w:sz w:val="24"/>
          <w:szCs w:val="24"/>
        </w:rPr>
      </w:pPr>
    </w:p>
    <w:p w:rsidR="004F26E9" w:rsidRDefault="004F26E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4F26E9" w:rsidRDefault="004F26E9">
      <w:pPr>
        <w:rPr>
          <w:sz w:val="24"/>
          <w:szCs w:val="24"/>
        </w:rPr>
      </w:pPr>
    </w:p>
    <w:p w:rsidR="004F26E9" w:rsidRDefault="008B37F6">
      <w:pPr>
        <w:rPr>
          <w:sz w:val="24"/>
          <w:szCs w:val="24"/>
        </w:rPr>
      </w:pPr>
      <w:r>
        <w:rPr>
          <w:sz w:val="24"/>
          <w:szCs w:val="24"/>
        </w:rPr>
        <w:t>The survey will not be confidential. This will be</w:t>
      </w:r>
      <w:r w:rsidR="002F10A8">
        <w:rPr>
          <w:sz w:val="24"/>
          <w:szCs w:val="24"/>
        </w:rPr>
        <w:t xml:space="preserve"> made</w:t>
      </w:r>
      <w:r>
        <w:rPr>
          <w:sz w:val="24"/>
          <w:szCs w:val="24"/>
        </w:rPr>
        <w:t xml:space="preserve"> clear on the onl</w:t>
      </w:r>
      <w:r w:rsidR="002F10A8">
        <w:rPr>
          <w:sz w:val="24"/>
          <w:szCs w:val="24"/>
        </w:rPr>
        <w:t xml:space="preserve">ine survey form. The respondents </w:t>
      </w:r>
      <w:r>
        <w:rPr>
          <w:sz w:val="24"/>
          <w:szCs w:val="24"/>
        </w:rPr>
        <w:t xml:space="preserve">will </w:t>
      </w:r>
      <w:r w:rsidR="002F10A8">
        <w:rPr>
          <w:sz w:val="24"/>
          <w:szCs w:val="24"/>
        </w:rPr>
        <w:t xml:space="preserve">be asked </w:t>
      </w:r>
      <w:r>
        <w:rPr>
          <w:sz w:val="24"/>
          <w:szCs w:val="24"/>
        </w:rPr>
        <w:t>to submit a description of their Gulf of Alaska ecosystem expertise to aid in our summary statistics.</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4F26E9" w:rsidRDefault="000D6108">
      <w:pPr>
        <w:rPr>
          <w:sz w:val="24"/>
          <w:szCs w:val="24"/>
        </w:rPr>
      </w:pPr>
      <w:r>
        <w:rPr>
          <w:sz w:val="24"/>
          <w:szCs w:val="24"/>
        </w:rPr>
        <w:t xml:space="preserve">Not </w:t>
      </w:r>
      <w:r w:rsidR="000173E5">
        <w:rPr>
          <w:sz w:val="24"/>
          <w:szCs w:val="24"/>
        </w:rPr>
        <w:t>A</w:t>
      </w:r>
      <w:r>
        <w:rPr>
          <w:sz w:val="24"/>
          <w:szCs w:val="24"/>
        </w:rPr>
        <w:t>pplicable</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4F26E9" w:rsidRDefault="002F10A8">
      <w:pPr>
        <w:rPr>
          <w:sz w:val="24"/>
          <w:szCs w:val="24"/>
        </w:rPr>
      </w:pPr>
      <w:r>
        <w:rPr>
          <w:sz w:val="24"/>
          <w:szCs w:val="24"/>
        </w:rPr>
        <w:t xml:space="preserve">An estimated </w:t>
      </w:r>
      <w:r w:rsidR="0014057F">
        <w:rPr>
          <w:sz w:val="24"/>
          <w:szCs w:val="24"/>
        </w:rPr>
        <w:t>7</w:t>
      </w:r>
      <w:r>
        <w:rPr>
          <w:sz w:val="24"/>
          <w:szCs w:val="24"/>
        </w:rPr>
        <w:t xml:space="preserve">0 respondents and responses, with an individual response time of 30 minutes, will result in a total burden of </w:t>
      </w:r>
      <w:r w:rsidR="0014057F">
        <w:rPr>
          <w:sz w:val="24"/>
          <w:szCs w:val="24"/>
        </w:rPr>
        <w:t>35</w:t>
      </w:r>
      <w:r w:rsidR="00D65A58">
        <w:rPr>
          <w:sz w:val="24"/>
          <w:szCs w:val="24"/>
        </w:rPr>
        <w:t xml:space="preserve"> hours</w:t>
      </w:r>
      <w:r w:rsidR="000D6108">
        <w:rPr>
          <w:sz w:val="24"/>
          <w:szCs w:val="24"/>
        </w:rPr>
        <w:t xml:space="preserve">. </w:t>
      </w:r>
    </w:p>
    <w:p w:rsidR="004F26E9" w:rsidRDefault="004F26E9">
      <w:pPr>
        <w:rPr>
          <w:sz w:val="24"/>
          <w:szCs w:val="24"/>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25C5C">
        <w:rPr>
          <w:b/>
          <w:bCs/>
          <w:sz w:val="24"/>
          <w:szCs w:val="24"/>
          <w:u w:val="single"/>
        </w:rPr>
        <w:t xml:space="preserve">Question </w:t>
      </w:r>
      <w:r>
        <w:rPr>
          <w:b/>
          <w:bCs/>
          <w:sz w:val="24"/>
          <w:szCs w:val="24"/>
          <w:u w:val="single"/>
        </w:rPr>
        <w:t>12 above)</w:t>
      </w:r>
      <w:r>
        <w:rPr>
          <w:b/>
          <w:bCs/>
          <w:sz w:val="24"/>
          <w:szCs w:val="24"/>
        </w:rPr>
        <w:t>.</w:t>
      </w:r>
    </w:p>
    <w:p w:rsidR="004F26E9" w:rsidRDefault="004F26E9">
      <w:pPr>
        <w:rPr>
          <w:sz w:val="24"/>
          <w:szCs w:val="24"/>
        </w:rPr>
      </w:pPr>
    </w:p>
    <w:p w:rsidR="004F26E9" w:rsidRDefault="000B36B1">
      <w:pPr>
        <w:rPr>
          <w:sz w:val="24"/>
          <w:szCs w:val="24"/>
        </w:rPr>
      </w:pPr>
      <w:r>
        <w:rPr>
          <w:sz w:val="24"/>
          <w:szCs w:val="24"/>
        </w:rPr>
        <w:t xml:space="preserve">There will be </w:t>
      </w:r>
      <w:r w:rsidR="002F10A8">
        <w:rPr>
          <w:sz w:val="24"/>
          <w:szCs w:val="24"/>
        </w:rPr>
        <w:t>no recordkeeping/reporting burden, as the survey will be administered online.</w:t>
      </w:r>
    </w:p>
    <w:p w:rsidR="004F26E9" w:rsidRDefault="004F26E9">
      <w:pPr>
        <w:rPr>
          <w:sz w:val="24"/>
          <w:szCs w:val="24"/>
        </w:rPr>
      </w:pPr>
    </w:p>
    <w:p w:rsidR="004F26E9" w:rsidRDefault="004F26E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4F26E9" w:rsidRDefault="00DA17DF">
      <w:pPr>
        <w:rPr>
          <w:sz w:val="24"/>
          <w:szCs w:val="24"/>
        </w:rPr>
      </w:pPr>
      <w:r>
        <w:rPr>
          <w:sz w:val="24"/>
          <w:szCs w:val="24"/>
        </w:rPr>
        <w:t>We estimate that creating and distributing the survey and summarizing results will take approximately 3 weeks of a ZP-3 research biologist’s time at an estimated cost of $4</w:t>
      </w:r>
      <w:r w:rsidR="002E0C42">
        <w:rPr>
          <w:sz w:val="24"/>
          <w:szCs w:val="24"/>
        </w:rPr>
        <w:t>,</w:t>
      </w:r>
      <w:r>
        <w:rPr>
          <w:sz w:val="24"/>
          <w:szCs w:val="24"/>
        </w:rPr>
        <w:t>819.20 (120 hours * $40.16/hr).</w:t>
      </w:r>
    </w:p>
    <w:p w:rsidR="004F26E9" w:rsidRDefault="004F26E9">
      <w:pPr>
        <w:rPr>
          <w:sz w:val="24"/>
          <w:szCs w:val="24"/>
        </w:rPr>
      </w:pPr>
    </w:p>
    <w:p w:rsidR="002E0C42" w:rsidRDefault="002E0C42">
      <w:pPr>
        <w:rPr>
          <w:b/>
          <w:bCs/>
          <w:sz w:val="24"/>
          <w:szCs w:val="24"/>
        </w:rPr>
      </w:pPr>
    </w:p>
    <w:p w:rsidR="002E0C42" w:rsidRDefault="002E0C42">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15.  </w:t>
      </w:r>
      <w:r>
        <w:rPr>
          <w:b/>
          <w:bCs/>
          <w:sz w:val="24"/>
          <w:szCs w:val="24"/>
          <w:u w:val="single"/>
        </w:rPr>
        <w:t>Explain the reasons for any program changes or adjustments</w:t>
      </w:r>
      <w:r>
        <w:rPr>
          <w:b/>
          <w:bCs/>
          <w:sz w:val="24"/>
          <w:szCs w:val="24"/>
        </w:rPr>
        <w:t>.</w:t>
      </w:r>
    </w:p>
    <w:p w:rsidR="004F26E9" w:rsidRDefault="004F26E9">
      <w:pPr>
        <w:rPr>
          <w:sz w:val="24"/>
          <w:szCs w:val="24"/>
        </w:rPr>
      </w:pPr>
    </w:p>
    <w:p w:rsidR="004F26E9" w:rsidRDefault="00FD2F08">
      <w:pPr>
        <w:rPr>
          <w:sz w:val="24"/>
          <w:szCs w:val="24"/>
        </w:rPr>
      </w:pPr>
      <w:r>
        <w:rPr>
          <w:sz w:val="24"/>
          <w:szCs w:val="24"/>
        </w:rPr>
        <w:t>This is a new information collection.</w:t>
      </w:r>
    </w:p>
    <w:p w:rsidR="004F26E9" w:rsidRDefault="004F26E9">
      <w:pPr>
        <w:rPr>
          <w:sz w:val="24"/>
          <w:szCs w:val="24"/>
        </w:rPr>
      </w:pPr>
    </w:p>
    <w:p w:rsidR="004F26E9" w:rsidRDefault="004F26E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D95AF1" w:rsidRDefault="00D95AF1">
      <w:pPr>
        <w:rPr>
          <w:sz w:val="24"/>
          <w:szCs w:val="24"/>
        </w:rPr>
      </w:pPr>
    </w:p>
    <w:p w:rsidR="004F26E9" w:rsidRDefault="00D95AF1">
      <w:pPr>
        <w:rPr>
          <w:sz w:val="24"/>
          <w:szCs w:val="24"/>
        </w:rPr>
      </w:pPr>
      <w:r>
        <w:rPr>
          <w:sz w:val="24"/>
          <w:szCs w:val="24"/>
        </w:rPr>
        <w:t xml:space="preserve">The survey results will be used to select ecosystem indicators to be incorporated into a Gulf of Alaska Report Card and Ecosystem Assessment. The Report Card and Assessment </w:t>
      </w:r>
      <w:r w:rsidR="008B38D4">
        <w:rPr>
          <w:sz w:val="24"/>
          <w:szCs w:val="24"/>
        </w:rPr>
        <w:t xml:space="preserve">will be published </w:t>
      </w:r>
      <w:r>
        <w:rPr>
          <w:sz w:val="24"/>
          <w:szCs w:val="24"/>
        </w:rPr>
        <w:t xml:space="preserve">within a </w:t>
      </w:r>
      <w:r w:rsidR="008B38D4">
        <w:rPr>
          <w:sz w:val="24"/>
          <w:szCs w:val="24"/>
        </w:rPr>
        <w:t xml:space="preserve">government report called the </w:t>
      </w:r>
      <w:r w:rsidR="008B38D4" w:rsidRPr="006220BC">
        <w:rPr>
          <w:color w:val="000000"/>
          <w:sz w:val="24"/>
          <w:szCs w:val="24"/>
        </w:rPr>
        <w:t>Ecosystem Considerations report. This report is produced annually as part of the Stock Assessment and Fishery Evaluation report for the North Pacific Fishery Management Council.</w:t>
      </w:r>
      <w:r w:rsidR="008B38D4">
        <w:rPr>
          <w:color w:val="000000"/>
          <w:sz w:val="24"/>
          <w:szCs w:val="24"/>
        </w:rPr>
        <w:t xml:space="preserve"> Later publication may occur in </w:t>
      </w:r>
      <w:r>
        <w:rPr>
          <w:color w:val="000000"/>
          <w:sz w:val="24"/>
          <w:szCs w:val="24"/>
        </w:rPr>
        <w:t>the peer-reviewed literature, in which the process and results of this survey are compared with that from the eastern Bering Sea and Aleutian Islands.</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0173E5" w:rsidRDefault="000173E5" w:rsidP="000173E5">
      <w:pPr>
        <w:rPr>
          <w:sz w:val="24"/>
          <w:szCs w:val="24"/>
        </w:rPr>
      </w:pPr>
      <w:r>
        <w:rPr>
          <w:sz w:val="24"/>
          <w:szCs w:val="24"/>
        </w:rPr>
        <w:t>Not Applicable.</w:t>
      </w:r>
    </w:p>
    <w:p w:rsidR="004F26E9" w:rsidRDefault="004F26E9">
      <w:pPr>
        <w:rPr>
          <w:sz w:val="24"/>
          <w:szCs w:val="24"/>
        </w:rPr>
      </w:pPr>
    </w:p>
    <w:p w:rsidR="004F26E9" w:rsidRPr="00A52249" w:rsidRDefault="004F26E9">
      <w:pPr>
        <w:rPr>
          <w:b/>
          <w:bCs/>
          <w:sz w:val="24"/>
          <w:szCs w:val="24"/>
        </w:rPr>
      </w:pPr>
      <w:r>
        <w:rPr>
          <w:b/>
          <w:bCs/>
          <w:sz w:val="24"/>
          <w:szCs w:val="24"/>
        </w:rPr>
        <w:t xml:space="preserve">18.  </w:t>
      </w:r>
      <w:r>
        <w:rPr>
          <w:b/>
          <w:bCs/>
          <w:sz w:val="24"/>
          <w:szCs w:val="24"/>
          <w:u w:val="single"/>
        </w:rPr>
        <w:t>Explain each</w:t>
      </w:r>
      <w:r w:rsidR="00A52249">
        <w:rPr>
          <w:b/>
          <w:bCs/>
          <w:sz w:val="24"/>
          <w:szCs w:val="24"/>
          <w:u w:val="single"/>
        </w:rPr>
        <w:t xml:space="preserve"> exception to the certification </w:t>
      </w:r>
      <w:r>
        <w:rPr>
          <w:b/>
          <w:bCs/>
          <w:sz w:val="24"/>
          <w:szCs w:val="24"/>
          <w:u w:val="single"/>
        </w:rPr>
        <w:t>statement</w:t>
      </w:r>
      <w:r>
        <w:rPr>
          <w:b/>
          <w:bCs/>
          <w:sz w:val="24"/>
          <w:szCs w:val="24"/>
        </w:rPr>
        <w:t>.</w:t>
      </w:r>
    </w:p>
    <w:p w:rsidR="004F26E9" w:rsidRDefault="004F26E9">
      <w:pPr>
        <w:rPr>
          <w:sz w:val="24"/>
          <w:szCs w:val="24"/>
        </w:rPr>
      </w:pPr>
    </w:p>
    <w:p w:rsidR="00AE6454" w:rsidRDefault="000173E5">
      <w:pPr>
        <w:rPr>
          <w:sz w:val="24"/>
          <w:szCs w:val="24"/>
        </w:rPr>
      </w:pPr>
      <w:r>
        <w:rPr>
          <w:sz w:val="24"/>
          <w:szCs w:val="24"/>
        </w:rPr>
        <w:t>Not Applicable.</w:t>
      </w:r>
    </w:p>
    <w:p w:rsidR="004F26E9" w:rsidRDefault="004F26E9">
      <w:pPr>
        <w:rPr>
          <w:sz w:val="24"/>
          <w:szCs w:val="24"/>
        </w:rPr>
      </w:pPr>
    </w:p>
    <w:p w:rsidR="000173E5" w:rsidRDefault="000173E5">
      <w:pPr>
        <w:widowControl/>
        <w:autoSpaceDE/>
        <w:autoSpaceDN/>
        <w:adjustRightInd/>
        <w:rPr>
          <w:sz w:val="24"/>
          <w:szCs w:val="24"/>
        </w:rPr>
      </w:pPr>
      <w:bookmarkStart w:id="0" w:name="_GoBack"/>
      <w:bookmarkEnd w:id="0"/>
      <w:r>
        <w:rPr>
          <w:sz w:val="24"/>
          <w:szCs w:val="24"/>
        </w:rPr>
        <w:br w:type="page"/>
      </w:r>
    </w:p>
    <w:sectPr w:rsidR="000173E5" w:rsidSect="004A4E5B">
      <w:footnotePr>
        <w:numRestart w:val="eachSect"/>
      </w:footnotePr>
      <w:endnotePr>
        <w:numFmt w:val="decimal"/>
      </w:endnotePr>
      <w:type w:val="continuous"/>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7AD" w:rsidRDefault="004437AD">
      <w:r>
        <w:separator/>
      </w:r>
    </w:p>
  </w:endnote>
  <w:endnote w:type="continuationSeparator" w:id="0">
    <w:p w:rsidR="004437AD" w:rsidRDefault="0044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677" w:rsidRDefault="0030559E">
    <w:pPr>
      <w:pStyle w:val="Footer"/>
      <w:framePr w:w="576" w:wrap="auto" w:vAnchor="page" w:hAnchor="page" w:x="5545" w:y="15121"/>
      <w:jc w:val="right"/>
      <w:rPr>
        <w:rStyle w:val="PageNumber"/>
        <w:sz w:val="24"/>
        <w:szCs w:val="24"/>
      </w:rPr>
    </w:pPr>
    <w:r>
      <w:rPr>
        <w:rStyle w:val="PageNumber"/>
        <w:sz w:val="24"/>
        <w:szCs w:val="24"/>
      </w:rPr>
      <w:fldChar w:fldCharType="begin"/>
    </w:r>
    <w:r w:rsidR="00452677">
      <w:rPr>
        <w:rStyle w:val="PageNumber"/>
        <w:sz w:val="24"/>
        <w:szCs w:val="24"/>
      </w:rPr>
      <w:instrText xml:space="preserve">PAGE  </w:instrText>
    </w:r>
    <w:r>
      <w:rPr>
        <w:rStyle w:val="PageNumber"/>
        <w:sz w:val="24"/>
        <w:szCs w:val="24"/>
      </w:rPr>
      <w:fldChar w:fldCharType="separate"/>
    </w:r>
    <w:r w:rsidR="007505EF">
      <w:rPr>
        <w:rStyle w:val="PageNumber"/>
        <w:noProof/>
        <w:sz w:val="24"/>
        <w:szCs w:val="24"/>
      </w:rPr>
      <w:t>4</w:t>
    </w:r>
    <w:r>
      <w:rPr>
        <w:rStyle w:val="PageNumber"/>
        <w:sz w:val="24"/>
        <w:szCs w:val="24"/>
      </w:rPr>
      <w:fldChar w:fldCharType="end"/>
    </w:r>
  </w:p>
  <w:p w:rsidR="00452677" w:rsidRDefault="004526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7AD" w:rsidRDefault="004437AD">
      <w:r>
        <w:separator/>
      </w:r>
    </w:p>
  </w:footnote>
  <w:footnote w:type="continuationSeparator" w:id="0">
    <w:p w:rsidR="004437AD" w:rsidRDefault="00443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0223E"/>
    <w:rsid w:val="000173E5"/>
    <w:rsid w:val="00050B4B"/>
    <w:rsid w:val="0006094F"/>
    <w:rsid w:val="000B36B1"/>
    <w:rsid w:val="000D6108"/>
    <w:rsid w:val="000F6B64"/>
    <w:rsid w:val="00107F5D"/>
    <w:rsid w:val="0014057F"/>
    <w:rsid w:val="001A68BE"/>
    <w:rsid w:val="001E6F72"/>
    <w:rsid w:val="002E0C42"/>
    <w:rsid w:val="002E222A"/>
    <w:rsid w:val="002F10A8"/>
    <w:rsid w:val="0030559E"/>
    <w:rsid w:val="003507CC"/>
    <w:rsid w:val="003A757B"/>
    <w:rsid w:val="004437AD"/>
    <w:rsid w:val="00452677"/>
    <w:rsid w:val="00487C76"/>
    <w:rsid w:val="004A4E5B"/>
    <w:rsid w:val="004F26E9"/>
    <w:rsid w:val="005017BE"/>
    <w:rsid w:val="0051172C"/>
    <w:rsid w:val="00532DD5"/>
    <w:rsid w:val="006078E7"/>
    <w:rsid w:val="006220BC"/>
    <w:rsid w:val="006705DC"/>
    <w:rsid w:val="00697344"/>
    <w:rsid w:val="006E51EC"/>
    <w:rsid w:val="006E6015"/>
    <w:rsid w:val="00725C5C"/>
    <w:rsid w:val="007474FB"/>
    <w:rsid w:val="007505EF"/>
    <w:rsid w:val="008332E2"/>
    <w:rsid w:val="00870F70"/>
    <w:rsid w:val="008867C9"/>
    <w:rsid w:val="008B37F6"/>
    <w:rsid w:val="008B38D4"/>
    <w:rsid w:val="008D0C5D"/>
    <w:rsid w:val="008E7E6E"/>
    <w:rsid w:val="00992CEF"/>
    <w:rsid w:val="009E6490"/>
    <w:rsid w:val="009F4D9F"/>
    <w:rsid w:val="00A16DFF"/>
    <w:rsid w:val="00A52249"/>
    <w:rsid w:val="00AD2A70"/>
    <w:rsid w:val="00AE6454"/>
    <w:rsid w:val="00B922FB"/>
    <w:rsid w:val="00BB6BD0"/>
    <w:rsid w:val="00BD3E63"/>
    <w:rsid w:val="00BE0AF0"/>
    <w:rsid w:val="00C0528E"/>
    <w:rsid w:val="00C25764"/>
    <w:rsid w:val="00CE1E61"/>
    <w:rsid w:val="00CF672E"/>
    <w:rsid w:val="00D0488A"/>
    <w:rsid w:val="00D65A58"/>
    <w:rsid w:val="00D84370"/>
    <w:rsid w:val="00D95AF1"/>
    <w:rsid w:val="00DA17DF"/>
    <w:rsid w:val="00E166E6"/>
    <w:rsid w:val="00E61865"/>
    <w:rsid w:val="00E935B6"/>
    <w:rsid w:val="00ED7079"/>
    <w:rsid w:val="00F16BFA"/>
    <w:rsid w:val="00FC72A3"/>
    <w:rsid w:val="00FD2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E5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4A4E5B"/>
    <w:pPr>
      <w:widowControl w:val="0"/>
      <w:autoSpaceDE w:val="0"/>
      <w:autoSpaceDN w:val="0"/>
      <w:adjustRightInd w:val="0"/>
      <w:ind w:left="-1440"/>
      <w:jc w:val="both"/>
    </w:pPr>
    <w:rPr>
      <w:sz w:val="24"/>
      <w:szCs w:val="24"/>
    </w:rPr>
  </w:style>
  <w:style w:type="paragraph" w:customStyle="1" w:styleId="2AutoList1">
    <w:name w:val="2AutoList1"/>
    <w:rsid w:val="004A4E5B"/>
    <w:pPr>
      <w:widowControl w:val="0"/>
      <w:autoSpaceDE w:val="0"/>
      <w:autoSpaceDN w:val="0"/>
      <w:adjustRightInd w:val="0"/>
      <w:ind w:left="-1440"/>
      <w:jc w:val="both"/>
    </w:pPr>
    <w:rPr>
      <w:sz w:val="24"/>
      <w:szCs w:val="24"/>
    </w:rPr>
  </w:style>
  <w:style w:type="paragraph" w:customStyle="1" w:styleId="3AutoList1">
    <w:name w:val="3AutoList1"/>
    <w:rsid w:val="004A4E5B"/>
    <w:pPr>
      <w:widowControl w:val="0"/>
      <w:autoSpaceDE w:val="0"/>
      <w:autoSpaceDN w:val="0"/>
      <w:adjustRightInd w:val="0"/>
      <w:ind w:left="-1440"/>
      <w:jc w:val="both"/>
    </w:pPr>
    <w:rPr>
      <w:sz w:val="24"/>
      <w:szCs w:val="24"/>
    </w:rPr>
  </w:style>
  <w:style w:type="paragraph" w:customStyle="1" w:styleId="4AutoList1">
    <w:name w:val="4AutoList1"/>
    <w:rsid w:val="004A4E5B"/>
    <w:pPr>
      <w:widowControl w:val="0"/>
      <w:autoSpaceDE w:val="0"/>
      <w:autoSpaceDN w:val="0"/>
      <w:adjustRightInd w:val="0"/>
      <w:ind w:left="-1440"/>
      <w:jc w:val="both"/>
    </w:pPr>
    <w:rPr>
      <w:sz w:val="24"/>
      <w:szCs w:val="24"/>
    </w:rPr>
  </w:style>
  <w:style w:type="paragraph" w:customStyle="1" w:styleId="5AutoList1">
    <w:name w:val="5AutoList1"/>
    <w:rsid w:val="004A4E5B"/>
    <w:pPr>
      <w:widowControl w:val="0"/>
      <w:autoSpaceDE w:val="0"/>
      <w:autoSpaceDN w:val="0"/>
      <w:adjustRightInd w:val="0"/>
      <w:ind w:left="-1440"/>
      <w:jc w:val="both"/>
    </w:pPr>
    <w:rPr>
      <w:sz w:val="24"/>
      <w:szCs w:val="24"/>
    </w:rPr>
  </w:style>
  <w:style w:type="paragraph" w:customStyle="1" w:styleId="6AutoList1">
    <w:name w:val="6AutoList1"/>
    <w:rsid w:val="004A4E5B"/>
    <w:pPr>
      <w:widowControl w:val="0"/>
      <w:autoSpaceDE w:val="0"/>
      <w:autoSpaceDN w:val="0"/>
      <w:adjustRightInd w:val="0"/>
      <w:ind w:left="-1440"/>
      <w:jc w:val="both"/>
    </w:pPr>
    <w:rPr>
      <w:sz w:val="24"/>
      <w:szCs w:val="24"/>
    </w:rPr>
  </w:style>
  <w:style w:type="paragraph" w:customStyle="1" w:styleId="7AutoList1">
    <w:name w:val="7AutoList1"/>
    <w:rsid w:val="004A4E5B"/>
    <w:pPr>
      <w:widowControl w:val="0"/>
      <w:autoSpaceDE w:val="0"/>
      <w:autoSpaceDN w:val="0"/>
      <w:adjustRightInd w:val="0"/>
      <w:ind w:left="-1440"/>
      <w:jc w:val="both"/>
    </w:pPr>
    <w:rPr>
      <w:sz w:val="24"/>
      <w:szCs w:val="24"/>
    </w:rPr>
  </w:style>
  <w:style w:type="paragraph" w:customStyle="1" w:styleId="8AutoList1">
    <w:name w:val="8AutoList1"/>
    <w:rsid w:val="004A4E5B"/>
    <w:pPr>
      <w:widowControl w:val="0"/>
      <w:autoSpaceDE w:val="0"/>
      <w:autoSpaceDN w:val="0"/>
      <w:adjustRightInd w:val="0"/>
      <w:ind w:left="-1440"/>
      <w:jc w:val="both"/>
    </w:pPr>
    <w:rPr>
      <w:sz w:val="24"/>
      <w:szCs w:val="24"/>
    </w:rPr>
  </w:style>
  <w:style w:type="paragraph" w:styleId="Footer">
    <w:name w:val="footer"/>
    <w:basedOn w:val="Normal"/>
    <w:rsid w:val="004A4E5B"/>
    <w:pPr>
      <w:tabs>
        <w:tab w:val="center" w:pos="4320"/>
        <w:tab w:val="right" w:pos="8640"/>
      </w:tabs>
    </w:pPr>
  </w:style>
  <w:style w:type="character" w:styleId="PageNumber">
    <w:name w:val="page number"/>
    <w:basedOn w:val="DefaultParagraphFont"/>
    <w:rsid w:val="004A4E5B"/>
  </w:style>
  <w:style w:type="paragraph" w:styleId="Header">
    <w:name w:val="header"/>
    <w:basedOn w:val="Normal"/>
    <w:rsid w:val="004A4E5B"/>
    <w:pPr>
      <w:tabs>
        <w:tab w:val="center" w:pos="4320"/>
        <w:tab w:val="right" w:pos="8640"/>
      </w:tabs>
    </w:pPr>
  </w:style>
  <w:style w:type="table" w:styleId="TableGrid">
    <w:name w:val="Table Grid"/>
    <w:basedOn w:val="TableNormal"/>
    <w:rsid w:val="009F4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F10A8"/>
    <w:rPr>
      <w:sz w:val="16"/>
      <w:szCs w:val="16"/>
    </w:rPr>
  </w:style>
  <w:style w:type="paragraph" w:styleId="CommentText">
    <w:name w:val="annotation text"/>
    <w:basedOn w:val="Normal"/>
    <w:link w:val="CommentTextChar"/>
    <w:rsid w:val="002F10A8"/>
  </w:style>
  <w:style w:type="character" w:customStyle="1" w:styleId="CommentTextChar">
    <w:name w:val="Comment Text Char"/>
    <w:basedOn w:val="DefaultParagraphFont"/>
    <w:link w:val="CommentText"/>
    <w:rsid w:val="002F10A8"/>
  </w:style>
  <w:style w:type="paragraph" w:styleId="CommentSubject">
    <w:name w:val="annotation subject"/>
    <w:basedOn w:val="CommentText"/>
    <w:next w:val="CommentText"/>
    <w:link w:val="CommentSubjectChar"/>
    <w:rsid w:val="002F10A8"/>
    <w:rPr>
      <w:b/>
      <w:bCs/>
    </w:rPr>
  </w:style>
  <w:style w:type="character" w:customStyle="1" w:styleId="CommentSubjectChar">
    <w:name w:val="Comment Subject Char"/>
    <w:basedOn w:val="CommentTextChar"/>
    <w:link w:val="CommentSubject"/>
    <w:rsid w:val="002F10A8"/>
    <w:rPr>
      <w:b/>
      <w:bCs/>
    </w:rPr>
  </w:style>
  <w:style w:type="paragraph" w:styleId="BalloonText">
    <w:name w:val="Balloon Text"/>
    <w:basedOn w:val="Normal"/>
    <w:link w:val="BalloonTextChar"/>
    <w:rsid w:val="002F10A8"/>
    <w:rPr>
      <w:rFonts w:ascii="Tahoma" w:hAnsi="Tahoma" w:cs="Tahoma"/>
      <w:sz w:val="16"/>
      <w:szCs w:val="16"/>
    </w:rPr>
  </w:style>
  <w:style w:type="character" w:customStyle="1" w:styleId="BalloonTextChar">
    <w:name w:val="Balloon Text Char"/>
    <w:basedOn w:val="DefaultParagraphFont"/>
    <w:link w:val="BalloonText"/>
    <w:rsid w:val="002F10A8"/>
    <w:rPr>
      <w:rFonts w:ascii="Tahoma" w:hAnsi="Tahoma" w:cs="Tahoma"/>
      <w:sz w:val="16"/>
      <w:szCs w:val="16"/>
    </w:rPr>
  </w:style>
  <w:style w:type="character" w:customStyle="1" w:styleId="apple-converted-space">
    <w:name w:val="apple-converted-space"/>
    <w:basedOn w:val="DefaultParagraphFont"/>
    <w:rsid w:val="00452677"/>
  </w:style>
  <w:style w:type="character" w:customStyle="1" w:styleId="il">
    <w:name w:val="il"/>
    <w:basedOn w:val="DefaultParagraphFont"/>
    <w:rsid w:val="00452677"/>
  </w:style>
  <w:style w:type="character" w:styleId="Hyperlink">
    <w:name w:val="Hyperlink"/>
    <w:basedOn w:val="DefaultParagraphFont"/>
    <w:rsid w:val="00A16D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4E5B"/>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4A4E5B"/>
    <w:pPr>
      <w:widowControl w:val="0"/>
      <w:autoSpaceDE w:val="0"/>
      <w:autoSpaceDN w:val="0"/>
      <w:adjustRightInd w:val="0"/>
      <w:ind w:left="-1440"/>
      <w:jc w:val="both"/>
    </w:pPr>
    <w:rPr>
      <w:sz w:val="24"/>
      <w:szCs w:val="24"/>
    </w:rPr>
  </w:style>
  <w:style w:type="paragraph" w:customStyle="1" w:styleId="2AutoList1">
    <w:name w:val="2AutoList1"/>
    <w:rsid w:val="004A4E5B"/>
    <w:pPr>
      <w:widowControl w:val="0"/>
      <w:autoSpaceDE w:val="0"/>
      <w:autoSpaceDN w:val="0"/>
      <w:adjustRightInd w:val="0"/>
      <w:ind w:left="-1440"/>
      <w:jc w:val="both"/>
    </w:pPr>
    <w:rPr>
      <w:sz w:val="24"/>
      <w:szCs w:val="24"/>
    </w:rPr>
  </w:style>
  <w:style w:type="paragraph" w:customStyle="1" w:styleId="3AutoList1">
    <w:name w:val="3AutoList1"/>
    <w:rsid w:val="004A4E5B"/>
    <w:pPr>
      <w:widowControl w:val="0"/>
      <w:autoSpaceDE w:val="0"/>
      <w:autoSpaceDN w:val="0"/>
      <w:adjustRightInd w:val="0"/>
      <w:ind w:left="-1440"/>
      <w:jc w:val="both"/>
    </w:pPr>
    <w:rPr>
      <w:sz w:val="24"/>
      <w:szCs w:val="24"/>
    </w:rPr>
  </w:style>
  <w:style w:type="paragraph" w:customStyle="1" w:styleId="4AutoList1">
    <w:name w:val="4AutoList1"/>
    <w:rsid w:val="004A4E5B"/>
    <w:pPr>
      <w:widowControl w:val="0"/>
      <w:autoSpaceDE w:val="0"/>
      <w:autoSpaceDN w:val="0"/>
      <w:adjustRightInd w:val="0"/>
      <w:ind w:left="-1440"/>
      <w:jc w:val="both"/>
    </w:pPr>
    <w:rPr>
      <w:sz w:val="24"/>
      <w:szCs w:val="24"/>
    </w:rPr>
  </w:style>
  <w:style w:type="paragraph" w:customStyle="1" w:styleId="5AutoList1">
    <w:name w:val="5AutoList1"/>
    <w:rsid w:val="004A4E5B"/>
    <w:pPr>
      <w:widowControl w:val="0"/>
      <w:autoSpaceDE w:val="0"/>
      <w:autoSpaceDN w:val="0"/>
      <w:adjustRightInd w:val="0"/>
      <w:ind w:left="-1440"/>
      <w:jc w:val="both"/>
    </w:pPr>
    <w:rPr>
      <w:sz w:val="24"/>
      <w:szCs w:val="24"/>
    </w:rPr>
  </w:style>
  <w:style w:type="paragraph" w:customStyle="1" w:styleId="6AutoList1">
    <w:name w:val="6AutoList1"/>
    <w:rsid w:val="004A4E5B"/>
    <w:pPr>
      <w:widowControl w:val="0"/>
      <w:autoSpaceDE w:val="0"/>
      <w:autoSpaceDN w:val="0"/>
      <w:adjustRightInd w:val="0"/>
      <w:ind w:left="-1440"/>
      <w:jc w:val="both"/>
    </w:pPr>
    <w:rPr>
      <w:sz w:val="24"/>
      <w:szCs w:val="24"/>
    </w:rPr>
  </w:style>
  <w:style w:type="paragraph" w:customStyle="1" w:styleId="7AutoList1">
    <w:name w:val="7AutoList1"/>
    <w:rsid w:val="004A4E5B"/>
    <w:pPr>
      <w:widowControl w:val="0"/>
      <w:autoSpaceDE w:val="0"/>
      <w:autoSpaceDN w:val="0"/>
      <w:adjustRightInd w:val="0"/>
      <w:ind w:left="-1440"/>
      <w:jc w:val="both"/>
    </w:pPr>
    <w:rPr>
      <w:sz w:val="24"/>
      <w:szCs w:val="24"/>
    </w:rPr>
  </w:style>
  <w:style w:type="paragraph" w:customStyle="1" w:styleId="8AutoList1">
    <w:name w:val="8AutoList1"/>
    <w:rsid w:val="004A4E5B"/>
    <w:pPr>
      <w:widowControl w:val="0"/>
      <w:autoSpaceDE w:val="0"/>
      <w:autoSpaceDN w:val="0"/>
      <w:adjustRightInd w:val="0"/>
      <w:ind w:left="-1440"/>
      <w:jc w:val="both"/>
    </w:pPr>
    <w:rPr>
      <w:sz w:val="24"/>
      <w:szCs w:val="24"/>
    </w:rPr>
  </w:style>
  <w:style w:type="paragraph" w:styleId="Footer">
    <w:name w:val="footer"/>
    <w:basedOn w:val="Normal"/>
    <w:rsid w:val="004A4E5B"/>
    <w:pPr>
      <w:tabs>
        <w:tab w:val="center" w:pos="4320"/>
        <w:tab w:val="right" w:pos="8640"/>
      </w:tabs>
    </w:pPr>
  </w:style>
  <w:style w:type="character" w:styleId="PageNumber">
    <w:name w:val="page number"/>
    <w:basedOn w:val="DefaultParagraphFont"/>
    <w:rsid w:val="004A4E5B"/>
  </w:style>
  <w:style w:type="paragraph" w:styleId="Header">
    <w:name w:val="header"/>
    <w:basedOn w:val="Normal"/>
    <w:rsid w:val="004A4E5B"/>
    <w:pPr>
      <w:tabs>
        <w:tab w:val="center" w:pos="4320"/>
        <w:tab w:val="right" w:pos="8640"/>
      </w:tabs>
    </w:pPr>
  </w:style>
  <w:style w:type="table" w:styleId="TableGrid">
    <w:name w:val="Table Grid"/>
    <w:basedOn w:val="TableNormal"/>
    <w:rsid w:val="009F4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F10A8"/>
    <w:rPr>
      <w:sz w:val="16"/>
      <w:szCs w:val="16"/>
    </w:rPr>
  </w:style>
  <w:style w:type="paragraph" w:styleId="CommentText">
    <w:name w:val="annotation text"/>
    <w:basedOn w:val="Normal"/>
    <w:link w:val="CommentTextChar"/>
    <w:rsid w:val="002F10A8"/>
  </w:style>
  <w:style w:type="character" w:customStyle="1" w:styleId="CommentTextChar">
    <w:name w:val="Comment Text Char"/>
    <w:basedOn w:val="DefaultParagraphFont"/>
    <w:link w:val="CommentText"/>
    <w:rsid w:val="002F10A8"/>
  </w:style>
  <w:style w:type="paragraph" w:styleId="CommentSubject">
    <w:name w:val="annotation subject"/>
    <w:basedOn w:val="CommentText"/>
    <w:next w:val="CommentText"/>
    <w:link w:val="CommentSubjectChar"/>
    <w:rsid w:val="002F10A8"/>
    <w:rPr>
      <w:b/>
      <w:bCs/>
    </w:rPr>
  </w:style>
  <w:style w:type="character" w:customStyle="1" w:styleId="CommentSubjectChar">
    <w:name w:val="Comment Subject Char"/>
    <w:basedOn w:val="CommentTextChar"/>
    <w:link w:val="CommentSubject"/>
    <w:rsid w:val="002F10A8"/>
    <w:rPr>
      <w:b/>
      <w:bCs/>
    </w:rPr>
  </w:style>
  <w:style w:type="paragraph" w:styleId="BalloonText">
    <w:name w:val="Balloon Text"/>
    <w:basedOn w:val="Normal"/>
    <w:link w:val="BalloonTextChar"/>
    <w:rsid w:val="002F10A8"/>
    <w:rPr>
      <w:rFonts w:ascii="Tahoma" w:hAnsi="Tahoma" w:cs="Tahoma"/>
      <w:sz w:val="16"/>
      <w:szCs w:val="16"/>
    </w:rPr>
  </w:style>
  <w:style w:type="character" w:customStyle="1" w:styleId="BalloonTextChar">
    <w:name w:val="Balloon Text Char"/>
    <w:basedOn w:val="DefaultParagraphFont"/>
    <w:link w:val="BalloonText"/>
    <w:rsid w:val="002F10A8"/>
    <w:rPr>
      <w:rFonts w:ascii="Tahoma" w:hAnsi="Tahoma" w:cs="Tahoma"/>
      <w:sz w:val="16"/>
      <w:szCs w:val="16"/>
    </w:rPr>
  </w:style>
  <w:style w:type="character" w:customStyle="1" w:styleId="apple-converted-space">
    <w:name w:val="apple-converted-space"/>
    <w:basedOn w:val="DefaultParagraphFont"/>
    <w:rsid w:val="00452677"/>
  </w:style>
  <w:style w:type="character" w:customStyle="1" w:styleId="il">
    <w:name w:val="il"/>
    <w:basedOn w:val="DefaultParagraphFont"/>
    <w:rsid w:val="00452677"/>
  </w:style>
  <w:style w:type="character" w:styleId="Hyperlink">
    <w:name w:val="Hyperlink"/>
    <w:basedOn w:val="DefaultParagraphFont"/>
    <w:rsid w:val="00A16D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829905">
      <w:bodyDiv w:val="1"/>
      <w:marLeft w:val="0"/>
      <w:marRight w:val="0"/>
      <w:marTop w:val="0"/>
      <w:marBottom w:val="0"/>
      <w:divBdr>
        <w:top w:val="none" w:sz="0" w:space="0" w:color="auto"/>
        <w:left w:val="none" w:sz="0" w:space="0" w:color="auto"/>
        <w:bottom w:val="none" w:sz="0" w:space="0" w:color="auto"/>
        <w:right w:val="none" w:sz="0" w:space="0" w:color="auto"/>
      </w:divBdr>
      <w:divsChild>
        <w:div w:id="1740054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98526">
              <w:marLeft w:val="0"/>
              <w:marRight w:val="0"/>
              <w:marTop w:val="0"/>
              <w:marBottom w:val="0"/>
              <w:divBdr>
                <w:top w:val="none" w:sz="0" w:space="0" w:color="auto"/>
                <w:left w:val="none" w:sz="0" w:space="0" w:color="auto"/>
                <w:bottom w:val="none" w:sz="0" w:space="0" w:color="auto"/>
                <w:right w:val="none" w:sz="0" w:space="0" w:color="auto"/>
              </w:divBdr>
              <w:divsChild>
                <w:div w:id="1684239328">
                  <w:marLeft w:val="0"/>
                  <w:marRight w:val="0"/>
                  <w:marTop w:val="0"/>
                  <w:marBottom w:val="0"/>
                  <w:divBdr>
                    <w:top w:val="none" w:sz="0" w:space="0" w:color="auto"/>
                    <w:left w:val="none" w:sz="0" w:space="0" w:color="auto"/>
                    <w:bottom w:val="none" w:sz="0" w:space="0" w:color="auto"/>
                    <w:right w:val="none" w:sz="0" w:space="0" w:color="auto"/>
                  </w:divBdr>
                  <w:divsChild>
                    <w:div w:id="429543502">
                      <w:marLeft w:val="0"/>
                      <w:marRight w:val="0"/>
                      <w:marTop w:val="0"/>
                      <w:marBottom w:val="0"/>
                      <w:divBdr>
                        <w:top w:val="none" w:sz="0" w:space="0" w:color="auto"/>
                        <w:left w:val="none" w:sz="0" w:space="0" w:color="auto"/>
                        <w:bottom w:val="none" w:sz="0" w:space="0" w:color="auto"/>
                        <w:right w:val="none" w:sz="0" w:space="0" w:color="auto"/>
                      </w:divBdr>
                      <w:divsChild>
                        <w:div w:id="19117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www.nmfs.noaa.gov/msa2005/docs/MSA_amended_msa%20_20070112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EAB75-08DA-4854-8014-D8B1F5DD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9615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2</cp:revision>
  <cp:lastPrinted>2014-09-22T18:24:00Z</cp:lastPrinted>
  <dcterms:created xsi:type="dcterms:W3CDTF">2014-10-01T13:30:00Z</dcterms:created>
  <dcterms:modified xsi:type="dcterms:W3CDTF">2014-10-01T13:30:00Z</dcterms:modified>
</cp:coreProperties>
</file>