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DE" w:rsidRPr="00166C8F" w:rsidRDefault="008768DE" w:rsidP="00166C8F">
      <w:pPr>
        <w:tabs>
          <w:tab w:val="center" w:pos="4680"/>
        </w:tabs>
        <w:suppressAutoHyphens/>
        <w:jc w:val="center"/>
        <w:rPr>
          <w:b/>
          <w:sz w:val="24"/>
          <w:szCs w:val="24"/>
        </w:rPr>
      </w:pPr>
      <w:r w:rsidRPr="00166C8F">
        <w:rPr>
          <w:b/>
          <w:sz w:val="24"/>
          <w:szCs w:val="24"/>
        </w:rPr>
        <w:t>SUPPORTING STATEMENT</w:t>
      </w:r>
    </w:p>
    <w:p w:rsidR="001C7339" w:rsidRDefault="00166C8F" w:rsidP="001C7339">
      <w:pPr>
        <w:tabs>
          <w:tab w:val="center" w:pos="4680"/>
        </w:tabs>
        <w:suppressAutoHyphens/>
        <w:jc w:val="center"/>
        <w:rPr>
          <w:b/>
          <w:sz w:val="24"/>
          <w:szCs w:val="24"/>
        </w:rPr>
      </w:pPr>
      <w:proofErr w:type="gramStart"/>
      <w:r w:rsidRPr="00166C8F">
        <w:rPr>
          <w:b/>
          <w:sz w:val="24"/>
          <w:szCs w:val="24"/>
        </w:rPr>
        <w:t>for</w:t>
      </w:r>
      <w:proofErr w:type="gramEnd"/>
      <w:r w:rsidRPr="00166C8F">
        <w:rPr>
          <w:b/>
          <w:sz w:val="24"/>
          <w:szCs w:val="24"/>
        </w:rPr>
        <w:t xml:space="preserve"> the Paperwork Reduction Act Information Collection Submission</w:t>
      </w:r>
      <w:r w:rsidR="001C7339">
        <w:rPr>
          <w:b/>
          <w:sz w:val="24"/>
          <w:szCs w:val="24"/>
        </w:rPr>
        <w:t xml:space="preserve"> </w:t>
      </w:r>
      <w:r w:rsidR="005D4660">
        <w:rPr>
          <w:b/>
          <w:sz w:val="24"/>
          <w:szCs w:val="24"/>
        </w:rPr>
        <w:t xml:space="preserve">for </w:t>
      </w:r>
    </w:p>
    <w:p w:rsidR="00166C8F" w:rsidRDefault="001C7339" w:rsidP="001C7339">
      <w:pPr>
        <w:tabs>
          <w:tab w:val="center" w:pos="4680"/>
        </w:tabs>
        <w:suppressAutoHyphens/>
        <w:jc w:val="center"/>
        <w:rPr>
          <w:b/>
          <w:sz w:val="24"/>
          <w:szCs w:val="24"/>
        </w:rPr>
      </w:pPr>
      <w:r>
        <w:rPr>
          <w:b/>
          <w:sz w:val="24"/>
          <w:szCs w:val="24"/>
        </w:rPr>
        <w:t>Rule 17g-5</w:t>
      </w:r>
    </w:p>
    <w:p w:rsidR="005B2E2B" w:rsidRDefault="005B2E2B" w:rsidP="005B2E2B">
      <w:pPr>
        <w:tabs>
          <w:tab w:val="center" w:pos="4680"/>
        </w:tabs>
        <w:suppressAutoHyphens/>
        <w:rPr>
          <w:sz w:val="24"/>
          <w:szCs w:val="24"/>
        </w:rPr>
      </w:pPr>
    </w:p>
    <w:p w:rsidR="005B2E2B" w:rsidRPr="005B2E2B" w:rsidRDefault="005B2E2B" w:rsidP="005B2E2B">
      <w:pPr>
        <w:tabs>
          <w:tab w:val="left" w:pos="720"/>
          <w:tab w:val="center" w:pos="4680"/>
        </w:tabs>
        <w:suppressAutoHyphens/>
        <w:ind w:firstLine="720"/>
        <w:rPr>
          <w:sz w:val="24"/>
          <w:szCs w:val="24"/>
        </w:rPr>
      </w:pPr>
      <w:r>
        <w:rPr>
          <w:sz w:val="24"/>
          <w:szCs w:val="24"/>
        </w:rPr>
        <w:t xml:space="preserve">This submission is being made pursuant to the Paperwork Reduction Act of 1995, 44 U.S.C. Section 3501 </w:t>
      </w:r>
      <w:r w:rsidRPr="005B2E2B">
        <w:rPr>
          <w:sz w:val="24"/>
          <w:szCs w:val="24"/>
          <w:u w:val="single"/>
        </w:rPr>
        <w:t>et seq</w:t>
      </w:r>
      <w:r>
        <w:rPr>
          <w:sz w:val="24"/>
          <w:szCs w:val="24"/>
        </w:rPr>
        <w:t>.</w:t>
      </w:r>
      <w:r w:rsidR="00E859EE">
        <w:rPr>
          <w:sz w:val="24"/>
          <w:szCs w:val="24"/>
        </w:rPr>
        <w:t xml:space="preserve"> (“PRA”).</w:t>
      </w:r>
    </w:p>
    <w:p w:rsidR="008768DE" w:rsidRPr="00B43D42" w:rsidRDefault="008768DE" w:rsidP="005350D3">
      <w:pPr>
        <w:tabs>
          <w:tab w:val="left" w:pos="-720"/>
        </w:tabs>
        <w:suppressAutoHyphens/>
        <w:rPr>
          <w:sz w:val="24"/>
          <w:szCs w:val="24"/>
        </w:rPr>
      </w:pPr>
    </w:p>
    <w:p w:rsidR="008768DE" w:rsidRPr="00B43D42" w:rsidRDefault="008768DE" w:rsidP="005350D3">
      <w:pPr>
        <w:keepNext/>
        <w:tabs>
          <w:tab w:val="left" w:pos="-720"/>
          <w:tab w:val="left" w:pos="0"/>
        </w:tabs>
        <w:suppressAutoHyphens/>
        <w:ind w:left="720" w:hanging="720"/>
        <w:rPr>
          <w:sz w:val="24"/>
          <w:szCs w:val="24"/>
        </w:rPr>
      </w:pPr>
      <w:r w:rsidRPr="00166C8F">
        <w:rPr>
          <w:b/>
          <w:sz w:val="24"/>
          <w:szCs w:val="24"/>
        </w:rPr>
        <w:t>A.</w:t>
      </w:r>
      <w:r w:rsidRPr="00B43D42">
        <w:rPr>
          <w:sz w:val="24"/>
          <w:szCs w:val="24"/>
        </w:rPr>
        <w:tab/>
      </w:r>
      <w:r w:rsidR="00166C8F" w:rsidRPr="00166C8F">
        <w:rPr>
          <w:b/>
          <w:sz w:val="24"/>
          <w:szCs w:val="24"/>
        </w:rPr>
        <w:t>JUSTIFICATION</w:t>
      </w:r>
    </w:p>
    <w:p w:rsidR="008768DE" w:rsidRPr="00B43D42" w:rsidRDefault="008768DE" w:rsidP="005350D3">
      <w:pPr>
        <w:keepNext/>
        <w:tabs>
          <w:tab w:val="left" w:pos="-720"/>
        </w:tabs>
        <w:suppressAutoHyphens/>
        <w:rPr>
          <w:sz w:val="24"/>
          <w:szCs w:val="24"/>
        </w:rPr>
      </w:pPr>
    </w:p>
    <w:p w:rsidR="008768DE" w:rsidRPr="00166C8F" w:rsidRDefault="00BE6E3E" w:rsidP="005350D3">
      <w:pPr>
        <w:keepNext/>
        <w:tabs>
          <w:tab w:val="left" w:pos="-720"/>
          <w:tab w:val="left" w:pos="0"/>
        </w:tabs>
        <w:suppressAutoHyphens/>
        <w:rPr>
          <w:b/>
          <w:sz w:val="24"/>
          <w:szCs w:val="24"/>
        </w:rPr>
      </w:pPr>
      <w:r>
        <w:rPr>
          <w:sz w:val="24"/>
          <w:szCs w:val="24"/>
        </w:rPr>
        <w:tab/>
      </w:r>
      <w:r w:rsidR="008768DE" w:rsidRPr="00166C8F">
        <w:rPr>
          <w:b/>
          <w:sz w:val="24"/>
          <w:szCs w:val="24"/>
        </w:rPr>
        <w:t>1.</w:t>
      </w:r>
      <w:r w:rsidR="008768DE" w:rsidRPr="00166C8F">
        <w:rPr>
          <w:b/>
          <w:sz w:val="24"/>
          <w:szCs w:val="24"/>
        </w:rPr>
        <w:tab/>
      </w:r>
      <w:r w:rsidR="00166C8F" w:rsidRPr="00166C8F">
        <w:rPr>
          <w:b/>
          <w:sz w:val="24"/>
          <w:szCs w:val="24"/>
        </w:rPr>
        <w:t>Necessity of Information Collection</w:t>
      </w:r>
    </w:p>
    <w:p w:rsidR="008768DE" w:rsidRPr="00B43D42" w:rsidRDefault="008768DE" w:rsidP="005350D3">
      <w:pPr>
        <w:keepNext/>
        <w:tabs>
          <w:tab w:val="left" w:pos="-720"/>
        </w:tabs>
        <w:suppressAutoHyphens/>
        <w:rPr>
          <w:sz w:val="24"/>
          <w:szCs w:val="24"/>
        </w:rPr>
      </w:pPr>
    </w:p>
    <w:p w:rsidR="00DF6D28" w:rsidRDefault="008768DE" w:rsidP="00DF6D28">
      <w:pPr>
        <w:rPr>
          <w:iCs/>
          <w:sz w:val="24"/>
          <w:szCs w:val="24"/>
        </w:rPr>
      </w:pPr>
      <w:r w:rsidRPr="00B43D42">
        <w:rPr>
          <w:sz w:val="24"/>
          <w:szCs w:val="24"/>
        </w:rPr>
        <w:tab/>
      </w:r>
      <w:r w:rsidR="00AB4E4B" w:rsidRPr="00743D8F">
        <w:rPr>
          <w:sz w:val="24"/>
          <w:szCs w:val="24"/>
        </w:rPr>
        <w:t>The Credit Rating Agency Reform Act of 2006</w:t>
      </w:r>
      <w:r w:rsidR="00AB4E4B" w:rsidRPr="00743D8F">
        <w:rPr>
          <w:rStyle w:val="FootnoteReference"/>
          <w:sz w:val="24"/>
          <w:szCs w:val="24"/>
        </w:rPr>
        <w:footnoteReference w:id="1"/>
      </w:r>
      <w:r w:rsidR="00AB4E4B" w:rsidRPr="00743D8F">
        <w:rPr>
          <w:sz w:val="24"/>
          <w:szCs w:val="24"/>
        </w:rPr>
        <w:t xml:space="preserve"> (“Rating Agency Act”), enacted on September 29, 2006, define</w:t>
      </w:r>
      <w:r w:rsidR="00E14410">
        <w:rPr>
          <w:sz w:val="24"/>
          <w:szCs w:val="24"/>
        </w:rPr>
        <w:t>d</w:t>
      </w:r>
      <w:r w:rsidR="00AB4E4B" w:rsidRPr="00743D8F">
        <w:rPr>
          <w:sz w:val="24"/>
          <w:szCs w:val="24"/>
        </w:rPr>
        <w:t xml:space="preserve"> the term “nationally recognized statistical </w:t>
      </w:r>
      <w:r w:rsidR="00AB4E4B">
        <w:rPr>
          <w:sz w:val="24"/>
          <w:szCs w:val="24"/>
        </w:rPr>
        <w:t xml:space="preserve">rating </w:t>
      </w:r>
      <w:r w:rsidR="00AB4E4B" w:rsidRPr="005B2E2B">
        <w:rPr>
          <w:sz w:val="24"/>
          <w:szCs w:val="24"/>
        </w:rPr>
        <w:t>organization,” or “NRSRO” and provide</w:t>
      </w:r>
      <w:r w:rsidR="00E14410">
        <w:rPr>
          <w:sz w:val="24"/>
          <w:szCs w:val="24"/>
        </w:rPr>
        <w:t>d</w:t>
      </w:r>
      <w:r w:rsidR="00AB4E4B" w:rsidRPr="005B2E2B">
        <w:rPr>
          <w:sz w:val="24"/>
          <w:szCs w:val="24"/>
        </w:rPr>
        <w:t xml:space="preserve"> authority for the Securities and Exchange Commission (“Commission”) to implement registration, recordkeeping, financial reporting, and oversight rules with respect to credit rating agencies</w:t>
      </w:r>
      <w:r w:rsidR="00E14410">
        <w:rPr>
          <w:sz w:val="24"/>
          <w:szCs w:val="24"/>
        </w:rPr>
        <w:t xml:space="preserve"> registered with the Commission as NRSROs</w:t>
      </w:r>
      <w:r w:rsidR="00AB4E4B" w:rsidRPr="005B2E2B">
        <w:rPr>
          <w:sz w:val="24"/>
          <w:szCs w:val="24"/>
        </w:rPr>
        <w:t>.</w:t>
      </w:r>
      <w:r w:rsidR="00DF6D28">
        <w:rPr>
          <w:sz w:val="24"/>
          <w:szCs w:val="24"/>
        </w:rPr>
        <w:t xml:space="preserve"> </w:t>
      </w:r>
      <w:r w:rsidR="005B2E2B" w:rsidRPr="005B2E2B">
        <w:rPr>
          <w:sz w:val="24"/>
          <w:szCs w:val="24"/>
        </w:rPr>
        <w:t>The Rating Agency Act added a new Section 15E</w:t>
      </w:r>
      <w:r w:rsidR="005B2E2B" w:rsidRPr="005B2E2B">
        <w:rPr>
          <w:rStyle w:val="FootnoteReference"/>
          <w:iCs/>
          <w:sz w:val="24"/>
          <w:szCs w:val="24"/>
        </w:rPr>
        <w:footnoteReference w:id="2"/>
      </w:r>
      <w:r w:rsidR="005B2E2B" w:rsidRPr="005B2E2B">
        <w:rPr>
          <w:sz w:val="24"/>
          <w:szCs w:val="24"/>
        </w:rPr>
        <w:t xml:space="preserve"> to </w:t>
      </w:r>
      <w:r w:rsidR="005B2E2B" w:rsidRPr="005B2E2B">
        <w:rPr>
          <w:iCs/>
          <w:sz w:val="24"/>
          <w:szCs w:val="24"/>
        </w:rPr>
        <w:t xml:space="preserve">the Securities Exchange Act of 1934 (“Exchange Act”).  </w:t>
      </w:r>
    </w:p>
    <w:p w:rsidR="00DF6D28" w:rsidRDefault="00DF6D28" w:rsidP="00DF6D28">
      <w:pPr>
        <w:rPr>
          <w:iCs/>
          <w:sz w:val="24"/>
          <w:szCs w:val="24"/>
        </w:rPr>
      </w:pPr>
    </w:p>
    <w:p w:rsidR="00DF6D28" w:rsidRDefault="001C4913" w:rsidP="00DF6D28">
      <w:pPr>
        <w:ind w:firstLine="720"/>
        <w:rPr>
          <w:sz w:val="24"/>
          <w:szCs w:val="24"/>
        </w:rPr>
      </w:pPr>
      <w:r>
        <w:rPr>
          <w:sz w:val="24"/>
          <w:szCs w:val="24"/>
        </w:rPr>
        <w:t xml:space="preserve">Section 15E(h)(1) of the Exchange Act requires an NRSRO to </w:t>
      </w:r>
      <w:r w:rsidRPr="001C4913">
        <w:rPr>
          <w:sz w:val="24"/>
          <w:szCs w:val="24"/>
        </w:rPr>
        <w:t xml:space="preserve">establish, maintain, and enforce written policies and procedures reasonably designed, taking into consideration the nature of the business of </w:t>
      </w:r>
      <w:r>
        <w:rPr>
          <w:sz w:val="24"/>
          <w:szCs w:val="24"/>
        </w:rPr>
        <w:t>the NRSRO</w:t>
      </w:r>
      <w:r w:rsidRPr="001C4913">
        <w:rPr>
          <w:sz w:val="24"/>
          <w:szCs w:val="24"/>
        </w:rPr>
        <w:t xml:space="preserve"> and affiliated persons and affiliated companies, to address and manage any conflicts of interest that can arise from such business.</w:t>
      </w:r>
      <w:r w:rsidRPr="005B2E2B">
        <w:rPr>
          <w:rStyle w:val="FootnoteReference"/>
          <w:sz w:val="24"/>
          <w:szCs w:val="24"/>
        </w:rPr>
        <w:footnoteReference w:id="3"/>
      </w:r>
      <w:r w:rsidRPr="005B2E2B">
        <w:rPr>
          <w:sz w:val="24"/>
          <w:szCs w:val="24"/>
        </w:rPr>
        <w:t xml:space="preserve"> </w:t>
      </w:r>
      <w:r w:rsidRPr="001C4913">
        <w:rPr>
          <w:sz w:val="24"/>
          <w:szCs w:val="24"/>
        </w:rPr>
        <w:t xml:space="preserve"> </w:t>
      </w:r>
      <w:r w:rsidR="005B2E2B" w:rsidRPr="001C4913">
        <w:rPr>
          <w:sz w:val="24"/>
          <w:szCs w:val="24"/>
        </w:rPr>
        <w:t xml:space="preserve">Section 15E(h)(2) </w:t>
      </w:r>
      <w:r w:rsidR="00DF6D28" w:rsidRPr="001C4913">
        <w:rPr>
          <w:sz w:val="24"/>
          <w:szCs w:val="24"/>
        </w:rPr>
        <w:t xml:space="preserve">of the Exchange Act </w:t>
      </w:r>
      <w:r w:rsidR="005B2E2B" w:rsidRPr="001C4913">
        <w:rPr>
          <w:sz w:val="24"/>
          <w:szCs w:val="24"/>
        </w:rPr>
        <w:t>provides the Commission with authority to prohibit, or require the management and disclosure of, any potential conflict of interest relating</w:t>
      </w:r>
      <w:r w:rsidR="005B2E2B" w:rsidRPr="005B2E2B">
        <w:rPr>
          <w:sz w:val="24"/>
          <w:szCs w:val="24"/>
        </w:rPr>
        <w:t xml:space="preserve"> to the issuance of credit ratings by an NRSRO.</w:t>
      </w:r>
      <w:r w:rsidR="005B2E2B" w:rsidRPr="005B2E2B">
        <w:rPr>
          <w:rStyle w:val="FootnoteReference"/>
          <w:sz w:val="24"/>
          <w:szCs w:val="24"/>
        </w:rPr>
        <w:footnoteReference w:id="4"/>
      </w:r>
      <w:r w:rsidR="005B2E2B" w:rsidRPr="005B2E2B">
        <w:rPr>
          <w:sz w:val="24"/>
          <w:szCs w:val="24"/>
        </w:rPr>
        <w:t xml:space="preserve">  </w:t>
      </w:r>
      <w:r w:rsidR="00DF6D28">
        <w:rPr>
          <w:sz w:val="24"/>
          <w:szCs w:val="24"/>
        </w:rPr>
        <w:t>The Commission adopted, and subsequently amended, Rule 17g-5</w:t>
      </w:r>
      <w:r w:rsidR="00DF6D28">
        <w:rPr>
          <w:rStyle w:val="FootnoteReference"/>
          <w:sz w:val="24"/>
          <w:szCs w:val="24"/>
        </w:rPr>
        <w:footnoteReference w:id="5"/>
      </w:r>
      <w:r w:rsidR="00DF6D28">
        <w:rPr>
          <w:sz w:val="24"/>
          <w:szCs w:val="24"/>
        </w:rPr>
        <w:t xml:space="preserve"> pursuant, in part, to section 15E(h)(2) of the Exchange Act.</w:t>
      </w:r>
      <w:r w:rsidR="00DF6D28" w:rsidRPr="00DF6D28">
        <w:rPr>
          <w:rStyle w:val="FootnoteReference"/>
          <w:sz w:val="24"/>
          <w:szCs w:val="24"/>
        </w:rPr>
        <w:footnoteReference w:id="6"/>
      </w:r>
      <w:r w:rsidR="00DF6D28">
        <w:rPr>
          <w:sz w:val="24"/>
          <w:szCs w:val="24"/>
        </w:rPr>
        <w:t xml:space="preserve">  </w:t>
      </w:r>
    </w:p>
    <w:p w:rsidR="00DF6D28" w:rsidRDefault="00DF6D28" w:rsidP="005B2E2B">
      <w:pPr>
        <w:ind w:firstLine="720"/>
        <w:rPr>
          <w:sz w:val="24"/>
          <w:szCs w:val="24"/>
        </w:rPr>
      </w:pPr>
    </w:p>
    <w:p w:rsidR="005B2E2B" w:rsidRPr="005B2E2B" w:rsidRDefault="005B2E2B" w:rsidP="005B2E2B">
      <w:pPr>
        <w:ind w:firstLine="720"/>
        <w:rPr>
          <w:sz w:val="24"/>
          <w:szCs w:val="24"/>
        </w:rPr>
      </w:pPr>
      <w:r w:rsidRPr="005B2E2B">
        <w:rPr>
          <w:sz w:val="24"/>
          <w:szCs w:val="24"/>
        </w:rPr>
        <w:t xml:space="preserve">Rule 17g-5 requires the disclosure </w:t>
      </w:r>
      <w:r w:rsidR="00DF6D28">
        <w:rPr>
          <w:sz w:val="24"/>
          <w:szCs w:val="24"/>
        </w:rPr>
        <w:t xml:space="preserve">of </w:t>
      </w:r>
      <w:r w:rsidRPr="005B2E2B">
        <w:rPr>
          <w:sz w:val="24"/>
          <w:szCs w:val="24"/>
        </w:rPr>
        <w:t xml:space="preserve">and establishment of procedures to manage </w:t>
      </w:r>
      <w:r w:rsidR="00DF6D28">
        <w:rPr>
          <w:sz w:val="24"/>
          <w:szCs w:val="24"/>
        </w:rPr>
        <w:t>certain NRSRO</w:t>
      </w:r>
      <w:r w:rsidRPr="005B2E2B">
        <w:rPr>
          <w:sz w:val="24"/>
          <w:szCs w:val="24"/>
        </w:rPr>
        <w:t xml:space="preserve"> conflict</w:t>
      </w:r>
      <w:r w:rsidR="00DF6D28">
        <w:rPr>
          <w:sz w:val="24"/>
          <w:szCs w:val="24"/>
        </w:rPr>
        <w:t>s</w:t>
      </w:r>
      <w:r w:rsidRPr="005B2E2B">
        <w:rPr>
          <w:sz w:val="24"/>
          <w:szCs w:val="24"/>
        </w:rPr>
        <w:t xml:space="preserve"> of interest</w:t>
      </w:r>
      <w:r w:rsidR="00D34DF8">
        <w:rPr>
          <w:sz w:val="24"/>
          <w:szCs w:val="24"/>
        </w:rPr>
        <w:t xml:space="preserve">, prohibits certain other NRSRO conflicts of interest, and </w:t>
      </w:r>
      <w:r w:rsidR="00F52CD0">
        <w:rPr>
          <w:sz w:val="24"/>
          <w:szCs w:val="24"/>
        </w:rPr>
        <w:t>contain</w:t>
      </w:r>
      <w:r w:rsidR="00D34DF8">
        <w:rPr>
          <w:sz w:val="24"/>
          <w:szCs w:val="24"/>
        </w:rPr>
        <w:t xml:space="preserve">s requirements </w:t>
      </w:r>
      <w:r w:rsidR="008260C1">
        <w:rPr>
          <w:sz w:val="24"/>
          <w:szCs w:val="24"/>
        </w:rPr>
        <w:t>regarding the</w:t>
      </w:r>
      <w:r w:rsidR="00F52CD0">
        <w:rPr>
          <w:sz w:val="24"/>
          <w:szCs w:val="24"/>
        </w:rPr>
        <w:t xml:space="preserve"> disclos</w:t>
      </w:r>
      <w:r w:rsidR="008260C1">
        <w:rPr>
          <w:sz w:val="24"/>
          <w:szCs w:val="24"/>
        </w:rPr>
        <w:t>ure of</w:t>
      </w:r>
      <w:r w:rsidR="00F52CD0">
        <w:rPr>
          <w:sz w:val="24"/>
          <w:szCs w:val="24"/>
        </w:rPr>
        <w:t xml:space="preserve"> information in the case of </w:t>
      </w:r>
      <w:r w:rsidR="00D34DF8">
        <w:rPr>
          <w:sz w:val="24"/>
          <w:szCs w:val="24"/>
        </w:rPr>
        <w:t>the conflict of interest of an NRSRO issuing or maintaining a credit rating on an asset-backed security that was paid for by the issuer, sponsor, or underwriter of the security.</w:t>
      </w:r>
    </w:p>
    <w:p w:rsidR="00DF6D28" w:rsidRDefault="00DF6D28" w:rsidP="00166C8F">
      <w:pPr>
        <w:rPr>
          <w:sz w:val="24"/>
          <w:szCs w:val="24"/>
        </w:rPr>
      </w:pPr>
    </w:p>
    <w:p w:rsidR="00AB78FD" w:rsidRPr="007C0E68" w:rsidRDefault="00AB78FD" w:rsidP="00D34DF8">
      <w:pPr>
        <w:ind w:firstLine="720"/>
        <w:rPr>
          <w:sz w:val="24"/>
          <w:szCs w:val="24"/>
        </w:rPr>
      </w:pPr>
      <w:r w:rsidRPr="007C0E68">
        <w:rPr>
          <w:sz w:val="24"/>
          <w:szCs w:val="24"/>
        </w:rPr>
        <w:lastRenderedPageBreak/>
        <w:t>Title IX, Subtitle C of the Dodd-Frank Wall Street Reform and Consumer Protection Act (“Dodd-Frank Act”),</w:t>
      </w:r>
      <w:r w:rsidRPr="007C0E68">
        <w:rPr>
          <w:rStyle w:val="FootnoteReference"/>
          <w:color w:val="000000"/>
          <w:sz w:val="24"/>
          <w:szCs w:val="24"/>
        </w:rPr>
        <w:footnoteReference w:id="7"/>
      </w:r>
      <w:r w:rsidRPr="007C0E68">
        <w:rPr>
          <w:sz w:val="24"/>
          <w:szCs w:val="24"/>
        </w:rPr>
        <w:t xml:space="preserve"> “Improvements to the Regulation of Credit Rating Agencies,” among other things, establishes new self-executing requirements applicable to NRSROs, requires certain studies,</w:t>
      </w:r>
      <w:r w:rsidRPr="007C0E68">
        <w:rPr>
          <w:rStyle w:val="FootnoteReference"/>
          <w:sz w:val="24"/>
          <w:szCs w:val="24"/>
        </w:rPr>
        <w:footnoteReference w:id="8"/>
      </w:r>
      <w:r w:rsidRPr="007C0E68">
        <w:rPr>
          <w:sz w:val="24"/>
          <w:szCs w:val="24"/>
        </w:rPr>
        <w:t xml:space="preserve"> and requires that the Commission adopt rules applicable to NRSROs in a number of areas.</w:t>
      </w:r>
      <w:r w:rsidRPr="007C0E68">
        <w:rPr>
          <w:rStyle w:val="FootnoteReference"/>
          <w:sz w:val="24"/>
          <w:szCs w:val="24"/>
        </w:rPr>
        <w:footnoteReference w:id="9"/>
      </w:r>
      <w:r w:rsidRPr="007C0E68">
        <w:rPr>
          <w:sz w:val="24"/>
          <w:szCs w:val="24"/>
        </w:rPr>
        <w:t xml:space="preserve">  </w:t>
      </w:r>
    </w:p>
    <w:p w:rsidR="00AB78FD" w:rsidRPr="007C0E68" w:rsidRDefault="00AB78FD" w:rsidP="00D34DF8">
      <w:pPr>
        <w:ind w:firstLine="720"/>
        <w:rPr>
          <w:sz w:val="24"/>
          <w:szCs w:val="24"/>
        </w:rPr>
      </w:pPr>
    </w:p>
    <w:p w:rsidR="007142A3" w:rsidRDefault="00DF6D28" w:rsidP="007A5850">
      <w:pPr>
        <w:ind w:firstLine="720"/>
        <w:rPr>
          <w:color w:val="000000"/>
          <w:sz w:val="24"/>
          <w:szCs w:val="24"/>
        </w:rPr>
      </w:pPr>
      <w:r w:rsidRPr="007C0E68">
        <w:rPr>
          <w:sz w:val="24"/>
          <w:szCs w:val="24"/>
        </w:rPr>
        <w:t>Section 932(a</w:t>
      </w:r>
      <w:proofErr w:type="gramStart"/>
      <w:r w:rsidRPr="007C0E68">
        <w:rPr>
          <w:sz w:val="24"/>
          <w:szCs w:val="24"/>
        </w:rPr>
        <w:t>)(</w:t>
      </w:r>
      <w:proofErr w:type="gramEnd"/>
      <w:r w:rsidRPr="007C0E68">
        <w:rPr>
          <w:sz w:val="24"/>
          <w:szCs w:val="24"/>
        </w:rPr>
        <w:t xml:space="preserve">4) of the Dodd-Frank </w:t>
      </w:r>
      <w:r w:rsidR="007C0E68" w:rsidRPr="007C0E68">
        <w:rPr>
          <w:sz w:val="24"/>
          <w:szCs w:val="24"/>
        </w:rPr>
        <w:t>Act</w:t>
      </w:r>
      <w:r w:rsidR="00D34DF8" w:rsidRPr="007C0E68">
        <w:rPr>
          <w:sz w:val="24"/>
          <w:szCs w:val="24"/>
        </w:rPr>
        <w:t xml:space="preserve"> </w:t>
      </w:r>
      <w:r w:rsidRPr="007C0E68">
        <w:rPr>
          <w:sz w:val="24"/>
          <w:szCs w:val="24"/>
        </w:rPr>
        <w:t>added paragraph (3) to section 15E(h) of the Exchange Act.</w:t>
      </w:r>
      <w:r w:rsidRPr="007C0E68">
        <w:rPr>
          <w:rStyle w:val="FootnoteReference"/>
          <w:sz w:val="24"/>
          <w:szCs w:val="24"/>
        </w:rPr>
        <w:footnoteReference w:id="10"/>
      </w:r>
      <w:r w:rsidRPr="007C0E68">
        <w:rPr>
          <w:sz w:val="24"/>
          <w:szCs w:val="24"/>
        </w:rPr>
        <w:t xml:space="preserve">  Section 15E(h)(3)(A) of the Exchange Act provides that the Commission shall issue rules to prevent the sales and marketing considerations of an NRSRO from influencing the production of credit ratings by the NRSRO.</w:t>
      </w:r>
      <w:r w:rsidRPr="007C0E68">
        <w:rPr>
          <w:rStyle w:val="FootnoteReference"/>
          <w:sz w:val="24"/>
          <w:szCs w:val="24"/>
        </w:rPr>
        <w:footnoteReference w:id="11"/>
      </w:r>
      <w:r w:rsidRPr="007C0E68">
        <w:rPr>
          <w:sz w:val="24"/>
          <w:szCs w:val="24"/>
        </w:rPr>
        <w:t xml:space="preserve">  Section 15E(h)(3)(B)(</w:t>
      </w:r>
      <w:proofErr w:type="spellStart"/>
      <w:r w:rsidRPr="007C0E68">
        <w:rPr>
          <w:sz w:val="24"/>
          <w:szCs w:val="24"/>
        </w:rPr>
        <w:t>i</w:t>
      </w:r>
      <w:proofErr w:type="spellEnd"/>
      <w:r w:rsidRPr="007C0E68">
        <w:rPr>
          <w:sz w:val="24"/>
          <w:szCs w:val="24"/>
        </w:rPr>
        <w:t>) of the Exchange Act requires that the Commission’s rules shall provide for exceptions for small NRSROs with respect to which the Commission determines that the separation of the production of credit ratings and sales and marketing activities is not appropriate.</w:t>
      </w:r>
      <w:r w:rsidRPr="007C0E68">
        <w:rPr>
          <w:rStyle w:val="FootnoteReference"/>
          <w:sz w:val="24"/>
          <w:szCs w:val="24"/>
        </w:rPr>
        <w:footnoteReference w:id="12"/>
      </w:r>
      <w:r w:rsidRPr="007C0E68">
        <w:rPr>
          <w:sz w:val="24"/>
          <w:szCs w:val="24"/>
        </w:rPr>
        <w:t xml:space="preserve">  Section </w:t>
      </w:r>
      <w:proofErr w:type="gramStart"/>
      <w:r w:rsidRPr="007C0E68">
        <w:rPr>
          <w:sz w:val="24"/>
          <w:szCs w:val="24"/>
        </w:rPr>
        <w:t>15E(</w:t>
      </w:r>
      <w:proofErr w:type="gramEnd"/>
      <w:r w:rsidRPr="007C0E68">
        <w:rPr>
          <w:sz w:val="24"/>
          <w:szCs w:val="24"/>
        </w:rPr>
        <w:t>h)(3)(B)(ii) of the Exchange Act requires that the Commission’s rules shall provide for the suspension or revocation of the registration of an NRSRO if the Commission finds, on the record, after notice and opportunity for a hearing, that: (1) the NRSRO has committed a violation of a rule issued under section 15E(h) of the Exchange Act; and (2) the violation affected a rating</w:t>
      </w:r>
      <w:r w:rsidRPr="00710E79">
        <w:rPr>
          <w:sz w:val="24"/>
          <w:szCs w:val="24"/>
        </w:rPr>
        <w:t>.</w:t>
      </w:r>
      <w:r w:rsidRPr="00710E79">
        <w:rPr>
          <w:rStyle w:val="FootnoteReference"/>
          <w:sz w:val="24"/>
          <w:szCs w:val="24"/>
        </w:rPr>
        <w:footnoteReference w:id="13"/>
      </w:r>
      <w:r w:rsidR="00710E79" w:rsidRPr="00710E79">
        <w:rPr>
          <w:sz w:val="24"/>
          <w:szCs w:val="24"/>
        </w:rPr>
        <w:t xml:space="preserve"> </w:t>
      </w:r>
      <w:r w:rsidR="007A5850">
        <w:rPr>
          <w:sz w:val="24"/>
          <w:szCs w:val="24"/>
        </w:rPr>
        <w:t xml:space="preserve"> </w:t>
      </w:r>
      <w:r w:rsidR="00710E79" w:rsidRPr="00710E79">
        <w:rPr>
          <w:sz w:val="24"/>
          <w:szCs w:val="24"/>
        </w:rPr>
        <w:t>On May 18, 2011, the Commission proposed for comment amendments to existing rules</w:t>
      </w:r>
      <w:r w:rsidR="00710E79">
        <w:rPr>
          <w:sz w:val="24"/>
          <w:szCs w:val="24"/>
        </w:rPr>
        <w:t>, including Rule 17g-5,</w:t>
      </w:r>
      <w:r w:rsidR="00710E79" w:rsidRPr="00710E79">
        <w:rPr>
          <w:sz w:val="24"/>
          <w:szCs w:val="24"/>
        </w:rPr>
        <w:t xml:space="preserve"> and new rules in accordance with Title IX, Subtitle C of the Dodd-Frank Act and to enhance oversight of NRSROs.</w:t>
      </w:r>
      <w:r w:rsidR="00710E79" w:rsidRPr="00710E79">
        <w:rPr>
          <w:rStyle w:val="FootnoteReference"/>
          <w:sz w:val="24"/>
          <w:szCs w:val="24"/>
        </w:rPr>
        <w:footnoteReference w:id="14"/>
      </w:r>
      <w:r w:rsidR="007A5850">
        <w:rPr>
          <w:sz w:val="24"/>
          <w:szCs w:val="24"/>
        </w:rPr>
        <w:t xml:space="preserve">  </w:t>
      </w:r>
      <w:r w:rsidR="00FA6961">
        <w:rPr>
          <w:color w:val="000000"/>
          <w:sz w:val="24"/>
          <w:szCs w:val="24"/>
        </w:rPr>
        <w:t xml:space="preserve">  </w:t>
      </w:r>
      <w:r w:rsidR="00F52CD0" w:rsidRPr="0022267F">
        <w:rPr>
          <w:sz w:val="24"/>
          <w:szCs w:val="24"/>
        </w:rPr>
        <w:t>On August 27, 2014, the Commission adopted amendments to Rule 17g-5</w:t>
      </w:r>
      <w:r w:rsidR="0022267F" w:rsidRPr="0022267F">
        <w:rPr>
          <w:sz w:val="24"/>
          <w:szCs w:val="24"/>
        </w:rPr>
        <w:t>, in part to implement sections 15E(h)(3)(A), 15E(h)(3)(B)(</w:t>
      </w:r>
      <w:proofErr w:type="spellStart"/>
      <w:r w:rsidR="0022267F" w:rsidRPr="0022267F">
        <w:rPr>
          <w:sz w:val="24"/>
          <w:szCs w:val="24"/>
        </w:rPr>
        <w:t>i</w:t>
      </w:r>
      <w:proofErr w:type="spellEnd"/>
      <w:r w:rsidR="0022267F" w:rsidRPr="0022267F">
        <w:rPr>
          <w:sz w:val="24"/>
          <w:szCs w:val="24"/>
        </w:rPr>
        <w:t>), and 15E(h)(3)(B)(ii) of the Exchange Act</w:t>
      </w:r>
      <w:r w:rsidR="00F52CD0" w:rsidRPr="0022267F">
        <w:rPr>
          <w:sz w:val="24"/>
          <w:szCs w:val="24"/>
        </w:rPr>
        <w:t>.</w:t>
      </w:r>
      <w:r w:rsidR="00F52CD0" w:rsidRPr="0022267F">
        <w:rPr>
          <w:rStyle w:val="FootnoteReference"/>
          <w:sz w:val="24"/>
          <w:szCs w:val="24"/>
        </w:rPr>
        <w:footnoteReference w:id="15"/>
      </w:r>
      <w:r w:rsidR="00D62518" w:rsidRPr="0022267F">
        <w:rPr>
          <w:sz w:val="24"/>
          <w:szCs w:val="24"/>
        </w:rPr>
        <w:t xml:space="preserve"> </w:t>
      </w:r>
      <w:r w:rsidR="0022267F" w:rsidRPr="0022267F">
        <w:rPr>
          <w:color w:val="000000"/>
          <w:sz w:val="24"/>
          <w:szCs w:val="24"/>
        </w:rPr>
        <w:t xml:space="preserve"> </w:t>
      </w:r>
      <w:r w:rsidR="006C7FDE">
        <w:rPr>
          <w:color w:val="000000"/>
          <w:sz w:val="24"/>
          <w:szCs w:val="24"/>
        </w:rPr>
        <w:t>The Adopting Release, unlike the Proposing Release, does contain estimates of the PRA burdens associated with Rule 17g-5.</w:t>
      </w:r>
      <w:r w:rsidR="006C7FDE">
        <w:rPr>
          <w:rStyle w:val="FootnoteReference"/>
          <w:color w:val="000000"/>
          <w:sz w:val="24"/>
          <w:szCs w:val="24"/>
        </w:rPr>
        <w:footnoteReference w:id="16"/>
      </w:r>
    </w:p>
    <w:p w:rsidR="007142A3" w:rsidRDefault="007142A3" w:rsidP="007A5850">
      <w:pPr>
        <w:ind w:firstLine="720"/>
        <w:rPr>
          <w:color w:val="000000"/>
          <w:sz w:val="24"/>
          <w:szCs w:val="24"/>
        </w:rPr>
      </w:pPr>
    </w:p>
    <w:p w:rsidR="007142A3" w:rsidRPr="00443E20" w:rsidRDefault="009E1B73" w:rsidP="007A5850">
      <w:pPr>
        <w:ind w:firstLine="720"/>
        <w:rPr>
          <w:color w:val="000000"/>
          <w:sz w:val="24"/>
          <w:szCs w:val="24"/>
        </w:rPr>
      </w:pPr>
      <w:r>
        <w:rPr>
          <w:sz w:val="24"/>
          <w:szCs w:val="24"/>
        </w:rPr>
        <w:t xml:space="preserve">The final rules amend the collection of information included in Rule 17g-5 in three ways.  </w:t>
      </w:r>
      <w:r w:rsidR="0022267F" w:rsidRPr="0022267F">
        <w:rPr>
          <w:sz w:val="24"/>
          <w:szCs w:val="24"/>
        </w:rPr>
        <w:t xml:space="preserve">First, the Commission </w:t>
      </w:r>
      <w:r w:rsidR="0022267F">
        <w:rPr>
          <w:sz w:val="24"/>
          <w:szCs w:val="24"/>
        </w:rPr>
        <w:t>added</w:t>
      </w:r>
      <w:r w:rsidR="0022267F" w:rsidRPr="0022267F">
        <w:rPr>
          <w:sz w:val="24"/>
          <w:szCs w:val="24"/>
        </w:rPr>
        <w:t xml:space="preserve"> paragraph (a)(3)(iii)(E)</w:t>
      </w:r>
      <w:r w:rsidR="0022267F">
        <w:rPr>
          <w:sz w:val="24"/>
          <w:szCs w:val="24"/>
        </w:rPr>
        <w:t xml:space="preserve"> </w:t>
      </w:r>
      <w:r w:rsidR="0022267F" w:rsidRPr="0022267F">
        <w:rPr>
          <w:sz w:val="24"/>
          <w:szCs w:val="24"/>
        </w:rPr>
        <w:t>to Rule 17g-5 to require an NRSRO to obtain a representation from the issuer, sponsor,</w:t>
      </w:r>
      <w:r w:rsidR="007A5850">
        <w:rPr>
          <w:sz w:val="24"/>
          <w:szCs w:val="24"/>
        </w:rPr>
        <w:t xml:space="preserve"> or underwriter of an asset-back</w:t>
      </w:r>
      <w:r w:rsidR="0022267F" w:rsidRPr="0022267F">
        <w:rPr>
          <w:sz w:val="24"/>
          <w:szCs w:val="24"/>
        </w:rPr>
        <w:t xml:space="preserve">ed security that the issuer, sponsor, or underwriter will post on </w:t>
      </w:r>
      <w:r w:rsidR="00443E20">
        <w:rPr>
          <w:sz w:val="24"/>
          <w:szCs w:val="24"/>
        </w:rPr>
        <w:t>the website referred to in paragraph (a)(3)(iii) of Rule 17g-5 (“</w:t>
      </w:r>
      <w:r w:rsidR="00443E20" w:rsidRPr="00061F18">
        <w:rPr>
          <w:sz w:val="24"/>
          <w:szCs w:val="24"/>
        </w:rPr>
        <w:t>Rule 17g-5 website</w:t>
      </w:r>
      <w:r w:rsidR="00443E20">
        <w:rPr>
          <w:sz w:val="24"/>
          <w:szCs w:val="24"/>
        </w:rPr>
        <w:t>”)</w:t>
      </w:r>
      <w:r w:rsidR="0022267F" w:rsidRPr="0022267F">
        <w:rPr>
          <w:color w:val="000000"/>
          <w:sz w:val="24"/>
          <w:szCs w:val="24"/>
        </w:rPr>
        <w:t>, promptly after receipt, any executed Form ABS Due Diligence-15E delivered by a person employed to provide third-party due diligence services with respect to the security or money market instrument.</w:t>
      </w:r>
      <w:r w:rsidR="0022267F">
        <w:rPr>
          <w:color w:val="000000"/>
          <w:sz w:val="24"/>
          <w:szCs w:val="24"/>
        </w:rPr>
        <w:t xml:space="preserve">  </w:t>
      </w:r>
      <w:r w:rsidR="007142A3">
        <w:rPr>
          <w:color w:val="000000"/>
          <w:sz w:val="24"/>
          <w:szCs w:val="24"/>
        </w:rPr>
        <w:t xml:space="preserve">This </w:t>
      </w:r>
      <w:r w:rsidR="000F7470">
        <w:rPr>
          <w:color w:val="000000"/>
          <w:sz w:val="24"/>
          <w:szCs w:val="24"/>
        </w:rPr>
        <w:t xml:space="preserve">disclosure </w:t>
      </w:r>
      <w:r w:rsidR="007142A3" w:rsidRPr="00443E20">
        <w:rPr>
          <w:color w:val="000000"/>
          <w:sz w:val="24"/>
          <w:szCs w:val="24"/>
        </w:rPr>
        <w:t>requirement involves a collection of information within the meaning of the</w:t>
      </w:r>
      <w:r w:rsidR="00E859EE">
        <w:rPr>
          <w:color w:val="000000"/>
          <w:sz w:val="24"/>
          <w:szCs w:val="24"/>
        </w:rPr>
        <w:t xml:space="preserve"> PRA</w:t>
      </w:r>
      <w:r w:rsidR="007142A3" w:rsidRPr="00443E20">
        <w:rPr>
          <w:color w:val="000000"/>
          <w:sz w:val="24"/>
          <w:szCs w:val="24"/>
        </w:rPr>
        <w:t xml:space="preserve">.  </w:t>
      </w:r>
      <w:r>
        <w:rPr>
          <w:color w:val="000000"/>
          <w:sz w:val="24"/>
          <w:szCs w:val="24"/>
        </w:rPr>
        <w:t>This</w:t>
      </w:r>
      <w:r w:rsidRPr="00443E20">
        <w:rPr>
          <w:color w:val="000000"/>
          <w:sz w:val="24"/>
          <w:szCs w:val="24"/>
        </w:rPr>
        <w:t xml:space="preserve"> </w:t>
      </w:r>
      <w:r w:rsidR="007142A3" w:rsidRPr="00443E20">
        <w:rPr>
          <w:color w:val="000000"/>
          <w:sz w:val="24"/>
          <w:szCs w:val="24"/>
        </w:rPr>
        <w:t>requirement was not included in the Commission’s May 18, 2011 proposal</w:t>
      </w:r>
      <w:r w:rsidR="00443E20" w:rsidRPr="00443E20">
        <w:rPr>
          <w:color w:val="000000"/>
          <w:sz w:val="24"/>
          <w:szCs w:val="24"/>
        </w:rPr>
        <w:t>, but was included in the f</w:t>
      </w:r>
      <w:r w:rsidR="00443E20" w:rsidRPr="002C363C">
        <w:rPr>
          <w:color w:val="000000"/>
          <w:sz w:val="24"/>
          <w:szCs w:val="24"/>
        </w:rPr>
        <w:t xml:space="preserve">inal rule </w:t>
      </w:r>
      <w:r w:rsidR="002C363C">
        <w:rPr>
          <w:color w:val="000000"/>
          <w:sz w:val="24"/>
          <w:szCs w:val="24"/>
        </w:rPr>
        <w:t>in response to</w:t>
      </w:r>
      <w:r w:rsidR="00443E20" w:rsidRPr="002C363C">
        <w:rPr>
          <w:color w:val="000000"/>
          <w:sz w:val="24"/>
          <w:szCs w:val="24"/>
        </w:rPr>
        <w:t xml:space="preserve"> comment received from the public on the proposal</w:t>
      </w:r>
      <w:r w:rsidR="007142A3" w:rsidRPr="002C363C">
        <w:rPr>
          <w:color w:val="000000"/>
          <w:sz w:val="24"/>
          <w:szCs w:val="24"/>
        </w:rPr>
        <w:t>.</w:t>
      </w:r>
      <w:r w:rsidR="00443E20" w:rsidRPr="002C363C">
        <w:rPr>
          <w:color w:val="000000"/>
          <w:sz w:val="24"/>
          <w:szCs w:val="24"/>
        </w:rPr>
        <w:t xml:space="preserve"> </w:t>
      </w:r>
      <w:r w:rsidR="00443E20">
        <w:rPr>
          <w:color w:val="000000"/>
          <w:sz w:val="24"/>
          <w:szCs w:val="24"/>
        </w:rPr>
        <w:t xml:space="preserve">The requirement is </w:t>
      </w:r>
      <w:r w:rsidR="00443E20" w:rsidRPr="00443E20">
        <w:rPr>
          <w:iCs/>
          <w:sz w:val="24"/>
          <w:szCs w:val="24"/>
        </w:rPr>
        <w:t xml:space="preserve">designed to provide for the prompt posting of Form ABS Due Diligence-15E to the Rule 17g-5 website so that other NRSROs can have access to it contemporaneously with an NRSRO that knew the third party was performing due diligence and requested that the form be delivered upon completion of the services.  </w:t>
      </w:r>
      <w:r w:rsidR="00443E20" w:rsidRPr="00443E20">
        <w:rPr>
          <w:color w:val="000000"/>
          <w:sz w:val="24"/>
          <w:szCs w:val="24"/>
        </w:rPr>
        <w:t xml:space="preserve"> </w:t>
      </w:r>
    </w:p>
    <w:p w:rsidR="007142A3" w:rsidRPr="00443E20" w:rsidRDefault="007142A3" w:rsidP="007A5850">
      <w:pPr>
        <w:ind w:firstLine="720"/>
        <w:rPr>
          <w:color w:val="000000"/>
          <w:sz w:val="24"/>
          <w:szCs w:val="24"/>
        </w:rPr>
      </w:pPr>
    </w:p>
    <w:p w:rsidR="007142A3" w:rsidRDefault="0022267F" w:rsidP="007A5850">
      <w:pPr>
        <w:ind w:firstLine="720"/>
        <w:rPr>
          <w:color w:val="000000"/>
          <w:sz w:val="24"/>
          <w:szCs w:val="24"/>
        </w:rPr>
      </w:pPr>
      <w:r w:rsidRPr="0022267F">
        <w:rPr>
          <w:color w:val="000000"/>
          <w:sz w:val="24"/>
          <w:szCs w:val="24"/>
        </w:rPr>
        <w:t xml:space="preserve">Second, the Commission </w:t>
      </w:r>
      <w:r>
        <w:rPr>
          <w:color w:val="000000"/>
          <w:sz w:val="24"/>
          <w:szCs w:val="24"/>
        </w:rPr>
        <w:t>added</w:t>
      </w:r>
      <w:r w:rsidRPr="0022267F">
        <w:rPr>
          <w:color w:val="000000"/>
          <w:sz w:val="24"/>
          <w:szCs w:val="24"/>
        </w:rPr>
        <w:t xml:space="preserve"> paragraph (c)(8) to Rule 17g-5 </w:t>
      </w:r>
      <w:r w:rsidR="003E319B" w:rsidRPr="00710E79">
        <w:rPr>
          <w:sz w:val="24"/>
          <w:szCs w:val="24"/>
        </w:rPr>
        <w:t xml:space="preserve">to prohibit an NRSRO from issuing or maintaining a credit rating </w:t>
      </w:r>
      <w:r w:rsidR="003E319B" w:rsidRPr="00710E79">
        <w:rPr>
          <w:bCs/>
          <w:color w:val="000000"/>
          <w:sz w:val="24"/>
          <w:szCs w:val="24"/>
        </w:rPr>
        <w:t>where a person within the NRSRO who participates in determining or monitoring the credit rating, or developing or approving procedures or methodologies used for determining the credit rating, including qualitative and quantitative models, also: (1) participates in sales or marketing of a product or service of the NRSRO or a product or service of an affiliate of the NRSRO; or (2) is influenced by sales or marketing considerations</w:t>
      </w:r>
      <w:r w:rsidRPr="0022267F">
        <w:rPr>
          <w:color w:val="000000"/>
          <w:sz w:val="24"/>
          <w:szCs w:val="24"/>
        </w:rPr>
        <w:t>.</w:t>
      </w:r>
      <w:r>
        <w:rPr>
          <w:color w:val="000000"/>
          <w:sz w:val="24"/>
          <w:szCs w:val="24"/>
        </w:rPr>
        <w:t xml:space="preserve"> </w:t>
      </w:r>
      <w:r w:rsidR="00FA6961">
        <w:rPr>
          <w:color w:val="000000"/>
          <w:sz w:val="24"/>
          <w:szCs w:val="24"/>
        </w:rPr>
        <w:t xml:space="preserve"> </w:t>
      </w:r>
      <w:r w:rsidR="009E1B73">
        <w:rPr>
          <w:color w:val="000000"/>
          <w:sz w:val="24"/>
          <w:szCs w:val="24"/>
        </w:rPr>
        <w:t>For the reasons noted above,</w:t>
      </w:r>
      <w:r w:rsidR="001A01C3">
        <w:rPr>
          <w:color w:val="000000"/>
          <w:sz w:val="24"/>
          <w:szCs w:val="24"/>
        </w:rPr>
        <w:t xml:space="preserve"> a burden</w:t>
      </w:r>
      <w:r w:rsidR="009E1B73">
        <w:rPr>
          <w:color w:val="000000"/>
          <w:sz w:val="24"/>
          <w:szCs w:val="24"/>
        </w:rPr>
        <w:t xml:space="preserve"> estimate of the collection of information associated with new paragraph (c</w:t>
      </w:r>
      <w:proofErr w:type="gramStart"/>
      <w:r w:rsidR="009E1B73">
        <w:rPr>
          <w:color w:val="000000"/>
          <w:sz w:val="24"/>
          <w:szCs w:val="24"/>
        </w:rPr>
        <w:t>)(</w:t>
      </w:r>
      <w:proofErr w:type="gramEnd"/>
      <w:r w:rsidR="009E1B73">
        <w:rPr>
          <w:color w:val="000000"/>
          <w:sz w:val="24"/>
          <w:szCs w:val="24"/>
        </w:rPr>
        <w:t xml:space="preserve">8) of Rule 17g-5 was not included in </w:t>
      </w:r>
      <w:r w:rsidR="00FA6961">
        <w:rPr>
          <w:color w:val="000000"/>
          <w:sz w:val="24"/>
          <w:szCs w:val="24"/>
        </w:rPr>
        <w:t>the Proposing Release.</w:t>
      </w:r>
      <w:r w:rsidR="001A01C3">
        <w:rPr>
          <w:rStyle w:val="FootnoteReference"/>
          <w:color w:val="000000"/>
          <w:sz w:val="24"/>
          <w:szCs w:val="24"/>
        </w:rPr>
        <w:footnoteReference w:id="17"/>
      </w:r>
      <w:r w:rsidR="00FA6961">
        <w:rPr>
          <w:color w:val="000000"/>
          <w:sz w:val="24"/>
          <w:szCs w:val="24"/>
        </w:rPr>
        <w:t xml:space="preserve">  However, the Commission </w:t>
      </w:r>
      <w:r w:rsidR="009E1B73">
        <w:rPr>
          <w:color w:val="000000"/>
          <w:sz w:val="24"/>
          <w:szCs w:val="24"/>
        </w:rPr>
        <w:t xml:space="preserve">included an </w:t>
      </w:r>
      <w:r w:rsidR="00FA6961">
        <w:rPr>
          <w:color w:val="000000"/>
          <w:sz w:val="24"/>
          <w:szCs w:val="24"/>
        </w:rPr>
        <w:t>estimated PRA burden for paragraph (c</w:t>
      </w:r>
      <w:proofErr w:type="gramStart"/>
      <w:r w:rsidR="00FA6961">
        <w:rPr>
          <w:color w:val="000000"/>
          <w:sz w:val="24"/>
          <w:szCs w:val="24"/>
        </w:rPr>
        <w:t>)(</w:t>
      </w:r>
      <w:proofErr w:type="gramEnd"/>
      <w:r w:rsidR="00FA6961">
        <w:rPr>
          <w:color w:val="000000"/>
          <w:sz w:val="24"/>
          <w:szCs w:val="24"/>
        </w:rPr>
        <w:t>8) in the Adopting Release</w:t>
      </w:r>
      <w:r w:rsidR="009E1B73">
        <w:rPr>
          <w:color w:val="000000"/>
          <w:sz w:val="24"/>
          <w:szCs w:val="24"/>
        </w:rPr>
        <w:t xml:space="preserve">, and </w:t>
      </w:r>
      <w:r w:rsidR="00490CDB">
        <w:rPr>
          <w:color w:val="000000"/>
          <w:sz w:val="24"/>
          <w:szCs w:val="24"/>
        </w:rPr>
        <w:t xml:space="preserve">such estimate has been incorporated </w:t>
      </w:r>
      <w:r w:rsidR="001A01C3">
        <w:rPr>
          <w:color w:val="000000"/>
          <w:sz w:val="24"/>
          <w:szCs w:val="24"/>
        </w:rPr>
        <w:t xml:space="preserve">into Section 12 </w:t>
      </w:r>
      <w:r w:rsidR="00490CDB">
        <w:rPr>
          <w:color w:val="000000"/>
          <w:sz w:val="24"/>
          <w:szCs w:val="24"/>
        </w:rPr>
        <w:t>below</w:t>
      </w:r>
      <w:r w:rsidR="00FA6961">
        <w:rPr>
          <w:color w:val="000000"/>
          <w:sz w:val="24"/>
          <w:szCs w:val="24"/>
        </w:rPr>
        <w:t>.</w:t>
      </w:r>
    </w:p>
    <w:p w:rsidR="00443E20" w:rsidRDefault="00443E20" w:rsidP="007A5850">
      <w:pPr>
        <w:ind w:firstLine="720"/>
        <w:rPr>
          <w:color w:val="000000"/>
          <w:sz w:val="24"/>
          <w:szCs w:val="24"/>
        </w:rPr>
      </w:pPr>
    </w:p>
    <w:p w:rsidR="00D62518" w:rsidRDefault="0022267F" w:rsidP="007A5850">
      <w:pPr>
        <w:ind w:firstLine="720"/>
        <w:rPr>
          <w:color w:val="000000"/>
          <w:sz w:val="24"/>
          <w:szCs w:val="24"/>
        </w:rPr>
      </w:pPr>
      <w:r w:rsidRPr="0022267F">
        <w:rPr>
          <w:color w:val="000000"/>
          <w:sz w:val="24"/>
          <w:szCs w:val="24"/>
        </w:rPr>
        <w:t xml:space="preserve">Third, </w:t>
      </w:r>
      <w:r w:rsidR="003E319B">
        <w:rPr>
          <w:color w:val="000000"/>
          <w:sz w:val="24"/>
          <w:szCs w:val="24"/>
        </w:rPr>
        <w:t xml:space="preserve">the </w:t>
      </w:r>
      <w:r w:rsidR="003E319B" w:rsidRPr="00710E79">
        <w:rPr>
          <w:sz w:val="24"/>
          <w:szCs w:val="24"/>
        </w:rPr>
        <w:t xml:space="preserve">Commission </w:t>
      </w:r>
      <w:r w:rsidR="003E319B">
        <w:rPr>
          <w:sz w:val="24"/>
          <w:szCs w:val="24"/>
        </w:rPr>
        <w:t>added</w:t>
      </w:r>
      <w:r w:rsidR="003E319B" w:rsidRPr="00710E79">
        <w:rPr>
          <w:sz w:val="24"/>
          <w:szCs w:val="24"/>
        </w:rPr>
        <w:t xml:space="preserve"> paragraph (f) to Rule 17g-5, which provides that upon written application by an NRSRO the Commission may exempt, either unconditionally or on specified terms and conditions, the NRSRO from paragraph (c</w:t>
      </w:r>
      <w:proofErr w:type="gramStart"/>
      <w:r w:rsidR="003E319B" w:rsidRPr="00710E79">
        <w:rPr>
          <w:sz w:val="24"/>
          <w:szCs w:val="24"/>
        </w:rPr>
        <w:t>)(</w:t>
      </w:r>
      <w:proofErr w:type="gramEnd"/>
      <w:r w:rsidR="003E319B" w:rsidRPr="00710E79">
        <w:rPr>
          <w:sz w:val="24"/>
          <w:szCs w:val="24"/>
        </w:rPr>
        <w:t>8) of Rule 17g-5 if the Commission finds that due to the small size of the NRSRO it is not appropriate to require the separation of the production of credit ratings from sales and marketing activities and the exemption is in the public interest.</w:t>
      </w:r>
      <w:r w:rsidR="00FA6961" w:rsidRPr="00FA6961">
        <w:rPr>
          <w:color w:val="000000"/>
          <w:sz w:val="24"/>
          <w:szCs w:val="24"/>
        </w:rPr>
        <w:t xml:space="preserve"> </w:t>
      </w:r>
      <w:r w:rsidR="001A01C3">
        <w:rPr>
          <w:color w:val="000000"/>
          <w:sz w:val="24"/>
          <w:szCs w:val="24"/>
        </w:rPr>
        <w:t>For the reasons noted above, a burden estimate of the collection of information associated with new paragraph (f) of Rule 17g-5 was not included in the Proposing Release.</w:t>
      </w:r>
      <w:r w:rsidR="001A01C3">
        <w:rPr>
          <w:rStyle w:val="FootnoteReference"/>
          <w:color w:val="000000"/>
          <w:sz w:val="24"/>
          <w:szCs w:val="24"/>
        </w:rPr>
        <w:footnoteReference w:id="18"/>
      </w:r>
      <w:r w:rsidR="001A01C3">
        <w:rPr>
          <w:color w:val="000000"/>
          <w:sz w:val="24"/>
          <w:szCs w:val="24"/>
        </w:rPr>
        <w:t xml:space="preserve">  However, the Commission included an estimated PRA burden for paragraph (f) in the Adopting Release, and such estimate has been incorporated into Section 12 below</w:t>
      </w:r>
      <w:r w:rsidR="00FA6961">
        <w:rPr>
          <w:color w:val="000000"/>
          <w:sz w:val="24"/>
          <w:szCs w:val="24"/>
        </w:rPr>
        <w:t>.</w:t>
      </w:r>
    </w:p>
    <w:p w:rsidR="007A5850" w:rsidRPr="0022267F" w:rsidRDefault="007A5850" w:rsidP="007A5850">
      <w:pPr>
        <w:ind w:firstLine="720"/>
        <w:rPr>
          <w:sz w:val="24"/>
          <w:szCs w:val="24"/>
        </w:rPr>
      </w:pPr>
    </w:p>
    <w:p w:rsidR="006E4923" w:rsidRPr="00EF7AD5" w:rsidRDefault="00B6007D" w:rsidP="0022267F">
      <w:r w:rsidRPr="0022267F">
        <w:rPr>
          <w:sz w:val="24"/>
          <w:szCs w:val="24"/>
        </w:rPr>
        <w:lastRenderedPageBreak/>
        <w:tab/>
      </w:r>
      <w:r w:rsidR="00D62518" w:rsidRPr="0022267F">
        <w:rPr>
          <w:iCs/>
          <w:sz w:val="24"/>
          <w:szCs w:val="24"/>
        </w:rPr>
        <w:t xml:space="preserve">The collection of information obligation imposed by </w:t>
      </w:r>
      <w:r w:rsidR="00210B6A" w:rsidRPr="0022267F">
        <w:rPr>
          <w:iCs/>
          <w:sz w:val="24"/>
          <w:szCs w:val="24"/>
        </w:rPr>
        <w:t>Rule</w:t>
      </w:r>
      <w:r w:rsidR="00C06817" w:rsidRPr="0022267F">
        <w:rPr>
          <w:iCs/>
          <w:sz w:val="24"/>
          <w:szCs w:val="24"/>
        </w:rPr>
        <w:t xml:space="preserve"> 17g-5</w:t>
      </w:r>
      <w:r w:rsidR="00210B6A" w:rsidRPr="0022267F">
        <w:rPr>
          <w:iCs/>
          <w:sz w:val="24"/>
          <w:szCs w:val="24"/>
        </w:rPr>
        <w:t xml:space="preserve"> </w:t>
      </w:r>
      <w:r w:rsidR="000A2616" w:rsidRPr="0022267F">
        <w:rPr>
          <w:iCs/>
          <w:sz w:val="24"/>
          <w:szCs w:val="24"/>
        </w:rPr>
        <w:t>is</w:t>
      </w:r>
      <w:r w:rsidR="00D62518" w:rsidRPr="0022267F">
        <w:rPr>
          <w:iCs/>
          <w:sz w:val="24"/>
          <w:szCs w:val="24"/>
        </w:rPr>
        <w:t xml:space="preserve"> mandatory</w:t>
      </w:r>
      <w:r w:rsidR="00210B6A" w:rsidRPr="0022267F">
        <w:rPr>
          <w:iCs/>
          <w:sz w:val="24"/>
          <w:szCs w:val="24"/>
        </w:rPr>
        <w:t xml:space="preserve"> for credit </w:t>
      </w:r>
      <w:r w:rsidR="00D62518" w:rsidRPr="0022267F">
        <w:rPr>
          <w:iCs/>
          <w:sz w:val="24"/>
          <w:szCs w:val="24"/>
        </w:rPr>
        <w:t>rating agencies that are applying to register or are registered with the Commission as NRSROs</w:t>
      </w:r>
      <w:r w:rsidR="000A2616" w:rsidRPr="0022267F">
        <w:rPr>
          <w:iCs/>
          <w:sz w:val="24"/>
          <w:szCs w:val="24"/>
        </w:rPr>
        <w:t xml:space="preserve">.  </w:t>
      </w:r>
      <w:r w:rsidR="00210B6A" w:rsidRPr="0022267F">
        <w:rPr>
          <w:iCs/>
          <w:sz w:val="24"/>
          <w:szCs w:val="24"/>
        </w:rPr>
        <w:t>R</w:t>
      </w:r>
      <w:r w:rsidR="00D62518" w:rsidRPr="0022267F">
        <w:rPr>
          <w:iCs/>
          <w:sz w:val="24"/>
          <w:szCs w:val="24"/>
        </w:rPr>
        <w:t xml:space="preserve">egistration </w:t>
      </w:r>
      <w:r w:rsidR="000A2616" w:rsidRPr="0022267F">
        <w:rPr>
          <w:iCs/>
          <w:sz w:val="24"/>
          <w:szCs w:val="24"/>
        </w:rPr>
        <w:t xml:space="preserve">with the Commission as an NRSRO </w:t>
      </w:r>
      <w:r w:rsidR="00D62518" w:rsidRPr="0022267F">
        <w:rPr>
          <w:iCs/>
          <w:sz w:val="24"/>
          <w:szCs w:val="24"/>
        </w:rPr>
        <w:t xml:space="preserve">is voluntary. </w:t>
      </w:r>
      <w:r w:rsidR="006E4923" w:rsidRPr="00EF7AD5">
        <w:tab/>
      </w:r>
    </w:p>
    <w:p w:rsidR="00BE6E3E" w:rsidRPr="00EF7AD5" w:rsidRDefault="00AE3EEF" w:rsidP="00166C8F">
      <w:pPr>
        <w:tabs>
          <w:tab w:val="left" w:pos="-720"/>
        </w:tabs>
        <w:suppressAutoHyphens/>
        <w:rPr>
          <w:sz w:val="24"/>
          <w:szCs w:val="24"/>
        </w:rPr>
      </w:pPr>
      <w:r w:rsidRPr="00EF7AD5">
        <w:rPr>
          <w:sz w:val="24"/>
        </w:rPr>
        <w:tab/>
      </w:r>
    </w:p>
    <w:p w:rsidR="00D144C0" w:rsidRPr="00EF7AD5" w:rsidRDefault="00BE6E3E" w:rsidP="005350D3">
      <w:pPr>
        <w:ind w:left="1440" w:hanging="720"/>
        <w:rPr>
          <w:b/>
          <w:sz w:val="24"/>
          <w:szCs w:val="24"/>
        </w:rPr>
      </w:pPr>
      <w:r w:rsidRPr="00EF7AD5">
        <w:rPr>
          <w:b/>
          <w:sz w:val="24"/>
          <w:szCs w:val="24"/>
        </w:rPr>
        <w:t>2.</w:t>
      </w:r>
      <w:r w:rsidRPr="00EF7AD5">
        <w:rPr>
          <w:b/>
          <w:sz w:val="24"/>
          <w:szCs w:val="24"/>
        </w:rPr>
        <w:tab/>
      </w:r>
      <w:r w:rsidR="00166C8F" w:rsidRPr="00EF7AD5">
        <w:rPr>
          <w:b/>
          <w:sz w:val="24"/>
          <w:szCs w:val="24"/>
        </w:rPr>
        <w:t>Purpose and Use of the Information Collection</w:t>
      </w:r>
      <w:r w:rsidR="00D144C0" w:rsidRPr="00EF7AD5">
        <w:rPr>
          <w:b/>
          <w:sz w:val="24"/>
          <w:szCs w:val="24"/>
        </w:rPr>
        <w:t xml:space="preserve"> </w:t>
      </w:r>
    </w:p>
    <w:p w:rsidR="00BE6E3E" w:rsidRPr="00EF7AD5" w:rsidRDefault="00BE6E3E" w:rsidP="005350D3">
      <w:pPr>
        <w:pStyle w:val="BodyText"/>
        <w:ind w:firstLine="720"/>
        <w:jc w:val="left"/>
        <w:rPr>
          <w:iCs/>
        </w:rPr>
      </w:pPr>
    </w:p>
    <w:p w:rsidR="00863C6A" w:rsidRPr="00061F18" w:rsidRDefault="00453014" w:rsidP="00061F18">
      <w:pPr>
        <w:tabs>
          <w:tab w:val="left" w:pos="-720"/>
        </w:tabs>
        <w:suppressAutoHyphens/>
        <w:rPr>
          <w:sz w:val="24"/>
          <w:szCs w:val="24"/>
        </w:rPr>
      </w:pPr>
      <w:r w:rsidRPr="00EF7AD5">
        <w:rPr>
          <w:sz w:val="24"/>
        </w:rPr>
        <w:tab/>
      </w:r>
      <w:r w:rsidR="00863C6A" w:rsidRPr="00EF7AD5">
        <w:rPr>
          <w:sz w:val="24"/>
        </w:rPr>
        <w:t>The collec</w:t>
      </w:r>
      <w:r w:rsidR="00CF486D" w:rsidRPr="00EF7AD5">
        <w:rPr>
          <w:sz w:val="24"/>
        </w:rPr>
        <w:t>tion of information included in</w:t>
      </w:r>
      <w:r w:rsidR="00EB7A70" w:rsidRPr="00EF7AD5">
        <w:rPr>
          <w:sz w:val="24"/>
        </w:rPr>
        <w:t xml:space="preserve"> </w:t>
      </w:r>
      <w:r w:rsidR="00863C6A" w:rsidRPr="00EF7AD5">
        <w:rPr>
          <w:sz w:val="24"/>
        </w:rPr>
        <w:t>Rule 17g-</w:t>
      </w:r>
      <w:r w:rsidR="00131ECD" w:rsidRPr="00EF7AD5">
        <w:rPr>
          <w:sz w:val="24"/>
        </w:rPr>
        <w:t>5</w:t>
      </w:r>
      <w:r w:rsidR="00863C6A" w:rsidRPr="00EF7AD5">
        <w:rPr>
          <w:sz w:val="24"/>
        </w:rPr>
        <w:t xml:space="preserve"> is necessary for Commission oversight of </w:t>
      </w:r>
      <w:r w:rsidR="00EB7A70" w:rsidRPr="00EF7AD5">
        <w:rPr>
          <w:sz w:val="24"/>
        </w:rPr>
        <w:t xml:space="preserve">registered </w:t>
      </w:r>
      <w:r w:rsidR="00863C6A" w:rsidRPr="00EF7AD5">
        <w:rPr>
          <w:sz w:val="24"/>
        </w:rPr>
        <w:t xml:space="preserve">NRSROs.  Specifically, this collection of information </w:t>
      </w:r>
      <w:r w:rsidR="006761A3" w:rsidRPr="00EF7AD5">
        <w:rPr>
          <w:sz w:val="24"/>
        </w:rPr>
        <w:t>aids</w:t>
      </w:r>
      <w:r w:rsidR="00863C6A" w:rsidRPr="00EF7AD5">
        <w:rPr>
          <w:sz w:val="24"/>
        </w:rPr>
        <w:t xml:space="preserve"> the Commission </w:t>
      </w:r>
      <w:r w:rsidR="000B1384" w:rsidRPr="00EF7AD5">
        <w:rPr>
          <w:sz w:val="24"/>
        </w:rPr>
        <w:t xml:space="preserve">by addressing potential practices that could impair the objectivity and the quality of </w:t>
      </w:r>
      <w:r w:rsidR="000B1384" w:rsidRPr="00061F18">
        <w:rPr>
          <w:sz w:val="24"/>
          <w:szCs w:val="24"/>
        </w:rPr>
        <w:t>a credit rating</w:t>
      </w:r>
      <w:r w:rsidR="005573CC" w:rsidRPr="00061F18">
        <w:rPr>
          <w:sz w:val="24"/>
          <w:szCs w:val="24"/>
        </w:rPr>
        <w:t xml:space="preserve">. </w:t>
      </w:r>
      <w:r w:rsidR="00863C6A" w:rsidRPr="00061F18">
        <w:rPr>
          <w:sz w:val="24"/>
          <w:szCs w:val="24"/>
        </w:rPr>
        <w:t xml:space="preserve"> </w:t>
      </w:r>
    </w:p>
    <w:p w:rsidR="00061F18" w:rsidRDefault="00061F18" w:rsidP="00061F18">
      <w:pPr>
        <w:ind w:firstLine="720"/>
        <w:rPr>
          <w:color w:val="000000"/>
          <w:sz w:val="24"/>
          <w:szCs w:val="24"/>
        </w:rPr>
      </w:pPr>
    </w:p>
    <w:p w:rsidR="00061F18" w:rsidRDefault="00061F18" w:rsidP="00061F18">
      <w:pPr>
        <w:ind w:firstLine="720"/>
        <w:rPr>
          <w:color w:val="000000"/>
          <w:sz w:val="24"/>
          <w:szCs w:val="24"/>
        </w:rPr>
      </w:pPr>
      <w:r w:rsidRPr="00061F18">
        <w:rPr>
          <w:color w:val="000000"/>
          <w:sz w:val="24"/>
          <w:szCs w:val="24"/>
        </w:rPr>
        <w:t xml:space="preserve">The collection required under the amendment adding paragraph </w:t>
      </w:r>
      <w:r w:rsidRPr="00061F18">
        <w:rPr>
          <w:sz w:val="24"/>
          <w:szCs w:val="24"/>
        </w:rPr>
        <w:t xml:space="preserve">(a)(3)(iii)(E) </w:t>
      </w:r>
      <w:r w:rsidRPr="00061F18">
        <w:rPr>
          <w:color w:val="000000"/>
          <w:sz w:val="24"/>
          <w:szCs w:val="24"/>
        </w:rPr>
        <w:t xml:space="preserve">to Rule 17g-5 will be used by the providers of third-party due diligence services to meet their statutory obligation to deliver </w:t>
      </w:r>
      <w:r w:rsidR="002C363C">
        <w:rPr>
          <w:color w:val="000000"/>
          <w:sz w:val="24"/>
          <w:szCs w:val="24"/>
        </w:rPr>
        <w:t>Form ABS Due Diligence-15E</w:t>
      </w:r>
      <w:r w:rsidRPr="00061F18">
        <w:rPr>
          <w:color w:val="000000"/>
          <w:sz w:val="24"/>
          <w:szCs w:val="24"/>
        </w:rPr>
        <w:t xml:space="preserve"> to any NRSRO that produces a credit rating to which the services relate.  Furthermore, disclosing these certifications on the Rule 17g-5 websites will make them available to NRSROs that may not otherwise be aware that third-party due diligence services are being employed with respect to an Exchange Act-ABS because, for example, they are not hired to rate the Exchange Act-ABS.</w:t>
      </w:r>
    </w:p>
    <w:p w:rsidR="00061F18" w:rsidRPr="00061F18" w:rsidRDefault="00061F18" w:rsidP="00061F18">
      <w:pPr>
        <w:ind w:firstLine="720"/>
        <w:rPr>
          <w:color w:val="000000"/>
          <w:sz w:val="24"/>
          <w:szCs w:val="24"/>
        </w:rPr>
      </w:pPr>
    </w:p>
    <w:p w:rsidR="00061F18" w:rsidRPr="00061F18" w:rsidRDefault="00061F18" w:rsidP="00061F18">
      <w:pPr>
        <w:ind w:firstLine="720"/>
        <w:rPr>
          <w:color w:val="000000"/>
          <w:sz w:val="24"/>
          <w:szCs w:val="24"/>
        </w:rPr>
      </w:pPr>
      <w:r w:rsidRPr="00061F18">
        <w:rPr>
          <w:color w:val="000000"/>
          <w:sz w:val="24"/>
          <w:szCs w:val="24"/>
        </w:rPr>
        <w:t xml:space="preserve">The amendment adding paragraph (c)(8) to Rule 17g-5 will require an NRSRO to update its policies and procedures for addressing and managing conflicts of interest to account for this new absolutely prohibited conflict of interest.  The updated policies and procedures will be used by the NRSRO to address this conflict and comply with Rule 17g-5.  Furthermore, Exhibit 7 to Form NRSRO requires an applicant for registration as an NRSRO or an NRSRO to provide a copy in the exhibit of the written policies and procedures an applicant or NRSRO must establish, maintain, and enforce to address and manage conflicts of interest pursuant to section </w:t>
      </w:r>
      <w:proofErr w:type="gramStart"/>
      <w:r w:rsidRPr="00061F18">
        <w:rPr>
          <w:color w:val="000000"/>
          <w:sz w:val="24"/>
          <w:szCs w:val="24"/>
        </w:rPr>
        <w:t>15E(</w:t>
      </w:r>
      <w:proofErr w:type="gramEnd"/>
      <w:r w:rsidRPr="00061F18">
        <w:rPr>
          <w:color w:val="000000"/>
          <w:sz w:val="24"/>
          <w:szCs w:val="24"/>
        </w:rPr>
        <w:t>h) of the Exchange Act.  This disclosure by an NRSRO can be reviewed by investors and other users of credit ratings to evaluate the NRSRO’s policies and procedures (including those addressing the new absolutely prohibited conflict) and to compare them with the policies and procedures of other NRSROs.</w:t>
      </w:r>
    </w:p>
    <w:p w:rsidR="00061F18" w:rsidRDefault="00061F18" w:rsidP="00061F18">
      <w:pPr>
        <w:tabs>
          <w:tab w:val="left" w:pos="-720"/>
        </w:tabs>
        <w:suppressAutoHyphens/>
        <w:rPr>
          <w:color w:val="000000"/>
          <w:sz w:val="24"/>
          <w:szCs w:val="24"/>
        </w:rPr>
      </w:pPr>
    </w:p>
    <w:p w:rsidR="00061F18" w:rsidRPr="00061F18" w:rsidRDefault="00061F18" w:rsidP="00061F18">
      <w:pPr>
        <w:tabs>
          <w:tab w:val="left" w:pos="-720"/>
        </w:tabs>
        <w:suppressAutoHyphens/>
        <w:rPr>
          <w:sz w:val="24"/>
          <w:szCs w:val="24"/>
        </w:rPr>
      </w:pPr>
      <w:r>
        <w:rPr>
          <w:color w:val="000000"/>
          <w:sz w:val="24"/>
          <w:szCs w:val="24"/>
        </w:rPr>
        <w:tab/>
      </w:r>
      <w:r w:rsidRPr="00061F18">
        <w:rPr>
          <w:color w:val="000000"/>
          <w:sz w:val="24"/>
          <w:szCs w:val="24"/>
        </w:rPr>
        <w:t xml:space="preserve">The amendment adding paragraph (f) to Rule 17g-5 to provide a means for an NRSRO to seek an exemption from the Commission because of its small size from the provision establishing the new absolutely prohibited conflict will be used by NRSROs to seek conditional or unconditional exemptions from the new requirement.  </w:t>
      </w:r>
    </w:p>
    <w:p w:rsidR="00481FB0" w:rsidRPr="00EF7AD5" w:rsidRDefault="00481FB0" w:rsidP="005350D3">
      <w:pPr>
        <w:rPr>
          <w:sz w:val="24"/>
          <w:szCs w:val="24"/>
        </w:rPr>
      </w:pPr>
    </w:p>
    <w:p w:rsidR="003E276C" w:rsidRPr="00EF7AD5" w:rsidRDefault="009369BE" w:rsidP="005350D3">
      <w:pPr>
        <w:keepNext/>
        <w:tabs>
          <w:tab w:val="left" w:pos="-720"/>
          <w:tab w:val="left" w:pos="720"/>
        </w:tabs>
        <w:suppressAutoHyphens/>
        <w:ind w:left="1440" w:hanging="720"/>
        <w:rPr>
          <w:b/>
          <w:sz w:val="24"/>
          <w:szCs w:val="24"/>
          <w:u w:val="single"/>
        </w:rPr>
      </w:pPr>
      <w:r w:rsidRPr="00EF7AD5">
        <w:rPr>
          <w:b/>
          <w:sz w:val="24"/>
          <w:szCs w:val="24"/>
        </w:rPr>
        <w:t>3.</w:t>
      </w:r>
      <w:r w:rsidRPr="00EF7AD5">
        <w:rPr>
          <w:b/>
          <w:sz w:val="24"/>
          <w:szCs w:val="24"/>
        </w:rPr>
        <w:tab/>
      </w:r>
      <w:r w:rsidR="00166C8F" w:rsidRPr="00EF7AD5">
        <w:rPr>
          <w:b/>
          <w:sz w:val="24"/>
          <w:szCs w:val="24"/>
        </w:rPr>
        <w:t>Consideration Given to Information Technology</w:t>
      </w:r>
    </w:p>
    <w:p w:rsidR="003E276C" w:rsidRPr="00EF7AD5" w:rsidRDefault="003E276C" w:rsidP="005350D3">
      <w:pPr>
        <w:keepNext/>
        <w:tabs>
          <w:tab w:val="left" w:pos="-720"/>
        </w:tabs>
        <w:suppressAutoHyphens/>
        <w:rPr>
          <w:sz w:val="24"/>
          <w:szCs w:val="24"/>
        </w:rPr>
      </w:pPr>
    </w:p>
    <w:p w:rsidR="00B8739F" w:rsidRPr="00EF7AD5" w:rsidRDefault="00B8739F" w:rsidP="005350D3">
      <w:pPr>
        <w:pStyle w:val="BodyText"/>
        <w:ind w:firstLine="720"/>
        <w:jc w:val="left"/>
      </w:pPr>
      <w:r w:rsidRPr="00EF7AD5">
        <w:t>Rule 17g-</w:t>
      </w:r>
      <w:r w:rsidR="000B1384" w:rsidRPr="00EF7AD5">
        <w:t>5</w:t>
      </w:r>
      <w:r w:rsidRPr="00EF7AD5">
        <w:t xml:space="preserve"> </w:t>
      </w:r>
      <w:r w:rsidR="000B1384" w:rsidRPr="00EF7AD5">
        <w:t>allow</w:t>
      </w:r>
      <w:r w:rsidR="00CF486D" w:rsidRPr="00EF7AD5">
        <w:t>s</w:t>
      </w:r>
      <w:r w:rsidR="000B1384" w:rsidRPr="00EF7AD5">
        <w:t xml:space="preserve"> NRSROs to disclose certain information in an electronic format</w:t>
      </w:r>
      <w:r w:rsidRPr="00EF7AD5">
        <w:t xml:space="preserve">.  </w:t>
      </w:r>
      <w:r w:rsidR="000B1384" w:rsidRPr="00EF7AD5">
        <w:rPr>
          <w:rFonts w:ascii="CG Times" w:hAnsi="CG Times"/>
        </w:rPr>
        <w:t xml:space="preserve">The Commission believes that improvements in telecommunications and data processing technology may reduce any burdens associated with Rule 17g-5.  </w:t>
      </w:r>
    </w:p>
    <w:p w:rsidR="003E276C" w:rsidRPr="00EF7AD5" w:rsidRDefault="003E276C" w:rsidP="005350D3">
      <w:pPr>
        <w:tabs>
          <w:tab w:val="left" w:pos="-720"/>
        </w:tabs>
        <w:suppressAutoHyphens/>
        <w:rPr>
          <w:sz w:val="24"/>
          <w:szCs w:val="24"/>
        </w:rPr>
      </w:pPr>
    </w:p>
    <w:p w:rsidR="003E276C" w:rsidRPr="00EF7AD5" w:rsidRDefault="00C60448" w:rsidP="005350D3">
      <w:pPr>
        <w:keepNext/>
        <w:tabs>
          <w:tab w:val="left" w:pos="-720"/>
          <w:tab w:val="left" w:pos="0"/>
          <w:tab w:val="left" w:pos="720"/>
        </w:tabs>
        <w:suppressAutoHyphens/>
        <w:ind w:left="1440" w:hanging="1440"/>
        <w:rPr>
          <w:b/>
          <w:sz w:val="24"/>
          <w:szCs w:val="24"/>
        </w:rPr>
      </w:pPr>
      <w:r w:rsidRPr="00EF7AD5">
        <w:rPr>
          <w:b/>
          <w:sz w:val="24"/>
          <w:szCs w:val="24"/>
        </w:rPr>
        <w:tab/>
      </w:r>
      <w:r w:rsidR="003E276C" w:rsidRPr="00EF7AD5">
        <w:rPr>
          <w:b/>
          <w:sz w:val="24"/>
          <w:szCs w:val="24"/>
        </w:rPr>
        <w:t>4.</w:t>
      </w:r>
      <w:r w:rsidR="003E276C" w:rsidRPr="00EF7AD5">
        <w:rPr>
          <w:b/>
          <w:sz w:val="24"/>
          <w:szCs w:val="24"/>
        </w:rPr>
        <w:tab/>
      </w:r>
      <w:r w:rsidR="00166C8F" w:rsidRPr="00EF7AD5">
        <w:rPr>
          <w:b/>
          <w:sz w:val="24"/>
          <w:szCs w:val="24"/>
        </w:rPr>
        <w:t>Duplication</w:t>
      </w:r>
    </w:p>
    <w:p w:rsidR="003E276C" w:rsidRPr="00EF7AD5" w:rsidRDefault="003E276C" w:rsidP="005350D3">
      <w:pPr>
        <w:keepNext/>
        <w:tabs>
          <w:tab w:val="left" w:pos="-720"/>
        </w:tabs>
        <w:suppressAutoHyphens/>
        <w:rPr>
          <w:sz w:val="24"/>
          <w:szCs w:val="24"/>
        </w:rPr>
      </w:pPr>
    </w:p>
    <w:p w:rsidR="003E276C" w:rsidRPr="00EF7AD5" w:rsidRDefault="003E276C" w:rsidP="005350D3">
      <w:pPr>
        <w:tabs>
          <w:tab w:val="left" w:pos="-720"/>
        </w:tabs>
        <w:suppressAutoHyphens/>
        <w:rPr>
          <w:sz w:val="24"/>
          <w:szCs w:val="24"/>
        </w:rPr>
      </w:pPr>
      <w:r w:rsidRPr="00EF7AD5">
        <w:rPr>
          <w:sz w:val="24"/>
          <w:szCs w:val="24"/>
        </w:rPr>
        <w:tab/>
        <w:t>N</w:t>
      </w:r>
      <w:r w:rsidRPr="00EF7AD5">
        <w:rPr>
          <w:spacing w:val="-3"/>
          <w:sz w:val="24"/>
          <w:szCs w:val="24"/>
        </w:rPr>
        <w:t>o duplication is apparent.</w:t>
      </w:r>
    </w:p>
    <w:p w:rsidR="003E276C" w:rsidRPr="00EF7AD5" w:rsidRDefault="003E276C" w:rsidP="005350D3">
      <w:pPr>
        <w:tabs>
          <w:tab w:val="left" w:pos="-720"/>
        </w:tabs>
        <w:suppressAutoHyphens/>
        <w:rPr>
          <w:sz w:val="24"/>
          <w:szCs w:val="24"/>
        </w:rPr>
      </w:pPr>
    </w:p>
    <w:p w:rsidR="003E276C" w:rsidRPr="00EF7AD5" w:rsidRDefault="003E276C" w:rsidP="005350D3">
      <w:pPr>
        <w:keepNext/>
        <w:tabs>
          <w:tab w:val="left" w:pos="-720"/>
          <w:tab w:val="left" w:pos="0"/>
          <w:tab w:val="left" w:pos="720"/>
        </w:tabs>
        <w:suppressAutoHyphens/>
        <w:ind w:left="1440" w:hanging="1440"/>
        <w:rPr>
          <w:b/>
          <w:sz w:val="24"/>
          <w:szCs w:val="24"/>
        </w:rPr>
      </w:pPr>
      <w:r w:rsidRPr="00EF7AD5">
        <w:rPr>
          <w:b/>
          <w:sz w:val="24"/>
          <w:szCs w:val="24"/>
        </w:rPr>
        <w:lastRenderedPageBreak/>
        <w:tab/>
        <w:t>5.</w:t>
      </w:r>
      <w:r w:rsidRPr="00EF7AD5">
        <w:rPr>
          <w:b/>
          <w:sz w:val="24"/>
          <w:szCs w:val="24"/>
        </w:rPr>
        <w:tab/>
      </w:r>
      <w:r w:rsidR="00166C8F" w:rsidRPr="00EF7AD5">
        <w:rPr>
          <w:b/>
          <w:sz w:val="24"/>
          <w:szCs w:val="24"/>
        </w:rPr>
        <w:t>Effect</w:t>
      </w:r>
      <w:r w:rsidRPr="00EF7AD5">
        <w:rPr>
          <w:b/>
          <w:sz w:val="24"/>
          <w:szCs w:val="24"/>
        </w:rPr>
        <w:t xml:space="preserve"> on Small Entities</w:t>
      </w:r>
    </w:p>
    <w:p w:rsidR="003E276C" w:rsidRPr="00EF7AD5" w:rsidRDefault="003E276C" w:rsidP="005350D3">
      <w:pPr>
        <w:keepNext/>
        <w:tabs>
          <w:tab w:val="left" w:pos="-720"/>
        </w:tabs>
        <w:suppressAutoHyphens/>
        <w:rPr>
          <w:sz w:val="24"/>
          <w:szCs w:val="24"/>
        </w:rPr>
      </w:pPr>
    </w:p>
    <w:p w:rsidR="003E276C" w:rsidRPr="00EF7AD5" w:rsidRDefault="003E276C" w:rsidP="005350D3">
      <w:pPr>
        <w:pStyle w:val="BodyText"/>
        <w:jc w:val="left"/>
      </w:pPr>
      <w:r w:rsidRPr="00EF7AD5">
        <w:tab/>
        <w:t xml:space="preserve">Small entities may be </w:t>
      </w:r>
      <w:r w:rsidR="00B9764F" w:rsidRPr="00EF7AD5">
        <w:t>a</w:t>
      </w:r>
      <w:r w:rsidRPr="00EF7AD5">
        <w:t xml:space="preserve">ffected by </w:t>
      </w:r>
      <w:r w:rsidR="00CF486D" w:rsidRPr="00EF7AD5">
        <w:t>the R</w:t>
      </w:r>
      <w:r w:rsidRPr="00EF7AD5">
        <w:t xml:space="preserve">ule </w:t>
      </w:r>
      <w:r w:rsidR="009369BE" w:rsidRPr="00EF7AD5">
        <w:t>because</w:t>
      </w:r>
      <w:r w:rsidRPr="00EF7AD5">
        <w:t xml:space="preserve"> all </w:t>
      </w:r>
      <w:r w:rsidR="003A3E20" w:rsidRPr="00EF7AD5">
        <w:t>NRSROs</w:t>
      </w:r>
      <w:r w:rsidR="00B9764F" w:rsidRPr="00EF7AD5">
        <w:t>,</w:t>
      </w:r>
      <w:r w:rsidRPr="00EF7AD5">
        <w:t xml:space="preserve"> regardless of size</w:t>
      </w:r>
      <w:r w:rsidR="00B9764F" w:rsidRPr="00EF7AD5">
        <w:t xml:space="preserve">, </w:t>
      </w:r>
      <w:r w:rsidR="00CF486D" w:rsidRPr="00EF7AD5">
        <w:t>are</w:t>
      </w:r>
      <w:r w:rsidR="000B1384" w:rsidRPr="00EF7AD5">
        <w:t xml:space="preserve"> subject to the additional </w:t>
      </w:r>
      <w:r w:rsidR="0022267F">
        <w:t xml:space="preserve">requirements </w:t>
      </w:r>
      <w:r w:rsidR="000B1384" w:rsidRPr="00EF7AD5">
        <w:t>in the amendments to Rule 17g-5</w:t>
      </w:r>
      <w:r w:rsidR="003A3E20" w:rsidRPr="00EF7AD5">
        <w:t xml:space="preserve">.  </w:t>
      </w:r>
      <w:r w:rsidR="00952B52">
        <w:t>However, par</w:t>
      </w:r>
      <w:r w:rsidR="00952B52" w:rsidRPr="0022267F">
        <w:rPr>
          <w:color w:val="000000"/>
        </w:rPr>
        <w:t xml:space="preserve">agraph (f) </w:t>
      </w:r>
      <w:r w:rsidR="00DE5BD2">
        <w:rPr>
          <w:color w:val="000000"/>
        </w:rPr>
        <w:t>of</w:t>
      </w:r>
      <w:r w:rsidR="00952B52" w:rsidRPr="0022267F">
        <w:rPr>
          <w:color w:val="000000"/>
        </w:rPr>
        <w:t xml:space="preserve"> Rule 17g-5 provides that upon written application by an NRSRO the Commission may exempt, either conditionally or unconditionally, the NRSRO from paragraph (c</w:t>
      </w:r>
      <w:proofErr w:type="gramStart"/>
      <w:r w:rsidR="00952B52" w:rsidRPr="0022267F">
        <w:rPr>
          <w:color w:val="000000"/>
        </w:rPr>
        <w:t>)(</w:t>
      </w:r>
      <w:proofErr w:type="gramEnd"/>
      <w:r w:rsidR="00952B52" w:rsidRPr="0022267F">
        <w:rPr>
          <w:color w:val="000000"/>
        </w:rPr>
        <w:t>8)</w:t>
      </w:r>
      <w:r w:rsidR="00DE5BD2">
        <w:rPr>
          <w:color w:val="000000"/>
        </w:rPr>
        <w:t xml:space="preserve"> of Rule 17g-5</w:t>
      </w:r>
      <w:r w:rsidR="00952B52" w:rsidRPr="0022267F">
        <w:rPr>
          <w:color w:val="000000"/>
        </w:rPr>
        <w:t xml:space="preserve"> if the Commission finds that due to the small size of the NRSRO it is not appropriate to require the separation within the NRSRO of the production of credit ratings from sales and marketing activities and such exemption is in the public interest</w:t>
      </w:r>
      <w:r w:rsidR="00952B52">
        <w:rPr>
          <w:color w:val="000000"/>
        </w:rPr>
        <w:t>.</w:t>
      </w:r>
    </w:p>
    <w:p w:rsidR="003E276C" w:rsidRPr="00EF7AD5" w:rsidRDefault="003E276C" w:rsidP="005350D3">
      <w:pPr>
        <w:tabs>
          <w:tab w:val="left" w:pos="-720"/>
        </w:tabs>
        <w:suppressAutoHyphens/>
        <w:rPr>
          <w:sz w:val="24"/>
          <w:szCs w:val="24"/>
        </w:rPr>
      </w:pPr>
    </w:p>
    <w:p w:rsidR="003E276C" w:rsidRPr="00EF7AD5" w:rsidRDefault="003E276C" w:rsidP="005350D3">
      <w:pPr>
        <w:keepNext/>
        <w:tabs>
          <w:tab w:val="left" w:pos="-720"/>
          <w:tab w:val="left" w:pos="0"/>
          <w:tab w:val="left" w:pos="720"/>
        </w:tabs>
        <w:suppressAutoHyphens/>
        <w:ind w:left="1440" w:hanging="1440"/>
        <w:rPr>
          <w:b/>
          <w:sz w:val="24"/>
          <w:szCs w:val="24"/>
        </w:rPr>
      </w:pPr>
      <w:r w:rsidRPr="00EF7AD5">
        <w:rPr>
          <w:b/>
          <w:sz w:val="24"/>
          <w:szCs w:val="24"/>
        </w:rPr>
        <w:tab/>
        <w:t>6.</w:t>
      </w:r>
      <w:r w:rsidRPr="00EF7AD5">
        <w:rPr>
          <w:b/>
          <w:sz w:val="24"/>
          <w:szCs w:val="24"/>
        </w:rPr>
        <w:tab/>
      </w:r>
      <w:r w:rsidR="00166C8F" w:rsidRPr="00EF7AD5">
        <w:rPr>
          <w:b/>
          <w:sz w:val="24"/>
          <w:szCs w:val="24"/>
        </w:rPr>
        <w:t>Consequences of Not Conducting Collection</w:t>
      </w:r>
    </w:p>
    <w:p w:rsidR="003E276C" w:rsidRPr="00EF7AD5" w:rsidRDefault="003E276C" w:rsidP="005350D3">
      <w:pPr>
        <w:keepNext/>
        <w:tabs>
          <w:tab w:val="left" w:pos="-720"/>
        </w:tabs>
        <w:suppressAutoHyphens/>
        <w:rPr>
          <w:sz w:val="24"/>
          <w:szCs w:val="24"/>
        </w:rPr>
      </w:pPr>
    </w:p>
    <w:p w:rsidR="003A3E20" w:rsidRPr="00EF7AD5" w:rsidRDefault="003E276C" w:rsidP="005350D3">
      <w:pPr>
        <w:pStyle w:val="BodyText"/>
        <w:jc w:val="left"/>
      </w:pPr>
      <w:r w:rsidRPr="00EF7AD5">
        <w:tab/>
      </w:r>
      <w:r w:rsidR="003A3E20" w:rsidRPr="00EF7AD5">
        <w:t>If this information were not collected as frequently, the Commission would be unable to ascertain, on an ongoing basis, whether a credit rating agency registered as an NRSRO</w:t>
      </w:r>
      <w:r w:rsidR="005573CC" w:rsidRPr="00EF7AD5">
        <w:t xml:space="preserve"> “fails to maintain adequate financial and managerial resources to consistently produce credit ratings with integrity.”</w:t>
      </w:r>
      <w:r w:rsidR="005573CC" w:rsidRPr="00EF7AD5">
        <w:rPr>
          <w:rStyle w:val="FootnoteReference"/>
        </w:rPr>
        <w:footnoteReference w:id="19"/>
      </w:r>
      <w:r w:rsidR="005573CC" w:rsidRPr="00EF7AD5">
        <w:t xml:space="preserve"> </w:t>
      </w:r>
    </w:p>
    <w:p w:rsidR="003E276C" w:rsidRPr="00EF7AD5" w:rsidRDefault="003E276C" w:rsidP="005350D3">
      <w:pPr>
        <w:tabs>
          <w:tab w:val="left" w:pos="-720"/>
        </w:tabs>
        <w:suppressAutoHyphens/>
        <w:rPr>
          <w:sz w:val="24"/>
          <w:szCs w:val="24"/>
        </w:rPr>
      </w:pPr>
    </w:p>
    <w:p w:rsidR="003E276C" w:rsidRPr="00EF7AD5" w:rsidRDefault="003E276C" w:rsidP="005350D3">
      <w:pPr>
        <w:keepNext/>
        <w:tabs>
          <w:tab w:val="left" w:pos="-720"/>
          <w:tab w:val="left" w:pos="0"/>
          <w:tab w:val="left" w:pos="720"/>
        </w:tabs>
        <w:suppressAutoHyphens/>
        <w:ind w:left="1440" w:hanging="1440"/>
        <w:rPr>
          <w:b/>
          <w:sz w:val="24"/>
          <w:szCs w:val="24"/>
        </w:rPr>
      </w:pPr>
      <w:r w:rsidRPr="00EF7AD5">
        <w:rPr>
          <w:b/>
          <w:sz w:val="24"/>
          <w:szCs w:val="24"/>
        </w:rPr>
        <w:tab/>
        <w:t>7.</w:t>
      </w:r>
      <w:r w:rsidRPr="00EF7AD5">
        <w:rPr>
          <w:b/>
          <w:sz w:val="24"/>
          <w:szCs w:val="24"/>
        </w:rPr>
        <w:tab/>
      </w:r>
      <w:r w:rsidR="00166C8F" w:rsidRPr="00EF7AD5">
        <w:rPr>
          <w:b/>
          <w:sz w:val="24"/>
          <w:szCs w:val="24"/>
        </w:rPr>
        <w:t>Inconsistencies with Guidelines in 5 CFR 1320.5(d</w:t>
      </w:r>
      <w:proofErr w:type="gramStart"/>
      <w:r w:rsidR="00166C8F" w:rsidRPr="00EF7AD5">
        <w:rPr>
          <w:b/>
          <w:sz w:val="24"/>
          <w:szCs w:val="24"/>
        </w:rPr>
        <w:t>)(</w:t>
      </w:r>
      <w:proofErr w:type="gramEnd"/>
      <w:r w:rsidR="00166C8F" w:rsidRPr="00EF7AD5">
        <w:rPr>
          <w:b/>
          <w:sz w:val="24"/>
          <w:szCs w:val="24"/>
        </w:rPr>
        <w:t>2)</w:t>
      </w:r>
    </w:p>
    <w:p w:rsidR="003E276C" w:rsidRPr="00EF7AD5" w:rsidRDefault="003E276C" w:rsidP="005350D3">
      <w:pPr>
        <w:keepNext/>
        <w:tabs>
          <w:tab w:val="left" w:pos="-720"/>
        </w:tabs>
        <w:suppressAutoHyphens/>
        <w:rPr>
          <w:sz w:val="24"/>
          <w:szCs w:val="24"/>
        </w:rPr>
      </w:pPr>
    </w:p>
    <w:p w:rsidR="003E276C" w:rsidRPr="00EF7AD5" w:rsidRDefault="003E276C" w:rsidP="005350D3">
      <w:pPr>
        <w:tabs>
          <w:tab w:val="left" w:pos="-720"/>
        </w:tabs>
        <w:suppressAutoHyphens/>
        <w:rPr>
          <w:sz w:val="24"/>
          <w:szCs w:val="24"/>
        </w:rPr>
      </w:pPr>
      <w:r w:rsidRPr="00EF7AD5">
        <w:rPr>
          <w:sz w:val="24"/>
          <w:szCs w:val="24"/>
        </w:rPr>
        <w:tab/>
      </w:r>
      <w:r w:rsidR="009A4D9E" w:rsidRPr="00EF7AD5">
        <w:rPr>
          <w:sz w:val="24"/>
          <w:szCs w:val="24"/>
        </w:rPr>
        <w:t>There are no special circumstances.  This collection is consistent with the guidelines in 5 CFR 1320.5(d</w:t>
      </w:r>
      <w:proofErr w:type="gramStart"/>
      <w:r w:rsidR="009A4D9E" w:rsidRPr="00EF7AD5">
        <w:rPr>
          <w:sz w:val="24"/>
          <w:szCs w:val="24"/>
        </w:rPr>
        <w:t>)(</w:t>
      </w:r>
      <w:proofErr w:type="gramEnd"/>
      <w:r w:rsidR="009A4D9E" w:rsidRPr="00EF7AD5">
        <w:rPr>
          <w:sz w:val="24"/>
          <w:szCs w:val="24"/>
        </w:rPr>
        <w:t xml:space="preserve">2). </w:t>
      </w:r>
    </w:p>
    <w:p w:rsidR="003E276C" w:rsidRPr="00EF7AD5" w:rsidRDefault="003E276C" w:rsidP="005350D3">
      <w:pPr>
        <w:tabs>
          <w:tab w:val="left" w:pos="-720"/>
          <w:tab w:val="left" w:pos="0"/>
          <w:tab w:val="left" w:pos="720"/>
        </w:tabs>
        <w:suppressAutoHyphens/>
        <w:ind w:left="1440" w:hanging="1440"/>
        <w:rPr>
          <w:sz w:val="24"/>
          <w:szCs w:val="24"/>
        </w:rPr>
      </w:pPr>
    </w:p>
    <w:p w:rsidR="003E276C" w:rsidRPr="00166C8F" w:rsidRDefault="003E276C" w:rsidP="005350D3">
      <w:pPr>
        <w:keepNext/>
        <w:tabs>
          <w:tab w:val="left" w:pos="-720"/>
          <w:tab w:val="left" w:pos="0"/>
          <w:tab w:val="left" w:pos="720"/>
        </w:tabs>
        <w:suppressAutoHyphens/>
        <w:ind w:left="1440" w:hanging="1440"/>
        <w:rPr>
          <w:b/>
          <w:sz w:val="24"/>
          <w:szCs w:val="24"/>
        </w:rPr>
      </w:pPr>
      <w:r w:rsidRPr="00EF7AD5">
        <w:rPr>
          <w:b/>
          <w:sz w:val="24"/>
          <w:szCs w:val="24"/>
        </w:rPr>
        <w:tab/>
        <w:t>8.</w:t>
      </w:r>
      <w:r w:rsidRPr="00EF7AD5">
        <w:rPr>
          <w:b/>
          <w:sz w:val="24"/>
          <w:szCs w:val="24"/>
        </w:rPr>
        <w:tab/>
        <w:t xml:space="preserve">Consultations </w:t>
      </w:r>
      <w:proofErr w:type="gramStart"/>
      <w:r w:rsidRPr="00EF7AD5">
        <w:rPr>
          <w:b/>
          <w:sz w:val="24"/>
          <w:szCs w:val="24"/>
        </w:rPr>
        <w:t>Outside</w:t>
      </w:r>
      <w:proofErr w:type="gramEnd"/>
      <w:r w:rsidRPr="00EF7AD5">
        <w:rPr>
          <w:b/>
          <w:sz w:val="24"/>
          <w:szCs w:val="24"/>
        </w:rPr>
        <w:t xml:space="preserve"> the Agency</w:t>
      </w:r>
    </w:p>
    <w:p w:rsidR="005D4660" w:rsidRDefault="005D4660" w:rsidP="00166C8F">
      <w:pPr>
        <w:tabs>
          <w:tab w:val="left" w:pos="-720"/>
        </w:tabs>
        <w:suppressAutoHyphens/>
        <w:rPr>
          <w:sz w:val="24"/>
          <w:szCs w:val="24"/>
        </w:rPr>
      </w:pPr>
    </w:p>
    <w:p w:rsidR="00096A1F" w:rsidRPr="00B43D42" w:rsidRDefault="005D4660" w:rsidP="00096A1F">
      <w:pPr>
        <w:rPr>
          <w:sz w:val="24"/>
          <w:szCs w:val="24"/>
        </w:rPr>
      </w:pPr>
      <w:r>
        <w:rPr>
          <w:sz w:val="24"/>
          <w:szCs w:val="24"/>
        </w:rPr>
        <w:tab/>
      </w:r>
      <w:r w:rsidR="00096A1F">
        <w:rPr>
          <w:sz w:val="24"/>
          <w:szCs w:val="24"/>
        </w:rPr>
        <w:t>The Commission requested comment on the PRA analysis in the proposing release.</w:t>
      </w:r>
      <w:r w:rsidR="00096A1F">
        <w:rPr>
          <w:rStyle w:val="FootnoteReference"/>
        </w:rPr>
        <w:footnoteReference w:id="20"/>
      </w:r>
      <w:r w:rsidR="00096A1F">
        <w:rPr>
          <w:sz w:val="24"/>
          <w:szCs w:val="24"/>
        </w:rPr>
        <w:t xml:space="preserve"> </w:t>
      </w:r>
      <w:r w:rsidR="00096A1F" w:rsidRPr="00D82D18">
        <w:rPr>
          <w:iCs/>
          <w:color w:val="000000"/>
          <w:sz w:val="24"/>
          <w:szCs w:val="24"/>
        </w:rPr>
        <w:t xml:space="preserve">The Commission stated in the </w:t>
      </w:r>
      <w:r w:rsidR="00096A1F">
        <w:rPr>
          <w:iCs/>
          <w:color w:val="000000"/>
          <w:sz w:val="24"/>
          <w:szCs w:val="24"/>
        </w:rPr>
        <w:t>P</w:t>
      </w:r>
      <w:r w:rsidR="00096A1F" w:rsidRPr="00D82D18">
        <w:rPr>
          <w:iCs/>
          <w:color w:val="000000"/>
          <w:sz w:val="24"/>
          <w:szCs w:val="24"/>
        </w:rPr>
        <w:t xml:space="preserve">roposing </w:t>
      </w:r>
      <w:r w:rsidR="00096A1F">
        <w:rPr>
          <w:iCs/>
          <w:color w:val="000000"/>
          <w:sz w:val="24"/>
          <w:szCs w:val="24"/>
        </w:rPr>
        <w:t>R</w:t>
      </w:r>
      <w:r w:rsidR="00096A1F" w:rsidRPr="00D82D18">
        <w:rPr>
          <w:iCs/>
          <w:color w:val="000000"/>
          <w:sz w:val="24"/>
          <w:szCs w:val="24"/>
        </w:rPr>
        <w:t>elease that it believed that it was reasonable to base some of its burden estimates on the approximate number of NRSRO credit ratings outstanding or the number of credit analysts employed by NRSROs, based on the most recent annual certifications submitted to the Commission by the NRSROs.</w:t>
      </w:r>
      <w:r w:rsidR="00096A1F" w:rsidRPr="00D82D18">
        <w:rPr>
          <w:rStyle w:val="FootnoteReference"/>
          <w:iCs/>
          <w:color w:val="000000"/>
          <w:sz w:val="24"/>
          <w:szCs w:val="24"/>
        </w:rPr>
        <w:footnoteReference w:id="21"/>
      </w:r>
      <w:r w:rsidR="00096A1F" w:rsidRPr="00D82D18">
        <w:rPr>
          <w:iCs/>
          <w:color w:val="000000"/>
          <w:sz w:val="24"/>
          <w:szCs w:val="24"/>
        </w:rPr>
        <w:t xml:space="preserve">  An NRSRO objected to this method of estimating the burden attributable to the proposal, stating that “to properly evaluate the actual burden of the rules, particularly as they relate to the seven NRSROs that must compete with the largest three NRSROs, the burden analysis must take into account not only the number of ratings or analysts in isolation, but also must include the amount of legal and compliance resources necessary to implement systemic and simultaneous changes” and that “the investments will not be diminished relative to financial resources because an NRSRO may have fewer analysts or credit ratings issued.”</w:t>
      </w:r>
      <w:r w:rsidR="00096A1F" w:rsidRPr="00D82D18">
        <w:rPr>
          <w:rStyle w:val="FootnoteReference"/>
          <w:iCs/>
          <w:color w:val="000000"/>
          <w:sz w:val="24"/>
          <w:szCs w:val="24"/>
        </w:rPr>
        <w:footnoteReference w:id="22"/>
      </w:r>
      <w:r w:rsidR="00096A1F" w:rsidRPr="00D82D18">
        <w:rPr>
          <w:iCs/>
          <w:color w:val="000000"/>
          <w:sz w:val="24"/>
          <w:szCs w:val="24"/>
        </w:rPr>
        <w:t xml:space="preserve">  Similarly, another NRSRO stated that “the burden on smaller rating agencies may be even more severe than the Commission’s numbers suggest” and that “[w]</w:t>
      </w:r>
      <w:proofErr w:type="spellStart"/>
      <w:r w:rsidR="00096A1F" w:rsidRPr="00D82D18">
        <w:rPr>
          <w:iCs/>
          <w:color w:val="000000"/>
          <w:sz w:val="24"/>
          <w:szCs w:val="24"/>
        </w:rPr>
        <w:t>hile</w:t>
      </w:r>
      <w:proofErr w:type="spellEnd"/>
      <w:r w:rsidR="00096A1F" w:rsidRPr="00D82D18">
        <w:rPr>
          <w:iCs/>
          <w:color w:val="000000"/>
          <w:sz w:val="24"/>
          <w:szCs w:val="24"/>
        </w:rPr>
        <w:t xml:space="preserve"> some aspects of the proposals (such as disclosures and updates) scale in a linear fashion with the number of published ratings, other costs (such as the development of new disclosure templates and implementing new systems) are fixed</w:t>
      </w:r>
      <w:r w:rsidR="00096A1F" w:rsidRPr="00D82D18">
        <w:rPr>
          <w:rStyle w:val="FootnoteReference"/>
          <w:iCs/>
          <w:color w:val="000000"/>
          <w:sz w:val="24"/>
          <w:szCs w:val="24"/>
        </w:rPr>
        <w:t>”</w:t>
      </w:r>
      <w:r w:rsidR="00096A1F">
        <w:rPr>
          <w:iCs/>
          <w:color w:val="000000"/>
          <w:sz w:val="24"/>
          <w:szCs w:val="24"/>
        </w:rPr>
        <w:t xml:space="preserve"> and that </w:t>
      </w:r>
      <w:r w:rsidR="00096A1F" w:rsidRPr="00D82D18">
        <w:rPr>
          <w:iCs/>
          <w:color w:val="000000"/>
          <w:sz w:val="24"/>
          <w:szCs w:val="24"/>
        </w:rPr>
        <w:t>these “fixed costs have a disproportionate impact on smaller firms.</w:t>
      </w:r>
      <w:r w:rsidR="00096A1F">
        <w:rPr>
          <w:iCs/>
          <w:color w:val="000000"/>
          <w:sz w:val="24"/>
          <w:szCs w:val="24"/>
        </w:rPr>
        <w:t>”</w:t>
      </w:r>
      <w:r w:rsidR="00096A1F" w:rsidRPr="00D82D18">
        <w:rPr>
          <w:rStyle w:val="FootnoteReference"/>
          <w:iCs/>
          <w:color w:val="000000"/>
          <w:sz w:val="24"/>
          <w:szCs w:val="24"/>
        </w:rPr>
        <w:footnoteReference w:id="23"/>
      </w:r>
      <w:r w:rsidR="00096A1F" w:rsidRPr="00D82D18">
        <w:rPr>
          <w:iCs/>
          <w:color w:val="000000"/>
          <w:sz w:val="24"/>
          <w:szCs w:val="24"/>
        </w:rPr>
        <w:t xml:space="preserve">  </w:t>
      </w:r>
      <w:r w:rsidR="00096A1F">
        <w:rPr>
          <w:iCs/>
          <w:color w:val="000000"/>
          <w:sz w:val="24"/>
          <w:szCs w:val="24"/>
        </w:rPr>
        <w:t xml:space="preserve">However, the Commission did not base </w:t>
      </w:r>
      <w:r w:rsidR="00096A1F" w:rsidRPr="00D82D18">
        <w:rPr>
          <w:iCs/>
          <w:color w:val="000000"/>
          <w:sz w:val="24"/>
          <w:szCs w:val="24"/>
        </w:rPr>
        <w:t xml:space="preserve">its burden estimates for </w:t>
      </w:r>
      <w:r w:rsidR="00096A1F">
        <w:rPr>
          <w:iCs/>
          <w:color w:val="000000"/>
          <w:sz w:val="24"/>
          <w:szCs w:val="24"/>
        </w:rPr>
        <w:t xml:space="preserve">the </w:t>
      </w:r>
      <w:r w:rsidR="00096A1F">
        <w:rPr>
          <w:iCs/>
          <w:color w:val="000000"/>
          <w:sz w:val="24"/>
          <w:szCs w:val="24"/>
        </w:rPr>
        <w:lastRenderedPageBreak/>
        <w:t>proposed amendments to Rule 17g-5</w:t>
      </w:r>
      <w:r w:rsidR="00096A1F" w:rsidRPr="00D82D18">
        <w:rPr>
          <w:iCs/>
          <w:color w:val="000000"/>
          <w:sz w:val="24"/>
          <w:szCs w:val="24"/>
        </w:rPr>
        <w:t xml:space="preserve"> </w:t>
      </w:r>
      <w:r w:rsidR="00096A1F">
        <w:rPr>
          <w:iCs/>
          <w:color w:val="000000"/>
          <w:sz w:val="24"/>
          <w:szCs w:val="24"/>
        </w:rPr>
        <w:t xml:space="preserve">on </w:t>
      </w:r>
      <w:r w:rsidR="00096A1F" w:rsidRPr="00D82D18">
        <w:rPr>
          <w:iCs/>
          <w:color w:val="000000"/>
          <w:sz w:val="24"/>
          <w:szCs w:val="24"/>
        </w:rPr>
        <w:t xml:space="preserve">the number of NRSRO credit ratings outstanding or the number of credit analysts employed by NRSROs.  </w:t>
      </w:r>
    </w:p>
    <w:p w:rsidR="003E276C" w:rsidRPr="00B43D42" w:rsidRDefault="003E276C" w:rsidP="005350D3">
      <w:pPr>
        <w:tabs>
          <w:tab w:val="left" w:pos="-720"/>
        </w:tabs>
        <w:suppressAutoHyphens/>
        <w:rPr>
          <w:sz w:val="24"/>
          <w:szCs w:val="24"/>
        </w:rPr>
      </w:pPr>
    </w:p>
    <w:p w:rsidR="003E276C" w:rsidRPr="00166C8F" w:rsidRDefault="003E276C" w:rsidP="005350D3">
      <w:pPr>
        <w:keepNext/>
        <w:tabs>
          <w:tab w:val="left" w:pos="-720"/>
          <w:tab w:val="left" w:pos="0"/>
          <w:tab w:val="left" w:pos="720"/>
        </w:tabs>
        <w:suppressAutoHyphens/>
        <w:ind w:left="1440" w:hanging="1440"/>
        <w:rPr>
          <w:b/>
          <w:sz w:val="24"/>
          <w:szCs w:val="24"/>
        </w:rPr>
      </w:pPr>
      <w:r w:rsidRPr="00166C8F">
        <w:rPr>
          <w:b/>
          <w:sz w:val="24"/>
          <w:szCs w:val="24"/>
        </w:rPr>
        <w:tab/>
        <w:t>9.</w:t>
      </w:r>
      <w:r w:rsidRPr="00166C8F">
        <w:rPr>
          <w:b/>
          <w:sz w:val="24"/>
          <w:szCs w:val="24"/>
        </w:rPr>
        <w:tab/>
        <w:t>Payment or Gift</w:t>
      </w:r>
    </w:p>
    <w:p w:rsidR="003E276C" w:rsidRPr="00B43D42" w:rsidRDefault="003E276C" w:rsidP="005350D3">
      <w:pPr>
        <w:keepNext/>
        <w:tabs>
          <w:tab w:val="left" w:pos="-720"/>
        </w:tabs>
        <w:suppressAutoHyphens/>
        <w:rPr>
          <w:sz w:val="24"/>
          <w:szCs w:val="24"/>
        </w:rPr>
      </w:pPr>
    </w:p>
    <w:p w:rsidR="003E276C" w:rsidRPr="00B43D42" w:rsidRDefault="003E276C" w:rsidP="005350D3">
      <w:pPr>
        <w:tabs>
          <w:tab w:val="left" w:pos="-720"/>
        </w:tabs>
        <w:suppressAutoHyphens/>
        <w:rPr>
          <w:sz w:val="24"/>
          <w:szCs w:val="24"/>
        </w:rPr>
      </w:pPr>
      <w:r w:rsidRPr="00B43D42">
        <w:rPr>
          <w:sz w:val="24"/>
          <w:szCs w:val="24"/>
        </w:rPr>
        <w:tab/>
      </w:r>
      <w:r w:rsidR="00706CB1">
        <w:rPr>
          <w:sz w:val="24"/>
          <w:szCs w:val="24"/>
        </w:rPr>
        <w:t>No payment or gift is provided to respondents.</w:t>
      </w:r>
    </w:p>
    <w:p w:rsidR="003E276C" w:rsidRPr="00B43D42" w:rsidRDefault="003E276C" w:rsidP="005350D3">
      <w:pPr>
        <w:tabs>
          <w:tab w:val="left" w:pos="-720"/>
        </w:tabs>
        <w:suppressAutoHyphens/>
        <w:rPr>
          <w:sz w:val="24"/>
          <w:szCs w:val="24"/>
        </w:rPr>
      </w:pPr>
    </w:p>
    <w:p w:rsidR="003E276C" w:rsidRPr="00B43D42" w:rsidRDefault="003E276C" w:rsidP="005350D3">
      <w:pPr>
        <w:keepNext/>
        <w:tabs>
          <w:tab w:val="left" w:pos="-720"/>
          <w:tab w:val="left" w:pos="0"/>
          <w:tab w:val="left" w:pos="720"/>
        </w:tabs>
        <w:suppressAutoHyphens/>
        <w:ind w:left="1440" w:hanging="1440"/>
        <w:rPr>
          <w:sz w:val="24"/>
          <w:szCs w:val="24"/>
        </w:rPr>
      </w:pPr>
      <w:r w:rsidRPr="00B43D42">
        <w:rPr>
          <w:sz w:val="24"/>
          <w:szCs w:val="24"/>
        </w:rPr>
        <w:tab/>
      </w:r>
      <w:r w:rsidRPr="00166C8F">
        <w:rPr>
          <w:b/>
          <w:sz w:val="24"/>
          <w:szCs w:val="24"/>
        </w:rPr>
        <w:t>10.</w:t>
      </w:r>
      <w:r w:rsidRPr="00B43D42">
        <w:rPr>
          <w:sz w:val="24"/>
          <w:szCs w:val="24"/>
        </w:rPr>
        <w:tab/>
      </w:r>
      <w:r w:rsidRPr="00166C8F">
        <w:rPr>
          <w:b/>
          <w:sz w:val="24"/>
          <w:szCs w:val="24"/>
        </w:rPr>
        <w:t>Confidentiality</w:t>
      </w:r>
    </w:p>
    <w:p w:rsidR="003E276C" w:rsidRPr="00B43D42" w:rsidRDefault="003E276C" w:rsidP="005350D3">
      <w:pPr>
        <w:keepNext/>
        <w:tabs>
          <w:tab w:val="left" w:pos="-720"/>
        </w:tabs>
        <w:suppressAutoHyphens/>
        <w:rPr>
          <w:sz w:val="24"/>
          <w:szCs w:val="24"/>
        </w:rPr>
      </w:pPr>
    </w:p>
    <w:p w:rsidR="003E276C" w:rsidRPr="00B43D42" w:rsidRDefault="003E276C" w:rsidP="005350D3">
      <w:pPr>
        <w:pStyle w:val="BodyText"/>
        <w:jc w:val="left"/>
      </w:pPr>
      <w:r w:rsidRPr="00B43D42">
        <w:tab/>
      </w:r>
      <w:r w:rsidR="00706CB1">
        <w:t xml:space="preserve">No assurance of confidentiality is provided. </w:t>
      </w:r>
    </w:p>
    <w:p w:rsidR="003E276C" w:rsidRPr="00166C8F" w:rsidRDefault="003E276C" w:rsidP="005350D3">
      <w:pPr>
        <w:tabs>
          <w:tab w:val="left" w:pos="-720"/>
        </w:tabs>
        <w:suppressAutoHyphens/>
        <w:rPr>
          <w:b/>
          <w:spacing w:val="-3"/>
          <w:sz w:val="24"/>
          <w:szCs w:val="24"/>
        </w:rPr>
      </w:pPr>
    </w:p>
    <w:p w:rsidR="003E276C" w:rsidRPr="00166C8F" w:rsidRDefault="003E276C" w:rsidP="005350D3">
      <w:pPr>
        <w:keepNext/>
        <w:tabs>
          <w:tab w:val="left" w:pos="-720"/>
          <w:tab w:val="left" w:pos="0"/>
          <w:tab w:val="left" w:pos="720"/>
        </w:tabs>
        <w:suppressAutoHyphens/>
        <w:ind w:left="1440" w:hanging="1440"/>
        <w:rPr>
          <w:b/>
          <w:sz w:val="24"/>
          <w:szCs w:val="24"/>
        </w:rPr>
      </w:pPr>
      <w:r w:rsidRPr="00166C8F">
        <w:rPr>
          <w:b/>
          <w:sz w:val="24"/>
          <w:szCs w:val="24"/>
        </w:rPr>
        <w:tab/>
        <w:t>11.</w:t>
      </w:r>
      <w:r w:rsidRPr="00166C8F">
        <w:rPr>
          <w:b/>
          <w:sz w:val="24"/>
          <w:szCs w:val="24"/>
        </w:rPr>
        <w:tab/>
        <w:t>Sensitive Questions</w:t>
      </w:r>
    </w:p>
    <w:p w:rsidR="003E276C" w:rsidRPr="00B43D42" w:rsidRDefault="003E276C" w:rsidP="005350D3">
      <w:pPr>
        <w:keepNext/>
        <w:tabs>
          <w:tab w:val="left" w:pos="-720"/>
        </w:tabs>
        <w:suppressAutoHyphens/>
        <w:rPr>
          <w:sz w:val="24"/>
          <w:szCs w:val="24"/>
        </w:rPr>
      </w:pPr>
    </w:p>
    <w:p w:rsidR="003E276C" w:rsidRPr="00B43D42" w:rsidRDefault="003E276C" w:rsidP="005350D3">
      <w:pPr>
        <w:tabs>
          <w:tab w:val="left" w:pos="-720"/>
        </w:tabs>
        <w:suppressAutoHyphens/>
        <w:rPr>
          <w:sz w:val="24"/>
          <w:szCs w:val="24"/>
        </w:rPr>
      </w:pPr>
      <w:r w:rsidRPr="00B43D42">
        <w:rPr>
          <w:sz w:val="24"/>
          <w:szCs w:val="24"/>
        </w:rPr>
        <w:tab/>
        <w:t>Not applicable</w:t>
      </w:r>
      <w:r w:rsidR="00706CB1">
        <w:rPr>
          <w:sz w:val="24"/>
          <w:szCs w:val="24"/>
        </w:rPr>
        <w:t xml:space="preserve">; no information of a sensitive nature is required. </w:t>
      </w:r>
      <w:r w:rsidR="00237268">
        <w:rPr>
          <w:sz w:val="24"/>
          <w:szCs w:val="24"/>
        </w:rPr>
        <w:t xml:space="preserve">  The information collection does not collect any Personally Identifiable Information (PII).  </w:t>
      </w:r>
    </w:p>
    <w:p w:rsidR="003E276C" w:rsidRPr="00B43D42" w:rsidRDefault="003E276C" w:rsidP="005350D3">
      <w:pPr>
        <w:tabs>
          <w:tab w:val="left" w:pos="-720"/>
        </w:tabs>
        <w:suppressAutoHyphens/>
        <w:rPr>
          <w:sz w:val="24"/>
          <w:szCs w:val="24"/>
        </w:rPr>
      </w:pPr>
    </w:p>
    <w:p w:rsidR="005D4660" w:rsidRPr="00166C8F" w:rsidRDefault="003E276C" w:rsidP="005D4660">
      <w:pPr>
        <w:keepNext/>
        <w:tabs>
          <w:tab w:val="left" w:pos="-720"/>
          <w:tab w:val="left" w:pos="0"/>
          <w:tab w:val="left" w:pos="720"/>
        </w:tabs>
        <w:suppressAutoHyphens/>
        <w:ind w:left="1440" w:hanging="1440"/>
        <w:rPr>
          <w:b/>
          <w:sz w:val="24"/>
          <w:szCs w:val="24"/>
        </w:rPr>
      </w:pPr>
      <w:r w:rsidRPr="00166C8F">
        <w:rPr>
          <w:b/>
          <w:sz w:val="24"/>
          <w:szCs w:val="24"/>
        </w:rPr>
        <w:tab/>
        <w:t>12.</w:t>
      </w:r>
      <w:r w:rsidRPr="00166C8F">
        <w:rPr>
          <w:b/>
          <w:sz w:val="24"/>
          <w:szCs w:val="24"/>
        </w:rPr>
        <w:tab/>
      </w:r>
      <w:r w:rsidR="00166C8F" w:rsidRPr="00166C8F">
        <w:rPr>
          <w:b/>
          <w:sz w:val="24"/>
          <w:szCs w:val="24"/>
        </w:rPr>
        <w:t>Burden of Information Collection</w:t>
      </w:r>
      <w:r w:rsidR="005D4660">
        <w:rPr>
          <w:b/>
          <w:sz w:val="24"/>
          <w:szCs w:val="24"/>
        </w:rPr>
        <w:t xml:space="preserve"> </w:t>
      </w:r>
    </w:p>
    <w:p w:rsidR="003E276C" w:rsidRPr="00B43D42" w:rsidRDefault="003E276C" w:rsidP="005350D3">
      <w:pPr>
        <w:keepNext/>
        <w:tabs>
          <w:tab w:val="left" w:pos="-720"/>
        </w:tabs>
        <w:suppressAutoHyphens/>
        <w:rPr>
          <w:sz w:val="24"/>
          <w:szCs w:val="24"/>
        </w:rPr>
      </w:pPr>
    </w:p>
    <w:p w:rsidR="0094526B" w:rsidRDefault="00061F18" w:rsidP="00710E79">
      <w:pPr>
        <w:rPr>
          <w:i/>
          <w:color w:val="000000"/>
          <w:sz w:val="24"/>
          <w:szCs w:val="24"/>
          <w:u w:val="single"/>
        </w:rPr>
      </w:pPr>
      <w:r w:rsidRPr="007C4E5F">
        <w:rPr>
          <w:color w:val="000000"/>
        </w:rPr>
        <w:tab/>
      </w:r>
      <w:r w:rsidR="0094526B">
        <w:rPr>
          <w:i/>
          <w:color w:val="000000"/>
          <w:sz w:val="24"/>
          <w:szCs w:val="24"/>
          <w:u w:val="single"/>
        </w:rPr>
        <w:t xml:space="preserve">Analysis </w:t>
      </w:r>
      <w:r w:rsidR="00E93CC7">
        <w:rPr>
          <w:i/>
          <w:color w:val="000000"/>
          <w:sz w:val="24"/>
          <w:szCs w:val="24"/>
          <w:u w:val="single"/>
        </w:rPr>
        <w:t xml:space="preserve">of Burden of the Rule </w:t>
      </w:r>
      <w:proofErr w:type="gramStart"/>
      <w:r w:rsidR="0094526B">
        <w:rPr>
          <w:i/>
          <w:color w:val="000000"/>
          <w:sz w:val="24"/>
          <w:szCs w:val="24"/>
          <w:u w:val="single"/>
        </w:rPr>
        <w:t>Before</w:t>
      </w:r>
      <w:proofErr w:type="gramEnd"/>
      <w:r w:rsidR="0094526B">
        <w:rPr>
          <w:i/>
          <w:color w:val="000000"/>
          <w:sz w:val="24"/>
          <w:szCs w:val="24"/>
          <w:u w:val="single"/>
        </w:rPr>
        <w:t xml:space="preserve"> Current Amendments</w:t>
      </w:r>
    </w:p>
    <w:p w:rsidR="0094526B" w:rsidRDefault="0094526B" w:rsidP="00710E79">
      <w:pPr>
        <w:rPr>
          <w:i/>
          <w:color w:val="000000"/>
          <w:sz w:val="24"/>
          <w:szCs w:val="24"/>
          <w:u w:val="single"/>
        </w:rPr>
      </w:pPr>
    </w:p>
    <w:p w:rsidR="00CE4344" w:rsidRDefault="0066688A" w:rsidP="0094526B">
      <w:pPr>
        <w:ind w:firstLine="720"/>
        <w:rPr>
          <w:color w:val="000000"/>
          <w:sz w:val="24"/>
          <w:szCs w:val="24"/>
        </w:rPr>
      </w:pPr>
      <w:r>
        <w:rPr>
          <w:color w:val="000000"/>
          <w:sz w:val="24"/>
          <w:szCs w:val="24"/>
        </w:rPr>
        <w:t xml:space="preserve">When the Commission adopted Rule 17g-5 in June 2007, </w:t>
      </w:r>
      <w:r w:rsidR="00EF06D7">
        <w:rPr>
          <w:color w:val="000000"/>
          <w:sz w:val="24"/>
          <w:szCs w:val="24"/>
        </w:rPr>
        <w:t xml:space="preserve">the rule consisted of paragraphs (a)(1) and (a)(2), providing that an NRSRO cannot have a conflict of interest unless it is disclosed and the NRSRO has written policies and procedures to address and manage </w:t>
      </w:r>
      <w:r w:rsidR="00A41385">
        <w:rPr>
          <w:color w:val="000000"/>
          <w:sz w:val="24"/>
          <w:szCs w:val="24"/>
        </w:rPr>
        <w:t xml:space="preserve">the </w:t>
      </w:r>
      <w:r w:rsidR="00EF06D7">
        <w:rPr>
          <w:color w:val="000000"/>
          <w:sz w:val="24"/>
          <w:szCs w:val="24"/>
        </w:rPr>
        <w:t xml:space="preserve">conflict in accordance with section 15E(h) of the Exchange Act ; </w:t>
      </w:r>
      <w:r w:rsidR="00BE257B">
        <w:rPr>
          <w:color w:val="000000"/>
          <w:sz w:val="24"/>
          <w:szCs w:val="24"/>
        </w:rPr>
        <w:t xml:space="preserve">paragraphs </w:t>
      </w:r>
      <w:r w:rsidR="00EF06D7">
        <w:rPr>
          <w:color w:val="000000"/>
          <w:sz w:val="24"/>
          <w:szCs w:val="24"/>
        </w:rPr>
        <w:t xml:space="preserve">(b)(1) through (b)(9), listing conflicts of interest that must be disclosed and managed; </w:t>
      </w:r>
      <w:r w:rsidR="00BE257B">
        <w:rPr>
          <w:color w:val="000000"/>
          <w:sz w:val="24"/>
          <w:szCs w:val="24"/>
        </w:rPr>
        <w:t xml:space="preserve">paragraphs </w:t>
      </w:r>
      <w:r w:rsidR="00EF06D7">
        <w:rPr>
          <w:color w:val="000000"/>
          <w:sz w:val="24"/>
          <w:szCs w:val="24"/>
        </w:rPr>
        <w:t xml:space="preserve">(c)(1) through (c)(4), listing conflicts of interest that are absolutely prohibited; and </w:t>
      </w:r>
      <w:r w:rsidR="00BE257B">
        <w:rPr>
          <w:color w:val="000000"/>
          <w:sz w:val="24"/>
          <w:szCs w:val="24"/>
        </w:rPr>
        <w:t xml:space="preserve">paragraph </w:t>
      </w:r>
      <w:r w:rsidR="00EF06D7">
        <w:rPr>
          <w:color w:val="000000"/>
          <w:sz w:val="24"/>
          <w:szCs w:val="24"/>
        </w:rPr>
        <w:t>(d)</w:t>
      </w:r>
      <w:r w:rsidR="00460FA9">
        <w:rPr>
          <w:color w:val="000000"/>
          <w:sz w:val="24"/>
          <w:szCs w:val="24"/>
        </w:rPr>
        <w:t>, defining “person within” an NRSRO</w:t>
      </w:r>
      <w:r w:rsidR="00EF06D7">
        <w:rPr>
          <w:color w:val="000000"/>
          <w:sz w:val="24"/>
          <w:szCs w:val="24"/>
        </w:rPr>
        <w:t>.</w:t>
      </w:r>
      <w:r w:rsidR="00460FA9">
        <w:rPr>
          <w:rStyle w:val="FootnoteReference"/>
          <w:color w:val="000000"/>
          <w:sz w:val="24"/>
          <w:szCs w:val="24"/>
        </w:rPr>
        <w:footnoteReference w:id="24"/>
      </w:r>
      <w:r w:rsidR="00EF06D7">
        <w:rPr>
          <w:color w:val="000000"/>
          <w:sz w:val="24"/>
          <w:szCs w:val="24"/>
        </w:rPr>
        <w:t xml:space="preserve">  T</w:t>
      </w:r>
      <w:r>
        <w:rPr>
          <w:color w:val="000000"/>
          <w:sz w:val="24"/>
          <w:szCs w:val="24"/>
        </w:rPr>
        <w:t>he Commission did not estimate a PRA burden for the rule.</w:t>
      </w:r>
      <w:r>
        <w:rPr>
          <w:rStyle w:val="FootnoteReference"/>
          <w:color w:val="000000"/>
          <w:sz w:val="24"/>
          <w:szCs w:val="24"/>
        </w:rPr>
        <w:footnoteReference w:id="25"/>
      </w:r>
      <w:r>
        <w:rPr>
          <w:color w:val="000000"/>
          <w:sz w:val="24"/>
          <w:szCs w:val="24"/>
        </w:rPr>
        <w:t xml:space="preserve"> </w:t>
      </w:r>
      <w:r w:rsidR="00B2089E">
        <w:rPr>
          <w:color w:val="000000"/>
          <w:sz w:val="24"/>
          <w:szCs w:val="24"/>
        </w:rPr>
        <w:t>The Commission amended Rule 17g-5 in February 2009 to add new prohibited conflicts of interest in paragraphs (c)(5) through (c)(7) of Rule 17g-5.</w:t>
      </w:r>
      <w:r w:rsidR="00B2089E">
        <w:rPr>
          <w:rStyle w:val="FootnoteReference"/>
          <w:color w:val="000000"/>
          <w:sz w:val="24"/>
          <w:szCs w:val="24"/>
        </w:rPr>
        <w:footnoteReference w:id="26"/>
      </w:r>
      <w:r w:rsidR="00B2089E">
        <w:rPr>
          <w:color w:val="000000"/>
          <w:sz w:val="24"/>
          <w:szCs w:val="24"/>
        </w:rPr>
        <w:t xml:space="preserve">  The Commission did not estimate a PRA burden for the amendments.</w:t>
      </w:r>
      <w:r w:rsidR="00B2089E">
        <w:rPr>
          <w:rStyle w:val="FootnoteReference"/>
          <w:color w:val="000000"/>
          <w:sz w:val="24"/>
          <w:szCs w:val="24"/>
        </w:rPr>
        <w:footnoteReference w:id="27"/>
      </w:r>
      <w:r w:rsidR="00795B43">
        <w:rPr>
          <w:color w:val="000000"/>
          <w:sz w:val="24"/>
          <w:szCs w:val="24"/>
        </w:rPr>
        <w:t xml:space="preserve">  </w:t>
      </w:r>
    </w:p>
    <w:p w:rsidR="00CE4344" w:rsidRDefault="00CE4344" w:rsidP="0094526B">
      <w:pPr>
        <w:ind w:firstLine="720"/>
        <w:rPr>
          <w:color w:val="000000"/>
          <w:sz w:val="24"/>
          <w:szCs w:val="24"/>
        </w:rPr>
      </w:pPr>
    </w:p>
    <w:p w:rsidR="00960B77" w:rsidRDefault="00795B43" w:rsidP="005B730B">
      <w:pPr>
        <w:pStyle w:val="Default"/>
        <w:ind w:firstLine="720"/>
      </w:pPr>
      <w:r w:rsidRPr="00CE4344">
        <w:t>The Commission amended Rule 17g-5 in November 2009</w:t>
      </w:r>
      <w:r w:rsidR="0094526B" w:rsidRPr="00CE4344">
        <w:t xml:space="preserve"> to add new paragraphs (a</w:t>
      </w:r>
      <w:proofErr w:type="gramStart"/>
      <w:r w:rsidR="0094526B" w:rsidRPr="00CE4344">
        <w:t>)(</w:t>
      </w:r>
      <w:proofErr w:type="gramEnd"/>
      <w:r w:rsidR="0094526B" w:rsidRPr="00CE4344">
        <w:t>3), (b)(9) and (e)</w:t>
      </w:r>
      <w:r w:rsidRPr="00CE4344">
        <w:t>.</w:t>
      </w:r>
      <w:r w:rsidR="005C0AD9" w:rsidRPr="00CE4344">
        <w:rPr>
          <w:rStyle w:val="FootnoteReference"/>
        </w:rPr>
        <w:footnoteReference w:id="28"/>
      </w:r>
      <w:r w:rsidR="00CE4344" w:rsidRPr="00CE4344">
        <w:t xml:space="preserve">  The amendment adding paragraph (b</w:t>
      </w:r>
      <w:proofErr w:type="gramStart"/>
      <w:r w:rsidR="00CE4344" w:rsidRPr="00CE4344">
        <w:t>)(</w:t>
      </w:r>
      <w:proofErr w:type="gramEnd"/>
      <w:r w:rsidR="00CE4344" w:rsidRPr="00CE4344">
        <w:t>9) added a</w:t>
      </w:r>
      <w:r w:rsidR="00DE5615">
        <w:t xml:space="preserve"> </w:t>
      </w:r>
      <w:r w:rsidR="00CE4344" w:rsidRPr="00CE4344">
        <w:t xml:space="preserve">conflict of interest for NRSROs to disclose and manage: issuing or maintaining a credit rating for a security or money market instrument issued by an asset pool or as part of an asset-backed securities transaction that was paid for by the issuer, sponsor, or underwriter </w:t>
      </w:r>
      <w:r w:rsidR="00DE5615">
        <w:t xml:space="preserve">(“arranger”) </w:t>
      </w:r>
      <w:r w:rsidR="00CE4344" w:rsidRPr="00CE4344">
        <w:t xml:space="preserve">of the security or money market instrument.  Under paragraph (a)(3) of Rule 17g-5, an NRSRO is prohibited from issuing a credit rating for a structured finance product unless certain information about the transaction and the </w:t>
      </w:r>
      <w:r w:rsidR="00CE4344" w:rsidRPr="00CE4344">
        <w:lastRenderedPageBreak/>
        <w:t>assets underlying the structured finance product are disclosed or arranged to be disclosed by the NRSRO.  Specifically, the amendments require an NRSRO that is hired by arrangers to perform credit ratings for structured finance products to disclose to other NRSROs the deals for which it is in the process of determining such credit ratings and to obtain written representations from arrangers that the arrangers will provide the same information given to the hired NRSRO to other NRSROs.</w:t>
      </w:r>
      <w:r w:rsidR="00DE5615">
        <w:t xml:space="preserve"> </w:t>
      </w:r>
      <w:r w:rsidR="00CE4344" w:rsidRPr="00CE4344">
        <w:t xml:space="preserve"> An NRSRO rating such products will need to disclose to other NRSROs the following information on a password protected Internet </w:t>
      </w:r>
      <w:r w:rsidR="00DE5615">
        <w:t>website</w:t>
      </w:r>
      <w:r w:rsidR="00CE4344" w:rsidRPr="00CE4344">
        <w:t xml:space="preserve">: a list of each such security or money market instrument for which it is currently in the process of determining an initial credit rating in chronological order and identifying the type of security or money market instrument, the name of the issuer, the date the rating process was initiated, and the Internet </w:t>
      </w:r>
      <w:r w:rsidR="00DE5615">
        <w:t>website</w:t>
      </w:r>
      <w:r w:rsidR="00CE4344" w:rsidRPr="00CE4344">
        <w:t xml:space="preserve"> address where the issuer, </w:t>
      </w:r>
      <w:r w:rsidR="00CE4344" w:rsidRPr="00DE5615">
        <w:t>sponsor, or underwriter of the security or money market instrument represents that the information described in paragraphs (a)(3)(iii)(C) and (D) of Rule 17g-5 as amended can be accessed.</w:t>
      </w:r>
      <w:r w:rsidR="00DE5615" w:rsidRPr="00DE5615">
        <w:t xml:space="preserve">  </w:t>
      </w:r>
      <w:r w:rsidR="00DE5615">
        <w:t>Under</w:t>
      </w:r>
      <w:r w:rsidR="00DE5615" w:rsidRPr="00DE5615">
        <w:t xml:space="preserve"> paragraph (e) </w:t>
      </w:r>
      <w:r w:rsidR="00DE5615">
        <w:t>of</w:t>
      </w:r>
      <w:r w:rsidR="00DE5615" w:rsidRPr="00DE5615">
        <w:t xml:space="preserve"> Rule 17g-5</w:t>
      </w:r>
      <w:r w:rsidR="00DE5615">
        <w:t>, a</w:t>
      </w:r>
      <w:r w:rsidR="00DE5615" w:rsidRPr="00DE5615">
        <w:t xml:space="preserve">n NRSRO that wishes to access information on another NRSRO’s Internet </w:t>
      </w:r>
      <w:r w:rsidR="00DE5615">
        <w:t>website</w:t>
      </w:r>
      <w:r w:rsidR="00DE5615" w:rsidRPr="00DE5615">
        <w:t xml:space="preserve"> or on an arranger’s Internet </w:t>
      </w:r>
      <w:r w:rsidR="00DE5615">
        <w:t>website</w:t>
      </w:r>
      <w:r w:rsidR="00DE5615" w:rsidRPr="00DE5615">
        <w:t xml:space="preserve"> pursuant to Rule 17g-5(a)(3) </w:t>
      </w:r>
      <w:r w:rsidR="00DE5615">
        <w:t>i</w:t>
      </w:r>
      <w:r w:rsidR="00DE5615" w:rsidRPr="00DE5615">
        <w:t>s required to provide the Commission with an annual certification.</w:t>
      </w:r>
      <w:r w:rsidR="00960B77" w:rsidRPr="00960B77">
        <w:t xml:space="preserve">  </w:t>
      </w:r>
    </w:p>
    <w:p w:rsidR="00960B77" w:rsidRDefault="00960B77" w:rsidP="00DE5615">
      <w:pPr>
        <w:pStyle w:val="BodyText"/>
        <w:ind w:firstLine="720"/>
        <w:jc w:val="left"/>
      </w:pPr>
    </w:p>
    <w:p w:rsidR="00760BD7" w:rsidRDefault="009C6910" w:rsidP="00DE5615">
      <w:pPr>
        <w:pStyle w:val="BodyText"/>
        <w:ind w:firstLine="720"/>
        <w:jc w:val="left"/>
      </w:pPr>
      <w:r>
        <w:t>Regarding</w:t>
      </w:r>
      <w:r w:rsidR="00960B77" w:rsidRPr="00960B77">
        <w:t xml:space="preserve"> paragraph (a)(3) of Rule 17g-5, </w:t>
      </w:r>
      <w:r>
        <w:t>t</w:t>
      </w:r>
      <w:r w:rsidR="00960B77" w:rsidRPr="00960B77">
        <w:t xml:space="preserve">he Commission previously estimated that the total number of structured finance ratings issued by all NRSROs in a given year would be 14,880 and that it would take 1 hour per transaction to make the </w:t>
      </w:r>
      <w:r>
        <w:t xml:space="preserve">required </w:t>
      </w:r>
      <w:r w:rsidR="00960B77" w:rsidRPr="00960B77">
        <w:t>information publicly available</w:t>
      </w:r>
      <w:r w:rsidR="00DD0FE8">
        <w:t>, for a total annual burden of 14,880 hours</w:t>
      </w:r>
      <w:r w:rsidR="00960B77" w:rsidRPr="00960B77">
        <w:t xml:space="preserve">.  </w:t>
      </w:r>
      <w:r w:rsidR="00960B77">
        <w:t xml:space="preserve">The Commission arrived at the 14,880 </w:t>
      </w:r>
      <w:r w:rsidR="00DD0FE8">
        <w:t>estimate</w:t>
      </w:r>
      <w:r w:rsidR="00960B77">
        <w:t xml:space="preserve"> </w:t>
      </w:r>
      <w:r w:rsidR="005A0B9A">
        <w:t>as follows:  the Commission estimated that there were approximately 4,000 new</w:t>
      </w:r>
      <w:r>
        <w:t xml:space="preserve"> structured finance </w:t>
      </w:r>
      <w:r w:rsidR="005A0B9A">
        <w:t>deals per year, and that, b</w:t>
      </w:r>
      <w:r w:rsidR="00960B77">
        <w:t>ased on the number of outstanding structured finance ratings of all NRSROs, that the three largest NRSROs account for 97% of the market for structured finance ratings.</w:t>
      </w:r>
      <w:r w:rsidR="005A0B9A">
        <w:t xml:space="preserve">  Therefore, the Commission estimated that each of the three largest NRSROs would rate approximately 3,880 structured finance products per year</w:t>
      </w:r>
      <w:r>
        <w:t>,</w:t>
      </w:r>
      <w:r w:rsidR="005A0B9A">
        <w:rPr>
          <w:rStyle w:val="FootnoteReference"/>
        </w:rPr>
        <w:footnoteReference w:id="29"/>
      </w:r>
      <w:r>
        <w:t xml:space="preserve"> that there would be approximately 30 NRSROs, </w:t>
      </w:r>
      <w:r w:rsidR="005A0B9A">
        <w:t xml:space="preserve">and that the remaining </w:t>
      </w:r>
      <w:r>
        <w:t xml:space="preserve">27 </w:t>
      </w:r>
      <w:r w:rsidR="005A0B9A">
        <w:t>NRSROs would</w:t>
      </w:r>
      <w:r>
        <w:t xml:space="preserve"> each </w:t>
      </w:r>
      <w:r w:rsidR="005A0B9A">
        <w:t xml:space="preserve">rate approximately </w:t>
      </w:r>
      <w:r w:rsidR="004469FD">
        <w:t>120 structured finance products per year.</w:t>
      </w:r>
      <w:r w:rsidR="004469FD">
        <w:rPr>
          <w:rStyle w:val="FootnoteReference"/>
        </w:rPr>
        <w:footnoteReference w:id="30"/>
      </w:r>
      <w:r w:rsidR="004469FD">
        <w:t xml:space="preserve">   </w:t>
      </w:r>
    </w:p>
    <w:p w:rsidR="009C6910" w:rsidRDefault="009C6910" w:rsidP="00DE5615">
      <w:pPr>
        <w:pStyle w:val="BodyText"/>
        <w:ind w:firstLine="720"/>
        <w:jc w:val="left"/>
      </w:pPr>
    </w:p>
    <w:p w:rsidR="00960B77" w:rsidRDefault="004469FD" w:rsidP="00DE5615">
      <w:pPr>
        <w:pStyle w:val="BodyText"/>
        <w:ind w:firstLine="720"/>
        <w:jc w:val="left"/>
      </w:pPr>
      <w:r>
        <w:t xml:space="preserve">In the </w:t>
      </w:r>
      <w:r w:rsidR="0076304C">
        <w:t>A</w:t>
      </w:r>
      <w:r>
        <w:t xml:space="preserve">dopting </w:t>
      </w:r>
      <w:r w:rsidR="0076304C">
        <w:t>R</w:t>
      </w:r>
      <w:r>
        <w:t>elease, the Commission estimate</w:t>
      </w:r>
      <w:r w:rsidR="00C47A35">
        <w:t>d</w:t>
      </w:r>
      <w:r>
        <w:t xml:space="preserve"> that the three largest NRSROs account for 90% of the </w:t>
      </w:r>
      <w:r w:rsidR="00760BD7">
        <w:t>structured finance market</w:t>
      </w:r>
      <w:r w:rsidR="00DD0FE8">
        <w:t xml:space="preserve"> and that there were approximately 715 offerings of asset-backed securities in calendar year 2013</w:t>
      </w:r>
      <w:r w:rsidR="00760BD7">
        <w:t>.</w:t>
      </w:r>
      <w:r w:rsidR="00DD0FE8">
        <w:rPr>
          <w:rStyle w:val="FootnoteReference"/>
        </w:rPr>
        <w:footnoteReference w:id="31"/>
      </w:r>
      <w:r w:rsidR="00760BD7">
        <w:t xml:space="preserve">  T</w:t>
      </w:r>
      <w:r>
        <w:t xml:space="preserve">herefore, </w:t>
      </w:r>
      <w:r w:rsidR="005B730B">
        <w:t>the Commission estimates that</w:t>
      </w:r>
      <w:r w:rsidR="005B730B" w:rsidRPr="005B730B">
        <w:t xml:space="preserve"> </w:t>
      </w:r>
      <w:r w:rsidR="005B730B" w:rsidRPr="00960B77">
        <w:t xml:space="preserve">the total number of structured finance ratings issued by all </w:t>
      </w:r>
      <w:r w:rsidR="00760BD7">
        <w:t xml:space="preserve">10 </w:t>
      </w:r>
      <w:r w:rsidR="005B730B" w:rsidRPr="00960B77">
        <w:t xml:space="preserve">NRSROs in a given year </w:t>
      </w:r>
      <w:r w:rsidR="005B730B">
        <w:t xml:space="preserve">is </w:t>
      </w:r>
      <w:r>
        <w:t xml:space="preserve">approximately </w:t>
      </w:r>
      <w:r w:rsidR="00DD0FE8">
        <w:t>2,436</w:t>
      </w:r>
      <w:r w:rsidR="0076304C">
        <w:t>.</w:t>
      </w:r>
      <w:r>
        <w:rPr>
          <w:rStyle w:val="FootnoteReference"/>
        </w:rPr>
        <w:footnoteReference w:id="32"/>
      </w:r>
      <w:r w:rsidR="005B730B">
        <w:t xml:space="preserve">  The Commission </w:t>
      </w:r>
      <w:r w:rsidR="009C6910">
        <w:t xml:space="preserve">therefore </w:t>
      </w:r>
      <w:r w:rsidR="005B730B">
        <w:t xml:space="preserve">estimates that the </w:t>
      </w:r>
      <w:r w:rsidR="009C6910">
        <w:t xml:space="preserve">corresponding </w:t>
      </w:r>
      <w:r w:rsidR="005B730B">
        <w:t xml:space="preserve">annual </w:t>
      </w:r>
      <w:r w:rsidR="002939E8">
        <w:t xml:space="preserve">disclosure </w:t>
      </w:r>
      <w:r w:rsidR="005B730B">
        <w:t xml:space="preserve">burden for NRSROs is approximately </w:t>
      </w:r>
      <w:r w:rsidR="00DD0FE8">
        <w:t>2,436</w:t>
      </w:r>
      <w:r w:rsidR="005B730B">
        <w:t xml:space="preserve"> hours industry-wide.</w:t>
      </w:r>
      <w:r w:rsidR="005B730B">
        <w:rPr>
          <w:rStyle w:val="FootnoteReference"/>
        </w:rPr>
        <w:footnoteReference w:id="33"/>
      </w:r>
    </w:p>
    <w:p w:rsidR="0076304C" w:rsidRDefault="0076304C" w:rsidP="00DE5615">
      <w:pPr>
        <w:pStyle w:val="BodyText"/>
        <w:ind w:firstLine="720"/>
        <w:jc w:val="left"/>
      </w:pPr>
    </w:p>
    <w:p w:rsidR="0076304C" w:rsidRPr="00C16378" w:rsidRDefault="0076304C" w:rsidP="0083385D">
      <w:pPr>
        <w:ind w:firstLine="720"/>
        <w:rPr>
          <w:color w:val="000000"/>
        </w:rPr>
      </w:pPr>
      <w:r w:rsidRPr="00C16378">
        <w:rPr>
          <w:sz w:val="24"/>
          <w:szCs w:val="24"/>
        </w:rPr>
        <w:t>Paragraph (a</w:t>
      </w:r>
      <w:proofErr w:type="gramStart"/>
      <w:r w:rsidRPr="00C16378">
        <w:rPr>
          <w:sz w:val="24"/>
          <w:szCs w:val="24"/>
        </w:rPr>
        <w:t>)(</w:t>
      </w:r>
      <w:proofErr w:type="gramEnd"/>
      <w:r w:rsidRPr="00C16378">
        <w:rPr>
          <w:sz w:val="24"/>
          <w:szCs w:val="24"/>
        </w:rPr>
        <w:t xml:space="preserve">3) of Rule 17g-5 also requires arrangers to disclose certain information.  The Commission previously estimated that there are approximately 200 arrangers subject to the rule.  The Commission estimates that it would take approximately 300 hours to develop a system, as well as the policies and procedures, for the disclosures required by Rule 17g-5.  This </w:t>
      </w:r>
      <w:r w:rsidRPr="00C16378">
        <w:rPr>
          <w:sz w:val="24"/>
          <w:szCs w:val="24"/>
        </w:rPr>
        <w:lastRenderedPageBreak/>
        <w:t xml:space="preserve">would result in a total one-time </w:t>
      </w:r>
      <w:r w:rsidR="002939E8">
        <w:rPr>
          <w:sz w:val="24"/>
          <w:szCs w:val="24"/>
        </w:rPr>
        <w:t xml:space="preserve">disclosure </w:t>
      </w:r>
      <w:r w:rsidRPr="00C16378">
        <w:rPr>
          <w:sz w:val="24"/>
          <w:szCs w:val="24"/>
        </w:rPr>
        <w:t>hour burden of 60,000 hours for 200 respondents.</w:t>
      </w:r>
      <w:r w:rsidRPr="00C16378">
        <w:rPr>
          <w:rStyle w:val="FootnoteReference"/>
          <w:sz w:val="24"/>
          <w:szCs w:val="24"/>
        </w:rPr>
        <w:footnoteReference w:id="34"/>
      </w:r>
      <w:r w:rsidRPr="00C16378">
        <w:rPr>
          <w:sz w:val="24"/>
          <w:szCs w:val="24"/>
        </w:rPr>
        <w:t xml:space="preserve">  In the Adopting Release, the Commission estimate</w:t>
      </w:r>
      <w:r w:rsidR="001F100F">
        <w:rPr>
          <w:sz w:val="24"/>
          <w:szCs w:val="24"/>
        </w:rPr>
        <w:t>d</w:t>
      </w:r>
      <w:r w:rsidRPr="00C16378">
        <w:rPr>
          <w:sz w:val="24"/>
          <w:szCs w:val="24"/>
        </w:rPr>
        <w:t xml:space="preserve"> that there are approximately </w:t>
      </w:r>
      <w:r w:rsidRPr="00C16378">
        <w:rPr>
          <w:color w:val="000000"/>
          <w:sz w:val="24"/>
          <w:szCs w:val="24"/>
        </w:rPr>
        <w:t>336 issuers, sponsors, or underwriters of asset-backed securities.</w:t>
      </w:r>
      <w:r w:rsidR="005B730B" w:rsidRPr="00C16378">
        <w:rPr>
          <w:color w:val="000000"/>
          <w:sz w:val="24"/>
          <w:szCs w:val="24"/>
        </w:rPr>
        <w:t xml:space="preserve">  Therefore, the one-time burden for the additional 136 respondents is approximately 40,800 hours.</w:t>
      </w:r>
      <w:r w:rsidR="005B730B" w:rsidRPr="00C16378">
        <w:rPr>
          <w:rStyle w:val="FootnoteReference"/>
          <w:color w:val="000000"/>
          <w:sz w:val="24"/>
          <w:szCs w:val="24"/>
        </w:rPr>
        <w:footnoteReference w:id="35"/>
      </w:r>
      <w:r w:rsidR="005B730B" w:rsidRPr="00C16378">
        <w:rPr>
          <w:color w:val="000000"/>
          <w:sz w:val="24"/>
          <w:szCs w:val="24"/>
        </w:rPr>
        <w:t xml:space="preserve">  </w:t>
      </w:r>
      <w:r w:rsidR="005B730B" w:rsidRPr="00C16378">
        <w:rPr>
          <w:sz w:val="24"/>
          <w:szCs w:val="24"/>
        </w:rPr>
        <w:t>T</w:t>
      </w:r>
      <w:r w:rsidR="005B730B" w:rsidRPr="00C16378">
        <w:rPr>
          <w:spacing w:val="-3"/>
          <w:sz w:val="24"/>
          <w:szCs w:val="24"/>
        </w:rPr>
        <w:t xml:space="preserve">he Commission therefore estimates that, over a three-year period, the total </w:t>
      </w:r>
      <w:r w:rsidR="002939E8">
        <w:rPr>
          <w:spacing w:val="-3"/>
          <w:sz w:val="24"/>
          <w:szCs w:val="24"/>
        </w:rPr>
        <w:t xml:space="preserve">industry-wide </w:t>
      </w:r>
      <w:r w:rsidR="005B730B" w:rsidRPr="00C16378">
        <w:rPr>
          <w:spacing w:val="-3"/>
          <w:sz w:val="24"/>
          <w:szCs w:val="24"/>
        </w:rPr>
        <w:t>one-time</w:t>
      </w:r>
      <w:r w:rsidR="00C16378">
        <w:rPr>
          <w:spacing w:val="-3"/>
          <w:sz w:val="24"/>
          <w:szCs w:val="24"/>
        </w:rPr>
        <w:t xml:space="preserve"> burden would be approximately 13,600 hours</w:t>
      </w:r>
      <w:r w:rsidR="005B730B" w:rsidRPr="00C16378">
        <w:rPr>
          <w:spacing w:val="-3"/>
          <w:sz w:val="24"/>
          <w:szCs w:val="24"/>
        </w:rPr>
        <w:t xml:space="preserve"> per year when annualized over three years.</w:t>
      </w:r>
      <w:r w:rsidR="005B730B" w:rsidRPr="00C16378">
        <w:rPr>
          <w:rStyle w:val="FootnoteReference"/>
          <w:spacing w:val="-3"/>
          <w:sz w:val="24"/>
          <w:szCs w:val="24"/>
        </w:rPr>
        <w:footnoteReference w:id="36"/>
      </w:r>
      <w:r w:rsidR="005B730B" w:rsidRPr="00C16378">
        <w:rPr>
          <w:spacing w:val="-3"/>
          <w:sz w:val="24"/>
          <w:szCs w:val="24"/>
        </w:rPr>
        <w:t xml:space="preserve">  Thus, the total annual</w:t>
      </w:r>
      <w:r w:rsidR="002939E8">
        <w:rPr>
          <w:spacing w:val="-3"/>
          <w:sz w:val="24"/>
          <w:szCs w:val="24"/>
        </w:rPr>
        <w:t xml:space="preserve"> disclosure</w:t>
      </w:r>
      <w:r w:rsidR="005B730B" w:rsidRPr="00C16378">
        <w:rPr>
          <w:spacing w:val="-3"/>
          <w:sz w:val="24"/>
          <w:szCs w:val="24"/>
        </w:rPr>
        <w:t xml:space="preserve"> burden for each </w:t>
      </w:r>
      <w:r w:rsidR="002939E8">
        <w:rPr>
          <w:spacing w:val="-3"/>
          <w:sz w:val="24"/>
          <w:szCs w:val="24"/>
        </w:rPr>
        <w:t xml:space="preserve">arranger </w:t>
      </w:r>
      <w:r w:rsidR="005B730B" w:rsidRPr="00C16378">
        <w:rPr>
          <w:spacing w:val="-3"/>
          <w:sz w:val="24"/>
          <w:szCs w:val="24"/>
        </w:rPr>
        <w:t>would be approximately</w:t>
      </w:r>
      <w:r w:rsidR="002939E8">
        <w:rPr>
          <w:spacing w:val="-3"/>
          <w:sz w:val="24"/>
          <w:szCs w:val="24"/>
        </w:rPr>
        <w:t xml:space="preserve"> 100</w:t>
      </w:r>
      <w:r w:rsidR="005B730B" w:rsidRPr="00C16378">
        <w:rPr>
          <w:spacing w:val="-3"/>
          <w:sz w:val="24"/>
          <w:szCs w:val="24"/>
        </w:rPr>
        <w:t xml:space="preserve"> hours.</w:t>
      </w:r>
      <w:r w:rsidR="005B730B" w:rsidRPr="00C16378">
        <w:rPr>
          <w:rStyle w:val="FootnoteReference"/>
          <w:spacing w:val="-3"/>
          <w:sz w:val="24"/>
          <w:szCs w:val="24"/>
        </w:rPr>
        <w:footnoteReference w:id="37"/>
      </w:r>
    </w:p>
    <w:p w:rsidR="0076304C" w:rsidRDefault="0076304C" w:rsidP="0076304C">
      <w:pPr>
        <w:pStyle w:val="BodyText"/>
        <w:ind w:firstLine="720"/>
        <w:jc w:val="left"/>
        <w:rPr>
          <w:color w:val="000000"/>
        </w:rPr>
      </w:pPr>
    </w:p>
    <w:p w:rsidR="0076304C" w:rsidRPr="0076304C" w:rsidRDefault="0076304C" w:rsidP="0076304C">
      <w:pPr>
        <w:pStyle w:val="BodyText"/>
        <w:ind w:firstLine="720"/>
        <w:jc w:val="left"/>
      </w:pPr>
      <w:r w:rsidRPr="0076304C">
        <w:t>Disclosures are also required for arrangers on a transaction by transaction basis.  The Commission previously estimated that each respondent would arrange approximately 20 new transactions per year and that it would take 1 hour per transaction to make the information publicly available.  Therefore, the Commission estimated that it would take a respondent approximately 20 hours</w:t>
      </w:r>
      <w:r w:rsidRPr="0076304C">
        <w:rPr>
          <w:rStyle w:val="FootnoteReference"/>
        </w:rPr>
        <w:footnoteReference w:id="38"/>
      </w:r>
      <w:r w:rsidRPr="0076304C">
        <w:t xml:space="preserve"> to disclose this information under Rule 17g-5 for a total aggregate annual hour burden of 4,000 hours.</w:t>
      </w:r>
      <w:r w:rsidRPr="0076304C">
        <w:rPr>
          <w:rStyle w:val="FootnoteReference"/>
        </w:rPr>
        <w:footnoteReference w:id="39"/>
      </w:r>
      <w:r>
        <w:t xml:space="preserve"> In the Adopting Release, the Commission estimate</w:t>
      </w:r>
      <w:r w:rsidR="00BA5B6D">
        <w:t>d</w:t>
      </w:r>
      <w:r>
        <w:t xml:space="preserve"> that there are approximately </w:t>
      </w:r>
      <w:r>
        <w:rPr>
          <w:color w:val="000000"/>
        </w:rPr>
        <w:t xml:space="preserve">336 issuers, sponsors, or underwriters of asset-backed securities, for a total annual </w:t>
      </w:r>
      <w:r w:rsidR="002939E8">
        <w:rPr>
          <w:color w:val="000000"/>
        </w:rPr>
        <w:t xml:space="preserve">disclosure </w:t>
      </w:r>
      <w:r>
        <w:rPr>
          <w:color w:val="000000"/>
        </w:rPr>
        <w:t>burden of approximately 6,720 hours.</w:t>
      </w:r>
      <w:r>
        <w:rPr>
          <w:rStyle w:val="FootnoteReference"/>
          <w:color w:val="000000"/>
        </w:rPr>
        <w:footnoteReference w:id="40"/>
      </w:r>
      <w:r>
        <w:t xml:space="preserve"> </w:t>
      </w:r>
    </w:p>
    <w:p w:rsidR="0076304C" w:rsidRPr="0076304C" w:rsidRDefault="0076304C" w:rsidP="0076304C">
      <w:pPr>
        <w:pStyle w:val="BodyText"/>
        <w:ind w:firstLine="720"/>
        <w:jc w:val="left"/>
      </w:pPr>
    </w:p>
    <w:p w:rsidR="0076304C" w:rsidRDefault="0076304C" w:rsidP="00DE5615">
      <w:pPr>
        <w:pStyle w:val="BodyText"/>
        <w:ind w:firstLine="720"/>
        <w:jc w:val="left"/>
      </w:pPr>
      <w:r w:rsidRPr="0076304C">
        <w:t>Paragraph (a)(3) of Rule 17g-5 also requires disclosure of information by arrangers on an ongoing basis that is used by an NRSRO to undertake credit rating surveillance on the structured finance product.  The Commission previously estimated that this disclosure would be required with respect to approximately 125 transactions per month, and that it would take each respondent approximately 0.5 hours per transaction to disclose the information.  Therefore, the Commission estimated that it would take each respondent approximately 750 hours</w:t>
      </w:r>
      <w:r w:rsidRPr="0076304C">
        <w:rPr>
          <w:rStyle w:val="FootnoteReference"/>
        </w:rPr>
        <w:footnoteReference w:id="41"/>
      </w:r>
      <w:r w:rsidRPr="0076304C">
        <w:t xml:space="preserve"> on an annual basis to disclose such information, for a total aggregate annual </w:t>
      </w:r>
      <w:r w:rsidR="002939E8">
        <w:t xml:space="preserve">disclosure </w:t>
      </w:r>
      <w:r w:rsidRPr="0076304C">
        <w:t>burden of 150,000 hours.</w:t>
      </w:r>
      <w:r w:rsidRPr="0076304C">
        <w:rPr>
          <w:rStyle w:val="FootnoteReference"/>
        </w:rPr>
        <w:footnoteReference w:id="42"/>
      </w:r>
      <w:r w:rsidRPr="0076304C">
        <w:t xml:space="preserve"> </w:t>
      </w:r>
      <w:r>
        <w:t>In the Adopting Release, the Commission estimate</w:t>
      </w:r>
      <w:r w:rsidR="00BA5B6D">
        <w:t>d</w:t>
      </w:r>
      <w:r>
        <w:t xml:space="preserve"> that there are approximately </w:t>
      </w:r>
      <w:r>
        <w:rPr>
          <w:color w:val="000000"/>
        </w:rPr>
        <w:t xml:space="preserve">336 issuers, sponsors, or underwriters of asset-backed securities, for a total annual </w:t>
      </w:r>
      <w:r w:rsidR="004677F4">
        <w:rPr>
          <w:color w:val="000000"/>
        </w:rPr>
        <w:t xml:space="preserve">disclosure </w:t>
      </w:r>
      <w:r>
        <w:rPr>
          <w:color w:val="000000"/>
        </w:rPr>
        <w:t>burden of approximately 252,000 hours.</w:t>
      </w:r>
      <w:r>
        <w:rPr>
          <w:rStyle w:val="FootnoteReference"/>
          <w:color w:val="000000"/>
        </w:rPr>
        <w:footnoteReference w:id="43"/>
      </w:r>
    </w:p>
    <w:p w:rsidR="00960B77" w:rsidRDefault="00960B77" w:rsidP="00DE5615">
      <w:pPr>
        <w:pStyle w:val="BodyText"/>
        <w:ind w:firstLine="720"/>
        <w:jc w:val="left"/>
      </w:pPr>
    </w:p>
    <w:p w:rsidR="00BA5B6D" w:rsidRDefault="00960B77" w:rsidP="0062123B">
      <w:pPr>
        <w:pStyle w:val="BodyText"/>
        <w:ind w:firstLine="720"/>
        <w:jc w:val="left"/>
      </w:pPr>
      <w:r>
        <w:t>Regarding paragraph (e) of Rule 17g-5, t</w:t>
      </w:r>
      <w:r w:rsidR="00DE5615" w:rsidRPr="00DE5615">
        <w:t>he Commission estimate</w:t>
      </w:r>
      <w:r>
        <w:t>d</w:t>
      </w:r>
      <w:r w:rsidR="00DE5615" w:rsidRPr="00DE5615">
        <w:t xml:space="preserve"> that it would take each NRSRO approximately 2 hours to complete the certification, resulting in a total </w:t>
      </w:r>
      <w:r w:rsidR="00DF7B2C">
        <w:t>industry-wide</w:t>
      </w:r>
      <w:r w:rsidR="00DE5615" w:rsidRPr="00DE5615">
        <w:t xml:space="preserve"> annual </w:t>
      </w:r>
      <w:r w:rsidR="00DF7B2C">
        <w:t>reporting</w:t>
      </w:r>
      <w:r w:rsidR="00DE5615" w:rsidRPr="00DE5615">
        <w:t xml:space="preserve"> burden </w:t>
      </w:r>
      <w:r w:rsidR="0062123B">
        <w:t xml:space="preserve">for 10 NRSROs </w:t>
      </w:r>
      <w:r w:rsidR="00DE5615" w:rsidRPr="00DE5615">
        <w:t>of 20 hours.</w:t>
      </w:r>
      <w:r w:rsidR="00DE5615" w:rsidRPr="00DE5615">
        <w:rPr>
          <w:rStyle w:val="FootnoteReference"/>
        </w:rPr>
        <w:footnoteReference w:id="44"/>
      </w:r>
      <w:r w:rsidR="009C6910" w:rsidRPr="009C6910">
        <w:t xml:space="preserve"> </w:t>
      </w:r>
    </w:p>
    <w:p w:rsidR="00BA5B6D" w:rsidRDefault="00BA5B6D" w:rsidP="0062123B">
      <w:pPr>
        <w:pStyle w:val="BodyText"/>
        <w:ind w:firstLine="720"/>
        <w:jc w:val="left"/>
      </w:pPr>
    </w:p>
    <w:p w:rsidR="00EF06D7" w:rsidRDefault="009C6910" w:rsidP="0062123B">
      <w:pPr>
        <w:pStyle w:val="BodyText"/>
        <w:ind w:firstLine="720"/>
        <w:jc w:val="left"/>
        <w:rPr>
          <w:color w:val="000000"/>
        </w:rPr>
      </w:pPr>
      <w:r>
        <w:t>The Commission did not estimate a burden for paragraph (b</w:t>
      </w:r>
      <w:proofErr w:type="gramStart"/>
      <w:r>
        <w:t>)(</w:t>
      </w:r>
      <w:proofErr w:type="gramEnd"/>
      <w:r>
        <w:t>9) of Rule 17g-5</w:t>
      </w:r>
      <w:r w:rsidRPr="00960B77">
        <w:t>.</w:t>
      </w:r>
    </w:p>
    <w:p w:rsidR="0094526B" w:rsidRDefault="0094526B" w:rsidP="00710E79">
      <w:pPr>
        <w:rPr>
          <w:color w:val="000000"/>
          <w:sz w:val="24"/>
          <w:szCs w:val="24"/>
        </w:rPr>
      </w:pPr>
    </w:p>
    <w:p w:rsidR="0094526B" w:rsidRPr="0094526B" w:rsidRDefault="0094526B" w:rsidP="00710E79">
      <w:pPr>
        <w:rPr>
          <w:i/>
          <w:color w:val="000000"/>
          <w:sz w:val="24"/>
          <w:szCs w:val="24"/>
          <w:u w:val="single"/>
        </w:rPr>
      </w:pPr>
      <w:r>
        <w:rPr>
          <w:i/>
          <w:color w:val="000000"/>
          <w:sz w:val="24"/>
          <w:szCs w:val="24"/>
          <w:u w:val="single"/>
        </w:rPr>
        <w:t>Burden Analysis of Current Amendments</w:t>
      </w:r>
    </w:p>
    <w:p w:rsidR="00D650E3" w:rsidRDefault="00D650E3" w:rsidP="00710E79">
      <w:pPr>
        <w:rPr>
          <w:color w:val="000000"/>
          <w:sz w:val="24"/>
          <w:szCs w:val="24"/>
        </w:rPr>
      </w:pPr>
    </w:p>
    <w:p w:rsidR="0094526B" w:rsidRDefault="0094526B" w:rsidP="00D650E3">
      <w:pPr>
        <w:ind w:firstLine="720"/>
        <w:rPr>
          <w:color w:val="000000"/>
          <w:sz w:val="24"/>
          <w:szCs w:val="24"/>
        </w:rPr>
      </w:pPr>
    </w:p>
    <w:p w:rsidR="00207381" w:rsidRPr="00207381" w:rsidRDefault="00495C71" w:rsidP="00D650E3">
      <w:pPr>
        <w:ind w:firstLine="720"/>
        <w:rPr>
          <w:sz w:val="24"/>
          <w:szCs w:val="24"/>
        </w:rPr>
      </w:pPr>
      <w:r>
        <w:rPr>
          <w:color w:val="000000"/>
          <w:sz w:val="24"/>
          <w:szCs w:val="24"/>
        </w:rPr>
        <w:t>New p</w:t>
      </w:r>
      <w:r w:rsidR="00710E79" w:rsidRPr="00710E79">
        <w:rPr>
          <w:color w:val="000000"/>
          <w:sz w:val="24"/>
          <w:szCs w:val="24"/>
        </w:rPr>
        <w:t xml:space="preserve">aragraph </w:t>
      </w:r>
      <w:r w:rsidR="00710E79" w:rsidRPr="00710E79">
        <w:rPr>
          <w:sz w:val="24"/>
          <w:szCs w:val="24"/>
        </w:rPr>
        <w:t xml:space="preserve">(a)(3)(iii)(E) </w:t>
      </w:r>
      <w:r w:rsidR="00FA6961">
        <w:rPr>
          <w:sz w:val="24"/>
          <w:szCs w:val="24"/>
        </w:rPr>
        <w:t>of</w:t>
      </w:r>
      <w:r w:rsidR="00710E79" w:rsidRPr="00710E79">
        <w:rPr>
          <w:sz w:val="24"/>
          <w:szCs w:val="24"/>
        </w:rPr>
        <w:t xml:space="preserve"> Rule 17g-5 may require NRSROs to redraft the agreement templates they use with respect to obtaining representations from issuers, sponsors, or underwriters as required under Rule 17g-5.</w:t>
      </w:r>
      <w:r w:rsidR="003E319B" w:rsidRPr="00710E79">
        <w:rPr>
          <w:iCs/>
          <w:color w:val="000000"/>
          <w:sz w:val="24"/>
          <w:szCs w:val="24"/>
          <w:vertAlign w:val="superscript"/>
        </w:rPr>
        <w:footnoteReference w:id="45"/>
      </w:r>
      <w:r w:rsidR="00710E79" w:rsidRPr="00710E79">
        <w:rPr>
          <w:sz w:val="24"/>
          <w:szCs w:val="24"/>
        </w:rPr>
        <w:t xml:space="preserve">  Based on staff experience, the Commission estimates that an NRSRO will spend approximately two hours on a one-time basis to redraft these templates</w:t>
      </w:r>
      <w:r w:rsidR="00DF7B2C">
        <w:rPr>
          <w:sz w:val="24"/>
          <w:szCs w:val="24"/>
        </w:rPr>
        <w:t xml:space="preserve"> with respect to each issuer, sponsor, or underwriter</w:t>
      </w:r>
      <w:r w:rsidR="00710E79" w:rsidRPr="00710E79">
        <w:rPr>
          <w:sz w:val="24"/>
          <w:szCs w:val="24"/>
        </w:rPr>
        <w:t xml:space="preserve">, for a total industry-wide one-time </w:t>
      </w:r>
      <w:r w:rsidR="000F7470">
        <w:rPr>
          <w:sz w:val="24"/>
          <w:szCs w:val="24"/>
        </w:rPr>
        <w:t>disclosure</w:t>
      </w:r>
      <w:r w:rsidR="00C62563">
        <w:rPr>
          <w:sz w:val="24"/>
          <w:szCs w:val="24"/>
        </w:rPr>
        <w:t xml:space="preserve"> </w:t>
      </w:r>
      <w:r w:rsidR="00710E79" w:rsidRPr="00710E79">
        <w:rPr>
          <w:sz w:val="24"/>
          <w:szCs w:val="24"/>
        </w:rPr>
        <w:t>burden of approximately 6,720 hours.</w:t>
      </w:r>
      <w:r w:rsidR="00710E79" w:rsidRPr="00710E79">
        <w:rPr>
          <w:rStyle w:val="FootnoteReference"/>
          <w:sz w:val="24"/>
          <w:szCs w:val="24"/>
        </w:rPr>
        <w:footnoteReference w:id="46"/>
      </w:r>
      <w:r w:rsidR="00710E79" w:rsidRPr="00710E79">
        <w:rPr>
          <w:sz w:val="24"/>
          <w:szCs w:val="24"/>
        </w:rPr>
        <w:t xml:space="preserve">  </w:t>
      </w:r>
      <w:r w:rsidR="00207381">
        <w:rPr>
          <w:sz w:val="24"/>
          <w:szCs w:val="24"/>
        </w:rPr>
        <w:t>T</w:t>
      </w:r>
      <w:r w:rsidR="00207381" w:rsidRPr="00207381">
        <w:rPr>
          <w:spacing w:val="-3"/>
          <w:sz w:val="24"/>
          <w:szCs w:val="24"/>
        </w:rPr>
        <w:t xml:space="preserve">he Commission </w:t>
      </w:r>
      <w:r w:rsidR="00207381">
        <w:rPr>
          <w:spacing w:val="-3"/>
          <w:sz w:val="24"/>
          <w:szCs w:val="24"/>
        </w:rPr>
        <w:t xml:space="preserve">therefore </w:t>
      </w:r>
      <w:r w:rsidR="00207381" w:rsidRPr="00207381">
        <w:rPr>
          <w:spacing w:val="-3"/>
          <w:sz w:val="24"/>
          <w:szCs w:val="24"/>
        </w:rPr>
        <w:t xml:space="preserve">estimates that the total one-time </w:t>
      </w:r>
      <w:r w:rsidR="000F7470">
        <w:rPr>
          <w:spacing w:val="-3"/>
          <w:sz w:val="24"/>
          <w:szCs w:val="24"/>
        </w:rPr>
        <w:t>disclosure</w:t>
      </w:r>
      <w:r w:rsidR="00207381" w:rsidRPr="00207381">
        <w:rPr>
          <w:spacing w:val="-3"/>
          <w:sz w:val="24"/>
          <w:szCs w:val="24"/>
        </w:rPr>
        <w:t xml:space="preserve"> burden </w:t>
      </w:r>
      <w:r w:rsidR="00207381">
        <w:rPr>
          <w:spacing w:val="-3"/>
          <w:sz w:val="24"/>
          <w:szCs w:val="24"/>
        </w:rPr>
        <w:t xml:space="preserve">to redraft the templates </w:t>
      </w:r>
      <w:r w:rsidR="00207381" w:rsidRPr="00207381">
        <w:rPr>
          <w:spacing w:val="-3"/>
          <w:sz w:val="24"/>
          <w:szCs w:val="24"/>
        </w:rPr>
        <w:t>would be approximately 2</w:t>
      </w:r>
      <w:r w:rsidR="00207381">
        <w:rPr>
          <w:spacing w:val="-3"/>
          <w:sz w:val="24"/>
          <w:szCs w:val="24"/>
        </w:rPr>
        <w:t>,240</w:t>
      </w:r>
      <w:r w:rsidR="00207381" w:rsidRPr="00207381">
        <w:rPr>
          <w:spacing w:val="-3"/>
          <w:sz w:val="24"/>
          <w:szCs w:val="24"/>
        </w:rPr>
        <w:t xml:space="preserve"> hours per year when annualized over three years.</w:t>
      </w:r>
      <w:r w:rsidR="00207381" w:rsidRPr="00207381">
        <w:rPr>
          <w:rStyle w:val="FootnoteReference"/>
          <w:spacing w:val="-3"/>
          <w:sz w:val="24"/>
          <w:szCs w:val="24"/>
        </w:rPr>
        <w:footnoteReference w:id="47"/>
      </w:r>
      <w:r w:rsidR="00207381" w:rsidRPr="00207381">
        <w:rPr>
          <w:spacing w:val="-3"/>
          <w:sz w:val="24"/>
          <w:szCs w:val="24"/>
        </w:rPr>
        <w:t xml:space="preserve">  Thus, the total annual </w:t>
      </w:r>
      <w:r w:rsidR="000F7470">
        <w:rPr>
          <w:spacing w:val="-3"/>
          <w:sz w:val="24"/>
          <w:szCs w:val="24"/>
        </w:rPr>
        <w:t>disclosure</w:t>
      </w:r>
      <w:r w:rsidR="00C62563">
        <w:rPr>
          <w:spacing w:val="-3"/>
          <w:sz w:val="24"/>
          <w:szCs w:val="24"/>
        </w:rPr>
        <w:t xml:space="preserve"> </w:t>
      </w:r>
      <w:r w:rsidR="00207381" w:rsidRPr="00207381">
        <w:rPr>
          <w:spacing w:val="-3"/>
          <w:sz w:val="24"/>
          <w:szCs w:val="24"/>
        </w:rPr>
        <w:t xml:space="preserve">burden for each </w:t>
      </w:r>
      <w:r w:rsidR="00207381">
        <w:rPr>
          <w:spacing w:val="-3"/>
          <w:sz w:val="24"/>
          <w:szCs w:val="24"/>
        </w:rPr>
        <w:t xml:space="preserve">NRSRO </w:t>
      </w:r>
      <w:r w:rsidR="00207381" w:rsidRPr="00207381">
        <w:rPr>
          <w:spacing w:val="-3"/>
          <w:sz w:val="24"/>
          <w:szCs w:val="24"/>
        </w:rPr>
        <w:t xml:space="preserve">would be approximately </w:t>
      </w:r>
      <w:r w:rsidR="00207381">
        <w:rPr>
          <w:spacing w:val="-3"/>
          <w:sz w:val="24"/>
          <w:szCs w:val="24"/>
        </w:rPr>
        <w:t>224</w:t>
      </w:r>
      <w:r w:rsidR="00207381" w:rsidRPr="00207381">
        <w:rPr>
          <w:spacing w:val="-3"/>
          <w:sz w:val="24"/>
          <w:szCs w:val="24"/>
        </w:rPr>
        <w:t xml:space="preserve"> hours.</w:t>
      </w:r>
      <w:r w:rsidR="00207381" w:rsidRPr="00207381">
        <w:rPr>
          <w:rStyle w:val="FootnoteReference"/>
          <w:spacing w:val="-3"/>
          <w:sz w:val="24"/>
          <w:szCs w:val="24"/>
        </w:rPr>
        <w:footnoteReference w:id="48"/>
      </w:r>
    </w:p>
    <w:p w:rsidR="00207381" w:rsidRPr="00207381" w:rsidRDefault="00207381" w:rsidP="00D650E3">
      <w:pPr>
        <w:ind w:firstLine="720"/>
        <w:rPr>
          <w:sz w:val="24"/>
          <w:szCs w:val="24"/>
        </w:rPr>
      </w:pPr>
    </w:p>
    <w:p w:rsidR="00710E79" w:rsidRPr="00710E79" w:rsidRDefault="00710E79" w:rsidP="00D650E3">
      <w:pPr>
        <w:ind w:firstLine="720"/>
        <w:rPr>
          <w:sz w:val="24"/>
          <w:szCs w:val="24"/>
        </w:rPr>
      </w:pPr>
      <w:r w:rsidRPr="00710E79">
        <w:rPr>
          <w:sz w:val="24"/>
          <w:szCs w:val="24"/>
        </w:rPr>
        <w:t>In addition, based on the Commission’s estimate that there will be 715 offerings of Exchange Act-ABS per year,</w:t>
      </w:r>
      <w:r w:rsidRPr="00710E79">
        <w:rPr>
          <w:iCs/>
          <w:color w:val="000000"/>
          <w:sz w:val="24"/>
          <w:szCs w:val="24"/>
          <w:vertAlign w:val="superscript"/>
        </w:rPr>
        <w:footnoteReference w:id="49"/>
      </w:r>
      <w:r w:rsidRPr="00710E79">
        <w:rPr>
          <w:sz w:val="24"/>
          <w:szCs w:val="24"/>
        </w:rPr>
        <w:t xml:space="preserve"> the Commission estimates that issuers, sponsors, and underwriters will need to post approximately 715 Forms ABS Due Diligence-15E on Rule 17g-5 websites per year (in addition to the information that is already posted to the websites).  Based on staff experience, the Commission estimates that it will take the issuer, sponsor, or underwriter approximately ten minutes to upload each form and post it to the website, for a total industry-wide annual </w:t>
      </w:r>
      <w:r w:rsidR="00C62563">
        <w:rPr>
          <w:sz w:val="24"/>
          <w:szCs w:val="24"/>
        </w:rPr>
        <w:t xml:space="preserve">disclosure </w:t>
      </w:r>
      <w:r w:rsidRPr="00710E79">
        <w:rPr>
          <w:sz w:val="24"/>
          <w:szCs w:val="24"/>
        </w:rPr>
        <w:t>burden of approximately 119 hours.</w:t>
      </w:r>
      <w:r w:rsidRPr="00710E79">
        <w:rPr>
          <w:rStyle w:val="FootnoteReference"/>
          <w:sz w:val="24"/>
          <w:szCs w:val="24"/>
        </w:rPr>
        <w:footnoteReference w:id="50"/>
      </w:r>
      <w:r w:rsidRPr="00710E79">
        <w:rPr>
          <w:sz w:val="24"/>
          <w:szCs w:val="24"/>
        </w:rPr>
        <w:t xml:space="preserve">  </w:t>
      </w:r>
    </w:p>
    <w:p w:rsidR="00DD21B8" w:rsidRDefault="00DD21B8" w:rsidP="00710E79">
      <w:pPr>
        <w:ind w:firstLine="720"/>
        <w:rPr>
          <w:sz w:val="24"/>
          <w:szCs w:val="24"/>
        </w:rPr>
      </w:pPr>
    </w:p>
    <w:p w:rsidR="00710E79" w:rsidRPr="00710E79" w:rsidRDefault="00710E79" w:rsidP="00710E79">
      <w:pPr>
        <w:ind w:firstLine="720"/>
        <w:rPr>
          <w:sz w:val="24"/>
          <w:szCs w:val="24"/>
        </w:rPr>
      </w:pPr>
      <w:r w:rsidRPr="00710E79">
        <w:rPr>
          <w:sz w:val="24"/>
          <w:szCs w:val="24"/>
        </w:rPr>
        <w:t xml:space="preserve"> As a consequence of the new absolute prohibition</w:t>
      </w:r>
      <w:r w:rsidR="003E319B">
        <w:rPr>
          <w:sz w:val="24"/>
          <w:szCs w:val="24"/>
        </w:rPr>
        <w:t xml:space="preserve"> in paragraph (c)(8) of Rule 17g-5</w:t>
      </w:r>
      <w:r w:rsidRPr="00710E79">
        <w:rPr>
          <w:sz w:val="24"/>
          <w:szCs w:val="24"/>
        </w:rPr>
        <w:t>, the Commission</w:t>
      </w:r>
      <w:r w:rsidRPr="00710E79">
        <w:rPr>
          <w:bCs/>
          <w:iCs/>
          <w:sz w:val="24"/>
          <w:szCs w:val="24"/>
        </w:rPr>
        <w:t xml:space="preserve"> believes </w:t>
      </w:r>
      <w:r w:rsidRPr="00710E79">
        <w:rPr>
          <w:bCs/>
          <w:iCs/>
          <w:color w:val="000000"/>
          <w:sz w:val="24"/>
          <w:szCs w:val="24"/>
        </w:rPr>
        <w:t xml:space="preserve">that an NRSRO will need to update the written policies and procedures to address and manage conflicts of interest the NRSRO must establish, maintain, and enforce under section 15E(h) of the Exchange Act and Rule 17g-5.  Based on Commission staff experience, the Commission estimates that updating the conflicts of interest policies and procedures would take an NRSRO an average of approximately 100 hours, for an industry-wide one-time </w:t>
      </w:r>
      <w:r w:rsidR="00C62563">
        <w:rPr>
          <w:bCs/>
          <w:iCs/>
          <w:color w:val="000000"/>
          <w:sz w:val="24"/>
          <w:szCs w:val="24"/>
        </w:rPr>
        <w:t xml:space="preserve">reporting </w:t>
      </w:r>
      <w:r w:rsidRPr="00710E79">
        <w:rPr>
          <w:bCs/>
          <w:iCs/>
          <w:color w:val="000000"/>
          <w:sz w:val="24"/>
          <w:szCs w:val="24"/>
        </w:rPr>
        <w:t>burden of approximately 1,000 hours.</w:t>
      </w:r>
      <w:r w:rsidRPr="00710E79">
        <w:rPr>
          <w:rStyle w:val="FootnoteReference"/>
          <w:bCs/>
          <w:iCs/>
          <w:color w:val="000000"/>
          <w:sz w:val="24"/>
          <w:szCs w:val="24"/>
        </w:rPr>
        <w:footnoteReference w:id="51"/>
      </w:r>
      <w:r w:rsidRPr="00710E79">
        <w:rPr>
          <w:bCs/>
          <w:iCs/>
          <w:color w:val="000000"/>
          <w:sz w:val="24"/>
          <w:szCs w:val="24"/>
        </w:rPr>
        <w:t xml:space="preserve">  </w:t>
      </w:r>
      <w:r w:rsidR="0069511F">
        <w:rPr>
          <w:bCs/>
          <w:iCs/>
          <w:color w:val="000000"/>
          <w:sz w:val="24"/>
          <w:szCs w:val="24"/>
        </w:rPr>
        <w:t xml:space="preserve">In addition, </w:t>
      </w:r>
      <w:r w:rsidRPr="00710E79">
        <w:rPr>
          <w:bCs/>
          <w:iCs/>
          <w:color w:val="000000"/>
          <w:sz w:val="24"/>
          <w:szCs w:val="24"/>
        </w:rPr>
        <w:t xml:space="preserve">Exhibit 7 to Form NRSRO requires an NRSRO to provide a copy of the written policies and procedures in the exhibit.  Paragraph (e) of Rule 17g-1 requires an NRSRO to </w:t>
      </w:r>
      <w:r w:rsidRPr="00710E79">
        <w:rPr>
          <w:sz w:val="24"/>
          <w:szCs w:val="24"/>
        </w:rPr>
        <w:t xml:space="preserve">promptly file with the Commission an update of its registration on Form NRSRO when information on the form is materially inaccurate.  The update of registration must be filed electronically on the Commission’s EDGAR system.  The Commission estimates, based on staff experience, that it would take an NRSRO an average of approximately twenty-five hours on a one-time basis to prepare and file the update of registration to account for the update of the NRSRO’s written policies and procedures to address and manage conflicts of interest, for an industry-wide one-time </w:t>
      </w:r>
      <w:r w:rsidR="00C62563">
        <w:rPr>
          <w:sz w:val="24"/>
          <w:szCs w:val="24"/>
        </w:rPr>
        <w:t xml:space="preserve">reporting </w:t>
      </w:r>
      <w:r w:rsidRPr="00710E79">
        <w:rPr>
          <w:sz w:val="24"/>
          <w:szCs w:val="24"/>
        </w:rPr>
        <w:t xml:space="preserve">burden of approximately 250 hours and a total industry-wide one-time </w:t>
      </w:r>
      <w:r w:rsidR="00C62563">
        <w:rPr>
          <w:sz w:val="24"/>
          <w:szCs w:val="24"/>
        </w:rPr>
        <w:t xml:space="preserve">reporting </w:t>
      </w:r>
      <w:r w:rsidRPr="00710E79">
        <w:rPr>
          <w:sz w:val="24"/>
          <w:szCs w:val="24"/>
        </w:rPr>
        <w:t xml:space="preserve">burden of approximately 1,250 hours to </w:t>
      </w:r>
      <w:r w:rsidRPr="00710E79">
        <w:rPr>
          <w:bCs/>
          <w:iCs/>
          <w:color w:val="000000"/>
          <w:sz w:val="24"/>
          <w:szCs w:val="24"/>
        </w:rPr>
        <w:t xml:space="preserve">update the NRSRO’s conflicts of interest policies and procedures and </w:t>
      </w:r>
      <w:r w:rsidRPr="00710E79">
        <w:rPr>
          <w:sz w:val="24"/>
          <w:szCs w:val="24"/>
        </w:rPr>
        <w:t xml:space="preserve">to prepare and file an update of </w:t>
      </w:r>
      <w:r w:rsidRPr="00710E79">
        <w:rPr>
          <w:sz w:val="24"/>
          <w:szCs w:val="24"/>
        </w:rPr>
        <w:lastRenderedPageBreak/>
        <w:t>registration to account for the update of the NRSRO’s written policies and procedures.</w:t>
      </w:r>
      <w:r w:rsidRPr="00710E79">
        <w:rPr>
          <w:rStyle w:val="FootnoteReference"/>
          <w:sz w:val="24"/>
          <w:szCs w:val="24"/>
        </w:rPr>
        <w:footnoteReference w:id="52"/>
      </w:r>
      <w:r w:rsidR="00A6385C" w:rsidRPr="00A6385C">
        <w:rPr>
          <w:sz w:val="24"/>
          <w:szCs w:val="24"/>
        </w:rPr>
        <w:t xml:space="preserve"> </w:t>
      </w:r>
      <w:r w:rsidR="00A6385C">
        <w:rPr>
          <w:sz w:val="24"/>
          <w:szCs w:val="24"/>
        </w:rPr>
        <w:t>T</w:t>
      </w:r>
      <w:r w:rsidR="00A6385C" w:rsidRPr="00207381">
        <w:rPr>
          <w:spacing w:val="-3"/>
          <w:sz w:val="24"/>
          <w:szCs w:val="24"/>
        </w:rPr>
        <w:t xml:space="preserve">he Commission </w:t>
      </w:r>
      <w:r w:rsidR="00A6385C">
        <w:rPr>
          <w:spacing w:val="-3"/>
          <w:sz w:val="24"/>
          <w:szCs w:val="24"/>
        </w:rPr>
        <w:t xml:space="preserve">therefore </w:t>
      </w:r>
      <w:r w:rsidR="00A6385C" w:rsidRPr="00207381">
        <w:rPr>
          <w:spacing w:val="-3"/>
          <w:sz w:val="24"/>
          <w:szCs w:val="24"/>
        </w:rPr>
        <w:t xml:space="preserve">estimates that the total one-time reporting burden </w:t>
      </w:r>
      <w:r w:rsidR="00A6385C">
        <w:rPr>
          <w:spacing w:val="-3"/>
          <w:sz w:val="24"/>
          <w:szCs w:val="24"/>
        </w:rPr>
        <w:t xml:space="preserve">to update the conflicts of interest policies and procedures </w:t>
      </w:r>
      <w:r w:rsidR="00A6385C" w:rsidRPr="00710E79">
        <w:rPr>
          <w:bCs/>
          <w:iCs/>
          <w:color w:val="000000"/>
          <w:sz w:val="24"/>
          <w:szCs w:val="24"/>
        </w:rPr>
        <w:t xml:space="preserve">and </w:t>
      </w:r>
      <w:r w:rsidR="00A6385C" w:rsidRPr="00710E79">
        <w:rPr>
          <w:sz w:val="24"/>
          <w:szCs w:val="24"/>
        </w:rPr>
        <w:t>to prepare and file an update of registration to account for the update of the NRSRO’s written policies and procedures</w:t>
      </w:r>
      <w:r w:rsidR="00A6385C" w:rsidRPr="00207381">
        <w:rPr>
          <w:spacing w:val="-3"/>
          <w:sz w:val="24"/>
          <w:szCs w:val="24"/>
        </w:rPr>
        <w:t xml:space="preserve"> would be </w:t>
      </w:r>
      <w:r w:rsidR="00A6385C">
        <w:rPr>
          <w:spacing w:val="-3"/>
          <w:sz w:val="24"/>
          <w:szCs w:val="24"/>
        </w:rPr>
        <w:t>1,250</w:t>
      </w:r>
      <w:r w:rsidR="00A6385C" w:rsidRPr="00207381">
        <w:rPr>
          <w:spacing w:val="-3"/>
          <w:sz w:val="24"/>
          <w:szCs w:val="24"/>
        </w:rPr>
        <w:t xml:space="preserve"> hours, or approximately </w:t>
      </w:r>
      <w:r w:rsidR="00A6385C">
        <w:rPr>
          <w:spacing w:val="-3"/>
          <w:sz w:val="24"/>
          <w:szCs w:val="24"/>
        </w:rPr>
        <w:t>417</w:t>
      </w:r>
      <w:r w:rsidR="00A6385C" w:rsidRPr="00207381">
        <w:rPr>
          <w:spacing w:val="-3"/>
          <w:sz w:val="24"/>
          <w:szCs w:val="24"/>
        </w:rPr>
        <w:t xml:space="preserve"> hours per year when annualized over three years.</w:t>
      </w:r>
      <w:r w:rsidR="00A6385C" w:rsidRPr="00207381">
        <w:rPr>
          <w:rStyle w:val="FootnoteReference"/>
          <w:spacing w:val="-3"/>
          <w:sz w:val="24"/>
          <w:szCs w:val="24"/>
        </w:rPr>
        <w:t xml:space="preserve"> </w:t>
      </w:r>
      <w:r w:rsidR="00A6385C" w:rsidRPr="00207381">
        <w:rPr>
          <w:rStyle w:val="FootnoteReference"/>
          <w:spacing w:val="-3"/>
          <w:sz w:val="24"/>
          <w:szCs w:val="24"/>
        </w:rPr>
        <w:footnoteReference w:id="53"/>
      </w:r>
      <w:r w:rsidR="00A6385C" w:rsidRPr="00207381">
        <w:rPr>
          <w:spacing w:val="-3"/>
          <w:sz w:val="24"/>
          <w:szCs w:val="24"/>
        </w:rPr>
        <w:t xml:space="preserve">  Thus, the total annual</w:t>
      </w:r>
      <w:r w:rsidR="00BA5B6D">
        <w:rPr>
          <w:spacing w:val="-3"/>
          <w:sz w:val="24"/>
          <w:szCs w:val="24"/>
        </w:rPr>
        <w:t>ized</w:t>
      </w:r>
      <w:r w:rsidR="00A6385C" w:rsidRPr="00207381">
        <w:rPr>
          <w:spacing w:val="-3"/>
          <w:sz w:val="24"/>
          <w:szCs w:val="24"/>
        </w:rPr>
        <w:t xml:space="preserve"> </w:t>
      </w:r>
      <w:r w:rsidR="00C62563">
        <w:rPr>
          <w:spacing w:val="-3"/>
          <w:sz w:val="24"/>
          <w:szCs w:val="24"/>
        </w:rPr>
        <w:t xml:space="preserve">reporting </w:t>
      </w:r>
      <w:r w:rsidR="00A6385C" w:rsidRPr="00207381">
        <w:rPr>
          <w:spacing w:val="-3"/>
          <w:sz w:val="24"/>
          <w:szCs w:val="24"/>
        </w:rPr>
        <w:t xml:space="preserve">burden for each </w:t>
      </w:r>
      <w:r w:rsidR="00A6385C">
        <w:rPr>
          <w:spacing w:val="-3"/>
          <w:sz w:val="24"/>
          <w:szCs w:val="24"/>
        </w:rPr>
        <w:t xml:space="preserve">NRSRO </w:t>
      </w:r>
      <w:r w:rsidR="00A6385C" w:rsidRPr="00207381">
        <w:rPr>
          <w:spacing w:val="-3"/>
          <w:sz w:val="24"/>
          <w:szCs w:val="24"/>
        </w:rPr>
        <w:t xml:space="preserve">would be approximately </w:t>
      </w:r>
      <w:r w:rsidR="00A6385C">
        <w:rPr>
          <w:spacing w:val="-3"/>
          <w:sz w:val="24"/>
          <w:szCs w:val="24"/>
        </w:rPr>
        <w:t xml:space="preserve">42 </w:t>
      </w:r>
      <w:r w:rsidR="00A6385C" w:rsidRPr="00207381">
        <w:rPr>
          <w:spacing w:val="-3"/>
          <w:sz w:val="24"/>
          <w:szCs w:val="24"/>
        </w:rPr>
        <w:t>hours.</w:t>
      </w:r>
      <w:r w:rsidR="00A6385C" w:rsidRPr="00207381">
        <w:rPr>
          <w:rStyle w:val="FootnoteReference"/>
          <w:spacing w:val="-3"/>
          <w:sz w:val="24"/>
          <w:szCs w:val="24"/>
        </w:rPr>
        <w:footnoteReference w:id="54"/>
      </w:r>
    </w:p>
    <w:p w:rsidR="00DD21B8" w:rsidRDefault="00DD21B8" w:rsidP="00710E79">
      <w:pPr>
        <w:rPr>
          <w:sz w:val="24"/>
          <w:szCs w:val="24"/>
        </w:rPr>
      </w:pPr>
    </w:p>
    <w:p w:rsidR="009A3555" w:rsidRPr="009A3555" w:rsidRDefault="00710E79" w:rsidP="0062123B">
      <w:pPr>
        <w:ind w:firstLine="720"/>
        <w:rPr>
          <w:color w:val="000000"/>
          <w:sz w:val="24"/>
          <w:szCs w:val="24"/>
        </w:rPr>
      </w:pPr>
      <w:r w:rsidRPr="00710E79">
        <w:rPr>
          <w:bCs/>
          <w:iCs/>
          <w:color w:val="000000"/>
          <w:sz w:val="24"/>
          <w:szCs w:val="24"/>
        </w:rPr>
        <w:t>Based on staff experience, the Commission</w:t>
      </w:r>
      <w:r w:rsidRPr="00710E79">
        <w:rPr>
          <w:sz w:val="24"/>
          <w:szCs w:val="24"/>
        </w:rPr>
        <w:t xml:space="preserve"> believes that an NRSRO </w:t>
      </w:r>
      <w:r w:rsidR="00495C71">
        <w:rPr>
          <w:sz w:val="24"/>
          <w:szCs w:val="24"/>
        </w:rPr>
        <w:t xml:space="preserve">utilizing new paragraph (f) of Rule 17g-5 to </w:t>
      </w:r>
      <w:r w:rsidRPr="00710E79">
        <w:rPr>
          <w:sz w:val="24"/>
          <w:szCs w:val="24"/>
        </w:rPr>
        <w:t xml:space="preserve">apply for </w:t>
      </w:r>
      <w:r w:rsidR="003E319B">
        <w:rPr>
          <w:sz w:val="24"/>
          <w:szCs w:val="24"/>
        </w:rPr>
        <w:t>an</w:t>
      </w:r>
      <w:r w:rsidRPr="00710E79">
        <w:rPr>
          <w:sz w:val="24"/>
          <w:szCs w:val="24"/>
        </w:rPr>
        <w:t xml:space="preserve"> exemption</w:t>
      </w:r>
      <w:r w:rsidR="00495C71">
        <w:rPr>
          <w:sz w:val="24"/>
          <w:szCs w:val="24"/>
        </w:rPr>
        <w:t xml:space="preserve"> from the </w:t>
      </w:r>
      <w:r w:rsidR="00735A93">
        <w:rPr>
          <w:sz w:val="24"/>
          <w:szCs w:val="24"/>
        </w:rPr>
        <w:t>prohibited conflict</w:t>
      </w:r>
      <w:bookmarkStart w:id="0" w:name="_GoBack"/>
      <w:bookmarkEnd w:id="0"/>
      <w:r w:rsidR="00495C71">
        <w:rPr>
          <w:sz w:val="24"/>
          <w:szCs w:val="24"/>
        </w:rPr>
        <w:t xml:space="preserve"> under paragraph (c)(8)</w:t>
      </w:r>
      <w:r w:rsidR="00495C71" w:rsidRPr="00710E79" w:rsidDel="00495C71">
        <w:rPr>
          <w:sz w:val="24"/>
          <w:szCs w:val="24"/>
        </w:rPr>
        <w:t xml:space="preserve"> </w:t>
      </w:r>
      <w:r w:rsidRPr="00710E79">
        <w:rPr>
          <w:sz w:val="24"/>
          <w:szCs w:val="24"/>
        </w:rPr>
        <w:t>would likely engage outside counsel to assist in drafting an exemption request, that counsel would spend an average of approximately fifty hours for a cost of approximately $20,000 to assist in drafting the request, and that the NRSRO would likely spend an average of approximately 150 hours to draft and submit the application to the Commission.</w:t>
      </w:r>
      <w:r w:rsidRPr="00710E79">
        <w:rPr>
          <w:rStyle w:val="FootnoteReference"/>
          <w:sz w:val="24"/>
          <w:szCs w:val="24"/>
        </w:rPr>
        <w:footnoteReference w:id="55"/>
      </w:r>
      <w:r w:rsidR="008831D9">
        <w:rPr>
          <w:sz w:val="24"/>
          <w:szCs w:val="24"/>
        </w:rPr>
        <w:t xml:space="preserve">  If all 10 NRSROs apply for an exemption, the one-time </w:t>
      </w:r>
      <w:r w:rsidR="00DD63BA">
        <w:rPr>
          <w:sz w:val="24"/>
          <w:szCs w:val="24"/>
        </w:rPr>
        <w:t xml:space="preserve">industry-wide </w:t>
      </w:r>
      <w:r w:rsidR="008831D9">
        <w:rPr>
          <w:sz w:val="24"/>
          <w:szCs w:val="24"/>
        </w:rPr>
        <w:t xml:space="preserve">reporting burden </w:t>
      </w:r>
      <w:r w:rsidR="00DD63BA">
        <w:rPr>
          <w:sz w:val="24"/>
          <w:szCs w:val="24"/>
        </w:rPr>
        <w:t xml:space="preserve">for NRSROs </w:t>
      </w:r>
      <w:r w:rsidR="008831D9">
        <w:rPr>
          <w:sz w:val="24"/>
          <w:szCs w:val="24"/>
        </w:rPr>
        <w:t>would be approximately $200,000 and 1,500 hours, or approximately $</w:t>
      </w:r>
      <w:r w:rsidR="00DD63BA">
        <w:rPr>
          <w:sz w:val="24"/>
          <w:szCs w:val="24"/>
        </w:rPr>
        <w:t>67,000 and 500 hours per year when annualized over 3 years.</w:t>
      </w:r>
      <w:r w:rsidR="00DD63BA">
        <w:rPr>
          <w:rStyle w:val="FootnoteReference"/>
          <w:sz w:val="24"/>
          <w:szCs w:val="24"/>
        </w:rPr>
        <w:footnoteReference w:id="56"/>
      </w:r>
      <w:r w:rsidR="00BA5B6D">
        <w:rPr>
          <w:sz w:val="24"/>
          <w:szCs w:val="24"/>
        </w:rPr>
        <w:t xml:space="preserve">  Thus, the annualized reporting burden for each NRSRO would be $6,700 and 50 hours.</w:t>
      </w:r>
    </w:p>
    <w:p w:rsidR="005350D3" w:rsidRDefault="005350D3" w:rsidP="005350D3">
      <w:pPr>
        <w:tabs>
          <w:tab w:val="left" w:pos="-720"/>
        </w:tabs>
        <w:suppressAutoHyphens/>
        <w:rPr>
          <w:sz w:val="24"/>
        </w:rPr>
      </w:pPr>
    </w:p>
    <w:p w:rsidR="005350D3" w:rsidRPr="00166C8F" w:rsidRDefault="005350D3" w:rsidP="005573CC">
      <w:pPr>
        <w:tabs>
          <w:tab w:val="left" w:pos="-720"/>
        </w:tabs>
        <w:suppressAutoHyphens/>
        <w:rPr>
          <w:b/>
          <w:sz w:val="24"/>
        </w:rPr>
      </w:pPr>
      <w:r w:rsidRPr="00166C8F">
        <w:rPr>
          <w:b/>
          <w:sz w:val="24"/>
        </w:rPr>
        <w:tab/>
        <w:t>13.</w:t>
      </w:r>
      <w:r w:rsidRPr="00166C8F">
        <w:rPr>
          <w:b/>
          <w:sz w:val="24"/>
        </w:rPr>
        <w:tab/>
      </w:r>
      <w:r w:rsidR="00166C8F" w:rsidRPr="00166C8F">
        <w:rPr>
          <w:b/>
          <w:sz w:val="24"/>
        </w:rPr>
        <w:t>Cost</w:t>
      </w:r>
      <w:r w:rsidR="00166C8F">
        <w:rPr>
          <w:b/>
          <w:sz w:val="24"/>
        </w:rPr>
        <w:t>s</w:t>
      </w:r>
      <w:r w:rsidR="00166C8F" w:rsidRPr="00166C8F">
        <w:rPr>
          <w:b/>
          <w:sz w:val="24"/>
        </w:rPr>
        <w:t xml:space="preserve"> to Respondents</w:t>
      </w:r>
    </w:p>
    <w:p w:rsidR="005350D3" w:rsidRDefault="005350D3" w:rsidP="005350D3">
      <w:pPr>
        <w:keepNext/>
        <w:tabs>
          <w:tab w:val="left" w:pos="-720"/>
        </w:tabs>
        <w:suppressAutoHyphens/>
        <w:rPr>
          <w:sz w:val="24"/>
        </w:rPr>
      </w:pPr>
    </w:p>
    <w:p w:rsidR="005350D3" w:rsidRDefault="005350D3" w:rsidP="005350D3">
      <w:pPr>
        <w:pStyle w:val="FootnoteText"/>
        <w:rPr>
          <w:iCs/>
          <w:sz w:val="24"/>
          <w:szCs w:val="24"/>
        </w:rPr>
      </w:pPr>
      <w:r>
        <w:rPr>
          <w:spacing w:val="-3"/>
          <w:sz w:val="24"/>
        </w:rPr>
        <w:tab/>
      </w:r>
      <w:r w:rsidR="00B06467" w:rsidRPr="00743D8F">
        <w:rPr>
          <w:spacing w:val="-3"/>
          <w:sz w:val="24"/>
          <w:szCs w:val="24"/>
        </w:rPr>
        <w:t xml:space="preserve">The Commission believes that there would be </w:t>
      </w:r>
      <w:r w:rsidR="00B06467">
        <w:rPr>
          <w:spacing w:val="-3"/>
          <w:sz w:val="24"/>
          <w:szCs w:val="24"/>
        </w:rPr>
        <w:t xml:space="preserve">no </w:t>
      </w:r>
      <w:r w:rsidR="00B06467" w:rsidRPr="00743D8F">
        <w:rPr>
          <w:spacing w:val="-3"/>
          <w:sz w:val="24"/>
          <w:szCs w:val="24"/>
        </w:rPr>
        <w:t>additional cost</w:t>
      </w:r>
      <w:r w:rsidR="00B06467">
        <w:rPr>
          <w:spacing w:val="-3"/>
          <w:sz w:val="24"/>
          <w:szCs w:val="24"/>
        </w:rPr>
        <w:t>s</w:t>
      </w:r>
      <w:r w:rsidR="00B06467" w:rsidRPr="00743D8F">
        <w:rPr>
          <w:spacing w:val="-3"/>
          <w:sz w:val="24"/>
          <w:szCs w:val="24"/>
        </w:rPr>
        <w:t xml:space="preserve"> </w:t>
      </w:r>
      <w:r w:rsidR="00B06467">
        <w:rPr>
          <w:spacing w:val="-3"/>
          <w:sz w:val="24"/>
          <w:szCs w:val="24"/>
        </w:rPr>
        <w:t xml:space="preserve">associated with </w:t>
      </w:r>
      <w:r w:rsidR="00CF486D">
        <w:rPr>
          <w:spacing w:val="-3"/>
          <w:sz w:val="24"/>
          <w:szCs w:val="24"/>
        </w:rPr>
        <w:t>the rule</w:t>
      </w:r>
      <w:r w:rsidR="00B06467">
        <w:rPr>
          <w:spacing w:val="-3"/>
          <w:sz w:val="24"/>
          <w:szCs w:val="24"/>
        </w:rPr>
        <w:t>,</w:t>
      </w:r>
      <w:r w:rsidR="00B06467" w:rsidRPr="00743D8F">
        <w:rPr>
          <w:iCs/>
          <w:sz w:val="24"/>
          <w:szCs w:val="24"/>
        </w:rPr>
        <w:t xml:space="preserve"> other than the costs described in Item 12 above</w:t>
      </w:r>
      <w:r w:rsidR="00B06467">
        <w:rPr>
          <w:iCs/>
          <w:sz w:val="24"/>
          <w:szCs w:val="24"/>
        </w:rPr>
        <w:t>.</w:t>
      </w:r>
    </w:p>
    <w:p w:rsidR="005350D3" w:rsidRPr="00D80AF4" w:rsidRDefault="005350D3" w:rsidP="005350D3">
      <w:pPr>
        <w:pStyle w:val="FootnoteText"/>
        <w:rPr>
          <w:iCs/>
          <w:sz w:val="24"/>
          <w:szCs w:val="24"/>
        </w:rPr>
      </w:pPr>
    </w:p>
    <w:p w:rsidR="003E276C" w:rsidRPr="00166C8F" w:rsidRDefault="005350D3" w:rsidP="00D80AF4">
      <w:pPr>
        <w:pStyle w:val="FootnoteText"/>
        <w:rPr>
          <w:b/>
          <w:sz w:val="24"/>
          <w:szCs w:val="24"/>
        </w:rPr>
      </w:pPr>
      <w:r w:rsidRPr="00166C8F">
        <w:rPr>
          <w:b/>
          <w:iCs/>
          <w:sz w:val="24"/>
          <w:szCs w:val="24"/>
        </w:rPr>
        <w:tab/>
      </w:r>
      <w:r w:rsidR="003E276C" w:rsidRPr="00166C8F">
        <w:rPr>
          <w:b/>
          <w:sz w:val="24"/>
          <w:szCs w:val="24"/>
        </w:rPr>
        <w:t>14.</w:t>
      </w:r>
      <w:r w:rsidR="003E276C" w:rsidRPr="00166C8F">
        <w:rPr>
          <w:b/>
          <w:sz w:val="24"/>
          <w:szCs w:val="24"/>
        </w:rPr>
        <w:tab/>
        <w:t>Cost</w:t>
      </w:r>
      <w:r w:rsidR="00166C8F" w:rsidRPr="00166C8F">
        <w:rPr>
          <w:b/>
          <w:sz w:val="24"/>
          <w:szCs w:val="24"/>
        </w:rPr>
        <w:t>s</w:t>
      </w:r>
      <w:r w:rsidR="003E276C" w:rsidRPr="00166C8F">
        <w:rPr>
          <w:b/>
          <w:sz w:val="24"/>
          <w:szCs w:val="24"/>
        </w:rPr>
        <w:t xml:space="preserve"> to Federal Government</w:t>
      </w:r>
    </w:p>
    <w:p w:rsidR="003E276C" w:rsidRPr="00D80AF4" w:rsidRDefault="003E276C" w:rsidP="005350D3">
      <w:pPr>
        <w:keepNext/>
        <w:tabs>
          <w:tab w:val="left" w:pos="-720"/>
        </w:tabs>
        <w:suppressAutoHyphens/>
        <w:rPr>
          <w:sz w:val="24"/>
          <w:szCs w:val="24"/>
        </w:rPr>
      </w:pPr>
    </w:p>
    <w:p w:rsidR="003E276C" w:rsidRPr="00B43D42" w:rsidRDefault="003E276C" w:rsidP="005350D3">
      <w:pPr>
        <w:tabs>
          <w:tab w:val="left" w:pos="-720"/>
        </w:tabs>
        <w:suppressAutoHyphens/>
        <w:ind w:right="-576"/>
        <w:rPr>
          <w:spacing w:val="-3"/>
          <w:sz w:val="24"/>
          <w:szCs w:val="24"/>
        </w:rPr>
      </w:pPr>
      <w:r w:rsidRPr="00B43D42">
        <w:rPr>
          <w:spacing w:val="-3"/>
          <w:sz w:val="24"/>
          <w:szCs w:val="24"/>
        </w:rPr>
        <w:tab/>
      </w:r>
      <w:r w:rsidRPr="00FC2105">
        <w:rPr>
          <w:spacing w:val="-3"/>
          <w:sz w:val="24"/>
          <w:szCs w:val="24"/>
        </w:rPr>
        <w:t>There w</w:t>
      </w:r>
      <w:r w:rsidR="00AD31E7" w:rsidRPr="00FC2105">
        <w:rPr>
          <w:spacing w:val="-3"/>
          <w:sz w:val="24"/>
          <w:szCs w:val="24"/>
        </w:rPr>
        <w:t>ould</w:t>
      </w:r>
      <w:r w:rsidRPr="00FC2105">
        <w:rPr>
          <w:spacing w:val="-3"/>
          <w:sz w:val="24"/>
          <w:szCs w:val="24"/>
        </w:rPr>
        <w:t xml:space="preserve"> be no additional costs to the Federal Government.</w:t>
      </w:r>
    </w:p>
    <w:p w:rsidR="003E276C" w:rsidRPr="00B43D42" w:rsidRDefault="003E276C" w:rsidP="005350D3">
      <w:pPr>
        <w:tabs>
          <w:tab w:val="left" w:pos="-720"/>
        </w:tabs>
        <w:suppressAutoHyphens/>
        <w:rPr>
          <w:sz w:val="24"/>
          <w:szCs w:val="24"/>
        </w:rPr>
      </w:pPr>
    </w:p>
    <w:p w:rsidR="003E276C" w:rsidRPr="00166C8F" w:rsidRDefault="003E276C" w:rsidP="005350D3">
      <w:pPr>
        <w:keepNext/>
        <w:tabs>
          <w:tab w:val="left" w:pos="-720"/>
          <w:tab w:val="left" w:pos="0"/>
          <w:tab w:val="left" w:pos="720"/>
        </w:tabs>
        <w:suppressAutoHyphens/>
        <w:ind w:left="1440" w:hanging="1440"/>
        <w:rPr>
          <w:b/>
          <w:sz w:val="24"/>
          <w:szCs w:val="24"/>
        </w:rPr>
      </w:pPr>
      <w:r w:rsidRPr="00166C8F">
        <w:rPr>
          <w:b/>
          <w:sz w:val="24"/>
          <w:szCs w:val="24"/>
        </w:rPr>
        <w:tab/>
        <w:t>15.</w:t>
      </w:r>
      <w:r w:rsidRPr="00166C8F">
        <w:rPr>
          <w:b/>
          <w:sz w:val="24"/>
          <w:szCs w:val="24"/>
        </w:rPr>
        <w:tab/>
      </w:r>
      <w:r w:rsidR="00166C8F" w:rsidRPr="00166C8F">
        <w:rPr>
          <w:b/>
          <w:sz w:val="24"/>
          <w:szCs w:val="24"/>
        </w:rPr>
        <w:t>Changes in Burden</w:t>
      </w:r>
    </w:p>
    <w:p w:rsidR="003E276C" w:rsidRPr="00B43D42" w:rsidRDefault="003E276C" w:rsidP="005350D3">
      <w:pPr>
        <w:keepNext/>
        <w:tabs>
          <w:tab w:val="left" w:pos="-720"/>
        </w:tabs>
        <w:suppressAutoHyphens/>
        <w:rPr>
          <w:sz w:val="24"/>
          <w:szCs w:val="24"/>
        </w:rPr>
      </w:pPr>
    </w:p>
    <w:p w:rsidR="00683372" w:rsidRDefault="00F448E8" w:rsidP="005350D3">
      <w:pPr>
        <w:tabs>
          <w:tab w:val="left" w:pos="-720"/>
        </w:tabs>
        <w:suppressAutoHyphens/>
        <w:rPr>
          <w:sz w:val="24"/>
          <w:szCs w:val="24"/>
        </w:rPr>
      </w:pPr>
      <w:r>
        <w:rPr>
          <w:sz w:val="24"/>
          <w:szCs w:val="24"/>
        </w:rPr>
        <w:tab/>
        <w:t xml:space="preserve">The changes in burden are due to updated estimates and the </w:t>
      </w:r>
      <w:r w:rsidR="00FD1B57">
        <w:rPr>
          <w:sz w:val="24"/>
          <w:szCs w:val="24"/>
        </w:rPr>
        <w:t xml:space="preserve">burdens associated with the </w:t>
      </w:r>
      <w:r>
        <w:rPr>
          <w:sz w:val="24"/>
          <w:szCs w:val="24"/>
        </w:rPr>
        <w:t xml:space="preserve">new rules and amendments to existing rules.  </w:t>
      </w:r>
    </w:p>
    <w:p w:rsidR="00683372" w:rsidRDefault="00683372" w:rsidP="005350D3">
      <w:pPr>
        <w:tabs>
          <w:tab w:val="left" w:pos="-720"/>
        </w:tabs>
        <w:suppressAutoHyphens/>
        <w:rPr>
          <w:sz w:val="24"/>
          <w:szCs w:val="24"/>
        </w:rPr>
      </w:pPr>
    </w:p>
    <w:p w:rsidR="00683372" w:rsidRDefault="00683372" w:rsidP="005350D3">
      <w:pPr>
        <w:tabs>
          <w:tab w:val="left" w:pos="-720"/>
        </w:tabs>
        <w:suppressAutoHyphens/>
        <w:rPr>
          <w:sz w:val="24"/>
          <w:szCs w:val="24"/>
        </w:rPr>
      </w:pPr>
      <w:r>
        <w:rPr>
          <w:sz w:val="24"/>
          <w:szCs w:val="24"/>
        </w:rPr>
        <w:tab/>
      </w:r>
      <w:r w:rsidR="00FD1B57">
        <w:rPr>
          <w:sz w:val="24"/>
          <w:szCs w:val="24"/>
        </w:rPr>
        <w:t xml:space="preserve">The </w:t>
      </w:r>
      <w:r w:rsidR="00BF0EED">
        <w:rPr>
          <w:sz w:val="24"/>
          <w:szCs w:val="24"/>
        </w:rPr>
        <w:t xml:space="preserve">industry-wide </w:t>
      </w:r>
      <w:r w:rsidR="00FD1B57">
        <w:rPr>
          <w:sz w:val="24"/>
          <w:szCs w:val="24"/>
        </w:rPr>
        <w:t>change in burden resulting from updated estimates is</w:t>
      </w:r>
      <w:r>
        <w:rPr>
          <w:sz w:val="24"/>
          <w:szCs w:val="24"/>
        </w:rPr>
        <w:t xml:space="preserve"> approximately</w:t>
      </w:r>
      <w:r w:rsidR="00FD1B57">
        <w:rPr>
          <w:sz w:val="24"/>
          <w:szCs w:val="24"/>
        </w:rPr>
        <w:t xml:space="preserve">: a decrease of 12,444 hours in </w:t>
      </w:r>
      <w:r>
        <w:rPr>
          <w:sz w:val="24"/>
          <w:szCs w:val="24"/>
        </w:rPr>
        <w:t xml:space="preserve">the </w:t>
      </w:r>
      <w:r w:rsidR="00FD1B57">
        <w:rPr>
          <w:sz w:val="24"/>
          <w:szCs w:val="24"/>
        </w:rPr>
        <w:t>annual disclosure burden for NRSROs;</w:t>
      </w:r>
      <w:r w:rsidR="00FD1B57">
        <w:rPr>
          <w:rStyle w:val="FootnoteReference"/>
          <w:sz w:val="24"/>
          <w:szCs w:val="24"/>
        </w:rPr>
        <w:footnoteReference w:id="57"/>
      </w:r>
      <w:r w:rsidR="00FD1B57">
        <w:rPr>
          <w:sz w:val="24"/>
          <w:szCs w:val="24"/>
        </w:rPr>
        <w:t xml:space="preserve"> an increase in </w:t>
      </w:r>
      <w:r>
        <w:rPr>
          <w:sz w:val="24"/>
          <w:szCs w:val="24"/>
        </w:rPr>
        <w:t xml:space="preserve">the </w:t>
      </w:r>
      <w:r w:rsidR="00FD1B57">
        <w:rPr>
          <w:sz w:val="24"/>
          <w:szCs w:val="24"/>
        </w:rPr>
        <w:t xml:space="preserve">annualized one-time </w:t>
      </w:r>
      <w:r w:rsidR="00BF0EED">
        <w:rPr>
          <w:sz w:val="24"/>
          <w:szCs w:val="24"/>
        </w:rPr>
        <w:t xml:space="preserve">disclosure </w:t>
      </w:r>
      <w:r w:rsidR="00FD1B57">
        <w:rPr>
          <w:sz w:val="24"/>
          <w:szCs w:val="24"/>
        </w:rPr>
        <w:t xml:space="preserve">burden for arrangers of structured finance products of 13,600 hours; an increase in the annual disclosure burden for arrangers of structured finance products of </w:t>
      </w:r>
      <w:r w:rsidR="00FD1B57">
        <w:rPr>
          <w:sz w:val="24"/>
          <w:szCs w:val="24"/>
        </w:rPr>
        <w:lastRenderedPageBreak/>
        <w:t>2,720 hours;</w:t>
      </w:r>
      <w:r w:rsidR="00FD1B57">
        <w:rPr>
          <w:rStyle w:val="FootnoteReference"/>
          <w:sz w:val="24"/>
          <w:szCs w:val="24"/>
        </w:rPr>
        <w:footnoteReference w:id="58"/>
      </w:r>
      <w:r w:rsidR="00FD1B57">
        <w:rPr>
          <w:sz w:val="24"/>
          <w:szCs w:val="24"/>
        </w:rPr>
        <w:t xml:space="preserve"> </w:t>
      </w:r>
      <w:r>
        <w:rPr>
          <w:sz w:val="24"/>
          <w:szCs w:val="24"/>
        </w:rPr>
        <w:t xml:space="preserve">and </w:t>
      </w:r>
      <w:r w:rsidR="00FD1B57">
        <w:rPr>
          <w:sz w:val="24"/>
          <w:szCs w:val="24"/>
        </w:rPr>
        <w:t>an increase in the annual disclosure burden for arrangers of structured finance products of 102,000 hours</w:t>
      </w:r>
      <w:r>
        <w:rPr>
          <w:sz w:val="24"/>
          <w:szCs w:val="24"/>
        </w:rPr>
        <w:t>.</w:t>
      </w:r>
      <w:r w:rsidR="00FD1B57">
        <w:rPr>
          <w:rStyle w:val="FootnoteReference"/>
          <w:sz w:val="24"/>
          <w:szCs w:val="24"/>
        </w:rPr>
        <w:footnoteReference w:id="59"/>
      </w:r>
      <w:r w:rsidR="003E276C" w:rsidRPr="00B43D42">
        <w:rPr>
          <w:sz w:val="24"/>
          <w:szCs w:val="24"/>
        </w:rPr>
        <w:tab/>
      </w:r>
      <w:r w:rsidR="001D4E53">
        <w:rPr>
          <w:sz w:val="24"/>
          <w:szCs w:val="24"/>
        </w:rPr>
        <w:t xml:space="preserve"> </w:t>
      </w:r>
    </w:p>
    <w:p w:rsidR="00683372" w:rsidRDefault="00683372" w:rsidP="005350D3">
      <w:pPr>
        <w:tabs>
          <w:tab w:val="left" w:pos="-720"/>
        </w:tabs>
        <w:suppressAutoHyphens/>
        <w:rPr>
          <w:sz w:val="24"/>
          <w:szCs w:val="24"/>
        </w:rPr>
      </w:pPr>
    </w:p>
    <w:p w:rsidR="003E276C" w:rsidRPr="00B43D42" w:rsidRDefault="00683372" w:rsidP="005350D3">
      <w:pPr>
        <w:tabs>
          <w:tab w:val="left" w:pos="-720"/>
        </w:tabs>
        <w:suppressAutoHyphens/>
        <w:rPr>
          <w:sz w:val="24"/>
          <w:szCs w:val="24"/>
        </w:rPr>
      </w:pPr>
      <w:r>
        <w:rPr>
          <w:sz w:val="24"/>
          <w:szCs w:val="24"/>
        </w:rPr>
        <w:tab/>
        <w:t xml:space="preserve">The </w:t>
      </w:r>
      <w:r w:rsidR="00BF0EED">
        <w:rPr>
          <w:sz w:val="24"/>
          <w:szCs w:val="24"/>
        </w:rPr>
        <w:t xml:space="preserve">industry-wide </w:t>
      </w:r>
      <w:r>
        <w:rPr>
          <w:sz w:val="24"/>
          <w:szCs w:val="24"/>
        </w:rPr>
        <w:t xml:space="preserve">increase in burden resulting from the new rules and amendments </w:t>
      </w:r>
      <w:r w:rsidR="00BA5B6D">
        <w:rPr>
          <w:sz w:val="24"/>
          <w:szCs w:val="24"/>
        </w:rPr>
        <w:t xml:space="preserve">to existing rules </w:t>
      </w:r>
      <w:r>
        <w:rPr>
          <w:sz w:val="24"/>
          <w:szCs w:val="24"/>
        </w:rPr>
        <w:t xml:space="preserve">is approximately: an annualized one-time </w:t>
      </w:r>
      <w:r w:rsidR="000F7470">
        <w:rPr>
          <w:sz w:val="24"/>
          <w:szCs w:val="24"/>
        </w:rPr>
        <w:t>disclosure</w:t>
      </w:r>
      <w:r>
        <w:rPr>
          <w:sz w:val="24"/>
          <w:szCs w:val="24"/>
        </w:rPr>
        <w:t xml:space="preserve"> burden for NRSROs</w:t>
      </w:r>
      <w:r w:rsidR="001D4E53">
        <w:rPr>
          <w:sz w:val="24"/>
          <w:szCs w:val="24"/>
        </w:rPr>
        <w:t xml:space="preserve"> </w:t>
      </w:r>
      <w:r>
        <w:rPr>
          <w:sz w:val="24"/>
          <w:szCs w:val="24"/>
        </w:rPr>
        <w:t>of 2,240 hours; an annual disclosure burden for arrangers of structured finance products of 119 hours; an annualized one-time reporting burden for NRSROs of 417 hours; and</w:t>
      </w:r>
      <w:r w:rsidR="002A77CE">
        <w:rPr>
          <w:sz w:val="24"/>
          <w:szCs w:val="24"/>
        </w:rPr>
        <w:t xml:space="preserve"> an annualized one-time reporting burden for NRSROs of $67,000 and 500 hours.</w:t>
      </w:r>
      <w:r w:rsidR="003E276C" w:rsidRPr="00B43D42">
        <w:rPr>
          <w:sz w:val="24"/>
          <w:szCs w:val="24"/>
        </w:rPr>
        <w:t xml:space="preserve">  </w:t>
      </w:r>
      <w:r w:rsidR="00D80AF4">
        <w:rPr>
          <w:sz w:val="24"/>
          <w:szCs w:val="24"/>
        </w:rPr>
        <w:t xml:space="preserve"> </w:t>
      </w:r>
      <w:r w:rsidR="003E276C" w:rsidRPr="00B43D42">
        <w:rPr>
          <w:sz w:val="24"/>
          <w:szCs w:val="24"/>
        </w:rPr>
        <w:t xml:space="preserve"> </w:t>
      </w:r>
    </w:p>
    <w:p w:rsidR="003E276C" w:rsidRPr="00B43D42" w:rsidRDefault="003E276C" w:rsidP="005350D3">
      <w:pPr>
        <w:tabs>
          <w:tab w:val="left" w:pos="-720"/>
        </w:tabs>
        <w:suppressAutoHyphens/>
        <w:rPr>
          <w:sz w:val="24"/>
          <w:szCs w:val="24"/>
        </w:rPr>
      </w:pPr>
    </w:p>
    <w:p w:rsidR="003E276C" w:rsidRPr="00166C8F" w:rsidRDefault="003E276C" w:rsidP="005350D3">
      <w:pPr>
        <w:keepNext/>
        <w:tabs>
          <w:tab w:val="left" w:pos="-720"/>
          <w:tab w:val="left" w:pos="0"/>
          <w:tab w:val="left" w:pos="720"/>
        </w:tabs>
        <w:suppressAutoHyphens/>
        <w:ind w:left="1440" w:hanging="1440"/>
        <w:rPr>
          <w:b/>
          <w:sz w:val="24"/>
          <w:szCs w:val="24"/>
        </w:rPr>
      </w:pPr>
      <w:r w:rsidRPr="00166C8F">
        <w:rPr>
          <w:b/>
          <w:sz w:val="24"/>
          <w:szCs w:val="24"/>
        </w:rPr>
        <w:tab/>
        <w:t>16.</w:t>
      </w:r>
      <w:r w:rsidRPr="00166C8F">
        <w:rPr>
          <w:b/>
          <w:sz w:val="24"/>
          <w:szCs w:val="24"/>
        </w:rPr>
        <w:tab/>
        <w:t>Information Collection Planned for Statistical Purposes</w:t>
      </w:r>
    </w:p>
    <w:p w:rsidR="003E276C" w:rsidRPr="00B43D42" w:rsidRDefault="003E276C" w:rsidP="005350D3">
      <w:pPr>
        <w:keepNext/>
        <w:tabs>
          <w:tab w:val="left" w:pos="-720"/>
        </w:tabs>
        <w:suppressAutoHyphens/>
        <w:rPr>
          <w:sz w:val="24"/>
          <w:szCs w:val="24"/>
        </w:rPr>
      </w:pPr>
    </w:p>
    <w:p w:rsidR="003E276C" w:rsidRPr="00B43D42" w:rsidRDefault="003E276C" w:rsidP="005350D3">
      <w:pPr>
        <w:tabs>
          <w:tab w:val="left" w:pos="-720"/>
        </w:tabs>
        <w:suppressAutoHyphens/>
        <w:rPr>
          <w:sz w:val="24"/>
          <w:szCs w:val="24"/>
        </w:rPr>
      </w:pPr>
      <w:r w:rsidRPr="00B43D42">
        <w:rPr>
          <w:sz w:val="24"/>
          <w:szCs w:val="24"/>
        </w:rPr>
        <w:tab/>
        <w:t xml:space="preserve">Not applicable.  </w:t>
      </w:r>
      <w:r w:rsidR="00CE1834">
        <w:rPr>
          <w:sz w:val="24"/>
          <w:szCs w:val="24"/>
        </w:rPr>
        <w:t xml:space="preserve">The information collection is not used for statistical purposes. </w:t>
      </w:r>
    </w:p>
    <w:p w:rsidR="003E276C" w:rsidRPr="00B43D42" w:rsidRDefault="003E276C" w:rsidP="005350D3">
      <w:pPr>
        <w:tabs>
          <w:tab w:val="left" w:pos="-720"/>
          <w:tab w:val="left" w:pos="0"/>
          <w:tab w:val="left" w:pos="720"/>
        </w:tabs>
        <w:suppressAutoHyphens/>
        <w:ind w:left="1440" w:hanging="1440"/>
        <w:rPr>
          <w:sz w:val="24"/>
          <w:szCs w:val="24"/>
        </w:rPr>
      </w:pPr>
    </w:p>
    <w:p w:rsidR="003E276C" w:rsidRPr="00166C8F" w:rsidRDefault="003E276C" w:rsidP="005350D3">
      <w:pPr>
        <w:keepNext/>
        <w:tabs>
          <w:tab w:val="left" w:pos="-720"/>
          <w:tab w:val="left" w:pos="0"/>
          <w:tab w:val="left" w:pos="720"/>
        </w:tabs>
        <w:suppressAutoHyphens/>
        <w:ind w:left="1440" w:hanging="1440"/>
        <w:rPr>
          <w:b/>
          <w:sz w:val="24"/>
          <w:szCs w:val="24"/>
        </w:rPr>
      </w:pPr>
      <w:r w:rsidRPr="00166C8F">
        <w:rPr>
          <w:b/>
          <w:sz w:val="24"/>
          <w:szCs w:val="24"/>
        </w:rPr>
        <w:tab/>
        <w:t>17.</w:t>
      </w:r>
      <w:r w:rsidRPr="00166C8F">
        <w:rPr>
          <w:b/>
          <w:sz w:val="24"/>
          <w:szCs w:val="24"/>
        </w:rPr>
        <w:tab/>
      </w:r>
      <w:r w:rsidR="00237268">
        <w:rPr>
          <w:b/>
          <w:sz w:val="24"/>
          <w:szCs w:val="24"/>
        </w:rPr>
        <w:t>Approval to Omit OMB Expiration</w:t>
      </w:r>
      <w:r w:rsidR="00166C8F" w:rsidRPr="00166C8F">
        <w:rPr>
          <w:b/>
          <w:sz w:val="24"/>
          <w:szCs w:val="24"/>
        </w:rPr>
        <w:t xml:space="preserve"> Date</w:t>
      </w:r>
    </w:p>
    <w:p w:rsidR="003E276C" w:rsidRPr="00B43D42" w:rsidRDefault="003E276C" w:rsidP="005350D3">
      <w:pPr>
        <w:keepNext/>
        <w:tabs>
          <w:tab w:val="left" w:pos="-720"/>
        </w:tabs>
        <w:suppressAutoHyphens/>
        <w:rPr>
          <w:sz w:val="24"/>
          <w:szCs w:val="24"/>
        </w:rPr>
      </w:pPr>
    </w:p>
    <w:p w:rsidR="003E276C" w:rsidRDefault="003E276C" w:rsidP="005350D3">
      <w:pPr>
        <w:tabs>
          <w:tab w:val="left" w:pos="-720"/>
        </w:tabs>
        <w:suppressAutoHyphens/>
        <w:rPr>
          <w:sz w:val="24"/>
          <w:szCs w:val="24"/>
        </w:rPr>
      </w:pPr>
      <w:r w:rsidRPr="00B43D42">
        <w:rPr>
          <w:sz w:val="24"/>
          <w:szCs w:val="24"/>
        </w:rPr>
        <w:tab/>
      </w:r>
      <w:r w:rsidR="00CE1834">
        <w:rPr>
          <w:sz w:val="24"/>
          <w:szCs w:val="24"/>
        </w:rPr>
        <w:t xml:space="preserve">The Commission is not seeking approval to </w:t>
      </w:r>
      <w:r w:rsidR="00237268">
        <w:rPr>
          <w:sz w:val="24"/>
          <w:szCs w:val="24"/>
        </w:rPr>
        <w:t>omit t</w:t>
      </w:r>
      <w:r w:rsidR="00CE1834">
        <w:rPr>
          <w:sz w:val="24"/>
          <w:szCs w:val="24"/>
        </w:rPr>
        <w:t xml:space="preserve">he </w:t>
      </w:r>
      <w:r w:rsidR="00237268">
        <w:rPr>
          <w:sz w:val="24"/>
          <w:szCs w:val="24"/>
        </w:rPr>
        <w:t>OMB expiration date.</w:t>
      </w:r>
    </w:p>
    <w:p w:rsidR="00237268" w:rsidRPr="00B43D42" w:rsidRDefault="00237268" w:rsidP="005350D3">
      <w:pPr>
        <w:tabs>
          <w:tab w:val="left" w:pos="-720"/>
        </w:tabs>
        <w:suppressAutoHyphens/>
        <w:rPr>
          <w:sz w:val="24"/>
          <w:szCs w:val="24"/>
        </w:rPr>
      </w:pPr>
    </w:p>
    <w:p w:rsidR="003E276C" w:rsidRPr="00166C8F" w:rsidRDefault="003E276C" w:rsidP="005350D3">
      <w:pPr>
        <w:keepNext/>
        <w:tabs>
          <w:tab w:val="left" w:pos="-720"/>
          <w:tab w:val="left" w:pos="0"/>
          <w:tab w:val="left" w:pos="720"/>
        </w:tabs>
        <w:suppressAutoHyphens/>
        <w:ind w:left="1440" w:hanging="1440"/>
        <w:rPr>
          <w:b/>
          <w:sz w:val="24"/>
          <w:szCs w:val="24"/>
        </w:rPr>
      </w:pPr>
      <w:r w:rsidRPr="00B43D42">
        <w:rPr>
          <w:sz w:val="24"/>
          <w:szCs w:val="24"/>
        </w:rPr>
        <w:tab/>
      </w:r>
      <w:r w:rsidRPr="00166C8F">
        <w:rPr>
          <w:b/>
          <w:sz w:val="24"/>
          <w:szCs w:val="24"/>
        </w:rPr>
        <w:t>18.</w:t>
      </w:r>
      <w:r w:rsidRPr="00166C8F">
        <w:rPr>
          <w:b/>
          <w:sz w:val="24"/>
          <w:szCs w:val="24"/>
        </w:rPr>
        <w:tab/>
        <w:t>Exceptions to Certification</w:t>
      </w:r>
    </w:p>
    <w:p w:rsidR="003E276C" w:rsidRPr="00B43D42" w:rsidRDefault="003E276C" w:rsidP="005350D3">
      <w:pPr>
        <w:keepNext/>
        <w:tabs>
          <w:tab w:val="left" w:pos="-720"/>
        </w:tabs>
        <w:suppressAutoHyphens/>
        <w:rPr>
          <w:sz w:val="24"/>
          <w:szCs w:val="24"/>
        </w:rPr>
      </w:pPr>
    </w:p>
    <w:p w:rsidR="003E276C" w:rsidRPr="00B43D42" w:rsidRDefault="003E276C" w:rsidP="005350D3">
      <w:pPr>
        <w:tabs>
          <w:tab w:val="left" w:pos="-720"/>
        </w:tabs>
        <w:suppressAutoHyphens/>
        <w:rPr>
          <w:sz w:val="24"/>
          <w:szCs w:val="24"/>
        </w:rPr>
      </w:pPr>
      <w:r w:rsidRPr="00B43D42">
        <w:rPr>
          <w:sz w:val="24"/>
          <w:szCs w:val="24"/>
        </w:rPr>
        <w:tab/>
      </w:r>
      <w:r w:rsidR="00CE1834">
        <w:rPr>
          <w:sz w:val="24"/>
          <w:szCs w:val="24"/>
        </w:rPr>
        <w:t>This collection complies with the requirements in 5 CFR 1320.9.</w:t>
      </w:r>
    </w:p>
    <w:p w:rsidR="003E276C" w:rsidRPr="00B43D42" w:rsidRDefault="003E276C" w:rsidP="005350D3">
      <w:pPr>
        <w:tabs>
          <w:tab w:val="left" w:pos="-720"/>
        </w:tabs>
        <w:suppressAutoHyphens/>
        <w:rPr>
          <w:sz w:val="24"/>
          <w:szCs w:val="24"/>
        </w:rPr>
      </w:pPr>
    </w:p>
    <w:p w:rsidR="003E276C" w:rsidRPr="00166C8F" w:rsidRDefault="003E276C" w:rsidP="005350D3">
      <w:pPr>
        <w:keepNext/>
        <w:tabs>
          <w:tab w:val="left" w:pos="-720"/>
          <w:tab w:val="left" w:pos="0"/>
        </w:tabs>
        <w:suppressAutoHyphens/>
        <w:ind w:left="720" w:hanging="720"/>
        <w:rPr>
          <w:b/>
          <w:sz w:val="24"/>
          <w:szCs w:val="24"/>
        </w:rPr>
      </w:pPr>
      <w:r w:rsidRPr="00166C8F">
        <w:rPr>
          <w:b/>
          <w:sz w:val="24"/>
          <w:szCs w:val="24"/>
        </w:rPr>
        <w:t>B.</w:t>
      </w:r>
      <w:r w:rsidRPr="00166C8F">
        <w:rPr>
          <w:b/>
          <w:sz w:val="24"/>
          <w:szCs w:val="24"/>
        </w:rPr>
        <w:tab/>
      </w:r>
      <w:r w:rsidR="00166C8F" w:rsidRPr="00166C8F">
        <w:rPr>
          <w:b/>
          <w:sz w:val="24"/>
          <w:szCs w:val="24"/>
        </w:rPr>
        <w:t>COLLECTIONS OF INFORMATION EMPLOYING STATISTICAL METHODS</w:t>
      </w:r>
    </w:p>
    <w:p w:rsidR="003E276C" w:rsidRPr="00B43D42" w:rsidRDefault="003E276C" w:rsidP="005350D3">
      <w:pPr>
        <w:keepNext/>
        <w:tabs>
          <w:tab w:val="left" w:pos="-720"/>
        </w:tabs>
        <w:suppressAutoHyphens/>
        <w:rPr>
          <w:sz w:val="24"/>
          <w:szCs w:val="24"/>
        </w:rPr>
      </w:pPr>
    </w:p>
    <w:p w:rsidR="003E276C" w:rsidRPr="00B43D42" w:rsidRDefault="003E276C" w:rsidP="005350D3">
      <w:pPr>
        <w:tabs>
          <w:tab w:val="left" w:pos="-720"/>
        </w:tabs>
        <w:suppressAutoHyphens/>
        <w:rPr>
          <w:sz w:val="24"/>
          <w:szCs w:val="24"/>
        </w:rPr>
      </w:pPr>
      <w:r w:rsidRPr="00B43D42">
        <w:rPr>
          <w:sz w:val="24"/>
          <w:szCs w:val="24"/>
        </w:rPr>
        <w:tab/>
      </w:r>
      <w:r w:rsidR="00166C8F">
        <w:rPr>
          <w:sz w:val="24"/>
          <w:szCs w:val="24"/>
        </w:rPr>
        <w:t>This collection does not employ statistical methods</w:t>
      </w:r>
      <w:r w:rsidRPr="00B43D42">
        <w:rPr>
          <w:sz w:val="24"/>
          <w:szCs w:val="24"/>
        </w:rPr>
        <w:t>.</w:t>
      </w:r>
    </w:p>
    <w:p w:rsidR="003E276C" w:rsidRPr="00B43D42" w:rsidRDefault="003E276C" w:rsidP="005350D3">
      <w:pPr>
        <w:rPr>
          <w:sz w:val="24"/>
          <w:szCs w:val="24"/>
        </w:rPr>
      </w:pPr>
    </w:p>
    <w:sectPr w:rsidR="003E276C" w:rsidRPr="00B43D42" w:rsidSect="007C0E68">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DE" w:rsidRDefault="003452DE">
      <w:r>
        <w:separator/>
      </w:r>
    </w:p>
  </w:endnote>
  <w:endnote w:type="continuationSeparator" w:id="0">
    <w:p w:rsidR="003452DE" w:rsidRDefault="0034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DE" w:rsidRDefault="003452DE">
      <w:r>
        <w:separator/>
      </w:r>
    </w:p>
  </w:footnote>
  <w:footnote w:type="continuationSeparator" w:id="0">
    <w:p w:rsidR="003452DE" w:rsidRDefault="003452DE">
      <w:r>
        <w:continuationSeparator/>
      </w:r>
    </w:p>
  </w:footnote>
  <w:footnote w:id="1">
    <w:p w:rsidR="00F528AC" w:rsidRPr="007C0E68" w:rsidRDefault="00F528AC" w:rsidP="00AB4E4B">
      <w:pPr>
        <w:pStyle w:val="FootnoteText"/>
        <w:rPr>
          <w:sz w:val="24"/>
          <w:szCs w:val="24"/>
        </w:rPr>
      </w:pPr>
      <w:r w:rsidRPr="00453B51">
        <w:rPr>
          <w:rStyle w:val="FootnoteReference"/>
          <w:sz w:val="22"/>
          <w:szCs w:val="22"/>
        </w:rPr>
        <w:footnoteRef/>
      </w:r>
      <w:r w:rsidRPr="00453B51">
        <w:rPr>
          <w:sz w:val="22"/>
          <w:szCs w:val="22"/>
        </w:rPr>
        <w:t xml:space="preserve"> </w:t>
      </w:r>
      <w:r w:rsidRPr="00210B6A">
        <w:rPr>
          <w:sz w:val="24"/>
          <w:szCs w:val="24"/>
        </w:rPr>
        <w:tab/>
      </w:r>
      <w:proofErr w:type="gramStart"/>
      <w:r w:rsidRPr="007C0E68">
        <w:rPr>
          <w:sz w:val="24"/>
          <w:szCs w:val="24"/>
        </w:rPr>
        <w:t>Pub.</w:t>
      </w:r>
      <w:proofErr w:type="gramEnd"/>
      <w:r w:rsidRPr="007C0E68">
        <w:rPr>
          <w:sz w:val="24"/>
          <w:szCs w:val="24"/>
        </w:rPr>
        <w:t xml:space="preserve"> L. No. 109-291.</w:t>
      </w:r>
    </w:p>
  </w:footnote>
  <w:footnote w:id="2">
    <w:p w:rsidR="005B2E2B" w:rsidRPr="007C0E68" w:rsidRDefault="005B2E2B" w:rsidP="005B2E2B">
      <w:pPr>
        <w:pStyle w:val="FootnoteText"/>
        <w:rPr>
          <w:sz w:val="24"/>
          <w:szCs w:val="24"/>
        </w:rPr>
      </w:pPr>
      <w:r w:rsidRPr="007C0E68">
        <w:rPr>
          <w:rStyle w:val="FootnoteReference"/>
          <w:sz w:val="24"/>
          <w:szCs w:val="24"/>
        </w:rPr>
        <w:footnoteRef/>
      </w:r>
      <w:r w:rsidRPr="007C0E68">
        <w:rPr>
          <w:sz w:val="24"/>
          <w:szCs w:val="24"/>
        </w:rPr>
        <w:t xml:space="preserve"> </w:t>
      </w:r>
      <w:r w:rsidRPr="007C0E68">
        <w:rPr>
          <w:sz w:val="24"/>
          <w:szCs w:val="24"/>
        </w:rPr>
        <w:tab/>
      </w:r>
      <w:proofErr w:type="gramStart"/>
      <w:r w:rsidRPr="007C0E68">
        <w:rPr>
          <w:sz w:val="24"/>
          <w:szCs w:val="24"/>
        </w:rPr>
        <w:t>15 U.S.C. 78o-7.</w:t>
      </w:r>
      <w:proofErr w:type="gramEnd"/>
    </w:p>
  </w:footnote>
  <w:footnote w:id="3">
    <w:p w:rsidR="001C4913" w:rsidRPr="007C0E68" w:rsidRDefault="001C4913" w:rsidP="001C4913">
      <w:pPr>
        <w:pStyle w:val="FootnoteText"/>
        <w:rPr>
          <w:sz w:val="24"/>
          <w:szCs w:val="24"/>
        </w:rPr>
      </w:pPr>
      <w:r w:rsidRPr="007C0E68">
        <w:rPr>
          <w:rStyle w:val="FootnoteReference"/>
          <w:sz w:val="24"/>
          <w:szCs w:val="24"/>
        </w:rPr>
        <w:footnoteRef/>
      </w:r>
      <w:r w:rsidRPr="007C0E68">
        <w:rPr>
          <w:sz w:val="24"/>
          <w:szCs w:val="24"/>
        </w:rPr>
        <w:t xml:space="preserve"> </w:t>
      </w:r>
      <w:r w:rsidRPr="007C0E68">
        <w:rPr>
          <w:sz w:val="24"/>
          <w:szCs w:val="24"/>
        </w:rPr>
        <w:tab/>
        <w:t>15 U.S.C. 78o-7(h</w:t>
      </w:r>
      <w:proofErr w:type="gramStart"/>
      <w:r w:rsidRPr="007C0E68">
        <w:rPr>
          <w:sz w:val="24"/>
          <w:szCs w:val="24"/>
        </w:rPr>
        <w:t>)(</w:t>
      </w:r>
      <w:proofErr w:type="gramEnd"/>
      <w:r>
        <w:rPr>
          <w:sz w:val="24"/>
          <w:szCs w:val="24"/>
        </w:rPr>
        <w:t>1</w:t>
      </w:r>
      <w:r w:rsidRPr="007C0E68">
        <w:rPr>
          <w:sz w:val="24"/>
          <w:szCs w:val="24"/>
        </w:rPr>
        <w:t>).</w:t>
      </w:r>
    </w:p>
  </w:footnote>
  <w:footnote w:id="4">
    <w:p w:rsidR="005B2E2B" w:rsidRPr="007C0E68" w:rsidRDefault="005B2E2B" w:rsidP="005B2E2B">
      <w:pPr>
        <w:pStyle w:val="FootnoteText"/>
        <w:rPr>
          <w:sz w:val="24"/>
          <w:szCs w:val="24"/>
        </w:rPr>
      </w:pPr>
      <w:r w:rsidRPr="007C0E68">
        <w:rPr>
          <w:rStyle w:val="FootnoteReference"/>
          <w:sz w:val="24"/>
          <w:szCs w:val="24"/>
        </w:rPr>
        <w:footnoteRef/>
      </w:r>
      <w:r w:rsidRPr="007C0E68">
        <w:rPr>
          <w:sz w:val="24"/>
          <w:szCs w:val="24"/>
        </w:rPr>
        <w:t xml:space="preserve"> </w:t>
      </w:r>
      <w:r w:rsidRPr="007C0E68">
        <w:rPr>
          <w:sz w:val="24"/>
          <w:szCs w:val="24"/>
        </w:rPr>
        <w:tab/>
        <w:t>15 U.S.C. 78o-7(h</w:t>
      </w:r>
      <w:proofErr w:type="gramStart"/>
      <w:r w:rsidRPr="007C0E68">
        <w:rPr>
          <w:sz w:val="24"/>
          <w:szCs w:val="24"/>
        </w:rPr>
        <w:t>)(</w:t>
      </w:r>
      <w:proofErr w:type="gramEnd"/>
      <w:r w:rsidRPr="007C0E68">
        <w:rPr>
          <w:sz w:val="24"/>
          <w:szCs w:val="24"/>
        </w:rPr>
        <w:t>2).</w:t>
      </w:r>
    </w:p>
  </w:footnote>
  <w:footnote w:id="5">
    <w:p w:rsidR="00DF6D28" w:rsidRPr="00952B52" w:rsidRDefault="00DF6D28">
      <w:pPr>
        <w:pStyle w:val="FootnoteText"/>
        <w:rPr>
          <w:sz w:val="24"/>
          <w:szCs w:val="24"/>
        </w:rPr>
      </w:pPr>
      <w:r w:rsidRPr="00952B52">
        <w:rPr>
          <w:rStyle w:val="FootnoteReference"/>
          <w:sz w:val="24"/>
          <w:szCs w:val="24"/>
        </w:rPr>
        <w:footnoteRef/>
      </w:r>
      <w:r w:rsidRPr="00952B52">
        <w:rPr>
          <w:sz w:val="24"/>
          <w:szCs w:val="24"/>
        </w:rPr>
        <w:t xml:space="preserve"> </w:t>
      </w:r>
      <w:r w:rsidRPr="00952B52">
        <w:rPr>
          <w:sz w:val="24"/>
          <w:szCs w:val="24"/>
        </w:rPr>
        <w:tab/>
      </w:r>
      <w:proofErr w:type="gramStart"/>
      <w:r w:rsidRPr="00952B52">
        <w:rPr>
          <w:sz w:val="24"/>
          <w:szCs w:val="24"/>
        </w:rPr>
        <w:t>17 CFR 240.17g-5.</w:t>
      </w:r>
      <w:proofErr w:type="gramEnd"/>
      <w:r w:rsidR="00952B52" w:rsidRPr="00952B52">
        <w:rPr>
          <w:iCs/>
          <w:color w:val="000000"/>
          <w:sz w:val="24"/>
          <w:szCs w:val="24"/>
        </w:rPr>
        <w:t xml:space="preserve"> The OMB Control Number for Rule 17g-5 is 3235-0649.</w:t>
      </w:r>
    </w:p>
  </w:footnote>
  <w:footnote w:id="6">
    <w:p w:rsidR="00DF6D28" w:rsidRPr="007C0E68" w:rsidRDefault="00DF6D28" w:rsidP="00DF6D28">
      <w:pPr>
        <w:pStyle w:val="FootnoteText"/>
        <w:ind w:left="720" w:hanging="720"/>
        <w:rPr>
          <w:sz w:val="24"/>
          <w:szCs w:val="24"/>
        </w:rPr>
      </w:pPr>
      <w:r w:rsidRPr="007C0E68">
        <w:rPr>
          <w:rStyle w:val="FootnoteReference"/>
          <w:sz w:val="24"/>
          <w:szCs w:val="24"/>
        </w:rPr>
        <w:footnoteRef/>
      </w:r>
      <w:r w:rsidRPr="007C0E68">
        <w:rPr>
          <w:sz w:val="24"/>
          <w:szCs w:val="24"/>
        </w:rPr>
        <w:t xml:space="preserve"> </w:t>
      </w:r>
      <w:r w:rsidRPr="007C0E68">
        <w:rPr>
          <w:sz w:val="24"/>
          <w:szCs w:val="24"/>
        </w:rPr>
        <w:tab/>
      </w:r>
      <w:r w:rsidRPr="007C0E68">
        <w:rPr>
          <w:sz w:val="24"/>
          <w:szCs w:val="24"/>
          <w:u w:val="single"/>
        </w:rPr>
        <w:t>See</w:t>
      </w:r>
      <w:r w:rsidRPr="007C0E68">
        <w:rPr>
          <w:sz w:val="24"/>
          <w:szCs w:val="24"/>
        </w:rPr>
        <w:t xml:space="preserve"> </w:t>
      </w:r>
      <w:r w:rsidRPr="007C0E68">
        <w:rPr>
          <w:sz w:val="24"/>
          <w:szCs w:val="24"/>
          <w:u w:val="single"/>
        </w:rPr>
        <w:t>Oversight of Credit Rating Agencies Registered as Nationally Recognized Statistical Rating Organizations</w:t>
      </w:r>
      <w:r w:rsidRPr="007C0E68">
        <w:rPr>
          <w:sz w:val="24"/>
          <w:szCs w:val="24"/>
        </w:rPr>
        <w:t xml:space="preserve">, </w:t>
      </w:r>
      <w:r w:rsidR="00460FA9">
        <w:rPr>
          <w:sz w:val="24"/>
          <w:szCs w:val="24"/>
        </w:rPr>
        <w:t xml:space="preserve">Exchange Act Release No. 55857 (June 5, 2007), </w:t>
      </w:r>
      <w:r w:rsidRPr="007C0E68">
        <w:rPr>
          <w:sz w:val="24"/>
          <w:szCs w:val="24"/>
        </w:rPr>
        <w:t xml:space="preserve">72 FR </w:t>
      </w:r>
      <w:r w:rsidR="00460FA9">
        <w:rPr>
          <w:sz w:val="24"/>
          <w:szCs w:val="24"/>
        </w:rPr>
        <w:t xml:space="preserve">33564, </w:t>
      </w:r>
      <w:r w:rsidRPr="007C0E68">
        <w:rPr>
          <w:sz w:val="24"/>
          <w:szCs w:val="24"/>
        </w:rPr>
        <w:t xml:space="preserve">33595-33599 (June 18, 2007); </w:t>
      </w:r>
      <w:r w:rsidRPr="007C0E68">
        <w:rPr>
          <w:sz w:val="24"/>
          <w:szCs w:val="24"/>
          <w:u w:val="single"/>
        </w:rPr>
        <w:t>Amendments to Rules for Nationally Recognized Statistical Rating Organizations</w:t>
      </w:r>
      <w:r w:rsidRPr="007C0E68">
        <w:rPr>
          <w:sz w:val="24"/>
          <w:szCs w:val="24"/>
        </w:rPr>
        <w:t xml:space="preserve">, </w:t>
      </w:r>
      <w:r w:rsidR="00B2089E">
        <w:rPr>
          <w:sz w:val="24"/>
          <w:szCs w:val="24"/>
        </w:rPr>
        <w:t xml:space="preserve">Exchange Act Release No. 59342 (Feb. 2, 2009) </w:t>
      </w:r>
      <w:r w:rsidRPr="007C0E68">
        <w:rPr>
          <w:sz w:val="24"/>
          <w:szCs w:val="24"/>
        </w:rPr>
        <w:t xml:space="preserve">74 FR </w:t>
      </w:r>
      <w:r w:rsidR="00B2089E">
        <w:rPr>
          <w:sz w:val="24"/>
          <w:szCs w:val="24"/>
        </w:rPr>
        <w:t xml:space="preserve">6456, </w:t>
      </w:r>
      <w:r w:rsidRPr="007C0E68">
        <w:rPr>
          <w:sz w:val="24"/>
          <w:szCs w:val="24"/>
        </w:rPr>
        <w:t xml:space="preserve">6465-6469 (Feb. 9, 2009); </w:t>
      </w:r>
      <w:r w:rsidRPr="007C0E68">
        <w:rPr>
          <w:sz w:val="24"/>
          <w:szCs w:val="24"/>
          <w:u w:val="single"/>
        </w:rPr>
        <w:t>Amendments to Rules for Nationally Recognized Statistical Rating Organizations</w:t>
      </w:r>
      <w:r w:rsidRPr="007C0E68">
        <w:rPr>
          <w:sz w:val="24"/>
          <w:szCs w:val="24"/>
        </w:rPr>
        <w:t xml:space="preserve">, </w:t>
      </w:r>
      <w:r w:rsidR="00D34DF8" w:rsidRPr="007C0E68">
        <w:rPr>
          <w:sz w:val="24"/>
          <w:szCs w:val="24"/>
        </w:rPr>
        <w:t xml:space="preserve">Exchange Act Release No. 61050 (Nov. 23, 2009), </w:t>
      </w:r>
      <w:r w:rsidRPr="007C0E68">
        <w:rPr>
          <w:sz w:val="24"/>
          <w:szCs w:val="24"/>
        </w:rPr>
        <w:t>74 FR</w:t>
      </w:r>
      <w:r w:rsidR="00B2089E">
        <w:rPr>
          <w:sz w:val="24"/>
          <w:szCs w:val="24"/>
        </w:rPr>
        <w:t xml:space="preserve"> 63832,</w:t>
      </w:r>
      <w:r w:rsidRPr="007C0E68">
        <w:rPr>
          <w:sz w:val="24"/>
          <w:szCs w:val="24"/>
        </w:rPr>
        <w:t xml:space="preserve"> 63842-63850 (Dec. 4, 2009). </w:t>
      </w:r>
    </w:p>
  </w:footnote>
  <w:footnote w:id="7">
    <w:p w:rsidR="00AB78FD" w:rsidRPr="007C0E68" w:rsidRDefault="00AB78FD" w:rsidP="00AB78FD">
      <w:pPr>
        <w:pStyle w:val="FootnoteText"/>
        <w:ind w:left="720" w:hanging="720"/>
        <w:rPr>
          <w:sz w:val="24"/>
          <w:szCs w:val="24"/>
        </w:rPr>
      </w:pPr>
      <w:r w:rsidRPr="007C0E68">
        <w:rPr>
          <w:rStyle w:val="FootnoteReference"/>
          <w:sz w:val="24"/>
          <w:szCs w:val="24"/>
        </w:rPr>
        <w:footnoteRef/>
      </w:r>
      <w:r w:rsidRPr="007C0E68">
        <w:rPr>
          <w:sz w:val="24"/>
          <w:szCs w:val="24"/>
        </w:rPr>
        <w:t xml:space="preserve"> </w:t>
      </w:r>
      <w:r w:rsidRPr="007C0E68">
        <w:rPr>
          <w:sz w:val="24"/>
          <w:szCs w:val="24"/>
        </w:rPr>
        <w:tab/>
      </w:r>
      <w:proofErr w:type="gramStart"/>
      <w:r w:rsidRPr="007C0E68">
        <w:rPr>
          <w:sz w:val="24"/>
          <w:szCs w:val="24"/>
        </w:rPr>
        <w:t>Pub.</w:t>
      </w:r>
      <w:proofErr w:type="gramEnd"/>
      <w:r w:rsidRPr="007C0E68">
        <w:rPr>
          <w:sz w:val="24"/>
          <w:szCs w:val="24"/>
        </w:rPr>
        <w:t xml:space="preserve"> L. No. 111-203, 124 Stat. 1376, H.R. 4173 (July 21, 2010).</w:t>
      </w:r>
    </w:p>
  </w:footnote>
  <w:footnote w:id="8">
    <w:p w:rsidR="00AB78FD" w:rsidRPr="007C0E68" w:rsidRDefault="00AB78FD" w:rsidP="00AB78FD">
      <w:pPr>
        <w:pStyle w:val="FootnoteText"/>
        <w:tabs>
          <w:tab w:val="left" w:pos="720"/>
        </w:tabs>
        <w:rPr>
          <w:sz w:val="24"/>
          <w:szCs w:val="24"/>
        </w:rPr>
      </w:pPr>
      <w:r w:rsidRPr="00F82A51">
        <w:rPr>
          <w:rStyle w:val="FootnoteReference"/>
        </w:rPr>
        <w:footnoteRef/>
      </w:r>
      <w:r w:rsidRPr="00F82A51">
        <w:t xml:space="preserve"> </w:t>
      </w:r>
      <w:r w:rsidRPr="00F82A51">
        <w:tab/>
      </w:r>
      <w:r w:rsidRPr="007C0E68">
        <w:rPr>
          <w:sz w:val="24"/>
          <w:szCs w:val="24"/>
          <w:u w:val="single"/>
        </w:rPr>
        <w:t>See</w:t>
      </w:r>
      <w:r w:rsidRPr="007C0E68">
        <w:rPr>
          <w:sz w:val="24"/>
          <w:szCs w:val="24"/>
        </w:rPr>
        <w:t xml:space="preserve"> Pub. L. No. 111-203</w:t>
      </w:r>
      <w:r w:rsidR="007C0E68" w:rsidRPr="007C0E68">
        <w:rPr>
          <w:sz w:val="24"/>
          <w:szCs w:val="24"/>
        </w:rPr>
        <w:t xml:space="preserve">, </w:t>
      </w:r>
      <w:r w:rsidRPr="007C0E68">
        <w:rPr>
          <w:sz w:val="24"/>
          <w:szCs w:val="24"/>
        </w:rPr>
        <w:t xml:space="preserve">939, 939D - 939F.  </w:t>
      </w:r>
    </w:p>
  </w:footnote>
  <w:footnote w:id="9">
    <w:p w:rsidR="00AB78FD" w:rsidRPr="007C0E68" w:rsidRDefault="00AB78FD" w:rsidP="00AB78FD">
      <w:pPr>
        <w:ind w:left="720" w:hanging="720"/>
        <w:rPr>
          <w:sz w:val="24"/>
          <w:szCs w:val="24"/>
        </w:rPr>
      </w:pPr>
      <w:r w:rsidRPr="007C0E68">
        <w:rPr>
          <w:rStyle w:val="FootnoteReference"/>
          <w:sz w:val="24"/>
          <w:szCs w:val="24"/>
        </w:rPr>
        <w:footnoteRef/>
      </w:r>
      <w:r w:rsidRPr="007C0E68">
        <w:rPr>
          <w:sz w:val="24"/>
          <w:szCs w:val="24"/>
        </w:rPr>
        <w:t xml:space="preserve"> </w:t>
      </w:r>
      <w:r w:rsidRPr="007C0E68">
        <w:rPr>
          <w:sz w:val="24"/>
          <w:szCs w:val="24"/>
        </w:rPr>
        <w:tab/>
      </w:r>
      <w:r w:rsidRPr="007C0E68">
        <w:rPr>
          <w:sz w:val="24"/>
          <w:szCs w:val="24"/>
          <w:u w:val="single"/>
        </w:rPr>
        <w:t>See</w:t>
      </w:r>
      <w:r w:rsidRPr="007C0E68">
        <w:rPr>
          <w:sz w:val="24"/>
          <w:szCs w:val="24"/>
        </w:rPr>
        <w:t xml:space="preserve"> Pub. L. No. 111-203</w:t>
      </w:r>
      <w:r w:rsidR="007C0E68" w:rsidRPr="007C0E68">
        <w:rPr>
          <w:sz w:val="24"/>
          <w:szCs w:val="24"/>
        </w:rPr>
        <w:t xml:space="preserve">, </w:t>
      </w:r>
      <w:r w:rsidRPr="007C0E68">
        <w:rPr>
          <w:sz w:val="24"/>
          <w:szCs w:val="24"/>
        </w:rPr>
        <w:t xml:space="preserve">931-939H; </w:t>
      </w:r>
      <w:r w:rsidRPr="007C0E68">
        <w:rPr>
          <w:sz w:val="24"/>
          <w:szCs w:val="24"/>
          <w:u w:val="single"/>
        </w:rPr>
        <w:t>see also</w:t>
      </w:r>
      <w:r w:rsidRPr="007C0E68">
        <w:rPr>
          <w:sz w:val="24"/>
          <w:szCs w:val="24"/>
        </w:rPr>
        <w:t xml:space="preserve"> Pub. </w:t>
      </w:r>
      <w:proofErr w:type="gramStart"/>
      <w:r w:rsidRPr="007C0E68">
        <w:rPr>
          <w:sz w:val="24"/>
          <w:szCs w:val="24"/>
        </w:rPr>
        <w:t>L. No. 111-203 § 943.</w:t>
      </w:r>
      <w:proofErr w:type="gramEnd"/>
      <w:r w:rsidRPr="007C0E68">
        <w:rPr>
          <w:sz w:val="24"/>
          <w:szCs w:val="24"/>
        </w:rPr>
        <w:t xml:space="preserve"> </w:t>
      </w:r>
    </w:p>
  </w:footnote>
  <w:footnote w:id="10">
    <w:p w:rsidR="00DF6D28" w:rsidRPr="007C0E68" w:rsidRDefault="00DF6D28" w:rsidP="00DF6D28">
      <w:pPr>
        <w:pStyle w:val="FootnoteText"/>
        <w:rPr>
          <w:sz w:val="24"/>
          <w:szCs w:val="24"/>
        </w:rPr>
      </w:pPr>
      <w:r w:rsidRPr="007C0E68">
        <w:rPr>
          <w:rStyle w:val="FootnoteReference"/>
          <w:sz w:val="24"/>
          <w:szCs w:val="24"/>
        </w:rPr>
        <w:footnoteRef/>
      </w:r>
      <w:r w:rsidRPr="007C0E68">
        <w:rPr>
          <w:sz w:val="24"/>
          <w:szCs w:val="24"/>
        </w:rPr>
        <w:t xml:space="preserve"> </w:t>
      </w:r>
      <w:r w:rsidRPr="007C0E68">
        <w:rPr>
          <w:sz w:val="24"/>
          <w:szCs w:val="24"/>
        </w:rPr>
        <w:tab/>
      </w:r>
      <w:r w:rsidRPr="007C0E68">
        <w:rPr>
          <w:sz w:val="24"/>
          <w:szCs w:val="24"/>
          <w:u w:val="single"/>
        </w:rPr>
        <w:t>See</w:t>
      </w:r>
      <w:r w:rsidRPr="007C0E68">
        <w:rPr>
          <w:sz w:val="24"/>
          <w:szCs w:val="24"/>
        </w:rPr>
        <w:t xml:space="preserve"> Pub. L. No. 111-203, 932(a</w:t>
      </w:r>
      <w:proofErr w:type="gramStart"/>
      <w:r w:rsidRPr="007C0E68">
        <w:rPr>
          <w:sz w:val="24"/>
          <w:szCs w:val="24"/>
        </w:rPr>
        <w:t>)(</w:t>
      </w:r>
      <w:proofErr w:type="gramEnd"/>
      <w:r w:rsidRPr="007C0E68">
        <w:rPr>
          <w:sz w:val="24"/>
          <w:szCs w:val="24"/>
        </w:rPr>
        <w:t>4); 15 U.S.C. 78o-7(h)(3).</w:t>
      </w:r>
    </w:p>
  </w:footnote>
  <w:footnote w:id="11">
    <w:p w:rsidR="00DF6D28" w:rsidRPr="007C0E68" w:rsidRDefault="00DF6D28" w:rsidP="00DF6D28">
      <w:pPr>
        <w:pStyle w:val="FootnoteText"/>
        <w:rPr>
          <w:sz w:val="24"/>
          <w:szCs w:val="24"/>
        </w:rPr>
      </w:pPr>
      <w:r w:rsidRPr="007C0E68">
        <w:rPr>
          <w:rStyle w:val="FootnoteReference"/>
          <w:sz w:val="24"/>
          <w:szCs w:val="24"/>
        </w:rPr>
        <w:footnoteRef/>
      </w:r>
      <w:r w:rsidRPr="007C0E68">
        <w:rPr>
          <w:sz w:val="24"/>
          <w:szCs w:val="24"/>
        </w:rPr>
        <w:t xml:space="preserve"> </w:t>
      </w:r>
      <w:r w:rsidRPr="007C0E68">
        <w:rPr>
          <w:sz w:val="24"/>
          <w:szCs w:val="24"/>
        </w:rPr>
        <w:tab/>
        <w:t>15 U.S.C. 78o-7(h</w:t>
      </w:r>
      <w:proofErr w:type="gramStart"/>
      <w:r w:rsidRPr="007C0E68">
        <w:rPr>
          <w:sz w:val="24"/>
          <w:szCs w:val="24"/>
        </w:rPr>
        <w:t>)(</w:t>
      </w:r>
      <w:proofErr w:type="gramEnd"/>
      <w:r w:rsidRPr="007C0E68">
        <w:rPr>
          <w:sz w:val="24"/>
          <w:szCs w:val="24"/>
        </w:rPr>
        <w:t>3)(A).</w:t>
      </w:r>
    </w:p>
  </w:footnote>
  <w:footnote w:id="12">
    <w:p w:rsidR="00DF6D28" w:rsidRPr="007C0E68" w:rsidRDefault="00DF6D28" w:rsidP="00DF6D28">
      <w:pPr>
        <w:pStyle w:val="FootnoteText"/>
        <w:rPr>
          <w:sz w:val="24"/>
          <w:szCs w:val="24"/>
        </w:rPr>
      </w:pPr>
      <w:r w:rsidRPr="007C0E68">
        <w:rPr>
          <w:rStyle w:val="FootnoteReference"/>
          <w:sz w:val="24"/>
          <w:szCs w:val="24"/>
        </w:rPr>
        <w:footnoteRef/>
      </w:r>
      <w:r w:rsidRPr="007C0E68">
        <w:rPr>
          <w:sz w:val="24"/>
          <w:szCs w:val="24"/>
        </w:rPr>
        <w:t xml:space="preserve"> </w:t>
      </w:r>
      <w:r w:rsidRPr="007C0E68">
        <w:rPr>
          <w:sz w:val="24"/>
          <w:szCs w:val="24"/>
        </w:rPr>
        <w:tab/>
        <w:t>15 U.S.C. 78o-7(h</w:t>
      </w:r>
      <w:proofErr w:type="gramStart"/>
      <w:r w:rsidRPr="007C0E68">
        <w:rPr>
          <w:sz w:val="24"/>
          <w:szCs w:val="24"/>
        </w:rPr>
        <w:t>)(</w:t>
      </w:r>
      <w:proofErr w:type="gramEnd"/>
      <w:r w:rsidRPr="007C0E68">
        <w:rPr>
          <w:sz w:val="24"/>
          <w:szCs w:val="24"/>
        </w:rPr>
        <w:t>3)(B)(</w:t>
      </w:r>
      <w:proofErr w:type="spellStart"/>
      <w:r w:rsidRPr="007C0E68">
        <w:rPr>
          <w:sz w:val="24"/>
          <w:szCs w:val="24"/>
        </w:rPr>
        <w:t>i</w:t>
      </w:r>
      <w:proofErr w:type="spellEnd"/>
      <w:r w:rsidRPr="007C0E68">
        <w:rPr>
          <w:sz w:val="24"/>
          <w:szCs w:val="24"/>
        </w:rPr>
        <w:t>).</w:t>
      </w:r>
    </w:p>
  </w:footnote>
  <w:footnote w:id="13">
    <w:p w:rsidR="00DF6D28" w:rsidRPr="007C0E68" w:rsidRDefault="00DF6D28" w:rsidP="00DF6D28">
      <w:pPr>
        <w:pStyle w:val="FootnoteText"/>
        <w:rPr>
          <w:sz w:val="24"/>
          <w:szCs w:val="24"/>
        </w:rPr>
      </w:pPr>
      <w:r w:rsidRPr="007C0E68">
        <w:rPr>
          <w:rStyle w:val="FootnoteReference"/>
          <w:sz w:val="24"/>
          <w:szCs w:val="24"/>
        </w:rPr>
        <w:footnoteRef/>
      </w:r>
      <w:r w:rsidRPr="007C0E68">
        <w:rPr>
          <w:sz w:val="24"/>
          <w:szCs w:val="24"/>
        </w:rPr>
        <w:t xml:space="preserve"> </w:t>
      </w:r>
      <w:r w:rsidRPr="007C0E68">
        <w:rPr>
          <w:sz w:val="24"/>
          <w:szCs w:val="24"/>
        </w:rPr>
        <w:tab/>
        <w:t>15 U.S.C. 78o-7(h</w:t>
      </w:r>
      <w:proofErr w:type="gramStart"/>
      <w:r w:rsidRPr="007C0E68">
        <w:rPr>
          <w:sz w:val="24"/>
          <w:szCs w:val="24"/>
        </w:rPr>
        <w:t>)(</w:t>
      </w:r>
      <w:proofErr w:type="gramEnd"/>
      <w:r w:rsidRPr="007C0E68">
        <w:rPr>
          <w:sz w:val="24"/>
          <w:szCs w:val="24"/>
        </w:rPr>
        <w:t>3)(B)(ii).</w:t>
      </w:r>
    </w:p>
  </w:footnote>
  <w:footnote w:id="14">
    <w:p w:rsidR="00710E79" w:rsidRPr="007A5850" w:rsidRDefault="00710E79" w:rsidP="007A5850">
      <w:pPr>
        <w:pStyle w:val="FootnoteText"/>
        <w:ind w:left="720" w:hanging="720"/>
        <w:rPr>
          <w:sz w:val="24"/>
          <w:szCs w:val="24"/>
        </w:rPr>
      </w:pPr>
      <w:r w:rsidRPr="00501210">
        <w:rPr>
          <w:rStyle w:val="FootnoteReference"/>
        </w:rPr>
        <w:footnoteRef/>
      </w:r>
      <w:r w:rsidRPr="00501210">
        <w:t xml:space="preserve"> </w:t>
      </w:r>
      <w:r w:rsidRPr="00501210">
        <w:tab/>
      </w:r>
      <w:r w:rsidRPr="007A5850">
        <w:rPr>
          <w:sz w:val="24"/>
          <w:szCs w:val="24"/>
          <w:u w:val="single"/>
        </w:rPr>
        <w:t>See</w:t>
      </w:r>
      <w:r w:rsidRPr="007A5850">
        <w:rPr>
          <w:sz w:val="24"/>
          <w:szCs w:val="24"/>
        </w:rPr>
        <w:t xml:space="preserve"> </w:t>
      </w:r>
      <w:r w:rsidRPr="007A5850">
        <w:rPr>
          <w:sz w:val="24"/>
          <w:szCs w:val="24"/>
          <w:u w:val="single"/>
        </w:rPr>
        <w:t>Nationally Recognized Statistical Rating Organizations</w:t>
      </w:r>
      <w:r w:rsidRPr="007A5850">
        <w:rPr>
          <w:sz w:val="24"/>
          <w:szCs w:val="24"/>
        </w:rPr>
        <w:t>, Exchange Act Release No. 64514 (May 18, 2011), 76 FR 33420 (June 8, 2011)</w:t>
      </w:r>
      <w:r w:rsidR="007A5850" w:rsidRPr="007A5850">
        <w:rPr>
          <w:sz w:val="24"/>
          <w:szCs w:val="24"/>
        </w:rPr>
        <w:t xml:space="preserve"> (“Proposing Release”)</w:t>
      </w:r>
      <w:r w:rsidRPr="007A5850">
        <w:rPr>
          <w:sz w:val="24"/>
          <w:szCs w:val="24"/>
        </w:rPr>
        <w:t xml:space="preserve">.  </w:t>
      </w:r>
    </w:p>
  </w:footnote>
  <w:footnote w:id="15">
    <w:p w:rsidR="00F52CD0" w:rsidRDefault="00F52CD0" w:rsidP="00F52CD0">
      <w:pPr>
        <w:pStyle w:val="FootnoteText"/>
        <w:ind w:left="720" w:hanging="720"/>
      </w:pPr>
      <w:r w:rsidRPr="007A5850">
        <w:rPr>
          <w:rStyle w:val="FootnoteReference"/>
          <w:sz w:val="24"/>
          <w:szCs w:val="24"/>
        </w:rPr>
        <w:footnoteRef/>
      </w:r>
      <w:r w:rsidRPr="007A5850">
        <w:rPr>
          <w:sz w:val="24"/>
          <w:szCs w:val="24"/>
        </w:rPr>
        <w:t xml:space="preserve"> </w:t>
      </w:r>
      <w:r w:rsidRPr="007A5850">
        <w:rPr>
          <w:sz w:val="24"/>
          <w:szCs w:val="24"/>
        </w:rPr>
        <w:tab/>
      </w:r>
      <w:r w:rsidRPr="007A5850">
        <w:rPr>
          <w:sz w:val="24"/>
          <w:szCs w:val="24"/>
          <w:u w:val="single"/>
        </w:rPr>
        <w:t>See</w:t>
      </w:r>
      <w:r w:rsidRPr="007A5850">
        <w:rPr>
          <w:sz w:val="24"/>
          <w:szCs w:val="24"/>
        </w:rPr>
        <w:t xml:space="preserve"> </w:t>
      </w:r>
      <w:r w:rsidRPr="007A5850">
        <w:rPr>
          <w:sz w:val="24"/>
          <w:szCs w:val="24"/>
          <w:u w:val="single"/>
        </w:rPr>
        <w:t>Nationally Recognized Statistical Rating Organizations</w:t>
      </w:r>
      <w:r w:rsidRPr="007A5850">
        <w:rPr>
          <w:sz w:val="24"/>
          <w:szCs w:val="24"/>
        </w:rPr>
        <w:t>, Exchange Act Release No.</w:t>
      </w:r>
      <w:r w:rsidR="00101DE4">
        <w:rPr>
          <w:sz w:val="24"/>
          <w:szCs w:val="24"/>
        </w:rPr>
        <w:t xml:space="preserve"> 72936</w:t>
      </w:r>
      <w:r w:rsidRPr="007A5850">
        <w:rPr>
          <w:sz w:val="24"/>
          <w:szCs w:val="24"/>
        </w:rPr>
        <w:t xml:space="preserve">  (Aug. 27, 2014),  </w:t>
      </w:r>
      <w:r w:rsidR="008D17C7">
        <w:rPr>
          <w:sz w:val="24"/>
          <w:szCs w:val="24"/>
        </w:rPr>
        <w:t xml:space="preserve">79 </w:t>
      </w:r>
      <w:r w:rsidRPr="007A5850">
        <w:rPr>
          <w:sz w:val="24"/>
          <w:szCs w:val="24"/>
        </w:rPr>
        <w:t>FR</w:t>
      </w:r>
      <w:r w:rsidRPr="007C0E68">
        <w:rPr>
          <w:sz w:val="24"/>
          <w:szCs w:val="24"/>
        </w:rPr>
        <w:t xml:space="preserve"> </w:t>
      </w:r>
      <w:r w:rsidR="008D17C7">
        <w:rPr>
          <w:sz w:val="24"/>
          <w:szCs w:val="24"/>
        </w:rPr>
        <w:t>55077</w:t>
      </w:r>
      <w:r w:rsidR="007A5850">
        <w:rPr>
          <w:sz w:val="24"/>
          <w:szCs w:val="24"/>
        </w:rPr>
        <w:t xml:space="preserve"> </w:t>
      </w:r>
      <w:r w:rsidR="00101DE4">
        <w:rPr>
          <w:sz w:val="24"/>
          <w:szCs w:val="24"/>
        </w:rPr>
        <w:t xml:space="preserve">(Sep. 15, 2014) </w:t>
      </w:r>
      <w:r w:rsidR="007A5850">
        <w:rPr>
          <w:sz w:val="24"/>
          <w:szCs w:val="24"/>
        </w:rPr>
        <w:t>(“Adopting Release”)</w:t>
      </w:r>
    </w:p>
  </w:footnote>
  <w:footnote w:id="16">
    <w:p w:rsidR="006C7FDE" w:rsidRDefault="006C7FDE" w:rsidP="006C7FDE">
      <w:pPr>
        <w:pStyle w:val="FootnoteText"/>
        <w:ind w:left="720" w:hanging="720"/>
      </w:pPr>
      <w:r>
        <w:rPr>
          <w:rStyle w:val="FootnoteReference"/>
        </w:rPr>
        <w:footnoteRef/>
      </w:r>
      <w:r>
        <w:t xml:space="preserve"> </w:t>
      </w:r>
      <w:r>
        <w:tab/>
      </w:r>
      <w:r w:rsidRPr="006C7FDE">
        <w:rPr>
          <w:sz w:val="24"/>
          <w:szCs w:val="24"/>
        </w:rPr>
        <w:t xml:space="preserve">In the Proposing Release, the </w:t>
      </w:r>
      <w:r w:rsidRPr="006C7FDE">
        <w:rPr>
          <w:color w:val="000000"/>
          <w:sz w:val="24"/>
          <w:szCs w:val="24"/>
        </w:rPr>
        <w:t>Commission indicated that the proposed amendments to Rule 17g-5 “do not contain a collection of information requirement within the meaning of the PRA.”</w:t>
      </w:r>
      <w:r>
        <w:rPr>
          <w:color w:val="000000"/>
          <w:sz w:val="24"/>
          <w:szCs w:val="24"/>
        </w:rPr>
        <w:t xml:space="preserve">  </w:t>
      </w:r>
      <w:r w:rsidR="005B7C9B" w:rsidRPr="0094526B">
        <w:rPr>
          <w:sz w:val="24"/>
          <w:szCs w:val="24"/>
          <w:u w:val="single"/>
        </w:rPr>
        <w:t>See</w:t>
      </w:r>
      <w:r w:rsidR="005B7C9B">
        <w:rPr>
          <w:sz w:val="24"/>
          <w:szCs w:val="24"/>
        </w:rPr>
        <w:t xml:space="preserve"> </w:t>
      </w:r>
      <w:r w:rsidR="005B7C9B" w:rsidRPr="0094526B">
        <w:rPr>
          <w:sz w:val="24"/>
          <w:szCs w:val="24"/>
          <w:u w:val="single"/>
        </w:rPr>
        <w:t>Proposing Release</w:t>
      </w:r>
      <w:r w:rsidR="005B7C9B">
        <w:rPr>
          <w:sz w:val="24"/>
          <w:szCs w:val="24"/>
        </w:rPr>
        <w:t xml:space="preserve">, 76 FR at 33490.  </w:t>
      </w:r>
      <w:r>
        <w:rPr>
          <w:color w:val="000000"/>
          <w:sz w:val="24"/>
          <w:szCs w:val="24"/>
        </w:rPr>
        <w:t xml:space="preserve">Since that time, </w:t>
      </w:r>
      <w:r w:rsidR="001803CE">
        <w:rPr>
          <w:color w:val="000000"/>
          <w:sz w:val="24"/>
          <w:szCs w:val="24"/>
        </w:rPr>
        <w:t xml:space="preserve">the </w:t>
      </w:r>
      <w:r>
        <w:rPr>
          <w:color w:val="000000"/>
          <w:sz w:val="24"/>
          <w:szCs w:val="24"/>
        </w:rPr>
        <w:t>Commission has carefully re-considered the</w:t>
      </w:r>
      <w:r w:rsidR="00934E86">
        <w:rPr>
          <w:color w:val="000000"/>
          <w:sz w:val="24"/>
          <w:szCs w:val="24"/>
        </w:rPr>
        <w:t xml:space="preserve"> operation of the</w:t>
      </w:r>
      <w:r w:rsidR="005B7C9B">
        <w:rPr>
          <w:color w:val="000000"/>
          <w:sz w:val="24"/>
          <w:szCs w:val="24"/>
        </w:rPr>
        <w:t>se rules and has determined</w:t>
      </w:r>
      <w:r w:rsidR="00934E86">
        <w:rPr>
          <w:color w:val="000000"/>
          <w:sz w:val="24"/>
          <w:szCs w:val="24"/>
        </w:rPr>
        <w:t xml:space="preserve"> that these amendments would </w:t>
      </w:r>
      <w:r w:rsidR="005B7C9B">
        <w:rPr>
          <w:color w:val="000000"/>
          <w:sz w:val="24"/>
          <w:szCs w:val="24"/>
        </w:rPr>
        <w:t xml:space="preserve">in fact </w:t>
      </w:r>
      <w:r w:rsidR="00934E86">
        <w:rPr>
          <w:color w:val="000000"/>
          <w:sz w:val="24"/>
          <w:szCs w:val="24"/>
        </w:rPr>
        <w:t xml:space="preserve">supplement and modify the </w:t>
      </w:r>
      <w:r w:rsidR="005B7C9B">
        <w:rPr>
          <w:color w:val="000000"/>
          <w:sz w:val="24"/>
          <w:szCs w:val="24"/>
        </w:rPr>
        <w:t xml:space="preserve">existing </w:t>
      </w:r>
      <w:r w:rsidR="00934E86">
        <w:rPr>
          <w:color w:val="000000"/>
          <w:sz w:val="24"/>
          <w:szCs w:val="24"/>
        </w:rPr>
        <w:t xml:space="preserve">collection of information contained in Rule 17g-5.  Accordingly, the Commission included PRA estimates in the Adopting Release.  Because of this revised approach, this </w:t>
      </w:r>
      <w:r w:rsidR="005B7C9B">
        <w:rPr>
          <w:color w:val="000000"/>
          <w:sz w:val="24"/>
          <w:szCs w:val="24"/>
        </w:rPr>
        <w:t xml:space="preserve">supporting statement </w:t>
      </w:r>
      <w:r w:rsidR="00934E86">
        <w:rPr>
          <w:color w:val="000000"/>
          <w:sz w:val="24"/>
          <w:szCs w:val="24"/>
        </w:rPr>
        <w:t>includes PRA burdens that have not previously been reviewed by the Office of Management and Budget</w:t>
      </w:r>
      <w:r w:rsidR="005B7C9B">
        <w:rPr>
          <w:color w:val="000000"/>
          <w:sz w:val="24"/>
          <w:szCs w:val="24"/>
        </w:rPr>
        <w:t xml:space="preserve"> (“OMB”).  Because a PRA submission was not made to OMB following publication of the Proposing Release, </w:t>
      </w:r>
      <w:r w:rsidR="001803CE">
        <w:rPr>
          <w:color w:val="000000"/>
          <w:sz w:val="24"/>
          <w:szCs w:val="24"/>
        </w:rPr>
        <w:t xml:space="preserve">the </w:t>
      </w:r>
      <w:r w:rsidR="005B7C9B">
        <w:rPr>
          <w:color w:val="000000"/>
          <w:sz w:val="24"/>
          <w:szCs w:val="24"/>
        </w:rPr>
        <w:t>Commission is requesting approval of the revised collection of information for a six-month period</w:t>
      </w:r>
      <w:r w:rsidR="004964DF">
        <w:rPr>
          <w:color w:val="000000"/>
          <w:sz w:val="24"/>
          <w:szCs w:val="24"/>
        </w:rPr>
        <w:t xml:space="preserve"> under the </w:t>
      </w:r>
      <w:r w:rsidR="007273D2">
        <w:rPr>
          <w:color w:val="000000"/>
          <w:sz w:val="24"/>
          <w:szCs w:val="24"/>
        </w:rPr>
        <w:t>emergency review process</w:t>
      </w:r>
      <w:r w:rsidR="004964DF">
        <w:rPr>
          <w:color w:val="000000"/>
          <w:sz w:val="24"/>
          <w:szCs w:val="24"/>
        </w:rPr>
        <w:t xml:space="preserve">.  </w:t>
      </w:r>
      <w:r w:rsidR="004964DF" w:rsidRPr="004964DF">
        <w:rPr>
          <w:color w:val="000000"/>
          <w:sz w:val="24"/>
          <w:szCs w:val="24"/>
        </w:rPr>
        <w:t>Approval of this request would be consistent with the effective date of the amended rules while</w:t>
      </w:r>
      <w:r w:rsidR="001803CE">
        <w:rPr>
          <w:color w:val="000000"/>
          <w:sz w:val="24"/>
          <w:szCs w:val="24"/>
        </w:rPr>
        <w:t xml:space="preserve"> </w:t>
      </w:r>
      <w:r w:rsidR="001803CE" w:rsidRPr="00E271DE">
        <w:rPr>
          <w:sz w:val="24"/>
          <w:szCs w:val="24"/>
        </w:rPr>
        <w:t>providing sufficient time for the</w:t>
      </w:r>
      <w:r w:rsidR="004964DF" w:rsidRPr="00E271DE">
        <w:rPr>
          <w:sz w:val="24"/>
          <w:szCs w:val="24"/>
        </w:rPr>
        <w:t xml:space="preserve"> Commission </w:t>
      </w:r>
      <w:r w:rsidR="004964DF" w:rsidRPr="004964DF">
        <w:rPr>
          <w:color w:val="000000"/>
          <w:sz w:val="24"/>
          <w:szCs w:val="24"/>
        </w:rPr>
        <w:t xml:space="preserve">to request approval of an extension of this collection of information for a full three-year period using the standard </w:t>
      </w:r>
      <w:r w:rsidR="00EC2478">
        <w:rPr>
          <w:color w:val="000000"/>
          <w:sz w:val="24"/>
          <w:szCs w:val="24"/>
        </w:rPr>
        <w:t xml:space="preserve">review </w:t>
      </w:r>
      <w:r w:rsidR="004964DF" w:rsidRPr="004964DF">
        <w:rPr>
          <w:color w:val="000000"/>
          <w:sz w:val="24"/>
          <w:szCs w:val="24"/>
        </w:rPr>
        <w:t xml:space="preserve">process, including publication in the </w:t>
      </w:r>
      <w:r w:rsidR="004964DF" w:rsidRPr="00316590">
        <w:rPr>
          <w:color w:val="000000"/>
          <w:sz w:val="24"/>
          <w:szCs w:val="24"/>
          <w:u w:val="single"/>
        </w:rPr>
        <w:t>Federal</w:t>
      </w:r>
      <w:r w:rsidR="004964DF" w:rsidRPr="004964DF">
        <w:rPr>
          <w:color w:val="000000"/>
          <w:sz w:val="24"/>
          <w:szCs w:val="24"/>
        </w:rPr>
        <w:t xml:space="preserve"> </w:t>
      </w:r>
      <w:r w:rsidR="004964DF" w:rsidRPr="00316590">
        <w:rPr>
          <w:color w:val="000000"/>
          <w:sz w:val="24"/>
          <w:szCs w:val="24"/>
          <w:u w:val="single"/>
        </w:rPr>
        <w:t>Register</w:t>
      </w:r>
      <w:r w:rsidR="004964DF" w:rsidRPr="004964DF">
        <w:rPr>
          <w:color w:val="000000"/>
          <w:sz w:val="24"/>
          <w:szCs w:val="24"/>
        </w:rPr>
        <w:t xml:space="preserve"> of all applica</w:t>
      </w:r>
      <w:r w:rsidR="009B6145">
        <w:rPr>
          <w:color w:val="000000"/>
          <w:sz w:val="24"/>
          <w:szCs w:val="24"/>
        </w:rPr>
        <w:t>ble requests for public comment</w:t>
      </w:r>
      <w:r w:rsidR="005B7C9B">
        <w:rPr>
          <w:color w:val="000000"/>
          <w:sz w:val="24"/>
          <w:szCs w:val="24"/>
        </w:rPr>
        <w:t xml:space="preserve">.  </w:t>
      </w:r>
      <w:r w:rsidR="00934E86">
        <w:rPr>
          <w:color w:val="000000"/>
          <w:sz w:val="24"/>
          <w:szCs w:val="24"/>
        </w:rPr>
        <w:t xml:space="preserve">  </w:t>
      </w:r>
      <w:r>
        <w:rPr>
          <w:color w:val="000000"/>
          <w:sz w:val="24"/>
          <w:szCs w:val="24"/>
        </w:rPr>
        <w:t xml:space="preserve"> </w:t>
      </w:r>
    </w:p>
  </w:footnote>
  <w:footnote w:id="17">
    <w:p w:rsidR="001A01C3" w:rsidRPr="002C363C" w:rsidRDefault="001A01C3" w:rsidP="001A01C3">
      <w:pPr>
        <w:pStyle w:val="FootnoteText"/>
        <w:rPr>
          <w:sz w:val="24"/>
          <w:szCs w:val="24"/>
        </w:rPr>
      </w:pPr>
      <w:r w:rsidRPr="002C363C">
        <w:rPr>
          <w:rStyle w:val="FootnoteReference"/>
          <w:sz w:val="24"/>
          <w:szCs w:val="24"/>
        </w:rPr>
        <w:footnoteRef/>
      </w:r>
      <w:r w:rsidRPr="002C363C">
        <w:rPr>
          <w:sz w:val="24"/>
          <w:szCs w:val="24"/>
        </w:rPr>
        <w:t xml:space="preserve"> </w:t>
      </w:r>
      <w:r w:rsidRPr="002C363C">
        <w:rPr>
          <w:sz w:val="24"/>
          <w:szCs w:val="24"/>
        </w:rPr>
        <w:tab/>
      </w:r>
      <w:r w:rsidRPr="002C363C">
        <w:rPr>
          <w:sz w:val="24"/>
          <w:szCs w:val="24"/>
          <w:u w:val="single"/>
        </w:rPr>
        <w:t>See</w:t>
      </w:r>
      <w:r w:rsidRPr="002C363C">
        <w:rPr>
          <w:sz w:val="24"/>
          <w:szCs w:val="24"/>
        </w:rPr>
        <w:t xml:space="preserve"> </w:t>
      </w:r>
      <w:r>
        <w:rPr>
          <w:sz w:val="24"/>
          <w:szCs w:val="24"/>
        </w:rPr>
        <w:t xml:space="preserve">note 17, </w:t>
      </w:r>
      <w:r>
        <w:rPr>
          <w:sz w:val="24"/>
          <w:szCs w:val="24"/>
          <w:u w:val="single"/>
        </w:rPr>
        <w:t>supra</w:t>
      </w:r>
      <w:r w:rsidRPr="002C363C">
        <w:rPr>
          <w:sz w:val="24"/>
          <w:szCs w:val="24"/>
        </w:rPr>
        <w:t>.</w:t>
      </w:r>
    </w:p>
  </w:footnote>
  <w:footnote w:id="18">
    <w:p w:rsidR="001A01C3" w:rsidRPr="002C363C" w:rsidRDefault="001A01C3" w:rsidP="001A01C3">
      <w:pPr>
        <w:pStyle w:val="FootnoteText"/>
        <w:rPr>
          <w:sz w:val="24"/>
          <w:szCs w:val="24"/>
        </w:rPr>
      </w:pPr>
      <w:r w:rsidRPr="002C363C">
        <w:rPr>
          <w:rStyle w:val="FootnoteReference"/>
          <w:sz w:val="24"/>
          <w:szCs w:val="24"/>
        </w:rPr>
        <w:footnoteRef/>
      </w:r>
      <w:r w:rsidRPr="002C363C">
        <w:rPr>
          <w:sz w:val="24"/>
          <w:szCs w:val="24"/>
        </w:rPr>
        <w:t xml:space="preserve"> </w:t>
      </w:r>
      <w:r w:rsidRPr="002C363C">
        <w:rPr>
          <w:sz w:val="24"/>
          <w:szCs w:val="24"/>
        </w:rPr>
        <w:tab/>
      </w:r>
      <w:r w:rsidRPr="002C363C">
        <w:rPr>
          <w:sz w:val="24"/>
          <w:szCs w:val="24"/>
          <w:u w:val="single"/>
        </w:rPr>
        <w:t>See</w:t>
      </w:r>
      <w:r w:rsidRPr="002C363C">
        <w:rPr>
          <w:sz w:val="24"/>
          <w:szCs w:val="24"/>
        </w:rPr>
        <w:t xml:space="preserve"> </w:t>
      </w:r>
      <w:r>
        <w:rPr>
          <w:sz w:val="24"/>
          <w:szCs w:val="24"/>
        </w:rPr>
        <w:t xml:space="preserve">note 17, </w:t>
      </w:r>
      <w:r>
        <w:rPr>
          <w:sz w:val="24"/>
          <w:szCs w:val="24"/>
          <w:u w:val="single"/>
        </w:rPr>
        <w:t>supra</w:t>
      </w:r>
      <w:r w:rsidRPr="002C363C">
        <w:rPr>
          <w:sz w:val="24"/>
          <w:szCs w:val="24"/>
        </w:rPr>
        <w:t>.</w:t>
      </w:r>
    </w:p>
  </w:footnote>
  <w:footnote w:id="19">
    <w:p w:rsidR="00F528AC" w:rsidRPr="00210B6A" w:rsidRDefault="00F528AC" w:rsidP="005573CC">
      <w:pPr>
        <w:pStyle w:val="FootnoteText"/>
        <w:rPr>
          <w:sz w:val="24"/>
          <w:szCs w:val="24"/>
        </w:rPr>
      </w:pPr>
      <w:r w:rsidRPr="00210B6A">
        <w:rPr>
          <w:rStyle w:val="FootnoteReference"/>
          <w:sz w:val="24"/>
          <w:szCs w:val="24"/>
        </w:rPr>
        <w:footnoteRef/>
      </w:r>
      <w:r w:rsidRPr="00210B6A">
        <w:rPr>
          <w:sz w:val="24"/>
          <w:szCs w:val="24"/>
        </w:rPr>
        <w:t xml:space="preserve"> </w:t>
      </w:r>
      <w:r w:rsidRPr="00210B6A">
        <w:rPr>
          <w:sz w:val="24"/>
          <w:szCs w:val="24"/>
        </w:rPr>
        <w:tab/>
        <w:t xml:space="preserve">15 U.S.C. </w:t>
      </w:r>
      <w:proofErr w:type="gramStart"/>
      <w:r w:rsidRPr="00210B6A">
        <w:rPr>
          <w:sz w:val="24"/>
          <w:szCs w:val="24"/>
        </w:rPr>
        <w:t>15E(</w:t>
      </w:r>
      <w:proofErr w:type="gramEnd"/>
      <w:r w:rsidRPr="00210B6A">
        <w:rPr>
          <w:sz w:val="24"/>
          <w:szCs w:val="24"/>
        </w:rPr>
        <w:t>d).</w:t>
      </w:r>
    </w:p>
  </w:footnote>
  <w:footnote w:id="20">
    <w:p w:rsidR="00096A1F" w:rsidRPr="009A3555" w:rsidRDefault="00096A1F" w:rsidP="00096A1F">
      <w:pPr>
        <w:pStyle w:val="FootnoteText"/>
        <w:ind w:left="720" w:hanging="720"/>
        <w:rPr>
          <w:rStyle w:val="FootnoteReference"/>
        </w:rPr>
      </w:pPr>
      <w:r w:rsidRPr="00501210">
        <w:rPr>
          <w:rStyle w:val="FootnoteReference"/>
        </w:rPr>
        <w:footnoteRef/>
      </w:r>
      <w:r w:rsidRPr="00501210">
        <w:t xml:space="preserve"> </w:t>
      </w:r>
      <w:r w:rsidRPr="00501210">
        <w:tab/>
      </w:r>
      <w:r w:rsidRPr="009A3555">
        <w:rPr>
          <w:sz w:val="24"/>
          <w:szCs w:val="24"/>
          <w:u w:val="single"/>
        </w:rPr>
        <w:t>See</w:t>
      </w:r>
      <w:r w:rsidRPr="009A3555">
        <w:rPr>
          <w:sz w:val="24"/>
          <w:szCs w:val="24"/>
        </w:rPr>
        <w:t xml:space="preserve"> </w:t>
      </w:r>
      <w:r w:rsidRPr="00101DE4">
        <w:rPr>
          <w:sz w:val="24"/>
          <w:szCs w:val="24"/>
          <w:u w:val="single"/>
        </w:rPr>
        <w:t>Proposing Release</w:t>
      </w:r>
      <w:r>
        <w:rPr>
          <w:sz w:val="24"/>
          <w:szCs w:val="24"/>
        </w:rPr>
        <w:t xml:space="preserve">, 76 FR at </w:t>
      </w:r>
      <w:r w:rsidRPr="009A3555">
        <w:rPr>
          <w:sz w:val="24"/>
          <w:szCs w:val="24"/>
        </w:rPr>
        <w:t>33490-33511.</w:t>
      </w:r>
      <w:r w:rsidRPr="009A3555">
        <w:rPr>
          <w:rStyle w:val="FootnoteReference"/>
        </w:rPr>
        <w:t xml:space="preserve">  </w:t>
      </w:r>
    </w:p>
  </w:footnote>
  <w:footnote w:id="21">
    <w:p w:rsidR="00096A1F" w:rsidRPr="00D82D18" w:rsidRDefault="00096A1F" w:rsidP="00096A1F">
      <w:pPr>
        <w:pStyle w:val="FootnoteText"/>
        <w:rPr>
          <w:sz w:val="24"/>
          <w:szCs w:val="24"/>
        </w:rPr>
      </w:pPr>
      <w:r w:rsidRPr="00D82D18">
        <w:rPr>
          <w:rStyle w:val="FootnoteReference"/>
          <w:sz w:val="24"/>
          <w:szCs w:val="24"/>
        </w:rPr>
        <w:footnoteRef/>
      </w:r>
      <w:r w:rsidRPr="00D82D18">
        <w:rPr>
          <w:sz w:val="24"/>
          <w:szCs w:val="24"/>
        </w:rPr>
        <w:t xml:space="preserve"> </w:t>
      </w:r>
      <w:r w:rsidRPr="00D82D18">
        <w:rPr>
          <w:sz w:val="24"/>
          <w:szCs w:val="24"/>
        </w:rPr>
        <w:tab/>
      </w:r>
      <w:r w:rsidRPr="00D82D18">
        <w:rPr>
          <w:sz w:val="24"/>
          <w:szCs w:val="24"/>
          <w:u w:val="single"/>
        </w:rPr>
        <w:t>See</w:t>
      </w:r>
      <w:r w:rsidRPr="00D82D18">
        <w:rPr>
          <w:sz w:val="24"/>
          <w:szCs w:val="24"/>
        </w:rPr>
        <w:t xml:space="preserve"> </w:t>
      </w:r>
      <w:r w:rsidRPr="00D82D18">
        <w:rPr>
          <w:sz w:val="24"/>
          <w:szCs w:val="24"/>
          <w:u w:val="single"/>
        </w:rPr>
        <w:t>Proposing Release</w:t>
      </w:r>
      <w:r w:rsidRPr="00D82D18">
        <w:rPr>
          <w:sz w:val="24"/>
          <w:szCs w:val="24"/>
        </w:rPr>
        <w:t>, 76 FR at 33500.</w:t>
      </w:r>
    </w:p>
  </w:footnote>
  <w:footnote w:id="22">
    <w:p w:rsidR="00096A1F" w:rsidRPr="00B2089E" w:rsidRDefault="00096A1F" w:rsidP="00096A1F">
      <w:pPr>
        <w:pStyle w:val="FootnoteText"/>
        <w:rPr>
          <w:sz w:val="24"/>
          <w:szCs w:val="24"/>
        </w:rPr>
      </w:pPr>
      <w:r w:rsidRPr="00501210">
        <w:rPr>
          <w:rStyle w:val="FootnoteReference"/>
        </w:rPr>
        <w:footnoteRef/>
      </w:r>
      <w:r w:rsidRPr="00501210">
        <w:t xml:space="preserve"> </w:t>
      </w:r>
      <w:r w:rsidRPr="00501210">
        <w:tab/>
      </w:r>
      <w:r w:rsidRPr="00B2089E">
        <w:rPr>
          <w:sz w:val="24"/>
          <w:szCs w:val="24"/>
          <w:u w:val="single"/>
        </w:rPr>
        <w:t>See</w:t>
      </w:r>
      <w:r w:rsidRPr="00B2089E">
        <w:rPr>
          <w:sz w:val="24"/>
          <w:szCs w:val="24"/>
        </w:rPr>
        <w:t xml:space="preserve"> </w:t>
      </w:r>
      <w:r w:rsidRPr="00B2089E">
        <w:rPr>
          <w:sz w:val="24"/>
          <w:szCs w:val="24"/>
          <w:u w:val="single"/>
        </w:rPr>
        <w:t>A.M. Best Letter</w:t>
      </w:r>
      <w:r w:rsidRPr="00B2089E">
        <w:rPr>
          <w:sz w:val="24"/>
          <w:szCs w:val="24"/>
        </w:rPr>
        <w:t>.</w:t>
      </w:r>
    </w:p>
  </w:footnote>
  <w:footnote w:id="23">
    <w:p w:rsidR="00096A1F" w:rsidRPr="00B2089E" w:rsidRDefault="00096A1F" w:rsidP="00096A1F">
      <w:pPr>
        <w:pStyle w:val="FootnoteText"/>
        <w:rPr>
          <w:sz w:val="24"/>
          <w:szCs w:val="24"/>
        </w:rPr>
      </w:pPr>
      <w:r w:rsidRPr="00B2089E">
        <w:rPr>
          <w:rStyle w:val="FootnoteReference"/>
          <w:sz w:val="24"/>
          <w:szCs w:val="24"/>
        </w:rPr>
        <w:footnoteRef/>
      </w:r>
      <w:r w:rsidRPr="00B2089E">
        <w:rPr>
          <w:sz w:val="24"/>
          <w:szCs w:val="24"/>
        </w:rPr>
        <w:t xml:space="preserve"> </w:t>
      </w:r>
      <w:r w:rsidRPr="00B2089E">
        <w:rPr>
          <w:sz w:val="24"/>
          <w:szCs w:val="24"/>
        </w:rPr>
        <w:tab/>
      </w:r>
      <w:r w:rsidRPr="00B2089E">
        <w:rPr>
          <w:sz w:val="24"/>
          <w:szCs w:val="24"/>
          <w:u w:val="single"/>
        </w:rPr>
        <w:t>See</w:t>
      </w:r>
      <w:r w:rsidRPr="00B2089E">
        <w:rPr>
          <w:sz w:val="24"/>
          <w:szCs w:val="24"/>
        </w:rPr>
        <w:t xml:space="preserve"> </w:t>
      </w:r>
      <w:r w:rsidRPr="00B2089E">
        <w:rPr>
          <w:sz w:val="24"/>
          <w:szCs w:val="24"/>
          <w:u w:val="single"/>
        </w:rPr>
        <w:t>DBRS Letter</w:t>
      </w:r>
      <w:r w:rsidRPr="00B2089E">
        <w:rPr>
          <w:sz w:val="24"/>
          <w:szCs w:val="24"/>
        </w:rPr>
        <w:t>.</w:t>
      </w:r>
    </w:p>
  </w:footnote>
  <w:footnote w:id="24">
    <w:p w:rsidR="00460FA9" w:rsidRPr="00B2089E" w:rsidRDefault="00460FA9">
      <w:pPr>
        <w:pStyle w:val="FootnoteText"/>
        <w:rPr>
          <w:sz w:val="24"/>
          <w:szCs w:val="24"/>
        </w:rPr>
      </w:pPr>
      <w:r w:rsidRPr="00B2089E">
        <w:rPr>
          <w:rStyle w:val="FootnoteReference"/>
          <w:sz w:val="24"/>
          <w:szCs w:val="24"/>
        </w:rPr>
        <w:footnoteRef/>
      </w:r>
      <w:r w:rsidRPr="00B2089E">
        <w:rPr>
          <w:sz w:val="24"/>
          <w:szCs w:val="24"/>
        </w:rPr>
        <w:t xml:space="preserve"> </w:t>
      </w:r>
      <w:r w:rsidRPr="00B2089E">
        <w:rPr>
          <w:sz w:val="24"/>
          <w:szCs w:val="24"/>
        </w:rPr>
        <w:tab/>
      </w:r>
      <w:r w:rsidRPr="00B2089E">
        <w:rPr>
          <w:sz w:val="24"/>
          <w:szCs w:val="24"/>
          <w:u w:val="single"/>
        </w:rPr>
        <w:t>See</w:t>
      </w:r>
      <w:r w:rsidRPr="00B2089E">
        <w:rPr>
          <w:sz w:val="24"/>
          <w:szCs w:val="24"/>
        </w:rPr>
        <w:t xml:space="preserve"> Nationally Recognized Statistical Rating Organizations, 72 FR at 33622-23.</w:t>
      </w:r>
    </w:p>
  </w:footnote>
  <w:footnote w:id="25">
    <w:p w:rsidR="0066688A" w:rsidRPr="00B2089E" w:rsidRDefault="0066688A">
      <w:pPr>
        <w:pStyle w:val="FootnoteText"/>
        <w:rPr>
          <w:sz w:val="24"/>
          <w:szCs w:val="24"/>
        </w:rPr>
      </w:pPr>
      <w:r w:rsidRPr="00B2089E">
        <w:rPr>
          <w:rStyle w:val="FootnoteReference"/>
          <w:sz w:val="24"/>
          <w:szCs w:val="24"/>
        </w:rPr>
        <w:footnoteRef/>
      </w:r>
      <w:r w:rsidRPr="00B2089E">
        <w:rPr>
          <w:sz w:val="24"/>
          <w:szCs w:val="24"/>
        </w:rPr>
        <w:t xml:space="preserve"> </w:t>
      </w:r>
      <w:r w:rsidRPr="00B2089E">
        <w:rPr>
          <w:sz w:val="24"/>
          <w:szCs w:val="24"/>
        </w:rPr>
        <w:tab/>
      </w:r>
      <w:r w:rsidR="00EF06D7" w:rsidRPr="00B2089E">
        <w:rPr>
          <w:sz w:val="24"/>
          <w:szCs w:val="24"/>
          <w:u w:val="single"/>
        </w:rPr>
        <w:t>See</w:t>
      </w:r>
      <w:r w:rsidR="00EF06D7" w:rsidRPr="00B2089E">
        <w:rPr>
          <w:sz w:val="24"/>
          <w:szCs w:val="24"/>
        </w:rPr>
        <w:t xml:space="preserve"> Nationally Recognized Statistical Rating Organizations, 72 FR at 33605.</w:t>
      </w:r>
    </w:p>
  </w:footnote>
  <w:footnote w:id="26">
    <w:p w:rsidR="00B2089E" w:rsidRPr="00B2089E" w:rsidRDefault="00B2089E" w:rsidP="00B2089E">
      <w:pPr>
        <w:pStyle w:val="FootnoteText"/>
        <w:ind w:left="720" w:hanging="720"/>
        <w:rPr>
          <w:sz w:val="24"/>
          <w:szCs w:val="24"/>
        </w:rPr>
      </w:pPr>
      <w:r w:rsidRPr="00B2089E">
        <w:rPr>
          <w:rStyle w:val="FootnoteReference"/>
          <w:sz w:val="24"/>
          <w:szCs w:val="24"/>
        </w:rPr>
        <w:footnoteRef/>
      </w:r>
      <w:r w:rsidRPr="00B2089E">
        <w:rPr>
          <w:sz w:val="24"/>
          <w:szCs w:val="24"/>
        </w:rPr>
        <w:t xml:space="preserve"> </w:t>
      </w:r>
      <w:r w:rsidRPr="00B2089E">
        <w:rPr>
          <w:sz w:val="24"/>
          <w:szCs w:val="24"/>
        </w:rPr>
        <w:tab/>
      </w:r>
      <w:r w:rsidRPr="00B2089E">
        <w:rPr>
          <w:sz w:val="24"/>
          <w:szCs w:val="24"/>
          <w:u w:val="single"/>
        </w:rPr>
        <w:t>See</w:t>
      </w:r>
      <w:r w:rsidRPr="00B2089E">
        <w:rPr>
          <w:sz w:val="24"/>
          <w:szCs w:val="24"/>
        </w:rPr>
        <w:t xml:space="preserve"> </w:t>
      </w:r>
      <w:r w:rsidRPr="00B2089E">
        <w:rPr>
          <w:sz w:val="24"/>
          <w:szCs w:val="24"/>
          <w:u w:val="single"/>
        </w:rPr>
        <w:t>Amendments to Rules for Nationally Recognized Statistical Rating Organizations</w:t>
      </w:r>
      <w:r w:rsidRPr="00B2089E">
        <w:rPr>
          <w:sz w:val="24"/>
          <w:szCs w:val="24"/>
        </w:rPr>
        <w:t>, 74 FR at 6483.</w:t>
      </w:r>
    </w:p>
  </w:footnote>
  <w:footnote w:id="27">
    <w:p w:rsidR="00B2089E" w:rsidRPr="00DD0FE8" w:rsidRDefault="00B2089E" w:rsidP="00B2089E">
      <w:pPr>
        <w:pStyle w:val="FootnoteText"/>
        <w:ind w:left="720" w:hanging="720"/>
        <w:rPr>
          <w:sz w:val="24"/>
          <w:szCs w:val="24"/>
        </w:rPr>
      </w:pPr>
      <w:r w:rsidRPr="00B2089E">
        <w:rPr>
          <w:rStyle w:val="FootnoteReference"/>
          <w:sz w:val="24"/>
          <w:szCs w:val="24"/>
        </w:rPr>
        <w:footnoteRef/>
      </w:r>
      <w:r w:rsidRPr="00B2089E">
        <w:rPr>
          <w:sz w:val="24"/>
          <w:szCs w:val="24"/>
        </w:rPr>
        <w:t xml:space="preserve"> </w:t>
      </w:r>
      <w:r w:rsidRPr="00B2089E">
        <w:rPr>
          <w:sz w:val="24"/>
          <w:szCs w:val="24"/>
        </w:rPr>
        <w:tab/>
      </w:r>
      <w:r w:rsidRPr="00DD0FE8">
        <w:rPr>
          <w:sz w:val="24"/>
          <w:szCs w:val="24"/>
          <w:u w:val="single"/>
        </w:rPr>
        <w:t>See</w:t>
      </w:r>
      <w:r w:rsidRPr="00DD0FE8">
        <w:rPr>
          <w:sz w:val="24"/>
          <w:szCs w:val="24"/>
        </w:rPr>
        <w:t xml:space="preserve"> </w:t>
      </w:r>
      <w:r w:rsidRPr="00DD0FE8">
        <w:rPr>
          <w:sz w:val="24"/>
          <w:szCs w:val="24"/>
          <w:u w:val="single"/>
        </w:rPr>
        <w:t>Amendments to Rules for Nationally Recognized Statistical Rating Organizations</w:t>
      </w:r>
      <w:r w:rsidRPr="00DD0FE8">
        <w:rPr>
          <w:sz w:val="24"/>
          <w:szCs w:val="24"/>
        </w:rPr>
        <w:t>, 74 FR at 6469.</w:t>
      </w:r>
    </w:p>
  </w:footnote>
  <w:footnote w:id="28">
    <w:p w:rsidR="005C0AD9" w:rsidRPr="00DD0FE8" w:rsidRDefault="005C0AD9" w:rsidP="005C0AD9">
      <w:pPr>
        <w:pStyle w:val="FootnoteText"/>
        <w:ind w:left="720" w:hanging="720"/>
        <w:rPr>
          <w:sz w:val="24"/>
          <w:szCs w:val="24"/>
        </w:rPr>
      </w:pPr>
      <w:r w:rsidRPr="00DD0FE8">
        <w:rPr>
          <w:rStyle w:val="FootnoteReference"/>
          <w:sz w:val="24"/>
          <w:szCs w:val="24"/>
        </w:rPr>
        <w:footnoteRef/>
      </w:r>
      <w:r w:rsidRPr="00DD0FE8">
        <w:rPr>
          <w:sz w:val="24"/>
          <w:szCs w:val="24"/>
        </w:rPr>
        <w:t xml:space="preserve"> </w:t>
      </w:r>
      <w:r w:rsidRPr="00DD0FE8">
        <w:rPr>
          <w:sz w:val="24"/>
          <w:szCs w:val="24"/>
        </w:rPr>
        <w:tab/>
      </w:r>
      <w:proofErr w:type="gramStart"/>
      <w:r w:rsidRPr="00DD0FE8">
        <w:rPr>
          <w:sz w:val="24"/>
          <w:szCs w:val="24"/>
          <w:u w:val="single"/>
        </w:rPr>
        <w:t>Amendments to Rules for Nationally Recognized Statistical Rating Organizations</w:t>
      </w:r>
      <w:r w:rsidRPr="00DD0FE8">
        <w:rPr>
          <w:sz w:val="24"/>
          <w:szCs w:val="24"/>
        </w:rPr>
        <w:t xml:space="preserve">, 74 FR </w:t>
      </w:r>
      <w:r w:rsidR="002122D5" w:rsidRPr="00DD0FE8">
        <w:rPr>
          <w:sz w:val="24"/>
          <w:szCs w:val="24"/>
        </w:rPr>
        <w:t>at 63864-65</w:t>
      </w:r>
      <w:r w:rsidRPr="00DD0FE8">
        <w:rPr>
          <w:sz w:val="24"/>
          <w:szCs w:val="24"/>
        </w:rPr>
        <w:t>.</w:t>
      </w:r>
      <w:proofErr w:type="gramEnd"/>
    </w:p>
  </w:footnote>
  <w:footnote w:id="29">
    <w:p w:rsidR="005A0B9A" w:rsidRPr="00DD0FE8" w:rsidRDefault="005A0B9A">
      <w:pPr>
        <w:pStyle w:val="FootnoteText"/>
        <w:rPr>
          <w:sz w:val="24"/>
          <w:szCs w:val="24"/>
        </w:rPr>
      </w:pPr>
      <w:r w:rsidRPr="00DD0FE8">
        <w:rPr>
          <w:rStyle w:val="FootnoteReference"/>
          <w:sz w:val="24"/>
          <w:szCs w:val="24"/>
        </w:rPr>
        <w:footnoteRef/>
      </w:r>
      <w:r w:rsidRPr="00DD0FE8">
        <w:rPr>
          <w:sz w:val="24"/>
          <w:szCs w:val="24"/>
        </w:rPr>
        <w:t xml:space="preserve"> </w:t>
      </w:r>
      <w:r w:rsidRPr="00DD0FE8">
        <w:rPr>
          <w:sz w:val="24"/>
          <w:szCs w:val="24"/>
        </w:rPr>
        <w:tab/>
        <w:t>4,000 x .97 = 3,880.</w:t>
      </w:r>
    </w:p>
  </w:footnote>
  <w:footnote w:id="30">
    <w:p w:rsidR="004469FD" w:rsidRPr="00DD0FE8" w:rsidRDefault="004469FD">
      <w:pPr>
        <w:pStyle w:val="FootnoteText"/>
        <w:rPr>
          <w:sz w:val="24"/>
          <w:szCs w:val="24"/>
        </w:rPr>
      </w:pPr>
      <w:r w:rsidRPr="00DD0FE8">
        <w:rPr>
          <w:rStyle w:val="FootnoteReference"/>
          <w:sz w:val="24"/>
          <w:szCs w:val="24"/>
        </w:rPr>
        <w:footnoteRef/>
      </w:r>
      <w:r w:rsidRPr="00DD0FE8">
        <w:rPr>
          <w:sz w:val="24"/>
          <w:szCs w:val="24"/>
        </w:rPr>
        <w:t xml:space="preserve"> </w:t>
      </w:r>
      <w:r w:rsidRPr="00DD0FE8">
        <w:rPr>
          <w:sz w:val="24"/>
          <w:szCs w:val="24"/>
        </w:rPr>
        <w:tab/>
      </w:r>
      <w:r w:rsidR="009C6910" w:rsidRPr="00DD0FE8">
        <w:rPr>
          <w:sz w:val="24"/>
          <w:szCs w:val="24"/>
        </w:rPr>
        <w:t>.03 x</w:t>
      </w:r>
      <w:r w:rsidRPr="00DD0FE8">
        <w:rPr>
          <w:sz w:val="24"/>
          <w:szCs w:val="24"/>
        </w:rPr>
        <w:t xml:space="preserve"> 4,000 = 120.</w:t>
      </w:r>
      <w:r w:rsidR="009C6910" w:rsidRPr="00DD0FE8">
        <w:rPr>
          <w:sz w:val="24"/>
          <w:szCs w:val="24"/>
        </w:rPr>
        <w:t xml:space="preserve"> 3,880 x 3 = 11,640.  120 x 27 = 3,240.  11,640 + 3,240 = 14,880</w:t>
      </w:r>
    </w:p>
  </w:footnote>
  <w:footnote w:id="31">
    <w:p w:rsidR="00DD0FE8" w:rsidRPr="00DD0FE8" w:rsidRDefault="00DD0FE8">
      <w:pPr>
        <w:pStyle w:val="FootnoteText"/>
        <w:rPr>
          <w:sz w:val="24"/>
          <w:szCs w:val="24"/>
        </w:rPr>
      </w:pPr>
      <w:r w:rsidRPr="00DD0FE8">
        <w:rPr>
          <w:rStyle w:val="FootnoteReference"/>
          <w:sz w:val="24"/>
          <w:szCs w:val="24"/>
        </w:rPr>
        <w:footnoteRef/>
      </w:r>
      <w:r w:rsidRPr="00DD0FE8">
        <w:rPr>
          <w:sz w:val="24"/>
          <w:szCs w:val="24"/>
        </w:rPr>
        <w:t xml:space="preserve"> </w:t>
      </w:r>
      <w:r w:rsidRPr="00DD0FE8">
        <w:rPr>
          <w:sz w:val="24"/>
          <w:szCs w:val="24"/>
        </w:rPr>
        <w:tab/>
      </w:r>
      <w:r w:rsidRPr="00DD0FE8">
        <w:rPr>
          <w:sz w:val="24"/>
          <w:szCs w:val="24"/>
          <w:u w:val="single"/>
        </w:rPr>
        <w:t>See</w:t>
      </w:r>
      <w:r w:rsidRPr="00DD0FE8">
        <w:rPr>
          <w:sz w:val="24"/>
          <w:szCs w:val="24"/>
        </w:rPr>
        <w:t xml:space="preserve"> </w:t>
      </w:r>
      <w:r w:rsidRPr="00DD0FE8">
        <w:rPr>
          <w:sz w:val="24"/>
          <w:szCs w:val="24"/>
          <w:u w:val="single"/>
        </w:rPr>
        <w:t>Adopting Release</w:t>
      </w:r>
      <w:r w:rsidRPr="00DD0FE8">
        <w:rPr>
          <w:sz w:val="24"/>
          <w:szCs w:val="24"/>
        </w:rPr>
        <w:t xml:space="preserve">, </w:t>
      </w:r>
      <w:r w:rsidR="00DC009E">
        <w:rPr>
          <w:sz w:val="24"/>
          <w:szCs w:val="24"/>
        </w:rPr>
        <w:t>79</w:t>
      </w:r>
      <w:r w:rsidRPr="00DD0FE8">
        <w:rPr>
          <w:sz w:val="24"/>
          <w:szCs w:val="24"/>
        </w:rPr>
        <w:t xml:space="preserve"> FR at </w:t>
      </w:r>
      <w:r w:rsidR="00E271DE">
        <w:rPr>
          <w:sz w:val="24"/>
          <w:szCs w:val="24"/>
        </w:rPr>
        <w:t>55234.</w:t>
      </w:r>
    </w:p>
  </w:footnote>
  <w:footnote w:id="32">
    <w:p w:rsidR="004469FD" w:rsidRPr="002939E8" w:rsidRDefault="004469FD" w:rsidP="00C47A35">
      <w:pPr>
        <w:pStyle w:val="FootnoteText"/>
        <w:ind w:left="720" w:hanging="720"/>
        <w:rPr>
          <w:sz w:val="24"/>
          <w:szCs w:val="24"/>
        </w:rPr>
      </w:pPr>
      <w:r>
        <w:rPr>
          <w:rStyle w:val="FootnoteReference"/>
        </w:rPr>
        <w:footnoteRef/>
      </w:r>
      <w:r>
        <w:t xml:space="preserve"> </w:t>
      </w:r>
      <w:r>
        <w:tab/>
      </w:r>
      <w:r w:rsidR="00DD0FE8" w:rsidRPr="002939E8">
        <w:rPr>
          <w:sz w:val="24"/>
          <w:szCs w:val="24"/>
        </w:rPr>
        <w:t>715</w:t>
      </w:r>
      <w:r w:rsidRPr="002939E8">
        <w:rPr>
          <w:sz w:val="24"/>
          <w:szCs w:val="24"/>
        </w:rPr>
        <w:t xml:space="preserve"> x .9 = </w:t>
      </w:r>
      <w:r w:rsidR="00643D7E">
        <w:rPr>
          <w:sz w:val="24"/>
          <w:szCs w:val="24"/>
        </w:rPr>
        <w:t xml:space="preserve">643.5, rounded to </w:t>
      </w:r>
      <w:r w:rsidR="00DD0FE8" w:rsidRPr="002939E8">
        <w:rPr>
          <w:sz w:val="24"/>
          <w:szCs w:val="24"/>
        </w:rPr>
        <w:t>644</w:t>
      </w:r>
      <w:r w:rsidRPr="002939E8">
        <w:rPr>
          <w:sz w:val="24"/>
          <w:szCs w:val="24"/>
        </w:rPr>
        <w:t xml:space="preserve">.  </w:t>
      </w:r>
      <w:r w:rsidR="00DD0FE8" w:rsidRPr="002939E8">
        <w:rPr>
          <w:sz w:val="24"/>
          <w:szCs w:val="24"/>
        </w:rPr>
        <w:t xml:space="preserve">644 </w:t>
      </w:r>
      <w:r w:rsidRPr="002939E8">
        <w:rPr>
          <w:sz w:val="24"/>
          <w:szCs w:val="24"/>
        </w:rPr>
        <w:t xml:space="preserve">x 3 </w:t>
      </w:r>
      <w:proofErr w:type="gramStart"/>
      <w:r w:rsidRPr="002939E8">
        <w:rPr>
          <w:sz w:val="24"/>
          <w:szCs w:val="24"/>
        </w:rPr>
        <w:t xml:space="preserve">= </w:t>
      </w:r>
      <w:r w:rsidR="00DD0FE8" w:rsidRPr="002939E8">
        <w:rPr>
          <w:sz w:val="24"/>
          <w:szCs w:val="24"/>
        </w:rPr>
        <w:t xml:space="preserve"> 1,932</w:t>
      </w:r>
      <w:proofErr w:type="gramEnd"/>
      <w:r w:rsidRPr="002939E8">
        <w:rPr>
          <w:sz w:val="24"/>
          <w:szCs w:val="24"/>
        </w:rPr>
        <w:t xml:space="preserve">.  </w:t>
      </w:r>
      <w:r w:rsidR="00DD0FE8" w:rsidRPr="002939E8">
        <w:rPr>
          <w:sz w:val="24"/>
          <w:szCs w:val="24"/>
        </w:rPr>
        <w:t>715</w:t>
      </w:r>
      <w:r w:rsidRPr="002939E8">
        <w:rPr>
          <w:sz w:val="24"/>
          <w:szCs w:val="24"/>
        </w:rPr>
        <w:t xml:space="preserve"> x .1 = </w:t>
      </w:r>
      <w:r w:rsidR="00643D7E">
        <w:rPr>
          <w:sz w:val="24"/>
          <w:szCs w:val="24"/>
        </w:rPr>
        <w:t xml:space="preserve">71.5, rounded to </w:t>
      </w:r>
      <w:r w:rsidR="00DD0FE8" w:rsidRPr="002939E8">
        <w:rPr>
          <w:sz w:val="24"/>
          <w:szCs w:val="24"/>
        </w:rPr>
        <w:t>72</w:t>
      </w:r>
      <w:r w:rsidRPr="002939E8">
        <w:rPr>
          <w:sz w:val="24"/>
          <w:szCs w:val="24"/>
        </w:rPr>
        <w:t xml:space="preserve">.  </w:t>
      </w:r>
      <w:r w:rsidR="00DD0FE8" w:rsidRPr="002939E8">
        <w:rPr>
          <w:sz w:val="24"/>
          <w:szCs w:val="24"/>
        </w:rPr>
        <w:t>72</w:t>
      </w:r>
      <w:r w:rsidRPr="002939E8">
        <w:rPr>
          <w:sz w:val="24"/>
          <w:szCs w:val="24"/>
        </w:rPr>
        <w:t xml:space="preserve"> x 7 = </w:t>
      </w:r>
      <w:r w:rsidR="00DD0FE8" w:rsidRPr="002939E8">
        <w:rPr>
          <w:sz w:val="24"/>
          <w:szCs w:val="24"/>
        </w:rPr>
        <w:t>504</w:t>
      </w:r>
      <w:r w:rsidRPr="002939E8">
        <w:rPr>
          <w:sz w:val="24"/>
          <w:szCs w:val="24"/>
        </w:rPr>
        <w:t xml:space="preserve">.  </w:t>
      </w:r>
      <w:r w:rsidR="00DD0FE8" w:rsidRPr="002939E8">
        <w:rPr>
          <w:sz w:val="24"/>
          <w:szCs w:val="24"/>
        </w:rPr>
        <w:t>1,932 + 504 = 2,436</w:t>
      </w:r>
      <w:r w:rsidR="0076304C" w:rsidRPr="002939E8">
        <w:rPr>
          <w:sz w:val="24"/>
          <w:szCs w:val="24"/>
        </w:rPr>
        <w:t>.</w:t>
      </w:r>
    </w:p>
  </w:footnote>
  <w:footnote w:id="33">
    <w:p w:rsidR="005B730B" w:rsidRPr="002939E8" w:rsidRDefault="005B730B">
      <w:pPr>
        <w:pStyle w:val="FootnoteText"/>
        <w:rPr>
          <w:sz w:val="24"/>
          <w:szCs w:val="24"/>
        </w:rPr>
      </w:pPr>
      <w:r w:rsidRPr="002939E8">
        <w:rPr>
          <w:rStyle w:val="FootnoteReference"/>
          <w:sz w:val="24"/>
          <w:szCs w:val="24"/>
        </w:rPr>
        <w:footnoteRef/>
      </w:r>
      <w:r w:rsidRPr="002939E8">
        <w:rPr>
          <w:sz w:val="24"/>
          <w:szCs w:val="24"/>
        </w:rPr>
        <w:t xml:space="preserve"> </w:t>
      </w:r>
      <w:r w:rsidRPr="002939E8">
        <w:rPr>
          <w:sz w:val="24"/>
          <w:szCs w:val="24"/>
        </w:rPr>
        <w:tab/>
      </w:r>
      <w:proofErr w:type="gramStart"/>
      <w:r w:rsidR="002939E8" w:rsidRPr="002939E8">
        <w:rPr>
          <w:sz w:val="24"/>
          <w:szCs w:val="24"/>
        </w:rPr>
        <w:t>2,436</w:t>
      </w:r>
      <w:r w:rsidRPr="002939E8">
        <w:rPr>
          <w:sz w:val="24"/>
          <w:szCs w:val="24"/>
        </w:rPr>
        <w:t xml:space="preserve"> transactions x 1 hour = </w:t>
      </w:r>
      <w:r w:rsidR="002939E8" w:rsidRPr="002939E8">
        <w:rPr>
          <w:sz w:val="24"/>
          <w:szCs w:val="24"/>
        </w:rPr>
        <w:t>2,436</w:t>
      </w:r>
      <w:r w:rsidRPr="002939E8">
        <w:rPr>
          <w:sz w:val="24"/>
          <w:szCs w:val="24"/>
        </w:rPr>
        <w:t xml:space="preserve"> hours.</w:t>
      </w:r>
      <w:proofErr w:type="gramEnd"/>
    </w:p>
  </w:footnote>
  <w:footnote w:id="34">
    <w:p w:rsidR="0076304C" w:rsidRPr="002939E8" w:rsidRDefault="0076304C" w:rsidP="0076304C">
      <w:pPr>
        <w:pStyle w:val="FootnoteText"/>
        <w:rPr>
          <w:sz w:val="24"/>
          <w:szCs w:val="24"/>
        </w:rPr>
      </w:pPr>
      <w:r w:rsidRPr="002939E8">
        <w:rPr>
          <w:rStyle w:val="FootnoteReference"/>
          <w:sz w:val="24"/>
          <w:szCs w:val="24"/>
        </w:rPr>
        <w:footnoteRef/>
      </w:r>
      <w:r w:rsidRPr="002939E8">
        <w:rPr>
          <w:sz w:val="24"/>
          <w:szCs w:val="24"/>
        </w:rPr>
        <w:t xml:space="preserve"> </w:t>
      </w:r>
      <w:r w:rsidRPr="002939E8">
        <w:rPr>
          <w:sz w:val="24"/>
          <w:szCs w:val="24"/>
        </w:rPr>
        <w:tab/>
        <w:t>300 hours x 200 arrangers = 60,000 hours.</w:t>
      </w:r>
    </w:p>
  </w:footnote>
  <w:footnote w:id="35">
    <w:p w:rsidR="005B730B" w:rsidRPr="002939E8" w:rsidRDefault="005B730B">
      <w:pPr>
        <w:pStyle w:val="FootnoteText"/>
        <w:rPr>
          <w:sz w:val="24"/>
          <w:szCs w:val="24"/>
        </w:rPr>
      </w:pPr>
      <w:r w:rsidRPr="002939E8">
        <w:rPr>
          <w:rStyle w:val="FootnoteReference"/>
          <w:sz w:val="24"/>
          <w:szCs w:val="24"/>
        </w:rPr>
        <w:footnoteRef/>
      </w:r>
      <w:r w:rsidRPr="002939E8">
        <w:rPr>
          <w:sz w:val="24"/>
          <w:szCs w:val="24"/>
        </w:rPr>
        <w:t xml:space="preserve"> </w:t>
      </w:r>
      <w:r w:rsidRPr="002939E8">
        <w:rPr>
          <w:sz w:val="24"/>
          <w:szCs w:val="24"/>
        </w:rPr>
        <w:tab/>
        <w:t>136 x 300 = 40,800.</w:t>
      </w:r>
    </w:p>
  </w:footnote>
  <w:footnote w:id="36">
    <w:p w:rsidR="005B730B" w:rsidRPr="002939E8" w:rsidRDefault="005B730B" w:rsidP="005B730B">
      <w:pPr>
        <w:pStyle w:val="FootnoteText"/>
        <w:ind w:left="720" w:hanging="720"/>
        <w:rPr>
          <w:sz w:val="24"/>
          <w:szCs w:val="24"/>
        </w:rPr>
      </w:pPr>
      <w:r w:rsidRPr="002939E8">
        <w:rPr>
          <w:rStyle w:val="FootnoteReference"/>
          <w:sz w:val="24"/>
          <w:szCs w:val="24"/>
        </w:rPr>
        <w:footnoteRef/>
      </w:r>
      <w:r w:rsidRPr="002939E8">
        <w:rPr>
          <w:sz w:val="24"/>
          <w:szCs w:val="24"/>
        </w:rPr>
        <w:t xml:space="preserve"> </w:t>
      </w:r>
      <w:r w:rsidRPr="002939E8">
        <w:rPr>
          <w:sz w:val="24"/>
          <w:szCs w:val="24"/>
        </w:rPr>
        <w:tab/>
      </w:r>
      <w:proofErr w:type="gramStart"/>
      <w:r w:rsidR="00C16378" w:rsidRPr="002939E8">
        <w:rPr>
          <w:sz w:val="24"/>
          <w:szCs w:val="24"/>
        </w:rPr>
        <w:t>40,800</w:t>
      </w:r>
      <w:r w:rsidRPr="002939E8">
        <w:rPr>
          <w:sz w:val="24"/>
          <w:szCs w:val="24"/>
        </w:rPr>
        <w:t xml:space="preserve"> / 3 = </w:t>
      </w:r>
      <w:r w:rsidR="00C16378" w:rsidRPr="002939E8">
        <w:rPr>
          <w:sz w:val="24"/>
          <w:szCs w:val="24"/>
        </w:rPr>
        <w:t>13,600</w:t>
      </w:r>
      <w:r w:rsidRPr="002939E8">
        <w:rPr>
          <w:sz w:val="24"/>
          <w:szCs w:val="24"/>
        </w:rPr>
        <w:t>.</w:t>
      </w:r>
      <w:proofErr w:type="gramEnd"/>
    </w:p>
  </w:footnote>
  <w:footnote w:id="37">
    <w:p w:rsidR="005B730B" w:rsidRPr="002939E8" w:rsidRDefault="005B730B" w:rsidP="005B730B">
      <w:pPr>
        <w:pStyle w:val="FootnoteText"/>
        <w:ind w:left="720" w:hanging="720"/>
        <w:rPr>
          <w:sz w:val="24"/>
          <w:szCs w:val="24"/>
        </w:rPr>
      </w:pPr>
      <w:r w:rsidRPr="002939E8">
        <w:rPr>
          <w:rStyle w:val="FootnoteReference"/>
          <w:sz w:val="24"/>
          <w:szCs w:val="24"/>
        </w:rPr>
        <w:footnoteRef/>
      </w:r>
      <w:r w:rsidRPr="002939E8">
        <w:rPr>
          <w:sz w:val="24"/>
          <w:szCs w:val="24"/>
        </w:rPr>
        <w:t xml:space="preserve"> </w:t>
      </w:r>
      <w:r w:rsidRPr="002939E8">
        <w:rPr>
          <w:sz w:val="24"/>
          <w:szCs w:val="24"/>
        </w:rPr>
        <w:tab/>
      </w:r>
      <w:r w:rsidR="002939E8">
        <w:rPr>
          <w:sz w:val="24"/>
          <w:szCs w:val="24"/>
        </w:rPr>
        <w:t>13,600 hours / 136 arrangers = 100 hours</w:t>
      </w:r>
      <w:r w:rsidRPr="002939E8">
        <w:rPr>
          <w:sz w:val="24"/>
          <w:szCs w:val="24"/>
        </w:rPr>
        <w:t xml:space="preserve">. </w:t>
      </w:r>
    </w:p>
  </w:footnote>
  <w:footnote w:id="38">
    <w:p w:rsidR="0076304C" w:rsidRPr="002939E8" w:rsidRDefault="0076304C" w:rsidP="0076304C">
      <w:pPr>
        <w:pStyle w:val="FootnoteText"/>
        <w:rPr>
          <w:sz w:val="24"/>
          <w:szCs w:val="24"/>
        </w:rPr>
      </w:pPr>
      <w:r w:rsidRPr="002939E8">
        <w:rPr>
          <w:rStyle w:val="FootnoteReference"/>
          <w:sz w:val="24"/>
          <w:szCs w:val="24"/>
        </w:rPr>
        <w:footnoteRef/>
      </w:r>
      <w:r w:rsidRPr="002939E8">
        <w:rPr>
          <w:sz w:val="24"/>
          <w:szCs w:val="24"/>
        </w:rPr>
        <w:t xml:space="preserve"> </w:t>
      </w:r>
      <w:r w:rsidRPr="002939E8">
        <w:rPr>
          <w:sz w:val="24"/>
          <w:szCs w:val="24"/>
        </w:rPr>
        <w:tab/>
      </w:r>
      <w:proofErr w:type="gramStart"/>
      <w:r w:rsidRPr="002939E8">
        <w:rPr>
          <w:sz w:val="24"/>
          <w:szCs w:val="24"/>
        </w:rPr>
        <w:t>20 transactions x 1 hour = 20 hours.</w:t>
      </w:r>
      <w:proofErr w:type="gramEnd"/>
    </w:p>
  </w:footnote>
  <w:footnote w:id="39">
    <w:p w:rsidR="0076304C" w:rsidRPr="002939E8" w:rsidRDefault="0076304C" w:rsidP="0076304C">
      <w:pPr>
        <w:pStyle w:val="FootnoteText"/>
        <w:rPr>
          <w:sz w:val="24"/>
          <w:szCs w:val="24"/>
        </w:rPr>
      </w:pPr>
      <w:r w:rsidRPr="002939E8">
        <w:rPr>
          <w:rStyle w:val="FootnoteReference"/>
          <w:sz w:val="24"/>
          <w:szCs w:val="24"/>
        </w:rPr>
        <w:footnoteRef/>
      </w:r>
      <w:r w:rsidRPr="002939E8">
        <w:rPr>
          <w:sz w:val="24"/>
          <w:szCs w:val="24"/>
        </w:rPr>
        <w:t xml:space="preserve"> </w:t>
      </w:r>
      <w:r w:rsidRPr="002939E8">
        <w:rPr>
          <w:sz w:val="24"/>
          <w:szCs w:val="24"/>
        </w:rPr>
        <w:tab/>
      </w:r>
      <w:proofErr w:type="gramStart"/>
      <w:r w:rsidRPr="002939E8">
        <w:rPr>
          <w:sz w:val="24"/>
          <w:szCs w:val="24"/>
        </w:rPr>
        <w:t>200 respondents x 20 hours = 4,000 hours.</w:t>
      </w:r>
      <w:proofErr w:type="gramEnd"/>
    </w:p>
  </w:footnote>
  <w:footnote w:id="40">
    <w:p w:rsidR="0076304C" w:rsidRPr="002939E8" w:rsidRDefault="0076304C">
      <w:pPr>
        <w:pStyle w:val="FootnoteText"/>
        <w:rPr>
          <w:sz w:val="24"/>
          <w:szCs w:val="24"/>
        </w:rPr>
      </w:pPr>
      <w:r w:rsidRPr="002939E8">
        <w:rPr>
          <w:rStyle w:val="FootnoteReference"/>
          <w:sz w:val="24"/>
          <w:szCs w:val="24"/>
        </w:rPr>
        <w:footnoteRef/>
      </w:r>
      <w:r w:rsidRPr="002939E8">
        <w:rPr>
          <w:sz w:val="24"/>
          <w:szCs w:val="24"/>
        </w:rPr>
        <w:t xml:space="preserve"> </w:t>
      </w:r>
      <w:r w:rsidRPr="002939E8">
        <w:rPr>
          <w:sz w:val="24"/>
          <w:szCs w:val="24"/>
        </w:rPr>
        <w:tab/>
      </w:r>
      <w:proofErr w:type="gramStart"/>
      <w:r w:rsidRPr="002939E8">
        <w:rPr>
          <w:sz w:val="24"/>
          <w:szCs w:val="24"/>
        </w:rPr>
        <w:t>336 respondents x 20 hours = 6,720 hours.</w:t>
      </w:r>
      <w:proofErr w:type="gramEnd"/>
    </w:p>
  </w:footnote>
  <w:footnote w:id="41">
    <w:p w:rsidR="0076304C" w:rsidRPr="002939E8" w:rsidRDefault="0076304C" w:rsidP="0076304C">
      <w:pPr>
        <w:pStyle w:val="FootnoteText"/>
        <w:ind w:left="720" w:hanging="720"/>
        <w:rPr>
          <w:sz w:val="24"/>
          <w:szCs w:val="24"/>
        </w:rPr>
      </w:pPr>
      <w:r w:rsidRPr="002939E8">
        <w:rPr>
          <w:rStyle w:val="FootnoteReference"/>
          <w:sz w:val="24"/>
          <w:szCs w:val="24"/>
        </w:rPr>
        <w:footnoteRef/>
      </w:r>
      <w:r w:rsidRPr="002939E8">
        <w:rPr>
          <w:sz w:val="24"/>
          <w:szCs w:val="24"/>
        </w:rPr>
        <w:t xml:space="preserve"> </w:t>
      </w:r>
      <w:r w:rsidRPr="002939E8">
        <w:rPr>
          <w:sz w:val="24"/>
          <w:szCs w:val="24"/>
        </w:rPr>
        <w:tab/>
        <w:t>125 transactions x 30 minutes x 12 months = 45,000 minutes/60 minutes = 750 hours.</w:t>
      </w:r>
    </w:p>
  </w:footnote>
  <w:footnote w:id="42">
    <w:p w:rsidR="0076304C" w:rsidRPr="002939E8" w:rsidRDefault="0076304C" w:rsidP="0076304C">
      <w:pPr>
        <w:pStyle w:val="FootnoteText"/>
        <w:rPr>
          <w:sz w:val="24"/>
          <w:szCs w:val="24"/>
        </w:rPr>
      </w:pPr>
      <w:r w:rsidRPr="002939E8">
        <w:rPr>
          <w:rStyle w:val="FootnoteReference"/>
          <w:sz w:val="24"/>
          <w:szCs w:val="24"/>
        </w:rPr>
        <w:footnoteRef/>
      </w:r>
      <w:r w:rsidRPr="002939E8">
        <w:rPr>
          <w:sz w:val="24"/>
          <w:szCs w:val="24"/>
        </w:rPr>
        <w:t xml:space="preserve"> </w:t>
      </w:r>
      <w:r w:rsidRPr="002939E8">
        <w:rPr>
          <w:sz w:val="24"/>
          <w:szCs w:val="24"/>
        </w:rPr>
        <w:tab/>
        <w:t>750 hours x 200 respondents = 150,000 hours.</w:t>
      </w:r>
    </w:p>
  </w:footnote>
  <w:footnote w:id="43">
    <w:p w:rsidR="0076304C" w:rsidRPr="005B730B" w:rsidRDefault="0076304C">
      <w:pPr>
        <w:pStyle w:val="FootnoteText"/>
        <w:rPr>
          <w:sz w:val="24"/>
          <w:szCs w:val="24"/>
        </w:rPr>
      </w:pPr>
      <w:r w:rsidRPr="005B730B">
        <w:rPr>
          <w:rStyle w:val="FootnoteReference"/>
          <w:sz w:val="24"/>
          <w:szCs w:val="24"/>
        </w:rPr>
        <w:footnoteRef/>
      </w:r>
      <w:r w:rsidRPr="005B730B">
        <w:rPr>
          <w:sz w:val="24"/>
          <w:szCs w:val="24"/>
        </w:rPr>
        <w:t xml:space="preserve"> </w:t>
      </w:r>
      <w:r w:rsidRPr="005B730B">
        <w:rPr>
          <w:sz w:val="24"/>
          <w:szCs w:val="24"/>
        </w:rPr>
        <w:tab/>
        <w:t>750 hours x 336 respondents = 252,000 hours.</w:t>
      </w:r>
    </w:p>
  </w:footnote>
  <w:footnote w:id="44">
    <w:p w:rsidR="00DE5615" w:rsidRPr="00210B6A" w:rsidRDefault="00DE5615" w:rsidP="00DE5615">
      <w:pPr>
        <w:pStyle w:val="FootnoteText"/>
        <w:rPr>
          <w:sz w:val="24"/>
          <w:szCs w:val="24"/>
        </w:rPr>
      </w:pPr>
      <w:r w:rsidRPr="00210B6A">
        <w:rPr>
          <w:rStyle w:val="FootnoteReference"/>
          <w:sz w:val="24"/>
          <w:szCs w:val="24"/>
        </w:rPr>
        <w:footnoteRef/>
      </w:r>
      <w:r w:rsidRPr="00210B6A">
        <w:rPr>
          <w:sz w:val="24"/>
          <w:szCs w:val="24"/>
        </w:rPr>
        <w:t xml:space="preserve"> </w:t>
      </w:r>
      <w:r w:rsidRPr="00210B6A">
        <w:rPr>
          <w:sz w:val="24"/>
          <w:szCs w:val="24"/>
        </w:rPr>
        <w:tab/>
      </w:r>
      <w:proofErr w:type="gramStart"/>
      <w:r>
        <w:rPr>
          <w:sz w:val="24"/>
          <w:szCs w:val="24"/>
        </w:rPr>
        <w:t>1</w:t>
      </w:r>
      <w:r w:rsidRPr="00210B6A">
        <w:rPr>
          <w:sz w:val="24"/>
          <w:szCs w:val="24"/>
        </w:rPr>
        <w:t xml:space="preserve">0 NRSROs x 2 hours = </w:t>
      </w:r>
      <w:r>
        <w:rPr>
          <w:sz w:val="24"/>
          <w:szCs w:val="24"/>
        </w:rPr>
        <w:t>2</w:t>
      </w:r>
      <w:r w:rsidRPr="00210B6A">
        <w:rPr>
          <w:sz w:val="24"/>
          <w:szCs w:val="24"/>
        </w:rPr>
        <w:t>0 hours.</w:t>
      </w:r>
      <w:proofErr w:type="gramEnd"/>
    </w:p>
  </w:footnote>
  <w:footnote w:id="45">
    <w:p w:rsidR="003E319B" w:rsidRPr="00773213" w:rsidRDefault="003E319B" w:rsidP="003E319B">
      <w:pPr>
        <w:pStyle w:val="FootnoteText"/>
        <w:ind w:left="720" w:hanging="720"/>
        <w:rPr>
          <w:sz w:val="24"/>
          <w:szCs w:val="24"/>
        </w:rPr>
      </w:pPr>
      <w:r w:rsidRPr="00773213">
        <w:rPr>
          <w:rStyle w:val="FootnoteReference"/>
          <w:sz w:val="24"/>
          <w:szCs w:val="24"/>
        </w:rPr>
        <w:footnoteRef/>
      </w:r>
      <w:r w:rsidRPr="00773213">
        <w:rPr>
          <w:sz w:val="24"/>
          <w:szCs w:val="24"/>
        </w:rPr>
        <w:t xml:space="preserve"> </w:t>
      </w:r>
      <w:r w:rsidRPr="00773213">
        <w:rPr>
          <w:sz w:val="24"/>
          <w:szCs w:val="24"/>
        </w:rPr>
        <w:tab/>
      </w:r>
      <w:r w:rsidRPr="00773213">
        <w:rPr>
          <w:sz w:val="24"/>
          <w:szCs w:val="24"/>
          <w:u w:val="single"/>
        </w:rPr>
        <w:t>See</w:t>
      </w:r>
      <w:r w:rsidRPr="00773213">
        <w:rPr>
          <w:sz w:val="24"/>
          <w:szCs w:val="24"/>
        </w:rPr>
        <w:t xml:space="preserve"> </w:t>
      </w:r>
      <w:r w:rsidRPr="00C62563">
        <w:rPr>
          <w:sz w:val="24"/>
          <w:szCs w:val="24"/>
          <w:u w:val="single"/>
        </w:rPr>
        <w:t>Adopting Release</w:t>
      </w:r>
      <w:r w:rsidRPr="00773213">
        <w:rPr>
          <w:sz w:val="24"/>
          <w:szCs w:val="24"/>
        </w:rPr>
        <w:t xml:space="preserve"> </w:t>
      </w:r>
      <w:r w:rsidR="00DC009E">
        <w:rPr>
          <w:sz w:val="24"/>
          <w:szCs w:val="24"/>
        </w:rPr>
        <w:t>79</w:t>
      </w:r>
      <w:r>
        <w:rPr>
          <w:sz w:val="24"/>
          <w:szCs w:val="24"/>
        </w:rPr>
        <w:t xml:space="preserve"> FR at </w:t>
      </w:r>
      <w:r w:rsidR="00C57989">
        <w:rPr>
          <w:sz w:val="24"/>
          <w:szCs w:val="24"/>
        </w:rPr>
        <w:t>55239</w:t>
      </w:r>
      <w:r>
        <w:rPr>
          <w:sz w:val="24"/>
          <w:szCs w:val="24"/>
        </w:rPr>
        <w:t>.</w:t>
      </w:r>
    </w:p>
  </w:footnote>
  <w:footnote w:id="46">
    <w:p w:rsidR="00710E79" w:rsidRPr="00773213" w:rsidRDefault="00710E79" w:rsidP="00773213">
      <w:pPr>
        <w:pStyle w:val="FootnoteText"/>
        <w:ind w:left="720" w:hanging="720"/>
        <w:rPr>
          <w:sz w:val="24"/>
          <w:szCs w:val="24"/>
        </w:rPr>
      </w:pPr>
      <w:r w:rsidRPr="00501210">
        <w:rPr>
          <w:rStyle w:val="FootnoteReference"/>
        </w:rPr>
        <w:footnoteRef/>
      </w:r>
      <w:r w:rsidRPr="00501210">
        <w:t xml:space="preserve"> </w:t>
      </w:r>
      <w:r w:rsidRPr="00501210">
        <w:tab/>
      </w:r>
      <w:r w:rsidRPr="00773213">
        <w:rPr>
          <w:sz w:val="24"/>
          <w:szCs w:val="24"/>
        </w:rPr>
        <w:t>336 issuers, sponsors, and underwriters x 2 hours = 672 hours; 672 hours x 10 NRSROs = 6,720 hours.</w:t>
      </w:r>
    </w:p>
  </w:footnote>
  <w:footnote w:id="47">
    <w:p w:rsidR="00207381" w:rsidRPr="00773213" w:rsidRDefault="00207381" w:rsidP="00773213">
      <w:pPr>
        <w:pStyle w:val="FootnoteText"/>
        <w:ind w:left="720" w:hanging="720"/>
        <w:rPr>
          <w:sz w:val="24"/>
          <w:szCs w:val="24"/>
        </w:rPr>
      </w:pPr>
      <w:r w:rsidRPr="00773213">
        <w:rPr>
          <w:rStyle w:val="FootnoteReference"/>
          <w:sz w:val="24"/>
          <w:szCs w:val="24"/>
        </w:rPr>
        <w:footnoteRef/>
      </w:r>
      <w:r w:rsidRPr="00773213">
        <w:rPr>
          <w:sz w:val="24"/>
          <w:szCs w:val="24"/>
        </w:rPr>
        <w:t xml:space="preserve"> </w:t>
      </w:r>
      <w:r w:rsidRPr="00773213">
        <w:rPr>
          <w:sz w:val="24"/>
          <w:szCs w:val="24"/>
        </w:rPr>
        <w:tab/>
      </w:r>
      <w:proofErr w:type="gramStart"/>
      <w:r w:rsidRPr="00773213">
        <w:rPr>
          <w:sz w:val="24"/>
          <w:szCs w:val="24"/>
        </w:rPr>
        <w:t>6,720 / 3 = 2,240.</w:t>
      </w:r>
      <w:proofErr w:type="gramEnd"/>
    </w:p>
  </w:footnote>
  <w:footnote w:id="48">
    <w:p w:rsidR="00207381" w:rsidRPr="00773213" w:rsidRDefault="00207381" w:rsidP="00773213">
      <w:pPr>
        <w:pStyle w:val="FootnoteText"/>
        <w:ind w:left="720" w:hanging="720"/>
        <w:rPr>
          <w:sz w:val="24"/>
          <w:szCs w:val="24"/>
        </w:rPr>
      </w:pPr>
      <w:r w:rsidRPr="00773213">
        <w:rPr>
          <w:rStyle w:val="FootnoteReference"/>
          <w:sz w:val="24"/>
          <w:szCs w:val="24"/>
        </w:rPr>
        <w:footnoteRef/>
      </w:r>
      <w:r w:rsidRPr="00773213">
        <w:rPr>
          <w:sz w:val="24"/>
          <w:szCs w:val="24"/>
        </w:rPr>
        <w:t xml:space="preserve"> </w:t>
      </w:r>
      <w:r w:rsidRPr="00773213">
        <w:rPr>
          <w:sz w:val="24"/>
          <w:szCs w:val="24"/>
        </w:rPr>
        <w:tab/>
        <w:t xml:space="preserve">2,240 hours / 10 NRSROs = 224 hours. </w:t>
      </w:r>
    </w:p>
  </w:footnote>
  <w:footnote w:id="49">
    <w:p w:rsidR="00710E79" w:rsidRPr="00773213" w:rsidRDefault="00710E79" w:rsidP="00773213">
      <w:pPr>
        <w:pStyle w:val="FootnoteText"/>
        <w:ind w:left="720" w:hanging="720"/>
        <w:rPr>
          <w:sz w:val="24"/>
          <w:szCs w:val="24"/>
        </w:rPr>
      </w:pPr>
      <w:r w:rsidRPr="00773213">
        <w:rPr>
          <w:rStyle w:val="FootnoteReference"/>
          <w:sz w:val="24"/>
          <w:szCs w:val="24"/>
        </w:rPr>
        <w:footnoteRef/>
      </w:r>
      <w:r w:rsidRPr="00773213">
        <w:rPr>
          <w:sz w:val="24"/>
          <w:szCs w:val="24"/>
        </w:rPr>
        <w:t xml:space="preserve"> </w:t>
      </w:r>
      <w:r w:rsidRPr="00773213">
        <w:rPr>
          <w:sz w:val="24"/>
          <w:szCs w:val="24"/>
        </w:rPr>
        <w:tab/>
      </w:r>
      <w:r w:rsidRPr="00773213">
        <w:rPr>
          <w:sz w:val="24"/>
          <w:szCs w:val="24"/>
          <w:u w:val="single"/>
        </w:rPr>
        <w:t>See</w:t>
      </w:r>
      <w:r w:rsidRPr="00773213">
        <w:rPr>
          <w:sz w:val="24"/>
          <w:szCs w:val="24"/>
        </w:rPr>
        <w:t xml:space="preserve"> </w:t>
      </w:r>
      <w:r w:rsidR="00773213" w:rsidRPr="00C62563">
        <w:rPr>
          <w:sz w:val="24"/>
          <w:szCs w:val="24"/>
          <w:u w:val="single"/>
        </w:rPr>
        <w:t>Adopting Release</w:t>
      </w:r>
      <w:r w:rsidR="00773213" w:rsidRPr="00773213">
        <w:rPr>
          <w:sz w:val="24"/>
          <w:szCs w:val="24"/>
        </w:rPr>
        <w:t xml:space="preserve"> </w:t>
      </w:r>
      <w:r w:rsidR="00DC009E">
        <w:rPr>
          <w:sz w:val="24"/>
          <w:szCs w:val="24"/>
        </w:rPr>
        <w:t>79</w:t>
      </w:r>
      <w:r w:rsidR="00C62563">
        <w:rPr>
          <w:sz w:val="24"/>
          <w:szCs w:val="24"/>
        </w:rPr>
        <w:t xml:space="preserve"> FR at </w:t>
      </w:r>
      <w:r w:rsidR="00C57989">
        <w:rPr>
          <w:sz w:val="24"/>
          <w:szCs w:val="24"/>
        </w:rPr>
        <w:t>55239</w:t>
      </w:r>
      <w:r w:rsidR="00C62563">
        <w:rPr>
          <w:sz w:val="24"/>
          <w:szCs w:val="24"/>
        </w:rPr>
        <w:t>.</w:t>
      </w:r>
    </w:p>
  </w:footnote>
  <w:footnote w:id="50">
    <w:p w:rsidR="00710E79" w:rsidRPr="00773213" w:rsidRDefault="00710E79" w:rsidP="00773213">
      <w:pPr>
        <w:pStyle w:val="FootnoteText"/>
        <w:ind w:left="720" w:hanging="720"/>
        <w:rPr>
          <w:sz w:val="24"/>
          <w:szCs w:val="24"/>
        </w:rPr>
      </w:pPr>
      <w:r w:rsidRPr="00773213">
        <w:rPr>
          <w:rStyle w:val="FootnoteReference"/>
          <w:sz w:val="24"/>
          <w:szCs w:val="24"/>
        </w:rPr>
        <w:footnoteRef/>
      </w:r>
      <w:r w:rsidRPr="00773213">
        <w:rPr>
          <w:sz w:val="24"/>
          <w:szCs w:val="24"/>
        </w:rPr>
        <w:t xml:space="preserve"> </w:t>
      </w:r>
      <w:r w:rsidRPr="00773213">
        <w:rPr>
          <w:sz w:val="24"/>
          <w:szCs w:val="24"/>
        </w:rPr>
        <w:tab/>
        <w:t>715 Forms ABS Due Diligence-15E per year x 10 minutes = 119.17 hours, rounded to 119 hours.</w:t>
      </w:r>
    </w:p>
  </w:footnote>
  <w:footnote w:id="51">
    <w:p w:rsidR="00710E79" w:rsidRPr="00773213" w:rsidRDefault="00710E79" w:rsidP="00773213">
      <w:pPr>
        <w:pStyle w:val="FootnoteText"/>
        <w:ind w:left="720" w:hanging="720"/>
        <w:rPr>
          <w:sz w:val="24"/>
          <w:szCs w:val="24"/>
        </w:rPr>
      </w:pPr>
      <w:r w:rsidRPr="00773213">
        <w:rPr>
          <w:rStyle w:val="FootnoteReference"/>
          <w:sz w:val="24"/>
          <w:szCs w:val="24"/>
        </w:rPr>
        <w:footnoteRef/>
      </w:r>
      <w:r w:rsidRPr="00773213">
        <w:rPr>
          <w:sz w:val="24"/>
          <w:szCs w:val="24"/>
        </w:rPr>
        <w:t xml:space="preserve"> </w:t>
      </w:r>
      <w:r w:rsidRPr="00773213">
        <w:rPr>
          <w:sz w:val="24"/>
          <w:szCs w:val="24"/>
        </w:rPr>
        <w:tab/>
        <w:t>100 hours x 10 NRSROs = 1,000 hours.</w:t>
      </w:r>
    </w:p>
  </w:footnote>
  <w:footnote w:id="52">
    <w:p w:rsidR="00710E79" w:rsidRPr="00773213" w:rsidRDefault="00710E79" w:rsidP="00C82309">
      <w:pPr>
        <w:pStyle w:val="FootnoteText"/>
        <w:ind w:left="720" w:hanging="720"/>
        <w:rPr>
          <w:sz w:val="24"/>
          <w:szCs w:val="24"/>
        </w:rPr>
      </w:pPr>
      <w:r w:rsidRPr="00501210">
        <w:rPr>
          <w:rStyle w:val="FootnoteReference"/>
        </w:rPr>
        <w:footnoteRef/>
      </w:r>
      <w:r w:rsidRPr="00501210">
        <w:t xml:space="preserve"> </w:t>
      </w:r>
      <w:r w:rsidRPr="00501210">
        <w:tab/>
      </w:r>
      <w:proofErr w:type="gramStart"/>
      <w:r w:rsidRPr="00773213">
        <w:rPr>
          <w:sz w:val="24"/>
          <w:szCs w:val="24"/>
        </w:rPr>
        <w:t>10 NRSROs x 25 hours = 250 hours; 1,000 hours + 250 hours = 1,250 hours.</w:t>
      </w:r>
      <w:proofErr w:type="gramEnd"/>
      <w:r w:rsidRPr="00773213">
        <w:rPr>
          <w:sz w:val="24"/>
          <w:szCs w:val="24"/>
        </w:rPr>
        <w:t xml:space="preserve">  </w:t>
      </w:r>
      <w:r w:rsidRPr="00773213">
        <w:rPr>
          <w:sz w:val="24"/>
          <w:szCs w:val="24"/>
          <w:u w:val="single"/>
        </w:rPr>
        <w:t>See also</w:t>
      </w:r>
      <w:r w:rsidRPr="00773213">
        <w:rPr>
          <w:sz w:val="24"/>
          <w:szCs w:val="24"/>
        </w:rPr>
        <w:t xml:space="preserve"> </w:t>
      </w:r>
      <w:r w:rsidRPr="00773213">
        <w:rPr>
          <w:sz w:val="24"/>
          <w:szCs w:val="24"/>
          <w:u w:val="single"/>
        </w:rPr>
        <w:t>Oversight of Credit Rating Agencies Registered as Nationally Recognized Statistical Rating Organizations</w:t>
      </w:r>
      <w:r w:rsidRPr="00773213">
        <w:rPr>
          <w:sz w:val="24"/>
          <w:szCs w:val="24"/>
        </w:rPr>
        <w:t>, 72 FR at 33614 (providing a PRA estimate of twenty-five hours for an NRSRO to prepare and furnish an update of its registration).</w:t>
      </w:r>
    </w:p>
  </w:footnote>
  <w:footnote w:id="53">
    <w:p w:rsidR="00A6385C" w:rsidRPr="00773213" w:rsidRDefault="00A6385C" w:rsidP="00A6385C">
      <w:pPr>
        <w:pStyle w:val="FootnoteText"/>
        <w:rPr>
          <w:sz w:val="24"/>
          <w:szCs w:val="24"/>
        </w:rPr>
      </w:pPr>
      <w:r w:rsidRPr="00773213">
        <w:rPr>
          <w:rStyle w:val="FootnoteReference"/>
          <w:sz w:val="24"/>
          <w:szCs w:val="24"/>
        </w:rPr>
        <w:footnoteRef/>
      </w:r>
      <w:r w:rsidRPr="00773213">
        <w:rPr>
          <w:sz w:val="24"/>
          <w:szCs w:val="24"/>
        </w:rPr>
        <w:t xml:space="preserve"> </w:t>
      </w:r>
      <w:r w:rsidRPr="00773213">
        <w:rPr>
          <w:sz w:val="24"/>
          <w:szCs w:val="24"/>
        </w:rPr>
        <w:tab/>
        <w:t>1,250 / 3 = 416.67, rounded to 417.</w:t>
      </w:r>
    </w:p>
  </w:footnote>
  <w:footnote w:id="54">
    <w:p w:rsidR="00A6385C" w:rsidRPr="00773213" w:rsidRDefault="00A6385C" w:rsidP="00A6385C">
      <w:pPr>
        <w:pStyle w:val="FootnoteText"/>
        <w:rPr>
          <w:sz w:val="24"/>
          <w:szCs w:val="24"/>
        </w:rPr>
      </w:pPr>
      <w:r w:rsidRPr="00773213">
        <w:rPr>
          <w:rStyle w:val="FootnoteReference"/>
          <w:sz w:val="24"/>
          <w:szCs w:val="24"/>
        </w:rPr>
        <w:footnoteRef/>
      </w:r>
      <w:r w:rsidRPr="00773213">
        <w:rPr>
          <w:sz w:val="24"/>
          <w:szCs w:val="24"/>
        </w:rPr>
        <w:t xml:space="preserve"> </w:t>
      </w:r>
      <w:r w:rsidRPr="00773213">
        <w:rPr>
          <w:sz w:val="24"/>
          <w:szCs w:val="24"/>
        </w:rPr>
        <w:tab/>
        <w:t xml:space="preserve">417 hours / 10 NRSROs = 41.7 hours, rounded to 42 hours. </w:t>
      </w:r>
    </w:p>
  </w:footnote>
  <w:footnote w:id="55">
    <w:p w:rsidR="00710E79" w:rsidRPr="002A77CE" w:rsidRDefault="00710E79" w:rsidP="00710E79">
      <w:pPr>
        <w:pStyle w:val="FootnoteText"/>
        <w:rPr>
          <w:sz w:val="24"/>
          <w:szCs w:val="24"/>
        </w:rPr>
      </w:pPr>
      <w:r w:rsidRPr="00FD1B57">
        <w:rPr>
          <w:rStyle w:val="FootnoteReference"/>
          <w:sz w:val="24"/>
          <w:szCs w:val="24"/>
        </w:rPr>
        <w:footnoteRef/>
      </w:r>
      <w:r w:rsidRPr="00FD1B57">
        <w:rPr>
          <w:sz w:val="24"/>
          <w:szCs w:val="24"/>
        </w:rPr>
        <w:t xml:space="preserve"> </w:t>
      </w:r>
      <w:r w:rsidRPr="00FD1B57">
        <w:rPr>
          <w:sz w:val="24"/>
          <w:szCs w:val="24"/>
        </w:rPr>
        <w:tab/>
      </w:r>
      <w:r w:rsidRPr="002A77CE">
        <w:rPr>
          <w:sz w:val="24"/>
          <w:szCs w:val="24"/>
        </w:rPr>
        <w:t>50 hours x $400 per hour for outside counsel = $20,000.</w:t>
      </w:r>
    </w:p>
  </w:footnote>
  <w:footnote w:id="56">
    <w:p w:rsidR="00DD63BA" w:rsidRPr="002A77CE" w:rsidRDefault="00DD63BA" w:rsidP="002A77CE">
      <w:pPr>
        <w:pStyle w:val="FootnoteText"/>
        <w:ind w:left="720" w:hanging="720"/>
        <w:rPr>
          <w:sz w:val="24"/>
          <w:szCs w:val="24"/>
        </w:rPr>
      </w:pPr>
      <w:r w:rsidRPr="002A77CE">
        <w:rPr>
          <w:rStyle w:val="FootnoteReference"/>
          <w:sz w:val="24"/>
          <w:szCs w:val="24"/>
        </w:rPr>
        <w:footnoteRef/>
      </w:r>
      <w:r w:rsidRPr="002A77CE">
        <w:rPr>
          <w:sz w:val="24"/>
          <w:szCs w:val="24"/>
        </w:rPr>
        <w:t xml:space="preserve"> </w:t>
      </w:r>
      <w:r w:rsidR="002A77CE" w:rsidRPr="002A77CE">
        <w:rPr>
          <w:sz w:val="24"/>
          <w:szCs w:val="24"/>
        </w:rPr>
        <w:tab/>
      </w:r>
      <w:r w:rsidR="002A77CE">
        <w:rPr>
          <w:sz w:val="24"/>
          <w:szCs w:val="24"/>
        </w:rPr>
        <w:t xml:space="preserve">$20,000 x 10 = $200,000; 150 x 10 = 1,500.  </w:t>
      </w:r>
      <w:r w:rsidR="002A77CE" w:rsidRPr="002A77CE">
        <w:rPr>
          <w:sz w:val="24"/>
          <w:szCs w:val="24"/>
        </w:rPr>
        <w:t>$200,000 / 3 = $66,667, rounded to $67,000; 1,500 / 3 = 500.</w:t>
      </w:r>
    </w:p>
  </w:footnote>
  <w:footnote w:id="57">
    <w:p w:rsidR="00FD1B57" w:rsidRPr="002A77CE" w:rsidRDefault="00FD1B57">
      <w:pPr>
        <w:pStyle w:val="FootnoteText"/>
        <w:rPr>
          <w:sz w:val="24"/>
          <w:szCs w:val="24"/>
        </w:rPr>
      </w:pPr>
      <w:r w:rsidRPr="002A77CE">
        <w:rPr>
          <w:rStyle w:val="FootnoteReference"/>
          <w:sz w:val="24"/>
          <w:szCs w:val="24"/>
        </w:rPr>
        <w:footnoteRef/>
      </w:r>
      <w:r w:rsidRPr="002A77CE">
        <w:rPr>
          <w:sz w:val="24"/>
          <w:szCs w:val="24"/>
        </w:rPr>
        <w:t xml:space="preserve"> </w:t>
      </w:r>
      <w:r w:rsidRPr="002A77CE">
        <w:rPr>
          <w:sz w:val="24"/>
          <w:szCs w:val="24"/>
        </w:rPr>
        <w:tab/>
        <w:t>14,880 – 2,436 = 12,444.</w:t>
      </w:r>
    </w:p>
  </w:footnote>
  <w:footnote w:id="58">
    <w:p w:rsidR="00FD1B57" w:rsidRPr="002A77CE" w:rsidRDefault="00FD1B57">
      <w:pPr>
        <w:pStyle w:val="FootnoteText"/>
        <w:rPr>
          <w:sz w:val="24"/>
          <w:szCs w:val="24"/>
        </w:rPr>
      </w:pPr>
      <w:r w:rsidRPr="002A77CE">
        <w:rPr>
          <w:rStyle w:val="FootnoteReference"/>
          <w:sz w:val="24"/>
          <w:szCs w:val="24"/>
        </w:rPr>
        <w:footnoteRef/>
      </w:r>
      <w:r w:rsidRPr="002A77CE">
        <w:rPr>
          <w:sz w:val="24"/>
          <w:szCs w:val="24"/>
        </w:rPr>
        <w:t xml:space="preserve"> </w:t>
      </w:r>
      <w:r w:rsidRPr="002A77CE">
        <w:rPr>
          <w:sz w:val="24"/>
          <w:szCs w:val="24"/>
        </w:rPr>
        <w:tab/>
        <w:t>6,720 – 4,000 = 2,720.</w:t>
      </w:r>
    </w:p>
  </w:footnote>
  <w:footnote w:id="59">
    <w:p w:rsidR="00FD1B57" w:rsidRPr="002A77CE" w:rsidRDefault="00FD1B57">
      <w:pPr>
        <w:pStyle w:val="FootnoteText"/>
        <w:rPr>
          <w:sz w:val="24"/>
          <w:szCs w:val="24"/>
        </w:rPr>
      </w:pPr>
      <w:r w:rsidRPr="002A77CE">
        <w:rPr>
          <w:rStyle w:val="FootnoteReference"/>
          <w:sz w:val="24"/>
          <w:szCs w:val="24"/>
        </w:rPr>
        <w:footnoteRef/>
      </w:r>
      <w:r w:rsidRPr="002A77CE">
        <w:rPr>
          <w:sz w:val="24"/>
          <w:szCs w:val="24"/>
        </w:rPr>
        <w:t xml:space="preserve"> </w:t>
      </w:r>
      <w:r w:rsidRPr="002A77CE">
        <w:rPr>
          <w:sz w:val="24"/>
          <w:szCs w:val="24"/>
        </w:rPr>
        <w:tab/>
        <w:t>252,000 – 150,000 = 102,000.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70103704"/>
      <w:docPartObj>
        <w:docPartGallery w:val="Page Numbers (Top of Page)"/>
        <w:docPartUnique/>
      </w:docPartObj>
    </w:sdtPr>
    <w:sdtEndPr/>
    <w:sdtContent>
      <w:p w:rsidR="00F528AC" w:rsidRDefault="00F528AC">
        <w:pPr>
          <w:pStyle w:val="Header"/>
          <w:jc w:val="center"/>
          <w:rPr>
            <w:rFonts w:asciiTheme="majorHAnsi" w:hAnsiTheme="majorHAnsi"/>
            <w:sz w:val="28"/>
            <w:szCs w:val="28"/>
          </w:rPr>
        </w:pPr>
        <w:r w:rsidRPr="006927A2">
          <w:rPr>
            <w:sz w:val="24"/>
            <w:szCs w:val="24"/>
          </w:rPr>
          <w:t xml:space="preserve"> - </w:t>
        </w:r>
        <w:r w:rsidRPr="006927A2">
          <w:rPr>
            <w:sz w:val="24"/>
            <w:szCs w:val="24"/>
          </w:rPr>
          <w:fldChar w:fldCharType="begin"/>
        </w:r>
        <w:r w:rsidRPr="006927A2">
          <w:rPr>
            <w:sz w:val="24"/>
            <w:szCs w:val="24"/>
          </w:rPr>
          <w:instrText xml:space="preserve"> PAGE    \* MERGEFORMAT </w:instrText>
        </w:r>
        <w:r w:rsidRPr="006927A2">
          <w:rPr>
            <w:sz w:val="24"/>
            <w:szCs w:val="24"/>
          </w:rPr>
          <w:fldChar w:fldCharType="separate"/>
        </w:r>
        <w:r w:rsidR="00735A93">
          <w:rPr>
            <w:noProof/>
            <w:sz w:val="24"/>
            <w:szCs w:val="24"/>
          </w:rPr>
          <w:t>2</w:t>
        </w:r>
        <w:r w:rsidRPr="006927A2">
          <w:rPr>
            <w:sz w:val="24"/>
            <w:szCs w:val="24"/>
          </w:rPr>
          <w:fldChar w:fldCharType="end"/>
        </w:r>
        <w:r w:rsidRPr="006927A2">
          <w:rPr>
            <w:sz w:val="24"/>
            <w:szCs w:val="24"/>
          </w:rPr>
          <w:t xml:space="preserve"> -</w:t>
        </w:r>
      </w:p>
    </w:sdtContent>
  </w:sdt>
  <w:p w:rsidR="00F528AC" w:rsidRDefault="00F528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DE"/>
    <w:rsid w:val="000047FC"/>
    <w:rsid w:val="0000694E"/>
    <w:rsid w:val="00036969"/>
    <w:rsid w:val="00040F4C"/>
    <w:rsid w:val="0004165E"/>
    <w:rsid w:val="00044F77"/>
    <w:rsid w:val="00046D05"/>
    <w:rsid w:val="00054919"/>
    <w:rsid w:val="0006159A"/>
    <w:rsid w:val="00061F18"/>
    <w:rsid w:val="00073F57"/>
    <w:rsid w:val="0007522F"/>
    <w:rsid w:val="00077C78"/>
    <w:rsid w:val="00086E1F"/>
    <w:rsid w:val="00096A1F"/>
    <w:rsid w:val="000970F5"/>
    <w:rsid w:val="000A2616"/>
    <w:rsid w:val="000A420B"/>
    <w:rsid w:val="000B1384"/>
    <w:rsid w:val="000B6BC8"/>
    <w:rsid w:val="000C29B8"/>
    <w:rsid w:val="000C3833"/>
    <w:rsid w:val="000C39B6"/>
    <w:rsid w:val="000D2ADA"/>
    <w:rsid w:val="000D4798"/>
    <w:rsid w:val="000E0CD0"/>
    <w:rsid w:val="000E0FEF"/>
    <w:rsid w:val="000F7470"/>
    <w:rsid w:val="00101DE4"/>
    <w:rsid w:val="001059B9"/>
    <w:rsid w:val="00107DCA"/>
    <w:rsid w:val="00107DE8"/>
    <w:rsid w:val="00113D20"/>
    <w:rsid w:val="00114A7C"/>
    <w:rsid w:val="00125671"/>
    <w:rsid w:val="0012771E"/>
    <w:rsid w:val="00131ECA"/>
    <w:rsid w:val="00131ECD"/>
    <w:rsid w:val="00137228"/>
    <w:rsid w:val="0014788B"/>
    <w:rsid w:val="00151043"/>
    <w:rsid w:val="00151BE5"/>
    <w:rsid w:val="00156EEC"/>
    <w:rsid w:val="00165C83"/>
    <w:rsid w:val="00166C8F"/>
    <w:rsid w:val="00170E5D"/>
    <w:rsid w:val="001745C9"/>
    <w:rsid w:val="001803CE"/>
    <w:rsid w:val="00182344"/>
    <w:rsid w:val="00186D89"/>
    <w:rsid w:val="00193B67"/>
    <w:rsid w:val="001950A7"/>
    <w:rsid w:val="001A01C3"/>
    <w:rsid w:val="001B0DF9"/>
    <w:rsid w:val="001B2FE5"/>
    <w:rsid w:val="001B5AC8"/>
    <w:rsid w:val="001C4913"/>
    <w:rsid w:val="001C5745"/>
    <w:rsid w:val="001C7339"/>
    <w:rsid w:val="001D4E53"/>
    <w:rsid w:val="001D5242"/>
    <w:rsid w:val="001E6C12"/>
    <w:rsid w:val="001F100F"/>
    <w:rsid w:val="00205AB3"/>
    <w:rsid w:val="00207381"/>
    <w:rsid w:val="00210B6A"/>
    <w:rsid w:val="002122D5"/>
    <w:rsid w:val="00214025"/>
    <w:rsid w:val="0022267F"/>
    <w:rsid w:val="00223831"/>
    <w:rsid w:val="00224B6D"/>
    <w:rsid w:val="00237268"/>
    <w:rsid w:val="00237B4F"/>
    <w:rsid w:val="00237E77"/>
    <w:rsid w:val="00241061"/>
    <w:rsid w:val="002442AB"/>
    <w:rsid w:val="002459EF"/>
    <w:rsid w:val="002652A9"/>
    <w:rsid w:val="0027091E"/>
    <w:rsid w:val="0027165B"/>
    <w:rsid w:val="00275BFC"/>
    <w:rsid w:val="0028439A"/>
    <w:rsid w:val="002939E8"/>
    <w:rsid w:val="002A18BB"/>
    <w:rsid w:val="002A2156"/>
    <w:rsid w:val="002A4830"/>
    <w:rsid w:val="002A77CE"/>
    <w:rsid w:val="002B053A"/>
    <w:rsid w:val="002C363C"/>
    <w:rsid w:val="002D4AC5"/>
    <w:rsid w:val="002E2ACD"/>
    <w:rsid w:val="002E3D53"/>
    <w:rsid w:val="002F1EAC"/>
    <w:rsid w:val="002F2020"/>
    <w:rsid w:val="00302524"/>
    <w:rsid w:val="00303939"/>
    <w:rsid w:val="00310065"/>
    <w:rsid w:val="003112AC"/>
    <w:rsid w:val="00316590"/>
    <w:rsid w:val="00317AB4"/>
    <w:rsid w:val="00317E81"/>
    <w:rsid w:val="0032647C"/>
    <w:rsid w:val="00327A02"/>
    <w:rsid w:val="0034168F"/>
    <w:rsid w:val="00341B92"/>
    <w:rsid w:val="003452DE"/>
    <w:rsid w:val="003517CF"/>
    <w:rsid w:val="00356750"/>
    <w:rsid w:val="00360524"/>
    <w:rsid w:val="00360C8C"/>
    <w:rsid w:val="00361DF7"/>
    <w:rsid w:val="003644A6"/>
    <w:rsid w:val="003749D3"/>
    <w:rsid w:val="003764B0"/>
    <w:rsid w:val="00377425"/>
    <w:rsid w:val="003803F7"/>
    <w:rsid w:val="00387BD4"/>
    <w:rsid w:val="003907FC"/>
    <w:rsid w:val="003A3E20"/>
    <w:rsid w:val="003A3E29"/>
    <w:rsid w:val="003A6372"/>
    <w:rsid w:val="003B5DCE"/>
    <w:rsid w:val="003C0209"/>
    <w:rsid w:val="003C2C09"/>
    <w:rsid w:val="003E276C"/>
    <w:rsid w:val="003E319B"/>
    <w:rsid w:val="003E4E6A"/>
    <w:rsid w:val="00400F80"/>
    <w:rsid w:val="00413BB7"/>
    <w:rsid w:val="00413E7E"/>
    <w:rsid w:val="00415D11"/>
    <w:rsid w:val="00427069"/>
    <w:rsid w:val="00433648"/>
    <w:rsid w:val="004342BA"/>
    <w:rsid w:val="004346A8"/>
    <w:rsid w:val="00435A2E"/>
    <w:rsid w:val="00443573"/>
    <w:rsid w:val="00443E20"/>
    <w:rsid w:val="004469FD"/>
    <w:rsid w:val="00453014"/>
    <w:rsid w:val="00453B51"/>
    <w:rsid w:val="00455943"/>
    <w:rsid w:val="00460FA9"/>
    <w:rsid w:val="00463D14"/>
    <w:rsid w:val="00464384"/>
    <w:rsid w:val="004677F4"/>
    <w:rsid w:val="00471E13"/>
    <w:rsid w:val="00476374"/>
    <w:rsid w:val="00481FB0"/>
    <w:rsid w:val="00486A28"/>
    <w:rsid w:val="00490CDB"/>
    <w:rsid w:val="00492092"/>
    <w:rsid w:val="004926C0"/>
    <w:rsid w:val="004945BB"/>
    <w:rsid w:val="00494E3B"/>
    <w:rsid w:val="00495C71"/>
    <w:rsid w:val="004964DF"/>
    <w:rsid w:val="00497E27"/>
    <w:rsid w:val="004A0DD9"/>
    <w:rsid w:val="004A3FEF"/>
    <w:rsid w:val="004B00D5"/>
    <w:rsid w:val="004B2FB1"/>
    <w:rsid w:val="004B6C92"/>
    <w:rsid w:val="004C2748"/>
    <w:rsid w:val="004E0CB4"/>
    <w:rsid w:val="004E1BFB"/>
    <w:rsid w:val="004E265D"/>
    <w:rsid w:val="004F1B46"/>
    <w:rsid w:val="004F269F"/>
    <w:rsid w:val="004F57A8"/>
    <w:rsid w:val="00505ECA"/>
    <w:rsid w:val="00511847"/>
    <w:rsid w:val="00512136"/>
    <w:rsid w:val="00514178"/>
    <w:rsid w:val="005153D6"/>
    <w:rsid w:val="00522148"/>
    <w:rsid w:val="005350D3"/>
    <w:rsid w:val="00543C8E"/>
    <w:rsid w:val="005533DC"/>
    <w:rsid w:val="005573CC"/>
    <w:rsid w:val="00561831"/>
    <w:rsid w:val="00565870"/>
    <w:rsid w:val="00574C81"/>
    <w:rsid w:val="00575806"/>
    <w:rsid w:val="00587ABC"/>
    <w:rsid w:val="00594552"/>
    <w:rsid w:val="005A0B9A"/>
    <w:rsid w:val="005A0C87"/>
    <w:rsid w:val="005B0274"/>
    <w:rsid w:val="005B2E2B"/>
    <w:rsid w:val="005B526D"/>
    <w:rsid w:val="005B5403"/>
    <w:rsid w:val="005B730B"/>
    <w:rsid w:val="005B7C9B"/>
    <w:rsid w:val="005C0AD9"/>
    <w:rsid w:val="005D2A63"/>
    <w:rsid w:val="005D4660"/>
    <w:rsid w:val="005D6EA5"/>
    <w:rsid w:val="005E559E"/>
    <w:rsid w:val="005E74A0"/>
    <w:rsid w:val="005E7CB5"/>
    <w:rsid w:val="005F0FCA"/>
    <w:rsid w:val="005F2229"/>
    <w:rsid w:val="005F3507"/>
    <w:rsid w:val="005F54C3"/>
    <w:rsid w:val="00600E54"/>
    <w:rsid w:val="00602EBB"/>
    <w:rsid w:val="00605C2C"/>
    <w:rsid w:val="00607215"/>
    <w:rsid w:val="006076F5"/>
    <w:rsid w:val="006111BD"/>
    <w:rsid w:val="00614C39"/>
    <w:rsid w:val="0062123B"/>
    <w:rsid w:val="0062538F"/>
    <w:rsid w:val="00633ACE"/>
    <w:rsid w:val="006348A2"/>
    <w:rsid w:val="006350E8"/>
    <w:rsid w:val="006404B9"/>
    <w:rsid w:val="00642E10"/>
    <w:rsid w:val="00643D7E"/>
    <w:rsid w:val="0065057A"/>
    <w:rsid w:val="00651102"/>
    <w:rsid w:val="0065252F"/>
    <w:rsid w:val="006622C1"/>
    <w:rsid w:val="006635C7"/>
    <w:rsid w:val="0066688A"/>
    <w:rsid w:val="006761A3"/>
    <w:rsid w:val="00683372"/>
    <w:rsid w:val="006927A2"/>
    <w:rsid w:val="0069511F"/>
    <w:rsid w:val="006957F0"/>
    <w:rsid w:val="006A31AF"/>
    <w:rsid w:val="006A6B64"/>
    <w:rsid w:val="006B0C46"/>
    <w:rsid w:val="006B1F5F"/>
    <w:rsid w:val="006C2197"/>
    <w:rsid w:val="006C29EE"/>
    <w:rsid w:val="006C62DE"/>
    <w:rsid w:val="006C7FDE"/>
    <w:rsid w:val="006D2259"/>
    <w:rsid w:val="006E4923"/>
    <w:rsid w:val="006E5960"/>
    <w:rsid w:val="00701BA4"/>
    <w:rsid w:val="007049CE"/>
    <w:rsid w:val="00704D8F"/>
    <w:rsid w:val="00704FDB"/>
    <w:rsid w:val="00706CB1"/>
    <w:rsid w:val="00710E79"/>
    <w:rsid w:val="007142A3"/>
    <w:rsid w:val="00720C1B"/>
    <w:rsid w:val="00726334"/>
    <w:rsid w:val="007273D2"/>
    <w:rsid w:val="007304F6"/>
    <w:rsid w:val="007344F7"/>
    <w:rsid w:val="00735A93"/>
    <w:rsid w:val="00737044"/>
    <w:rsid w:val="00750026"/>
    <w:rsid w:val="00756343"/>
    <w:rsid w:val="00757DD9"/>
    <w:rsid w:val="00760BD7"/>
    <w:rsid w:val="00762F52"/>
    <w:rsid w:val="0076304C"/>
    <w:rsid w:val="00763FA8"/>
    <w:rsid w:val="00773213"/>
    <w:rsid w:val="0077339F"/>
    <w:rsid w:val="0077371F"/>
    <w:rsid w:val="007804B1"/>
    <w:rsid w:val="00782E07"/>
    <w:rsid w:val="007834BC"/>
    <w:rsid w:val="0078426E"/>
    <w:rsid w:val="0078782B"/>
    <w:rsid w:val="00787C7F"/>
    <w:rsid w:val="00793203"/>
    <w:rsid w:val="0079556E"/>
    <w:rsid w:val="0079579E"/>
    <w:rsid w:val="00795B43"/>
    <w:rsid w:val="007A01E7"/>
    <w:rsid w:val="007A467C"/>
    <w:rsid w:val="007A4BFD"/>
    <w:rsid w:val="007A5850"/>
    <w:rsid w:val="007A5B2F"/>
    <w:rsid w:val="007C0E68"/>
    <w:rsid w:val="007C1AFA"/>
    <w:rsid w:val="007D026F"/>
    <w:rsid w:val="007D5126"/>
    <w:rsid w:val="007E1BF0"/>
    <w:rsid w:val="00800E90"/>
    <w:rsid w:val="008102DD"/>
    <w:rsid w:val="00812E12"/>
    <w:rsid w:val="00813006"/>
    <w:rsid w:val="00815981"/>
    <w:rsid w:val="008260C1"/>
    <w:rsid w:val="0083385D"/>
    <w:rsid w:val="0084475A"/>
    <w:rsid w:val="0084610C"/>
    <w:rsid w:val="0084679C"/>
    <w:rsid w:val="00852321"/>
    <w:rsid w:val="00861444"/>
    <w:rsid w:val="00863C6A"/>
    <w:rsid w:val="00864900"/>
    <w:rsid w:val="0087387A"/>
    <w:rsid w:val="008750BA"/>
    <w:rsid w:val="008768DE"/>
    <w:rsid w:val="00880716"/>
    <w:rsid w:val="008831D9"/>
    <w:rsid w:val="0089619B"/>
    <w:rsid w:val="008A7740"/>
    <w:rsid w:val="008B1195"/>
    <w:rsid w:val="008B1340"/>
    <w:rsid w:val="008D17C7"/>
    <w:rsid w:val="008D7640"/>
    <w:rsid w:val="008D7D43"/>
    <w:rsid w:val="008E33B8"/>
    <w:rsid w:val="008F07F6"/>
    <w:rsid w:val="008F30C9"/>
    <w:rsid w:val="008F4D71"/>
    <w:rsid w:val="008F59B8"/>
    <w:rsid w:val="00901008"/>
    <w:rsid w:val="00902B0D"/>
    <w:rsid w:val="0090610F"/>
    <w:rsid w:val="00906252"/>
    <w:rsid w:val="00910D24"/>
    <w:rsid w:val="00913364"/>
    <w:rsid w:val="00931414"/>
    <w:rsid w:val="0093232A"/>
    <w:rsid w:val="00934E86"/>
    <w:rsid w:val="0093539F"/>
    <w:rsid w:val="009353D0"/>
    <w:rsid w:val="009369BE"/>
    <w:rsid w:val="0094526B"/>
    <w:rsid w:val="00952B52"/>
    <w:rsid w:val="00953F00"/>
    <w:rsid w:val="00956827"/>
    <w:rsid w:val="00956F56"/>
    <w:rsid w:val="00960B77"/>
    <w:rsid w:val="00964A3C"/>
    <w:rsid w:val="009838E8"/>
    <w:rsid w:val="00990155"/>
    <w:rsid w:val="00992FF1"/>
    <w:rsid w:val="009A3555"/>
    <w:rsid w:val="009A4D9E"/>
    <w:rsid w:val="009A5B42"/>
    <w:rsid w:val="009B0595"/>
    <w:rsid w:val="009B0B55"/>
    <w:rsid w:val="009B6145"/>
    <w:rsid w:val="009B7CD6"/>
    <w:rsid w:val="009C0457"/>
    <w:rsid w:val="009C6910"/>
    <w:rsid w:val="009D534D"/>
    <w:rsid w:val="009E1B73"/>
    <w:rsid w:val="009E2438"/>
    <w:rsid w:val="009E702D"/>
    <w:rsid w:val="009E761C"/>
    <w:rsid w:val="009F52BE"/>
    <w:rsid w:val="009F7109"/>
    <w:rsid w:val="00A03848"/>
    <w:rsid w:val="00A22528"/>
    <w:rsid w:val="00A22DE9"/>
    <w:rsid w:val="00A30A1E"/>
    <w:rsid w:val="00A41385"/>
    <w:rsid w:val="00A46900"/>
    <w:rsid w:val="00A6385C"/>
    <w:rsid w:val="00A643FC"/>
    <w:rsid w:val="00A64B52"/>
    <w:rsid w:val="00A67122"/>
    <w:rsid w:val="00A70B06"/>
    <w:rsid w:val="00A7391F"/>
    <w:rsid w:val="00A93664"/>
    <w:rsid w:val="00AB4E4B"/>
    <w:rsid w:val="00AB4E9F"/>
    <w:rsid w:val="00AB6CDF"/>
    <w:rsid w:val="00AB78FD"/>
    <w:rsid w:val="00AB79C0"/>
    <w:rsid w:val="00AC22DE"/>
    <w:rsid w:val="00AD31E7"/>
    <w:rsid w:val="00AD626B"/>
    <w:rsid w:val="00AE35EA"/>
    <w:rsid w:val="00AE3BE8"/>
    <w:rsid w:val="00AE3EEF"/>
    <w:rsid w:val="00AE4553"/>
    <w:rsid w:val="00AF59EB"/>
    <w:rsid w:val="00AF690B"/>
    <w:rsid w:val="00B04295"/>
    <w:rsid w:val="00B06467"/>
    <w:rsid w:val="00B07694"/>
    <w:rsid w:val="00B10512"/>
    <w:rsid w:val="00B11848"/>
    <w:rsid w:val="00B12E46"/>
    <w:rsid w:val="00B12FA4"/>
    <w:rsid w:val="00B2089E"/>
    <w:rsid w:val="00B35025"/>
    <w:rsid w:val="00B352D7"/>
    <w:rsid w:val="00B43D42"/>
    <w:rsid w:val="00B53DEB"/>
    <w:rsid w:val="00B5502D"/>
    <w:rsid w:val="00B550A3"/>
    <w:rsid w:val="00B6007D"/>
    <w:rsid w:val="00B63783"/>
    <w:rsid w:val="00B64CFB"/>
    <w:rsid w:val="00B64FC1"/>
    <w:rsid w:val="00B809C5"/>
    <w:rsid w:val="00B80F86"/>
    <w:rsid w:val="00B86961"/>
    <w:rsid w:val="00B8739F"/>
    <w:rsid w:val="00B94622"/>
    <w:rsid w:val="00B9764F"/>
    <w:rsid w:val="00BA4D3C"/>
    <w:rsid w:val="00BA5B6D"/>
    <w:rsid w:val="00BB4F25"/>
    <w:rsid w:val="00BD020C"/>
    <w:rsid w:val="00BD36C2"/>
    <w:rsid w:val="00BD6565"/>
    <w:rsid w:val="00BD6BD3"/>
    <w:rsid w:val="00BE257B"/>
    <w:rsid w:val="00BE3CDF"/>
    <w:rsid w:val="00BE6E3E"/>
    <w:rsid w:val="00BF0EED"/>
    <w:rsid w:val="00BF2CCD"/>
    <w:rsid w:val="00BF444A"/>
    <w:rsid w:val="00C01917"/>
    <w:rsid w:val="00C06817"/>
    <w:rsid w:val="00C11AD3"/>
    <w:rsid w:val="00C16378"/>
    <w:rsid w:val="00C23329"/>
    <w:rsid w:val="00C318E1"/>
    <w:rsid w:val="00C333E8"/>
    <w:rsid w:val="00C33F74"/>
    <w:rsid w:val="00C47A35"/>
    <w:rsid w:val="00C546EC"/>
    <w:rsid w:val="00C57989"/>
    <w:rsid w:val="00C60448"/>
    <w:rsid w:val="00C62563"/>
    <w:rsid w:val="00C80BC5"/>
    <w:rsid w:val="00C80E5C"/>
    <w:rsid w:val="00C82309"/>
    <w:rsid w:val="00C82D57"/>
    <w:rsid w:val="00C954BA"/>
    <w:rsid w:val="00C95FD7"/>
    <w:rsid w:val="00C96B48"/>
    <w:rsid w:val="00CC082C"/>
    <w:rsid w:val="00CC31FB"/>
    <w:rsid w:val="00CD01DE"/>
    <w:rsid w:val="00CD06FC"/>
    <w:rsid w:val="00CD58D9"/>
    <w:rsid w:val="00CE1834"/>
    <w:rsid w:val="00CE432D"/>
    <w:rsid w:val="00CE4344"/>
    <w:rsid w:val="00CF017E"/>
    <w:rsid w:val="00CF3A94"/>
    <w:rsid w:val="00CF486D"/>
    <w:rsid w:val="00CF7D7C"/>
    <w:rsid w:val="00D00ADC"/>
    <w:rsid w:val="00D05B59"/>
    <w:rsid w:val="00D124F3"/>
    <w:rsid w:val="00D143EC"/>
    <w:rsid w:val="00D144C0"/>
    <w:rsid w:val="00D154EE"/>
    <w:rsid w:val="00D207E1"/>
    <w:rsid w:val="00D32549"/>
    <w:rsid w:val="00D334D4"/>
    <w:rsid w:val="00D34DF8"/>
    <w:rsid w:val="00D37D7E"/>
    <w:rsid w:val="00D42B58"/>
    <w:rsid w:val="00D43528"/>
    <w:rsid w:val="00D476BC"/>
    <w:rsid w:val="00D54CA2"/>
    <w:rsid w:val="00D55933"/>
    <w:rsid w:val="00D62518"/>
    <w:rsid w:val="00D650E3"/>
    <w:rsid w:val="00D660A0"/>
    <w:rsid w:val="00D77FF1"/>
    <w:rsid w:val="00D80AF4"/>
    <w:rsid w:val="00D82D18"/>
    <w:rsid w:val="00DA1EC4"/>
    <w:rsid w:val="00DA3570"/>
    <w:rsid w:val="00DA4844"/>
    <w:rsid w:val="00DB2251"/>
    <w:rsid w:val="00DB7BDF"/>
    <w:rsid w:val="00DC009E"/>
    <w:rsid w:val="00DD0FE8"/>
    <w:rsid w:val="00DD1DB6"/>
    <w:rsid w:val="00DD21B8"/>
    <w:rsid w:val="00DD3042"/>
    <w:rsid w:val="00DD518E"/>
    <w:rsid w:val="00DD63BA"/>
    <w:rsid w:val="00DE0F71"/>
    <w:rsid w:val="00DE5615"/>
    <w:rsid w:val="00DE5BD2"/>
    <w:rsid w:val="00DE7253"/>
    <w:rsid w:val="00DF08B5"/>
    <w:rsid w:val="00DF3FD2"/>
    <w:rsid w:val="00DF6D28"/>
    <w:rsid w:val="00DF7B2C"/>
    <w:rsid w:val="00E019A8"/>
    <w:rsid w:val="00E03CBB"/>
    <w:rsid w:val="00E07102"/>
    <w:rsid w:val="00E13A72"/>
    <w:rsid w:val="00E14410"/>
    <w:rsid w:val="00E204EF"/>
    <w:rsid w:val="00E271DE"/>
    <w:rsid w:val="00E45ECF"/>
    <w:rsid w:val="00E46481"/>
    <w:rsid w:val="00E46DD3"/>
    <w:rsid w:val="00E47FEC"/>
    <w:rsid w:val="00E54E60"/>
    <w:rsid w:val="00E57439"/>
    <w:rsid w:val="00E77BE7"/>
    <w:rsid w:val="00E81734"/>
    <w:rsid w:val="00E859EE"/>
    <w:rsid w:val="00E86440"/>
    <w:rsid w:val="00E86AB0"/>
    <w:rsid w:val="00E90A0B"/>
    <w:rsid w:val="00E93CC7"/>
    <w:rsid w:val="00EA08A9"/>
    <w:rsid w:val="00EA1417"/>
    <w:rsid w:val="00EB6488"/>
    <w:rsid w:val="00EB75DE"/>
    <w:rsid w:val="00EB7A70"/>
    <w:rsid w:val="00EB7F44"/>
    <w:rsid w:val="00EC2478"/>
    <w:rsid w:val="00EC7F36"/>
    <w:rsid w:val="00EE04C2"/>
    <w:rsid w:val="00EE5F44"/>
    <w:rsid w:val="00EE6C01"/>
    <w:rsid w:val="00EF06D7"/>
    <w:rsid w:val="00EF4140"/>
    <w:rsid w:val="00EF7AD5"/>
    <w:rsid w:val="00F01F28"/>
    <w:rsid w:val="00F07841"/>
    <w:rsid w:val="00F26FC8"/>
    <w:rsid w:val="00F27D2E"/>
    <w:rsid w:val="00F3637C"/>
    <w:rsid w:val="00F435DF"/>
    <w:rsid w:val="00F448E8"/>
    <w:rsid w:val="00F47A96"/>
    <w:rsid w:val="00F528AC"/>
    <w:rsid w:val="00F52CD0"/>
    <w:rsid w:val="00F550C8"/>
    <w:rsid w:val="00F574CF"/>
    <w:rsid w:val="00F63B7B"/>
    <w:rsid w:val="00F63DEB"/>
    <w:rsid w:val="00F66AAD"/>
    <w:rsid w:val="00F80698"/>
    <w:rsid w:val="00F85FF5"/>
    <w:rsid w:val="00F906C2"/>
    <w:rsid w:val="00F943EC"/>
    <w:rsid w:val="00FA055B"/>
    <w:rsid w:val="00FA6961"/>
    <w:rsid w:val="00FB0454"/>
    <w:rsid w:val="00FB159D"/>
    <w:rsid w:val="00FB1FCD"/>
    <w:rsid w:val="00FB2D3D"/>
    <w:rsid w:val="00FB6C02"/>
    <w:rsid w:val="00FC07B0"/>
    <w:rsid w:val="00FC2105"/>
    <w:rsid w:val="00FC25C9"/>
    <w:rsid w:val="00FD1B57"/>
    <w:rsid w:val="00FD4D36"/>
    <w:rsid w:val="00FE1DC6"/>
    <w:rsid w:val="00FE2F92"/>
    <w:rsid w:val="00FF39A0"/>
    <w:rsid w:val="00FF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8D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Style 15,ft,Style 40 Char Char,Style 40 Char,Footnote Text Char Char,Footnote Text Char Char Char,Footnote Text Char Char Char Char Char Char Char Char Char Char Char Char Char Char Char Char Char,Car,Footnote Text Char1"/>
    <w:basedOn w:val="Normal"/>
    <w:link w:val="FootnoteTextChar"/>
    <w:uiPriority w:val="99"/>
    <w:qFormat/>
    <w:rsid w:val="000C3833"/>
  </w:style>
  <w:style w:type="character" w:styleId="FootnoteReference">
    <w:name w:val="footnote reference"/>
    <w:aliases w:val="Footnote Reference Superscript,SUPERS,BVI fnr,Footnote symbol,Footnote,(Footnote Reference),Footnote reference number,note TESI,EN Footnote Reference,Voetnootverwijzing,Times 10 Point,Exposant 3 Point,Appel note de bas d,fr,Style 19"/>
    <w:basedOn w:val="DefaultParagraphFont"/>
    <w:uiPriority w:val="99"/>
    <w:rsid w:val="000C3833"/>
    <w:rPr>
      <w:vertAlign w:val="superscript"/>
    </w:rPr>
  </w:style>
  <w:style w:type="paragraph" w:styleId="BodyText">
    <w:name w:val="Body Text"/>
    <w:basedOn w:val="Normal"/>
    <w:rsid w:val="00044F77"/>
    <w:pPr>
      <w:overflowPunct/>
      <w:autoSpaceDE/>
      <w:autoSpaceDN/>
      <w:adjustRightInd/>
      <w:jc w:val="both"/>
      <w:textAlignment w:val="auto"/>
    </w:pPr>
    <w:rPr>
      <w:sz w:val="24"/>
      <w:szCs w:val="24"/>
    </w:rPr>
  </w:style>
  <w:style w:type="character" w:customStyle="1" w:styleId="DeltaViewInsertion">
    <w:name w:val="DeltaView Insertion"/>
    <w:rsid w:val="00B43D42"/>
    <w:rPr>
      <w:color w:val="0000FF"/>
      <w:spacing w:val="0"/>
      <w:u w:val="double"/>
    </w:rPr>
  </w:style>
  <w:style w:type="paragraph" w:styleId="Header">
    <w:name w:val="header"/>
    <w:basedOn w:val="Normal"/>
    <w:link w:val="HeaderChar"/>
    <w:uiPriority w:val="99"/>
    <w:rsid w:val="006927A2"/>
    <w:pPr>
      <w:tabs>
        <w:tab w:val="center" w:pos="4680"/>
        <w:tab w:val="right" w:pos="9360"/>
      </w:tabs>
    </w:pPr>
  </w:style>
  <w:style w:type="character" w:customStyle="1" w:styleId="HeaderChar">
    <w:name w:val="Header Char"/>
    <w:basedOn w:val="DefaultParagraphFont"/>
    <w:link w:val="Header"/>
    <w:uiPriority w:val="99"/>
    <w:rsid w:val="006927A2"/>
  </w:style>
  <w:style w:type="paragraph" w:styleId="Footer">
    <w:name w:val="footer"/>
    <w:basedOn w:val="Normal"/>
    <w:link w:val="FooterChar"/>
    <w:rsid w:val="006927A2"/>
    <w:pPr>
      <w:tabs>
        <w:tab w:val="center" w:pos="4680"/>
        <w:tab w:val="right" w:pos="9360"/>
      </w:tabs>
    </w:pPr>
  </w:style>
  <w:style w:type="character" w:customStyle="1" w:styleId="FooterChar">
    <w:name w:val="Footer Char"/>
    <w:basedOn w:val="DefaultParagraphFont"/>
    <w:link w:val="Footer"/>
    <w:rsid w:val="006927A2"/>
  </w:style>
  <w:style w:type="character" w:customStyle="1" w:styleId="FootnoteTextChar">
    <w:name w:val="Footnote Text Char"/>
    <w:aliases w:val="fn Char,ALTS FOOTNOTE Char,Style 15 Char,ft Char,Style 40 Char Char Char,Style 40 Char Char1,Footnote Text Char Char Char1,Footnote Text Char Char Char Char,Car Char,Footnote Text Char1 Char"/>
    <w:basedOn w:val="DefaultParagraphFont"/>
    <w:link w:val="FootnoteText"/>
    <w:uiPriority w:val="99"/>
    <w:locked/>
    <w:rsid w:val="005B2E2B"/>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207381"/>
    <w:rPr>
      <w:sz w:val="24"/>
    </w:rPr>
  </w:style>
  <w:style w:type="paragraph" w:styleId="BalloonText">
    <w:name w:val="Balloon Text"/>
    <w:basedOn w:val="Normal"/>
    <w:link w:val="BalloonTextChar"/>
    <w:rsid w:val="0066688A"/>
    <w:rPr>
      <w:rFonts w:ascii="Tahoma" w:hAnsi="Tahoma" w:cs="Tahoma"/>
      <w:sz w:val="16"/>
      <w:szCs w:val="16"/>
    </w:rPr>
  </w:style>
  <w:style w:type="character" w:customStyle="1" w:styleId="BalloonTextChar">
    <w:name w:val="Balloon Text Char"/>
    <w:basedOn w:val="DefaultParagraphFont"/>
    <w:link w:val="BalloonText"/>
    <w:rsid w:val="0066688A"/>
    <w:rPr>
      <w:rFonts w:ascii="Tahoma" w:hAnsi="Tahoma" w:cs="Tahoma"/>
      <w:sz w:val="16"/>
      <w:szCs w:val="16"/>
    </w:rPr>
  </w:style>
  <w:style w:type="paragraph" w:customStyle="1" w:styleId="Default">
    <w:name w:val="Default"/>
    <w:rsid w:val="00DE5615"/>
    <w:pPr>
      <w:autoSpaceDE w:val="0"/>
      <w:autoSpaceDN w:val="0"/>
      <w:adjustRightInd w:val="0"/>
    </w:pPr>
    <w:rPr>
      <w:color w:val="000000"/>
      <w:sz w:val="24"/>
      <w:szCs w:val="24"/>
    </w:rPr>
  </w:style>
  <w:style w:type="character" w:styleId="CommentReference">
    <w:name w:val="annotation reference"/>
    <w:basedOn w:val="DefaultParagraphFont"/>
    <w:rsid w:val="00960B77"/>
    <w:rPr>
      <w:sz w:val="16"/>
      <w:szCs w:val="16"/>
    </w:rPr>
  </w:style>
  <w:style w:type="paragraph" w:styleId="CommentText">
    <w:name w:val="annotation text"/>
    <w:basedOn w:val="Normal"/>
    <w:link w:val="CommentTextChar"/>
    <w:rsid w:val="00960B77"/>
  </w:style>
  <w:style w:type="character" w:customStyle="1" w:styleId="CommentTextChar">
    <w:name w:val="Comment Text Char"/>
    <w:basedOn w:val="DefaultParagraphFont"/>
    <w:link w:val="CommentText"/>
    <w:rsid w:val="00960B77"/>
  </w:style>
  <w:style w:type="paragraph" w:styleId="CommentSubject">
    <w:name w:val="annotation subject"/>
    <w:basedOn w:val="CommentText"/>
    <w:next w:val="CommentText"/>
    <w:link w:val="CommentSubjectChar"/>
    <w:rsid w:val="00960B77"/>
    <w:rPr>
      <w:b/>
      <w:bCs/>
    </w:rPr>
  </w:style>
  <w:style w:type="character" w:customStyle="1" w:styleId="CommentSubjectChar">
    <w:name w:val="Comment Subject Char"/>
    <w:basedOn w:val="CommentTextChar"/>
    <w:link w:val="CommentSubject"/>
    <w:rsid w:val="00960B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8D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Style 15,ft,Style 40 Char Char,Style 40 Char,Footnote Text Char Char,Footnote Text Char Char Char,Footnote Text Char Char Char Char Char Char Char Char Char Char Char Char Char Char Char Char Char,Car,Footnote Text Char1"/>
    <w:basedOn w:val="Normal"/>
    <w:link w:val="FootnoteTextChar"/>
    <w:uiPriority w:val="99"/>
    <w:qFormat/>
    <w:rsid w:val="000C3833"/>
  </w:style>
  <w:style w:type="character" w:styleId="FootnoteReference">
    <w:name w:val="footnote reference"/>
    <w:aliases w:val="Footnote Reference Superscript,SUPERS,BVI fnr,Footnote symbol,Footnote,(Footnote Reference),Footnote reference number,note TESI,EN Footnote Reference,Voetnootverwijzing,Times 10 Point,Exposant 3 Point,Appel note de bas d,fr,Style 19"/>
    <w:basedOn w:val="DefaultParagraphFont"/>
    <w:uiPriority w:val="99"/>
    <w:rsid w:val="000C3833"/>
    <w:rPr>
      <w:vertAlign w:val="superscript"/>
    </w:rPr>
  </w:style>
  <w:style w:type="paragraph" w:styleId="BodyText">
    <w:name w:val="Body Text"/>
    <w:basedOn w:val="Normal"/>
    <w:rsid w:val="00044F77"/>
    <w:pPr>
      <w:overflowPunct/>
      <w:autoSpaceDE/>
      <w:autoSpaceDN/>
      <w:adjustRightInd/>
      <w:jc w:val="both"/>
      <w:textAlignment w:val="auto"/>
    </w:pPr>
    <w:rPr>
      <w:sz w:val="24"/>
      <w:szCs w:val="24"/>
    </w:rPr>
  </w:style>
  <w:style w:type="character" w:customStyle="1" w:styleId="DeltaViewInsertion">
    <w:name w:val="DeltaView Insertion"/>
    <w:rsid w:val="00B43D42"/>
    <w:rPr>
      <w:color w:val="0000FF"/>
      <w:spacing w:val="0"/>
      <w:u w:val="double"/>
    </w:rPr>
  </w:style>
  <w:style w:type="paragraph" w:styleId="Header">
    <w:name w:val="header"/>
    <w:basedOn w:val="Normal"/>
    <w:link w:val="HeaderChar"/>
    <w:uiPriority w:val="99"/>
    <w:rsid w:val="006927A2"/>
    <w:pPr>
      <w:tabs>
        <w:tab w:val="center" w:pos="4680"/>
        <w:tab w:val="right" w:pos="9360"/>
      </w:tabs>
    </w:pPr>
  </w:style>
  <w:style w:type="character" w:customStyle="1" w:styleId="HeaderChar">
    <w:name w:val="Header Char"/>
    <w:basedOn w:val="DefaultParagraphFont"/>
    <w:link w:val="Header"/>
    <w:uiPriority w:val="99"/>
    <w:rsid w:val="006927A2"/>
  </w:style>
  <w:style w:type="paragraph" w:styleId="Footer">
    <w:name w:val="footer"/>
    <w:basedOn w:val="Normal"/>
    <w:link w:val="FooterChar"/>
    <w:rsid w:val="006927A2"/>
    <w:pPr>
      <w:tabs>
        <w:tab w:val="center" w:pos="4680"/>
        <w:tab w:val="right" w:pos="9360"/>
      </w:tabs>
    </w:pPr>
  </w:style>
  <w:style w:type="character" w:customStyle="1" w:styleId="FooterChar">
    <w:name w:val="Footer Char"/>
    <w:basedOn w:val="DefaultParagraphFont"/>
    <w:link w:val="Footer"/>
    <w:rsid w:val="006927A2"/>
  </w:style>
  <w:style w:type="character" w:customStyle="1" w:styleId="FootnoteTextChar">
    <w:name w:val="Footnote Text Char"/>
    <w:aliases w:val="fn Char,ALTS FOOTNOTE Char,Style 15 Char,ft Char,Style 40 Char Char Char,Style 40 Char Char1,Footnote Text Char Char Char1,Footnote Text Char Char Char Char,Car Char,Footnote Text Char1 Char"/>
    <w:basedOn w:val="DefaultParagraphFont"/>
    <w:link w:val="FootnoteText"/>
    <w:uiPriority w:val="99"/>
    <w:locked/>
    <w:rsid w:val="005B2E2B"/>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207381"/>
    <w:rPr>
      <w:sz w:val="24"/>
    </w:rPr>
  </w:style>
  <w:style w:type="paragraph" w:styleId="BalloonText">
    <w:name w:val="Balloon Text"/>
    <w:basedOn w:val="Normal"/>
    <w:link w:val="BalloonTextChar"/>
    <w:rsid w:val="0066688A"/>
    <w:rPr>
      <w:rFonts w:ascii="Tahoma" w:hAnsi="Tahoma" w:cs="Tahoma"/>
      <w:sz w:val="16"/>
      <w:szCs w:val="16"/>
    </w:rPr>
  </w:style>
  <w:style w:type="character" w:customStyle="1" w:styleId="BalloonTextChar">
    <w:name w:val="Balloon Text Char"/>
    <w:basedOn w:val="DefaultParagraphFont"/>
    <w:link w:val="BalloonText"/>
    <w:rsid w:val="0066688A"/>
    <w:rPr>
      <w:rFonts w:ascii="Tahoma" w:hAnsi="Tahoma" w:cs="Tahoma"/>
      <w:sz w:val="16"/>
      <w:szCs w:val="16"/>
    </w:rPr>
  </w:style>
  <w:style w:type="paragraph" w:customStyle="1" w:styleId="Default">
    <w:name w:val="Default"/>
    <w:rsid w:val="00DE5615"/>
    <w:pPr>
      <w:autoSpaceDE w:val="0"/>
      <w:autoSpaceDN w:val="0"/>
      <w:adjustRightInd w:val="0"/>
    </w:pPr>
    <w:rPr>
      <w:color w:val="000000"/>
      <w:sz w:val="24"/>
      <w:szCs w:val="24"/>
    </w:rPr>
  </w:style>
  <w:style w:type="character" w:styleId="CommentReference">
    <w:name w:val="annotation reference"/>
    <w:basedOn w:val="DefaultParagraphFont"/>
    <w:rsid w:val="00960B77"/>
    <w:rPr>
      <w:sz w:val="16"/>
      <w:szCs w:val="16"/>
    </w:rPr>
  </w:style>
  <w:style w:type="paragraph" w:styleId="CommentText">
    <w:name w:val="annotation text"/>
    <w:basedOn w:val="Normal"/>
    <w:link w:val="CommentTextChar"/>
    <w:rsid w:val="00960B77"/>
  </w:style>
  <w:style w:type="character" w:customStyle="1" w:styleId="CommentTextChar">
    <w:name w:val="Comment Text Char"/>
    <w:basedOn w:val="DefaultParagraphFont"/>
    <w:link w:val="CommentText"/>
    <w:rsid w:val="00960B77"/>
  </w:style>
  <w:style w:type="paragraph" w:styleId="CommentSubject">
    <w:name w:val="annotation subject"/>
    <w:basedOn w:val="CommentText"/>
    <w:next w:val="CommentText"/>
    <w:link w:val="CommentSubjectChar"/>
    <w:rsid w:val="00960B77"/>
    <w:rPr>
      <w:b/>
      <w:bCs/>
    </w:rPr>
  </w:style>
  <w:style w:type="character" w:customStyle="1" w:styleId="CommentSubjectChar">
    <w:name w:val="Comment Subject Char"/>
    <w:basedOn w:val="CommentTextChar"/>
    <w:link w:val="CommentSubject"/>
    <w:rsid w:val="00960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4BD47-1C36-4435-8C05-13F4C097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Rule 17g-1: Application for registration as a nationally recognized statistical rating organization</vt:lpstr>
    </vt:vector>
  </TitlesOfParts>
  <Company>SEC</Company>
  <LinksUpToDate>false</LinksUpToDate>
  <CharactersWithSpaces>26351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17g-1: Application for registration as a nationally recognized statistical rating organization</dc:title>
  <dc:creator>wellsr</dc:creator>
  <cp:lastModifiedBy>Makris, George</cp:lastModifiedBy>
  <cp:revision>2</cp:revision>
  <cp:lastPrinted>2014-09-16T18:28:00Z</cp:lastPrinted>
  <dcterms:created xsi:type="dcterms:W3CDTF">2014-09-16T22:05:00Z</dcterms:created>
  <dcterms:modified xsi:type="dcterms:W3CDTF">2014-09-16T22:05:00Z</dcterms:modified>
</cp:coreProperties>
</file>