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C38" w:rsidRDefault="00A13C38" w:rsidP="00A13C38">
      <w:pPr>
        <w:jc w:val="center"/>
        <w:rPr>
          <w:b/>
          <w:sz w:val="24"/>
        </w:rPr>
      </w:pPr>
      <w:r w:rsidRPr="00BC05BE">
        <w:rPr>
          <w:b/>
          <w:sz w:val="24"/>
        </w:rPr>
        <w:t>Supporting Statement</w:t>
      </w:r>
      <w:r>
        <w:rPr>
          <w:b/>
          <w:sz w:val="24"/>
        </w:rPr>
        <w:t xml:space="preserve"> (Part A)</w:t>
      </w:r>
    </w:p>
    <w:p w:rsidR="007807D8" w:rsidRDefault="007807D8" w:rsidP="00A13C38">
      <w:pPr>
        <w:jc w:val="center"/>
        <w:rPr>
          <w:b/>
          <w:sz w:val="24"/>
        </w:rPr>
      </w:pPr>
    </w:p>
    <w:p w:rsidR="007807D8" w:rsidRPr="00BC05BE" w:rsidRDefault="007807D8" w:rsidP="00A13C38">
      <w:pPr>
        <w:jc w:val="center"/>
        <w:rPr>
          <w:b/>
          <w:sz w:val="24"/>
        </w:rPr>
      </w:pPr>
      <w:r>
        <w:rPr>
          <w:b/>
          <w:sz w:val="24"/>
        </w:rPr>
        <w:t>Justification</w:t>
      </w:r>
    </w:p>
    <w:p w:rsidR="00A13C38" w:rsidRPr="00BC05BE" w:rsidRDefault="00A13C38" w:rsidP="00A13C38">
      <w:pPr>
        <w:rPr>
          <w:sz w:val="24"/>
        </w:rPr>
      </w:pPr>
    </w:p>
    <w:p w:rsidR="00A13C38" w:rsidRPr="00BC05BE" w:rsidRDefault="00A13C38" w:rsidP="00A13C38">
      <w:pPr>
        <w:jc w:val="center"/>
        <w:rPr>
          <w:b/>
          <w:sz w:val="24"/>
        </w:rPr>
      </w:pPr>
      <w:r w:rsidRPr="00BC05BE">
        <w:rPr>
          <w:b/>
          <w:sz w:val="24"/>
        </w:rPr>
        <w:t>U.S. Department of Housing and Urban Development</w:t>
      </w:r>
    </w:p>
    <w:p w:rsidR="00A13C38" w:rsidRPr="00BC05BE" w:rsidRDefault="00A13C38" w:rsidP="00A13C38">
      <w:pPr>
        <w:jc w:val="center"/>
        <w:rPr>
          <w:b/>
          <w:sz w:val="24"/>
        </w:rPr>
      </w:pPr>
      <w:r w:rsidRPr="00BC05BE">
        <w:rPr>
          <w:b/>
          <w:sz w:val="24"/>
        </w:rPr>
        <w:t>Office of Policy Development and Research</w:t>
      </w:r>
    </w:p>
    <w:p w:rsidR="00A13C38" w:rsidRDefault="00A13C38" w:rsidP="00A13C38">
      <w:pPr>
        <w:jc w:val="center"/>
        <w:rPr>
          <w:sz w:val="24"/>
        </w:rPr>
      </w:pPr>
    </w:p>
    <w:p w:rsidR="007807D8" w:rsidRDefault="007807D8" w:rsidP="007807D8">
      <w:pPr>
        <w:jc w:val="center"/>
        <w:rPr>
          <w:sz w:val="24"/>
        </w:rPr>
      </w:pPr>
      <w:r>
        <w:rPr>
          <w:sz w:val="24"/>
        </w:rPr>
        <w:t xml:space="preserve">Information Collection for the </w:t>
      </w:r>
      <w:r w:rsidRPr="00A93B53">
        <w:rPr>
          <w:sz w:val="24"/>
        </w:rPr>
        <w:t xml:space="preserve">Energy Evaluation of </w:t>
      </w:r>
      <w:r>
        <w:rPr>
          <w:sz w:val="24"/>
        </w:rPr>
        <w:br/>
      </w:r>
      <w:r w:rsidRPr="00A93B53">
        <w:rPr>
          <w:sz w:val="24"/>
        </w:rPr>
        <w:t>Public Housing Capital Fund (PHCF), Category 4, Option 2 Grantees</w:t>
      </w:r>
    </w:p>
    <w:p w:rsidR="00A13C38" w:rsidRPr="00BC05BE" w:rsidRDefault="00A13C38" w:rsidP="00A13C38">
      <w:pPr>
        <w:rPr>
          <w:sz w:val="24"/>
        </w:rPr>
      </w:pPr>
      <w:bookmarkStart w:id="0" w:name="_GoBack"/>
      <w:bookmarkEnd w:id="0"/>
    </w:p>
    <w:p w:rsidR="00A13C38" w:rsidRPr="00BC05BE" w:rsidRDefault="00A13C38" w:rsidP="00A13C38">
      <w:pPr>
        <w:rPr>
          <w:sz w:val="24"/>
        </w:rPr>
      </w:pPr>
      <w:r w:rsidRPr="00BC05BE">
        <w:rPr>
          <w:sz w:val="24"/>
        </w:rPr>
        <w:t>Note: This submission is presented as an application for a new collection of information.</w:t>
      </w:r>
    </w:p>
    <w:p w:rsidR="00A13C38" w:rsidRDefault="00A13C38" w:rsidP="00A13C38">
      <w:pPr>
        <w:pStyle w:val="Heading1"/>
        <w:numPr>
          <w:ilvl w:val="0"/>
          <w:numId w:val="5"/>
        </w:numPr>
        <w:spacing w:before="240" w:after="120"/>
      </w:pPr>
      <w:bookmarkStart w:id="1" w:name="_Toc385258306"/>
      <w:bookmarkStart w:id="2" w:name="_Toc372024096"/>
      <w:bookmarkStart w:id="3" w:name="_Toc372032983"/>
      <w:r>
        <w:t>Introduction</w:t>
      </w:r>
      <w:bookmarkEnd w:id="1"/>
    </w:p>
    <w:p w:rsidR="00A13C38" w:rsidRDefault="00A13C38" w:rsidP="00A13C38">
      <w:r>
        <w:t xml:space="preserve">As part of the American Recovery and Reinvestment Act (ARRA), the Department of Housing and Urban Development (HUD) was allocated funds to invest in energy efficiency and green building programs. This legislation included a $4 billion appropriation to the Public Housing Capital Fund (PHCF) for the modernization and renovation of the nation’s public housing stock, and a $250 million appropriation to establish the Green Retrofit Program for Multi-Family Housing (GRP), which provides loans and grants for green building retrofits of privately-owned rental housing receiving project based rental assistance.  </w:t>
      </w:r>
    </w:p>
    <w:p w:rsidR="00A13C38" w:rsidRDefault="00A13C38" w:rsidP="00A13C38">
      <w:r>
        <w:t>Most of the Capital Fund Recovery funding was appropriated to Public Housing Agencies (PHAs) by formula. However, a small part of the funding was awarded to grantees through a competitive process. In September 2009, the Office of Public and Indian Housing (PIH) awarded $995 million to Public Housing Agencies (PHAs) through 396 Capital Fund Recovery Competitive grants. The grant program types include the following:</w:t>
      </w:r>
    </w:p>
    <w:p w:rsidR="00A13C38" w:rsidRDefault="00A13C38" w:rsidP="00A13C38">
      <w:pPr>
        <w:numPr>
          <w:ilvl w:val="0"/>
          <w:numId w:val="6"/>
        </w:numPr>
        <w:shd w:val="clear" w:color="auto" w:fill="FFFFFF"/>
        <w:overflowPunct/>
        <w:autoSpaceDE/>
        <w:autoSpaceDN/>
        <w:adjustRightInd/>
        <w:spacing w:before="100" w:beforeAutospacing="1" w:after="100" w:afterAutospacing="1"/>
        <w:textAlignment w:val="auto"/>
        <w:rPr>
          <w:color w:val="000000"/>
          <w:szCs w:val="24"/>
        </w:rPr>
      </w:pPr>
      <w:r>
        <w:rPr>
          <w:color w:val="000000"/>
          <w:szCs w:val="24"/>
        </w:rPr>
        <w:t>Category 1: Improvements Addressing the Needs of the Elderly and/or Persons with</w:t>
      </w:r>
      <w:r>
        <w:rPr>
          <w:color w:val="000000"/>
          <w:szCs w:val="24"/>
        </w:rPr>
        <w:br/>
        <w:t>Disabilities.</w:t>
      </w:r>
    </w:p>
    <w:p w:rsidR="00A13C38" w:rsidRDefault="00A13C38" w:rsidP="00A13C38">
      <w:pPr>
        <w:numPr>
          <w:ilvl w:val="0"/>
          <w:numId w:val="6"/>
        </w:numPr>
        <w:shd w:val="clear" w:color="auto" w:fill="FFFFFF"/>
        <w:overflowPunct/>
        <w:autoSpaceDE/>
        <w:autoSpaceDN/>
        <w:adjustRightInd/>
        <w:spacing w:before="100" w:beforeAutospacing="1" w:after="100" w:afterAutospacing="1"/>
        <w:textAlignment w:val="auto"/>
        <w:rPr>
          <w:color w:val="000000"/>
          <w:szCs w:val="24"/>
        </w:rPr>
      </w:pPr>
      <w:r>
        <w:rPr>
          <w:color w:val="000000"/>
          <w:szCs w:val="24"/>
        </w:rPr>
        <w:t>Category 2: Public Housing Transformation.</w:t>
      </w:r>
    </w:p>
    <w:p w:rsidR="00A13C38" w:rsidRDefault="00A13C38" w:rsidP="00A13C38">
      <w:pPr>
        <w:numPr>
          <w:ilvl w:val="0"/>
          <w:numId w:val="6"/>
        </w:numPr>
        <w:shd w:val="clear" w:color="auto" w:fill="FFFFFF"/>
        <w:overflowPunct/>
        <w:autoSpaceDE/>
        <w:autoSpaceDN/>
        <w:adjustRightInd/>
        <w:spacing w:before="100" w:beforeAutospacing="1" w:after="100" w:afterAutospacing="1"/>
        <w:textAlignment w:val="auto"/>
        <w:rPr>
          <w:color w:val="000000"/>
          <w:szCs w:val="24"/>
        </w:rPr>
      </w:pPr>
      <w:r>
        <w:rPr>
          <w:color w:val="000000"/>
          <w:szCs w:val="24"/>
        </w:rPr>
        <w:t xml:space="preserve">Category 3: Gap Financing for Projects that are </w:t>
      </w:r>
      <w:proofErr w:type="gramStart"/>
      <w:r>
        <w:rPr>
          <w:color w:val="000000"/>
          <w:szCs w:val="24"/>
        </w:rPr>
        <w:t>Stalled</w:t>
      </w:r>
      <w:proofErr w:type="gramEnd"/>
      <w:r>
        <w:rPr>
          <w:color w:val="000000"/>
          <w:szCs w:val="24"/>
        </w:rPr>
        <w:t xml:space="preserve"> Due to Financing Issues.</w:t>
      </w:r>
    </w:p>
    <w:p w:rsidR="00A13C38" w:rsidRDefault="00A13C38" w:rsidP="00A13C38">
      <w:pPr>
        <w:numPr>
          <w:ilvl w:val="0"/>
          <w:numId w:val="6"/>
        </w:numPr>
        <w:shd w:val="clear" w:color="auto" w:fill="FFFFFF"/>
        <w:overflowPunct/>
        <w:autoSpaceDE/>
        <w:autoSpaceDN/>
        <w:adjustRightInd/>
        <w:spacing w:before="100" w:beforeAutospacing="1"/>
        <w:textAlignment w:val="auto"/>
        <w:rPr>
          <w:color w:val="000000"/>
          <w:szCs w:val="24"/>
        </w:rPr>
      </w:pPr>
      <w:r w:rsidRPr="00F834E9">
        <w:rPr>
          <w:color w:val="000000"/>
          <w:szCs w:val="24"/>
        </w:rPr>
        <w:t xml:space="preserve">Category 4: Creation of Energy Efficient, Green Communities: </w:t>
      </w:r>
    </w:p>
    <w:p w:rsidR="00A13C38" w:rsidRPr="00F834E9" w:rsidRDefault="00A13C38" w:rsidP="00A13C38">
      <w:pPr>
        <w:numPr>
          <w:ilvl w:val="0"/>
          <w:numId w:val="7"/>
        </w:numPr>
        <w:shd w:val="clear" w:color="auto" w:fill="FFFFFF"/>
        <w:overflowPunct/>
        <w:autoSpaceDE/>
        <w:autoSpaceDN/>
        <w:adjustRightInd/>
        <w:spacing w:after="100" w:afterAutospacing="1"/>
        <w:textAlignment w:val="auto"/>
        <w:rPr>
          <w:color w:val="000000"/>
          <w:szCs w:val="24"/>
        </w:rPr>
      </w:pPr>
      <w:r w:rsidRPr="00F834E9">
        <w:rPr>
          <w:color w:val="000000"/>
          <w:szCs w:val="24"/>
        </w:rPr>
        <w:t>Option 1, Substantial Rehabilitation or New Construction.</w:t>
      </w:r>
    </w:p>
    <w:p w:rsidR="00A13C38" w:rsidRDefault="00A13C38" w:rsidP="00A13C38">
      <w:pPr>
        <w:pStyle w:val="ListParagraph"/>
        <w:numPr>
          <w:ilvl w:val="0"/>
          <w:numId w:val="7"/>
        </w:numPr>
        <w:shd w:val="clear" w:color="auto" w:fill="FFFFFF"/>
        <w:spacing w:before="100" w:beforeAutospacing="1" w:after="100" w:afterAutospacing="1"/>
        <w:rPr>
          <w:rFonts w:eastAsia="Times New Roman" w:cs="Times New Roman"/>
          <w:color w:val="000000"/>
          <w:szCs w:val="24"/>
        </w:rPr>
      </w:pPr>
      <w:r w:rsidRPr="00F834E9">
        <w:rPr>
          <w:rFonts w:eastAsia="Times New Roman" w:cs="Times New Roman"/>
          <w:color w:val="000000"/>
          <w:szCs w:val="24"/>
        </w:rPr>
        <w:t>Option 2, Moderate Rehabilitation.</w:t>
      </w:r>
    </w:p>
    <w:p w:rsidR="00A13C38" w:rsidRDefault="00A13C38" w:rsidP="00A13C38">
      <w:pPr>
        <w:rPr>
          <w:szCs w:val="24"/>
        </w:rPr>
      </w:pPr>
      <w:r>
        <w:t xml:space="preserve">The U.S. Department of Housing and Urban Development (HUD) </w:t>
      </w:r>
      <w:r>
        <w:rPr>
          <w:color w:val="000000"/>
          <w:szCs w:val="24"/>
        </w:rPr>
        <w:t xml:space="preserve">Office of Policy Development and Research developed an evaluation to assess the effectiveness of the distributed funds. The Green and Energy Retrofit Assessment (GERA) study spans four years and seeks to evaluate the short- and long-term performance of the energy investments. Specifically, the overall purpose of this study is to estimate the energy savings obtained from energy retrofits funded through ARRA. The GERA effort encompasses several specific evaluation objectives (see below). In particular, </w:t>
      </w:r>
      <w:r>
        <w:t xml:space="preserve">as part of the GERA effort to achieve one of these objectives, this package requests clearance for a one-time data collection effort covering the universe of Capital Fund Recovery competitive Category 4, Option 2 recipients. This covers 229 grants provided to 127 PHAs for the green retrofit of 229 Asset Management </w:t>
      </w:r>
      <w:r w:rsidRPr="003006AB">
        <w:t>Projects (AMPs)</w:t>
      </w:r>
      <w:r w:rsidRPr="003006AB">
        <w:rPr>
          <w:rStyle w:val="FootnoteReference"/>
        </w:rPr>
        <w:footnoteReference w:id="1"/>
      </w:r>
      <w:r w:rsidRPr="003006AB">
        <w:t>.</w:t>
      </w:r>
      <w:r>
        <w:rPr>
          <w:szCs w:val="24"/>
        </w:rPr>
        <w:t xml:space="preserve"> </w:t>
      </w:r>
    </w:p>
    <w:p w:rsidR="00A13C38" w:rsidRPr="00815BF9" w:rsidRDefault="00A13C38" w:rsidP="00A13C38">
      <w:pPr>
        <w:rPr>
          <w:szCs w:val="24"/>
        </w:rPr>
      </w:pPr>
    </w:p>
    <w:p w:rsidR="00A13C38" w:rsidRDefault="00A13C38" w:rsidP="00A13C38">
      <w:pPr>
        <w:pStyle w:val="ListParagraph"/>
        <w:numPr>
          <w:ilvl w:val="0"/>
          <w:numId w:val="2"/>
        </w:numPr>
        <w:rPr>
          <w:rFonts w:eastAsia="Times New Roman" w:cs="Arial"/>
          <w:b/>
        </w:rPr>
      </w:pPr>
      <w:r w:rsidRPr="00815BF9">
        <w:rPr>
          <w:rFonts w:eastAsia="Times New Roman" w:cs="Arial"/>
          <w:b/>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13C38" w:rsidRDefault="00A13C38" w:rsidP="00A13C38">
      <w:pPr>
        <w:shd w:val="clear" w:color="auto" w:fill="FFFFFF"/>
        <w:spacing w:before="100" w:beforeAutospacing="1" w:after="100" w:afterAutospacing="1"/>
        <w:ind w:left="360"/>
      </w:pPr>
      <w:r>
        <w:lastRenderedPageBreak/>
        <w:t xml:space="preserve">To meet the goals of transparency and accountability in the investment of ARRA dollars, the Office of Management and Budget (OMB) issued guidance that must be followed by Federal Agencies when allocating ARRA funding. Specifically, the OMB guidance established the following requirements: </w:t>
      </w:r>
    </w:p>
    <w:p w:rsidR="00A13C38" w:rsidRDefault="00A13C38" w:rsidP="00A13C38">
      <w:pPr>
        <w:pStyle w:val="ListParagraph"/>
        <w:numPr>
          <w:ilvl w:val="0"/>
          <w:numId w:val="9"/>
        </w:numPr>
        <w:shd w:val="clear" w:color="auto" w:fill="FFFFFF"/>
        <w:spacing w:before="100" w:beforeAutospacing="1" w:after="100" w:afterAutospacing="1"/>
      </w:pPr>
      <w:r>
        <w:t>Funds are awarded and distributed in a prompt, fair and reasonable manner</w:t>
      </w:r>
    </w:p>
    <w:p w:rsidR="00A13C38" w:rsidRDefault="00A13C38" w:rsidP="00A13C38">
      <w:pPr>
        <w:pStyle w:val="ListParagraph"/>
        <w:numPr>
          <w:ilvl w:val="0"/>
          <w:numId w:val="9"/>
        </w:numPr>
        <w:shd w:val="clear" w:color="auto" w:fill="FFFFFF"/>
        <w:spacing w:before="100" w:beforeAutospacing="1" w:after="100" w:afterAutospacing="1"/>
      </w:pPr>
      <w:r>
        <w:t xml:space="preserve">The use of all funds by recipients are transparent to the public, </w:t>
      </w:r>
      <w:r w:rsidRPr="000208ED">
        <w:rPr>
          <w:i/>
        </w:rPr>
        <w:t>and the public benefits of these funds are reported clearly, accurately and in a timely manner</w:t>
      </w:r>
      <w:r>
        <w:t xml:space="preserve"> (emphasis added)</w:t>
      </w:r>
    </w:p>
    <w:p w:rsidR="00A13C38" w:rsidRDefault="00A13C38" w:rsidP="00A13C38">
      <w:pPr>
        <w:pStyle w:val="ListParagraph"/>
        <w:numPr>
          <w:ilvl w:val="0"/>
          <w:numId w:val="9"/>
        </w:numPr>
        <w:shd w:val="clear" w:color="auto" w:fill="FFFFFF"/>
        <w:spacing w:before="100" w:beforeAutospacing="1" w:after="100" w:afterAutospacing="1"/>
      </w:pPr>
      <w:r>
        <w:t>Funds are used for authorized purposes only and instances of fraud, waste, error, and abuse are minimized</w:t>
      </w:r>
    </w:p>
    <w:p w:rsidR="00A13C38" w:rsidRDefault="00A13C38" w:rsidP="00A13C38">
      <w:pPr>
        <w:pStyle w:val="ListParagraph"/>
        <w:numPr>
          <w:ilvl w:val="0"/>
          <w:numId w:val="9"/>
        </w:numPr>
        <w:shd w:val="clear" w:color="auto" w:fill="FFFFFF"/>
        <w:spacing w:before="100" w:beforeAutospacing="1" w:after="100" w:afterAutospacing="1"/>
      </w:pPr>
      <w:r>
        <w:t>Projects funded under ARRA avoid unnecessary delays and costs overruns, and</w:t>
      </w:r>
    </w:p>
    <w:p w:rsidR="00A13C38" w:rsidRDefault="00A13C38" w:rsidP="00A13C38">
      <w:pPr>
        <w:pStyle w:val="ListParagraph"/>
        <w:numPr>
          <w:ilvl w:val="0"/>
          <w:numId w:val="9"/>
        </w:numPr>
        <w:shd w:val="clear" w:color="auto" w:fill="FFFFFF"/>
        <w:spacing w:before="100" w:beforeAutospacing="1" w:after="100" w:afterAutospacing="1"/>
      </w:pPr>
      <w:r w:rsidRPr="000208ED">
        <w:rPr>
          <w:i/>
        </w:rPr>
        <w:t>Program goals are achieved, including specific program outcomes and improved results on broader economic indicators</w:t>
      </w:r>
      <w:r>
        <w:t>. (emphasis added)</w:t>
      </w:r>
    </w:p>
    <w:p w:rsidR="00A13C38" w:rsidRDefault="00A13C38" w:rsidP="00A13C38">
      <w:pPr>
        <w:shd w:val="clear" w:color="auto" w:fill="FFFFFF"/>
        <w:spacing w:before="100" w:beforeAutospacing="1" w:after="100" w:afterAutospacing="1"/>
        <w:ind w:left="360"/>
        <w:rPr>
          <w:color w:val="000000"/>
          <w:szCs w:val="24"/>
        </w:rPr>
      </w:pPr>
      <w:r>
        <w:t xml:space="preserve">Based on the OMB reporting requirements, </w:t>
      </w:r>
      <w:r>
        <w:rPr>
          <w:color w:val="000000"/>
          <w:szCs w:val="24"/>
        </w:rPr>
        <w:t xml:space="preserve">HUD’s Office of Policy Development and Research developed an evaluation to assess the effectiveness of the distributed funds. The Green and Energy Retrofit Assessment (GERA) study spans four years and seeks to evaluate the short- and long-term performances of the energy investments. In particular, this evaluation must: </w:t>
      </w:r>
    </w:p>
    <w:p w:rsidR="00A13C38" w:rsidRDefault="00A13C38" w:rsidP="00A13C38">
      <w:pPr>
        <w:pStyle w:val="ListParagraph"/>
        <w:numPr>
          <w:ilvl w:val="0"/>
          <w:numId w:val="8"/>
        </w:numPr>
        <w:shd w:val="clear" w:color="auto" w:fill="FFFFFF"/>
        <w:tabs>
          <w:tab w:val="clear" w:pos="360"/>
          <w:tab w:val="num" w:pos="720"/>
        </w:tabs>
        <w:spacing w:before="100" w:beforeAutospacing="1" w:after="100" w:afterAutospacing="1"/>
        <w:ind w:left="720"/>
        <w:rPr>
          <w:rFonts w:eastAsia="Times New Roman" w:cs="Times New Roman"/>
          <w:color w:val="000000"/>
          <w:szCs w:val="24"/>
        </w:rPr>
      </w:pPr>
      <w:r>
        <w:rPr>
          <w:rFonts w:eastAsia="Times New Roman" w:cs="Times New Roman"/>
          <w:color w:val="000000"/>
          <w:szCs w:val="24"/>
        </w:rPr>
        <w:t>Evaluate the investments made in Public and Indian Housing (PIH) formula, PIH-competitive (Category 4, Options 1 and 2), and Green Retrofit Program (GRP) for Multifamily Housing properties;</w:t>
      </w:r>
    </w:p>
    <w:p w:rsidR="00A13C38" w:rsidRDefault="00A13C38" w:rsidP="00A13C38">
      <w:pPr>
        <w:pStyle w:val="ListParagraph"/>
        <w:numPr>
          <w:ilvl w:val="0"/>
          <w:numId w:val="8"/>
        </w:numPr>
        <w:shd w:val="clear" w:color="auto" w:fill="FFFFFF"/>
        <w:spacing w:before="100" w:beforeAutospacing="1" w:after="100" w:afterAutospacing="1"/>
        <w:ind w:left="720"/>
        <w:rPr>
          <w:rFonts w:eastAsia="Times New Roman" w:cs="Times New Roman"/>
          <w:color w:val="000000"/>
          <w:szCs w:val="24"/>
        </w:rPr>
      </w:pPr>
      <w:r>
        <w:rPr>
          <w:rFonts w:eastAsia="Times New Roman" w:cs="Times New Roman"/>
          <w:color w:val="000000"/>
          <w:szCs w:val="24"/>
        </w:rPr>
        <w:t xml:space="preserve">Estimate, validate, and refine the energy savings from the ARRA investments for the three programs, individually and collectively; </w:t>
      </w:r>
    </w:p>
    <w:p w:rsidR="00A13C38" w:rsidRDefault="00A13C38" w:rsidP="00A13C38">
      <w:pPr>
        <w:pStyle w:val="ListParagraph"/>
        <w:numPr>
          <w:ilvl w:val="0"/>
          <w:numId w:val="8"/>
        </w:numPr>
        <w:shd w:val="clear" w:color="auto" w:fill="FFFFFF"/>
        <w:spacing w:before="100" w:beforeAutospacing="1" w:after="100" w:afterAutospacing="1"/>
        <w:ind w:left="720"/>
        <w:rPr>
          <w:rFonts w:eastAsia="Times New Roman" w:cs="Times New Roman"/>
          <w:color w:val="000000"/>
          <w:szCs w:val="24"/>
        </w:rPr>
      </w:pPr>
      <w:r>
        <w:rPr>
          <w:rFonts w:eastAsia="Times New Roman" w:cs="Times New Roman"/>
          <w:color w:val="000000"/>
          <w:szCs w:val="24"/>
        </w:rPr>
        <w:t>Identify the most cost-effective energy conservation measures (ECMs) and catalog them, and</w:t>
      </w:r>
    </w:p>
    <w:p w:rsidR="00A13C38" w:rsidRDefault="00A13C38" w:rsidP="00A13C38">
      <w:pPr>
        <w:pStyle w:val="ListParagraph"/>
        <w:numPr>
          <w:ilvl w:val="0"/>
          <w:numId w:val="8"/>
        </w:numPr>
        <w:shd w:val="clear" w:color="auto" w:fill="FFFFFF"/>
        <w:spacing w:before="100" w:beforeAutospacing="1" w:after="100" w:afterAutospacing="1"/>
        <w:ind w:left="720"/>
        <w:rPr>
          <w:rFonts w:eastAsia="Times New Roman" w:cs="Times New Roman"/>
          <w:color w:val="000000"/>
          <w:szCs w:val="24"/>
        </w:rPr>
      </w:pPr>
      <w:r>
        <w:rPr>
          <w:rFonts w:eastAsia="Times New Roman" w:cs="Times New Roman"/>
          <w:color w:val="000000"/>
          <w:szCs w:val="24"/>
        </w:rPr>
        <w:t>Produce a model capable of estimating savings from future investments in ECMs</w:t>
      </w:r>
    </w:p>
    <w:p w:rsidR="00A13C38" w:rsidRDefault="00A13C38" w:rsidP="00A13C38">
      <w:pPr>
        <w:pStyle w:val="ListParagraph"/>
        <w:ind w:left="360"/>
      </w:pPr>
      <w:r>
        <w:t xml:space="preserve"> </w:t>
      </w:r>
    </w:p>
    <w:p w:rsidR="00A13C38" w:rsidRDefault="00A13C38" w:rsidP="00A13C38">
      <w:pPr>
        <w:pStyle w:val="ListParagraph"/>
        <w:ind w:left="360"/>
      </w:pPr>
      <w:r>
        <w:t xml:space="preserve">One component of this overall evaluation project is to evaluate the ARRA PIH </w:t>
      </w:r>
      <w:r w:rsidRPr="00A75E52">
        <w:t xml:space="preserve">Capital Fund Recovery Grants </w:t>
      </w:r>
      <w:r>
        <w:t>awarded through a competitive process with the purpose of creating energy efficient, green communities (Category 4). In particular, this funding aims to “substantively increase energy efficiency and environmental performance of public housing properties and thereby reduce energy costs, generate resident and PHA energy consumption savings, reduce Greenhouse Gas emissions attributable to energy consumption and improve indoor air quality to provide a healthy living environment.” Competitive proposals from eligible PHAs responding to one of two options available were funded under this category.</w:t>
      </w:r>
    </w:p>
    <w:p w:rsidR="00A13C38" w:rsidRDefault="00A13C38" w:rsidP="00A13C38">
      <w:pPr>
        <w:pStyle w:val="ListParagraph"/>
        <w:ind w:left="360"/>
      </w:pPr>
    </w:p>
    <w:p w:rsidR="00A13C38" w:rsidRDefault="00A13C38" w:rsidP="00A13C38">
      <w:pPr>
        <w:pStyle w:val="ListParagraph"/>
        <w:ind w:left="360"/>
      </w:pPr>
      <w:r w:rsidRPr="003006AB">
        <w:t>The Notice of Funds Available (NOFA) applicable to the funding of Capital Fund Recovery Competitive grants can be found in Appendix A. Of the four categories available for</w:t>
      </w:r>
      <w:r>
        <w:t xml:space="preserve"> applicants under this NOFA, only Category 4, “Creation of an Energy Efficient, Green Community” is of interest for this study as it is the only one that involves energy efficiency and utilization improvements.  There are two options for Category 4 funding: Option 1, Substantial Rehabilitation or New Construction, and Option 2, Moderate Rehabilitation. The initial distribution of Category 4 awards by Option and size is shown in Table 1:</w:t>
      </w:r>
    </w:p>
    <w:p w:rsidR="00A13C38" w:rsidRDefault="00A13C38" w:rsidP="00A13C38">
      <w:pPr>
        <w:pStyle w:val="ListParagraph"/>
        <w:ind w:left="360"/>
      </w:pPr>
    </w:p>
    <w:p w:rsidR="00A13C38" w:rsidRPr="004F032E" w:rsidRDefault="00A13C38" w:rsidP="00A13C38">
      <w:pPr>
        <w:pStyle w:val="ListParagraph"/>
        <w:spacing w:after="0" w:line="276" w:lineRule="auto"/>
        <w:ind w:left="360"/>
        <w:rPr>
          <w:b/>
        </w:rPr>
      </w:pPr>
      <w:proofErr w:type="gramStart"/>
      <w:r w:rsidRPr="004F032E">
        <w:rPr>
          <w:b/>
        </w:rPr>
        <w:t>Table 1.</w:t>
      </w:r>
      <w:proofErr w:type="gramEnd"/>
      <w:r w:rsidRPr="004F032E">
        <w:rPr>
          <w:b/>
        </w:rPr>
        <w:t xml:space="preserve"> Distribution of Category 4 Awards by Option and Size</w:t>
      </w:r>
    </w:p>
    <w:tbl>
      <w:tblPr>
        <w:tblStyle w:val="TableGrid"/>
        <w:tblW w:w="0" w:type="auto"/>
        <w:tblInd w:w="360" w:type="dxa"/>
        <w:tblLook w:val="04A0" w:firstRow="1" w:lastRow="0" w:firstColumn="1" w:lastColumn="0" w:noHBand="0" w:noVBand="1"/>
      </w:tblPr>
      <w:tblGrid>
        <w:gridCol w:w="3076"/>
        <w:gridCol w:w="3072"/>
        <w:gridCol w:w="3068"/>
      </w:tblGrid>
      <w:tr w:rsidR="00A13C38" w:rsidRPr="004F032E" w:rsidTr="00640380">
        <w:tc>
          <w:tcPr>
            <w:tcW w:w="3076" w:type="dxa"/>
            <w:vAlign w:val="center"/>
          </w:tcPr>
          <w:p w:rsidR="00A13C38" w:rsidRPr="004F032E" w:rsidRDefault="00A13C38" w:rsidP="00640380">
            <w:pPr>
              <w:pStyle w:val="ListParagraph"/>
              <w:spacing w:after="0"/>
              <w:ind w:left="0"/>
              <w:jc w:val="center"/>
              <w:rPr>
                <w:b/>
              </w:rPr>
            </w:pPr>
            <w:r w:rsidRPr="004F032E">
              <w:rPr>
                <w:b/>
              </w:rPr>
              <w:t>Type of Category 4 Grant</w:t>
            </w:r>
          </w:p>
        </w:tc>
        <w:tc>
          <w:tcPr>
            <w:tcW w:w="3072" w:type="dxa"/>
            <w:vAlign w:val="center"/>
          </w:tcPr>
          <w:p w:rsidR="00A13C38" w:rsidRPr="004F032E" w:rsidRDefault="00A13C38" w:rsidP="00640380">
            <w:pPr>
              <w:pStyle w:val="ListParagraph"/>
              <w:spacing w:after="0"/>
              <w:ind w:left="0"/>
              <w:jc w:val="center"/>
              <w:rPr>
                <w:b/>
              </w:rPr>
            </w:pPr>
            <w:r w:rsidRPr="004F032E">
              <w:rPr>
                <w:b/>
              </w:rPr>
              <w:t>Number of Awards</w:t>
            </w:r>
          </w:p>
        </w:tc>
        <w:tc>
          <w:tcPr>
            <w:tcW w:w="3068" w:type="dxa"/>
            <w:vAlign w:val="center"/>
          </w:tcPr>
          <w:p w:rsidR="00A13C38" w:rsidRPr="004F032E" w:rsidRDefault="00A13C38" w:rsidP="00640380">
            <w:pPr>
              <w:pStyle w:val="ListParagraph"/>
              <w:spacing w:after="0"/>
              <w:ind w:left="0"/>
              <w:jc w:val="center"/>
              <w:rPr>
                <w:b/>
              </w:rPr>
            </w:pPr>
            <w:r w:rsidRPr="004F032E">
              <w:rPr>
                <w:b/>
              </w:rPr>
              <w:t>Award Size</w:t>
            </w:r>
          </w:p>
        </w:tc>
      </w:tr>
      <w:tr w:rsidR="00A13C38" w:rsidTr="00640380">
        <w:tc>
          <w:tcPr>
            <w:tcW w:w="3076" w:type="dxa"/>
            <w:vMerge w:val="restart"/>
            <w:vAlign w:val="center"/>
          </w:tcPr>
          <w:p w:rsidR="00A13C38" w:rsidRDefault="00A13C38" w:rsidP="00640380">
            <w:pPr>
              <w:pStyle w:val="ListParagraph"/>
              <w:spacing w:after="0"/>
              <w:ind w:left="0"/>
              <w:jc w:val="center"/>
            </w:pPr>
            <w:r>
              <w:t xml:space="preserve">Option 1 – New Construction </w:t>
            </w:r>
            <w:r>
              <w:lastRenderedPageBreak/>
              <w:t>or Substantial Rehabilitation</w:t>
            </w:r>
          </w:p>
        </w:tc>
        <w:tc>
          <w:tcPr>
            <w:tcW w:w="3072" w:type="dxa"/>
            <w:vAlign w:val="center"/>
          </w:tcPr>
          <w:p w:rsidR="00A13C38" w:rsidRDefault="00A13C38" w:rsidP="00640380">
            <w:pPr>
              <w:pStyle w:val="ListParagraph"/>
              <w:spacing w:after="0"/>
              <w:ind w:left="0"/>
              <w:jc w:val="center"/>
            </w:pPr>
            <w:r>
              <w:lastRenderedPageBreak/>
              <w:t>12</w:t>
            </w:r>
          </w:p>
        </w:tc>
        <w:tc>
          <w:tcPr>
            <w:tcW w:w="3068" w:type="dxa"/>
            <w:vAlign w:val="center"/>
          </w:tcPr>
          <w:p w:rsidR="00A13C38" w:rsidRDefault="00A13C38" w:rsidP="00640380">
            <w:pPr>
              <w:pStyle w:val="ListParagraph"/>
              <w:spacing w:after="0"/>
              <w:ind w:left="0"/>
              <w:jc w:val="center"/>
            </w:pPr>
            <w:r>
              <w:t>$10+ Million</w:t>
            </w:r>
          </w:p>
        </w:tc>
      </w:tr>
      <w:tr w:rsidR="00A13C38" w:rsidTr="00640380">
        <w:tc>
          <w:tcPr>
            <w:tcW w:w="3076" w:type="dxa"/>
            <w:vMerge/>
            <w:vAlign w:val="center"/>
          </w:tcPr>
          <w:p w:rsidR="00A13C38" w:rsidRDefault="00A13C38" w:rsidP="00640380">
            <w:pPr>
              <w:pStyle w:val="ListParagraph"/>
              <w:spacing w:after="0"/>
              <w:ind w:left="0"/>
              <w:jc w:val="center"/>
            </w:pPr>
          </w:p>
        </w:tc>
        <w:tc>
          <w:tcPr>
            <w:tcW w:w="3072" w:type="dxa"/>
            <w:vAlign w:val="center"/>
          </w:tcPr>
          <w:p w:rsidR="00A13C38" w:rsidRDefault="00A13C38" w:rsidP="00640380">
            <w:pPr>
              <w:pStyle w:val="ListParagraph"/>
              <w:spacing w:after="0"/>
              <w:ind w:left="0"/>
              <w:jc w:val="center"/>
            </w:pPr>
            <w:r>
              <w:t>24</w:t>
            </w:r>
          </w:p>
        </w:tc>
        <w:tc>
          <w:tcPr>
            <w:tcW w:w="3068" w:type="dxa"/>
            <w:vAlign w:val="center"/>
          </w:tcPr>
          <w:p w:rsidR="00A13C38" w:rsidRDefault="00A13C38" w:rsidP="00640380">
            <w:pPr>
              <w:pStyle w:val="ListParagraph"/>
              <w:spacing w:after="0"/>
              <w:ind w:left="0"/>
              <w:jc w:val="center"/>
            </w:pPr>
            <w:r>
              <w:t>$1-10 Million</w:t>
            </w:r>
          </w:p>
        </w:tc>
      </w:tr>
      <w:tr w:rsidR="00A13C38" w:rsidTr="00640380">
        <w:trPr>
          <w:trHeight w:val="125"/>
        </w:trPr>
        <w:tc>
          <w:tcPr>
            <w:tcW w:w="3076" w:type="dxa"/>
            <w:vAlign w:val="center"/>
          </w:tcPr>
          <w:p w:rsidR="00A13C38" w:rsidRDefault="00A13C38" w:rsidP="00640380">
            <w:pPr>
              <w:pStyle w:val="ListParagraph"/>
              <w:spacing w:after="0"/>
              <w:ind w:left="0"/>
              <w:jc w:val="center"/>
            </w:pPr>
          </w:p>
        </w:tc>
        <w:tc>
          <w:tcPr>
            <w:tcW w:w="3072" w:type="dxa"/>
            <w:vAlign w:val="center"/>
          </w:tcPr>
          <w:p w:rsidR="00A13C38" w:rsidRDefault="00A13C38" w:rsidP="00640380">
            <w:pPr>
              <w:pStyle w:val="ListParagraph"/>
              <w:spacing w:after="0"/>
              <w:ind w:left="0"/>
              <w:jc w:val="center"/>
            </w:pPr>
          </w:p>
        </w:tc>
        <w:tc>
          <w:tcPr>
            <w:tcW w:w="3068" w:type="dxa"/>
            <w:vAlign w:val="center"/>
          </w:tcPr>
          <w:p w:rsidR="00A13C38" w:rsidRDefault="00A13C38" w:rsidP="00640380">
            <w:pPr>
              <w:pStyle w:val="ListParagraph"/>
              <w:spacing w:after="0"/>
              <w:ind w:left="0"/>
              <w:jc w:val="center"/>
            </w:pPr>
          </w:p>
        </w:tc>
      </w:tr>
      <w:tr w:rsidR="00A13C38" w:rsidTr="00640380">
        <w:tc>
          <w:tcPr>
            <w:tcW w:w="3076" w:type="dxa"/>
            <w:vMerge w:val="restart"/>
            <w:vAlign w:val="center"/>
          </w:tcPr>
          <w:p w:rsidR="00A13C38" w:rsidRDefault="00A13C38" w:rsidP="00640380">
            <w:pPr>
              <w:pStyle w:val="ListParagraph"/>
              <w:spacing w:after="0"/>
              <w:ind w:left="0"/>
              <w:jc w:val="center"/>
            </w:pPr>
            <w:r>
              <w:t>Option 2 – Moderate Rehabilitation</w:t>
            </w:r>
          </w:p>
        </w:tc>
        <w:tc>
          <w:tcPr>
            <w:tcW w:w="3072" w:type="dxa"/>
            <w:vAlign w:val="center"/>
          </w:tcPr>
          <w:p w:rsidR="00A13C38" w:rsidRDefault="00A13C38" w:rsidP="00640380">
            <w:pPr>
              <w:pStyle w:val="ListParagraph"/>
              <w:spacing w:after="0"/>
              <w:ind w:left="0"/>
              <w:jc w:val="center"/>
            </w:pPr>
            <w:r>
              <w:t>3</w:t>
            </w:r>
          </w:p>
        </w:tc>
        <w:tc>
          <w:tcPr>
            <w:tcW w:w="3068" w:type="dxa"/>
            <w:vAlign w:val="center"/>
          </w:tcPr>
          <w:p w:rsidR="00A13C38" w:rsidRDefault="00A13C38" w:rsidP="00640380">
            <w:pPr>
              <w:pStyle w:val="ListParagraph"/>
              <w:spacing w:after="0"/>
              <w:ind w:left="0"/>
              <w:jc w:val="center"/>
            </w:pPr>
            <w:r>
              <w:t>$10+ Million</w:t>
            </w:r>
          </w:p>
        </w:tc>
      </w:tr>
      <w:tr w:rsidR="00A13C38" w:rsidTr="00640380">
        <w:tc>
          <w:tcPr>
            <w:tcW w:w="3076" w:type="dxa"/>
            <w:vMerge/>
            <w:vAlign w:val="center"/>
          </w:tcPr>
          <w:p w:rsidR="00A13C38" w:rsidRDefault="00A13C38" w:rsidP="00640380">
            <w:pPr>
              <w:pStyle w:val="ListParagraph"/>
              <w:spacing w:after="0"/>
              <w:ind w:left="0"/>
              <w:jc w:val="center"/>
            </w:pPr>
          </w:p>
        </w:tc>
        <w:tc>
          <w:tcPr>
            <w:tcW w:w="3072" w:type="dxa"/>
            <w:vAlign w:val="center"/>
          </w:tcPr>
          <w:p w:rsidR="00A13C38" w:rsidRDefault="00A13C38" w:rsidP="00640380">
            <w:pPr>
              <w:pStyle w:val="ListParagraph"/>
              <w:spacing w:after="0"/>
              <w:ind w:left="0"/>
              <w:jc w:val="center"/>
            </w:pPr>
            <w:r>
              <w:t>76</w:t>
            </w:r>
          </w:p>
        </w:tc>
        <w:tc>
          <w:tcPr>
            <w:tcW w:w="3068" w:type="dxa"/>
            <w:vAlign w:val="center"/>
          </w:tcPr>
          <w:p w:rsidR="00A13C38" w:rsidRDefault="00A13C38" w:rsidP="00640380">
            <w:pPr>
              <w:pStyle w:val="ListParagraph"/>
              <w:spacing w:after="0"/>
              <w:ind w:left="0"/>
              <w:jc w:val="center"/>
            </w:pPr>
            <w:r>
              <w:t>$1-10 Million</w:t>
            </w:r>
          </w:p>
        </w:tc>
      </w:tr>
      <w:tr w:rsidR="00A13C38" w:rsidTr="00640380">
        <w:tc>
          <w:tcPr>
            <w:tcW w:w="3076" w:type="dxa"/>
            <w:vMerge/>
            <w:vAlign w:val="center"/>
          </w:tcPr>
          <w:p w:rsidR="00A13C38" w:rsidRDefault="00A13C38" w:rsidP="00640380">
            <w:pPr>
              <w:pStyle w:val="ListParagraph"/>
              <w:spacing w:after="0"/>
              <w:ind w:left="0"/>
              <w:jc w:val="center"/>
            </w:pPr>
          </w:p>
        </w:tc>
        <w:tc>
          <w:tcPr>
            <w:tcW w:w="3072" w:type="dxa"/>
            <w:vAlign w:val="center"/>
          </w:tcPr>
          <w:p w:rsidR="00A13C38" w:rsidRDefault="00A13C38" w:rsidP="00640380">
            <w:pPr>
              <w:pStyle w:val="ListParagraph"/>
              <w:spacing w:after="0"/>
              <w:ind w:left="0"/>
              <w:jc w:val="center"/>
            </w:pPr>
            <w:r>
              <w:t>143</w:t>
            </w:r>
          </w:p>
        </w:tc>
        <w:tc>
          <w:tcPr>
            <w:tcW w:w="3068" w:type="dxa"/>
            <w:vAlign w:val="center"/>
          </w:tcPr>
          <w:p w:rsidR="00A13C38" w:rsidRDefault="00A13C38" w:rsidP="00640380">
            <w:pPr>
              <w:pStyle w:val="ListParagraph"/>
              <w:spacing w:after="0"/>
              <w:ind w:left="0"/>
              <w:jc w:val="center"/>
            </w:pPr>
            <w:r>
              <w:t>Less than $1 Million</w:t>
            </w:r>
          </w:p>
        </w:tc>
      </w:tr>
      <w:tr w:rsidR="00A13C38" w:rsidRPr="004F032E" w:rsidTr="00640380">
        <w:tc>
          <w:tcPr>
            <w:tcW w:w="3076" w:type="dxa"/>
            <w:vAlign w:val="center"/>
          </w:tcPr>
          <w:p w:rsidR="00A13C38" w:rsidRPr="004F032E" w:rsidRDefault="00A13C38" w:rsidP="00640380">
            <w:pPr>
              <w:pStyle w:val="ListParagraph"/>
              <w:spacing w:after="0"/>
              <w:ind w:left="0"/>
              <w:jc w:val="center"/>
              <w:rPr>
                <w:b/>
              </w:rPr>
            </w:pPr>
            <w:r w:rsidRPr="004F032E">
              <w:rPr>
                <w:b/>
              </w:rPr>
              <w:t>Total</w:t>
            </w:r>
          </w:p>
        </w:tc>
        <w:tc>
          <w:tcPr>
            <w:tcW w:w="3072" w:type="dxa"/>
            <w:vAlign w:val="center"/>
          </w:tcPr>
          <w:p w:rsidR="00A13C38" w:rsidRPr="004F032E" w:rsidRDefault="00A13C38" w:rsidP="00640380">
            <w:pPr>
              <w:pStyle w:val="ListParagraph"/>
              <w:spacing w:after="0"/>
              <w:ind w:left="0"/>
              <w:jc w:val="center"/>
              <w:rPr>
                <w:b/>
              </w:rPr>
            </w:pPr>
            <w:r w:rsidRPr="004F032E">
              <w:rPr>
                <w:b/>
              </w:rPr>
              <w:t>258</w:t>
            </w:r>
          </w:p>
        </w:tc>
        <w:tc>
          <w:tcPr>
            <w:tcW w:w="3068" w:type="dxa"/>
            <w:vAlign w:val="center"/>
          </w:tcPr>
          <w:p w:rsidR="00A13C38" w:rsidRPr="004F032E" w:rsidRDefault="00A13C38" w:rsidP="00640380">
            <w:pPr>
              <w:pStyle w:val="ListParagraph"/>
              <w:spacing w:after="0"/>
              <w:ind w:left="0"/>
              <w:jc w:val="center"/>
              <w:rPr>
                <w:b/>
              </w:rPr>
            </w:pPr>
            <w:r w:rsidRPr="004F032E">
              <w:rPr>
                <w:b/>
              </w:rPr>
              <w:t>Approx. $600 Million</w:t>
            </w:r>
          </w:p>
        </w:tc>
      </w:tr>
    </w:tbl>
    <w:p w:rsidR="00A13C38" w:rsidRDefault="00A13C38" w:rsidP="00A13C38">
      <w:pPr>
        <w:pStyle w:val="ListParagraph"/>
        <w:ind w:left="360"/>
      </w:pPr>
    </w:p>
    <w:p w:rsidR="00A13C38" w:rsidRDefault="00A13C38" w:rsidP="00A13C38">
      <w:pPr>
        <w:pStyle w:val="ListParagraph"/>
        <w:ind w:left="360"/>
      </w:pPr>
      <w:r>
        <w:t>NOFA requires that Category 4 grantees maintain the following information on their projects:</w:t>
      </w:r>
    </w:p>
    <w:p w:rsidR="00A13C38" w:rsidRDefault="00A13C38" w:rsidP="00A13C38">
      <w:pPr>
        <w:pStyle w:val="ListParagraph"/>
        <w:ind w:left="360"/>
      </w:pPr>
    </w:p>
    <w:p w:rsidR="00A13C38" w:rsidRDefault="00A13C38" w:rsidP="00A13C38">
      <w:pPr>
        <w:pStyle w:val="ListParagraph"/>
        <w:numPr>
          <w:ilvl w:val="0"/>
          <w:numId w:val="10"/>
        </w:numPr>
      </w:pPr>
      <w:r>
        <w:t>Option 1 grantees must achieve and certify that they met the requirements of the grant agreement, including meeting Enterprise Green Communities criteria</w:t>
      </w:r>
    </w:p>
    <w:p w:rsidR="00A13C38" w:rsidRDefault="00A13C38" w:rsidP="00A13C38">
      <w:pPr>
        <w:pStyle w:val="ListParagraph"/>
        <w:numPr>
          <w:ilvl w:val="0"/>
          <w:numId w:val="10"/>
        </w:numPr>
      </w:pPr>
      <w:r>
        <w:t xml:space="preserve">Option 2 grantees were required to maintain utility cost data for one year prior to the beginning of retrofit, and for one full year after the end of retrofit. </w:t>
      </w:r>
    </w:p>
    <w:p w:rsidR="00A13C38" w:rsidRDefault="00A13C38" w:rsidP="00A13C38">
      <w:pPr>
        <w:ind w:left="360"/>
      </w:pPr>
      <w:r>
        <w:t xml:space="preserve">The survey for which this PRA package is being submitted seeks to gather pre- and post-retrofit energy utility data and additional related retrofit and utility information maintained by Category 4, Option 2 grantees. These data will be used for the evaluation of </w:t>
      </w:r>
      <w:r>
        <w:rPr>
          <w:color w:val="000000"/>
          <w:szCs w:val="24"/>
        </w:rPr>
        <w:t xml:space="preserve">investments made in PIH-competitive Category 4, Option 2 grants, </w:t>
      </w:r>
      <w:r>
        <w:t xml:space="preserve">one of the objectives of this study. Because they are required to maintain these records, PHA personnel will be able to access this information through utility bills kept at properties, or in the PHA accounting system. The </w:t>
      </w:r>
      <w:r w:rsidRPr="003006AB">
        <w:t>survey is tentatively expected to be administered in July-August 2014.</w:t>
      </w:r>
    </w:p>
    <w:p w:rsidR="00A13C38" w:rsidRPr="00815BF9" w:rsidRDefault="00A13C38" w:rsidP="00A13C38">
      <w:pPr>
        <w:pStyle w:val="ListParagraph"/>
        <w:numPr>
          <w:ilvl w:val="0"/>
          <w:numId w:val="2"/>
        </w:numPr>
        <w:rPr>
          <w:rFonts w:eastAsia="Times New Roman" w:cs="Arial"/>
          <w:b/>
        </w:rPr>
      </w:pPr>
      <w:r w:rsidRPr="00815BF9">
        <w:rPr>
          <w:rFonts w:eastAsia="Times New Roman" w:cs="Arial"/>
          <w:b/>
        </w:rPr>
        <w:t xml:space="preserve">Indicate how, by whom, and for what purpose the information is to be used. Except for a new collection, indicate the actual use the agency has made of the information received from the current collection. </w:t>
      </w:r>
    </w:p>
    <w:p w:rsidR="00A13C38" w:rsidRDefault="00A13C38" w:rsidP="00A13C38">
      <w:pPr>
        <w:pStyle w:val="ListParagraph"/>
        <w:ind w:left="360"/>
        <w:rPr>
          <w:rFonts w:eastAsia="Times New Roman" w:cs="Arial"/>
        </w:rPr>
      </w:pPr>
    </w:p>
    <w:p w:rsidR="00A13C38" w:rsidRPr="00AF6DC3" w:rsidRDefault="00A13C38" w:rsidP="00A13C38">
      <w:pPr>
        <w:pStyle w:val="ListParagraph"/>
        <w:ind w:left="360"/>
        <w:rPr>
          <w:rFonts w:eastAsia="Times New Roman" w:cs="Arial"/>
        </w:rPr>
      </w:pPr>
      <w:r w:rsidRPr="00AF6DC3">
        <w:rPr>
          <w:rFonts w:eastAsia="Times New Roman" w:cs="Arial"/>
        </w:rPr>
        <w:t>This is a new data collection</w:t>
      </w:r>
      <w:r>
        <w:rPr>
          <w:rFonts w:eastAsia="Times New Roman" w:cs="Arial"/>
        </w:rPr>
        <w:t xml:space="preserve"> by HUD </w:t>
      </w:r>
      <w:r>
        <w:t>PIH</w:t>
      </w:r>
      <w:r w:rsidRPr="00AF6DC3">
        <w:rPr>
          <w:rFonts w:eastAsia="Times New Roman" w:cs="Arial"/>
        </w:rPr>
        <w:t xml:space="preserve">. The information collected will be used </w:t>
      </w:r>
      <w:r>
        <w:rPr>
          <w:rFonts w:eastAsia="Times New Roman" w:cs="Arial"/>
        </w:rPr>
        <w:t xml:space="preserve">within the GERA study </w:t>
      </w:r>
      <w:r w:rsidRPr="00AF6DC3">
        <w:rPr>
          <w:rFonts w:eastAsia="Times New Roman" w:cs="Arial"/>
        </w:rPr>
        <w:t xml:space="preserve">to estimate the </w:t>
      </w:r>
      <w:r>
        <w:rPr>
          <w:rFonts w:eastAsia="Times New Roman" w:cs="Arial"/>
        </w:rPr>
        <w:t>energy</w:t>
      </w:r>
      <w:r w:rsidRPr="00AF6DC3">
        <w:rPr>
          <w:rFonts w:eastAsia="Times New Roman" w:cs="Arial"/>
        </w:rPr>
        <w:t xml:space="preserve"> usage savings resulting from the implementation of the</w:t>
      </w:r>
      <w:r>
        <w:rPr>
          <w:rFonts w:eastAsia="Times New Roman" w:cs="Arial"/>
        </w:rPr>
        <w:t xml:space="preserve"> energy conservation measures implemented by</w:t>
      </w:r>
      <w:r w:rsidRPr="00AF6DC3">
        <w:rPr>
          <w:rFonts w:eastAsia="Times New Roman" w:cs="Arial"/>
        </w:rPr>
        <w:t xml:space="preserve"> </w:t>
      </w:r>
      <w:r>
        <w:t xml:space="preserve">Capital Fund Recovery Competitive </w:t>
      </w:r>
      <w:r>
        <w:rPr>
          <w:rFonts w:eastAsia="Times New Roman" w:cs="Times New Roman"/>
          <w:color w:val="000000"/>
          <w:szCs w:val="24"/>
        </w:rPr>
        <w:t>Category 4, Option 2 grantees</w:t>
      </w:r>
      <w:r>
        <w:rPr>
          <w:rFonts w:eastAsia="Times New Roman" w:cs="Arial"/>
        </w:rPr>
        <w:t xml:space="preserve">.  </w:t>
      </w:r>
    </w:p>
    <w:p w:rsidR="00A13C38" w:rsidRPr="00815BF9" w:rsidRDefault="00A13C38" w:rsidP="00A13C38">
      <w:pPr>
        <w:pStyle w:val="ListParagraph"/>
        <w:ind w:left="360"/>
        <w:rPr>
          <w:rFonts w:eastAsia="Times New Roman" w:cs="Arial"/>
          <w:b/>
        </w:rPr>
      </w:pPr>
    </w:p>
    <w:p w:rsidR="00A13C38" w:rsidRDefault="00A13C38" w:rsidP="00A13C38">
      <w:pPr>
        <w:pStyle w:val="ListParagraph"/>
        <w:numPr>
          <w:ilvl w:val="0"/>
          <w:numId w:val="2"/>
        </w:numPr>
        <w:rPr>
          <w:rFonts w:eastAsia="Times New Roman" w:cs="Arial"/>
          <w:b/>
        </w:rPr>
      </w:pPr>
      <w:r w:rsidRPr="00815BF9">
        <w:rPr>
          <w:rFonts w:eastAsia="Times New Roman" w:cs="Arial"/>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4F032E">
        <w:rPr>
          <w:rFonts w:eastAsia="Times New Roman" w:cs="Arial"/>
          <w:b/>
        </w:rPr>
        <w:t>and the basis for the decision for adopting this means of collection. Also describe any</w:t>
      </w:r>
      <w:r w:rsidRPr="00815BF9">
        <w:rPr>
          <w:rFonts w:eastAsia="Times New Roman" w:cs="Arial"/>
          <w:b/>
        </w:rPr>
        <w:t xml:space="preserve"> consideration of using information technology to reduce burden. </w:t>
      </w:r>
    </w:p>
    <w:p w:rsidR="00A13C38" w:rsidRDefault="00A13C38" w:rsidP="00A13C38">
      <w:pPr>
        <w:pStyle w:val="ListParagraph"/>
        <w:ind w:left="360"/>
      </w:pPr>
    </w:p>
    <w:p w:rsidR="00A13C38" w:rsidRDefault="00A13C38" w:rsidP="00A13C38">
      <w:pPr>
        <w:pStyle w:val="ListParagraph"/>
        <w:ind w:left="360"/>
      </w:pPr>
      <w:r>
        <w:t xml:space="preserve">The survey will be in an excel file format, and will be sent to the universe of public housing authorities (PHAs) who received </w:t>
      </w:r>
      <w:r>
        <w:rPr>
          <w:rFonts w:eastAsia="Times New Roman" w:cs="Times New Roman"/>
          <w:color w:val="000000"/>
          <w:szCs w:val="24"/>
        </w:rPr>
        <w:t>PIH-competitive Category 4, Option 2 grants</w:t>
      </w:r>
      <w:r>
        <w:t>. The PHAs will be asked to provide monthly data from one year of pre-retrofit and one year post-retrofit energy utility bills for the particular Asset Management Projects (AMPs)</w:t>
      </w:r>
      <w:r>
        <w:rPr>
          <w:rStyle w:val="FootnoteReference"/>
        </w:rPr>
        <w:footnoteReference w:id="2"/>
      </w:r>
      <w:r>
        <w:t xml:space="preserve"> at which the grantees have reported implementing the funded green retrofit.</w:t>
      </w:r>
    </w:p>
    <w:p w:rsidR="00A13C38" w:rsidRDefault="00A13C38" w:rsidP="00A13C38">
      <w:pPr>
        <w:pStyle w:val="ListParagraph"/>
        <w:ind w:left="360"/>
      </w:pPr>
      <w:r>
        <w:lastRenderedPageBreak/>
        <w:t xml:space="preserve"> </w:t>
      </w:r>
    </w:p>
    <w:p w:rsidR="00A13C38" w:rsidRDefault="00A13C38" w:rsidP="00A13C38">
      <w:pPr>
        <w:pStyle w:val="ListParagraph"/>
        <w:ind w:left="360"/>
      </w:pPr>
      <w:r>
        <w:t>Because AMPs are required to have all the requested information and because this information is expected to be stored in the same format for the entire period of data requested, it was deemed that the use of an Excel spreadsheet would be the least burdensome format of data collection for PHAs. As indicated in the numeral below, to avoid duplication of effort and to minimize burden, the Excel spreadsheet will be prepopulated with already available AMPs and retrofit information.</w:t>
      </w:r>
    </w:p>
    <w:p w:rsidR="00A13C38" w:rsidRPr="00815BF9" w:rsidRDefault="00A13C38" w:rsidP="00A13C38">
      <w:pPr>
        <w:pStyle w:val="ListParagraph"/>
        <w:ind w:left="360"/>
        <w:rPr>
          <w:rFonts w:eastAsia="Times New Roman" w:cs="Arial"/>
          <w:b/>
        </w:rPr>
      </w:pPr>
    </w:p>
    <w:p w:rsidR="00A13C38" w:rsidRDefault="00A13C38" w:rsidP="00A13C38">
      <w:pPr>
        <w:pStyle w:val="ListParagraph"/>
        <w:numPr>
          <w:ilvl w:val="0"/>
          <w:numId w:val="2"/>
        </w:numPr>
        <w:rPr>
          <w:rFonts w:eastAsia="Times New Roman" w:cs="Arial"/>
          <w:b/>
        </w:rPr>
      </w:pPr>
      <w:r w:rsidRPr="00815BF9">
        <w:rPr>
          <w:rFonts w:eastAsia="Times New Roman" w:cs="Arial"/>
          <w:b/>
        </w:rPr>
        <w:t xml:space="preserve">Describe efforts to identify duplication. Show specifically why any similar information already available cannot be used or modified for use for the purposes described in Item 2 above. </w:t>
      </w:r>
    </w:p>
    <w:p w:rsidR="00A13C38" w:rsidRDefault="00A13C38" w:rsidP="00A13C38">
      <w:pPr>
        <w:pStyle w:val="ListParagraph"/>
        <w:ind w:left="360"/>
        <w:rPr>
          <w:rFonts w:eastAsia="Times New Roman" w:cs="Arial"/>
        </w:rPr>
      </w:pPr>
    </w:p>
    <w:p w:rsidR="00A13C38" w:rsidRDefault="00A13C38" w:rsidP="00A13C38">
      <w:pPr>
        <w:pStyle w:val="ListParagraph"/>
        <w:ind w:left="360"/>
        <w:rPr>
          <w:rFonts w:eastAsia="Times New Roman" w:cs="Arial"/>
        </w:rPr>
      </w:pPr>
      <w:r>
        <w:rPr>
          <w:rFonts w:eastAsia="Times New Roman" w:cs="Arial"/>
        </w:rPr>
        <w:t>For this study, HUD will utilize a series of already existing data sources in order to minimize the burden on PHAs to provide evaluation data. These data will be used to pre-populate the Excel survey instrument, and only information not available from any other existing source will be requested from AMPs:</w:t>
      </w:r>
    </w:p>
    <w:p w:rsidR="00A13C38" w:rsidRDefault="00A13C38" w:rsidP="00A13C38">
      <w:pPr>
        <w:pStyle w:val="ListParagraph"/>
        <w:ind w:left="360"/>
        <w:rPr>
          <w:rFonts w:eastAsia="Times New Roman" w:cs="Arial"/>
        </w:rPr>
      </w:pPr>
    </w:p>
    <w:p w:rsidR="00A13C38" w:rsidRPr="00367178" w:rsidRDefault="00A13C38" w:rsidP="00A13C38">
      <w:pPr>
        <w:pStyle w:val="ListParagraph"/>
        <w:ind w:left="360"/>
        <w:rPr>
          <w:rFonts w:eastAsia="Times New Roman" w:cs="Arial"/>
        </w:rPr>
      </w:pPr>
      <w:r>
        <w:rPr>
          <w:rFonts w:eastAsia="Times New Roman" w:cs="Arial"/>
        </w:rPr>
        <w:t>The already existing data sources are:</w:t>
      </w:r>
    </w:p>
    <w:p w:rsidR="00A13C38" w:rsidRDefault="00A13C38" w:rsidP="00A13C38">
      <w:pPr>
        <w:pStyle w:val="ListParagraph"/>
        <w:numPr>
          <w:ilvl w:val="0"/>
          <w:numId w:val="11"/>
        </w:numPr>
        <w:rPr>
          <w:rFonts w:eastAsia="Times New Roman" w:cs="Arial"/>
        </w:rPr>
      </w:pPr>
      <w:r w:rsidRPr="00367178">
        <w:rPr>
          <w:rFonts w:eastAsia="Times New Roman" w:cs="Arial"/>
          <w:b/>
        </w:rPr>
        <w:t>RAMPS</w:t>
      </w:r>
      <w:r>
        <w:rPr>
          <w:rFonts w:eastAsia="Times New Roman" w:cs="Arial"/>
          <w:b/>
        </w:rPr>
        <w:t xml:space="preserve"> data</w:t>
      </w:r>
      <w:r w:rsidRPr="00367178">
        <w:rPr>
          <w:rFonts w:eastAsia="Times New Roman" w:cs="Arial"/>
          <w:b/>
        </w:rPr>
        <w:t xml:space="preserve">. </w:t>
      </w:r>
      <w:r>
        <w:rPr>
          <w:rFonts w:eastAsia="Times New Roman" w:cs="Arial"/>
        </w:rPr>
        <w:t>HUD created the Recovery Act Management and Performance System (RAMPS) to provide support to HUD programs in meeting data and reporting requirements for ARRA. RAMPS data contain a complete listing of all Category 4 grants that are subject of this study. In addition, Category 4, Option 2 grantees are required to provide RAMPS with AMP-level data quantifying the number of commonly applied ECMs and the number of units for which these ECMs were planned and implemented. RAMPs data will be utilized to determine the ECMs implemented in each AMP.</w:t>
      </w:r>
    </w:p>
    <w:p w:rsidR="00A13C38" w:rsidRDefault="00A13C38" w:rsidP="00A13C38">
      <w:pPr>
        <w:pStyle w:val="ListParagraph"/>
        <w:numPr>
          <w:ilvl w:val="0"/>
          <w:numId w:val="11"/>
        </w:numPr>
        <w:rPr>
          <w:rFonts w:eastAsia="Times New Roman" w:cs="Arial"/>
        </w:rPr>
      </w:pPr>
      <w:r>
        <w:rPr>
          <w:rFonts w:eastAsia="Times New Roman" w:cs="Arial"/>
          <w:b/>
        </w:rPr>
        <w:t xml:space="preserve">IMS/PIC Data. </w:t>
      </w:r>
      <w:r>
        <w:rPr>
          <w:rFonts w:eastAsia="Times New Roman" w:cs="Arial"/>
        </w:rPr>
        <w:t>This data system maintains information about all of PIH’s inventories of PHAs, developments, buildings, and units. These data will provide property characteristics for each AMP in the HUD PIH inventory:</w:t>
      </w:r>
    </w:p>
    <w:p w:rsidR="00A13C38" w:rsidRPr="00367178" w:rsidRDefault="00A13C38" w:rsidP="00A13C38">
      <w:pPr>
        <w:pStyle w:val="ListParagraph"/>
        <w:numPr>
          <w:ilvl w:val="1"/>
          <w:numId w:val="11"/>
        </w:numPr>
        <w:rPr>
          <w:rFonts w:eastAsia="Times New Roman" w:cs="Arial"/>
        </w:rPr>
      </w:pPr>
      <w:r w:rsidRPr="00367178">
        <w:rPr>
          <w:rFonts w:eastAsia="Times New Roman" w:cs="Arial"/>
        </w:rPr>
        <w:t>Building type</w:t>
      </w:r>
    </w:p>
    <w:p w:rsidR="00A13C38" w:rsidRPr="00367178" w:rsidRDefault="00A13C38" w:rsidP="00A13C38">
      <w:pPr>
        <w:pStyle w:val="ListParagraph"/>
        <w:numPr>
          <w:ilvl w:val="1"/>
          <w:numId w:val="11"/>
        </w:numPr>
        <w:rPr>
          <w:rFonts w:eastAsia="Times New Roman" w:cs="Arial"/>
        </w:rPr>
      </w:pPr>
      <w:r w:rsidRPr="00367178">
        <w:rPr>
          <w:rFonts w:eastAsia="Times New Roman" w:cs="Arial"/>
        </w:rPr>
        <w:t>Location (zip code)</w:t>
      </w:r>
    </w:p>
    <w:p w:rsidR="00A13C38" w:rsidRPr="00367178" w:rsidRDefault="00A13C38" w:rsidP="00A13C38">
      <w:pPr>
        <w:pStyle w:val="ListParagraph"/>
        <w:numPr>
          <w:ilvl w:val="1"/>
          <w:numId w:val="11"/>
        </w:numPr>
        <w:rPr>
          <w:rFonts w:eastAsia="Times New Roman" w:cs="Arial"/>
        </w:rPr>
      </w:pPr>
      <w:r w:rsidRPr="00367178">
        <w:rPr>
          <w:rFonts w:eastAsia="Times New Roman" w:cs="Arial"/>
        </w:rPr>
        <w:t>Average un</w:t>
      </w:r>
      <w:r>
        <w:rPr>
          <w:rFonts w:eastAsia="Times New Roman" w:cs="Arial"/>
        </w:rPr>
        <w:t>i</w:t>
      </w:r>
      <w:r w:rsidRPr="00367178">
        <w:rPr>
          <w:rFonts w:eastAsia="Times New Roman" w:cs="Arial"/>
        </w:rPr>
        <w:t>t size</w:t>
      </w:r>
      <w:r>
        <w:rPr>
          <w:rFonts w:eastAsia="Times New Roman" w:cs="Arial"/>
        </w:rPr>
        <w:t xml:space="preserve"> in terms of number of bedrooms</w:t>
      </w:r>
    </w:p>
    <w:p w:rsidR="00A13C38" w:rsidRPr="00367178" w:rsidRDefault="00A13C38" w:rsidP="00A13C38">
      <w:pPr>
        <w:pStyle w:val="ListParagraph"/>
        <w:numPr>
          <w:ilvl w:val="1"/>
          <w:numId w:val="11"/>
        </w:numPr>
        <w:rPr>
          <w:rFonts w:eastAsia="Times New Roman" w:cs="Arial"/>
        </w:rPr>
      </w:pPr>
      <w:r w:rsidRPr="00367178">
        <w:rPr>
          <w:rFonts w:eastAsia="Times New Roman" w:cs="Arial"/>
        </w:rPr>
        <w:t>Elderly/Family occupancy</w:t>
      </w:r>
    </w:p>
    <w:p w:rsidR="00A13C38" w:rsidRPr="00367178" w:rsidRDefault="00A13C38" w:rsidP="00A13C38">
      <w:pPr>
        <w:pStyle w:val="ListParagraph"/>
        <w:numPr>
          <w:ilvl w:val="1"/>
          <w:numId w:val="11"/>
        </w:numPr>
        <w:rPr>
          <w:rFonts w:eastAsia="Times New Roman" w:cs="Arial"/>
        </w:rPr>
      </w:pPr>
      <w:r w:rsidRPr="00367178">
        <w:rPr>
          <w:rFonts w:eastAsia="Times New Roman" w:cs="Arial"/>
        </w:rPr>
        <w:t>Property size (units)</w:t>
      </w:r>
    </w:p>
    <w:p w:rsidR="00A13C38" w:rsidRPr="00367178" w:rsidRDefault="00A13C38" w:rsidP="00A13C38">
      <w:pPr>
        <w:pStyle w:val="ListParagraph"/>
        <w:numPr>
          <w:ilvl w:val="1"/>
          <w:numId w:val="11"/>
        </w:numPr>
        <w:rPr>
          <w:rFonts w:eastAsia="Times New Roman" w:cs="Arial"/>
        </w:rPr>
      </w:pPr>
      <w:r w:rsidRPr="00367178">
        <w:rPr>
          <w:rFonts w:eastAsia="Times New Roman" w:cs="Arial"/>
        </w:rPr>
        <w:t>Vacancy</w:t>
      </w:r>
    </w:p>
    <w:p w:rsidR="00A13C38" w:rsidRPr="007318C9" w:rsidRDefault="00A13C38" w:rsidP="00A13C38">
      <w:pPr>
        <w:pStyle w:val="ListParagraph"/>
        <w:rPr>
          <w:rFonts w:eastAsia="Times New Roman" w:cs="Arial"/>
        </w:rPr>
      </w:pPr>
    </w:p>
    <w:p w:rsidR="00A13C38" w:rsidRDefault="00A13C38" w:rsidP="00A13C38">
      <w:pPr>
        <w:pStyle w:val="ListParagraph"/>
        <w:ind w:left="360"/>
        <w:rPr>
          <w:rFonts w:eastAsia="Times New Roman" w:cs="Arial"/>
        </w:rPr>
      </w:pPr>
      <w:r w:rsidRPr="00AF6DC3">
        <w:rPr>
          <w:rFonts w:eastAsia="Times New Roman" w:cs="Arial"/>
        </w:rPr>
        <w:t xml:space="preserve">The data requested from AMPs </w:t>
      </w:r>
      <w:r>
        <w:rPr>
          <w:rFonts w:eastAsia="Times New Roman" w:cs="Arial"/>
        </w:rPr>
        <w:t>are:</w:t>
      </w:r>
      <w:r w:rsidRPr="00AF6DC3">
        <w:rPr>
          <w:rFonts w:eastAsia="Times New Roman" w:cs="Arial"/>
        </w:rPr>
        <w:t xml:space="preserve"> </w:t>
      </w:r>
    </w:p>
    <w:p w:rsidR="00A13C38" w:rsidRDefault="00A13C38" w:rsidP="00A13C38">
      <w:pPr>
        <w:pStyle w:val="ListParagraph"/>
        <w:numPr>
          <w:ilvl w:val="0"/>
          <w:numId w:val="12"/>
        </w:numPr>
        <w:rPr>
          <w:rFonts w:eastAsia="Times New Roman" w:cs="Arial"/>
        </w:rPr>
      </w:pPr>
      <w:r>
        <w:rPr>
          <w:rFonts w:eastAsia="Times New Roman" w:cs="Arial"/>
        </w:rPr>
        <w:t>Retrofit information:</w:t>
      </w:r>
    </w:p>
    <w:p w:rsidR="00A13C38" w:rsidRDefault="00A13C38" w:rsidP="00A13C38">
      <w:pPr>
        <w:pStyle w:val="ListParagraph"/>
        <w:numPr>
          <w:ilvl w:val="1"/>
          <w:numId w:val="12"/>
        </w:numPr>
        <w:rPr>
          <w:rFonts w:eastAsia="Times New Roman" w:cs="Arial"/>
        </w:rPr>
      </w:pPr>
      <w:r>
        <w:rPr>
          <w:rFonts w:eastAsia="Times New Roman" w:cs="Arial"/>
        </w:rPr>
        <w:t>Exact start and end dates of retrofit</w:t>
      </w:r>
    </w:p>
    <w:p w:rsidR="00A13C38" w:rsidRDefault="00A13C38" w:rsidP="00A13C38">
      <w:pPr>
        <w:pStyle w:val="ListParagraph"/>
        <w:numPr>
          <w:ilvl w:val="1"/>
          <w:numId w:val="12"/>
        </w:numPr>
        <w:rPr>
          <w:rFonts w:eastAsia="Times New Roman" w:cs="Arial"/>
        </w:rPr>
      </w:pPr>
      <w:r>
        <w:rPr>
          <w:rFonts w:eastAsia="Times New Roman" w:cs="Arial"/>
        </w:rPr>
        <w:t>Year of last retrofit</w:t>
      </w:r>
    </w:p>
    <w:p w:rsidR="00A13C38" w:rsidRDefault="00A13C38" w:rsidP="00A13C38">
      <w:pPr>
        <w:pStyle w:val="ListParagraph"/>
        <w:numPr>
          <w:ilvl w:val="0"/>
          <w:numId w:val="12"/>
        </w:numPr>
        <w:rPr>
          <w:rFonts w:eastAsia="Times New Roman" w:cs="Arial"/>
        </w:rPr>
      </w:pPr>
      <w:r>
        <w:rPr>
          <w:rFonts w:eastAsia="Times New Roman" w:cs="Arial"/>
        </w:rPr>
        <w:t>Property information:</w:t>
      </w:r>
    </w:p>
    <w:p w:rsidR="00A13C38" w:rsidRPr="007C1B00" w:rsidRDefault="00A13C38" w:rsidP="00A13C38">
      <w:pPr>
        <w:pStyle w:val="ListParagraph"/>
        <w:numPr>
          <w:ilvl w:val="1"/>
          <w:numId w:val="12"/>
        </w:numPr>
        <w:rPr>
          <w:rFonts w:eastAsia="Times New Roman" w:cs="Arial"/>
        </w:rPr>
      </w:pPr>
      <w:r>
        <w:rPr>
          <w:rFonts w:eastAsia="Times New Roman" w:cs="Arial"/>
        </w:rPr>
        <w:t>Energy source (utility) used for heating and cooling of units</w:t>
      </w:r>
    </w:p>
    <w:p w:rsidR="00A13C38" w:rsidRDefault="00A13C38" w:rsidP="00A13C38">
      <w:pPr>
        <w:pStyle w:val="ListParagraph"/>
        <w:numPr>
          <w:ilvl w:val="0"/>
          <w:numId w:val="12"/>
        </w:numPr>
        <w:rPr>
          <w:rFonts w:eastAsia="Times New Roman" w:cs="Arial"/>
        </w:rPr>
      </w:pPr>
      <w:r>
        <w:rPr>
          <w:rFonts w:eastAsia="Times New Roman" w:cs="Arial"/>
        </w:rPr>
        <w:t>Utility information:</w:t>
      </w:r>
    </w:p>
    <w:p w:rsidR="00A13C38" w:rsidRDefault="00A13C38" w:rsidP="00A13C38">
      <w:pPr>
        <w:pStyle w:val="ListParagraph"/>
        <w:numPr>
          <w:ilvl w:val="1"/>
          <w:numId w:val="12"/>
        </w:numPr>
        <w:rPr>
          <w:rFonts w:eastAsia="Times New Roman" w:cs="Arial"/>
        </w:rPr>
      </w:pPr>
      <w:r>
        <w:rPr>
          <w:rFonts w:eastAsia="Times New Roman" w:cs="Arial"/>
        </w:rPr>
        <w:lastRenderedPageBreak/>
        <w:t>Whether tenants pay for the utility bills directly to energy provider.</w:t>
      </w:r>
    </w:p>
    <w:p w:rsidR="00A13C38" w:rsidRDefault="00A13C38" w:rsidP="00A13C38">
      <w:pPr>
        <w:pStyle w:val="ListParagraph"/>
        <w:numPr>
          <w:ilvl w:val="0"/>
          <w:numId w:val="12"/>
        </w:numPr>
        <w:rPr>
          <w:rFonts w:eastAsia="Times New Roman" w:cs="Arial"/>
        </w:rPr>
      </w:pPr>
      <w:r>
        <w:rPr>
          <w:rFonts w:eastAsia="Times New Roman" w:cs="Arial"/>
        </w:rPr>
        <w:t>Utility meters</w:t>
      </w:r>
    </w:p>
    <w:p w:rsidR="00A13C38" w:rsidRDefault="00A13C38" w:rsidP="00A13C38">
      <w:pPr>
        <w:pStyle w:val="ListParagraph"/>
        <w:numPr>
          <w:ilvl w:val="1"/>
          <w:numId w:val="12"/>
        </w:numPr>
        <w:rPr>
          <w:rFonts w:eastAsia="Times New Roman" w:cs="Arial"/>
        </w:rPr>
      </w:pPr>
      <w:r>
        <w:rPr>
          <w:rFonts w:eastAsia="Times New Roman" w:cs="Arial"/>
        </w:rPr>
        <w:t>Number of utility meters for which PHA has information for each AMP</w:t>
      </w:r>
    </w:p>
    <w:p w:rsidR="00A13C38" w:rsidRDefault="00A13C38" w:rsidP="00A13C38">
      <w:pPr>
        <w:pStyle w:val="ListParagraph"/>
        <w:numPr>
          <w:ilvl w:val="1"/>
          <w:numId w:val="12"/>
        </w:numPr>
        <w:rPr>
          <w:rFonts w:eastAsia="Times New Roman" w:cs="Arial"/>
        </w:rPr>
      </w:pPr>
      <w:r>
        <w:rPr>
          <w:rFonts w:eastAsia="Times New Roman" w:cs="Arial"/>
        </w:rPr>
        <w:t>Whether utility meters cover usage of all common areas</w:t>
      </w:r>
    </w:p>
    <w:p w:rsidR="00A13C38" w:rsidRDefault="00A13C38" w:rsidP="00A13C38">
      <w:pPr>
        <w:pStyle w:val="ListParagraph"/>
        <w:numPr>
          <w:ilvl w:val="1"/>
          <w:numId w:val="12"/>
        </w:numPr>
        <w:rPr>
          <w:rFonts w:eastAsia="Times New Roman" w:cs="Arial"/>
        </w:rPr>
      </w:pPr>
      <w:r>
        <w:rPr>
          <w:rFonts w:eastAsia="Times New Roman" w:cs="Arial"/>
        </w:rPr>
        <w:t xml:space="preserve">Specific meter information: </w:t>
      </w:r>
    </w:p>
    <w:p w:rsidR="00A13C38" w:rsidRDefault="00A13C38" w:rsidP="00A13C38">
      <w:pPr>
        <w:pStyle w:val="ListParagraph"/>
        <w:numPr>
          <w:ilvl w:val="2"/>
          <w:numId w:val="12"/>
        </w:numPr>
        <w:rPr>
          <w:rFonts w:eastAsia="Times New Roman" w:cs="Arial"/>
        </w:rPr>
      </w:pPr>
      <w:r>
        <w:rPr>
          <w:rFonts w:eastAsia="Times New Roman" w:cs="Arial"/>
        </w:rPr>
        <w:t xml:space="preserve">identification number, </w:t>
      </w:r>
    </w:p>
    <w:p w:rsidR="00A13C38" w:rsidRDefault="00A13C38" w:rsidP="00A13C38">
      <w:pPr>
        <w:pStyle w:val="ListParagraph"/>
        <w:numPr>
          <w:ilvl w:val="2"/>
          <w:numId w:val="12"/>
        </w:numPr>
        <w:rPr>
          <w:rFonts w:eastAsia="Times New Roman" w:cs="Arial"/>
        </w:rPr>
      </w:pPr>
      <w:r>
        <w:rPr>
          <w:rFonts w:eastAsia="Times New Roman" w:cs="Arial"/>
        </w:rPr>
        <w:t xml:space="preserve">location, </w:t>
      </w:r>
    </w:p>
    <w:p w:rsidR="00A13C38" w:rsidRDefault="00A13C38" w:rsidP="00A13C38">
      <w:pPr>
        <w:pStyle w:val="ListParagraph"/>
        <w:numPr>
          <w:ilvl w:val="2"/>
          <w:numId w:val="12"/>
        </w:numPr>
        <w:rPr>
          <w:rFonts w:eastAsia="Times New Roman" w:cs="Arial"/>
        </w:rPr>
      </w:pPr>
      <w:r>
        <w:rPr>
          <w:rFonts w:eastAsia="Times New Roman" w:cs="Arial"/>
        </w:rPr>
        <w:t>whether meter was used before and/or after retrofit,</w:t>
      </w:r>
    </w:p>
    <w:p w:rsidR="00A13C38" w:rsidRDefault="00A13C38" w:rsidP="00A13C38">
      <w:pPr>
        <w:pStyle w:val="ListParagraph"/>
        <w:numPr>
          <w:ilvl w:val="2"/>
          <w:numId w:val="12"/>
        </w:numPr>
        <w:rPr>
          <w:rFonts w:eastAsia="Times New Roman" w:cs="Arial"/>
        </w:rPr>
      </w:pPr>
      <w:r>
        <w:rPr>
          <w:rFonts w:eastAsia="Times New Roman" w:cs="Arial"/>
        </w:rPr>
        <w:t>whether utility meter covers usage of common areas only, units only, or both common areas and units</w:t>
      </w:r>
    </w:p>
    <w:p w:rsidR="00A13C38" w:rsidRDefault="00A13C38" w:rsidP="00A13C38">
      <w:pPr>
        <w:pStyle w:val="ListParagraph"/>
        <w:numPr>
          <w:ilvl w:val="2"/>
          <w:numId w:val="12"/>
        </w:numPr>
        <w:rPr>
          <w:rFonts w:eastAsia="Times New Roman" w:cs="Arial"/>
        </w:rPr>
      </w:pPr>
      <w:r>
        <w:rPr>
          <w:rFonts w:eastAsia="Times New Roman" w:cs="Arial"/>
        </w:rPr>
        <w:t>Number of units which usage is covered by each meter</w:t>
      </w:r>
    </w:p>
    <w:p w:rsidR="00A13C38" w:rsidRPr="007C1B00" w:rsidRDefault="00A13C38" w:rsidP="00A13C38">
      <w:pPr>
        <w:pStyle w:val="ListParagraph"/>
        <w:numPr>
          <w:ilvl w:val="2"/>
          <w:numId w:val="12"/>
        </w:numPr>
        <w:rPr>
          <w:rFonts w:eastAsia="Times New Roman" w:cs="Arial"/>
        </w:rPr>
      </w:pPr>
      <w:r>
        <w:rPr>
          <w:rFonts w:eastAsia="Times New Roman" w:cs="Arial"/>
        </w:rPr>
        <w:t>Number of units in building where meter is located</w:t>
      </w:r>
    </w:p>
    <w:p w:rsidR="00A13C38" w:rsidRDefault="00A13C38" w:rsidP="00A13C38">
      <w:pPr>
        <w:pStyle w:val="ListParagraph"/>
        <w:numPr>
          <w:ilvl w:val="0"/>
          <w:numId w:val="12"/>
        </w:numPr>
        <w:rPr>
          <w:rFonts w:eastAsia="Times New Roman" w:cs="Arial"/>
        </w:rPr>
      </w:pPr>
      <w:r>
        <w:rPr>
          <w:rFonts w:eastAsia="Times New Roman" w:cs="Arial"/>
        </w:rPr>
        <w:t>Energy</w:t>
      </w:r>
      <w:r w:rsidRPr="00AF6DC3">
        <w:rPr>
          <w:rFonts w:eastAsia="Times New Roman" w:cs="Arial"/>
        </w:rPr>
        <w:t xml:space="preserve"> utilization information pre- and post-retrofit of AMPs</w:t>
      </w:r>
      <w:r>
        <w:rPr>
          <w:rFonts w:eastAsia="Times New Roman" w:cs="Arial"/>
        </w:rPr>
        <w:t>:</w:t>
      </w:r>
    </w:p>
    <w:p w:rsidR="00A13C38" w:rsidRDefault="00A13C38" w:rsidP="00A13C38">
      <w:pPr>
        <w:pStyle w:val="ListParagraph"/>
        <w:numPr>
          <w:ilvl w:val="1"/>
          <w:numId w:val="12"/>
        </w:numPr>
        <w:rPr>
          <w:rFonts w:eastAsia="Times New Roman" w:cs="Arial"/>
        </w:rPr>
      </w:pPr>
      <w:r>
        <w:rPr>
          <w:rFonts w:eastAsia="Times New Roman" w:cs="Arial"/>
        </w:rPr>
        <w:t>Exact pre-retrofit start and end dates for which usage information is provided</w:t>
      </w:r>
    </w:p>
    <w:p w:rsidR="00A13C38" w:rsidRDefault="00A13C38" w:rsidP="00A13C38">
      <w:pPr>
        <w:pStyle w:val="ListParagraph"/>
        <w:numPr>
          <w:ilvl w:val="1"/>
          <w:numId w:val="12"/>
        </w:numPr>
        <w:rPr>
          <w:rFonts w:eastAsia="Times New Roman" w:cs="Arial"/>
        </w:rPr>
      </w:pPr>
      <w:r>
        <w:rPr>
          <w:rFonts w:eastAsia="Times New Roman" w:cs="Arial"/>
        </w:rPr>
        <w:t>Exact post-retrofit start and end dates for which usage information is provided</w:t>
      </w:r>
    </w:p>
    <w:p w:rsidR="00A13C38" w:rsidRDefault="00A13C38" w:rsidP="00A13C38">
      <w:pPr>
        <w:pStyle w:val="ListParagraph"/>
        <w:numPr>
          <w:ilvl w:val="1"/>
          <w:numId w:val="12"/>
        </w:numPr>
        <w:rPr>
          <w:rFonts w:eastAsia="Times New Roman" w:cs="Arial"/>
        </w:rPr>
      </w:pPr>
      <w:r>
        <w:rPr>
          <w:rFonts w:eastAsia="Times New Roman" w:cs="Arial"/>
        </w:rPr>
        <w:t>Units of energy consumption (for all energy utilities other than Electricity, which is measured in KWh)</w:t>
      </w:r>
    </w:p>
    <w:p w:rsidR="00A13C38" w:rsidRDefault="00A13C38" w:rsidP="00A13C38">
      <w:pPr>
        <w:pStyle w:val="ListParagraph"/>
        <w:numPr>
          <w:ilvl w:val="1"/>
          <w:numId w:val="12"/>
        </w:numPr>
        <w:rPr>
          <w:rFonts w:eastAsia="Times New Roman" w:cs="Arial"/>
        </w:rPr>
      </w:pPr>
      <w:r>
        <w:rPr>
          <w:rFonts w:eastAsia="Times New Roman" w:cs="Arial"/>
        </w:rPr>
        <w:t>Month for which usage is provided</w:t>
      </w:r>
    </w:p>
    <w:p w:rsidR="00A13C38" w:rsidRDefault="00A13C38" w:rsidP="00A13C38">
      <w:pPr>
        <w:pStyle w:val="ListParagraph"/>
        <w:numPr>
          <w:ilvl w:val="1"/>
          <w:numId w:val="12"/>
        </w:numPr>
        <w:rPr>
          <w:rFonts w:eastAsia="Times New Roman" w:cs="Arial"/>
        </w:rPr>
      </w:pPr>
      <w:r>
        <w:rPr>
          <w:rFonts w:eastAsia="Times New Roman" w:cs="Arial"/>
        </w:rPr>
        <w:t>Energy usage during a given month for which information is requested.</w:t>
      </w:r>
    </w:p>
    <w:p w:rsidR="00A13C38" w:rsidRDefault="00A13C38" w:rsidP="00A13C38">
      <w:pPr>
        <w:pStyle w:val="ListParagraph"/>
        <w:ind w:left="360"/>
        <w:rPr>
          <w:rFonts w:eastAsia="Times New Roman" w:cs="Arial"/>
        </w:rPr>
      </w:pPr>
    </w:p>
    <w:p w:rsidR="00A13C38" w:rsidRPr="00BC1EFB" w:rsidRDefault="00A13C38" w:rsidP="00A13C38">
      <w:pPr>
        <w:pStyle w:val="ListParagraph"/>
        <w:ind w:left="360"/>
        <w:rPr>
          <w:rFonts w:eastAsia="Times New Roman" w:cs="Arial"/>
        </w:rPr>
      </w:pPr>
      <w:r>
        <w:rPr>
          <w:rFonts w:eastAsia="Times New Roman" w:cs="Arial"/>
        </w:rPr>
        <w:t>These exact data elements requested from each AMP are not available from any other source, and, as a requirement from NOFA, AMPs are required to maintain this utility usage information.</w:t>
      </w:r>
    </w:p>
    <w:p w:rsidR="00A13C38" w:rsidRDefault="00A13C38" w:rsidP="00A13C38">
      <w:pPr>
        <w:pStyle w:val="ListParagraph"/>
        <w:ind w:left="360"/>
        <w:rPr>
          <w:rFonts w:eastAsia="Times New Roman" w:cs="Arial"/>
        </w:rPr>
      </w:pPr>
    </w:p>
    <w:p w:rsidR="00A13C38" w:rsidRDefault="00A13C38" w:rsidP="00A13C38">
      <w:pPr>
        <w:pStyle w:val="ListParagraph"/>
        <w:ind w:left="360"/>
        <w:rPr>
          <w:rFonts w:eastAsia="Times New Roman" w:cs="Arial"/>
        </w:rPr>
      </w:pPr>
      <w:r>
        <w:rPr>
          <w:rFonts w:eastAsia="Times New Roman" w:cs="Arial"/>
        </w:rPr>
        <w:t xml:space="preserve">There is, however, one additional data source that can be used as a proxy for some of these data elements, although it would not provide the level of detail desired for the analysis. This additional data source is the </w:t>
      </w:r>
      <w:r w:rsidRPr="00F019B2">
        <w:rPr>
          <w:rFonts w:eastAsia="Times New Roman" w:cs="Arial"/>
          <w:b/>
        </w:rPr>
        <w:t>UE</w:t>
      </w:r>
      <w:r>
        <w:rPr>
          <w:rFonts w:eastAsia="Times New Roman" w:cs="Arial"/>
          <w:b/>
        </w:rPr>
        <w:t>L</w:t>
      </w:r>
      <w:r w:rsidRPr="00F019B2">
        <w:rPr>
          <w:rFonts w:eastAsia="Times New Roman" w:cs="Arial"/>
          <w:b/>
        </w:rPr>
        <w:t xml:space="preserve"> Utility Data set</w:t>
      </w:r>
      <w:r>
        <w:rPr>
          <w:rFonts w:eastAsia="Times New Roman" w:cs="Arial"/>
        </w:rPr>
        <w:t>. These data are collected by PIH and used to calculate the Utility Expense Level that determines part of a PHA’s operating subsidy for a given year. The utility usage information is provided in aggregate form for the year, spanning July 1</w:t>
      </w:r>
      <w:r w:rsidRPr="00F019B2">
        <w:rPr>
          <w:rFonts w:eastAsia="Times New Roman" w:cs="Arial"/>
        </w:rPr>
        <w:t>st</w:t>
      </w:r>
      <w:r>
        <w:rPr>
          <w:rFonts w:eastAsia="Times New Roman" w:cs="Arial"/>
        </w:rPr>
        <w:t xml:space="preserve"> to June 30</w:t>
      </w:r>
      <w:r w:rsidRPr="00F019B2">
        <w:rPr>
          <w:rFonts w:eastAsia="Times New Roman" w:cs="Arial"/>
        </w:rPr>
        <w:t>th</w:t>
      </w:r>
      <w:r>
        <w:rPr>
          <w:rFonts w:eastAsia="Times New Roman" w:cs="Arial"/>
        </w:rPr>
        <w:t xml:space="preserve">. As a result, the period provided may not match with the pre- and post- retrofit dates required, and seasonal and weather variation across months are not captured. UEL data can be used to determine the type of energy consumption (e.g. natural gas, electricity, fuel oil) at a property in the absence of other available data. </w:t>
      </w:r>
    </w:p>
    <w:p w:rsidR="00A13C38" w:rsidRPr="00F019B2" w:rsidRDefault="00A13C38" w:rsidP="00A13C38">
      <w:pPr>
        <w:pStyle w:val="ListParagraph"/>
        <w:ind w:left="360"/>
        <w:rPr>
          <w:rFonts w:eastAsia="Times New Roman" w:cs="Arial"/>
        </w:rPr>
      </w:pPr>
    </w:p>
    <w:p w:rsidR="00A13C38" w:rsidRPr="00815BF9" w:rsidRDefault="00A13C38" w:rsidP="00A13C38">
      <w:pPr>
        <w:pStyle w:val="ListParagraph"/>
        <w:numPr>
          <w:ilvl w:val="0"/>
          <w:numId w:val="2"/>
        </w:numPr>
        <w:rPr>
          <w:rFonts w:eastAsia="Times New Roman" w:cs="Arial"/>
          <w:b/>
        </w:rPr>
      </w:pPr>
      <w:r w:rsidRPr="00815BF9">
        <w:rPr>
          <w:rFonts w:eastAsia="Times New Roman" w:cs="Arial"/>
          <w:b/>
        </w:rPr>
        <w:t xml:space="preserve">If the collection of information impacts small businesses or other small entities (Item 5 of OMB Form 83-I), describe any methods used to minimize burden. </w:t>
      </w:r>
    </w:p>
    <w:p w:rsidR="00A13C38" w:rsidRDefault="00A13C38" w:rsidP="00A13C38">
      <w:pPr>
        <w:pStyle w:val="ListParagraph"/>
        <w:ind w:left="360"/>
        <w:rPr>
          <w:rFonts w:eastAsia="Times New Roman" w:cs="Arial"/>
        </w:rPr>
      </w:pPr>
    </w:p>
    <w:p w:rsidR="00A13C38" w:rsidRDefault="00A13C38" w:rsidP="00A13C38">
      <w:pPr>
        <w:pStyle w:val="ListParagraph"/>
        <w:ind w:left="360"/>
        <w:rPr>
          <w:rFonts w:eastAsia="Times New Roman" w:cs="Arial"/>
        </w:rPr>
      </w:pPr>
      <w:r>
        <w:rPr>
          <w:rFonts w:eastAsia="Times New Roman" w:cs="Arial"/>
        </w:rPr>
        <w:t xml:space="preserve">Data collection will only be required of PHAs who have voluntarily applied for a competitive grant from PIH. No small businesses will be impacted by the data collection effort. </w:t>
      </w:r>
    </w:p>
    <w:p w:rsidR="00A13C38" w:rsidRDefault="00A13C38" w:rsidP="00A13C38">
      <w:pPr>
        <w:pStyle w:val="ListParagraph"/>
        <w:ind w:left="360"/>
        <w:rPr>
          <w:rFonts w:eastAsia="Times New Roman" w:cs="Arial"/>
        </w:rPr>
      </w:pPr>
    </w:p>
    <w:p w:rsidR="00A13C38" w:rsidRDefault="00A13C38" w:rsidP="00A13C38">
      <w:pPr>
        <w:pStyle w:val="ListParagraph"/>
        <w:numPr>
          <w:ilvl w:val="0"/>
          <w:numId w:val="2"/>
        </w:numPr>
        <w:rPr>
          <w:rFonts w:eastAsia="Times New Roman" w:cs="Arial"/>
          <w:b/>
        </w:rPr>
      </w:pPr>
      <w:r w:rsidRPr="00815BF9">
        <w:rPr>
          <w:rFonts w:eastAsia="Times New Roman" w:cs="Arial"/>
          <w:b/>
        </w:rPr>
        <w:t>Describe the consequence to Federal program or policy activities if the collection is not conducted or is conducted less frequ</w:t>
      </w:r>
      <w:r>
        <w:rPr>
          <w:rFonts w:eastAsia="Times New Roman" w:cs="Arial"/>
          <w:b/>
        </w:rPr>
        <w:t>e</w:t>
      </w:r>
      <w:r w:rsidRPr="00815BF9">
        <w:rPr>
          <w:rFonts w:eastAsia="Times New Roman" w:cs="Arial"/>
          <w:b/>
        </w:rPr>
        <w:t xml:space="preserve">ntly, as well as any technical or legal obstacles to reducing burden. </w:t>
      </w:r>
    </w:p>
    <w:p w:rsidR="00A13C38" w:rsidRDefault="00A13C38" w:rsidP="00A13C38">
      <w:pPr>
        <w:pStyle w:val="ListParagraph"/>
        <w:ind w:left="360"/>
        <w:rPr>
          <w:rFonts w:eastAsia="Times New Roman" w:cs="Times New Roman"/>
          <w:color w:val="000000"/>
          <w:szCs w:val="24"/>
        </w:rPr>
      </w:pPr>
    </w:p>
    <w:p w:rsidR="00A13C38" w:rsidRDefault="00A13C38" w:rsidP="00A13C38">
      <w:pPr>
        <w:pStyle w:val="ListParagraph"/>
        <w:ind w:left="360"/>
        <w:rPr>
          <w:rFonts w:eastAsia="Times New Roman" w:cs="Times New Roman"/>
          <w:color w:val="000000"/>
          <w:szCs w:val="24"/>
        </w:rPr>
      </w:pPr>
      <w:r>
        <w:rPr>
          <w:rFonts w:eastAsia="Times New Roman" w:cs="Times New Roman"/>
          <w:color w:val="000000"/>
          <w:szCs w:val="24"/>
        </w:rPr>
        <w:t xml:space="preserve">The overall purpose of the GERA study is threefold:  (1) estimate, validate and refine the energy savings of energy retrofits funded through ARRA, (2) identify the most cost-effective </w:t>
      </w:r>
      <w:r>
        <w:rPr>
          <w:rFonts w:eastAsia="Times New Roman" w:cs="Times New Roman"/>
          <w:color w:val="000000"/>
          <w:szCs w:val="24"/>
        </w:rPr>
        <w:lastRenderedPageBreak/>
        <w:t>ECMs and catalog them, and (3) produce a model capable of estimating savings from future investments in ECMs.</w:t>
      </w:r>
    </w:p>
    <w:p w:rsidR="00A13C38" w:rsidRDefault="00A13C38" w:rsidP="00A13C38">
      <w:pPr>
        <w:pStyle w:val="ListParagraph"/>
        <w:ind w:left="360"/>
        <w:rPr>
          <w:rFonts w:eastAsia="Times New Roman" w:cs="Times New Roman"/>
          <w:color w:val="000000"/>
          <w:szCs w:val="24"/>
        </w:rPr>
      </w:pPr>
    </w:p>
    <w:p w:rsidR="00A13C38" w:rsidRDefault="00A13C38" w:rsidP="00A13C38">
      <w:pPr>
        <w:pStyle w:val="ListParagraph"/>
        <w:ind w:left="360"/>
        <w:rPr>
          <w:rFonts w:eastAsia="Times New Roman" w:cs="Times New Roman"/>
          <w:color w:val="000000"/>
          <w:szCs w:val="24"/>
        </w:rPr>
      </w:pPr>
      <w:r>
        <w:rPr>
          <w:rFonts w:eastAsia="Times New Roman" w:cs="Times New Roman"/>
          <w:color w:val="000000"/>
          <w:szCs w:val="24"/>
        </w:rPr>
        <w:t xml:space="preserve">This data collection will allow for the estimation of energy savings for one particular type of grant, PIH Competitive Category 4, Option 2 grants, among three different types of grants that the GERA study encompasses. However, these data and estimation are also key elements in fulfilling other study objectives, namely, the identification of the most cost-effective ECMs and the construction of a future energy savings model </w:t>
      </w:r>
    </w:p>
    <w:p w:rsidR="00A13C38" w:rsidRDefault="00A13C38" w:rsidP="00A13C38">
      <w:pPr>
        <w:pStyle w:val="ListParagraph"/>
        <w:ind w:left="360"/>
        <w:rPr>
          <w:rFonts w:eastAsia="Times New Roman" w:cs="Times New Roman"/>
          <w:color w:val="000000"/>
          <w:szCs w:val="24"/>
        </w:rPr>
      </w:pPr>
    </w:p>
    <w:p w:rsidR="00A13C38" w:rsidRDefault="00A13C38" w:rsidP="00A13C38">
      <w:pPr>
        <w:pStyle w:val="ListParagraph"/>
        <w:ind w:left="360"/>
      </w:pPr>
      <w:r w:rsidRPr="00B52AE2">
        <w:rPr>
          <w:rFonts w:eastAsia="Times New Roman" w:cs="Arial"/>
        </w:rPr>
        <w:t xml:space="preserve">Should this data collection effort not </w:t>
      </w:r>
      <w:r>
        <w:rPr>
          <w:rFonts w:eastAsia="Times New Roman" w:cs="Arial"/>
        </w:rPr>
        <w:t xml:space="preserve">be </w:t>
      </w:r>
      <w:r w:rsidRPr="00B52AE2">
        <w:rPr>
          <w:rFonts w:eastAsia="Times New Roman" w:cs="Arial"/>
        </w:rPr>
        <w:t>conducted, the</w:t>
      </w:r>
      <w:r>
        <w:rPr>
          <w:rFonts w:eastAsia="Times New Roman" w:cs="Arial"/>
        </w:rPr>
        <w:t xml:space="preserve"> achievement of the broader GERA objectives delineated in the paragraph above would be compromised. In turn, this may lead to HUD not </w:t>
      </w:r>
      <w:r>
        <w:t>meeting the goals of transparency and accountability in the investment of ARRA dollars, as established in OMB guidance provided to Federal Agencies.</w:t>
      </w:r>
    </w:p>
    <w:p w:rsidR="00A13C38" w:rsidRDefault="00A13C38" w:rsidP="00A13C38">
      <w:pPr>
        <w:pStyle w:val="ListParagraph"/>
        <w:ind w:left="360"/>
        <w:rPr>
          <w:rFonts w:eastAsia="Times New Roman" w:cs="Arial"/>
        </w:rPr>
      </w:pPr>
    </w:p>
    <w:p w:rsidR="00A13C38" w:rsidRPr="002B26B7" w:rsidRDefault="00A13C38" w:rsidP="00A13C38">
      <w:pPr>
        <w:pStyle w:val="ListParagraph"/>
        <w:ind w:left="360"/>
        <w:rPr>
          <w:rFonts w:eastAsia="Times New Roman" w:cs="Times New Roman"/>
          <w:color w:val="000000"/>
          <w:szCs w:val="24"/>
        </w:rPr>
      </w:pPr>
      <w:r>
        <w:rPr>
          <w:rFonts w:eastAsia="Times New Roman" w:cs="Times New Roman"/>
          <w:color w:val="000000"/>
          <w:szCs w:val="24"/>
        </w:rPr>
        <w:t xml:space="preserve">This data collection cannot be conducted less frequently as it is a one-time data collection. The burden of collection cannot be further reduced as it is minimized by utilizing administrative HUD PIH data, and because the AMPs already should have these data since they were by NOFA to maintain all of the information required.  </w:t>
      </w:r>
    </w:p>
    <w:p w:rsidR="00A13C38" w:rsidRDefault="00A13C38" w:rsidP="00A13C38">
      <w:pPr>
        <w:pStyle w:val="ListParagraph"/>
        <w:ind w:left="360"/>
        <w:rPr>
          <w:rFonts w:eastAsia="Times New Roman" w:cs="Arial"/>
        </w:rPr>
      </w:pPr>
    </w:p>
    <w:p w:rsidR="00A13C38" w:rsidRPr="00815BF9" w:rsidRDefault="00A13C38" w:rsidP="00A13C38">
      <w:pPr>
        <w:pStyle w:val="ListParagraph"/>
        <w:numPr>
          <w:ilvl w:val="0"/>
          <w:numId w:val="2"/>
        </w:numPr>
        <w:rPr>
          <w:rFonts w:eastAsia="Times New Roman" w:cs="Arial"/>
          <w:b/>
        </w:rPr>
      </w:pPr>
      <w:r w:rsidRPr="00815BF9">
        <w:rPr>
          <w:rFonts w:eastAsia="Times New Roman" w:cs="Arial"/>
          <w:b/>
        </w:rPr>
        <w:t xml:space="preserve">Explain any special circumstances that would cause an information collection to be conducted in a manner: </w:t>
      </w:r>
    </w:p>
    <w:p w:rsidR="00A13C38" w:rsidRDefault="00A13C38" w:rsidP="00A13C38">
      <w:pPr>
        <w:pStyle w:val="ListParagraph"/>
        <w:spacing w:after="0"/>
        <w:rPr>
          <w:rFonts w:eastAsia="Times New Roman" w:cs="Arial"/>
        </w:rPr>
      </w:pPr>
    </w:p>
    <w:p w:rsidR="00A13C38" w:rsidRPr="00815BF9" w:rsidRDefault="00A13C38" w:rsidP="00A13C38">
      <w:pPr>
        <w:pStyle w:val="ListParagraph"/>
        <w:numPr>
          <w:ilvl w:val="0"/>
          <w:numId w:val="4"/>
        </w:numPr>
        <w:spacing w:after="0"/>
        <w:rPr>
          <w:rFonts w:eastAsia="Times New Roman" w:cs="Arial"/>
          <w:b/>
        </w:rPr>
      </w:pPr>
      <w:r w:rsidRPr="00815BF9">
        <w:rPr>
          <w:rFonts w:eastAsia="Times New Roman" w:cs="Arial"/>
          <w:b/>
        </w:rPr>
        <w:t>requiring respondents to report information to the agency more often than quarterly;</w:t>
      </w:r>
    </w:p>
    <w:p w:rsidR="00A13C38" w:rsidRDefault="00A13C38" w:rsidP="00A13C38">
      <w:pPr>
        <w:pStyle w:val="ListParagraph"/>
        <w:spacing w:after="0"/>
        <w:rPr>
          <w:rFonts w:eastAsia="Times New Roman" w:cs="Arial"/>
        </w:rPr>
      </w:pPr>
      <w:r>
        <w:rPr>
          <w:rFonts w:eastAsia="Times New Roman" w:cs="Arial"/>
        </w:rPr>
        <w:t>Not Applicable – the data collection will be conducted only once.</w:t>
      </w:r>
    </w:p>
    <w:p w:rsidR="00A13C38" w:rsidRDefault="00A13C38" w:rsidP="00A13C38">
      <w:pPr>
        <w:pStyle w:val="ListParagraph"/>
        <w:spacing w:after="0"/>
        <w:rPr>
          <w:rFonts w:eastAsia="Times New Roman" w:cs="Arial"/>
        </w:rPr>
      </w:pPr>
    </w:p>
    <w:p w:rsidR="00A13C38" w:rsidRPr="00815BF9" w:rsidRDefault="00A13C38" w:rsidP="00A13C38">
      <w:pPr>
        <w:pStyle w:val="ListParagraph"/>
        <w:numPr>
          <w:ilvl w:val="0"/>
          <w:numId w:val="4"/>
        </w:numPr>
        <w:spacing w:after="0"/>
        <w:rPr>
          <w:rFonts w:eastAsia="Times New Roman" w:cs="Arial"/>
          <w:b/>
        </w:rPr>
      </w:pPr>
      <w:r w:rsidRPr="00815BF9">
        <w:rPr>
          <w:rFonts w:eastAsia="Times New Roman" w:cs="Arial"/>
          <w:b/>
        </w:rPr>
        <w:t xml:space="preserve">requiring respondents to prepare a written response to a collection of information in fewer than 30 days after receipt of it; </w:t>
      </w:r>
    </w:p>
    <w:p w:rsidR="00A13C38" w:rsidRPr="005148C0" w:rsidRDefault="00A13C38" w:rsidP="00A13C38">
      <w:pPr>
        <w:pStyle w:val="ListParagraph"/>
        <w:rPr>
          <w:rFonts w:eastAsia="Times New Roman" w:cs="Arial"/>
        </w:rPr>
      </w:pPr>
      <w:r w:rsidRPr="005148C0">
        <w:rPr>
          <w:rFonts w:eastAsia="Times New Roman" w:cs="Arial"/>
        </w:rPr>
        <w:t xml:space="preserve">Not Applicable. Respondents will be given </w:t>
      </w:r>
      <w:r w:rsidRPr="003006AB">
        <w:rPr>
          <w:rFonts w:eastAsia="Times New Roman" w:cs="Arial"/>
        </w:rPr>
        <w:t>30</w:t>
      </w:r>
      <w:r w:rsidRPr="005148C0">
        <w:rPr>
          <w:rFonts w:eastAsia="Times New Roman" w:cs="Arial"/>
        </w:rPr>
        <w:t xml:space="preserve"> days to provide the requested information.</w:t>
      </w:r>
    </w:p>
    <w:p w:rsidR="00A13C38" w:rsidRDefault="00A13C38" w:rsidP="00A13C38">
      <w:pPr>
        <w:pStyle w:val="ListParagraph"/>
        <w:spacing w:after="0"/>
        <w:rPr>
          <w:rFonts w:eastAsia="Times New Roman" w:cs="Arial"/>
        </w:rPr>
      </w:pPr>
    </w:p>
    <w:p w:rsidR="00A13C38" w:rsidRPr="00815BF9" w:rsidRDefault="00A13C38" w:rsidP="00A13C38">
      <w:pPr>
        <w:pStyle w:val="ListParagraph"/>
        <w:numPr>
          <w:ilvl w:val="0"/>
          <w:numId w:val="4"/>
        </w:numPr>
        <w:spacing w:after="0"/>
        <w:rPr>
          <w:rFonts w:eastAsia="Times New Roman" w:cs="Arial"/>
          <w:b/>
        </w:rPr>
      </w:pPr>
      <w:r w:rsidRPr="00815BF9">
        <w:rPr>
          <w:rFonts w:eastAsia="Times New Roman" w:cs="Arial"/>
          <w:b/>
        </w:rPr>
        <w:t xml:space="preserve">requiring respondents to submit more than an original and two copies of any document; </w:t>
      </w:r>
    </w:p>
    <w:p w:rsidR="00A13C38" w:rsidRPr="00815BF9" w:rsidRDefault="00A13C38" w:rsidP="00A13C38">
      <w:pPr>
        <w:ind w:left="720"/>
        <w:rPr>
          <w:rFonts w:cs="Arial"/>
        </w:rPr>
      </w:pPr>
      <w:r w:rsidRPr="00815BF9">
        <w:rPr>
          <w:rFonts w:cs="Arial"/>
        </w:rPr>
        <w:t>Respondents</w:t>
      </w:r>
      <w:r>
        <w:rPr>
          <w:rFonts w:cs="Arial"/>
        </w:rPr>
        <w:t xml:space="preserve"> will only be required to submit a spreadsheet filled with the requested information.</w:t>
      </w:r>
    </w:p>
    <w:p w:rsidR="00A13C38" w:rsidRDefault="00A13C38" w:rsidP="00A13C38">
      <w:pPr>
        <w:pStyle w:val="ListParagraph"/>
        <w:spacing w:after="0"/>
        <w:rPr>
          <w:rFonts w:eastAsia="Times New Roman" w:cs="Arial"/>
        </w:rPr>
      </w:pPr>
    </w:p>
    <w:p w:rsidR="00A13C38" w:rsidRPr="00815BF9" w:rsidRDefault="00A13C38" w:rsidP="00A13C38">
      <w:pPr>
        <w:pStyle w:val="ListParagraph"/>
        <w:numPr>
          <w:ilvl w:val="0"/>
          <w:numId w:val="4"/>
        </w:numPr>
        <w:spacing w:after="0"/>
        <w:rPr>
          <w:rFonts w:eastAsia="Times New Roman" w:cs="Arial"/>
          <w:b/>
        </w:rPr>
      </w:pPr>
      <w:r w:rsidRPr="00815BF9">
        <w:rPr>
          <w:rFonts w:eastAsia="Times New Roman" w:cs="Arial"/>
          <w:b/>
        </w:rPr>
        <w:t xml:space="preserve">requiring respondents to retain records, other than health, medical, government contract, grant-in-aid, or tax records, for more than three years; </w:t>
      </w:r>
    </w:p>
    <w:p w:rsidR="00A13C38" w:rsidRPr="00390C6F" w:rsidRDefault="00A13C38" w:rsidP="00A13C38">
      <w:pPr>
        <w:pStyle w:val="ListParagraph"/>
        <w:spacing w:after="0"/>
        <w:rPr>
          <w:rFonts w:eastAsia="Times New Roman" w:cs="Arial"/>
        </w:rPr>
      </w:pPr>
      <w:r>
        <w:rPr>
          <w:rFonts w:eastAsia="Times New Roman" w:cs="Arial"/>
        </w:rPr>
        <w:t>No such requirement is needed.</w:t>
      </w:r>
    </w:p>
    <w:p w:rsidR="00A13C38" w:rsidRDefault="00A13C38" w:rsidP="00A13C38">
      <w:pPr>
        <w:pStyle w:val="ListParagraph"/>
        <w:spacing w:after="0"/>
        <w:rPr>
          <w:rFonts w:eastAsia="Times New Roman" w:cs="Arial"/>
        </w:rPr>
      </w:pPr>
    </w:p>
    <w:p w:rsidR="00A13C38" w:rsidRPr="00815BF9" w:rsidRDefault="00A13C38" w:rsidP="00A13C38">
      <w:pPr>
        <w:pStyle w:val="ListParagraph"/>
        <w:numPr>
          <w:ilvl w:val="0"/>
          <w:numId w:val="4"/>
        </w:numPr>
        <w:spacing w:after="0"/>
        <w:rPr>
          <w:rFonts w:eastAsia="Times New Roman" w:cs="Arial"/>
          <w:b/>
        </w:rPr>
      </w:pPr>
      <w:r w:rsidRPr="00815BF9">
        <w:rPr>
          <w:rFonts w:eastAsia="Times New Roman" w:cs="Arial"/>
          <w:b/>
        </w:rPr>
        <w:t xml:space="preserve">in connection with a statistical survey, that is not designed to produce valid and reliable results that can be generalized to the universe of study; </w:t>
      </w:r>
    </w:p>
    <w:p w:rsidR="00A13C38" w:rsidRDefault="00A13C38" w:rsidP="00A13C38">
      <w:pPr>
        <w:pStyle w:val="ListParagraph"/>
        <w:spacing w:after="0"/>
        <w:rPr>
          <w:rFonts w:eastAsia="Times New Roman" w:cs="Arial"/>
        </w:rPr>
      </w:pPr>
      <w:r>
        <w:rPr>
          <w:rFonts w:eastAsia="Times New Roman" w:cs="Arial"/>
        </w:rPr>
        <w:t>No such requirement is needed.</w:t>
      </w:r>
    </w:p>
    <w:p w:rsidR="00A13C38" w:rsidRDefault="00A13C38" w:rsidP="00A13C38">
      <w:pPr>
        <w:pStyle w:val="ListParagraph"/>
        <w:spacing w:after="0"/>
        <w:rPr>
          <w:rFonts w:eastAsia="Times New Roman" w:cs="Arial"/>
        </w:rPr>
      </w:pPr>
    </w:p>
    <w:p w:rsidR="00A13C38" w:rsidRPr="00815BF9" w:rsidRDefault="00A13C38" w:rsidP="00A13C38">
      <w:pPr>
        <w:pStyle w:val="ListParagraph"/>
        <w:numPr>
          <w:ilvl w:val="0"/>
          <w:numId w:val="4"/>
        </w:numPr>
        <w:spacing w:after="0"/>
        <w:rPr>
          <w:rFonts w:eastAsia="Times New Roman" w:cs="Arial"/>
          <w:b/>
        </w:rPr>
      </w:pPr>
      <w:r w:rsidRPr="00815BF9">
        <w:rPr>
          <w:rFonts w:eastAsia="Times New Roman" w:cs="Arial"/>
          <w:b/>
        </w:rPr>
        <w:t xml:space="preserve">requiring the use of a statistical data classification that has not been reviewed and approved by OMB; </w:t>
      </w:r>
    </w:p>
    <w:p w:rsidR="00A13C38" w:rsidRPr="005148C0" w:rsidRDefault="00A13C38" w:rsidP="00A13C38">
      <w:pPr>
        <w:pStyle w:val="ListParagraph"/>
        <w:rPr>
          <w:rFonts w:eastAsia="Times New Roman" w:cs="Arial"/>
        </w:rPr>
      </w:pPr>
      <w:r w:rsidRPr="005148C0">
        <w:rPr>
          <w:rFonts w:eastAsia="Times New Roman" w:cs="Arial"/>
        </w:rPr>
        <w:t>Not Applicable</w:t>
      </w:r>
    </w:p>
    <w:p w:rsidR="00A13C38" w:rsidRDefault="00A13C38" w:rsidP="00A13C38">
      <w:pPr>
        <w:pStyle w:val="ListParagraph"/>
        <w:spacing w:after="0"/>
        <w:rPr>
          <w:rFonts w:eastAsia="Times New Roman" w:cs="Arial"/>
        </w:rPr>
      </w:pPr>
    </w:p>
    <w:p w:rsidR="00A13C38" w:rsidRPr="00815BF9" w:rsidRDefault="00A13C38" w:rsidP="00A13C38">
      <w:pPr>
        <w:pStyle w:val="ListParagraph"/>
        <w:numPr>
          <w:ilvl w:val="0"/>
          <w:numId w:val="4"/>
        </w:numPr>
        <w:spacing w:after="0"/>
        <w:rPr>
          <w:rFonts w:eastAsia="Times New Roman" w:cs="Arial"/>
          <w:b/>
        </w:rPr>
      </w:pPr>
      <w:r w:rsidRPr="00815BF9">
        <w:rPr>
          <w:rFonts w:eastAsia="Times New Roman" w:cs="Arial"/>
          <w:b/>
        </w:rPr>
        <w:lastRenderedPageBreak/>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13C38" w:rsidRDefault="00A13C38" w:rsidP="00A13C38">
      <w:pPr>
        <w:pStyle w:val="ListParagraph"/>
        <w:rPr>
          <w:rFonts w:eastAsia="Times New Roman" w:cs="Arial"/>
        </w:rPr>
      </w:pPr>
    </w:p>
    <w:p w:rsidR="00A13C38" w:rsidRPr="005148C0" w:rsidRDefault="00A13C38" w:rsidP="00A13C38">
      <w:pPr>
        <w:pStyle w:val="ListParagraph"/>
        <w:rPr>
          <w:rFonts w:eastAsia="Times New Roman" w:cs="Arial"/>
        </w:rPr>
      </w:pPr>
      <w:r w:rsidRPr="005148C0">
        <w:rPr>
          <w:rFonts w:eastAsia="Times New Roman" w:cs="Arial"/>
        </w:rPr>
        <w:t>Not Applicable</w:t>
      </w:r>
    </w:p>
    <w:p w:rsidR="00A13C38" w:rsidRDefault="00A13C38" w:rsidP="00A13C38">
      <w:pPr>
        <w:pStyle w:val="ListParagraph"/>
        <w:spacing w:after="0"/>
        <w:rPr>
          <w:rFonts w:eastAsia="Times New Roman" w:cs="Arial"/>
        </w:rPr>
      </w:pPr>
    </w:p>
    <w:p w:rsidR="00A13C38" w:rsidRPr="00815BF9" w:rsidRDefault="00A13C38" w:rsidP="00A13C38">
      <w:pPr>
        <w:pStyle w:val="ListParagraph"/>
        <w:numPr>
          <w:ilvl w:val="0"/>
          <w:numId w:val="4"/>
        </w:numPr>
        <w:spacing w:after="0"/>
        <w:rPr>
          <w:rFonts w:eastAsia="Times New Roman" w:cs="Arial"/>
          <w:b/>
        </w:rPr>
      </w:pPr>
      <w:proofErr w:type="gramStart"/>
      <w:r w:rsidRPr="00815BF9">
        <w:rPr>
          <w:rFonts w:eastAsia="Times New Roman" w:cs="Arial"/>
          <w:b/>
        </w:rPr>
        <w:t>requiring</w:t>
      </w:r>
      <w:proofErr w:type="gramEnd"/>
      <w:r w:rsidRPr="00815BF9">
        <w:rPr>
          <w:rFonts w:eastAsia="Times New Roman" w:cs="Arial"/>
          <w:b/>
        </w:rPr>
        <w:t xml:space="preserve"> respondents to submit proprietary trade secrets, or other confidential information unless the agency can demonstrate that it has instituted procedures to protect the information's confidentiality to the extent permitted by law. </w:t>
      </w:r>
    </w:p>
    <w:p w:rsidR="00A13C38" w:rsidRDefault="00A13C38" w:rsidP="00A13C38">
      <w:pPr>
        <w:pStyle w:val="ListParagraph"/>
        <w:rPr>
          <w:rFonts w:eastAsia="Times New Roman" w:cs="Arial"/>
        </w:rPr>
      </w:pPr>
    </w:p>
    <w:p w:rsidR="00A13C38" w:rsidRPr="005148C0" w:rsidRDefault="00A13C38" w:rsidP="00A13C38">
      <w:pPr>
        <w:pStyle w:val="ListParagraph"/>
        <w:rPr>
          <w:rFonts w:eastAsia="Times New Roman" w:cs="Arial"/>
        </w:rPr>
      </w:pPr>
      <w:r w:rsidRPr="005148C0">
        <w:rPr>
          <w:rFonts w:eastAsia="Times New Roman" w:cs="Arial"/>
        </w:rPr>
        <w:t>Not Applicable</w:t>
      </w:r>
    </w:p>
    <w:p w:rsidR="00A13C38" w:rsidRPr="00390C6F" w:rsidRDefault="00A13C38" w:rsidP="00A13C38">
      <w:pPr>
        <w:pStyle w:val="ListParagraph"/>
        <w:rPr>
          <w:rFonts w:eastAsia="Times New Roman" w:cs="Arial"/>
        </w:rPr>
      </w:pPr>
    </w:p>
    <w:p w:rsidR="00A13C38" w:rsidRDefault="00A13C38" w:rsidP="00A13C38">
      <w:pPr>
        <w:pStyle w:val="ListParagraph"/>
        <w:numPr>
          <w:ilvl w:val="0"/>
          <w:numId w:val="2"/>
        </w:numPr>
        <w:rPr>
          <w:rFonts w:eastAsia="Times New Roman" w:cs="Arial"/>
          <w:b/>
        </w:rPr>
      </w:pPr>
      <w:r w:rsidRPr="00815BF9">
        <w:rPr>
          <w:rFonts w:eastAsia="Times New Roman" w:cs="Arial"/>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13C38" w:rsidRDefault="00A13C38" w:rsidP="00A13C38">
      <w:pPr>
        <w:pStyle w:val="ListParagraph"/>
        <w:ind w:left="360"/>
        <w:rPr>
          <w:rFonts w:eastAsia="Times New Roman" w:cs="Arial"/>
        </w:rPr>
      </w:pPr>
    </w:p>
    <w:p w:rsidR="00A13C38" w:rsidRPr="005148C0" w:rsidRDefault="00A13C38" w:rsidP="00A13C38">
      <w:pPr>
        <w:pStyle w:val="ListParagraph"/>
        <w:ind w:left="360"/>
        <w:rPr>
          <w:rFonts w:eastAsia="Times New Roman" w:cs="Arial"/>
        </w:rPr>
      </w:pPr>
      <w:r w:rsidRPr="005148C0">
        <w:rPr>
          <w:rFonts w:eastAsia="Times New Roman" w:cs="Arial"/>
        </w:rPr>
        <w:t>Not Applicable</w:t>
      </w:r>
    </w:p>
    <w:p w:rsidR="00A13C38" w:rsidRDefault="00A13C38" w:rsidP="00A13C38">
      <w:pPr>
        <w:pStyle w:val="ListParagraph"/>
        <w:ind w:left="360"/>
        <w:rPr>
          <w:rFonts w:eastAsia="Times New Roman" w:cs="Arial"/>
          <w:b/>
        </w:rPr>
      </w:pPr>
    </w:p>
    <w:p w:rsidR="00A13C38" w:rsidRPr="00815BF9" w:rsidRDefault="00A13C38" w:rsidP="00A13C38">
      <w:pPr>
        <w:pStyle w:val="ListParagraph"/>
        <w:ind w:left="360"/>
        <w:rPr>
          <w:rFonts w:eastAsia="Times New Roman" w:cs="Arial"/>
          <w:b/>
        </w:rPr>
      </w:pPr>
      <w:r w:rsidRPr="00815BF9">
        <w:rPr>
          <w:rFonts w:eastAsia="Times New Roman" w:cs="Arial"/>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A13C38" w:rsidRDefault="00A13C38" w:rsidP="00A13C38">
      <w:pPr>
        <w:pStyle w:val="ListParagraph"/>
        <w:ind w:left="360"/>
        <w:rPr>
          <w:rFonts w:eastAsia="Times New Roman" w:cs="Arial"/>
        </w:rPr>
      </w:pPr>
    </w:p>
    <w:p w:rsidR="00A13C38" w:rsidRDefault="00A13C38" w:rsidP="00A13C38">
      <w:pPr>
        <w:pStyle w:val="ListParagraph"/>
        <w:ind w:left="360"/>
        <w:rPr>
          <w:rFonts w:eastAsia="Times New Roman" w:cs="Arial"/>
        </w:rPr>
      </w:pPr>
      <w:r>
        <w:rPr>
          <w:rFonts w:eastAsia="Times New Roman" w:cs="Arial"/>
        </w:rPr>
        <w:t>The data requested correspond to utility records that grantees are required to keep. No consultations with persons outside the agency were conducted.</w:t>
      </w:r>
    </w:p>
    <w:p w:rsidR="00A13C38" w:rsidRDefault="00A13C38" w:rsidP="00A13C38">
      <w:pPr>
        <w:pStyle w:val="ListParagraph"/>
        <w:ind w:left="360"/>
        <w:rPr>
          <w:rFonts w:eastAsia="Times New Roman" w:cs="Arial"/>
        </w:rPr>
      </w:pPr>
    </w:p>
    <w:p w:rsidR="00A13C38" w:rsidRDefault="00A13C38" w:rsidP="00A13C38">
      <w:pPr>
        <w:pStyle w:val="ListParagraph"/>
        <w:ind w:left="360"/>
        <w:rPr>
          <w:rFonts w:eastAsia="Times New Roman" w:cs="Arial"/>
          <w:b/>
        </w:rPr>
      </w:pPr>
      <w:r w:rsidRPr="005148C0">
        <w:rPr>
          <w:rFonts w:eastAsia="Times New Roman" w:cs="Arial"/>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A13C38" w:rsidRDefault="00A13C38" w:rsidP="00A13C38">
      <w:pPr>
        <w:pStyle w:val="ListParagraph"/>
        <w:ind w:left="360"/>
        <w:rPr>
          <w:rFonts w:eastAsia="Times New Roman" w:cs="Arial"/>
        </w:rPr>
      </w:pPr>
    </w:p>
    <w:p w:rsidR="00A13C38" w:rsidRPr="005148C0" w:rsidRDefault="00A13C38" w:rsidP="00A13C38">
      <w:pPr>
        <w:pStyle w:val="ListParagraph"/>
        <w:ind w:left="360"/>
        <w:rPr>
          <w:rFonts w:eastAsia="Times New Roman" w:cs="Arial"/>
        </w:rPr>
      </w:pPr>
      <w:r w:rsidRPr="005148C0">
        <w:rPr>
          <w:rFonts w:eastAsia="Times New Roman" w:cs="Arial"/>
        </w:rPr>
        <w:t>Not Applicable</w:t>
      </w:r>
    </w:p>
    <w:p w:rsidR="00A13C38" w:rsidRDefault="00A13C38" w:rsidP="00A13C38">
      <w:pPr>
        <w:pStyle w:val="ListParagraph"/>
        <w:ind w:left="360"/>
        <w:rPr>
          <w:rFonts w:ascii="Arial" w:eastAsia="Times New Roman" w:hAnsi="Arial" w:cs="Arial"/>
          <w:sz w:val="20"/>
          <w:szCs w:val="20"/>
        </w:rPr>
      </w:pPr>
    </w:p>
    <w:p w:rsidR="00A13C38" w:rsidRPr="005148C0" w:rsidRDefault="00A13C38" w:rsidP="00A13C38">
      <w:pPr>
        <w:pStyle w:val="ListParagraph"/>
        <w:numPr>
          <w:ilvl w:val="0"/>
          <w:numId w:val="2"/>
        </w:numPr>
        <w:rPr>
          <w:rFonts w:eastAsia="Times New Roman" w:cs="Arial"/>
          <w:b/>
        </w:rPr>
      </w:pPr>
      <w:r w:rsidRPr="005148C0">
        <w:rPr>
          <w:rFonts w:eastAsia="Times New Roman" w:cs="Arial"/>
          <w:b/>
        </w:rPr>
        <w:t>Explain any decision to provide any payment or gift to respondents, other than re</w:t>
      </w:r>
      <w:r>
        <w:rPr>
          <w:rFonts w:eastAsia="Times New Roman" w:cs="Arial"/>
          <w:b/>
        </w:rPr>
        <w:t>m</w:t>
      </w:r>
      <w:r w:rsidRPr="005148C0">
        <w:rPr>
          <w:rFonts w:eastAsia="Times New Roman" w:cs="Arial"/>
          <w:b/>
        </w:rPr>
        <w:t xml:space="preserve">uneration of contractors or grantees. </w:t>
      </w:r>
    </w:p>
    <w:p w:rsidR="00A13C38" w:rsidRDefault="00A13C38" w:rsidP="00A13C38">
      <w:pPr>
        <w:pStyle w:val="ListParagraph"/>
        <w:ind w:left="360"/>
        <w:rPr>
          <w:rFonts w:eastAsia="Times New Roman" w:cs="Arial"/>
        </w:rPr>
      </w:pPr>
    </w:p>
    <w:p w:rsidR="00A13C38" w:rsidRPr="005148C0" w:rsidRDefault="00A13C38" w:rsidP="00A13C38">
      <w:pPr>
        <w:pStyle w:val="ListParagraph"/>
        <w:ind w:left="360"/>
        <w:rPr>
          <w:rFonts w:eastAsia="Times New Roman" w:cs="Arial"/>
        </w:rPr>
      </w:pPr>
      <w:r w:rsidRPr="005148C0">
        <w:rPr>
          <w:rFonts w:eastAsia="Times New Roman" w:cs="Arial"/>
        </w:rPr>
        <w:t>Not Applicable</w:t>
      </w:r>
    </w:p>
    <w:p w:rsidR="00A13C38" w:rsidRDefault="00A13C38" w:rsidP="00A13C38">
      <w:pPr>
        <w:pStyle w:val="ListParagraph"/>
        <w:ind w:left="360"/>
        <w:rPr>
          <w:rFonts w:ascii="Arial" w:eastAsia="Times New Roman" w:hAnsi="Arial" w:cs="Arial"/>
          <w:sz w:val="20"/>
          <w:szCs w:val="20"/>
        </w:rPr>
      </w:pPr>
    </w:p>
    <w:p w:rsidR="00A13C38" w:rsidRDefault="00A13C38" w:rsidP="00A13C38">
      <w:pPr>
        <w:pStyle w:val="ListParagraph"/>
        <w:numPr>
          <w:ilvl w:val="0"/>
          <w:numId w:val="2"/>
        </w:numPr>
        <w:rPr>
          <w:rFonts w:eastAsia="Times New Roman" w:cs="Arial"/>
          <w:b/>
        </w:rPr>
      </w:pPr>
      <w:r w:rsidRPr="005148C0">
        <w:rPr>
          <w:rFonts w:eastAsia="Times New Roman" w:cs="Arial"/>
          <w:b/>
        </w:rPr>
        <w:t xml:space="preserve">Describe any assurance of confidentiality provided to respondents and the basis for the assurance in statute, regulation, or agency policy. </w:t>
      </w:r>
    </w:p>
    <w:p w:rsidR="00A13C38" w:rsidRDefault="00A13C38" w:rsidP="00A13C38">
      <w:pPr>
        <w:pStyle w:val="ListParagraph"/>
        <w:ind w:left="360"/>
        <w:rPr>
          <w:rFonts w:eastAsia="Times New Roman" w:cs="Arial"/>
        </w:rPr>
      </w:pPr>
    </w:p>
    <w:p w:rsidR="00A13C38" w:rsidRPr="005148C0" w:rsidRDefault="00A13C38" w:rsidP="00A13C38">
      <w:pPr>
        <w:pStyle w:val="ListParagraph"/>
        <w:ind w:left="360"/>
        <w:rPr>
          <w:rFonts w:eastAsia="Times New Roman" w:cs="Arial"/>
        </w:rPr>
      </w:pPr>
      <w:r w:rsidRPr="005148C0">
        <w:rPr>
          <w:rFonts w:eastAsia="Times New Roman" w:cs="Arial"/>
        </w:rPr>
        <w:t>Not Applicable</w:t>
      </w:r>
    </w:p>
    <w:p w:rsidR="00A13C38" w:rsidRPr="00000625" w:rsidRDefault="00A13C38" w:rsidP="00A13C38">
      <w:pPr>
        <w:pStyle w:val="ListParagraph"/>
        <w:ind w:left="360"/>
        <w:rPr>
          <w:rFonts w:eastAsia="Times New Roman" w:cs="Arial"/>
        </w:rPr>
      </w:pPr>
    </w:p>
    <w:p w:rsidR="00A13C38" w:rsidRDefault="00A13C38" w:rsidP="00A13C38">
      <w:pPr>
        <w:pStyle w:val="ListParagraph"/>
        <w:numPr>
          <w:ilvl w:val="0"/>
          <w:numId w:val="2"/>
        </w:numPr>
        <w:rPr>
          <w:rFonts w:eastAsia="Times New Roman" w:cs="Arial"/>
          <w:b/>
        </w:rPr>
      </w:pPr>
      <w:r w:rsidRPr="005148C0">
        <w:rPr>
          <w:rFonts w:eastAsia="Times New Roman" w:cs="Arial"/>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13C38" w:rsidRDefault="00A13C38" w:rsidP="00A13C38">
      <w:pPr>
        <w:pStyle w:val="ListParagraph"/>
        <w:ind w:left="360"/>
        <w:rPr>
          <w:rFonts w:eastAsia="Times New Roman" w:cs="Arial"/>
        </w:rPr>
      </w:pPr>
    </w:p>
    <w:p w:rsidR="00A13C38" w:rsidRPr="003006AB" w:rsidRDefault="00A13C38" w:rsidP="00A13C38">
      <w:pPr>
        <w:pStyle w:val="ListParagraph"/>
        <w:ind w:left="360"/>
        <w:rPr>
          <w:rFonts w:eastAsia="Times New Roman" w:cs="Arial"/>
          <w:b/>
        </w:rPr>
      </w:pPr>
      <w:r w:rsidRPr="003006AB">
        <w:rPr>
          <w:rFonts w:eastAsia="Times New Roman" w:cs="Arial"/>
        </w:rPr>
        <w:t>Not Applicable. No questions of this nature will be asked.</w:t>
      </w:r>
    </w:p>
    <w:p w:rsidR="00A13C38" w:rsidRPr="003006AB" w:rsidRDefault="00A13C38" w:rsidP="00A13C38">
      <w:pPr>
        <w:pStyle w:val="ListParagraph"/>
        <w:ind w:left="360"/>
        <w:rPr>
          <w:rFonts w:eastAsia="Times New Roman" w:cs="Arial"/>
        </w:rPr>
      </w:pPr>
    </w:p>
    <w:p w:rsidR="00A13C38" w:rsidRPr="003006AB" w:rsidRDefault="00A13C38" w:rsidP="00A13C38">
      <w:pPr>
        <w:pStyle w:val="ListParagraph"/>
        <w:numPr>
          <w:ilvl w:val="0"/>
          <w:numId w:val="2"/>
        </w:numPr>
        <w:rPr>
          <w:rFonts w:eastAsia="Times New Roman" w:cs="Arial"/>
          <w:b/>
        </w:rPr>
      </w:pPr>
      <w:r w:rsidRPr="003006AB">
        <w:rPr>
          <w:rFonts w:eastAsia="Times New Roman" w:cs="Arial"/>
          <w:b/>
        </w:rPr>
        <w:t xml:space="preserve">Provide estimates of the hour burden of the collection of information. The statement should: </w:t>
      </w:r>
    </w:p>
    <w:p w:rsidR="00A13C38" w:rsidRPr="005148C0" w:rsidRDefault="00A13C38" w:rsidP="00A13C38">
      <w:pPr>
        <w:pStyle w:val="ListParagraph"/>
        <w:rPr>
          <w:rFonts w:eastAsia="Times New Roman" w:cs="Arial"/>
          <w:b/>
        </w:rPr>
      </w:pPr>
    </w:p>
    <w:p w:rsidR="00A13C38" w:rsidRDefault="00A13C38" w:rsidP="00A13C38">
      <w:pPr>
        <w:pStyle w:val="ListParagraph"/>
        <w:numPr>
          <w:ilvl w:val="0"/>
          <w:numId w:val="3"/>
        </w:numPr>
        <w:rPr>
          <w:rFonts w:eastAsia="Times New Roman" w:cs="Arial"/>
          <w:b/>
        </w:rPr>
      </w:pPr>
      <w:r w:rsidRPr="005148C0">
        <w:rPr>
          <w:rFonts w:eastAsia="Times New Roman"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A13C38" w:rsidRDefault="00A13C38" w:rsidP="00A13C38">
      <w:pPr>
        <w:pStyle w:val="ListParagraph"/>
        <w:rPr>
          <w:rFonts w:eastAsia="Times New Roman" w:cs="Arial"/>
        </w:rPr>
      </w:pPr>
    </w:p>
    <w:p w:rsidR="00A13C38" w:rsidRPr="002B26B7" w:rsidRDefault="00A13C38" w:rsidP="00A13C38">
      <w:pPr>
        <w:pStyle w:val="ListParagraph"/>
        <w:rPr>
          <w:rFonts w:eastAsia="Times New Roman" w:cs="Arial"/>
        </w:rPr>
      </w:pPr>
      <w:r w:rsidRPr="002B26B7">
        <w:rPr>
          <w:rFonts w:eastAsia="Times New Roman" w:cs="Arial"/>
        </w:rPr>
        <w:t>See table below</w:t>
      </w:r>
    </w:p>
    <w:p w:rsidR="00A13C38" w:rsidRPr="005148C0" w:rsidRDefault="00A13C38" w:rsidP="00A13C38">
      <w:pPr>
        <w:pStyle w:val="ListParagraph"/>
        <w:rPr>
          <w:rFonts w:eastAsia="Times New Roman" w:cs="Arial"/>
          <w:b/>
        </w:rPr>
      </w:pPr>
    </w:p>
    <w:p w:rsidR="00A13C38" w:rsidRDefault="00A13C38" w:rsidP="00A13C38">
      <w:pPr>
        <w:pStyle w:val="ListParagraph"/>
        <w:numPr>
          <w:ilvl w:val="0"/>
          <w:numId w:val="3"/>
        </w:numPr>
        <w:rPr>
          <w:rFonts w:eastAsia="Times New Roman" w:cs="Arial"/>
          <w:b/>
        </w:rPr>
      </w:pPr>
      <w:r w:rsidRPr="005148C0">
        <w:rPr>
          <w:rFonts w:eastAsia="Times New Roman" w:cs="Arial"/>
          <w:b/>
        </w:rPr>
        <w:t xml:space="preserve">If this request for approval covers more than one form, provide separate hour burden estimates for each form and aggregate the hour burdens in Item 13 of OMB Form 83-I. </w:t>
      </w:r>
    </w:p>
    <w:p w:rsidR="00A13C38" w:rsidRDefault="00A13C38" w:rsidP="00A13C38">
      <w:pPr>
        <w:pStyle w:val="ListParagraph"/>
        <w:rPr>
          <w:rFonts w:eastAsia="Times New Roman" w:cs="Arial"/>
        </w:rPr>
      </w:pPr>
    </w:p>
    <w:p w:rsidR="00A13C38" w:rsidRPr="002B26B7" w:rsidRDefault="00A13C38" w:rsidP="00A13C38">
      <w:pPr>
        <w:pStyle w:val="ListParagraph"/>
        <w:rPr>
          <w:rFonts w:eastAsia="Times New Roman" w:cs="Arial"/>
        </w:rPr>
      </w:pPr>
      <w:r w:rsidRPr="006B4DFA">
        <w:rPr>
          <w:rFonts w:eastAsia="Times New Roman" w:cs="Arial"/>
        </w:rPr>
        <w:t>Each PHA will be required to fill out only one survey form for each AMP in which retrofit was conducted.</w:t>
      </w:r>
    </w:p>
    <w:p w:rsidR="00A13C38" w:rsidRPr="005148C0" w:rsidRDefault="00A13C38" w:rsidP="00A13C38">
      <w:pPr>
        <w:pStyle w:val="ListParagraph"/>
        <w:rPr>
          <w:rFonts w:eastAsia="Times New Roman" w:cs="Arial"/>
          <w:b/>
        </w:rPr>
      </w:pPr>
    </w:p>
    <w:p w:rsidR="00A13C38" w:rsidRDefault="00A13C38" w:rsidP="00A13C38">
      <w:pPr>
        <w:pStyle w:val="ListParagraph"/>
        <w:numPr>
          <w:ilvl w:val="0"/>
          <w:numId w:val="3"/>
        </w:numPr>
        <w:rPr>
          <w:rFonts w:eastAsia="Times New Roman" w:cs="Arial"/>
          <w:b/>
        </w:rPr>
      </w:pPr>
      <w:r w:rsidRPr="005148C0">
        <w:rPr>
          <w:rFonts w:eastAsia="Times New Roman"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A13C38" w:rsidRDefault="00A13C38" w:rsidP="00A13C38">
      <w:pPr>
        <w:pStyle w:val="ListParagraph"/>
        <w:rPr>
          <w:rFonts w:eastAsia="Times New Roman" w:cs="Arial"/>
          <w:b/>
        </w:rPr>
      </w:pPr>
    </w:p>
    <w:p w:rsidR="00A13C38" w:rsidRDefault="00A13C38" w:rsidP="00A13C38">
      <w:pPr>
        <w:pStyle w:val="ListParagraph"/>
        <w:rPr>
          <w:rFonts w:eastAsia="Times New Roman" w:cs="Arial"/>
        </w:rPr>
      </w:pPr>
      <w:r w:rsidRPr="005148C0">
        <w:rPr>
          <w:rFonts w:eastAsia="Times New Roman" w:cs="Arial"/>
        </w:rPr>
        <w:t>Because</w:t>
      </w:r>
      <w:r>
        <w:rPr>
          <w:rFonts w:eastAsia="Times New Roman" w:cs="Arial"/>
        </w:rPr>
        <w:t xml:space="preserve"> this is a one-time data collection, the annualized costs are the same as the costs displayed below.</w:t>
      </w:r>
    </w:p>
    <w:p w:rsidR="00A13C38" w:rsidRDefault="00A13C38" w:rsidP="00A13C38">
      <w:pPr>
        <w:pStyle w:val="ListParagraph"/>
        <w:rPr>
          <w:rFonts w:eastAsia="Times New Roman" w:cs="Arial"/>
        </w:rPr>
      </w:pPr>
    </w:p>
    <w:p w:rsidR="00A13C38" w:rsidRPr="004F032E" w:rsidRDefault="00A13C38" w:rsidP="00A13C38">
      <w:pPr>
        <w:pStyle w:val="ListParagraph"/>
        <w:spacing w:after="0" w:line="276" w:lineRule="auto"/>
        <w:ind w:left="360"/>
        <w:rPr>
          <w:b/>
        </w:rPr>
      </w:pPr>
      <w:r w:rsidRPr="004F032E">
        <w:rPr>
          <w:b/>
        </w:rPr>
        <w:t xml:space="preserve">Table </w:t>
      </w:r>
      <w:r>
        <w:rPr>
          <w:b/>
        </w:rPr>
        <w:t>2</w:t>
      </w:r>
      <w:r w:rsidRPr="004F032E">
        <w:rPr>
          <w:b/>
        </w:rPr>
        <w:t>: Burden Estimates for Green Energy Retrofit Assessment Data Collection Efforts</w:t>
      </w:r>
    </w:p>
    <w:tbl>
      <w:tblPr>
        <w:tblStyle w:val="TableGrid"/>
        <w:tblW w:w="0" w:type="auto"/>
        <w:tblLayout w:type="fixed"/>
        <w:tblLook w:val="04A0" w:firstRow="1" w:lastRow="0" w:firstColumn="1" w:lastColumn="0" w:noHBand="0" w:noVBand="1"/>
      </w:tblPr>
      <w:tblGrid>
        <w:gridCol w:w="1548"/>
        <w:gridCol w:w="1440"/>
        <w:gridCol w:w="1350"/>
        <w:gridCol w:w="1800"/>
        <w:gridCol w:w="1620"/>
        <w:gridCol w:w="1818"/>
      </w:tblGrid>
      <w:tr w:rsidR="00A13C38" w:rsidRPr="00775019" w:rsidTr="00640380">
        <w:trPr>
          <w:trHeight w:val="20"/>
        </w:trPr>
        <w:tc>
          <w:tcPr>
            <w:tcW w:w="1548" w:type="dxa"/>
            <w:vAlign w:val="center"/>
          </w:tcPr>
          <w:p w:rsidR="00A13C38" w:rsidRPr="00775019" w:rsidRDefault="00A13C38" w:rsidP="00640380">
            <w:pPr>
              <w:jc w:val="center"/>
              <w:rPr>
                <w:b/>
              </w:rPr>
            </w:pPr>
            <w:r w:rsidRPr="00775019">
              <w:rPr>
                <w:b/>
              </w:rPr>
              <w:t>Respondents</w:t>
            </w:r>
          </w:p>
        </w:tc>
        <w:tc>
          <w:tcPr>
            <w:tcW w:w="1440" w:type="dxa"/>
            <w:vAlign w:val="center"/>
          </w:tcPr>
          <w:p w:rsidR="00A13C38" w:rsidRPr="00775019" w:rsidRDefault="00A13C38" w:rsidP="00640380">
            <w:pPr>
              <w:jc w:val="center"/>
              <w:rPr>
                <w:b/>
              </w:rPr>
            </w:pPr>
            <w:r w:rsidRPr="00775019">
              <w:rPr>
                <w:b/>
              </w:rPr>
              <w:t>Number of Responses/</w:t>
            </w:r>
            <w:r>
              <w:rPr>
                <w:b/>
              </w:rPr>
              <w:t xml:space="preserve"> </w:t>
            </w:r>
            <w:r w:rsidRPr="00775019">
              <w:rPr>
                <w:b/>
              </w:rPr>
              <w:t>Instances of Collection</w:t>
            </w:r>
          </w:p>
        </w:tc>
        <w:tc>
          <w:tcPr>
            <w:tcW w:w="1350" w:type="dxa"/>
            <w:vAlign w:val="center"/>
          </w:tcPr>
          <w:p w:rsidR="00A13C38" w:rsidRPr="00775019" w:rsidRDefault="00A13C38" w:rsidP="00640380">
            <w:pPr>
              <w:jc w:val="center"/>
              <w:rPr>
                <w:b/>
              </w:rPr>
            </w:pPr>
            <w:r w:rsidRPr="00775019">
              <w:rPr>
                <w:b/>
              </w:rPr>
              <w:t>Frequency of Collection</w:t>
            </w:r>
          </w:p>
        </w:tc>
        <w:tc>
          <w:tcPr>
            <w:tcW w:w="1800" w:type="dxa"/>
            <w:vAlign w:val="center"/>
          </w:tcPr>
          <w:p w:rsidR="00A13C38" w:rsidRDefault="00A13C38" w:rsidP="00640380">
            <w:pPr>
              <w:jc w:val="center"/>
              <w:rPr>
                <w:b/>
              </w:rPr>
            </w:pPr>
            <w:r w:rsidRPr="00775019">
              <w:rPr>
                <w:b/>
              </w:rPr>
              <w:t>Average Time per Response</w:t>
            </w:r>
          </w:p>
          <w:p w:rsidR="00A13C38" w:rsidRPr="00775019" w:rsidRDefault="00A13C38" w:rsidP="00640380">
            <w:pPr>
              <w:jc w:val="center"/>
              <w:rPr>
                <w:b/>
              </w:rPr>
            </w:pPr>
            <w:r>
              <w:rPr>
                <w:b/>
              </w:rPr>
              <w:t>(Hours/AMP)</w:t>
            </w:r>
          </w:p>
        </w:tc>
        <w:tc>
          <w:tcPr>
            <w:tcW w:w="1620" w:type="dxa"/>
            <w:vAlign w:val="center"/>
          </w:tcPr>
          <w:p w:rsidR="00A13C38" w:rsidRPr="00775019" w:rsidRDefault="00A13C38" w:rsidP="00640380">
            <w:pPr>
              <w:jc w:val="center"/>
              <w:rPr>
                <w:b/>
              </w:rPr>
            </w:pPr>
            <w:r w:rsidRPr="00775019">
              <w:rPr>
                <w:b/>
              </w:rPr>
              <w:t>Burden (Hours)</w:t>
            </w:r>
          </w:p>
        </w:tc>
        <w:tc>
          <w:tcPr>
            <w:tcW w:w="1818" w:type="dxa"/>
            <w:vAlign w:val="center"/>
          </w:tcPr>
          <w:p w:rsidR="00A13C38" w:rsidRDefault="00A13C38" w:rsidP="00640380">
            <w:pPr>
              <w:jc w:val="center"/>
              <w:rPr>
                <w:b/>
              </w:rPr>
            </w:pPr>
            <w:r w:rsidRPr="00775019">
              <w:rPr>
                <w:b/>
              </w:rPr>
              <w:t>Burden Cost</w:t>
            </w:r>
          </w:p>
          <w:p w:rsidR="00A13C38" w:rsidRPr="00775019" w:rsidRDefault="00A13C38" w:rsidP="00640380">
            <w:pPr>
              <w:jc w:val="center"/>
              <w:rPr>
                <w:b/>
              </w:rPr>
            </w:pPr>
            <w:r>
              <w:rPr>
                <w:b/>
              </w:rPr>
              <w:t>(US$)</w:t>
            </w:r>
          </w:p>
        </w:tc>
      </w:tr>
      <w:tr w:rsidR="00A13C38" w:rsidTr="00640380">
        <w:trPr>
          <w:trHeight w:val="20"/>
        </w:trPr>
        <w:tc>
          <w:tcPr>
            <w:tcW w:w="1548" w:type="dxa"/>
            <w:vAlign w:val="center"/>
          </w:tcPr>
          <w:p w:rsidR="00A13C38" w:rsidRDefault="00A13C38" w:rsidP="00640380">
            <w:pPr>
              <w:jc w:val="center"/>
            </w:pPr>
            <w:r>
              <w:lastRenderedPageBreak/>
              <w:t>127</w:t>
            </w:r>
          </w:p>
          <w:p w:rsidR="00A13C38" w:rsidRDefault="00A13C38" w:rsidP="00640380">
            <w:pPr>
              <w:jc w:val="center"/>
            </w:pPr>
            <w:r>
              <w:t>(one respondent per PHA)</w:t>
            </w:r>
          </w:p>
        </w:tc>
        <w:tc>
          <w:tcPr>
            <w:tcW w:w="1440" w:type="dxa"/>
            <w:vAlign w:val="center"/>
          </w:tcPr>
          <w:p w:rsidR="00A13C38" w:rsidRDefault="00A13C38" w:rsidP="00640380">
            <w:pPr>
              <w:jc w:val="center"/>
            </w:pPr>
            <w:r>
              <w:t>229 responses (one response per AMP)</w:t>
            </w:r>
          </w:p>
        </w:tc>
        <w:tc>
          <w:tcPr>
            <w:tcW w:w="1350" w:type="dxa"/>
            <w:vAlign w:val="center"/>
          </w:tcPr>
          <w:p w:rsidR="00A13C38" w:rsidRDefault="00A13C38" w:rsidP="00640380">
            <w:pPr>
              <w:jc w:val="center"/>
            </w:pPr>
            <w:r>
              <w:t>One time</w:t>
            </w:r>
          </w:p>
        </w:tc>
        <w:tc>
          <w:tcPr>
            <w:tcW w:w="1800" w:type="dxa"/>
            <w:vAlign w:val="center"/>
          </w:tcPr>
          <w:p w:rsidR="00A13C38" w:rsidRDefault="00A13C38" w:rsidP="00640380">
            <w:pPr>
              <w:jc w:val="center"/>
            </w:pPr>
            <w:r>
              <w:t xml:space="preserve">0.5 </w:t>
            </w:r>
            <w:proofErr w:type="spellStart"/>
            <w:r>
              <w:t>hrs</w:t>
            </w:r>
            <w:proofErr w:type="spellEnd"/>
            <w:r>
              <w:t xml:space="preserve">/utility * 2 utilities/AMP </w:t>
            </w:r>
            <w:r w:rsidRPr="00221A63">
              <w:rPr>
                <w:b/>
              </w:rPr>
              <w:t xml:space="preserve">=1 </w:t>
            </w:r>
            <w:proofErr w:type="spellStart"/>
            <w:r w:rsidRPr="00221A63">
              <w:rPr>
                <w:b/>
              </w:rPr>
              <w:t>hr</w:t>
            </w:r>
            <w:proofErr w:type="spellEnd"/>
            <w:r w:rsidRPr="00221A63">
              <w:rPr>
                <w:b/>
              </w:rPr>
              <w:t>/AMP</w:t>
            </w:r>
          </w:p>
        </w:tc>
        <w:tc>
          <w:tcPr>
            <w:tcW w:w="1620" w:type="dxa"/>
            <w:vAlign w:val="center"/>
          </w:tcPr>
          <w:p w:rsidR="00A13C38" w:rsidRDefault="00A13C38" w:rsidP="00640380">
            <w:pPr>
              <w:jc w:val="center"/>
            </w:pPr>
            <w:r>
              <w:t>1hr/AMP * 229 AMPs=</w:t>
            </w:r>
          </w:p>
          <w:p w:rsidR="00A13C38" w:rsidRPr="00221A63" w:rsidRDefault="00A13C38" w:rsidP="00640380">
            <w:pPr>
              <w:jc w:val="center"/>
              <w:rPr>
                <w:b/>
              </w:rPr>
            </w:pPr>
            <w:r w:rsidRPr="00221A63">
              <w:rPr>
                <w:b/>
              </w:rPr>
              <w:t>22</w:t>
            </w:r>
            <w:r>
              <w:rPr>
                <w:b/>
              </w:rPr>
              <w:t>9</w:t>
            </w:r>
            <w:r w:rsidRPr="00221A63">
              <w:rPr>
                <w:b/>
              </w:rPr>
              <w:t xml:space="preserve"> </w:t>
            </w:r>
            <w:proofErr w:type="spellStart"/>
            <w:r w:rsidRPr="00221A63">
              <w:rPr>
                <w:b/>
              </w:rPr>
              <w:t>hrs</w:t>
            </w:r>
            <w:proofErr w:type="spellEnd"/>
          </w:p>
        </w:tc>
        <w:tc>
          <w:tcPr>
            <w:tcW w:w="1818" w:type="dxa"/>
            <w:vAlign w:val="center"/>
          </w:tcPr>
          <w:p w:rsidR="00A13C38" w:rsidRDefault="00A13C38" w:rsidP="00640380">
            <w:pPr>
              <w:jc w:val="center"/>
            </w:pPr>
            <w:r w:rsidRPr="00581A29">
              <w:t>22</w:t>
            </w:r>
            <w:r>
              <w:t>9</w:t>
            </w:r>
            <w:r w:rsidRPr="00581A29">
              <w:t xml:space="preserve"> </w:t>
            </w:r>
            <w:proofErr w:type="spellStart"/>
            <w:r w:rsidRPr="00581A29">
              <w:t>hrs</w:t>
            </w:r>
            <w:proofErr w:type="spellEnd"/>
            <w:r w:rsidRPr="00581A29">
              <w:t>*$31/</w:t>
            </w:r>
            <w:proofErr w:type="spellStart"/>
            <w:r w:rsidRPr="00581A29">
              <w:t>hr</w:t>
            </w:r>
            <w:proofErr w:type="spellEnd"/>
            <w:r w:rsidRPr="00581A29">
              <w:t xml:space="preserve"> </w:t>
            </w:r>
            <w:r w:rsidRPr="00581A29">
              <w:rPr>
                <w:b/>
              </w:rPr>
              <w:t>=$</w:t>
            </w:r>
            <w:r>
              <w:rPr>
                <w:b/>
              </w:rPr>
              <w:t>7,099</w:t>
            </w:r>
          </w:p>
        </w:tc>
      </w:tr>
    </w:tbl>
    <w:p w:rsidR="00A13C38" w:rsidRDefault="00A13C38" w:rsidP="00A13C38">
      <w:pPr>
        <w:pStyle w:val="ListParagraph"/>
        <w:ind w:left="360"/>
        <w:rPr>
          <w:rFonts w:eastAsia="Times New Roman" w:cs="Arial"/>
        </w:rPr>
      </w:pPr>
    </w:p>
    <w:p w:rsidR="00A13C38" w:rsidRDefault="00A13C38" w:rsidP="00A13C38">
      <w:pPr>
        <w:pStyle w:val="ListParagraph"/>
        <w:ind w:left="360"/>
        <w:rPr>
          <w:rFonts w:eastAsia="Times New Roman" w:cs="Arial"/>
        </w:rPr>
      </w:pPr>
      <w:r>
        <w:rPr>
          <w:rFonts w:eastAsia="Times New Roman" w:cs="Arial"/>
        </w:rPr>
        <w:t>Assumptions used to build burden estimates:</w:t>
      </w:r>
    </w:p>
    <w:p w:rsidR="00A13C38" w:rsidRDefault="00A13C38" w:rsidP="00A13C38">
      <w:pPr>
        <w:pStyle w:val="ListParagraph"/>
        <w:numPr>
          <w:ilvl w:val="0"/>
          <w:numId w:val="15"/>
        </w:numPr>
        <w:rPr>
          <w:rFonts w:eastAsia="Times New Roman" w:cs="Arial"/>
        </w:rPr>
      </w:pPr>
      <w:r>
        <w:rPr>
          <w:rFonts w:eastAsia="Times New Roman" w:cs="Arial"/>
        </w:rPr>
        <w:t xml:space="preserve">One respondent per each PHA </w:t>
      </w:r>
      <w:proofErr w:type="gramStart"/>
      <w:r>
        <w:rPr>
          <w:rFonts w:eastAsia="Times New Roman" w:cs="Arial"/>
        </w:rPr>
        <w:t>whose</w:t>
      </w:r>
      <w:proofErr w:type="gramEnd"/>
      <w:r>
        <w:rPr>
          <w:rFonts w:eastAsia="Times New Roman" w:cs="Arial"/>
        </w:rPr>
        <w:t xml:space="preserve"> AMPs received Category 4, Option 2 grants. That is, a total of 127 respondents</w:t>
      </w:r>
    </w:p>
    <w:p w:rsidR="00A13C38" w:rsidRDefault="00A13C38" w:rsidP="00A13C38">
      <w:pPr>
        <w:pStyle w:val="ListParagraph"/>
        <w:numPr>
          <w:ilvl w:val="0"/>
          <w:numId w:val="15"/>
        </w:numPr>
        <w:rPr>
          <w:rFonts w:eastAsia="Times New Roman" w:cs="Arial"/>
        </w:rPr>
      </w:pPr>
      <w:r>
        <w:rPr>
          <w:rFonts w:eastAsia="Times New Roman" w:cs="Arial"/>
        </w:rPr>
        <w:t>One response per AMP. Because each PHA may have more than one AMP receiving competitive grants, this amounts to 229 responses.</w:t>
      </w:r>
    </w:p>
    <w:p w:rsidR="00A13C38" w:rsidRDefault="00A13C38" w:rsidP="00A13C38">
      <w:pPr>
        <w:pStyle w:val="ListParagraph"/>
        <w:numPr>
          <w:ilvl w:val="0"/>
          <w:numId w:val="15"/>
        </w:numPr>
        <w:rPr>
          <w:rFonts w:eastAsia="Times New Roman" w:cs="Arial"/>
        </w:rPr>
      </w:pPr>
      <w:r>
        <w:rPr>
          <w:rFonts w:eastAsia="Times New Roman" w:cs="Arial"/>
        </w:rPr>
        <w:t>This is a one-time data collection</w:t>
      </w:r>
    </w:p>
    <w:p w:rsidR="00A13C38" w:rsidRDefault="00A13C38" w:rsidP="00A13C38">
      <w:pPr>
        <w:pStyle w:val="ListParagraph"/>
        <w:numPr>
          <w:ilvl w:val="0"/>
          <w:numId w:val="15"/>
        </w:numPr>
        <w:rPr>
          <w:rFonts w:eastAsia="Times New Roman" w:cs="Arial"/>
        </w:rPr>
      </w:pPr>
      <w:r>
        <w:rPr>
          <w:rFonts w:eastAsia="Times New Roman" w:cs="Arial"/>
        </w:rPr>
        <w:t>Because AMPs should already have all the required information, it was estimated that filling the information for one utility should not take longer than 0.5 hours</w:t>
      </w:r>
    </w:p>
    <w:p w:rsidR="00A13C38" w:rsidRDefault="00A13C38" w:rsidP="00A13C38">
      <w:pPr>
        <w:pStyle w:val="ListParagraph"/>
        <w:numPr>
          <w:ilvl w:val="0"/>
          <w:numId w:val="15"/>
        </w:numPr>
        <w:rPr>
          <w:rFonts w:eastAsia="Times New Roman" w:cs="Arial"/>
        </w:rPr>
      </w:pPr>
      <w:r>
        <w:rPr>
          <w:rFonts w:eastAsia="Times New Roman" w:cs="Arial"/>
        </w:rPr>
        <w:t>It was estimated that, on average, AMPs will have 2 utility bills (electricity and natural gas or fuel oil). Thus providing all the information required for a given AMP is not expected to take more than one hour.</w:t>
      </w:r>
    </w:p>
    <w:p w:rsidR="00A13C38" w:rsidRDefault="00A13C38" w:rsidP="00A13C38">
      <w:pPr>
        <w:pStyle w:val="ListParagraph"/>
        <w:numPr>
          <w:ilvl w:val="0"/>
          <w:numId w:val="15"/>
        </w:numPr>
        <w:rPr>
          <w:rFonts w:eastAsia="Times New Roman" w:cs="Arial"/>
        </w:rPr>
      </w:pPr>
      <w:r>
        <w:rPr>
          <w:rFonts w:eastAsia="Times New Roman" w:cs="Arial"/>
        </w:rPr>
        <w:t xml:space="preserve">229 respondents at one hour per respondent leads to a total expected </w:t>
      </w:r>
      <w:proofErr w:type="gramStart"/>
      <w:r>
        <w:rPr>
          <w:rFonts w:eastAsia="Times New Roman" w:cs="Arial"/>
        </w:rPr>
        <w:t>hours</w:t>
      </w:r>
      <w:proofErr w:type="gramEnd"/>
      <w:r>
        <w:rPr>
          <w:rFonts w:eastAsia="Times New Roman" w:cs="Arial"/>
        </w:rPr>
        <w:t xml:space="preserve"> burden of 229 hours.</w:t>
      </w:r>
    </w:p>
    <w:p w:rsidR="00A13C38" w:rsidRDefault="00A13C38" w:rsidP="00A13C38">
      <w:pPr>
        <w:pStyle w:val="ListParagraph"/>
        <w:numPr>
          <w:ilvl w:val="0"/>
          <w:numId w:val="15"/>
        </w:numPr>
        <w:rPr>
          <w:rFonts w:eastAsia="Times New Roman" w:cs="Arial"/>
        </w:rPr>
      </w:pPr>
      <w:r>
        <w:rPr>
          <w:rFonts w:eastAsia="Times New Roman" w:cs="Arial"/>
        </w:rPr>
        <w:t xml:space="preserve">The burden monetary cost is estimated as the average hourly rate of the respondent times the total burden in number of hours. This table assumes an hourly rate of </w:t>
      </w:r>
      <w:r w:rsidRPr="00581A29">
        <w:rPr>
          <w:rFonts w:eastAsia="Times New Roman" w:cs="Arial"/>
        </w:rPr>
        <w:t>$31/hour</w:t>
      </w:r>
      <w:r>
        <w:rPr>
          <w:rFonts w:eastAsia="Times New Roman" w:cs="Arial"/>
        </w:rPr>
        <w:t xml:space="preserve"> for public housing managers.</w:t>
      </w:r>
      <w:r>
        <w:rPr>
          <w:rStyle w:val="FootnoteReference"/>
          <w:rFonts w:eastAsia="Times New Roman" w:cs="Arial"/>
        </w:rPr>
        <w:footnoteReference w:id="3"/>
      </w:r>
    </w:p>
    <w:p w:rsidR="00A13C38" w:rsidRPr="005148C0" w:rsidRDefault="00A13C38" w:rsidP="00A13C38">
      <w:pPr>
        <w:pStyle w:val="ListParagraph"/>
        <w:rPr>
          <w:rFonts w:eastAsia="Times New Roman" w:cs="Arial"/>
        </w:rPr>
      </w:pPr>
    </w:p>
    <w:p w:rsidR="00A13C38" w:rsidRPr="005148C0" w:rsidRDefault="00A13C38" w:rsidP="00A13C38">
      <w:pPr>
        <w:pStyle w:val="ListParagraph"/>
        <w:numPr>
          <w:ilvl w:val="0"/>
          <w:numId w:val="2"/>
        </w:numPr>
        <w:rPr>
          <w:rFonts w:eastAsia="Times New Roman" w:cs="Arial"/>
          <w:b/>
        </w:rPr>
      </w:pPr>
      <w:r w:rsidRPr="005148C0">
        <w:rPr>
          <w:rFonts w:eastAsia="Times New Roman" w:cs="Arial"/>
          <w:b/>
        </w:rPr>
        <w:t>Provide an estimate for the total annual cost burden to respondents or record keepers resulting from the collection of information. (Do not include the cost of any hour burden shown in Items 12 and 14).</w:t>
      </w:r>
    </w:p>
    <w:p w:rsidR="00A13C38" w:rsidRPr="005148C0" w:rsidRDefault="00A13C38" w:rsidP="00A13C38">
      <w:pPr>
        <w:pStyle w:val="ListParagraph"/>
        <w:rPr>
          <w:rFonts w:eastAsia="Times New Roman" w:cs="Arial"/>
          <w:b/>
        </w:rPr>
      </w:pPr>
    </w:p>
    <w:p w:rsidR="00A13C38" w:rsidRPr="005148C0" w:rsidRDefault="00A13C38" w:rsidP="00A13C38">
      <w:pPr>
        <w:pStyle w:val="ListParagraph"/>
        <w:numPr>
          <w:ilvl w:val="0"/>
          <w:numId w:val="3"/>
        </w:numPr>
        <w:rPr>
          <w:rFonts w:eastAsia="Times New Roman" w:cs="Arial"/>
          <w:b/>
        </w:rPr>
      </w:pPr>
      <w:r w:rsidRPr="005148C0">
        <w:rPr>
          <w:rFonts w:eastAsia="Times New Roman" w:cs="Arial"/>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A13C38" w:rsidRDefault="00A13C38" w:rsidP="00A13C38">
      <w:pPr>
        <w:pStyle w:val="ListParagraph"/>
        <w:rPr>
          <w:rFonts w:eastAsia="Times New Roman" w:cs="Arial"/>
        </w:rPr>
      </w:pPr>
    </w:p>
    <w:p w:rsidR="00A13C38" w:rsidRPr="005148C0" w:rsidRDefault="00A13C38" w:rsidP="00A13C38">
      <w:pPr>
        <w:pStyle w:val="ListParagraph"/>
        <w:rPr>
          <w:rFonts w:eastAsia="Times New Roman" w:cs="Arial"/>
        </w:rPr>
      </w:pPr>
      <w:r w:rsidRPr="005148C0">
        <w:rPr>
          <w:rFonts w:eastAsia="Times New Roman" w:cs="Arial"/>
        </w:rPr>
        <w:t>None</w:t>
      </w:r>
      <w:r>
        <w:rPr>
          <w:rFonts w:eastAsia="Times New Roman" w:cs="Arial"/>
        </w:rPr>
        <w:t>, as this is a one-time data collection effort and grantees are required to maintain this information as a NOFA condition for their funding. Thus, no additional capital, technology or data gathering services other than those already mandated by NOFA should be required</w:t>
      </w:r>
    </w:p>
    <w:p w:rsidR="00A13C38" w:rsidRPr="005148C0" w:rsidRDefault="00A13C38" w:rsidP="00A13C38">
      <w:pPr>
        <w:pStyle w:val="ListParagraph"/>
        <w:rPr>
          <w:rFonts w:eastAsia="Times New Roman" w:cs="Arial"/>
          <w:b/>
        </w:rPr>
      </w:pPr>
    </w:p>
    <w:p w:rsidR="00A13C38" w:rsidRPr="005148C0" w:rsidRDefault="00A13C38" w:rsidP="00A13C38">
      <w:pPr>
        <w:pStyle w:val="ListParagraph"/>
        <w:numPr>
          <w:ilvl w:val="0"/>
          <w:numId w:val="3"/>
        </w:numPr>
        <w:rPr>
          <w:rFonts w:eastAsia="Times New Roman" w:cs="Arial"/>
          <w:b/>
        </w:rPr>
      </w:pPr>
      <w:r w:rsidRPr="005148C0">
        <w:rPr>
          <w:rFonts w:eastAsia="Times New Roman" w:cs="Arial"/>
          <w:b/>
        </w:rPr>
        <w:t xml:space="preserve">If cost estimates are expected to vary widely, agencies should present ranges of cost burdens and explain the reasons for the variance. The cost of purchasing or </w:t>
      </w:r>
      <w:r w:rsidRPr="005148C0">
        <w:rPr>
          <w:rFonts w:eastAsia="Times New Roman" w:cs="Arial"/>
          <w:b/>
        </w:rPr>
        <w:lastRenderedPageBreak/>
        <w:t>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3C38" w:rsidRDefault="00A13C38" w:rsidP="00A13C38">
      <w:pPr>
        <w:pStyle w:val="ListParagraph"/>
        <w:rPr>
          <w:rFonts w:eastAsia="Times New Roman" w:cs="Arial"/>
        </w:rPr>
      </w:pPr>
    </w:p>
    <w:p w:rsidR="00A13C38" w:rsidRPr="00EE4F03" w:rsidRDefault="00A13C38" w:rsidP="00A13C38">
      <w:pPr>
        <w:pStyle w:val="ListParagraph"/>
        <w:rPr>
          <w:rFonts w:eastAsia="Times New Roman" w:cs="Arial"/>
        </w:rPr>
      </w:pPr>
      <w:r w:rsidRPr="005148C0">
        <w:rPr>
          <w:rFonts w:eastAsia="Times New Roman" w:cs="Arial"/>
        </w:rPr>
        <w:t>None</w:t>
      </w:r>
      <w:r>
        <w:rPr>
          <w:rFonts w:eastAsia="Times New Roman" w:cs="Arial"/>
        </w:rPr>
        <w:t>, as this is a one-time data collection effort directly from grantees, and grantees are required to maintain this information as a NOFA condition for their funding.</w:t>
      </w:r>
    </w:p>
    <w:p w:rsidR="00A13C38" w:rsidRPr="005148C0" w:rsidRDefault="00A13C38" w:rsidP="00A13C38">
      <w:pPr>
        <w:pStyle w:val="ListParagraph"/>
        <w:rPr>
          <w:rFonts w:eastAsia="Times New Roman" w:cs="Arial"/>
          <w:b/>
        </w:rPr>
      </w:pPr>
    </w:p>
    <w:p w:rsidR="00A13C38" w:rsidRDefault="00A13C38" w:rsidP="00A13C38">
      <w:pPr>
        <w:pStyle w:val="ListParagraph"/>
        <w:numPr>
          <w:ilvl w:val="0"/>
          <w:numId w:val="3"/>
        </w:numPr>
        <w:rPr>
          <w:rFonts w:eastAsia="Times New Roman" w:cs="Arial"/>
          <w:b/>
        </w:rPr>
      </w:pPr>
      <w:r w:rsidRPr="005148C0">
        <w:rPr>
          <w:rFonts w:eastAsia="Times New Roman" w:cs="Arial"/>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A13C38" w:rsidRDefault="00A13C38" w:rsidP="00A13C38">
      <w:pPr>
        <w:pStyle w:val="ListParagraph"/>
        <w:rPr>
          <w:rFonts w:eastAsia="Times New Roman" w:cs="Arial"/>
          <w:b/>
        </w:rPr>
      </w:pPr>
    </w:p>
    <w:p w:rsidR="00A13C38" w:rsidRPr="008F5FA2" w:rsidRDefault="00A13C38" w:rsidP="00A13C38">
      <w:pPr>
        <w:pStyle w:val="ListParagraph"/>
        <w:rPr>
          <w:rFonts w:eastAsia="Times New Roman" w:cs="Arial"/>
        </w:rPr>
      </w:pPr>
      <w:r w:rsidRPr="00EE4F03">
        <w:rPr>
          <w:rFonts w:eastAsia="Times New Roman" w:cs="Arial"/>
        </w:rPr>
        <w:t>Not available</w:t>
      </w:r>
      <w:r>
        <w:rPr>
          <w:rFonts w:eastAsia="Times New Roman" w:cs="Arial"/>
        </w:rPr>
        <w:t xml:space="preserve">. No equipment or services are expected to be purchased as result of this </w:t>
      </w:r>
      <w:r w:rsidRPr="008F5FA2">
        <w:rPr>
          <w:rFonts w:eastAsia="Times New Roman" w:cs="Arial"/>
        </w:rPr>
        <w:t>data collection effort.</w:t>
      </w:r>
    </w:p>
    <w:p w:rsidR="00A13C38" w:rsidRPr="008F5FA2" w:rsidRDefault="00A13C38" w:rsidP="00A13C38">
      <w:pPr>
        <w:pStyle w:val="ListParagraph"/>
        <w:ind w:left="360"/>
        <w:rPr>
          <w:rFonts w:eastAsia="Times New Roman" w:cs="Arial"/>
          <w:b/>
        </w:rPr>
      </w:pPr>
    </w:p>
    <w:p w:rsidR="00A13C38" w:rsidRDefault="00A13C38" w:rsidP="00A13C38">
      <w:pPr>
        <w:pStyle w:val="ListParagraph"/>
        <w:numPr>
          <w:ilvl w:val="0"/>
          <w:numId w:val="2"/>
        </w:numPr>
        <w:rPr>
          <w:rFonts w:eastAsia="Times New Roman" w:cs="Arial"/>
          <w:b/>
        </w:rPr>
      </w:pPr>
      <w:r w:rsidRPr="008F5FA2">
        <w:rPr>
          <w:rFonts w:eastAsia="Times New Roman" w:cs="Arial"/>
          <w:b/>
        </w:rPr>
        <w:t>Provide</w:t>
      </w:r>
      <w:r w:rsidRPr="001807EF">
        <w:rPr>
          <w:rFonts w:eastAsia="Times New Roman" w:cs="Arial"/>
          <w:b/>
        </w:rPr>
        <w:t xml:space="preserv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13C38" w:rsidRPr="008F5FA2" w:rsidRDefault="00A13C38" w:rsidP="00A13C38">
      <w:pPr>
        <w:pStyle w:val="ListParagraph"/>
        <w:ind w:left="360"/>
        <w:rPr>
          <w:rFonts w:eastAsia="Times New Roman" w:cs="Arial"/>
          <w:b/>
        </w:rPr>
      </w:pPr>
    </w:p>
    <w:p w:rsidR="00A13C38" w:rsidRDefault="00A13C38" w:rsidP="00A13C38">
      <w:pPr>
        <w:pStyle w:val="ListParagraph"/>
        <w:spacing w:after="0"/>
        <w:ind w:left="360"/>
        <w:rPr>
          <w:rFonts w:eastAsia="Times New Roman" w:cs="Arial"/>
          <w:b/>
          <w:highlight w:val="yellow"/>
        </w:rPr>
      </w:pPr>
      <w:r w:rsidRPr="004F032E">
        <w:rPr>
          <w:b/>
        </w:rPr>
        <w:t xml:space="preserve">Table </w:t>
      </w:r>
      <w:r>
        <w:rPr>
          <w:b/>
        </w:rPr>
        <w:t>3</w:t>
      </w:r>
      <w:r w:rsidRPr="004F032E">
        <w:rPr>
          <w:b/>
        </w:rPr>
        <w:t xml:space="preserve">: </w:t>
      </w:r>
      <w:r>
        <w:rPr>
          <w:b/>
        </w:rPr>
        <w:t>Annualized Cost Estimate</w:t>
      </w:r>
      <w:r w:rsidRPr="004F032E">
        <w:rPr>
          <w:b/>
        </w:rPr>
        <w:t xml:space="preserve"> </w:t>
      </w:r>
      <w:r>
        <w:rPr>
          <w:b/>
        </w:rPr>
        <w:t>to the Federal Government</w:t>
      </w:r>
    </w:p>
    <w:tbl>
      <w:tblPr>
        <w:tblStyle w:val="TableGrid"/>
        <w:tblW w:w="0" w:type="auto"/>
        <w:tblLayout w:type="fixed"/>
        <w:tblLook w:val="04A0" w:firstRow="1" w:lastRow="0" w:firstColumn="1" w:lastColumn="0" w:noHBand="0" w:noVBand="1"/>
      </w:tblPr>
      <w:tblGrid>
        <w:gridCol w:w="1548"/>
        <w:gridCol w:w="1440"/>
        <w:gridCol w:w="1350"/>
        <w:gridCol w:w="1800"/>
        <w:gridCol w:w="1620"/>
        <w:gridCol w:w="1818"/>
      </w:tblGrid>
      <w:tr w:rsidR="00A13C38" w:rsidRPr="00775019" w:rsidTr="00640380">
        <w:trPr>
          <w:trHeight w:val="20"/>
        </w:trPr>
        <w:tc>
          <w:tcPr>
            <w:tcW w:w="1548" w:type="dxa"/>
            <w:vAlign w:val="center"/>
          </w:tcPr>
          <w:p w:rsidR="00A13C38" w:rsidRPr="00775019" w:rsidRDefault="00A13C38" w:rsidP="00640380">
            <w:pPr>
              <w:jc w:val="center"/>
              <w:rPr>
                <w:b/>
              </w:rPr>
            </w:pPr>
            <w:r w:rsidRPr="00775019">
              <w:rPr>
                <w:b/>
              </w:rPr>
              <w:t>Respondents</w:t>
            </w:r>
          </w:p>
        </w:tc>
        <w:tc>
          <w:tcPr>
            <w:tcW w:w="1440" w:type="dxa"/>
            <w:vAlign w:val="center"/>
          </w:tcPr>
          <w:p w:rsidR="00A13C38" w:rsidRPr="00775019" w:rsidRDefault="00A13C38" w:rsidP="00640380">
            <w:pPr>
              <w:jc w:val="center"/>
              <w:rPr>
                <w:b/>
              </w:rPr>
            </w:pPr>
            <w:r w:rsidRPr="00775019">
              <w:rPr>
                <w:b/>
              </w:rPr>
              <w:t>Number of Responses/</w:t>
            </w:r>
            <w:r>
              <w:rPr>
                <w:b/>
              </w:rPr>
              <w:t xml:space="preserve"> </w:t>
            </w:r>
            <w:r w:rsidRPr="00775019">
              <w:rPr>
                <w:b/>
              </w:rPr>
              <w:t>Instances of Collection</w:t>
            </w:r>
          </w:p>
        </w:tc>
        <w:tc>
          <w:tcPr>
            <w:tcW w:w="1350" w:type="dxa"/>
            <w:vAlign w:val="center"/>
          </w:tcPr>
          <w:p w:rsidR="00A13C38" w:rsidRPr="00775019" w:rsidRDefault="00A13C38" w:rsidP="00640380">
            <w:pPr>
              <w:jc w:val="center"/>
              <w:rPr>
                <w:b/>
              </w:rPr>
            </w:pPr>
            <w:r w:rsidRPr="00775019">
              <w:rPr>
                <w:b/>
              </w:rPr>
              <w:t>Frequency of Collection</w:t>
            </w:r>
          </w:p>
        </w:tc>
        <w:tc>
          <w:tcPr>
            <w:tcW w:w="1800" w:type="dxa"/>
            <w:vAlign w:val="center"/>
          </w:tcPr>
          <w:p w:rsidR="00A13C38" w:rsidRDefault="00A13C38" w:rsidP="00640380">
            <w:pPr>
              <w:jc w:val="center"/>
              <w:rPr>
                <w:b/>
              </w:rPr>
            </w:pPr>
            <w:r w:rsidRPr="00775019">
              <w:rPr>
                <w:b/>
              </w:rPr>
              <w:t>Average Time per Response</w:t>
            </w:r>
          </w:p>
          <w:p w:rsidR="00A13C38" w:rsidRPr="00775019" w:rsidRDefault="00A13C38" w:rsidP="00640380">
            <w:pPr>
              <w:jc w:val="center"/>
              <w:rPr>
                <w:b/>
              </w:rPr>
            </w:pPr>
            <w:r>
              <w:rPr>
                <w:b/>
              </w:rPr>
              <w:t>(Hours/AMP)</w:t>
            </w:r>
          </w:p>
        </w:tc>
        <w:tc>
          <w:tcPr>
            <w:tcW w:w="1620" w:type="dxa"/>
            <w:vAlign w:val="center"/>
          </w:tcPr>
          <w:p w:rsidR="00A13C38" w:rsidRPr="00775019" w:rsidRDefault="00A13C38" w:rsidP="00640380">
            <w:pPr>
              <w:jc w:val="center"/>
              <w:rPr>
                <w:b/>
              </w:rPr>
            </w:pPr>
            <w:r w:rsidRPr="00775019">
              <w:rPr>
                <w:b/>
              </w:rPr>
              <w:t>Burden (Hours)</w:t>
            </w:r>
          </w:p>
        </w:tc>
        <w:tc>
          <w:tcPr>
            <w:tcW w:w="1818" w:type="dxa"/>
            <w:vAlign w:val="center"/>
          </w:tcPr>
          <w:p w:rsidR="00A13C38" w:rsidRDefault="00A13C38" w:rsidP="00640380">
            <w:pPr>
              <w:jc w:val="center"/>
              <w:rPr>
                <w:b/>
              </w:rPr>
            </w:pPr>
            <w:r w:rsidRPr="00775019">
              <w:rPr>
                <w:b/>
              </w:rPr>
              <w:t>Burden Cost</w:t>
            </w:r>
          </w:p>
          <w:p w:rsidR="00A13C38" w:rsidRPr="00775019" w:rsidRDefault="00A13C38" w:rsidP="00640380">
            <w:pPr>
              <w:jc w:val="center"/>
              <w:rPr>
                <w:b/>
              </w:rPr>
            </w:pPr>
            <w:r>
              <w:rPr>
                <w:b/>
              </w:rPr>
              <w:t>(US$)</w:t>
            </w:r>
          </w:p>
        </w:tc>
      </w:tr>
      <w:tr w:rsidR="00A13C38" w:rsidTr="00640380">
        <w:trPr>
          <w:trHeight w:val="20"/>
        </w:trPr>
        <w:tc>
          <w:tcPr>
            <w:tcW w:w="1548" w:type="dxa"/>
            <w:vAlign w:val="center"/>
          </w:tcPr>
          <w:p w:rsidR="00A13C38" w:rsidRDefault="00A13C38" w:rsidP="00640380">
            <w:pPr>
              <w:jc w:val="center"/>
            </w:pPr>
            <w:r>
              <w:t>127</w:t>
            </w:r>
          </w:p>
          <w:p w:rsidR="00A13C38" w:rsidRDefault="00A13C38" w:rsidP="00640380">
            <w:pPr>
              <w:jc w:val="center"/>
            </w:pPr>
            <w:r>
              <w:t>(one respondent per PHA)</w:t>
            </w:r>
          </w:p>
        </w:tc>
        <w:tc>
          <w:tcPr>
            <w:tcW w:w="1440" w:type="dxa"/>
            <w:vAlign w:val="center"/>
          </w:tcPr>
          <w:p w:rsidR="00A13C38" w:rsidRDefault="00A13C38" w:rsidP="00640380">
            <w:pPr>
              <w:jc w:val="center"/>
            </w:pPr>
            <w:r>
              <w:t>229 responses (one response per AMP)</w:t>
            </w:r>
          </w:p>
        </w:tc>
        <w:tc>
          <w:tcPr>
            <w:tcW w:w="1350" w:type="dxa"/>
            <w:vAlign w:val="center"/>
          </w:tcPr>
          <w:p w:rsidR="00A13C38" w:rsidRDefault="00A13C38" w:rsidP="00640380">
            <w:pPr>
              <w:jc w:val="center"/>
            </w:pPr>
            <w:r>
              <w:t>One time</w:t>
            </w:r>
          </w:p>
        </w:tc>
        <w:tc>
          <w:tcPr>
            <w:tcW w:w="1800" w:type="dxa"/>
            <w:vAlign w:val="center"/>
          </w:tcPr>
          <w:p w:rsidR="00A13C38" w:rsidRDefault="00A13C38" w:rsidP="00640380">
            <w:pPr>
              <w:jc w:val="center"/>
            </w:pPr>
            <w:r>
              <w:t xml:space="preserve">0.5 </w:t>
            </w:r>
            <w:proofErr w:type="spellStart"/>
            <w:r>
              <w:t>hrs</w:t>
            </w:r>
            <w:proofErr w:type="spellEnd"/>
            <w:r>
              <w:t xml:space="preserve">/utility * 2 utilities/AMP </w:t>
            </w:r>
            <w:r>
              <w:rPr>
                <w:b/>
              </w:rPr>
              <w:t xml:space="preserve">=1 </w:t>
            </w:r>
            <w:proofErr w:type="spellStart"/>
            <w:r>
              <w:rPr>
                <w:b/>
              </w:rPr>
              <w:t>hr</w:t>
            </w:r>
            <w:proofErr w:type="spellEnd"/>
            <w:r w:rsidRPr="00221A63">
              <w:rPr>
                <w:b/>
              </w:rPr>
              <w:t>/AMP</w:t>
            </w:r>
          </w:p>
        </w:tc>
        <w:tc>
          <w:tcPr>
            <w:tcW w:w="1620" w:type="dxa"/>
            <w:vAlign w:val="center"/>
          </w:tcPr>
          <w:p w:rsidR="00A13C38" w:rsidRDefault="00A13C38" w:rsidP="00640380">
            <w:pPr>
              <w:jc w:val="center"/>
            </w:pPr>
            <w:r>
              <w:t>1hr/AMP * 229 AMPs=</w:t>
            </w:r>
          </w:p>
          <w:p w:rsidR="00A13C38" w:rsidRPr="00221A63" w:rsidRDefault="00A13C38" w:rsidP="00640380">
            <w:pPr>
              <w:jc w:val="center"/>
              <w:rPr>
                <w:b/>
              </w:rPr>
            </w:pPr>
            <w:r w:rsidRPr="00221A63">
              <w:rPr>
                <w:b/>
              </w:rPr>
              <w:t>22</w:t>
            </w:r>
            <w:r>
              <w:rPr>
                <w:b/>
              </w:rPr>
              <w:t xml:space="preserve">9 </w:t>
            </w:r>
            <w:proofErr w:type="spellStart"/>
            <w:r>
              <w:rPr>
                <w:b/>
              </w:rPr>
              <w:t>hrs</w:t>
            </w:r>
            <w:proofErr w:type="spellEnd"/>
          </w:p>
        </w:tc>
        <w:tc>
          <w:tcPr>
            <w:tcW w:w="1818" w:type="dxa"/>
            <w:vAlign w:val="center"/>
          </w:tcPr>
          <w:p w:rsidR="00A13C38" w:rsidRDefault="00A13C38" w:rsidP="00640380">
            <w:pPr>
              <w:jc w:val="center"/>
            </w:pPr>
            <w:r w:rsidRPr="00581A29">
              <w:t>22</w:t>
            </w:r>
            <w:r>
              <w:t>9</w:t>
            </w:r>
            <w:r w:rsidRPr="00581A29">
              <w:t xml:space="preserve"> </w:t>
            </w:r>
            <w:proofErr w:type="spellStart"/>
            <w:r w:rsidRPr="00581A29">
              <w:t>hrs</w:t>
            </w:r>
            <w:proofErr w:type="spellEnd"/>
            <w:r w:rsidRPr="00581A29">
              <w:t>*$</w:t>
            </w:r>
            <w:r>
              <w:t>48.83</w:t>
            </w:r>
            <w:r w:rsidRPr="00581A29">
              <w:t>/</w:t>
            </w:r>
            <w:proofErr w:type="spellStart"/>
            <w:r w:rsidRPr="00581A29">
              <w:t>hr</w:t>
            </w:r>
            <w:proofErr w:type="spellEnd"/>
            <w:r w:rsidRPr="00581A29">
              <w:t xml:space="preserve"> </w:t>
            </w:r>
            <w:r w:rsidRPr="00581A29">
              <w:rPr>
                <w:b/>
              </w:rPr>
              <w:t>=$</w:t>
            </w:r>
            <w:r>
              <w:rPr>
                <w:b/>
              </w:rPr>
              <w:t>11,182.07</w:t>
            </w:r>
          </w:p>
        </w:tc>
      </w:tr>
    </w:tbl>
    <w:p w:rsidR="00A13C38" w:rsidRDefault="00A13C38" w:rsidP="00A13C38">
      <w:pPr>
        <w:pStyle w:val="ListParagraph"/>
        <w:ind w:left="360"/>
        <w:rPr>
          <w:rFonts w:eastAsia="Times New Roman" w:cs="Arial"/>
        </w:rPr>
      </w:pPr>
    </w:p>
    <w:p w:rsidR="00A13C38" w:rsidRPr="001807EF" w:rsidRDefault="00A13C38" w:rsidP="00A13C38">
      <w:pPr>
        <w:pStyle w:val="ListParagraph"/>
        <w:ind w:left="360"/>
        <w:rPr>
          <w:rFonts w:eastAsia="Times New Roman" w:cs="Arial"/>
        </w:rPr>
      </w:pPr>
      <w:r w:rsidRPr="00F30BFA">
        <w:rPr>
          <w:rFonts w:eastAsia="Times New Roman" w:cs="Arial"/>
        </w:rPr>
        <w:t>The methodology used to calculate this cost is the same as described above for Table 2. However, these are annualized costs were estimated using a pay equivalent to Washington, DC GS13 FY2014 rate of $48.83/hr.</w:t>
      </w:r>
      <w:r>
        <w:rPr>
          <w:rFonts w:eastAsia="Times New Roman" w:cs="Arial"/>
        </w:rPr>
        <w:t xml:space="preserve"> This table indicates that the cost for the federal government to administer and process this data collection effort is one hour per survey collected at the Washington, DC pay equivalent rate.</w:t>
      </w:r>
    </w:p>
    <w:p w:rsidR="00A13C38" w:rsidRPr="005148C0" w:rsidRDefault="00A13C38" w:rsidP="00A13C38">
      <w:pPr>
        <w:pStyle w:val="ListParagraph"/>
        <w:spacing w:after="0"/>
        <w:ind w:left="360"/>
        <w:rPr>
          <w:rFonts w:eastAsia="Times New Roman" w:cs="Arial"/>
          <w:b/>
        </w:rPr>
      </w:pPr>
    </w:p>
    <w:p w:rsidR="00A13C38" w:rsidRDefault="00A13C38" w:rsidP="00A13C38">
      <w:pPr>
        <w:pStyle w:val="ListParagraph"/>
        <w:numPr>
          <w:ilvl w:val="0"/>
          <w:numId w:val="2"/>
        </w:numPr>
        <w:spacing w:after="0"/>
        <w:rPr>
          <w:rFonts w:eastAsia="Times New Roman" w:cs="Arial"/>
          <w:b/>
        </w:rPr>
      </w:pPr>
      <w:r w:rsidRPr="005148C0">
        <w:rPr>
          <w:rFonts w:eastAsia="Times New Roman" w:cs="Arial"/>
          <w:b/>
        </w:rPr>
        <w:t>Explain the reasons for any program changes or adjustments reported in Items 13 or 14 of the OMB Form 83-I.</w:t>
      </w:r>
    </w:p>
    <w:p w:rsidR="00A13C38" w:rsidRDefault="00A13C38" w:rsidP="00A13C38">
      <w:pPr>
        <w:pStyle w:val="ListParagraph"/>
        <w:spacing w:after="0"/>
        <w:ind w:left="360"/>
        <w:rPr>
          <w:rFonts w:eastAsia="Times New Roman" w:cs="Arial"/>
          <w:b/>
        </w:rPr>
      </w:pPr>
    </w:p>
    <w:p w:rsidR="00A13C38" w:rsidRPr="00EE4F03" w:rsidRDefault="00A13C38" w:rsidP="00A13C38">
      <w:pPr>
        <w:pStyle w:val="ListParagraph"/>
        <w:spacing w:after="0"/>
        <w:ind w:left="360"/>
        <w:rPr>
          <w:rFonts w:eastAsia="Times New Roman" w:cs="Arial"/>
        </w:rPr>
      </w:pPr>
      <w:r w:rsidRPr="003F207C">
        <w:rPr>
          <w:rFonts w:eastAsia="Times New Roman" w:cs="Arial"/>
        </w:rPr>
        <w:t>Not Available.</w:t>
      </w:r>
      <w:r w:rsidRPr="00EE4F03">
        <w:rPr>
          <w:rFonts w:eastAsia="Times New Roman" w:cs="Arial"/>
        </w:rPr>
        <w:t xml:space="preserve"> </w:t>
      </w:r>
    </w:p>
    <w:p w:rsidR="00A13C38" w:rsidRPr="005148C0" w:rsidRDefault="00A13C38" w:rsidP="00A13C38">
      <w:pPr>
        <w:pStyle w:val="ListParagraph"/>
        <w:ind w:left="360"/>
        <w:rPr>
          <w:rFonts w:eastAsia="Times New Roman" w:cs="Arial"/>
          <w:b/>
        </w:rPr>
      </w:pPr>
    </w:p>
    <w:p w:rsidR="00A13C38" w:rsidRPr="008F5FA2" w:rsidRDefault="00A13C38" w:rsidP="00A13C38">
      <w:pPr>
        <w:pStyle w:val="ListParagraph"/>
        <w:numPr>
          <w:ilvl w:val="0"/>
          <w:numId w:val="2"/>
        </w:numPr>
        <w:rPr>
          <w:rFonts w:eastAsia="Times New Roman" w:cs="Arial"/>
          <w:b/>
        </w:rPr>
      </w:pPr>
      <w:r w:rsidRPr="008F5FA2">
        <w:rPr>
          <w:rFonts w:eastAsia="Times New Roman"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8F5FA2">
        <w:rPr>
          <w:rFonts w:eastAsia="Times New Roman" w:cs="Arial"/>
          <w:b/>
        </w:rPr>
        <w:lastRenderedPageBreak/>
        <w:t xml:space="preserve">dates of the collection of information, completion of report, publication dates, and other actions. </w:t>
      </w:r>
    </w:p>
    <w:p w:rsidR="00A13C38" w:rsidRDefault="00A13C38" w:rsidP="00A13C38">
      <w:pPr>
        <w:pStyle w:val="ListParagraph"/>
        <w:ind w:left="360"/>
        <w:rPr>
          <w:rFonts w:eastAsia="Times New Roman" w:cs="Arial"/>
        </w:rPr>
      </w:pPr>
    </w:p>
    <w:p w:rsidR="00A13C38" w:rsidRDefault="00A13C38" w:rsidP="00A13C38">
      <w:pPr>
        <w:pStyle w:val="ListParagraph"/>
        <w:ind w:left="360"/>
        <w:rPr>
          <w:rFonts w:eastAsia="Times New Roman" w:cs="Arial"/>
        </w:rPr>
      </w:pPr>
      <w:r>
        <w:rPr>
          <w:rFonts w:eastAsia="Times New Roman" w:cs="Arial"/>
        </w:rPr>
        <w:t xml:space="preserve">The final comprehensive report of the GERA study is expected to be provided to the public during </w:t>
      </w:r>
      <w:proofErr w:type="gramStart"/>
      <w:r>
        <w:rPr>
          <w:rFonts w:eastAsia="Times New Roman" w:cs="Arial"/>
        </w:rPr>
        <w:t>Summer</w:t>
      </w:r>
      <w:proofErr w:type="gramEnd"/>
      <w:r>
        <w:rPr>
          <w:rFonts w:eastAsia="Times New Roman" w:cs="Arial"/>
        </w:rPr>
        <w:t xml:space="preserve">, 2015. As indicated above, this data collection effort applies to the evaluation of one of three programs that are part of the overall study and contributes to the cataloguing and review of the efficiency and efficacy of alternative ECMs. </w:t>
      </w:r>
    </w:p>
    <w:p w:rsidR="00A13C38" w:rsidRDefault="00A13C38" w:rsidP="00A13C38">
      <w:pPr>
        <w:pStyle w:val="ListParagraph"/>
        <w:ind w:left="360"/>
        <w:rPr>
          <w:rFonts w:eastAsia="Times New Roman" w:cs="Arial"/>
        </w:rPr>
      </w:pPr>
    </w:p>
    <w:p w:rsidR="00A13C38" w:rsidRDefault="00A13C38" w:rsidP="00A13C38">
      <w:pPr>
        <w:pStyle w:val="ListParagraph"/>
        <w:ind w:left="360"/>
        <w:rPr>
          <w:rFonts w:eastAsia="Times New Roman" w:cs="Arial"/>
        </w:rPr>
      </w:pPr>
      <w:r>
        <w:rPr>
          <w:rFonts w:eastAsia="Times New Roman" w:cs="Arial"/>
        </w:rPr>
        <w:t>Table 3 below displays the timeline for the completion of the overall GERA study:</w:t>
      </w:r>
    </w:p>
    <w:p w:rsidR="00A13C38" w:rsidRDefault="00A13C38" w:rsidP="00A13C38">
      <w:pPr>
        <w:pStyle w:val="ListParagraph"/>
        <w:ind w:left="360"/>
        <w:rPr>
          <w:rFonts w:eastAsia="Times New Roman" w:cs="Arial"/>
        </w:rPr>
      </w:pPr>
    </w:p>
    <w:p w:rsidR="00A13C38" w:rsidRPr="00AE3C6B" w:rsidRDefault="00A13C38" w:rsidP="00A13C38">
      <w:pPr>
        <w:pStyle w:val="ListParagraph"/>
        <w:spacing w:after="0" w:line="360" w:lineRule="auto"/>
        <w:ind w:left="360"/>
        <w:rPr>
          <w:b/>
        </w:rPr>
      </w:pPr>
      <w:r w:rsidRPr="004F032E">
        <w:rPr>
          <w:b/>
        </w:rPr>
        <w:t xml:space="preserve">Table </w:t>
      </w:r>
      <w:r>
        <w:rPr>
          <w:b/>
        </w:rPr>
        <w:t>3: Timetable for GERA Study Completion of Tasks</w:t>
      </w:r>
    </w:p>
    <w:tbl>
      <w:tblPr>
        <w:tblW w:w="84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6180"/>
        <w:gridCol w:w="1535"/>
      </w:tblGrid>
      <w:tr w:rsidR="00A13C38" w:rsidRPr="005F609F" w:rsidTr="00640380">
        <w:trPr>
          <w:trHeight w:val="20"/>
          <w:tblHeader/>
        </w:trPr>
        <w:tc>
          <w:tcPr>
            <w:tcW w:w="695" w:type="dxa"/>
            <w:shd w:val="clear" w:color="auto" w:fill="auto"/>
            <w:vAlign w:val="bottom"/>
            <w:hideMark/>
          </w:tcPr>
          <w:p w:rsidR="00A13C38" w:rsidRPr="005F609F" w:rsidRDefault="00A13C38" w:rsidP="00640380">
            <w:pPr>
              <w:rPr>
                <w:b/>
                <w:color w:val="000000"/>
                <w:szCs w:val="24"/>
              </w:rPr>
            </w:pPr>
            <w:r w:rsidRPr="005F609F">
              <w:rPr>
                <w:b/>
                <w:color w:val="000000"/>
                <w:szCs w:val="24"/>
              </w:rPr>
              <w:t>Task Number</w:t>
            </w:r>
          </w:p>
        </w:tc>
        <w:tc>
          <w:tcPr>
            <w:tcW w:w="6180" w:type="dxa"/>
            <w:shd w:val="clear" w:color="auto" w:fill="auto"/>
            <w:vAlign w:val="bottom"/>
            <w:hideMark/>
          </w:tcPr>
          <w:p w:rsidR="00A13C38" w:rsidRPr="00C81DB8" w:rsidRDefault="00A13C38" w:rsidP="00640380">
            <w:pPr>
              <w:rPr>
                <w:b/>
                <w:color w:val="000000"/>
                <w:szCs w:val="24"/>
              </w:rPr>
            </w:pPr>
            <w:r w:rsidRPr="00C81DB8">
              <w:rPr>
                <w:b/>
                <w:color w:val="000000"/>
                <w:szCs w:val="24"/>
              </w:rPr>
              <w:t>Task Name</w:t>
            </w:r>
          </w:p>
        </w:tc>
        <w:tc>
          <w:tcPr>
            <w:tcW w:w="1535" w:type="dxa"/>
            <w:shd w:val="clear" w:color="auto" w:fill="auto"/>
            <w:vAlign w:val="bottom"/>
            <w:hideMark/>
          </w:tcPr>
          <w:p w:rsidR="00A13C38" w:rsidRPr="00C81DB8" w:rsidRDefault="00A13C38" w:rsidP="00640380">
            <w:pPr>
              <w:jc w:val="center"/>
              <w:rPr>
                <w:b/>
                <w:color w:val="000000"/>
                <w:szCs w:val="24"/>
              </w:rPr>
            </w:pPr>
            <w:r w:rsidRPr="00C81DB8">
              <w:rPr>
                <w:b/>
                <w:color w:val="000000"/>
                <w:szCs w:val="24"/>
              </w:rPr>
              <w:t>Date</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Pr>
                <w:color w:val="000000"/>
                <w:szCs w:val="24"/>
              </w:rPr>
              <w:t>1</w:t>
            </w:r>
          </w:p>
        </w:tc>
        <w:tc>
          <w:tcPr>
            <w:tcW w:w="6180" w:type="dxa"/>
            <w:shd w:val="clear" w:color="auto" w:fill="auto"/>
            <w:noWrap/>
            <w:vAlign w:val="bottom"/>
            <w:hideMark/>
          </w:tcPr>
          <w:p w:rsidR="00A13C38" w:rsidRPr="00C81DB8" w:rsidRDefault="00A13C38" w:rsidP="00640380">
            <w:pPr>
              <w:rPr>
                <w:color w:val="000000"/>
                <w:szCs w:val="24"/>
              </w:rPr>
            </w:pPr>
            <w:r w:rsidRPr="00C81DB8">
              <w:rPr>
                <w:color w:val="000000"/>
                <w:szCs w:val="24"/>
              </w:rPr>
              <w:t>Attend Start Up Meeting</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10/12/2011*</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2</w:t>
            </w:r>
          </w:p>
        </w:tc>
        <w:tc>
          <w:tcPr>
            <w:tcW w:w="6180" w:type="dxa"/>
            <w:shd w:val="clear" w:color="auto" w:fill="auto"/>
            <w:noWrap/>
            <w:vAlign w:val="bottom"/>
            <w:hideMark/>
          </w:tcPr>
          <w:p w:rsidR="00A13C38" w:rsidRPr="00C81DB8" w:rsidRDefault="00A13C38" w:rsidP="00640380">
            <w:pPr>
              <w:rPr>
                <w:color w:val="000000"/>
                <w:szCs w:val="24"/>
              </w:rPr>
            </w:pPr>
            <w:r w:rsidRPr="00C81DB8">
              <w:rPr>
                <w:color w:val="000000"/>
                <w:szCs w:val="24"/>
              </w:rPr>
              <w:t>Create Draft Energy Savings Model</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12/30/2011*</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3</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Determine Cost Effectiveness of ECMs</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12/30/2011*</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4</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Calculate Unit Equivalents Initially</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12/30/2011*</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5</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Estimate Energy Savings</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1/31/2012*</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6</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Catalog Cost Effective ECMs</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1/31/2012*</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7</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Create PIH Field Staff Data Collection Method</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9/30/2014</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8</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Develop On-Site Data Collection Strategy and Tools</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4/21/2014*</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9</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Select Sites to Visit</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4/1/2014*</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10</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Write On-Site Evaluation Report</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10/31/2014</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11</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Write Case Studies</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1/31/2015</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12</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Develop Survey</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6/13/2014</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13</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Implement Survey</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6/30/2014</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14</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Compile and Analyze Survey Results</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11/30/2014</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15</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Create PHCF Competition Energy Evaluation Method</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3/7/2013*</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16</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Complete PHCF Competition Energy Evaluation</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1/31/2015</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17</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Develop Method for Evaluating the GRP for Multifamily Housing</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9/31/2014</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18</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Collect Data on GRP for Multifamily Housing</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11/30/2014</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19</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Estimate Energy Savings for Green Retrofit Program</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1/31/2015</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20</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Validate Energy Model Update</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1/31/2015</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Pr>
                <w:color w:val="000000"/>
                <w:szCs w:val="24"/>
              </w:rPr>
              <w:t>21</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Submit Interim Evaluation Report</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12/30/2012*</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22</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Submit Interim Evaluation report-Year Two</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6/30/2014*</w:t>
            </w:r>
          </w:p>
        </w:tc>
      </w:tr>
      <w:tr w:rsidR="00A13C38" w:rsidRPr="005F609F" w:rsidTr="00640380">
        <w:trPr>
          <w:trHeight w:val="300"/>
        </w:trPr>
        <w:tc>
          <w:tcPr>
            <w:tcW w:w="695" w:type="dxa"/>
            <w:shd w:val="clear" w:color="auto" w:fill="auto"/>
            <w:noWrap/>
            <w:vAlign w:val="bottom"/>
            <w:hideMark/>
          </w:tcPr>
          <w:p w:rsidR="00A13C38" w:rsidRPr="005F609F" w:rsidRDefault="00A13C38" w:rsidP="00640380">
            <w:pPr>
              <w:rPr>
                <w:color w:val="000000"/>
                <w:szCs w:val="24"/>
              </w:rPr>
            </w:pPr>
            <w:r w:rsidRPr="005F609F">
              <w:rPr>
                <w:color w:val="000000"/>
                <w:szCs w:val="24"/>
              </w:rPr>
              <w:t>23</w:t>
            </w:r>
          </w:p>
        </w:tc>
        <w:tc>
          <w:tcPr>
            <w:tcW w:w="6180" w:type="dxa"/>
            <w:shd w:val="clear" w:color="auto" w:fill="auto"/>
            <w:noWrap/>
            <w:vAlign w:val="bottom"/>
            <w:hideMark/>
          </w:tcPr>
          <w:p w:rsidR="00A13C38" w:rsidRPr="005F609F" w:rsidRDefault="00A13C38" w:rsidP="00640380">
            <w:pPr>
              <w:rPr>
                <w:color w:val="000000"/>
                <w:szCs w:val="24"/>
              </w:rPr>
            </w:pPr>
            <w:r w:rsidRPr="005F609F">
              <w:rPr>
                <w:color w:val="000000"/>
                <w:szCs w:val="24"/>
              </w:rPr>
              <w:t>Submit Comprehensive Evaluation Report</w:t>
            </w:r>
          </w:p>
        </w:tc>
        <w:tc>
          <w:tcPr>
            <w:tcW w:w="1535" w:type="dxa"/>
            <w:shd w:val="clear" w:color="auto" w:fill="auto"/>
            <w:noWrap/>
            <w:vAlign w:val="bottom"/>
            <w:hideMark/>
          </w:tcPr>
          <w:p w:rsidR="00A13C38" w:rsidRPr="00C81DB8" w:rsidRDefault="00A13C38" w:rsidP="00640380">
            <w:pPr>
              <w:jc w:val="center"/>
              <w:rPr>
                <w:color w:val="000000"/>
                <w:szCs w:val="24"/>
              </w:rPr>
            </w:pPr>
            <w:r w:rsidRPr="00C81DB8">
              <w:rPr>
                <w:color w:val="000000"/>
                <w:szCs w:val="24"/>
              </w:rPr>
              <w:t>3/28/2015</w:t>
            </w:r>
          </w:p>
        </w:tc>
      </w:tr>
    </w:tbl>
    <w:p w:rsidR="00A13C38" w:rsidRPr="00C81DB8" w:rsidRDefault="00A13C38" w:rsidP="00A13C38">
      <w:pPr>
        <w:pStyle w:val="ListParagraph"/>
        <w:ind w:left="360"/>
        <w:rPr>
          <w:rFonts w:eastAsia="Times New Roman" w:cs="Arial"/>
          <w:sz w:val="20"/>
          <w:szCs w:val="20"/>
        </w:rPr>
      </w:pPr>
      <w:r w:rsidRPr="00C81DB8">
        <w:rPr>
          <w:rFonts w:eastAsia="Times New Roman" w:cs="Arial"/>
          <w:sz w:val="20"/>
          <w:szCs w:val="20"/>
        </w:rPr>
        <w:t>*Completed</w:t>
      </w:r>
    </w:p>
    <w:p w:rsidR="00A13C38" w:rsidRPr="00372091" w:rsidRDefault="00A13C38" w:rsidP="00A13C38">
      <w:pPr>
        <w:ind w:left="360"/>
        <w:rPr>
          <w:rFonts w:cs="Arial"/>
          <w:b/>
        </w:rPr>
      </w:pPr>
      <w:r>
        <w:rPr>
          <w:rFonts w:cs="Arial"/>
          <w:b/>
        </w:rPr>
        <w:t>Analytical techniques used in the analysis of data g</w:t>
      </w:r>
      <w:r w:rsidRPr="00372091">
        <w:rPr>
          <w:rFonts w:cs="Arial"/>
          <w:b/>
        </w:rPr>
        <w:t xml:space="preserve">athered through this </w:t>
      </w:r>
      <w:r>
        <w:rPr>
          <w:rFonts w:cs="Arial"/>
          <w:b/>
        </w:rPr>
        <w:t xml:space="preserve">specific </w:t>
      </w:r>
      <w:r w:rsidRPr="00372091">
        <w:rPr>
          <w:rFonts w:cs="Arial"/>
          <w:b/>
        </w:rPr>
        <w:t>data collection effort</w:t>
      </w:r>
      <w:r>
        <w:rPr>
          <w:rFonts w:cs="Arial"/>
          <w:b/>
        </w:rPr>
        <w:t>.</w:t>
      </w:r>
    </w:p>
    <w:p w:rsidR="00A13C38" w:rsidRDefault="00A13C38" w:rsidP="00A13C38">
      <w:pPr>
        <w:pStyle w:val="ListParagraph"/>
        <w:ind w:left="360"/>
        <w:rPr>
          <w:rFonts w:eastAsia="Times New Roman" w:cs="Arial"/>
        </w:rPr>
      </w:pPr>
    </w:p>
    <w:p w:rsidR="00A13C38" w:rsidRPr="00607E0D" w:rsidRDefault="00A13C38" w:rsidP="00A13C38">
      <w:pPr>
        <w:pStyle w:val="ListParagraph"/>
        <w:ind w:left="360"/>
        <w:rPr>
          <w:rFonts w:eastAsia="Times New Roman" w:cs="Arial"/>
        </w:rPr>
      </w:pPr>
      <w:r w:rsidRPr="00607E0D">
        <w:rPr>
          <w:rFonts w:eastAsia="Times New Roman" w:cs="Arial"/>
        </w:rPr>
        <w:t xml:space="preserve">The goal of the estimation is to isolate the impact of the retrofit conducted by </w:t>
      </w:r>
      <w:r>
        <w:rPr>
          <w:rFonts w:eastAsia="Times New Roman" w:cs="Arial"/>
        </w:rPr>
        <w:t>c</w:t>
      </w:r>
      <w:r w:rsidRPr="00607E0D">
        <w:rPr>
          <w:rFonts w:eastAsia="Times New Roman" w:cs="Arial"/>
        </w:rPr>
        <w:t xml:space="preserve">ompetitive grantees on utility </w:t>
      </w:r>
      <w:r>
        <w:rPr>
          <w:rFonts w:eastAsia="Times New Roman" w:cs="Arial"/>
        </w:rPr>
        <w:t xml:space="preserve">usage at the property. The data are to cover </w:t>
      </w:r>
      <w:r w:rsidRPr="00607E0D">
        <w:rPr>
          <w:rFonts w:eastAsia="Times New Roman" w:cs="Arial"/>
        </w:rPr>
        <w:t xml:space="preserve">twelve months of utility bills prior to retrofit and twelve months post-retrofit. Several different factors can </w:t>
      </w:r>
      <w:r>
        <w:rPr>
          <w:rFonts w:eastAsia="Times New Roman" w:cs="Arial"/>
        </w:rPr>
        <w:t>result in changes in</w:t>
      </w:r>
      <w:r w:rsidRPr="00607E0D">
        <w:rPr>
          <w:rFonts w:eastAsia="Times New Roman" w:cs="Arial"/>
        </w:rPr>
        <w:t xml:space="preserve"> utility usage at a property including weather changes, occupancy changes, major </w:t>
      </w:r>
      <w:r w:rsidRPr="00607E0D">
        <w:rPr>
          <w:rFonts w:eastAsia="Times New Roman" w:cs="Arial"/>
        </w:rPr>
        <w:lastRenderedPageBreak/>
        <w:t xml:space="preserve">property configuration changes, or other retrofits that occurred outside the program. Therefore, any analysis of usage savings must control for these factors. To do this, “avoided costs” are measured. Measuring avoided costs involves determining the usage savings in the post-retrofit period, in comparison to an estimate of what costs or usage would have been in the post-retrofit period if the retrofits had not taken place. </w:t>
      </w:r>
    </w:p>
    <w:p w:rsidR="00A13C38" w:rsidRDefault="00A13C38" w:rsidP="00A13C38">
      <w:pPr>
        <w:ind w:left="360"/>
      </w:pPr>
      <w:r>
        <w:t>The most widely accepted standard for measuring avoided costs is the method outlined by American Society of Heating, Refrigerating and Air-Conditioning Engineers (ASHRAE)’s Guideline 14-2002</w:t>
      </w:r>
      <w:r>
        <w:rPr>
          <w:rStyle w:val="FootnoteReference"/>
        </w:rPr>
        <w:footnoteReference w:id="4"/>
      </w:r>
      <w:r>
        <w:t>, as well as by the International Performance Measurement and Verification Protocol (IPMVP)</w:t>
      </w:r>
      <w:r>
        <w:rPr>
          <w:rStyle w:val="FootnoteReference"/>
        </w:rPr>
        <w:footnoteReference w:id="5"/>
      </w:r>
      <w:r>
        <w:t xml:space="preserve">. The IPMVP standard is the basis for performance-based contracts under the Federal Energy Management Program (FEMP). There are four measurement and verification protocols for measuring avoided costs recognized in the IPMVP. HUD proposes using one of these protocols, the “Whole Facility” Protocol (Protocol C), which is designed to measure whole-facility changes in utility usage between a pre-retrofit period and a post-retrofit period. </w:t>
      </w:r>
    </w:p>
    <w:p w:rsidR="00A13C38" w:rsidRDefault="00A13C38" w:rsidP="00A13C38">
      <w:pPr>
        <w:ind w:left="360"/>
        <w:rPr>
          <w:rFonts w:cstheme="minorHAnsi"/>
        </w:rPr>
      </w:pPr>
      <w:r>
        <w:t xml:space="preserve">The IPMVP Protocol C involves development of a series of regression models that model different types of fuel usage at the property. </w:t>
      </w:r>
      <w:r>
        <w:rPr>
          <w:rFonts w:cstheme="minorHAnsi"/>
        </w:rPr>
        <w:t>This protocol is designed to measure a whole facility’s changes in utility costs between a pre-retrofit and a post-retrofit period. The data required to use this protocol involves utility, vacancy and weather data from the twelve-month pre-retrofit period as well twelve months of continuous utility, vacancy and weather data from the post-retrofit utility monitoring period.</w:t>
      </w:r>
      <w:r>
        <w:rPr>
          <w:rStyle w:val="CommentReference"/>
        </w:rPr>
        <w:t xml:space="preserve">  </w:t>
      </w:r>
    </w:p>
    <w:p w:rsidR="00A13C38" w:rsidRPr="006D332E" w:rsidRDefault="00A13C38" w:rsidP="00A13C38">
      <w:pPr>
        <w:ind w:left="360"/>
      </w:pPr>
      <w:r w:rsidRPr="006D332E">
        <w:t>The IPMVP methodology has three basic steps:</w:t>
      </w:r>
    </w:p>
    <w:p w:rsidR="00A13C38" w:rsidRDefault="00A13C38" w:rsidP="00A13C38">
      <w:pPr>
        <w:pStyle w:val="ListParagraph"/>
        <w:numPr>
          <w:ilvl w:val="0"/>
          <w:numId w:val="13"/>
        </w:numPr>
        <w:spacing w:after="200" w:line="276" w:lineRule="auto"/>
        <w:ind w:left="720"/>
        <w:rPr>
          <w:rFonts w:cstheme="minorHAnsi"/>
        </w:rPr>
      </w:pPr>
      <w:r>
        <w:rPr>
          <w:rFonts w:cstheme="minorHAnsi"/>
        </w:rPr>
        <w:t>Determine the pre-retrofit usage profile, using the pre-retrofit period monthly data, based on weather and occupancy in the time period being studied.</w:t>
      </w:r>
    </w:p>
    <w:p w:rsidR="00A13C38" w:rsidRDefault="00A13C38" w:rsidP="00A13C38">
      <w:pPr>
        <w:pStyle w:val="ListParagraph"/>
        <w:numPr>
          <w:ilvl w:val="0"/>
          <w:numId w:val="13"/>
        </w:numPr>
        <w:spacing w:after="200" w:line="276" w:lineRule="auto"/>
        <w:ind w:left="720"/>
        <w:rPr>
          <w:rFonts w:cstheme="minorHAnsi"/>
        </w:rPr>
      </w:pPr>
      <w:r>
        <w:rPr>
          <w:rFonts w:cstheme="minorHAnsi"/>
        </w:rPr>
        <w:t>Estimate what usage would have been in the post-retrofit period had the retrofits not taken place, using the pre-retrofit usage profile and controlling for the factors in Step 1 above.</w:t>
      </w:r>
    </w:p>
    <w:p w:rsidR="00A13C38" w:rsidRDefault="00A13C38" w:rsidP="00A13C38">
      <w:pPr>
        <w:pStyle w:val="ListParagraph"/>
        <w:numPr>
          <w:ilvl w:val="0"/>
          <w:numId w:val="13"/>
        </w:numPr>
        <w:spacing w:after="200" w:line="276" w:lineRule="auto"/>
        <w:ind w:left="720"/>
        <w:rPr>
          <w:rFonts w:cstheme="minorHAnsi"/>
        </w:rPr>
      </w:pPr>
      <w:r>
        <w:rPr>
          <w:rFonts w:cstheme="minorHAnsi"/>
        </w:rPr>
        <w:t>Compare the estimated energy usage based on pre-retrofit conditions to actual energy usage post-retrofit.</w:t>
      </w:r>
    </w:p>
    <w:p w:rsidR="00A13C38" w:rsidRPr="006D332E" w:rsidRDefault="00A13C38" w:rsidP="00A13C38">
      <w:pPr>
        <w:ind w:left="360"/>
      </w:pPr>
      <w:r w:rsidRPr="006D332E">
        <w:t xml:space="preserve">To account for differences in weather patterns between the pre- and post-retrofit periods, the usage for both properties has to be normalized. This normalization is done via a linear ordinary least squares (OLS) model where the dependent variable is electric or gas usage, and the independent variables are the total number of heating degree days (HDD) and/or cooling degree days (CDD) in the period under study. </w:t>
      </w:r>
    </w:p>
    <w:p w:rsidR="00A13C38" w:rsidRPr="006D332E" w:rsidRDefault="00A13C38" w:rsidP="00A13C38">
      <w:pPr>
        <w:ind w:left="360"/>
      </w:pPr>
      <w:r w:rsidRPr="006D332E">
        <w:t xml:space="preserve">The heating requirements for a building at a specific location are directly proportional to the number of heating degree days (HDD) at that location. A similar measurement, cooling degree days (CDD), reflects the amount of energy used to cool a home or business. Both are measured by the difference in the average temperature from a certain baseline temperature above/below which a building needs no heating/cooling.  </w:t>
      </w:r>
    </w:p>
    <w:p w:rsidR="00A13C38" w:rsidRPr="006D332E" w:rsidRDefault="00A13C38" w:rsidP="00A13C38">
      <w:pPr>
        <w:ind w:left="360"/>
      </w:pPr>
      <w:r w:rsidRPr="006D332E">
        <w:t xml:space="preserve">The resulting equation can be used to predict the energy usage of the property at the post-retrofit condition in any occupancy and weather conditions. By comparing this usage to that in the </w:t>
      </w:r>
      <w:r>
        <w:t>pre-retrofit</w:t>
      </w:r>
      <w:r w:rsidRPr="006D332E">
        <w:t xml:space="preserve"> period, one can find the difference in usage that can be attributed directly to retrofits, and not to differences in weather or occupancy. </w:t>
      </w:r>
    </w:p>
    <w:p w:rsidR="00A13C38" w:rsidRDefault="00A13C38" w:rsidP="00A13C38">
      <w:pPr>
        <w:pStyle w:val="ListParagraph"/>
        <w:spacing w:after="0"/>
        <w:ind w:left="360"/>
        <w:rPr>
          <w:rFonts w:eastAsia="Times New Roman" w:cs="Arial"/>
          <w:highlight w:val="yellow"/>
        </w:rPr>
      </w:pPr>
      <w:r w:rsidRPr="002C38E8">
        <w:rPr>
          <w:rFonts w:eastAsia="Times New Roman" w:cs="Arial"/>
        </w:rPr>
        <w:t>The analysis of changes in energy consumption associated with the retrofit implementation will also be compared to the initial predictions o</w:t>
      </w:r>
      <w:r>
        <w:rPr>
          <w:rFonts w:eastAsia="Times New Roman" w:cs="Arial"/>
        </w:rPr>
        <w:t>f</w:t>
      </w:r>
      <w:r w:rsidRPr="002C38E8">
        <w:rPr>
          <w:rFonts w:eastAsia="Times New Roman" w:cs="Arial"/>
        </w:rPr>
        <w:t xml:space="preserve"> potential energy savings submitted in each AMP grant application. These predictions were based on an initial energy audit that AMPs conducted as part of the requirements for the GRP for their properties.</w:t>
      </w:r>
    </w:p>
    <w:p w:rsidR="00A13C38" w:rsidRDefault="00A13C38" w:rsidP="00A13C38">
      <w:pPr>
        <w:pStyle w:val="ListParagraph"/>
        <w:spacing w:after="0"/>
        <w:rPr>
          <w:rFonts w:eastAsia="Times New Roman" w:cs="Arial"/>
        </w:rPr>
      </w:pPr>
    </w:p>
    <w:p w:rsidR="00A13C38" w:rsidRDefault="00A13C38" w:rsidP="00A13C38">
      <w:pPr>
        <w:pStyle w:val="ListParagraph"/>
        <w:ind w:left="360"/>
        <w:rPr>
          <w:rFonts w:eastAsia="Times New Roman" w:cs="Arial"/>
        </w:rPr>
      </w:pPr>
      <w:r w:rsidRPr="002C38E8">
        <w:rPr>
          <w:rFonts w:eastAsia="Times New Roman" w:cs="Arial"/>
        </w:rPr>
        <w:t xml:space="preserve">All the analyses and estimations will be conducted utilizing the statistical package </w:t>
      </w:r>
      <w:r w:rsidRPr="003F207C">
        <w:rPr>
          <w:rFonts w:eastAsia="Times New Roman" w:cs="Arial"/>
        </w:rPr>
        <w:t>STATA</w:t>
      </w:r>
      <w:r w:rsidRPr="002C38E8">
        <w:rPr>
          <w:rFonts w:eastAsia="Times New Roman" w:cs="Arial"/>
        </w:rPr>
        <w:t>.</w:t>
      </w:r>
    </w:p>
    <w:p w:rsidR="00A13C38" w:rsidRPr="007C0EBB" w:rsidRDefault="00A13C38" w:rsidP="00A13C38">
      <w:pPr>
        <w:pStyle w:val="ListParagraph"/>
        <w:ind w:left="360"/>
        <w:rPr>
          <w:rFonts w:eastAsia="Times New Roman" w:cs="Arial"/>
        </w:rPr>
      </w:pPr>
    </w:p>
    <w:p w:rsidR="00A13C38" w:rsidRDefault="00A13C38" w:rsidP="00A13C38">
      <w:pPr>
        <w:pStyle w:val="ListParagraph"/>
        <w:numPr>
          <w:ilvl w:val="0"/>
          <w:numId w:val="2"/>
        </w:numPr>
        <w:rPr>
          <w:rFonts w:eastAsia="Times New Roman" w:cs="Arial"/>
          <w:b/>
        </w:rPr>
      </w:pPr>
      <w:r w:rsidRPr="005148C0">
        <w:rPr>
          <w:rFonts w:eastAsia="Times New Roman" w:cs="Arial"/>
          <w:b/>
        </w:rPr>
        <w:lastRenderedPageBreak/>
        <w:t xml:space="preserve">If seeking approval to not display the expiration date for OMB approval of the information collection, explain the reasons that display would be inappropriate. </w:t>
      </w:r>
    </w:p>
    <w:p w:rsidR="00A13C38" w:rsidRDefault="00A13C38" w:rsidP="00A13C38">
      <w:pPr>
        <w:pStyle w:val="ListParagraph"/>
        <w:ind w:left="360"/>
        <w:rPr>
          <w:rFonts w:eastAsia="Times New Roman" w:cs="Arial"/>
        </w:rPr>
      </w:pPr>
    </w:p>
    <w:p w:rsidR="00A13C38" w:rsidRPr="00F92AFB" w:rsidRDefault="00A13C38" w:rsidP="00A13C38">
      <w:pPr>
        <w:pStyle w:val="ListParagraph"/>
        <w:ind w:left="360"/>
        <w:rPr>
          <w:rFonts w:eastAsia="Times New Roman" w:cs="Arial"/>
        </w:rPr>
      </w:pPr>
      <w:r w:rsidRPr="00F92AFB">
        <w:rPr>
          <w:rFonts w:eastAsia="Times New Roman" w:cs="Arial"/>
        </w:rPr>
        <w:t>Not available</w:t>
      </w:r>
    </w:p>
    <w:p w:rsidR="00A13C38" w:rsidRPr="005148C0" w:rsidRDefault="00A13C38" w:rsidP="00A13C38">
      <w:pPr>
        <w:pStyle w:val="ListParagraph"/>
        <w:ind w:left="360"/>
        <w:rPr>
          <w:rFonts w:eastAsia="Times New Roman" w:cs="Arial"/>
          <w:b/>
        </w:rPr>
      </w:pPr>
    </w:p>
    <w:p w:rsidR="00A13C38" w:rsidRDefault="00A13C38" w:rsidP="00A13C38">
      <w:pPr>
        <w:pStyle w:val="ListParagraph"/>
        <w:numPr>
          <w:ilvl w:val="0"/>
          <w:numId w:val="2"/>
        </w:numPr>
        <w:rPr>
          <w:rFonts w:eastAsia="Times New Roman" w:cs="Arial"/>
          <w:b/>
        </w:rPr>
      </w:pPr>
      <w:r w:rsidRPr="005148C0">
        <w:rPr>
          <w:rFonts w:eastAsia="Times New Roman" w:cs="Arial"/>
          <w:b/>
        </w:rPr>
        <w:t>Explain each exception to the certification statement identified in Item 19, "Certification for Paperwork Reduction Act Submissions," of OMB Form 83-I.</w:t>
      </w:r>
    </w:p>
    <w:p w:rsidR="00A13C38" w:rsidRDefault="00A13C38" w:rsidP="00A13C38">
      <w:pPr>
        <w:pStyle w:val="ListParagraph"/>
        <w:ind w:left="360"/>
        <w:rPr>
          <w:rFonts w:eastAsia="Times New Roman" w:cs="Arial"/>
        </w:rPr>
      </w:pPr>
    </w:p>
    <w:p w:rsidR="00A13C38" w:rsidRDefault="00A13C38" w:rsidP="00A13C38">
      <w:pPr>
        <w:pStyle w:val="ListParagraph"/>
        <w:ind w:left="360"/>
        <w:rPr>
          <w:rFonts w:eastAsia="Times New Roman" w:cs="Arial"/>
        </w:rPr>
      </w:pPr>
      <w:r>
        <w:rPr>
          <w:rFonts w:eastAsia="Times New Roman" w:cs="Arial"/>
        </w:rPr>
        <w:t>Not available.</w:t>
      </w:r>
    </w:p>
    <w:p w:rsidR="00A13C38" w:rsidRDefault="00A13C38" w:rsidP="00A13C38">
      <w:pPr>
        <w:spacing w:after="200" w:line="276" w:lineRule="auto"/>
        <w:rPr>
          <w:rFonts w:cs="Arial"/>
        </w:rPr>
      </w:pPr>
      <w:r>
        <w:rPr>
          <w:rFonts w:cs="Arial"/>
        </w:rPr>
        <w:br w:type="page"/>
      </w:r>
    </w:p>
    <w:p w:rsidR="00A13C38" w:rsidRDefault="00A13C38" w:rsidP="00A13C38">
      <w:pPr>
        <w:pStyle w:val="Heading1"/>
        <w:numPr>
          <w:ilvl w:val="0"/>
          <w:numId w:val="5"/>
        </w:numPr>
        <w:spacing w:before="240" w:after="120"/>
      </w:pPr>
      <w:r>
        <w:lastRenderedPageBreak/>
        <w:t>Appendix A. Notice of Funds Available</w:t>
      </w:r>
    </w:p>
    <w:p w:rsidR="00A13C38" w:rsidRDefault="00A13C38" w:rsidP="00A13C38">
      <w:pPr>
        <w:spacing w:after="200" w:line="276" w:lineRule="auto"/>
        <w:rPr>
          <w:rFonts w:cs="Arial"/>
        </w:rPr>
      </w:pPr>
      <w:r w:rsidRPr="00AE3C6B">
        <w:rPr>
          <w:rFonts w:cs="Arial"/>
        </w:rPr>
        <w:t xml:space="preserve">See </w:t>
      </w:r>
      <w:r>
        <w:rPr>
          <w:rFonts w:cs="Arial"/>
        </w:rPr>
        <w:t>Attachment</w:t>
      </w:r>
      <w:r w:rsidRPr="00AE3C6B">
        <w:rPr>
          <w:rFonts w:cs="Arial"/>
        </w:rPr>
        <w:t>.</w:t>
      </w:r>
      <w:bookmarkEnd w:id="2"/>
      <w:bookmarkEnd w:id="3"/>
    </w:p>
    <w:sectPr w:rsidR="00A13C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C38" w:rsidRDefault="00A13C38" w:rsidP="00A13C38">
      <w:r>
        <w:separator/>
      </w:r>
    </w:p>
  </w:endnote>
  <w:endnote w:type="continuationSeparator" w:id="0">
    <w:p w:rsidR="00A13C38" w:rsidRDefault="00A13C38" w:rsidP="00A1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C38" w:rsidRDefault="00A13C38" w:rsidP="00A13C38">
      <w:r>
        <w:separator/>
      </w:r>
    </w:p>
  </w:footnote>
  <w:footnote w:type="continuationSeparator" w:id="0">
    <w:p w:rsidR="00A13C38" w:rsidRDefault="00A13C38" w:rsidP="00A13C38">
      <w:r>
        <w:continuationSeparator/>
      </w:r>
    </w:p>
  </w:footnote>
  <w:footnote w:id="1">
    <w:p w:rsidR="00A13C38" w:rsidRPr="007B7894" w:rsidRDefault="00A13C38" w:rsidP="00A13C38">
      <w:pPr>
        <w:pStyle w:val="FootnoteText"/>
        <w:rPr>
          <w:sz w:val="18"/>
          <w:szCs w:val="18"/>
        </w:rPr>
      </w:pPr>
      <w:r w:rsidRPr="007B7894">
        <w:rPr>
          <w:rStyle w:val="FootnoteReference"/>
          <w:sz w:val="18"/>
          <w:szCs w:val="18"/>
        </w:rPr>
        <w:footnoteRef/>
      </w:r>
      <w:r w:rsidRPr="007B7894">
        <w:rPr>
          <w:sz w:val="18"/>
          <w:szCs w:val="18"/>
        </w:rPr>
        <w:t xml:space="preserve"> </w:t>
      </w:r>
      <w:r w:rsidRPr="007B7894">
        <w:rPr>
          <w:color w:val="222222"/>
          <w:sz w:val="18"/>
          <w:szCs w:val="18"/>
          <w:shd w:val="clear" w:color="auto" w:fill="FFFFFF"/>
        </w:rPr>
        <w:t xml:space="preserve">This number is </w:t>
      </w:r>
      <w:r>
        <w:rPr>
          <w:color w:val="222222"/>
          <w:sz w:val="18"/>
          <w:szCs w:val="18"/>
          <w:shd w:val="clear" w:color="auto" w:fill="FFFFFF"/>
        </w:rPr>
        <w:t>slightly l</w:t>
      </w:r>
      <w:r w:rsidRPr="007B7894">
        <w:rPr>
          <w:color w:val="222222"/>
          <w:sz w:val="18"/>
          <w:szCs w:val="18"/>
          <w:shd w:val="clear" w:color="auto" w:fill="FFFFFF"/>
        </w:rPr>
        <w:t xml:space="preserve">arger than that shown in Table 1. The numbers in the table are from an earlier data set in which not all the ARRA PIH competitive grants had yet been implemented. </w:t>
      </w:r>
    </w:p>
  </w:footnote>
  <w:footnote w:id="2">
    <w:p w:rsidR="00A13C38" w:rsidRPr="007D454C" w:rsidRDefault="00A13C38" w:rsidP="00A13C38">
      <w:pPr>
        <w:pStyle w:val="FootnoteText"/>
        <w:rPr>
          <w:sz w:val="18"/>
          <w:szCs w:val="18"/>
        </w:rPr>
      </w:pPr>
      <w:r w:rsidRPr="007D454C">
        <w:rPr>
          <w:rStyle w:val="FootnoteReference"/>
          <w:sz w:val="18"/>
          <w:szCs w:val="18"/>
        </w:rPr>
        <w:footnoteRef/>
      </w:r>
      <w:r w:rsidRPr="007D454C">
        <w:rPr>
          <w:sz w:val="18"/>
          <w:szCs w:val="18"/>
        </w:rPr>
        <w:t>An AMP is either one building, or a collection of buildings that is managed as a single unit by a PHA. For this study we are defining “properties” as the development components according to the pre-asset management reform definition that make up each new AMP.  For this document and throughout the study we will use three terms to reflect three concepts.  Development is defined as it was in the pre-asset management reform world.  Asset Management Project (AMP) is the grouping of units and buildings that form a new “development.”  In many cases old developments have been merged into a single AMP, and in some cases developments have been split into a number of AMPs.  Property is the component of an old development that moved into a new AMP.  For a single development that moved into a single new AMP the development, property and AMP are all the same.  For an AMP that is comprised of a number of old developments, the properties in the new AMP are the old developments.  In cases where old developments were split into a number of AMPs, the property is the portion of the old development that moved into the AMP.  In this report, we use "property" and "development" interchangeably to refer to the entities used for sampling and described by analysis. (</w:t>
      </w:r>
      <w:hyperlink r:id="rId1" w:history="1">
        <w:r w:rsidRPr="007D454C">
          <w:rPr>
            <w:rStyle w:val="Hyperlink"/>
            <w:rFonts w:eastAsiaTheme="majorEastAsia"/>
            <w:sz w:val="18"/>
            <w:szCs w:val="18"/>
          </w:rPr>
          <w:t>http://portal.hud.gov/hudportal/documents/huddoc?id=PH_Capital_Needs.pdf</w:t>
        </w:r>
      </w:hyperlink>
      <w:r w:rsidRPr="007D454C">
        <w:rPr>
          <w:sz w:val="18"/>
          <w:szCs w:val="18"/>
        </w:rPr>
        <w:t>)</w:t>
      </w:r>
    </w:p>
  </w:footnote>
  <w:footnote w:id="3">
    <w:p w:rsidR="00A13C38" w:rsidRPr="007D454C" w:rsidRDefault="00A13C38" w:rsidP="00A13C38">
      <w:pPr>
        <w:pStyle w:val="FootnoteText"/>
        <w:rPr>
          <w:sz w:val="18"/>
          <w:szCs w:val="18"/>
        </w:rPr>
      </w:pPr>
      <w:r w:rsidRPr="007D454C">
        <w:rPr>
          <w:rStyle w:val="FootnoteReference"/>
          <w:sz w:val="18"/>
          <w:szCs w:val="18"/>
        </w:rPr>
        <w:footnoteRef/>
      </w:r>
      <w:r w:rsidRPr="007D454C">
        <w:rPr>
          <w:sz w:val="18"/>
          <w:szCs w:val="18"/>
        </w:rPr>
        <w:t xml:space="preserve"> Several sources were consulted to build this hourly rate estimate</w:t>
      </w:r>
      <w:r>
        <w:rPr>
          <w:sz w:val="18"/>
          <w:szCs w:val="18"/>
        </w:rPr>
        <w:t xml:space="preserve">. In particular, the Bureau of Labor Statistics National Compensation Survey reported estimates that in 2010, the average property manager made about $30.56/hour (see </w:t>
      </w:r>
      <w:hyperlink r:id="rId2" w:history="1">
        <w:r w:rsidRPr="00086348">
          <w:rPr>
            <w:rStyle w:val="Hyperlink"/>
            <w:sz w:val="18"/>
            <w:szCs w:val="18"/>
          </w:rPr>
          <w:t>http://www.bls.gov/ncs/</w:t>
        </w:r>
      </w:hyperlink>
      <w:r>
        <w:rPr>
          <w:sz w:val="18"/>
          <w:szCs w:val="18"/>
        </w:rPr>
        <w:t xml:space="preserve"> ). </w:t>
      </w:r>
    </w:p>
  </w:footnote>
  <w:footnote w:id="4">
    <w:p w:rsidR="00A13C38" w:rsidRPr="00B97B2E" w:rsidRDefault="00A13C38" w:rsidP="00A13C38">
      <w:pPr>
        <w:pStyle w:val="FootnoteText"/>
        <w:rPr>
          <w:sz w:val="18"/>
          <w:szCs w:val="18"/>
        </w:rPr>
      </w:pPr>
      <w:r w:rsidRPr="00B97B2E">
        <w:rPr>
          <w:rStyle w:val="FootnoteReference"/>
          <w:sz w:val="18"/>
          <w:szCs w:val="18"/>
        </w:rPr>
        <w:footnoteRef/>
      </w:r>
      <w:r w:rsidRPr="00B97B2E">
        <w:rPr>
          <w:sz w:val="18"/>
          <w:szCs w:val="18"/>
        </w:rPr>
        <w:t xml:space="preserve"> This standard can be downloaded here for a fee: </w:t>
      </w:r>
      <w:hyperlink r:id="rId3" w:history="1">
        <w:r w:rsidRPr="00B97B2E">
          <w:rPr>
            <w:rStyle w:val="Hyperlink"/>
            <w:rFonts w:eastAsiaTheme="majorEastAsia"/>
            <w:sz w:val="18"/>
            <w:szCs w:val="18"/>
          </w:rPr>
          <w:t>http://resourcecenter.ashrae.org/store/ashrae/newstore.cgi?itemid=9012&amp;view=item</w:t>
        </w:r>
      </w:hyperlink>
      <w:r w:rsidRPr="00B97B2E">
        <w:rPr>
          <w:sz w:val="18"/>
          <w:szCs w:val="18"/>
        </w:rPr>
        <w:t xml:space="preserve"> </w:t>
      </w:r>
    </w:p>
  </w:footnote>
  <w:footnote w:id="5">
    <w:p w:rsidR="00A13C38" w:rsidRDefault="00A13C38" w:rsidP="00A13C38">
      <w:pPr>
        <w:pStyle w:val="FootnoteText"/>
      </w:pPr>
      <w:r w:rsidRPr="00B97B2E">
        <w:rPr>
          <w:rStyle w:val="FootnoteReference"/>
          <w:sz w:val="18"/>
          <w:szCs w:val="18"/>
        </w:rPr>
        <w:footnoteRef/>
      </w:r>
      <w:r w:rsidRPr="00B97B2E">
        <w:rPr>
          <w:sz w:val="18"/>
          <w:szCs w:val="18"/>
        </w:rPr>
        <w:t xml:space="preserve"> The IPMVP Protocol can be downloaded here for free: </w:t>
      </w:r>
      <w:hyperlink r:id="rId4" w:history="1">
        <w:r w:rsidRPr="00B97B2E">
          <w:rPr>
            <w:rStyle w:val="Hyperlink"/>
            <w:rFonts w:eastAsiaTheme="majorEastAsia"/>
            <w:sz w:val="18"/>
            <w:szCs w:val="18"/>
          </w:rPr>
          <w:t>http://www.evo-world.org/index.php?option=com_content&amp;view=article&amp;id=272&amp;Itemid=279&amp;lang=en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9A7"/>
    <w:multiLevelType w:val="hybridMultilevel"/>
    <w:tmpl w:val="D28866BC"/>
    <w:lvl w:ilvl="0" w:tplc="04090001">
      <w:start w:val="1"/>
      <w:numFmt w:val="bullet"/>
      <w:lvlText w:val=""/>
      <w:lvlJc w:val="left"/>
      <w:pPr>
        <w:ind w:left="720" w:hanging="360"/>
      </w:pPr>
      <w:rPr>
        <w:rFonts w:ascii="Symbol" w:hAnsi="Symbol" w:hint="default"/>
        <w:sz w:val="22"/>
      </w:rPr>
    </w:lvl>
    <w:lvl w:ilvl="1" w:tplc="679A05B8">
      <w:numFmt w:val="bullet"/>
      <w:lvlText w:val=""/>
      <w:lvlJc w:val="left"/>
      <w:pPr>
        <w:ind w:left="1440" w:hanging="360"/>
      </w:pPr>
      <w:rPr>
        <w:rFonts w:ascii="Symbol" w:eastAsia="Times New Roman" w:hAnsi="Symbo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72D28F4"/>
    <w:multiLevelType w:val="hybridMultilevel"/>
    <w:tmpl w:val="A1A4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E90C51"/>
    <w:multiLevelType w:val="hybridMultilevel"/>
    <w:tmpl w:val="4F422E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61F0A68"/>
    <w:multiLevelType w:val="multilevel"/>
    <w:tmpl w:val="C8645AA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375D3B3D"/>
    <w:multiLevelType w:val="hybridMultilevel"/>
    <w:tmpl w:val="B0F8B9FA"/>
    <w:lvl w:ilvl="0" w:tplc="04090001">
      <w:start w:val="1"/>
      <w:numFmt w:val="bullet"/>
      <w:lvlText w:val=""/>
      <w:lvlJc w:val="left"/>
      <w:pPr>
        <w:ind w:left="720" w:hanging="360"/>
      </w:pPr>
      <w:rPr>
        <w:rFonts w:ascii="Symbol" w:hAnsi="Symbol" w:hint="default"/>
        <w:sz w:val="22"/>
      </w:rPr>
    </w:lvl>
    <w:lvl w:ilvl="1" w:tplc="679A05B8">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56E6F"/>
    <w:multiLevelType w:val="hybridMultilevel"/>
    <w:tmpl w:val="F41EE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DF7954"/>
    <w:multiLevelType w:val="multilevel"/>
    <w:tmpl w:val="C8645AA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nsid w:val="44A40EA6"/>
    <w:multiLevelType w:val="hybridMultilevel"/>
    <w:tmpl w:val="54022E28"/>
    <w:lvl w:ilvl="0" w:tplc="9A84623C">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80C2BB1"/>
    <w:multiLevelType w:val="hybridMultilevel"/>
    <w:tmpl w:val="D9786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A6D71A6"/>
    <w:multiLevelType w:val="hybridMultilevel"/>
    <w:tmpl w:val="4336EA82"/>
    <w:lvl w:ilvl="0" w:tplc="F9DE52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B931DA1"/>
    <w:multiLevelType w:val="hybridMultilevel"/>
    <w:tmpl w:val="E570B260"/>
    <w:lvl w:ilvl="0" w:tplc="04090001">
      <w:start w:val="1"/>
      <w:numFmt w:val="bullet"/>
      <w:lvlText w:val=""/>
      <w:lvlJc w:val="left"/>
      <w:pPr>
        <w:ind w:left="720" w:hanging="360"/>
      </w:pPr>
      <w:rPr>
        <w:rFonts w:ascii="Symbol" w:hAnsi="Symbol" w:hint="default"/>
        <w:sz w:val="22"/>
      </w:rPr>
    </w:lvl>
    <w:lvl w:ilvl="1" w:tplc="679A05B8">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834F5E"/>
    <w:multiLevelType w:val="hybridMultilevel"/>
    <w:tmpl w:val="4464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8D6DD6"/>
    <w:multiLevelType w:val="hybridMultilevel"/>
    <w:tmpl w:val="0CE0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2C0919"/>
    <w:multiLevelType w:val="hybridMultilevel"/>
    <w:tmpl w:val="16D090F4"/>
    <w:lvl w:ilvl="0" w:tplc="879006EE">
      <w:start w:val="1"/>
      <w:numFmt w:val="decimal"/>
      <w:lvlText w:val="%1."/>
      <w:lvlJc w:val="left"/>
      <w:pPr>
        <w:ind w:left="360" w:hanging="360"/>
      </w:pPr>
      <w:rPr>
        <w:rFonts w:ascii="Times New Roman" w:eastAsiaTheme="minorHAnsi" w:hAnsi="Times New Roman" w:cstheme="minorBidi" w:hint="default"/>
        <w:sz w:val="22"/>
      </w:rPr>
    </w:lvl>
    <w:lvl w:ilvl="1" w:tplc="679A05B8">
      <w:numFmt w:val="bullet"/>
      <w:lvlText w:val=""/>
      <w:lvlJc w:val="left"/>
      <w:pPr>
        <w:ind w:left="1080" w:hanging="360"/>
      </w:pPr>
      <w:rPr>
        <w:rFonts w:ascii="Symbol" w:eastAsia="Times New Roman" w:hAnsi="Symbo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6A5283"/>
    <w:multiLevelType w:val="hybridMultilevel"/>
    <w:tmpl w:val="85C2D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6B5155"/>
    <w:multiLevelType w:val="multilevel"/>
    <w:tmpl w:val="9F6433E2"/>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nothing"/>
      <w:lvlText w:val="Appendix %7: "/>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74CA33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C3F3FEC"/>
    <w:multiLevelType w:val="hybridMultilevel"/>
    <w:tmpl w:val="BC520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4"/>
  </w:num>
  <w:num w:numId="4">
    <w:abstractNumId w:val="1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12"/>
  </w:num>
  <w:num w:numId="10">
    <w:abstractNumId w:val="8"/>
  </w:num>
  <w:num w:numId="11">
    <w:abstractNumId w:val="14"/>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38"/>
    <w:rsid w:val="006865F4"/>
    <w:rsid w:val="007807D8"/>
    <w:rsid w:val="008C7A35"/>
    <w:rsid w:val="00A1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C3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13C38"/>
    <w:pPr>
      <w:keepNext/>
      <w:keepLines/>
      <w:overflowPunct/>
      <w:autoSpaceDE/>
      <w:autoSpaceDN/>
      <w:adjustRightInd/>
      <w:spacing w:before="480"/>
      <w:textAlignment w:val="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3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A13C38"/>
    <w:pPr>
      <w:overflowPunct/>
      <w:autoSpaceDE/>
      <w:autoSpaceDN/>
      <w:adjustRightInd/>
      <w:spacing w:after="240"/>
      <w:ind w:left="720"/>
      <w:contextualSpacing/>
      <w:textAlignment w:val="auto"/>
    </w:pPr>
    <w:rPr>
      <w:rFonts w:eastAsiaTheme="minorHAnsi" w:cstheme="minorBidi"/>
      <w:sz w:val="24"/>
      <w:szCs w:val="22"/>
    </w:rPr>
  </w:style>
  <w:style w:type="paragraph" w:styleId="FootnoteText">
    <w:name w:val="footnote text"/>
    <w:aliases w:val=" Char,Char"/>
    <w:basedOn w:val="Normal"/>
    <w:link w:val="FootnoteTextChar"/>
    <w:rsid w:val="00A13C38"/>
    <w:pPr>
      <w:overflowPunct/>
      <w:autoSpaceDE/>
      <w:autoSpaceDN/>
      <w:adjustRightInd/>
      <w:textAlignment w:val="auto"/>
    </w:pPr>
    <w:rPr>
      <w:sz w:val="24"/>
    </w:rPr>
  </w:style>
  <w:style w:type="character" w:customStyle="1" w:styleId="FootnoteTextChar">
    <w:name w:val="Footnote Text Char"/>
    <w:aliases w:val=" Char Char,Char Char"/>
    <w:basedOn w:val="DefaultParagraphFont"/>
    <w:link w:val="FootnoteText"/>
    <w:rsid w:val="00A13C38"/>
    <w:rPr>
      <w:rFonts w:ascii="Times New Roman" w:eastAsia="Times New Roman" w:hAnsi="Times New Roman" w:cs="Times New Roman"/>
      <w:sz w:val="24"/>
      <w:szCs w:val="20"/>
    </w:rPr>
  </w:style>
  <w:style w:type="character" w:styleId="FootnoteReference">
    <w:name w:val="footnote reference"/>
    <w:semiHidden/>
    <w:rsid w:val="00A13C38"/>
    <w:rPr>
      <w:vertAlign w:val="superscript"/>
    </w:rPr>
  </w:style>
  <w:style w:type="character" w:customStyle="1" w:styleId="ListParagraphChar">
    <w:name w:val="List Paragraph Char"/>
    <w:link w:val="ListParagraph"/>
    <w:uiPriority w:val="34"/>
    <w:rsid w:val="00A13C38"/>
    <w:rPr>
      <w:rFonts w:ascii="Times New Roman" w:hAnsi="Times New Roman"/>
      <w:sz w:val="24"/>
    </w:rPr>
  </w:style>
  <w:style w:type="paragraph" w:styleId="NoSpacing">
    <w:name w:val="No Spacing"/>
    <w:uiPriority w:val="1"/>
    <w:qFormat/>
    <w:rsid w:val="00A13C38"/>
    <w:pPr>
      <w:spacing w:after="0" w:line="240" w:lineRule="auto"/>
    </w:pPr>
    <w:rPr>
      <w:rFonts w:ascii="Times New Roman" w:hAnsi="Times New Roman"/>
      <w:sz w:val="24"/>
    </w:rPr>
  </w:style>
  <w:style w:type="character" w:styleId="Hyperlink">
    <w:name w:val="Hyperlink"/>
    <w:basedOn w:val="DefaultParagraphFont"/>
    <w:uiPriority w:val="99"/>
    <w:unhideWhenUsed/>
    <w:rsid w:val="00A13C38"/>
    <w:rPr>
      <w:color w:val="0000FF"/>
      <w:u w:val="single"/>
    </w:rPr>
  </w:style>
  <w:style w:type="table" w:customStyle="1" w:styleId="Summit">
    <w:name w:val="Summit"/>
    <w:basedOn w:val="TableNormal"/>
    <w:uiPriority w:val="99"/>
    <w:rsid w:val="00A13C38"/>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table" w:styleId="TableGrid">
    <w:name w:val="Table Grid"/>
    <w:basedOn w:val="TableNormal"/>
    <w:uiPriority w:val="59"/>
    <w:rsid w:val="00A13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3C3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C3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13C38"/>
    <w:pPr>
      <w:keepNext/>
      <w:keepLines/>
      <w:overflowPunct/>
      <w:autoSpaceDE/>
      <w:autoSpaceDN/>
      <w:adjustRightInd/>
      <w:spacing w:before="480"/>
      <w:textAlignment w:val="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3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A13C38"/>
    <w:pPr>
      <w:overflowPunct/>
      <w:autoSpaceDE/>
      <w:autoSpaceDN/>
      <w:adjustRightInd/>
      <w:spacing w:after="240"/>
      <w:ind w:left="720"/>
      <w:contextualSpacing/>
      <w:textAlignment w:val="auto"/>
    </w:pPr>
    <w:rPr>
      <w:rFonts w:eastAsiaTheme="minorHAnsi" w:cstheme="minorBidi"/>
      <w:sz w:val="24"/>
      <w:szCs w:val="22"/>
    </w:rPr>
  </w:style>
  <w:style w:type="paragraph" w:styleId="FootnoteText">
    <w:name w:val="footnote text"/>
    <w:aliases w:val=" Char,Char"/>
    <w:basedOn w:val="Normal"/>
    <w:link w:val="FootnoteTextChar"/>
    <w:rsid w:val="00A13C38"/>
    <w:pPr>
      <w:overflowPunct/>
      <w:autoSpaceDE/>
      <w:autoSpaceDN/>
      <w:adjustRightInd/>
      <w:textAlignment w:val="auto"/>
    </w:pPr>
    <w:rPr>
      <w:sz w:val="24"/>
    </w:rPr>
  </w:style>
  <w:style w:type="character" w:customStyle="1" w:styleId="FootnoteTextChar">
    <w:name w:val="Footnote Text Char"/>
    <w:aliases w:val=" Char Char,Char Char"/>
    <w:basedOn w:val="DefaultParagraphFont"/>
    <w:link w:val="FootnoteText"/>
    <w:rsid w:val="00A13C38"/>
    <w:rPr>
      <w:rFonts w:ascii="Times New Roman" w:eastAsia="Times New Roman" w:hAnsi="Times New Roman" w:cs="Times New Roman"/>
      <w:sz w:val="24"/>
      <w:szCs w:val="20"/>
    </w:rPr>
  </w:style>
  <w:style w:type="character" w:styleId="FootnoteReference">
    <w:name w:val="footnote reference"/>
    <w:semiHidden/>
    <w:rsid w:val="00A13C38"/>
    <w:rPr>
      <w:vertAlign w:val="superscript"/>
    </w:rPr>
  </w:style>
  <w:style w:type="character" w:customStyle="1" w:styleId="ListParagraphChar">
    <w:name w:val="List Paragraph Char"/>
    <w:link w:val="ListParagraph"/>
    <w:uiPriority w:val="34"/>
    <w:rsid w:val="00A13C38"/>
    <w:rPr>
      <w:rFonts w:ascii="Times New Roman" w:hAnsi="Times New Roman"/>
      <w:sz w:val="24"/>
    </w:rPr>
  </w:style>
  <w:style w:type="paragraph" w:styleId="NoSpacing">
    <w:name w:val="No Spacing"/>
    <w:uiPriority w:val="1"/>
    <w:qFormat/>
    <w:rsid w:val="00A13C38"/>
    <w:pPr>
      <w:spacing w:after="0" w:line="240" w:lineRule="auto"/>
    </w:pPr>
    <w:rPr>
      <w:rFonts w:ascii="Times New Roman" w:hAnsi="Times New Roman"/>
      <w:sz w:val="24"/>
    </w:rPr>
  </w:style>
  <w:style w:type="character" w:styleId="Hyperlink">
    <w:name w:val="Hyperlink"/>
    <w:basedOn w:val="DefaultParagraphFont"/>
    <w:uiPriority w:val="99"/>
    <w:unhideWhenUsed/>
    <w:rsid w:val="00A13C38"/>
    <w:rPr>
      <w:color w:val="0000FF"/>
      <w:u w:val="single"/>
    </w:rPr>
  </w:style>
  <w:style w:type="table" w:customStyle="1" w:styleId="Summit">
    <w:name w:val="Summit"/>
    <w:basedOn w:val="TableNormal"/>
    <w:uiPriority w:val="99"/>
    <w:rsid w:val="00A13C38"/>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table" w:styleId="TableGrid">
    <w:name w:val="Table Grid"/>
    <w:basedOn w:val="TableNormal"/>
    <w:uiPriority w:val="59"/>
    <w:rsid w:val="00A13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3C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resourcecenter.ashrae.org/store/ashrae/newstore.cgi?itemid=9012&amp;view=item" TargetMode="External"/><Relationship Id="rId2" Type="http://schemas.openxmlformats.org/officeDocument/2006/relationships/hyperlink" Target="http://www.bls.gov/ncs/" TargetMode="External"/><Relationship Id="rId1" Type="http://schemas.openxmlformats.org/officeDocument/2006/relationships/hyperlink" Target="http://portal.hud.gov/hudportal/documents/huddoc?id=PH_Capital_Needs.pdf" TargetMode="External"/><Relationship Id="rId4" Type="http://schemas.openxmlformats.org/officeDocument/2006/relationships/hyperlink" Target="http://www.evo-world.org/index.php?option=com_content&amp;view=article&amp;id=272&amp;Itemid=279&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Early</dc:creator>
  <cp:lastModifiedBy>Michael J. Early</cp:lastModifiedBy>
  <cp:revision>3</cp:revision>
  <dcterms:created xsi:type="dcterms:W3CDTF">2014-09-17T15:47:00Z</dcterms:created>
  <dcterms:modified xsi:type="dcterms:W3CDTF">2014-09-17T15:55:00Z</dcterms:modified>
</cp:coreProperties>
</file>