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r>
              <w:rPr>
                <w:rFonts w:ascii="Helvetica" w:hAnsi="Helvetica"/>
                <w:b/>
                <w:color w:val="000000"/>
                <w:sz w:val="18"/>
              </w:rPr>
              <w:t>U.S.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Pr="00337EDD" w:rsidRDefault="00354A58" w:rsidP="00337EDD">
            <w:pPr>
              <w:spacing w:before="120"/>
              <w:rPr>
                <w:rFonts w:ascii="Helvetica" w:hAnsi="Helvetica"/>
                <w:color w:val="000000"/>
              </w:rPr>
            </w:pP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8924FD">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8924FD">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354A58" w:rsidRDefault="008924FD">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bookmarkStart w:id="0" w:name="Check10"/>
            <w:r>
              <w:rPr>
                <w:rFonts w:ascii="Helvetica" w:hAnsi="Helvetica"/>
                <w:b/>
                <w:color w:val="000000"/>
              </w:rPr>
              <w:instrText xml:space="preserve"> FORMCHECKBOX </w:instrText>
            </w:r>
            <w:r w:rsidR="00FE7FE5">
              <w:rPr>
                <w:rFonts w:ascii="Helvetica" w:hAnsi="Helvetica"/>
                <w:b/>
                <w:color w:val="000000"/>
              </w:rPr>
            </w:r>
            <w:r w:rsidR="00FE7FE5">
              <w:rPr>
                <w:rFonts w:ascii="Helvetica" w:hAnsi="Helvetica"/>
                <w:b/>
                <w:color w:val="000000"/>
              </w:rPr>
              <w:fldChar w:fldCharType="separate"/>
            </w:r>
            <w:r>
              <w:rPr>
                <w:rFonts w:ascii="Helvetica" w:hAnsi="Helvetica"/>
                <w:b/>
                <w:color w:val="000000"/>
              </w:rPr>
              <w:fldChar w:fldCharType="end"/>
            </w:r>
            <w:bookmarkEnd w:id="0"/>
            <w:r w:rsidR="00354A58">
              <w:rPr>
                <w:rFonts w:ascii="Helvetica" w:hAnsi="Helvetica"/>
                <w:b/>
                <w:color w:val="000000"/>
              </w:rPr>
              <w:t xml:space="preserve">  </w:t>
            </w:r>
            <w:r w:rsidR="00354A58">
              <w:rPr>
                <w:rFonts w:ascii="Helvetica" w:hAnsi="Helvetica"/>
                <w:color w:val="000000"/>
                <w:sz w:val="16"/>
              </w:rPr>
              <w:t>Regular</w:t>
            </w:r>
          </w:p>
          <w:p w:rsidR="004C203E" w:rsidRPr="004C203E" w:rsidRDefault="008924FD" w:rsidP="004C203E">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1"/>
                  </w:checkBox>
                </w:ffData>
              </w:fldChar>
            </w:r>
            <w:r>
              <w:rPr>
                <w:rFonts w:ascii="Helvetica" w:hAnsi="Helvetica"/>
                <w:b/>
                <w:color w:val="000000"/>
              </w:rPr>
              <w:instrText xml:space="preserve"> FORMCHECKBOX </w:instrText>
            </w:r>
            <w:r w:rsidR="00FE7FE5">
              <w:rPr>
                <w:rFonts w:ascii="Helvetica" w:hAnsi="Helvetica"/>
                <w:b/>
                <w:color w:val="000000"/>
              </w:rPr>
            </w:r>
            <w:r w:rsidR="00FE7FE5">
              <w:rPr>
                <w:rFonts w:ascii="Helvetica" w:hAnsi="Helvetica"/>
                <w:b/>
                <w:color w:val="000000"/>
              </w:rPr>
              <w:fldChar w:fldCharType="separate"/>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w:t>
            </w:r>
          </w:p>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AE162A">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8924FD">
              <w:rPr>
                <w:rFonts w:ascii="Helvetica" w:hAnsi="Helvetica"/>
                <w:b/>
                <w:color w:val="000000"/>
                <w:sz w:val="18"/>
              </w:rPr>
              <w:fldChar w:fldCharType="begin">
                <w:ffData>
                  <w:name w:val=""/>
                  <w:enabled/>
                  <w:calcOnExit w:val="0"/>
                  <w:checkBox>
                    <w:sizeAuto/>
                    <w:default w:val="1"/>
                  </w:checkBox>
                </w:ffData>
              </w:fldChar>
            </w:r>
            <w:r w:rsidR="008924FD">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8924FD">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t xml:space="preserve">b. </w:t>
            </w:r>
            <w:r w:rsidR="00AE162A">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p>
          <w:p w:rsidR="00354A58" w:rsidRPr="003A3307" w:rsidRDefault="00BC4702" w:rsidP="00225A41">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6D2F38">
      <w:pPr>
        <w:tabs>
          <w:tab w:val="left" w:pos="240"/>
        </w:tabs>
        <w:spacing w:after="40"/>
        <w:ind w:left="120" w:right="-120"/>
        <w:rPr>
          <w:rFonts w:ascii="Helvetica" w:hAnsi="Helvetica"/>
          <w:color w:val="000000"/>
          <w:sz w:val="18"/>
        </w:rPr>
      </w:pPr>
      <w:r>
        <w:rPr>
          <w:rFonts w:ascii="Helvetica" w:hAnsi="Helvetica"/>
          <w:b/>
          <w:noProof/>
          <w:sz w:val="18"/>
        </w:rPr>
        <w:t xml:space="preserve">Community Development Block Grant </w:t>
      </w:r>
      <w:r w:rsidR="00EC5912">
        <w:rPr>
          <w:rFonts w:ascii="Helvetica" w:hAnsi="Helvetica"/>
          <w:b/>
          <w:noProof/>
          <w:sz w:val="18"/>
        </w:rPr>
        <w:t xml:space="preserve">National </w:t>
      </w:r>
      <w:r>
        <w:rPr>
          <w:rFonts w:ascii="Helvetica" w:hAnsi="Helvetica"/>
          <w:b/>
          <w:noProof/>
          <w:sz w:val="18"/>
        </w:rPr>
        <w:t xml:space="preserve">Disaster </w:t>
      </w:r>
      <w:r w:rsidR="00EC5912">
        <w:rPr>
          <w:rFonts w:ascii="Helvetica" w:hAnsi="Helvetica"/>
          <w:b/>
          <w:noProof/>
          <w:sz w:val="18"/>
        </w:rPr>
        <w:t xml:space="preserve">Resilience </w:t>
      </w:r>
      <w:r>
        <w:rPr>
          <w:rFonts w:ascii="Helvetica" w:hAnsi="Helvetica"/>
          <w:b/>
          <w:noProof/>
          <w:sz w:val="18"/>
        </w:rPr>
        <w:t xml:space="preserve">(CDBG-RDR) Phase 1 Application </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795A43" w:rsidRPr="007B0C87" w:rsidRDefault="00795A43">
      <w:pPr>
        <w:pBdr>
          <w:top w:val="single" w:sz="6" w:space="0" w:color="auto"/>
        </w:pBdr>
        <w:tabs>
          <w:tab w:val="left" w:pos="240"/>
        </w:tabs>
        <w:spacing w:line="180" w:lineRule="exact"/>
        <w:rPr>
          <w:rFonts w:ascii="Helvetica" w:hAnsi="Helvetica"/>
          <w:noProof/>
          <w:sz w:val="18"/>
        </w:rPr>
      </w:pPr>
      <w:r w:rsidRPr="007B0C87">
        <w:rPr>
          <w:rFonts w:ascii="Helvetica" w:hAnsi="Helvetica"/>
          <w:noProof/>
          <w:sz w:val="18"/>
        </w:rPr>
        <w:t>SF-424, SF-LLL, HUD-96011</w:t>
      </w:r>
    </w:p>
    <w:p w:rsidR="007B0C87" w:rsidRDefault="007B0C87">
      <w:pPr>
        <w:pBdr>
          <w:top w:val="single" w:sz="6" w:space="0" w:color="auto"/>
        </w:pBdr>
        <w:tabs>
          <w:tab w:val="left" w:pos="240"/>
        </w:tabs>
        <w:rPr>
          <w:rFonts w:ascii="Helvetica" w:hAnsi="Helvetica"/>
          <w:color w:val="000000"/>
          <w:sz w:val="16"/>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6D2F38" w:rsidP="007753C0">
      <w:pPr>
        <w:spacing w:after="40"/>
        <w:ind w:left="120"/>
        <w:rPr>
          <w:rFonts w:ascii="Helvetica" w:hAnsi="Helvetica"/>
          <w:noProof/>
          <w:sz w:val="18"/>
        </w:rPr>
      </w:pPr>
      <w:r>
        <w:rPr>
          <w:rFonts w:ascii="Helvetica" w:hAnsi="Helvetica"/>
          <w:noProof/>
          <w:sz w:val="18"/>
        </w:rPr>
        <w:t>Community Development Block Grant</w:t>
      </w:r>
      <w:r w:rsidR="007753C0">
        <w:rPr>
          <w:rFonts w:ascii="Helvetica" w:hAnsi="Helvetica"/>
          <w:noProof/>
          <w:sz w:val="18"/>
        </w:rPr>
        <w:t>, Grants Admin</w:t>
      </w:r>
      <w:r w:rsidR="00333599">
        <w:rPr>
          <w:rFonts w:ascii="Helvetica" w:hAnsi="Helvetica"/>
          <w:noProof/>
          <w:sz w:val="18"/>
        </w:rPr>
        <w:t>is</w:t>
      </w:r>
      <w:r w:rsidR="007753C0">
        <w:rPr>
          <w:rFonts w:ascii="Helvetica" w:hAnsi="Helvetica"/>
          <w:noProof/>
          <w:sz w:val="18"/>
        </w:rPr>
        <w:t xml:space="preserve">tration, </w:t>
      </w:r>
      <w:r>
        <w:rPr>
          <w:rFonts w:ascii="Helvetica" w:hAnsi="Helvetica"/>
          <w:noProof/>
          <w:sz w:val="18"/>
        </w:rPr>
        <w:t>NOFA</w:t>
      </w:r>
      <w:r w:rsidR="00354A58">
        <w:rPr>
          <w:rFonts w:ascii="Helvetica" w:hAnsi="Helvetica"/>
          <w:noProof/>
          <w:sz w:val="18"/>
        </w:rPr>
        <w:t>,</w:t>
      </w:r>
      <w:r w:rsidR="007753C0">
        <w:rPr>
          <w:rFonts w:ascii="Helvetica" w:hAnsi="Helvetica"/>
          <w:noProof/>
          <w:sz w:val="18"/>
        </w:rPr>
        <w:t xml:space="preserve"> </w:t>
      </w:r>
      <w:r w:rsidR="00333599">
        <w:rPr>
          <w:rFonts w:ascii="Helvetica" w:hAnsi="Helvetica"/>
          <w:noProof/>
          <w:sz w:val="18"/>
        </w:rPr>
        <w:t>Community Development</w:t>
      </w:r>
      <w:r>
        <w:rPr>
          <w:rFonts w:ascii="Helvetica" w:hAnsi="Helvetica"/>
          <w:noProof/>
          <w:sz w:val="18"/>
        </w:rPr>
        <w:t>, Resilience</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EC5912" w:rsidRPr="00EC5912" w:rsidRDefault="00EC5912" w:rsidP="00EC5912">
      <w:pPr>
        <w:tabs>
          <w:tab w:val="left" w:pos="-720"/>
        </w:tabs>
        <w:suppressAutoHyphens/>
        <w:rPr>
          <w:color w:val="000000"/>
          <w:sz w:val="18"/>
        </w:rPr>
      </w:pPr>
      <w:r w:rsidRPr="00EC5912">
        <w:rPr>
          <w:color w:val="000000"/>
          <w:sz w:val="18"/>
        </w:rPr>
        <w:t>This information describes the application requirements of Community Development Block Grant National Disaster Resilience (CDBG-NDR) Notice of Funding Availability (NOFA) Phase 1. The data required includes information needed to complete a single written request describing “most impacted and distressed” and “unmet needs” threshold responses for one or more potential target areas program level being considered by each CDBG-</w:t>
      </w:r>
      <w:bookmarkStart w:id="1" w:name="_GoBack"/>
      <w:bookmarkEnd w:id="1"/>
      <w:r w:rsidRPr="00EC5912">
        <w:rPr>
          <w:color w:val="000000"/>
          <w:sz w:val="18"/>
        </w:rPr>
        <w:t>NDR Applicant, which may be submitted up to 45 days after CDBG-NDR  publication for HUD to review in advance of full Phase 1 Application submissions. The respondents are 67 eligible local and State governments that experienced a presidentially-declared major disaster during 2011-2013 as identified in the CDBG-NDR NOFA.</w:t>
      </w:r>
    </w:p>
    <w:p w:rsidR="00354A58" w:rsidRDefault="00354A58">
      <w:pPr>
        <w:pStyle w:val="BodyText3"/>
      </w:pPr>
    </w:p>
    <w:tbl>
      <w:tblPr>
        <w:tblW w:w="0" w:type="auto"/>
        <w:tblLayout w:type="fixed"/>
        <w:tblLook w:val="0000" w:firstRow="0" w:lastRow="0" w:firstColumn="0" w:lastColumn="0" w:noHBand="0" w:noVBand="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AE162A" w:rsidRPr="00D2515B">
              <w:rPr>
                <w:rFonts w:ascii="Helvetica" w:hAnsi="Helvetica"/>
                <w:b/>
                <w:color w:val="000000"/>
                <w:sz w:val="18"/>
              </w:rPr>
              <w:fldChar w:fldCharType="begin">
                <w:ffData>
                  <w:name w:val="Text17"/>
                  <w:enabled/>
                  <w:calcOnExit w:val="0"/>
                  <w:textInput>
                    <w:maxLength w:val="1"/>
                  </w:textInput>
                </w:ffData>
              </w:fldChar>
            </w:r>
            <w:bookmarkStart w:id="2" w:name="Text1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2"/>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rsidP="003F73D5">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AE162A" w:rsidRPr="00D2515B">
              <w:rPr>
                <w:rFonts w:ascii="Helvetica" w:hAnsi="Helvetica"/>
                <w:b/>
                <w:color w:val="000000"/>
                <w:sz w:val="18"/>
              </w:rPr>
              <w:fldChar w:fldCharType="begin">
                <w:ffData>
                  <w:name w:val="Text25"/>
                  <w:enabled/>
                  <w:calcOnExit w:val="0"/>
                  <w:textInput>
                    <w:maxLength w:val="1"/>
                  </w:textInput>
                </w:ffData>
              </w:fldChar>
            </w:r>
            <w:bookmarkStart w:id="3" w:name="Text25"/>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3"/>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AE162A" w:rsidRPr="00D2515B">
              <w:rPr>
                <w:rFonts w:ascii="Helvetica" w:hAnsi="Helvetica"/>
                <w:b/>
                <w:color w:val="000000"/>
                <w:sz w:val="18"/>
              </w:rPr>
              <w:fldChar w:fldCharType="begin">
                <w:ffData>
                  <w:name w:val="Text27"/>
                  <w:enabled/>
                  <w:calcOnExit w:val="0"/>
                  <w:textInput>
                    <w:maxLength w:val="1"/>
                  </w:textInput>
                </w:ffData>
              </w:fldChar>
            </w:r>
            <w:bookmarkStart w:id="4" w:name="Text2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4"/>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Pr="00EF2BF1">
              <w:rPr>
                <w:rFonts w:ascii="Helvetica" w:hAnsi="Helvetica"/>
                <w:color w:val="000000"/>
                <w:sz w:val="14"/>
              </w:rPr>
              <w:t>Annual reporting and recordkeeping hour burden:</w:t>
            </w:r>
          </w:p>
          <w:p w:rsidR="003A412A"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a. Number of respondents</w:t>
            </w:r>
            <w:r w:rsidRPr="00EF2BF1">
              <w:rPr>
                <w:rFonts w:ascii="Helvetica" w:hAnsi="Helvetica"/>
                <w:color w:val="000000"/>
                <w:sz w:val="16"/>
                <w:szCs w:val="16"/>
              </w:rPr>
              <w:tab/>
            </w:r>
            <w:r w:rsidR="00272CEE">
              <w:rPr>
                <w:rFonts w:ascii="Helvetica" w:hAnsi="Helvetica"/>
                <w:color w:val="000000"/>
                <w:sz w:val="16"/>
                <w:szCs w:val="16"/>
              </w:rPr>
              <w:t>67</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b. Total annual responses</w:t>
            </w:r>
            <w:r w:rsidRPr="00EF2BF1">
              <w:rPr>
                <w:rFonts w:ascii="Helvetica" w:hAnsi="Helvetica"/>
                <w:color w:val="000000"/>
                <w:sz w:val="16"/>
                <w:szCs w:val="16"/>
              </w:rPr>
              <w:tab/>
            </w:r>
            <w:r w:rsidR="00272CEE">
              <w:rPr>
                <w:rFonts w:ascii="Helvetica" w:hAnsi="Helvetica"/>
                <w:color w:val="000000"/>
                <w:sz w:val="16"/>
                <w:szCs w:val="16"/>
              </w:rPr>
              <w:t>134</w:t>
            </w:r>
          </w:p>
          <w:p w:rsidR="00354A58" w:rsidRPr="00EF2BF1"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EF2BF1">
              <w:rPr>
                <w:rFonts w:ascii="Helvetica" w:hAnsi="Helvetica"/>
                <w:color w:val="000000"/>
                <w:sz w:val="16"/>
                <w:szCs w:val="16"/>
              </w:rPr>
              <w:t xml:space="preserve">Percentage of these responses collected electronically </w:t>
            </w:r>
            <w:r w:rsidRPr="00EF2BF1">
              <w:rPr>
                <w:rFonts w:ascii="Helvetica" w:hAnsi="Helvetica"/>
                <w:color w:val="000000"/>
                <w:sz w:val="16"/>
                <w:szCs w:val="16"/>
              </w:rPr>
              <w:tab/>
            </w:r>
            <w:r w:rsidR="00711139">
              <w:rPr>
                <w:rFonts w:ascii="Helvetica" w:hAnsi="Helvetica"/>
                <w:color w:val="000000"/>
                <w:sz w:val="16"/>
                <w:szCs w:val="16"/>
              </w:rPr>
              <w:t>100</w:t>
            </w:r>
            <w:r w:rsidR="00874F91">
              <w:rPr>
                <w:rFonts w:ascii="Helvetica" w:hAnsi="Helvetica"/>
                <w:color w:val="000000"/>
                <w:sz w:val="16"/>
                <w:szCs w:val="16"/>
              </w:rPr>
              <w:t>%</w:t>
            </w:r>
          </w:p>
          <w:p w:rsidR="00354A58" w:rsidRPr="00EF2BF1" w:rsidRDefault="0006273C"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c. Total</w:t>
            </w:r>
            <w:r w:rsidR="00BC4702" w:rsidRPr="00EF2BF1">
              <w:rPr>
                <w:rFonts w:ascii="Helvetica" w:hAnsi="Helvetica"/>
                <w:color w:val="000000"/>
                <w:sz w:val="16"/>
                <w:szCs w:val="16"/>
              </w:rPr>
              <w:t xml:space="preserve"> hours requested</w:t>
            </w:r>
            <w:r w:rsidR="00BC4702" w:rsidRPr="00EF2BF1">
              <w:rPr>
                <w:rFonts w:ascii="Helvetica" w:hAnsi="Helvetica"/>
                <w:color w:val="000000"/>
                <w:sz w:val="16"/>
                <w:szCs w:val="16"/>
              </w:rPr>
              <w:tab/>
            </w:r>
            <w:r w:rsidR="00874F91" w:rsidRPr="00874F91">
              <w:rPr>
                <w:rFonts w:ascii="Helvetica" w:hAnsi="Helvetica"/>
                <w:color w:val="000000"/>
                <w:sz w:val="16"/>
                <w:szCs w:val="16"/>
              </w:rPr>
              <w:t>11,509</w:t>
            </w:r>
          </w:p>
          <w:p w:rsidR="00354A58" w:rsidRPr="00EF2BF1" w:rsidRDefault="00225A41"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d. Current OMB inventory</w:t>
            </w:r>
            <w:r>
              <w:rPr>
                <w:rFonts w:ascii="Helvetica" w:hAnsi="Helvetica"/>
                <w:color w:val="000000"/>
                <w:sz w:val="16"/>
                <w:szCs w:val="16"/>
              </w:rPr>
              <w:tab/>
            </w:r>
            <w:r w:rsidR="003F73D5">
              <w:rPr>
                <w:rFonts w:ascii="Helvetica" w:hAnsi="Helvetica"/>
                <w:color w:val="000000"/>
                <w:sz w:val="16"/>
                <w:szCs w:val="16"/>
              </w:rPr>
              <w:t>N/A</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e. Difference (+,-)</w:t>
            </w:r>
            <w:r w:rsidRPr="00EF2BF1">
              <w:rPr>
                <w:rFonts w:ascii="Helvetica" w:hAnsi="Helvetica"/>
                <w:color w:val="000000"/>
                <w:sz w:val="16"/>
                <w:szCs w:val="16"/>
              </w:rPr>
              <w:tab/>
            </w:r>
            <w:r w:rsidR="003F73D5">
              <w:rPr>
                <w:rFonts w:ascii="Helvetica" w:hAnsi="Helvetica"/>
                <w:color w:val="000000"/>
                <w:sz w:val="16"/>
                <w:szCs w:val="16"/>
              </w:rPr>
              <w:t>N/A</w:t>
            </w:r>
          </w:p>
          <w:p w:rsidR="00354A58" w:rsidRPr="00EF2BF1"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EF2BF1">
              <w:rPr>
                <w:rFonts w:ascii="Helvetica" w:hAnsi="Helvetica"/>
                <w:color w:val="000000"/>
                <w:sz w:val="16"/>
                <w:szCs w:val="16"/>
              </w:rPr>
              <w:t>f. Explanation of difference:</w:t>
            </w:r>
          </w:p>
          <w:p w:rsidR="00354A58" w:rsidRPr="00EF2BF1"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EF2BF1">
              <w:rPr>
                <w:rFonts w:ascii="Helvetica" w:hAnsi="Helvetica"/>
                <w:color w:val="000000"/>
                <w:sz w:val="16"/>
                <w:szCs w:val="16"/>
              </w:rPr>
              <w:t>1. Program change:</w:t>
            </w:r>
            <w:r w:rsidRPr="00EF2BF1">
              <w:rPr>
                <w:rFonts w:ascii="Helvetica" w:hAnsi="Helvetica"/>
                <w:color w:val="000000"/>
                <w:sz w:val="16"/>
                <w:szCs w:val="16"/>
              </w:rPr>
              <w:tab/>
            </w:r>
          </w:p>
          <w:p w:rsidR="00354A58" w:rsidRPr="00D2515B" w:rsidRDefault="00BC4702" w:rsidP="003F73D5">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EF2BF1">
              <w:rPr>
                <w:rFonts w:ascii="Helvetica" w:hAnsi="Helvetica"/>
                <w:color w:val="000000"/>
                <w:sz w:val="16"/>
                <w:szCs w:val="16"/>
              </w:rPr>
              <w:t>2. Adjustment:</w:t>
            </w:r>
            <w:r w:rsidR="00354A58" w:rsidRPr="00D2515B">
              <w:rPr>
                <w:rFonts w:ascii="Helvetica" w:hAnsi="Helvetica"/>
                <w:color w:val="000000"/>
                <w:sz w:val="16"/>
                <w:szCs w:val="16"/>
              </w:rPr>
              <w:tab/>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D2515B" w:rsidRDefault="00BC4702">
            <w:pPr>
              <w:tabs>
                <w:tab w:val="left" w:pos="240"/>
                <w:tab w:val="right" w:pos="4800"/>
              </w:tabs>
              <w:ind w:left="120"/>
              <w:rPr>
                <w:rFonts w:ascii="Helvetica" w:hAnsi="Helvetica"/>
                <w:color w:val="000000"/>
                <w:sz w:val="16"/>
                <w:szCs w:val="16"/>
              </w:rPr>
            </w:pPr>
            <w:r w:rsidRPr="00D2515B">
              <w:rPr>
                <w:rFonts w:ascii="Helvetica" w:hAnsi="Helvetica"/>
                <w:color w:val="000000"/>
                <w:sz w:val="16"/>
                <w:szCs w:val="16"/>
              </w:rPr>
              <w:t>a. Total annualized capital/startup costs</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b. Total annual costs (O&amp;M)</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c. Total annualized cost requested</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d. Current OMB inventory</w:t>
            </w:r>
            <w:r w:rsidRPr="00D2515B">
              <w:rPr>
                <w:rFonts w:ascii="Helvetica" w:hAnsi="Helvetica"/>
                <w:color w:val="000000"/>
                <w:sz w:val="16"/>
                <w:szCs w:val="16"/>
              </w:rPr>
              <w:tab/>
              <w:t>0</w:t>
            </w:r>
          </w:p>
          <w:p w:rsidR="00354A58" w:rsidRPr="00D2515B" w:rsidRDefault="00BC4702">
            <w:pPr>
              <w:tabs>
                <w:tab w:val="left" w:pos="132"/>
                <w:tab w:val="right" w:pos="4800"/>
              </w:tabs>
              <w:ind w:left="132"/>
              <w:rPr>
                <w:rFonts w:ascii="Helvetica" w:hAnsi="Helvetica"/>
                <w:color w:val="000000"/>
                <w:sz w:val="16"/>
                <w:szCs w:val="16"/>
              </w:rPr>
            </w:pPr>
            <w:r w:rsidRPr="00D2515B">
              <w:rPr>
                <w:rFonts w:ascii="Helvetica" w:hAnsi="Helvetica"/>
                <w:color w:val="000000"/>
                <w:sz w:val="16"/>
                <w:szCs w:val="16"/>
              </w:rPr>
              <w:t>e. Difference</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f. Explanation of difference:</w:t>
            </w:r>
          </w:p>
          <w:p w:rsidR="00354A58" w:rsidRPr="00D2515B" w:rsidRDefault="00BC4702">
            <w:pPr>
              <w:numPr>
                <w:ilvl w:val="12"/>
                <w:numId w:val="0"/>
              </w:numPr>
              <w:tabs>
                <w:tab w:val="left" w:pos="240"/>
                <w:tab w:val="right" w:pos="4800"/>
              </w:tabs>
              <w:ind w:left="360" w:hanging="108"/>
              <w:rPr>
                <w:rFonts w:ascii="Helvetica" w:hAnsi="Helvetica"/>
                <w:color w:val="000000"/>
                <w:sz w:val="16"/>
                <w:szCs w:val="16"/>
              </w:rPr>
            </w:pPr>
            <w:r w:rsidRPr="00D2515B">
              <w:rPr>
                <w:rFonts w:ascii="Helvetica" w:hAnsi="Helvetica"/>
                <w:color w:val="000000"/>
                <w:sz w:val="16"/>
                <w:szCs w:val="16"/>
              </w:rPr>
              <w:t>1. Program change:</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D2515B">
              <w:rPr>
                <w:rFonts w:ascii="Helvetica" w:hAnsi="Helvetica"/>
                <w:color w:val="000000"/>
                <w:sz w:val="16"/>
                <w:szCs w:val="16"/>
              </w:rPr>
              <w:t>2. Adjustment:</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Text16"/>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proofErr w:type="gramStart"/>
            <w:r w:rsidR="003F73D5">
              <w:rPr>
                <w:rFonts w:ascii="Helvetica" w:hAnsi="Helvetica"/>
                <w:b/>
                <w:color w:val="000000"/>
              </w:rPr>
              <w:t>P</w:t>
            </w:r>
            <w:r>
              <w:rPr>
                <w:rFonts w:ascii="Helvetica" w:hAnsi="Helvetica"/>
                <w:b/>
                <w:color w:val="000000"/>
              </w:rPr>
              <w:t xml:space="preserve">  </w:t>
            </w:r>
            <w:r>
              <w:rPr>
                <w:rFonts w:ascii="Helvetica" w:hAnsi="Helvetica"/>
                <w:color w:val="000000"/>
                <w:sz w:val="16"/>
              </w:rPr>
              <w:t>Application</w:t>
            </w:r>
            <w:proofErr w:type="gramEnd"/>
            <w:r>
              <w:rPr>
                <w:rFonts w:ascii="Helvetica" w:hAnsi="Helvetica"/>
                <w:color w:val="000000"/>
                <w:sz w:val="16"/>
              </w:rPr>
              <w:t xml:space="preserve"> for benefits</w:t>
            </w:r>
            <w:r>
              <w:rPr>
                <w:rFonts w:ascii="Helvetica" w:hAnsi="Helvetica"/>
                <w:color w:val="000000"/>
                <w:sz w:val="16"/>
              </w:rPr>
              <w:tab/>
              <w:t xml:space="preserve">e. </w:t>
            </w:r>
            <w:r w:rsidR="003F73D5">
              <w:rPr>
                <w:rFonts w:ascii="Helvetica" w:hAnsi="Helvetica"/>
                <w:b/>
                <w:color w:val="000000"/>
              </w:rPr>
              <w:t xml:space="preserve">  </w:t>
            </w:r>
            <w:r>
              <w:rPr>
                <w:rFonts w:ascii="Helvetica" w:hAnsi="Helvetica"/>
                <w:b/>
                <w:color w:val="000000"/>
              </w:rPr>
              <w:t xml:space="preserve">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3F73D5">
              <w:rPr>
                <w:rFonts w:ascii="Helvetica" w:hAnsi="Helvetica"/>
                <w:color w:val="000000"/>
                <w:sz w:val="16"/>
              </w:rPr>
              <w:t xml:space="preserve">   </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3F73D5">
              <w:rPr>
                <w:rFonts w:ascii="Helvetica" w:hAnsi="Helvetica"/>
                <w:b/>
                <w:color w:val="000000"/>
              </w:rPr>
              <w:t xml:space="preserve">  </w:t>
            </w:r>
            <w:r>
              <w:rPr>
                <w:rFonts w:ascii="Helvetica" w:hAnsi="Helvetica"/>
                <w:b/>
                <w:color w:val="000000"/>
              </w:rPr>
              <w:t xml:space="preserve">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272CEE">
              <w:rPr>
                <w:rFonts w:ascii="Helvetica" w:hAnsi="Helvetica"/>
                <w:b/>
                <w:color w:val="000000"/>
                <w:sz w:val="18"/>
              </w:rPr>
              <w:fldChar w:fldCharType="begin">
                <w:ffData>
                  <w:name w:val=""/>
                  <w:enabled/>
                  <w:calcOnExit w:val="0"/>
                  <w:checkBox>
                    <w:sizeAuto/>
                    <w:default w:val="0"/>
                  </w:checkBox>
                </w:ffData>
              </w:fldChar>
            </w:r>
            <w:r w:rsidR="00272CEE">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272CEE">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rsidP="007D72D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AE162A">
              <w:rPr>
                <w:rFonts w:ascii="Helvetica" w:hAnsi="Helvetica"/>
                <w:b/>
                <w:color w:val="000000"/>
                <w:sz w:val="18"/>
              </w:rPr>
              <w:fldChar w:fldCharType="begin">
                <w:ffData>
                  <w:name w:val=""/>
                  <w:enabled/>
                  <w:calcOnExit w:val="0"/>
                  <w:checkBox>
                    <w:sizeAuto/>
                    <w:default w:val="0"/>
                  </w:checkBox>
                </w:ffData>
              </w:fldChar>
            </w:r>
            <w:r w:rsidR="00417A35">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AE162A">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FE7FE5">
              <w:rPr>
                <w:rFonts w:ascii="Helvetica" w:hAnsi="Helvetica"/>
                <w:b/>
                <w:color w:val="000000"/>
                <w:sz w:val="18"/>
              </w:rPr>
            </w:r>
            <w:r w:rsidR="00FE7FE5">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9"/>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AE162A">
      <w:pPr>
        <w:tabs>
          <w:tab w:val="left" w:pos="240"/>
        </w:tabs>
        <w:ind w:left="240"/>
      </w:pPr>
      <w:r>
        <w:fldChar w:fldCharType="begin">
          <w:ffData>
            <w:name w:val="Text20"/>
            <w:enabled/>
            <w:calcOnExit w:val="0"/>
            <w:textInput/>
          </w:ffData>
        </w:fldChar>
      </w:r>
      <w:bookmarkStart w:id="5"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5"/>
    </w:p>
    <w:p w:rsidR="00354A58" w:rsidRDefault="00354A58">
      <w:pPr>
        <w:tabs>
          <w:tab w:val="left" w:pos="240"/>
        </w:tabs>
      </w:pPr>
    </w:p>
    <w:tbl>
      <w:tblPr>
        <w:tblW w:w="0" w:type="auto"/>
        <w:tblLayout w:type="fixed"/>
        <w:tblLook w:val="0000" w:firstRow="0" w:lastRow="0" w:firstColumn="0" w:lastColumn="0" w:noHBand="0" w:noVBand="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AE162A">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6"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6"/>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3F73D5">
      <w:pPr>
        <w:jc w:val="center"/>
        <w:rPr>
          <w:b/>
          <w:sz w:val="22"/>
        </w:rPr>
      </w:pPr>
      <w:r>
        <w:rPr>
          <w:b/>
          <w:sz w:val="22"/>
        </w:rPr>
        <w:t>Community Development Block Grant Resilient Disaster Recovery (CDBG-RDR) Phase 1</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3F73D5" w:rsidRPr="003F73D5" w:rsidRDefault="003F73D5" w:rsidP="003F73D5">
      <w:pPr>
        <w:pStyle w:val="Heading2"/>
        <w:numPr>
          <w:ilvl w:val="0"/>
          <w:numId w:val="0"/>
        </w:numPr>
        <w:rPr>
          <w:b w:val="0"/>
        </w:rPr>
      </w:pPr>
      <w:r w:rsidRPr="003F73D5">
        <w:rPr>
          <w:b w:val="0"/>
        </w:rPr>
        <w:t xml:space="preserve">The Community Development Block Grant (CDBG) program is authorized under Title I of the Housing and Community Development Act of 1974 (HCDA), as amended.  According to </w:t>
      </w:r>
      <w:r w:rsidRPr="003F73D5">
        <w:rPr>
          <w:rStyle w:val="Strong"/>
          <w:b/>
          <w:color w:val="000000"/>
        </w:rPr>
        <w:t>Section 104(e</w:t>
      </w:r>
      <w:proofErr w:type="gramStart"/>
      <w:r w:rsidRPr="003F73D5">
        <w:rPr>
          <w:rStyle w:val="Strong"/>
          <w:b/>
          <w:color w:val="000000"/>
        </w:rPr>
        <w:t>)(</w:t>
      </w:r>
      <w:proofErr w:type="gramEnd"/>
      <w:r w:rsidRPr="003F73D5">
        <w:rPr>
          <w:rStyle w:val="Strong"/>
          <w:b/>
          <w:color w:val="000000"/>
        </w:rPr>
        <w:t xml:space="preserve">1) of the Act, </w:t>
      </w:r>
      <w:r w:rsidRPr="003F73D5">
        <w:rPr>
          <w:b w:val="0"/>
        </w:rPr>
        <w:t xml:space="preserve">HUD is responsible for reviewing grantees’ compliance with applicable requirements and their continuing capacity to carry out their programs.  Program rules are published in the Federal Register pursuant to specific appropriation acts.  Under this program, HUD provides supplemental CDBG funds appropriated by Congress for recovery from major disasters declared by the President of the United States.  Each supplemental appropriations statute specifies the disasters or time period of disaster declarations for which funding is available. Grant funds are made available to states and units of general local government, Indian tribes, and insular areas, unless provided otherwise by supplemental appropriations </w:t>
      </w:r>
      <w:r w:rsidR="00272CEE" w:rsidRPr="003F73D5">
        <w:rPr>
          <w:b w:val="0"/>
        </w:rPr>
        <w:t>statute</w:t>
      </w:r>
      <w:r w:rsidRPr="003F73D5">
        <w:rPr>
          <w:b w:val="0"/>
        </w:rPr>
        <w:t xml:space="preserve"> based on their unmet disaster recovery needs. Unless otherwise restricted by statute or provided by waiver, the funds may be used for any activity eligible under section 105(a) of the Housing and Community Development Act of 1974, as amended, that meets a national objective under section 104(b</w:t>
      </w:r>
      <w:proofErr w:type="gramStart"/>
      <w:r w:rsidRPr="003F73D5">
        <w:rPr>
          <w:b w:val="0"/>
        </w:rPr>
        <w:t>)(</w:t>
      </w:r>
      <w:proofErr w:type="gramEnd"/>
      <w:r w:rsidRPr="003F73D5">
        <w:rPr>
          <w:b w:val="0"/>
        </w:rPr>
        <w:t xml:space="preserve">3) of that Act, and is related to the covered disaster.  Generally, at least 50 percent of the funds must be for activities that principally benefit persons of low and moderate income.  Grantees must report program progress quarterly via a web-based Disaster Recovery Grant Reporting (DRGR) system. </w:t>
      </w:r>
    </w:p>
    <w:p w:rsidR="003F73D5" w:rsidRDefault="003F73D5" w:rsidP="003F73D5">
      <w:pPr>
        <w:pStyle w:val="Heading2"/>
        <w:numPr>
          <w:ilvl w:val="0"/>
          <w:numId w:val="0"/>
        </w:numPr>
        <w:rPr>
          <w:b w:val="0"/>
        </w:rPr>
      </w:pPr>
    </w:p>
    <w:p w:rsidR="003F73D5" w:rsidRDefault="003F73D5" w:rsidP="003F73D5">
      <w:pPr>
        <w:pStyle w:val="Heading2"/>
        <w:numPr>
          <w:ilvl w:val="0"/>
          <w:numId w:val="0"/>
        </w:numPr>
        <w:rPr>
          <w:b w:val="0"/>
        </w:rPr>
      </w:pPr>
      <w:r w:rsidRPr="003F73D5">
        <w:rPr>
          <w:b w:val="0"/>
        </w:rPr>
        <w:t xml:space="preserve">The recent Hurricane Sandy supplemental appropriation (P. L. 113-2) provides funding for Hurricane Sandy disaster recovery efforts and other eligible events in 2011, 2012 and 2013.  The appropriation directs the Department to address these efforts in areas of greatest unmet need. </w:t>
      </w:r>
      <w:r w:rsidR="00BE0FE7" w:rsidRPr="00BE0FE7">
        <w:rPr>
          <w:b w:val="0"/>
        </w:rPr>
        <w:t>HUD has determined that to respond to the urgent recovery needs of communities affected by these eligible major disasters, a collection of information is needed prior to the expiration of time periods established under the PRA.  Not only is this information collection essential to HUD’s mission to create strong, sustainable, inclusive communities and quality affordable homes for all, the information collection is required by Public Law 113-2.  That statute provides that the “Secretary shall allocate to grantees… based on the best available data,” which at this stage in recovery must be collected from applicants.   </w:t>
      </w:r>
    </w:p>
    <w:p w:rsidR="00354A58" w:rsidRPr="00931EC6" w:rsidRDefault="002E67B1" w:rsidP="00931EC6">
      <w:pPr>
        <w:tabs>
          <w:tab w:val="left" w:pos="0"/>
          <w:tab w:val="left" w:pos="720"/>
          <w:tab w:val="left" w:pos="840"/>
        </w:tabs>
        <w:rPr>
          <w:sz w:val="22"/>
          <w:szCs w:val="22"/>
        </w:rPr>
      </w:pPr>
      <w:r w:rsidRPr="00931EC6">
        <w:rPr>
          <w:sz w:val="22"/>
          <w:szCs w:val="22"/>
        </w:rPr>
        <w:t xml:space="preserve">  </w:t>
      </w:r>
      <w:r w:rsidR="00354A58" w:rsidRPr="00931EC6">
        <w:rPr>
          <w:sz w:val="22"/>
          <w:szCs w:val="22"/>
        </w:rPr>
        <w:tab/>
      </w:r>
    </w:p>
    <w:p w:rsidR="00E24B39" w:rsidRPr="00E24B39" w:rsidRDefault="00354A58" w:rsidP="00E24B39">
      <w:pPr>
        <w:keepNext/>
        <w:numPr>
          <w:ilvl w:val="1"/>
          <w:numId w:val="10"/>
        </w:numPr>
        <w:tabs>
          <w:tab w:val="left" w:pos="0"/>
          <w:tab w:val="left" w:pos="720"/>
          <w:tab w:val="left" w:pos="840"/>
        </w:tabs>
        <w:rPr>
          <w:sz w:val="22"/>
          <w:szCs w:val="22"/>
        </w:rPr>
      </w:pPr>
      <w:r w:rsidRPr="00E24B39">
        <w:rPr>
          <w:b/>
          <w:sz w:val="22"/>
          <w:szCs w:val="22"/>
        </w:rPr>
        <w:t>How the information is used</w:t>
      </w:r>
    </w:p>
    <w:p w:rsidR="005238EB" w:rsidRPr="00D01748" w:rsidRDefault="005238EB" w:rsidP="005238EB">
      <w:pPr>
        <w:ind w:firstLine="720"/>
        <w:rPr>
          <w:sz w:val="22"/>
          <w:szCs w:val="22"/>
        </w:rPr>
      </w:pPr>
    </w:p>
    <w:p w:rsidR="00D01748" w:rsidRDefault="00EC5912" w:rsidP="00EC5912">
      <w:pPr>
        <w:ind w:firstLine="720"/>
        <w:rPr>
          <w:sz w:val="22"/>
          <w:szCs w:val="22"/>
        </w:rPr>
      </w:pPr>
      <w:r w:rsidRPr="00D01748">
        <w:rPr>
          <w:sz w:val="22"/>
          <w:szCs w:val="22"/>
        </w:rPr>
        <w:t xml:space="preserve">In accordance with the CDBG-NDR NOFA requirements, during the first 45 days after publication of this NOFA, any potential Applicant may provide HUD a single written request with its “most impacted and distressed” and “unmet needs” threshold responses for one or more potential target areas. HUD will review these requests and respond to confirm or reject whether the information provided for each area meets the thresholds and provide specific reasons for any rejection. </w:t>
      </w:r>
    </w:p>
    <w:p w:rsidR="00D01748" w:rsidRDefault="00D01748" w:rsidP="00EC5912">
      <w:pPr>
        <w:ind w:firstLine="720"/>
        <w:rPr>
          <w:sz w:val="22"/>
          <w:szCs w:val="22"/>
        </w:rPr>
      </w:pPr>
    </w:p>
    <w:p w:rsidR="00D01748" w:rsidRDefault="00272CEE" w:rsidP="00EC5912">
      <w:pPr>
        <w:ind w:firstLine="720"/>
        <w:rPr>
          <w:sz w:val="22"/>
          <w:szCs w:val="22"/>
        </w:rPr>
      </w:pPr>
      <w:r w:rsidRPr="00D01748">
        <w:rPr>
          <w:sz w:val="22"/>
          <w:szCs w:val="22"/>
        </w:rPr>
        <w:t xml:space="preserve">Phase 1 applications </w:t>
      </w:r>
      <w:r w:rsidR="00D01748">
        <w:rPr>
          <w:sz w:val="22"/>
          <w:szCs w:val="22"/>
        </w:rPr>
        <w:t xml:space="preserve">will include the </w:t>
      </w:r>
      <w:r w:rsidR="00D01748" w:rsidRPr="00D01748">
        <w:rPr>
          <w:sz w:val="22"/>
          <w:szCs w:val="22"/>
        </w:rPr>
        <w:t xml:space="preserve">“most impacted and distressed” and “unmet needs” threshold </w:t>
      </w:r>
      <w:r w:rsidR="00D01748">
        <w:rPr>
          <w:sz w:val="22"/>
          <w:szCs w:val="22"/>
        </w:rPr>
        <w:t xml:space="preserve">responses as well as other </w:t>
      </w:r>
      <w:r w:rsidR="00612D31">
        <w:rPr>
          <w:sz w:val="22"/>
          <w:szCs w:val="22"/>
        </w:rPr>
        <w:t xml:space="preserve">threshold </w:t>
      </w:r>
      <w:r w:rsidR="00D01748">
        <w:rPr>
          <w:sz w:val="22"/>
          <w:szCs w:val="22"/>
        </w:rPr>
        <w:t>narratives describing:</w:t>
      </w:r>
    </w:p>
    <w:p w:rsidR="00D01748" w:rsidRDefault="00D01748" w:rsidP="00D01748">
      <w:pPr>
        <w:pStyle w:val="ListParagraph"/>
        <w:numPr>
          <w:ilvl w:val="0"/>
          <w:numId w:val="18"/>
        </w:numPr>
        <w:rPr>
          <w:sz w:val="22"/>
          <w:szCs w:val="22"/>
        </w:rPr>
      </w:pPr>
      <w:r>
        <w:rPr>
          <w:sz w:val="22"/>
          <w:szCs w:val="22"/>
        </w:rPr>
        <w:t>Applicant eligibility;</w:t>
      </w:r>
    </w:p>
    <w:p w:rsidR="00D01748" w:rsidRDefault="00D01748" w:rsidP="00D01748">
      <w:pPr>
        <w:pStyle w:val="ListParagraph"/>
        <w:numPr>
          <w:ilvl w:val="0"/>
          <w:numId w:val="18"/>
        </w:numPr>
        <w:rPr>
          <w:sz w:val="22"/>
          <w:szCs w:val="22"/>
        </w:rPr>
      </w:pPr>
      <w:r>
        <w:rPr>
          <w:sz w:val="22"/>
          <w:szCs w:val="22"/>
        </w:rPr>
        <w:t>Eligibility of the county or counties where proposed projects or activities will take place;</w:t>
      </w:r>
    </w:p>
    <w:p w:rsidR="00D01748" w:rsidRDefault="000C50AD" w:rsidP="00D01748">
      <w:pPr>
        <w:pStyle w:val="ListParagraph"/>
        <w:numPr>
          <w:ilvl w:val="0"/>
          <w:numId w:val="18"/>
        </w:numPr>
        <w:rPr>
          <w:sz w:val="22"/>
          <w:szCs w:val="22"/>
        </w:rPr>
      </w:pPr>
      <w:r>
        <w:rPr>
          <w:sz w:val="22"/>
          <w:szCs w:val="22"/>
        </w:rPr>
        <w:t>Eligibility of activities proposed for CDBG-NDR assistance;</w:t>
      </w:r>
    </w:p>
    <w:p w:rsidR="00D01748" w:rsidRDefault="000C50AD" w:rsidP="00D01748">
      <w:pPr>
        <w:pStyle w:val="ListParagraph"/>
        <w:numPr>
          <w:ilvl w:val="0"/>
          <w:numId w:val="18"/>
        </w:numPr>
        <w:rPr>
          <w:sz w:val="22"/>
          <w:szCs w:val="22"/>
        </w:rPr>
      </w:pPr>
      <w:r>
        <w:rPr>
          <w:sz w:val="22"/>
          <w:szCs w:val="22"/>
        </w:rPr>
        <w:t>How activities proposed for CDBG-NDR assistance will improve the most impacted and distressed area’s resilience to current and future threats and hazards;</w:t>
      </w:r>
    </w:p>
    <w:p w:rsidR="000C50AD" w:rsidRDefault="000C50AD" w:rsidP="00D01748">
      <w:pPr>
        <w:pStyle w:val="ListParagraph"/>
        <w:numPr>
          <w:ilvl w:val="0"/>
          <w:numId w:val="18"/>
        </w:numPr>
        <w:rPr>
          <w:sz w:val="22"/>
          <w:szCs w:val="22"/>
        </w:rPr>
      </w:pPr>
      <w:r>
        <w:rPr>
          <w:sz w:val="22"/>
          <w:szCs w:val="22"/>
        </w:rPr>
        <w:t>How the proposed activity meets a CDBG National Objective;</w:t>
      </w:r>
    </w:p>
    <w:p w:rsidR="000C50AD" w:rsidRDefault="000C50AD" w:rsidP="00D01748">
      <w:pPr>
        <w:pStyle w:val="ListParagraph"/>
        <w:numPr>
          <w:ilvl w:val="0"/>
          <w:numId w:val="18"/>
        </w:numPr>
        <w:rPr>
          <w:sz w:val="22"/>
          <w:szCs w:val="22"/>
        </w:rPr>
      </w:pPr>
      <w:r>
        <w:rPr>
          <w:sz w:val="22"/>
          <w:szCs w:val="22"/>
        </w:rPr>
        <w:t>Demonstration that at least 50 percent of requested CDBG-NDR funds will benefit low- and moderate-income persons;</w:t>
      </w:r>
    </w:p>
    <w:p w:rsidR="000C50AD" w:rsidRDefault="000C50AD" w:rsidP="00D01748">
      <w:pPr>
        <w:pStyle w:val="ListParagraph"/>
        <w:numPr>
          <w:ilvl w:val="0"/>
          <w:numId w:val="18"/>
        </w:numPr>
        <w:rPr>
          <w:sz w:val="22"/>
          <w:szCs w:val="22"/>
        </w:rPr>
      </w:pPr>
      <w:r>
        <w:rPr>
          <w:sz w:val="22"/>
          <w:szCs w:val="22"/>
        </w:rPr>
        <w:t>An established tie-back to a Qualified Disaster for each activity for proposed CDBG-NDR assistance.</w:t>
      </w:r>
    </w:p>
    <w:p w:rsidR="000C50AD" w:rsidRDefault="00612D31" w:rsidP="000C50AD">
      <w:pPr>
        <w:rPr>
          <w:sz w:val="22"/>
          <w:szCs w:val="22"/>
        </w:rPr>
      </w:pPr>
      <w:r>
        <w:rPr>
          <w:sz w:val="22"/>
          <w:szCs w:val="22"/>
        </w:rPr>
        <w:t xml:space="preserve">Phase 1 </w:t>
      </w:r>
      <w:r w:rsidR="000C50AD">
        <w:rPr>
          <w:sz w:val="22"/>
          <w:szCs w:val="22"/>
        </w:rPr>
        <w:t xml:space="preserve">Applications </w:t>
      </w:r>
      <w:r>
        <w:rPr>
          <w:sz w:val="22"/>
          <w:szCs w:val="22"/>
        </w:rPr>
        <w:t>will also include:</w:t>
      </w:r>
    </w:p>
    <w:p w:rsidR="00612D31" w:rsidRDefault="00612D31" w:rsidP="00612D31">
      <w:pPr>
        <w:pStyle w:val="ListParagraph"/>
        <w:numPr>
          <w:ilvl w:val="0"/>
          <w:numId w:val="19"/>
        </w:numPr>
        <w:rPr>
          <w:sz w:val="22"/>
          <w:szCs w:val="22"/>
        </w:rPr>
      </w:pPr>
      <w:r>
        <w:rPr>
          <w:sz w:val="22"/>
          <w:szCs w:val="22"/>
        </w:rPr>
        <w:t>Narratives as follows:</w:t>
      </w:r>
    </w:p>
    <w:p w:rsidR="00612D31" w:rsidRDefault="00612D31" w:rsidP="00612D31">
      <w:pPr>
        <w:pStyle w:val="ListParagraph"/>
        <w:numPr>
          <w:ilvl w:val="1"/>
          <w:numId w:val="19"/>
        </w:numPr>
        <w:rPr>
          <w:sz w:val="22"/>
          <w:szCs w:val="22"/>
        </w:rPr>
      </w:pPr>
      <w:r>
        <w:rPr>
          <w:sz w:val="22"/>
          <w:szCs w:val="22"/>
        </w:rPr>
        <w:t>Executive summary;</w:t>
      </w:r>
    </w:p>
    <w:p w:rsidR="00612D31" w:rsidRDefault="00612D31" w:rsidP="00612D31">
      <w:pPr>
        <w:pStyle w:val="ListParagraph"/>
        <w:numPr>
          <w:ilvl w:val="1"/>
          <w:numId w:val="19"/>
        </w:numPr>
        <w:rPr>
          <w:sz w:val="22"/>
          <w:szCs w:val="22"/>
        </w:rPr>
      </w:pPr>
      <w:r>
        <w:rPr>
          <w:sz w:val="22"/>
          <w:szCs w:val="22"/>
        </w:rPr>
        <w:lastRenderedPageBreak/>
        <w:t>Applicant and relevant organizational staff capacity to carry out proposed project;</w:t>
      </w:r>
    </w:p>
    <w:p w:rsidR="00612D31" w:rsidRDefault="00612D31" w:rsidP="00612D31">
      <w:pPr>
        <w:pStyle w:val="ListParagraph"/>
        <w:numPr>
          <w:ilvl w:val="1"/>
          <w:numId w:val="19"/>
        </w:numPr>
        <w:rPr>
          <w:sz w:val="22"/>
          <w:szCs w:val="22"/>
        </w:rPr>
      </w:pPr>
      <w:r>
        <w:rPr>
          <w:sz w:val="22"/>
          <w:szCs w:val="22"/>
        </w:rPr>
        <w:t>Description of Need</w:t>
      </w:r>
      <w:r w:rsidR="007F11C9">
        <w:rPr>
          <w:sz w:val="22"/>
          <w:szCs w:val="22"/>
        </w:rPr>
        <w:t>/Extent of the Problem</w:t>
      </w:r>
      <w:r>
        <w:rPr>
          <w:sz w:val="22"/>
          <w:szCs w:val="22"/>
        </w:rPr>
        <w:t>;</w:t>
      </w:r>
    </w:p>
    <w:p w:rsidR="00612D31" w:rsidRDefault="00612D31" w:rsidP="00612D31">
      <w:pPr>
        <w:pStyle w:val="ListParagraph"/>
        <w:numPr>
          <w:ilvl w:val="1"/>
          <w:numId w:val="19"/>
        </w:numPr>
        <w:rPr>
          <w:sz w:val="22"/>
          <w:szCs w:val="22"/>
        </w:rPr>
      </w:pPr>
      <w:r>
        <w:rPr>
          <w:sz w:val="22"/>
          <w:szCs w:val="22"/>
        </w:rPr>
        <w:t>Soundness of Approach;</w:t>
      </w:r>
    </w:p>
    <w:p w:rsidR="00612D31" w:rsidRDefault="007F11C9" w:rsidP="00612D31">
      <w:pPr>
        <w:pStyle w:val="ListParagraph"/>
        <w:numPr>
          <w:ilvl w:val="1"/>
          <w:numId w:val="19"/>
        </w:numPr>
        <w:rPr>
          <w:sz w:val="22"/>
          <w:szCs w:val="22"/>
        </w:rPr>
      </w:pPr>
      <w:r>
        <w:rPr>
          <w:sz w:val="22"/>
          <w:szCs w:val="22"/>
        </w:rPr>
        <w:t xml:space="preserve">Leverage and Outcomes; and </w:t>
      </w:r>
    </w:p>
    <w:p w:rsidR="007F11C9" w:rsidRDefault="007F11C9" w:rsidP="00612D31">
      <w:pPr>
        <w:pStyle w:val="ListParagraph"/>
        <w:numPr>
          <w:ilvl w:val="1"/>
          <w:numId w:val="19"/>
        </w:numPr>
        <w:rPr>
          <w:sz w:val="22"/>
          <w:szCs w:val="22"/>
        </w:rPr>
      </w:pPr>
      <w:r>
        <w:rPr>
          <w:sz w:val="22"/>
          <w:szCs w:val="22"/>
        </w:rPr>
        <w:t>Long-term commitment.</w:t>
      </w:r>
    </w:p>
    <w:p w:rsidR="00612D31" w:rsidRDefault="00612D31" w:rsidP="00612D31">
      <w:pPr>
        <w:pStyle w:val="ListParagraph"/>
        <w:numPr>
          <w:ilvl w:val="0"/>
          <w:numId w:val="19"/>
        </w:numPr>
        <w:rPr>
          <w:sz w:val="22"/>
          <w:szCs w:val="22"/>
        </w:rPr>
      </w:pPr>
      <w:r>
        <w:rPr>
          <w:sz w:val="22"/>
          <w:szCs w:val="22"/>
        </w:rPr>
        <w:t>A completed crosswalk checklist;</w:t>
      </w:r>
    </w:p>
    <w:p w:rsidR="00612D31" w:rsidRDefault="00612D31" w:rsidP="00612D31">
      <w:pPr>
        <w:pStyle w:val="ListParagraph"/>
        <w:numPr>
          <w:ilvl w:val="0"/>
          <w:numId w:val="19"/>
        </w:numPr>
        <w:rPr>
          <w:sz w:val="22"/>
          <w:szCs w:val="22"/>
        </w:rPr>
      </w:pPr>
      <w:r>
        <w:rPr>
          <w:sz w:val="22"/>
          <w:szCs w:val="22"/>
        </w:rPr>
        <w:t>Evidence of partnership, if applicable;</w:t>
      </w:r>
    </w:p>
    <w:p w:rsidR="00612D31" w:rsidRDefault="00612D31" w:rsidP="00612D31">
      <w:pPr>
        <w:pStyle w:val="ListParagraph"/>
        <w:numPr>
          <w:ilvl w:val="0"/>
          <w:numId w:val="19"/>
        </w:numPr>
        <w:rPr>
          <w:sz w:val="22"/>
          <w:szCs w:val="22"/>
        </w:rPr>
      </w:pPr>
      <w:r>
        <w:rPr>
          <w:sz w:val="22"/>
          <w:szCs w:val="22"/>
        </w:rPr>
        <w:t>Documentation of leveraged funds;</w:t>
      </w:r>
    </w:p>
    <w:p w:rsidR="00612D31" w:rsidRDefault="00612D31" w:rsidP="00612D31">
      <w:pPr>
        <w:pStyle w:val="ListParagraph"/>
        <w:numPr>
          <w:ilvl w:val="0"/>
          <w:numId w:val="19"/>
        </w:numPr>
        <w:rPr>
          <w:sz w:val="22"/>
          <w:szCs w:val="22"/>
        </w:rPr>
      </w:pPr>
      <w:r>
        <w:rPr>
          <w:sz w:val="22"/>
          <w:szCs w:val="22"/>
        </w:rPr>
        <w:t>A summary of consultation according to instructions included in the NOFA;</w:t>
      </w:r>
    </w:p>
    <w:p w:rsidR="00612D31" w:rsidRDefault="00612D31" w:rsidP="00612D31">
      <w:pPr>
        <w:pStyle w:val="ListParagraph"/>
        <w:numPr>
          <w:ilvl w:val="0"/>
          <w:numId w:val="19"/>
        </w:numPr>
        <w:rPr>
          <w:sz w:val="22"/>
          <w:szCs w:val="22"/>
        </w:rPr>
      </w:pPr>
      <w:r>
        <w:rPr>
          <w:sz w:val="22"/>
          <w:szCs w:val="22"/>
        </w:rPr>
        <w:t>Waiver requests, if applicable;</w:t>
      </w:r>
    </w:p>
    <w:p w:rsidR="00612D31" w:rsidRDefault="00612D31" w:rsidP="00612D31">
      <w:pPr>
        <w:pStyle w:val="ListParagraph"/>
        <w:numPr>
          <w:ilvl w:val="0"/>
          <w:numId w:val="19"/>
        </w:numPr>
        <w:rPr>
          <w:sz w:val="22"/>
          <w:szCs w:val="22"/>
        </w:rPr>
      </w:pPr>
      <w:r>
        <w:rPr>
          <w:sz w:val="22"/>
          <w:szCs w:val="22"/>
        </w:rPr>
        <w:t>Optional maps, drawings, renderings and other graphical representations of the project or most impacted and distressed target area(s);</w:t>
      </w:r>
    </w:p>
    <w:p w:rsidR="00612D31" w:rsidRDefault="00612D31" w:rsidP="00612D31">
      <w:pPr>
        <w:pStyle w:val="ListParagraph"/>
        <w:numPr>
          <w:ilvl w:val="0"/>
          <w:numId w:val="19"/>
        </w:numPr>
        <w:rPr>
          <w:sz w:val="22"/>
          <w:szCs w:val="22"/>
        </w:rPr>
      </w:pPr>
      <w:r>
        <w:rPr>
          <w:sz w:val="22"/>
          <w:szCs w:val="22"/>
        </w:rPr>
        <w:t>Application certifications and standard forms;</w:t>
      </w:r>
    </w:p>
    <w:p w:rsidR="00612D31" w:rsidRDefault="00612D31" w:rsidP="00612D31">
      <w:pPr>
        <w:pStyle w:val="ListParagraph"/>
        <w:numPr>
          <w:ilvl w:val="0"/>
          <w:numId w:val="19"/>
        </w:numPr>
        <w:rPr>
          <w:sz w:val="22"/>
          <w:szCs w:val="22"/>
        </w:rPr>
      </w:pPr>
      <w:r>
        <w:rPr>
          <w:sz w:val="22"/>
          <w:szCs w:val="22"/>
        </w:rPr>
        <w:t xml:space="preserve">A summary of citizen comments by topic with a list of commenters by name and organization (if an) and Applicant responses; and </w:t>
      </w:r>
    </w:p>
    <w:p w:rsidR="00612D31" w:rsidRPr="00612D31" w:rsidRDefault="00612D31" w:rsidP="00612D31">
      <w:pPr>
        <w:pStyle w:val="ListParagraph"/>
        <w:numPr>
          <w:ilvl w:val="0"/>
          <w:numId w:val="19"/>
        </w:numPr>
        <w:rPr>
          <w:sz w:val="22"/>
          <w:szCs w:val="22"/>
        </w:rPr>
      </w:pPr>
      <w:r>
        <w:rPr>
          <w:sz w:val="22"/>
          <w:szCs w:val="22"/>
        </w:rPr>
        <w:t>Data demonstrating unmet recovery need and most impacted and distressed threshold requirements.</w:t>
      </w:r>
    </w:p>
    <w:p w:rsidR="00612D31" w:rsidRDefault="00612D31" w:rsidP="00D01748">
      <w:pPr>
        <w:rPr>
          <w:sz w:val="22"/>
          <w:szCs w:val="22"/>
        </w:rPr>
      </w:pPr>
    </w:p>
    <w:p w:rsidR="00EC5912" w:rsidRPr="00D01748" w:rsidRDefault="007F11C9" w:rsidP="00D01748">
      <w:pPr>
        <w:rPr>
          <w:sz w:val="22"/>
          <w:szCs w:val="22"/>
        </w:rPr>
      </w:pPr>
      <w:r>
        <w:rPr>
          <w:sz w:val="22"/>
          <w:szCs w:val="22"/>
        </w:rPr>
        <w:t xml:space="preserve">These elements of the Phase 1 application are needed for HUD to </w:t>
      </w:r>
      <w:r w:rsidR="00272CEE" w:rsidRPr="00D01748">
        <w:rPr>
          <w:sz w:val="22"/>
          <w:szCs w:val="22"/>
        </w:rPr>
        <w:t xml:space="preserve">allocate funding </w:t>
      </w:r>
      <w:r w:rsidR="00D01748" w:rsidRPr="00D01748">
        <w:rPr>
          <w:sz w:val="22"/>
          <w:szCs w:val="22"/>
        </w:rPr>
        <w:t xml:space="preserve">according to greatest unmet need, as required by statute. </w:t>
      </w:r>
      <w:r w:rsidR="00EC5912" w:rsidRPr="00D01748">
        <w:rPr>
          <w:sz w:val="22"/>
          <w:szCs w:val="22"/>
        </w:rPr>
        <w:t xml:space="preserve">Phase 1 applications will be due 180 days after NOFA publication. HUD will </w:t>
      </w:r>
      <w:r w:rsidR="00D01748" w:rsidRPr="00D01748">
        <w:rPr>
          <w:sz w:val="22"/>
          <w:szCs w:val="22"/>
        </w:rPr>
        <w:t xml:space="preserve">evaluate </w:t>
      </w:r>
      <w:r w:rsidR="00EC5912" w:rsidRPr="00D01748">
        <w:rPr>
          <w:sz w:val="22"/>
          <w:szCs w:val="22"/>
        </w:rPr>
        <w:t xml:space="preserve">Phase 1 applications, and select qualifying applicants to submit a Phase 2 application. CDBG-NDR recipients will be required to administer awarded funds in the Disaster Recovery Grant Reporting (DRGR System), which will enable HUD staff to review budgets and accomplishments and allows grantees to draw grant funds from Treasury. </w:t>
      </w:r>
    </w:p>
    <w:p w:rsidR="00EC5912" w:rsidRPr="00D01748" w:rsidRDefault="00EC5912" w:rsidP="00EC5912">
      <w:pPr>
        <w:rPr>
          <w:sz w:val="22"/>
          <w:szCs w:val="22"/>
        </w:rPr>
      </w:pPr>
    </w:p>
    <w:p w:rsidR="00EC5912" w:rsidRDefault="00EC5912" w:rsidP="00EC5912">
      <w:pPr>
        <w:ind w:firstLine="720"/>
        <w:rPr>
          <w:sz w:val="22"/>
          <w:szCs w:val="22"/>
        </w:rPr>
      </w:pPr>
      <w:r w:rsidRPr="00D01748">
        <w:rPr>
          <w:sz w:val="22"/>
          <w:szCs w:val="22"/>
        </w:rPr>
        <w:t xml:space="preserve">HUD has determined that to respond to the urgent recovery needs of communities affected by these eligible major disasters, a collection of information is needed prior to the expiration of time periods established under the PRA.  Not only </w:t>
      </w:r>
      <w:r w:rsidR="00D01748">
        <w:rPr>
          <w:sz w:val="22"/>
          <w:szCs w:val="22"/>
        </w:rPr>
        <w:t xml:space="preserve">will this </w:t>
      </w:r>
      <w:r w:rsidRPr="00D01748">
        <w:rPr>
          <w:sz w:val="22"/>
          <w:szCs w:val="22"/>
        </w:rPr>
        <w:t xml:space="preserve">information </w:t>
      </w:r>
      <w:r w:rsidR="00D01748">
        <w:rPr>
          <w:sz w:val="22"/>
          <w:szCs w:val="22"/>
        </w:rPr>
        <w:t xml:space="preserve">be used to accomplish </w:t>
      </w:r>
      <w:r w:rsidRPr="00D01748">
        <w:rPr>
          <w:sz w:val="22"/>
          <w:szCs w:val="22"/>
        </w:rPr>
        <w:t>HUD’s mission to create strong, sustainable, inclusive communities and quality affordable homes for all, the information collection is required by Public Law 113-2</w:t>
      </w:r>
      <w:r w:rsidR="00D01748">
        <w:rPr>
          <w:sz w:val="22"/>
          <w:szCs w:val="22"/>
        </w:rPr>
        <w:t xml:space="preserve">, which </w:t>
      </w:r>
      <w:r w:rsidRPr="00D01748">
        <w:rPr>
          <w:sz w:val="22"/>
          <w:szCs w:val="22"/>
        </w:rPr>
        <w:t>provides that the “Secretary shall allocate to grantees… based on the best available data,” which at this stage in recovery must be collected from applicants.   </w:t>
      </w:r>
    </w:p>
    <w:p w:rsidR="00D36835" w:rsidRDefault="00D36835" w:rsidP="00EC5912">
      <w:pPr>
        <w:ind w:firstLine="720"/>
        <w:rPr>
          <w:sz w:val="22"/>
          <w:szCs w:val="22"/>
        </w:rPr>
      </w:pPr>
    </w:p>
    <w:p w:rsidR="00D36835" w:rsidRDefault="00D36835" w:rsidP="00EC5912">
      <w:pPr>
        <w:ind w:firstLine="720"/>
        <w:rPr>
          <w:sz w:val="22"/>
          <w:szCs w:val="22"/>
        </w:rPr>
      </w:pPr>
      <w:r>
        <w:rPr>
          <w:sz w:val="22"/>
          <w:szCs w:val="22"/>
        </w:rPr>
        <w:t xml:space="preserve">The information collected in Form HUD-96011 is needed to ensure that </w:t>
      </w:r>
      <w:r w:rsidR="007B0C87">
        <w:rPr>
          <w:sz w:val="22"/>
          <w:szCs w:val="22"/>
        </w:rPr>
        <w:t>any information faxed by the applicant in response to HUD requests during the application process to cure application inconsistencies is associated with the original applicant.</w:t>
      </w:r>
    </w:p>
    <w:p w:rsidR="007F02FC" w:rsidRDefault="007F02FC" w:rsidP="00EC5912">
      <w:pPr>
        <w:ind w:firstLine="720"/>
        <w:rPr>
          <w:sz w:val="22"/>
          <w:szCs w:val="22"/>
        </w:rPr>
      </w:pPr>
    </w:p>
    <w:p w:rsidR="007F02FC" w:rsidRDefault="007F02FC" w:rsidP="007F02FC">
      <w:pPr>
        <w:ind w:firstLine="720"/>
        <w:rPr>
          <w:sz w:val="22"/>
          <w:szCs w:val="22"/>
        </w:rPr>
      </w:pPr>
      <w:r>
        <w:rPr>
          <w:sz w:val="22"/>
          <w:szCs w:val="22"/>
        </w:rPr>
        <w:t xml:space="preserve">HUD collects the information in the SF-LLL as required by </w:t>
      </w:r>
      <w:r w:rsidRPr="007F02FC">
        <w:rPr>
          <w:sz w:val="22"/>
          <w:szCs w:val="22"/>
        </w:rPr>
        <w:t>title 31 U.S.C. section 1352.</w:t>
      </w:r>
      <w:r>
        <w:rPr>
          <w:sz w:val="22"/>
          <w:szCs w:val="22"/>
        </w:rPr>
        <w:t xml:space="preserve"> </w:t>
      </w:r>
      <w:r w:rsidRPr="007F02FC">
        <w:rPr>
          <w:sz w:val="22"/>
          <w:szCs w:val="22"/>
        </w:rPr>
        <w:t xml:space="preserve">This disclosure form shall be completed by the reporting entity, whether </w:t>
      </w:r>
      <w:proofErr w:type="spellStart"/>
      <w:r w:rsidRPr="007F02FC">
        <w:rPr>
          <w:sz w:val="22"/>
          <w:szCs w:val="22"/>
        </w:rPr>
        <w:t>subawardee</w:t>
      </w:r>
      <w:proofErr w:type="spellEnd"/>
      <w:r w:rsidRPr="007F02FC">
        <w:rPr>
          <w:sz w:val="22"/>
          <w:szCs w:val="22"/>
        </w:rPr>
        <w:t xml:space="preserve"> or prime Federal recipient, at the initiation or receipt of a covered Federal action, or a material change to a previous filing</w:t>
      </w:r>
      <w:r>
        <w:rPr>
          <w:sz w:val="22"/>
          <w:szCs w:val="22"/>
        </w:rPr>
        <w:t>.</w:t>
      </w:r>
    </w:p>
    <w:p w:rsidR="007F02FC" w:rsidRDefault="007F02FC" w:rsidP="007F02FC">
      <w:pPr>
        <w:ind w:firstLine="720"/>
        <w:rPr>
          <w:sz w:val="22"/>
          <w:szCs w:val="22"/>
        </w:rPr>
      </w:pPr>
    </w:p>
    <w:p w:rsidR="007F02FC" w:rsidRDefault="007F02FC" w:rsidP="007F02FC">
      <w:pPr>
        <w:ind w:firstLine="720"/>
        <w:rPr>
          <w:sz w:val="22"/>
          <w:szCs w:val="22"/>
        </w:rPr>
      </w:pPr>
      <w:r>
        <w:rPr>
          <w:sz w:val="22"/>
          <w:szCs w:val="22"/>
        </w:rPr>
        <w:t>The SF-424 is a required form for any application for Federal Assistance.</w:t>
      </w:r>
    </w:p>
    <w:p w:rsidR="00D36835" w:rsidRDefault="00D36835" w:rsidP="00D36835">
      <w:pPr>
        <w:rPr>
          <w:sz w:val="22"/>
          <w:szCs w:val="22"/>
        </w:rPr>
      </w:pPr>
    </w:p>
    <w:p w:rsidR="00354A58" w:rsidRDefault="00354A58">
      <w:pPr>
        <w:numPr>
          <w:ilvl w:val="1"/>
          <w:numId w:val="10"/>
        </w:numPr>
        <w:tabs>
          <w:tab w:val="left" w:pos="360"/>
          <w:tab w:val="left" w:pos="720"/>
          <w:tab w:val="left" w:pos="840"/>
        </w:tabs>
        <w:rPr>
          <w:b/>
          <w:sz w:val="22"/>
          <w:szCs w:val="22"/>
        </w:rPr>
      </w:pPr>
      <w:r w:rsidRPr="00E24B39">
        <w:rPr>
          <w:b/>
          <w:sz w:val="22"/>
          <w:szCs w:val="22"/>
        </w:rPr>
        <w:t>Improved technology.</w:t>
      </w:r>
    </w:p>
    <w:p w:rsidR="00DF670C" w:rsidRPr="00545A23" w:rsidRDefault="00DF670C" w:rsidP="00DF670C">
      <w:pPr>
        <w:spacing w:before="132"/>
        <w:ind w:right="576" w:firstLine="720"/>
        <w:rPr>
          <w:sz w:val="22"/>
          <w:szCs w:val="22"/>
        </w:rPr>
      </w:pPr>
      <w:r w:rsidRPr="00545A23">
        <w:rPr>
          <w:color w:val="000000"/>
          <w:spacing w:val="1"/>
          <w:sz w:val="22"/>
          <w:szCs w:val="22"/>
        </w:rPr>
        <w:t xml:space="preserve">Requests submitted </w:t>
      </w:r>
      <w:r w:rsidRPr="00545A23">
        <w:rPr>
          <w:sz w:val="22"/>
          <w:szCs w:val="22"/>
        </w:rPr>
        <w:t xml:space="preserve">during the first 45 days after publication of this NOFA for HUD to review any potential Applicant’s “most impacted and distressed” and “unmet needs” threshold responses for one or more potential target area </w:t>
      </w:r>
      <w:r w:rsidRPr="00545A23">
        <w:rPr>
          <w:color w:val="000000"/>
          <w:spacing w:val="1"/>
          <w:sz w:val="22"/>
          <w:szCs w:val="22"/>
        </w:rPr>
        <w:t xml:space="preserve">must be submitted to </w:t>
      </w:r>
      <w:hyperlink r:id="rId13" w:history="1">
        <w:r w:rsidRPr="00545A23">
          <w:rPr>
            <w:rStyle w:val="Hyperlink"/>
            <w:spacing w:val="1"/>
            <w:sz w:val="22"/>
            <w:szCs w:val="22"/>
          </w:rPr>
          <w:t>ResilientRecovery@hud.gov</w:t>
        </w:r>
      </w:hyperlink>
      <w:r w:rsidRPr="00545A23">
        <w:rPr>
          <w:color w:val="000000"/>
          <w:spacing w:val="1"/>
          <w:sz w:val="22"/>
          <w:szCs w:val="22"/>
        </w:rPr>
        <w:t xml:space="preserve"> and include the </w:t>
      </w:r>
      <w:r w:rsidRPr="00545A23">
        <w:rPr>
          <w:sz w:val="22"/>
          <w:szCs w:val="22"/>
        </w:rPr>
        <w:t>Applicant name; name, title, email address, telephone number, and agency of a contact person employed by the Applicant to which HUD shall respond.</w:t>
      </w:r>
    </w:p>
    <w:p w:rsidR="00354A58" w:rsidRPr="00E24B39" w:rsidRDefault="00DF670C" w:rsidP="00545A23">
      <w:pPr>
        <w:spacing w:before="132"/>
        <w:ind w:right="576" w:firstLine="720"/>
        <w:rPr>
          <w:sz w:val="22"/>
          <w:szCs w:val="22"/>
        </w:rPr>
      </w:pPr>
      <w:r w:rsidRPr="00545A23">
        <w:rPr>
          <w:sz w:val="22"/>
          <w:szCs w:val="22"/>
        </w:rPr>
        <w:t xml:space="preserve">Phase 1 Applications will be submitted </w:t>
      </w:r>
      <w:r w:rsidR="00545A23" w:rsidRPr="00545A23">
        <w:rPr>
          <w:sz w:val="22"/>
          <w:szCs w:val="22"/>
        </w:rPr>
        <w:t xml:space="preserve">at </w:t>
      </w:r>
      <w:hyperlink r:id="rId14" w:history="1">
        <w:r w:rsidR="00545A23" w:rsidRPr="00545A23">
          <w:rPr>
            <w:rStyle w:val="Hyperlink"/>
            <w:sz w:val="22"/>
            <w:szCs w:val="22"/>
          </w:rPr>
          <w:t>http://www.grants.gov/web/grants/home.html</w:t>
        </w:r>
      </w:hyperlink>
      <w:r w:rsidR="00545A23" w:rsidRPr="00545A23">
        <w:rPr>
          <w:sz w:val="22"/>
          <w:szCs w:val="22"/>
        </w:rPr>
        <w:t>. Registration instructions for Grants.gov are found</w:t>
      </w:r>
      <w:r w:rsidR="00976D92">
        <w:rPr>
          <w:sz w:val="22"/>
          <w:szCs w:val="22"/>
        </w:rPr>
        <w:t xml:space="preserve"> at </w:t>
      </w:r>
      <w:hyperlink r:id="rId15" w:history="1">
        <w:r w:rsidR="00976D92">
          <w:rPr>
            <w:rStyle w:val="Hyperlink"/>
            <w:rFonts w:ascii="Calibri" w:hAnsi="Calibri" w:cs="Calibri"/>
            <w:sz w:val="22"/>
            <w:szCs w:val="22"/>
          </w:rPr>
          <w:t>http://www.grants.gov/web/grants/applicants/organization-registration.html</w:t>
        </w:r>
      </w:hyperlink>
      <w:r w:rsidR="00545A23" w:rsidRPr="00976D92">
        <w:rPr>
          <w:sz w:val="22"/>
          <w:szCs w:val="22"/>
        </w:rPr>
        <w:t>. Information regarding HUD’s use of grants.gov for NOFAs and standard HUD forms is found in the HUD General Section</w:t>
      </w:r>
      <w:r w:rsidR="00702C6A" w:rsidRPr="00976D92">
        <w:rPr>
          <w:sz w:val="22"/>
          <w:szCs w:val="22"/>
        </w:rPr>
        <w:t>, Section IV(A)(1)</w:t>
      </w:r>
      <w:r w:rsidR="00545A23" w:rsidRPr="00976D92">
        <w:rPr>
          <w:sz w:val="22"/>
          <w:szCs w:val="22"/>
        </w:rPr>
        <w:t xml:space="preserve"> at</w:t>
      </w:r>
      <w:r w:rsidR="00A40877" w:rsidRPr="00976D92">
        <w:rPr>
          <w:sz w:val="22"/>
          <w:szCs w:val="22"/>
        </w:rPr>
        <w:t xml:space="preserve">: </w:t>
      </w:r>
      <w:hyperlink r:id="rId16" w:history="1">
        <w:r w:rsidR="00545A23" w:rsidRPr="00976D92">
          <w:rPr>
            <w:rStyle w:val="Hyperlink"/>
            <w:sz w:val="22"/>
            <w:szCs w:val="22"/>
          </w:rPr>
          <w:t>http://portal.hud.gov/hudportal/documents/huddoc?id=2014-gensec.pdf</w:t>
        </w:r>
      </w:hyperlink>
      <w:r w:rsidR="00545A23" w:rsidRPr="00976D92">
        <w:rPr>
          <w:sz w:val="22"/>
          <w:szCs w:val="22"/>
        </w:rPr>
        <w:t xml:space="preserve">. </w:t>
      </w:r>
      <w:r w:rsidR="00545A23" w:rsidRPr="00976D92">
        <w:rPr>
          <w:sz w:val="22"/>
          <w:szCs w:val="22"/>
        </w:rPr>
        <w:cr/>
      </w:r>
      <w:r w:rsidR="00354A58" w:rsidRPr="00545A23">
        <w:rPr>
          <w:noProof/>
          <w:sz w:val="22"/>
          <w:szCs w:val="22"/>
        </w:rPr>
        <w:tab/>
      </w:r>
      <w:r w:rsidR="00354A58" w:rsidRPr="00E24B39">
        <w:rPr>
          <w:noProof/>
          <w:sz w:val="22"/>
          <w:szCs w:val="22"/>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DF670C" w:rsidRDefault="00DF670C">
      <w:pPr>
        <w:pStyle w:val="BodyText3"/>
        <w:tabs>
          <w:tab w:val="clear" w:pos="1440"/>
          <w:tab w:val="clear" w:pos="2160"/>
          <w:tab w:val="clear" w:pos="2880"/>
          <w:tab w:val="clear" w:pos="3600"/>
          <w:tab w:val="clear" w:pos="4320"/>
          <w:tab w:val="left" w:pos="840"/>
        </w:tabs>
        <w:overflowPunct w:val="0"/>
        <w:spacing w:line="240" w:lineRule="auto"/>
        <w:textAlignment w:val="baseline"/>
      </w:pP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lastRenderedPageBreak/>
        <w:t xml:space="preserve">No similar information exists.  </w:t>
      </w:r>
      <w:r w:rsidR="00DF670C">
        <w:t>Phase 1 Applications submitted pursuant to the CDBG-RDR NOFA are unique to Resilient Disaster Recovery projects or programs to be develop</w:t>
      </w:r>
      <w:r w:rsidR="00702C6A">
        <w:t>ed by each individual Applicant</w:t>
      </w:r>
      <w:r w:rsidR="00DF670C">
        <w:t>.</w:t>
      </w:r>
      <w:r>
        <w:t xml:space="preserve">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DF670C" w:rsidP="001E0C51">
      <w:pPr>
        <w:pStyle w:val="BodyText3"/>
        <w:tabs>
          <w:tab w:val="clear" w:pos="1440"/>
          <w:tab w:val="clear" w:pos="2160"/>
          <w:tab w:val="clear" w:pos="2880"/>
          <w:tab w:val="clear" w:pos="3600"/>
          <w:tab w:val="clear" w:pos="4320"/>
          <w:tab w:val="left" w:pos="840"/>
        </w:tabs>
        <w:overflowPunct w:val="0"/>
        <w:spacing w:line="240" w:lineRule="auto"/>
        <w:textAlignment w:val="baseline"/>
      </w:pPr>
      <w:r>
        <w:br/>
      </w:r>
      <w:r w:rsidRPr="001E0C51">
        <w:t>The only eligible applicants for this funding opportunity are HUD-identified local and State governments that experienced a presidentially-declared</w:t>
      </w:r>
      <w:r w:rsidR="001E0C51">
        <w:t xml:space="preserve"> major disaster during 2011-2013</w:t>
      </w:r>
      <w:r w:rsidRPr="001E0C51">
        <w:t>.  HUD-identified applicants include the District of Colombia and the Commonwealth of Puerto Rico, which are included in the definitions of “unit of general local government” and “State” in §102 of the Housing and Community Development Act of 1974, as amended (HCD Act).</w:t>
      </w:r>
      <w:r w:rsidR="001E0C51" w:rsidRPr="001E0C51">
        <w:t xml:space="preserve"> As such, </w:t>
      </w:r>
      <w:r w:rsidR="007F1E8E">
        <w:t xml:space="preserve">HUD expects that such organizations should have the capacity to adhere to the </w:t>
      </w:r>
      <w:r w:rsidR="001E0C51">
        <w:t xml:space="preserve">NOFA </w:t>
      </w:r>
      <w:r w:rsidR="007F1E8E">
        <w:t>requirements.</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1E0C51">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HUD cannot acquire the best available data to assess </w:t>
      </w:r>
      <w:r w:rsidRPr="00962A48">
        <w:t>“most impacted and distressed” and “unmet needs”</w:t>
      </w:r>
      <w:r>
        <w:t xml:space="preserve"> of </w:t>
      </w:r>
      <w:r w:rsidRPr="001E0C51">
        <w:t>local and State governments that experienced a presidentially-declared</w:t>
      </w:r>
      <w:r>
        <w:t xml:space="preserve"> major disaster during 2011-2013, which is needed to allocate funds in accordance with </w:t>
      </w:r>
      <w:r w:rsidRPr="001E0C51">
        <w:t>P. L. 113-2.</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B44075" w:rsidRPr="00B44075" w:rsidRDefault="00B44075" w:rsidP="00B44075">
      <w:pPr>
        <w:pStyle w:val="Heading2"/>
        <w:numPr>
          <w:ilvl w:val="0"/>
          <w:numId w:val="0"/>
        </w:numPr>
        <w:rPr>
          <w:b w:val="0"/>
        </w:rPr>
      </w:pPr>
      <w:r w:rsidRPr="00B44075">
        <w:rPr>
          <w:b w:val="0"/>
        </w:rPr>
        <w:t>HUD did not publish a notice describing the Paperwork Reduction Act Submission. HUD is seeking to have no comment period. This is an emergency collection.  The 60 day FR notice will follow after the NOFA is approved for comments.</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b/>
          <w:sz w:val="22"/>
        </w:rPr>
      </w:pPr>
      <w:r>
        <w:rPr>
          <w:b/>
          <w:sz w:val="22"/>
        </w:rPr>
        <w:br w:type="page"/>
      </w:r>
    </w:p>
    <w:p w:rsidR="00354A58" w:rsidRDefault="00354A58" w:rsidP="00C63E76">
      <w:pPr>
        <w:pStyle w:val="Heading2"/>
        <w:numPr>
          <w:ilvl w:val="1"/>
          <w:numId w:val="10"/>
        </w:numPr>
      </w:pPr>
      <w:r>
        <w:lastRenderedPageBreak/>
        <w:t>Annual Reporting and Recordkeeping Burden</w:t>
      </w:r>
    </w:p>
    <w:p w:rsidR="005F2A4A" w:rsidRDefault="005F2A4A" w:rsidP="00FB2F04"/>
    <w:p w:rsidR="00EF2BF1" w:rsidRDefault="001E0C51" w:rsidP="00FB2F04">
      <w:pPr>
        <w:rPr>
          <w:sz w:val="22"/>
          <w:szCs w:val="22"/>
        </w:rPr>
      </w:pPr>
      <w:r w:rsidRPr="00544FDF">
        <w:t xml:space="preserve">The following tables demonstrate the estimated paperwork burden for </w:t>
      </w:r>
      <w:r>
        <w:t xml:space="preserve">eligible applicants in Phase 1 of the CDBG-RDR NOFA, including both Phase 1 submissions due </w:t>
      </w:r>
      <w:r w:rsidR="0011556D">
        <w:t xml:space="preserve">a period of time after publication to be specified in the </w:t>
      </w:r>
      <w:r>
        <w:t xml:space="preserve">CDBG-RDR NOFA and the optional </w:t>
      </w:r>
      <w:r w:rsidRPr="00722BA2">
        <w:t xml:space="preserve">single written request </w:t>
      </w:r>
      <w:r>
        <w:t>that any potential Applicant may provide to HUD with</w:t>
      </w:r>
      <w:r w:rsidR="0011556D">
        <w:t>in</w:t>
      </w:r>
      <w:r>
        <w:t xml:space="preserve"> the </w:t>
      </w:r>
      <w:r w:rsidRPr="00722BA2">
        <w:t xml:space="preserve">first 45 days </w:t>
      </w:r>
      <w:r>
        <w:t>after this NOFA is published</w:t>
      </w:r>
      <w:r w:rsidRPr="00722BA2">
        <w:t xml:space="preserve"> for HUD to review its “most impacted and distressed” and “unmet needs” threshold responses for one or more potential target areas</w:t>
      </w:r>
      <w:r>
        <w:t xml:space="preserve"> (45-day threshold review)</w:t>
      </w:r>
      <w:r w:rsidRPr="00722BA2">
        <w:t xml:space="preserve">. </w:t>
      </w:r>
      <w:r w:rsidR="00BE6B90" w:rsidRPr="0011556D">
        <w:t xml:space="preserve">The total annualized burden hours requested are </w:t>
      </w:r>
      <w:r w:rsidR="007F02FC">
        <w:t>11,509</w:t>
      </w:r>
      <w:r w:rsidR="00BE6B90" w:rsidRPr="0011556D">
        <w:t>.</w:t>
      </w:r>
    </w:p>
    <w:p w:rsidR="001E0C51" w:rsidRDefault="001E0C51" w:rsidP="00FB2F04">
      <w:pPr>
        <w:rPr>
          <w:sz w:val="22"/>
          <w:szCs w:val="22"/>
        </w:rPr>
      </w:pPr>
    </w:p>
    <w:tbl>
      <w:tblPr>
        <w:tblW w:w="5000" w:type="pct"/>
        <w:tblLook w:val="04A0" w:firstRow="1" w:lastRow="0" w:firstColumn="1" w:lastColumn="0" w:noHBand="0" w:noVBand="1"/>
      </w:tblPr>
      <w:tblGrid>
        <w:gridCol w:w="72"/>
        <w:gridCol w:w="1926"/>
        <w:gridCol w:w="1511"/>
        <w:gridCol w:w="1395"/>
        <w:gridCol w:w="1243"/>
        <w:gridCol w:w="1181"/>
        <w:gridCol w:w="1095"/>
        <w:gridCol w:w="1247"/>
        <w:gridCol w:w="1346"/>
      </w:tblGrid>
      <w:tr w:rsidR="001E0C51" w:rsidRPr="001E0C51" w:rsidTr="007F02FC">
        <w:trPr>
          <w:trHeight w:val="293"/>
        </w:trPr>
        <w:tc>
          <w:tcPr>
            <w:tcW w:w="5000" w:type="pct"/>
            <w:gridSpan w:val="9"/>
            <w:tcBorders>
              <w:top w:val="double" w:sz="6" w:space="0" w:color="3F3F3F"/>
              <w:left w:val="double" w:sz="6" w:space="0" w:color="3F3F3F"/>
              <w:bottom w:val="single" w:sz="8" w:space="0" w:color="auto"/>
              <w:right w:val="double" w:sz="6" w:space="0" w:color="3F3F3F"/>
            </w:tcBorders>
            <w:shd w:val="clear" w:color="000000" w:fill="A5A5A5"/>
            <w:vAlign w:val="bottom"/>
            <w:hideMark/>
          </w:tcPr>
          <w:p w:rsidR="001E0C51" w:rsidRPr="001E0C51" w:rsidRDefault="001E0C51" w:rsidP="00921DAA">
            <w:pPr>
              <w:overflowPunct/>
              <w:autoSpaceDE/>
              <w:autoSpaceDN/>
              <w:adjustRightInd/>
              <w:jc w:val="center"/>
              <w:textAlignment w:val="auto"/>
              <w:rPr>
                <w:rFonts w:ascii="Calibri" w:hAnsi="Calibri" w:cs="Calibri"/>
                <w:b/>
                <w:bCs/>
                <w:color w:val="FFFFFF"/>
                <w:sz w:val="22"/>
                <w:szCs w:val="22"/>
              </w:rPr>
            </w:pPr>
            <w:r w:rsidRPr="001E0C51">
              <w:rPr>
                <w:rFonts w:ascii="Calibri" w:hAnsi="Calibri" w:cs="Calibri"/>
                <w:b/>
                <w:bCs/>
                <w:color w:val="FFFFFF"/>
                <w:sz w:val="22"/>
                <w:szCs w:val="22"/>
              </w:rPr>
              <w:t>CDBG-RDR Phase 1 45-day</w:t>
            </w:r>
            <w:r w:rsidR="0011556D">
              <w:rPr>
                <w:rFonts w:ascii="Calibri" w:hAnsi="Calibri" w:cs="Calibri"/>
                <w:b/>
                <w:bCs/>
                <w:color w:val="FFFFFF"/>
                <w:sz w:val="22"/>
                <w:szCs w:val="22"/>
              </w:rPr>
              <w:t xml:space="preserve"> </w:t>
            </w:r>
            <w:r w:rsidR="00921DAA">
              <w:rPr>
                <w:rFonts w:ascii="Calibri" w:hAnsi="Calibri" w:cs="Calibri"/>
                <w:b/>
                <w:bCs/>
                <w:color w:val="FFFFFF"/>
                <w:sz w:val="22"/>
                <w:szCs w:val="22"/>
              </w:rPr>
              <w:t>T</w:t>
            </w:r>
            <w:r w:rsidR="0011556D">
              <w:rPr>
                <w:rFonts w:ascii="Calibri" w:hAnsi="Calibri" w:cs="Calibri"/>
                <w:b/>
                <w:bCs/>
                <w:color w:val="FFFFFF"/>
                <w:sz w:val="22"/>
                <w:szCs w:val="22"/>
              </w:rPr>
              <w:t xml:space="preserve">hreshold </w:t>
            </w:r>
            <w:r w:rsidR="00921DAA">
              <w:rPr>
                <w:rFonts w:ascii="Calibri" w:hAnsi="Calibri" w:cs="Calibri"/>
                <w:b/>
                <w:bCs/>
                <w:color w:val="FFFFFF"/>
                <w:sz w:val="22"/>
                <w:szCs w:val="22"/>
              </w:rPr>
              <w:t>R</w:t>
            </w:r>
            <w:r w:rsidR="0011556D">
              <w:rPr>
                <w:rFonts w:ascii="Calibri" w:hAnsi="Calibri" w:cs="Calibri"/>
                <w:b/>
                <w:bCs/>
                <w:color w:val="FFFFFF"/>
                <w:sz w:val="22"/>
                <w:szCs w:val="22"/>
              </w:rPr>
              <w:t xml:space="preserve">eview </w:t>
            </w:r>
          </w:p>
        </w:tc>
      </w:tr>
      <w:tr w:rsidR="007F02FC" w:rsidRPr="001E0C51" w:rsidTr="007F02FC">
        <w:trPr>
          <w:trHeight w:val="623"/>
        </w:trPr>
        <w:tc>
          <w:tcPr>
            <w:tcW w:w="907" w:type="pct"/>
            <w:gridSpan w:val="2"/>
            <w:tcBorders>
              <w:top w:val="nil"/>
              <w:left w:val="single" w:sz="8" w:space="0" w:color="auto"/>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Description of Information Collection</w:t>
            </w:r>
          </w:p>
        </w:tc>
        <w:tc>
          <w:tcPr>
            <w:tcW w:w="686"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Number of Respondents</w:t>
            </w:r>
          </w:p>
        </w:tc>
        <w:tc>
          <w:tcPr>
            <w:tcW w:w="633"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Number of Responses</w:t>
            </w:r>
          </w:p>
        </w:tc>
        <w:tc>
          <w:tcPr>
            <w:tcW w:w="564"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Total Number of Responses</w:t>
            </w:r>
          </w:p>
        </w:tc>
        <w:tc>
          <w:tcPr>
            <w:tcW w:w="536"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Hours Per Response*</w:t>
            </w:r>
          </w:p>
        </w:tc>
        <w:tc>
          <w:tcPr>
            <w:tcW w:w="497"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Total Hours</w:t>
            </w:r>
          </w:p>
        </w:tc>
        <w:tc>
          <w:tcPr>
            <w:tcW w:w="566"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Cost Per Response**</w:t>
            </w:r>
          </w:p>
        </w:tc>
        <w:tc>
          <w:tcPr>
            <w:tcW w:w="611" w:type="pct"/>
            <w:tcBorders>
              <w:top w:val="nil"/>
              <w:left w:val="nil"/>
              <w:bottom w:val="single" w:sz="8" w:space="0" w:color="auto"/>
              <w:right w:val="single" w:sz="8" w:space="0" w:color="auto"/>
            </w:tcBorders>
            <w:shd w:val="clear" w:color="auto" w:fill="auto"/>
            <w:hideMark/>
          </w:tcPr>
          <w:p w:rsidR="001E0C51" w:rsidRPr="001E0C51" w:rsidRDefault="001E0C51" w:rsidP="001E0C51">
            <w:pPr>
              <w:overflowPunct/>
              <w:autoSpaceDE/>
              <w:autoSpaceDN/>
              <w:adjustRightInd/>
              <w:jc w:val="center"/>
              <w:textAlignment w:val="auto"/>
              <w:rPr>
                <w:rFonts w:ascii="Arial" w:hAnsi="Arial" w:cs="Arial"/>
                <w:b/>
                <w:bCs/>
                <w:color w:val="000000"/>
                <w:sz w:val="16"/>
                <w:szCs w:val="16"/>
              </w:rPr>
            </w:pPr>
            <w:r w:rsidRPr="001E0C51">
              <w:rPr>
                <w:rFonts w:ascii="Arial" w:hAnsi="Arial" w:cs="Arial"/>
                <w:b/>
                <w:bCs/>
                <w:color w:val="000000"/>
                <w:sz w:val="16"/>
                <w:szCs w:val="16"/>
              </w:rPr>
              <w:t>Total Cost</w:t>
            </w:r>
          </w:p>
        </w:tc>
      </w:tr>
      <w:tr w:rsidR="007F02FC" w:rsidRPr="001E0C51" w:rsidTr="007F02FC">
        <w:trPr>
          <w:trHeight w:val="299"/>
        </w:trPr>
        <w:tc>
          <w:tcPr>
            <w:tcW w:w="907" w:type="pct"/>
            <w:gridSpan w:val="2"/>
            <w:tcBorders>
              <w:top w:val="nil"/>
              <w:left w:val="single" w:sz="8" w:space="0" w:color="auto"/>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686"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633"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564"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536"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497"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566"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c>
          <w:tcPr>
            <w:tcW w:w="611" w:type="pct"/>
            <w:tcBorders>
              <w:top w:val="nil"/>
              <w:left w:val="nil"/>
              <w:bottom w:val="nil"/>
              <w:right w:val="single" w:sz="8" w:space="0" w:color="auto"/>
            </w:tcBorders>
            <w:shd w:val="clear" w:color="000000" w:fill="D8D8D8"/>
            <w:hideMark/>
          </w:tcPr>
          <w:p w:rsidR="001E0C51" w:rsidRPr="001E0C51" w:rsidRDefault="001E0C51" w:rsidP="001E0C51">
            <w:pPr>
              <w:overflowPunct/>
              <w:autoSpaceDE/>
              <w:autoSpaceDN/>
              <w:adjustRightInd/>
              <w:jc w:val="right"/>
              <w:textAlignment w:val="auto"/>
              <w:rPr>
                <w:rFonts w:ascii="Arial" w:hAnsi="Arial" w:cs="Arial"/>
                <w:color w:val="000000"/>
                <w:sz w:val="16"/>
                <w:szCs w:val="16"/>
              </w:rPr>
            </w:pPr>
            <w:r w:rsidRPr="001E0C51">
              <w:rPr>
                <w:rFonts w:ascii="Arial" w:hAnsi="Arial" w:cs="Arial"/>
                <w:color w:val="000000"/>
                <w:sz w:val="16"/>
                <w:szCs w:val="16"/>
              </w:rPr>
              <w:t> </w:t>
            </w:r>
          </w:p>
        </w:tc>
      </w:tr>
      <w:tr w:rsidR="007F02FC" w:rsidRPr="001E0C51" w:rsidTr="007F02FC">
        <w:trPr>
          <w:trHeight w:val="407"/>
        </w:trPr>
        <w:tc>
          <w:tcPr>
            <w:tcW w:w="907" w:type="pct"/>
            <w:gridSpan w:val="2"/>
            <w:tcBorders>
              <w:top w:val="single" w:sz="4" w:space="0" w:color="auto"/>
              <w:left w:val="single" w:sz="8" w:space="0" w:color="auto"/>
              <w:bottom w:val="single" w:sz="4" w:space="0" w:color="auto"/>
              <w:right w:val="single" w:sz="8" w:space="0" w:color="auto"/>
            </w:tcBorders>
            <w:shd w:val="clear" w:color="auto" w:fill="auto"/>
            <w:hideMark/>
          </w:tcPr>
          <w:p w:rsidR="00795A43" w:rsidRDefault="00795A43">
            <w:pPr>
              <w:rPr>
                <w:rFonts w:ascii="Arial" w:hAnsi="Arial" w:cs="Arial"/>
                <w:color w:val="000000"/>
                <w:sz w:val="16"/>
                <w:szCs w:val="16"/>
              </w:rPr>
            </w:pPr>
            <w:r>
              <w:rPr>
                <w:rFonts w:ascii="Arial" w:hAnsi="Arial" w:cs="Arial"/>
                <w:color w:val="000000"/>
                <w:sz w:val="16"/>
                <w:szCs w:val="16"/>
              </w:rPr>
              <w:t>45-day Request for HUD Review</w:t>
            </w:r>
          </w:p>
        </w:tc>
        <w:tc>
          <w:tcPr>
            <w:tcW w:w="686" w:type="pct"/>
            <w:tcBorders>
              <w:top w:val="single" w:sz="8" w:space="0" w:color="auto"/>
              <w:left w:val="nil"/>
              <w:bottom w:val="single" w:sz="4"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67</w:t>
            </w:r>
          </w:p>
        </w:tc>
        <w:tc>
          <w:tcPr>
            <w:tcW w:w="633" w:type="pct"/>
            <w:tcBorders>
              <w:top w:val="single" w:sz="8" w:space="0" w:color="auto"/>
              <w:left w:val="nil"/>
              <w:bottom w:val="single" w:sz="4"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single" w:sz="8" w:space="0" w:color="auto"/>
              <w:left w:val="nil"/>
              <w:bottom w:val="single" w:sz="4"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67</w:t>
            </w:r>
          </w:p>
        </w:tc>
        <w:tc>
          <w:tcPr>
            <w:tcW w:w="536" w:type="pct"/>
            <w:tcBorders>
              <w:top w:val="single" w:sz="8" w:space="0" w:color="auto"/>
              <w:left w:val="nil"/>
              <w:bottom w:val="single" w:sz="4"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15</w:t>
            </w:r>
          </w:p>
        </w:tc>
        <w:tc>
          <w:tcPr>
            <w:tcW w:w="497" w:type="pct"/>
            <w:tcBorders>
              <w:top w:val="single" w:sz="8" w:space="0" w:color="auto"/>
              <w:left w:val="nil"/>
              <w:bottom w:val="single" w:sz="4"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1005</w:t>
            </w:r>
          </w:p>
        </w:tc>
        <w:tc>
          <w:tcPr>
            <w:tcW w:w="566" w:type="pct"/>
            <w:tcBorders>
              <w:top w:val="single" w:sz="8" w:space="0" w:color="auto"/>
              <w:left w:val="nil"/>
              <w:bottom w:val="single" w:sz="4"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 xml:space="preserve">$522 </w:t>
            </w:r>
          </w:p>
        </w:tc>
        <w:tc>
          <w:tcPr>
            <w:tcW w:w="611" w:type="pct"/>
            <w:tcBorders>
              <w:top w:val="single" w:sz="8" w:space="0" w:color="auto"/>
              <w:left w:val="nil"/>
              <w:bottom w:val="single" w:sz="4" w:space="0" w:color="auto"/>
              <w:right w:val="single" w:sz="8" w:space="0" w:color="auto"/>
            </w:tcBorders>
            <w:shd w:val="clear" w:color="auto" w:fill="auto"/>
            <w:noWrap/>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$34,974</w:t>
            </w:r>
          </w:p>
        </w:tc>
      </w:tr>
      <w:tr w:rsidR="007F02FC" w:rsidRPr="001E0C51" w:rsidTr="007F02FC">
        <w:trPr>
          <w:trHeight w:val="715"/>
        </w:trPr>
        <w:tc>
          <w:tcPr>
            <w:tcW w:w="907" w:type="pct"/>
            <w:gridSpan w:val="2"/>
            <w:tcBorders>
              <w:top w:val="nil"/>
              <w:left w:val="single" w:sz="8" w:space="0" w:color="auto"/>
              <w:bottom w:val="single" w:sz="8" w:space="0" w:color="auto"/>
              <w:right w:val="single" w:sz="8" w:space="0" w:color="auto"/>
            </w:tcBorders>
            <w:shd w:val="clear" w:color="auto" w:fill="auto"/>
            <w:hideMark/>
          </w:tcPr>
          <w:p w:rsidR="00795A43" w:rsidRDefault="00795A43">
            <w:pPr>
              <w:rPr>
                <w:rFonts w:ascii="Arial" w:hAnsi="Arial" w:cs="Arial"/>
                <w:color w:val="000000"/>
                <w:sz w:val="16"/>
                <w:szCs w:val="16"/>
              </w:rPr>
            </w:pPr>
            <w:r>
              <w:rPr>
                <w:rFonts w:ascii="Arial" w:hAnsi="Arial" w:cs="Arial"/>
                <w:color w:val="000000"/>
                <w:sz w:val="16"/>
                <w:szCs w:val="16"/>
              </w:rPr>
              <w:t>TOTAL PAPERWORK BURDEN</w:t>
            </w:r>
          </w:p>
        </w:tc>
        <w:tc>
          <w:tcPr>
            <w:tcW w:w="686" w:type="pct"/>
            <w:tcBorders>
              <w:top w:val="nil"/>
              <w:left w:val="nil"/>
              <w:bottom w:val="single" w:sz="8"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N/A</w:t>
            </w:r>
          </w:p>
        </w:tc>
        <w:tc>
          <w:tcPr>
            <w:tcW w:w="633" w:type="pct"/>
            <w:tcBorders>
              <w:top w:val="nil"/>
              <w:left w:val="nil"/>
              <w:bottom w:val="single" w:sz="8"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nil"/>
              <w:left w:val="nil"/>
              <w:bottom w:val="single" w:sz="8"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N/A</w:t>
            </w:r>
          </w:p>
        </w:tc>
        <w:tc>
          <w:tcPr>
            <w:tcW w:w="536" w:type="pct"/>
            <w:tcBorders>
              <w:top w:val="nil"/>
              <w:left w:val="nil"/>
              <w:bottom w:val="single" w:sz="8"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15</w:t>
            </w:r>
          </w:p>
        </w:tc>
        <w:tc>
          <w:tcPr>
            <w:tcW w:w="497" w:type="pct"/>
            <w:tcBorders>
              <w:top w:val="nil"/>
              <w:left w:val="nil"/>
              <w:bottom w:val="single" w:sz="8"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1,005</w:t>
            </w:r>
          </w:p>
        </w:tc>
        <w:tc>
          <w:tcPr>
            <w:tcW w:w="566" w:type="pct"/>
            <w:tcBorders>
              <w:top w:val="nil"/>
              <w:left w:val="nil"/>
              <w:bottom w:val="single" w:sz="8" w:space="0" w:color="auto"/>
              <w:right w:val="single" w:sz="4"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 xml:space="preserve">$522 </w:t>
            </w:r>
          </w:p>
        </w:tc>
        <w:tc>
          <w:tcPr>
            <w:tcW w:w="611" w:type="pct"/>
            <w:tcBorders>
              <w:top w:val="nil"/>
              <w:left w:val="nil"/>
              <w:bottom w:val="single" w:sz="8" w:space="0" w:color="auto"/>
              <w:right w:val="single" w:sz="8" w:space="0" w:color="auto"/>
            </w:tcBorders>
            <w:shd w:val="clear" w:color="auto" w:fill="auto"/>
            <w:vAlign w:val="center"/>
            <w:hideMark/>
          </w:tcPr>
          <w:p w:rsidR="00795A43" w:rsidRDefault="00795A43">
            <w:pPr>
              <w:jc w:val="right"/>
              <w:rPr>
                <w:rFonts w:ascii="Arial" w:hAnsi="Arial" w:cs="Arial"/>
                <w:color w:val="000000"/>
                <w:sz w:val="16"/>
                <w:szCs w:val="16"/>
              </w:rPr>
            </w:pPr>
            <w:r>
              <w:rPr>
                <w:rFonts w:ascii="Arial" w:hAnsi="Arial" w:cs="Arial"/>
                <w:color w:val="000000"/>
                <w:sz w:val="16"/>
                <w:szCs w:val="16"/>
              </w:rPr>
              <w:t>$34,974</w:t>
            </w:r>
          </w:p>
        </w:tc>
      </w:tr>
      <w:tr w:rsidR="007F02FC" w:rsidRPr="001E0C51" w:rsidTr="007F02FC">
        <w:trPr>
          <w:trHeight w:val="299"/>
        </w:trPr>
        <w:tc>
          <w:tcPr>
            <w:tcW w:w="907" w:type="pct"/>
            <w:gridSpan w:val="2"/>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686"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633"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564"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536"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497"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566"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c>
          <w:tcPr>
            <w:tcW w:w="611" w:type="pct"/>
            <w:tcBorders>
              <w:top w:val="nil"/>
              <w:left w:val="nil"/>
              <w:bottom w:val="nil"/>
              <w:right w:val="nil"/>
            </w:tcBorders>
            <w:shd w:val="clear" w:color="auto" w:fill="auto"/>
            <w:noWrap/>
            <w:vAlign w:val="bottom"/>
            <w:hideMark/>
          </w:tcPr>
          <w:p w:rsidR="001E0C51" w:rsidRPr="001E0C51" w:rsidRDefault="001E0C51" w:rsidP="001E0C51">
            <w:pPr>
              <w:overflowPunct/>
              <w:autoSpaceDE/>
              <w:autoSpaceDN/>
              <w:adjustRightInd/>
              <w:textAlignment w:val="auto"/>
              <w:rPr>
                <w:rFonts w:ascii="Calibri" w:hAnsi="Calibri" w:cs="Calibri"/>
                <w:color w:val="000000"/>
                <w:sz w:val="22"/>
                <w:szCs w:val="22"/>
              </w:rPr>
            </w:pPr>
          </w:p>
        </w:tc>
      </w:tr>
      <w:tr w:rsidR="007F02FC" w:rsidTr="007F02FC">
        <w:trPr>
          <w:gridBefore w:val="1"/>
          <w:wBefore w:w="33" w:type="pct"/>
          <w:trHeight w:val="311"/>
        </w:trPr>
        <w:tc>
          <w:tcPr>
            <w:tcW w:w="4967" w:type="pct"/>
            <w:gridSpan w:val="8"/>
            <w:tcBorders>
              <w:top w:val="double" w:sz="6" w:space="0" w:color="3F3F3F"/>
              <w:left w:val="double" w:sz="6" w:space="0" w:color="3F3F3F"/>
              <w:bottom w:val="nil"/>
              <w:right w:val="double" w:sz="6" w:space="0" w:color="3F3F3F"/>
            </w:tcBorders>
            <w:shd w:val="clear" w:color="000000" w:fill="A5A5A5"/>
            <w:noWrap/>
            <w:vAlign w:val="bottom"/>
            <w:hideMark/>
          </w:tcPr>
          <w:p w:rsidR="007F02FC" w:rsidRDefault="007F02FC">
            <w:pPr>
              <w:jc w:val="center"/>
              <w:rPr>
                <w:rFonts w:ascii="Calibri" w:hAnsi="Calibri" w:cs="Calibri"/>
                <w:b/>
                <w:bCs/>
                <w:color w:val="FFFFFF"/>
                <w:sz w:val="22"/>
                <w:szCs w:val="22"/>
              </w:rPr>
            </w:pPr>
            <w:r>
              <w:rPr>
                <w:rFonts w:ascii="Calibri" w:hAnsi="Calibri" w:cs="Calibri"/>
                <w:b/>
                <w:bCs/>
                <w:color w:val="FFFFFF"/>
                <w:sz w:val="22"/>
                <w:szCs w:val="22"/>
              </w:rPr>
              <w:t>Full CDBG-RDR Phase 1 Application</w:t>
            </w:r>
          </w:p>
        </w:tc>
      </w:tr>
      <w:tr w:rsidR="007F02FC" w:rsidTr="007F02FC">
        <w:trPr>
          <w:gridBefore w:val="1"/>
          <w:wBefore w:w="33" w:type="pct"/>
          <w:trHeight w:val="623"/>
        </w:trPr>
        <w:tc>
          <w:tcPr>
            <w:tcW w:w="874" w:type="pct"/>
            <w:tcBorders>
              <w:top w:val="single" w:sz="8" w:space="0" w:color="auto"/>
              <w:left w:val="single" w:sz="8" w:space="0" w:color="auto"/>
              <w:bottom w:val="single" w:sz="8" w:space="0" w:color="auto"/>
              <w:right w:val="nil"/>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Description of Information Collection</w:t>
            </w:r>
          </w:p>
        </w:tc>
        <w:tc>
          <w:tcPr>
            <w:tcW w:w="686" w:type="pct"/>
            <w:tcBorders>
              <w:top w:val="single" w:sz="8" w:space="0" w:color="auto"/>
              <w:left w:val="single" w:sz="8" w:space="0" w:color="auto"/>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Number of Respondents</w:t>
            </w:r>
          </w:p>
        </w:tc>
        <w:tc>
          <w:tcPr>
            <w:tcW w:w="633" w:type="pct"/>
            <w:tcBorders>
              <w:top w:val="single" w:sz="8" w:space="0" w:color="auto"/>
              <w:left w:val="nil"/>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Number of Responses</w:t>
            </w:r>
          </w:p>
        </w:tc>
        <w:tc>
          <w:tcPr>
            <w:tcW w:w="564" w:type="pct"/>
            <w:tcBorders>
              <w:top w:val="single" w:sz="8" w:space="0" w:color="auto"/>
              <w:left w:val="nil"/>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Total Number of Responses</w:t>
            </w:r>
          </w:p>
        </w:tc>
        <w:tc>
          <w:tcPr>
            <w:tcW w:w="536" w:type="pct"/>
            <w:tcBorders>
              <w:top w:val="single" w:sz="8" w:space="0" w:color="auto"/>
              <w:left w:val="nil"/>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Hours Per Response</w:t>
            </w:r>
          </w:p>
        </w:tc>
        <w:tc>
          <w:tcPr>
            <w:tcW w:w="497" w:type="pct"/>
            <w:tcBorders>
              <w:top w:val="single" w:sz="8" w:space="0" w:color="auto"/>
              <w:left w:val="nil"/>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Total Hours</w:t>
            </w:r>
          </w:p>
        </w:tc>
        <w:tc>
          <w:tcPr>
            <w:tcW w:w="566" w:type="pct"/>
            <w:tcBorders>
              <w:top w:val="single" w:sz="8" w:space="0" w:color="auto"/>
              <w:left w:val="nil"/>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Cost Per Response</w:t>
            </w:r>
          </w:p>
        </w:tc>
        <w:tc>
          <w:tcPr>
            <w:tcW w:w="611" w:type="pct"/>
            <w:tcBorders>
              <w:top w:val="single" w:sz="8" w:space="0" w:color="auto"/>
              <w:left w:val="nil"/>
              <w:bottom w:val="single" w:sz="8" w:space="0" w:color="auto"/>
              <w:right w:val="single" w:sz="8" w:space="0" w:color="auto"/>
            </w:tcBorders>
            <w:shd w:val="clear" w:color="auto" w:fill="auto"/>
            <w:hideMark/>
          </w:tcPr>
          <w:p w:rsidR="007F02FC" w:rsidRDefault="007F02FC">
            <w:pPr>
              <w:jc w:val="center"/>
              <w:rPr>
                <w:rFonts w:ascii="Arial" w:hAnsi="Arial" w:cs="Arial"/>
                <w:b/>
                <w:bCs/>
                <w:color w:val="000000"/>
                <w:sz w:val="16"/>
                <w:szCs w:val="16"/>
              </w:rPr>
            </w:pPr>
            <w:r>
              <w:rPr>
                <w:rFonts w:ascii="Arial" w:hAnsi="Arial" w:cs="Arial"/>
                <w:b/>
                <w:bCs/>
                <w:color w:val="000000"/>
                <w:sz w:val="16"/>
                <w:szCs w:val="16"/>
              </w:rPr>
              <w:t>Total Cost</w:t>
            </w:r>
          </w:p>
        </w:tc>
      </w:tr>
      <w:tr w:rsidR="007F02FC" w:rsidTr="007F02FC">
        <w:trPr>
          <w:gridBefore w:val="1"/>
          <w:wBefore w:w="33" w:type="pct"/>
          <w:trHeight w:val="407"/>
        </w:trPr>
        <w:tc>
          <w:tcPr>
            <w:tcW w:w="874" w:type="pct"/>
            <w:tcBorders>
              <w:top w:val="nil"/>
              <w:left w:val="single" w:sz="8" w:space="0" w:color="auto"/>
              <w:bottom w:val="nil"/>
              <w:right w:val="nil"/>
            </w:tcBorders>
            <w:shd w:val="clear" w:color="auto" w:fill="auto"/>
            <w:hideMark/>
          </w:tcPr>
          <w:p w:rsidR="007F02FC" w:rsidRDefault="007F02FC">
            <w:pPr>
              <w:jc w:val="center"/>
              <w:rPr>
                <w:rFonts w:ascii="Arial" w:hAnsi="Arial" w:cs="Arial"/>
                <w:color w:val="000000"/>
                <w:sz w:val="16"/>
                <w:szCs w:val="16"/>
              </w:rPr>
            </w:pPr>
            <w:r>
              <w:rPr>
                <w:rFonts w:ascii="Arial" w:hAnsi="Arial" w:cs="Arial"/>
                <w:color w:val="000000"/>
                <w:sz w:val="16"/>
                <w:szCs w:val="16"/>
              </w:rPr>
              <w:t xml:space="preserve"> Phase 1 Threshold Determination</w:t>
            </w:r>
          </w:p>
        </w:tc>
        <w:tc>
          <w:tcPr>
            <w:tcW w:w="686" w:type="pct"/>
            <w:tcBorders>
              <w:top w:val="nil"/>
              <w:left w:val="single" w:sz="8" w:space="0" w:color="auto"/>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633"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53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35</w:t>
            </w:r>
          </w:p>
        </w:tc>
        <w:tc>
          <w:tcPr>
            <w:tcW w:w="497"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2345</w:t>
            </w:r>
          </w:p>
        </w:tc>
        <w:tc>
          <w:tcPr>
            <w:tcW w:w="56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1218</w:t>
            </w:r>
          </w:p>
        </w:tc>
        <w:tc>
          <w:tcPr>
            <w:tcW w:w="611" w:type="pct"/>
            <w:tcBorders>
              <w:top w:val="nil"/>
              <w:left w:val="nil"/>
              <w:bottom w:val="single" w:sz="4" w:space="0" w:color="auto"/>
              <w:right w:val="single" w:sz="8"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81606</w:t>
            </w:r>
          </w:p>
        </w:tc>
      </w:tr>
      <w:tr w:rsidR="007F02FC" w:rsidTr="007F02FC">
        <w:trPr>
          <w:gridBefore w:val="1"/>
          <w:wBefore w:w="33" w:type="pct"/>
          <w:trHeight w:val="407"/>
        </w:trPr>
        <w:tc>
          <w:tcPr>
            <w:tcW w:w="874" w:type="pct"/>
            <w:tcBorders>
              <w:top w:val="single" w:sz="4" w:space="0" w:color="auto"/>
              <w:left w:val="single" w:sz="8" w:space="0" w:color="auto"/>
              <w:bottom w:val="single" w:sz="4" w:space="0" w:color="auto"/>
              <w:right w:val="nil"/>
            </w:tcBorders>
            <w:shd w:val="clear" w:color="auto" w:fill="auto"/>
            <w:hideMark/>
          </w:tcPr>
          <w:p w:rsidR="007F02FC" w:rsidRDefault="007F02FC">
            <w:pPr>
              <w:rPr>
                <w:rFonts w:ascii="Arial" w:hAnsi="Arial" w:cs="Arial"/>
                <w:color w:val="000000"/>
                <w:sz w:val="16"/>
                <w:szCs w:val="16"/>
              </w:rPr>
            </w:pPr>
            <w:r>
              <w:rPr>
                <w:rFonts w:ascii="Arial" w:hAnsi="Arial" w:cs="Arial"/>
                <w:color w:val="000000"/>
                <w:sz w:val="16"/>
                <w:szCs w:val="16"/>
              </w:rPr>
              <w:t>Factor Narratives and Attachments</w:t>
            </w:r>
          </w:p>
        </w:tc>
        <w:tc>
          <w:tcPr>
            <w:tcW w:w="686" w:type="pct"/>
            <w:tcBorders>
              <w:top w:val="nil"/>
              <w:left w:val="single" w:sz="8" w:space="0" w:color="auto"/>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633"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53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120</w:t>
            </w:r>
          </w:p>
        </w:tc>
        <w:tc>
          <w:tcPr>
            <w:tcW w:w="497"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8040</w:t>
            </w:r>
          </w:p>
        </w:tc>
        <w:tc>
          <w:tcPr>
            <w:tcW w:w="56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4176</w:t>
            </w:r>
          </w:p>
        </w:tc>
        <w:tc>
          <w:tcPr>
            <w:tcW w:w="611" w:type="pct"/>
            <w:tcBorders>
              <w:top w:val="nil"/>
              <w:left w:val="nil"/>
              <w:bottom w:val="single" w:sz="4" w:space="0" w:color="auto"/>
              <w:right w:val="single" w:sz="8"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279792</w:t>
            </w:r>
          </w:p>
        </w:tc>
      </w:tr>
      <w:tr w:rsidR="007F02FC" w:rsidTr="007F02FC">
        <w:trPr>
          <w:gridBefore w:val="1"/>
          <w:wBefore w:w="33" w:type="pct"/>
          <w:trHeight w:val="287"/>
        </w:trPr>
        <w:tc>
          <w:tcPr>
            <w:tcW w:w="874" w:type="pct"/>
            <w:tcBorders>
              <w:top w:val="nil"/>
              <w:left w:val="single" w:sz="8" w:space="0" w:color="auto"/>
              <w:bottom w:val="single" w:sz="4" w:space="0" w:color="auto"/>
              <w:right w:val="nil"/>
            </w:tcBorders>
            <w:shd w:val="clear" w:color="auto" w:fill="auto"/>
            <w:hideMark/>
          </w:tcPr>
          <w:p w:rsidR="007F02FC" w:rsidRDefault="007F02FC">
            <w:pPr>
              <w:rPr>
                <w:rFonts w:ascii="Arial" w:hAnsi="Arial" w:cs="Arial"/>
                <w:color w:val="000000"/>
                <w:sz w:val="16"/>
                <w:szCs w:val="16"/>
              </w:rPr>
            </w:pPr>
            <w:r>
              <w:rPr>
                <w:rFonts w:ascii="Arial" w:hAnsi="Arial" w:cs="Arial"/>
                <w:color w:val="000000"/>
                <w:sz w:val="16"/>
                <w:szCs w:val="16"/>
              </w:rPr>
              <w:t>SF-424</w:t>
            </w:r>
          </w:p>
        </w:tc>
        <w:tc>
          <w:tcPr>
            <w:tcW w:w="686" w:type="pct"/>
            <w:tcBorders>
              <w:top w:val="nil"/>
              <w:left w:val="single" w:sz="8" w:space="0" w:color="auto"/>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633"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53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0.75</w:t>
            </w:r>
          </w:p>
        </w:tc>
        <w:tc>
          <w:tcPr>
            <w:tcW w:w="497"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50.25</w:t>
            </w:r>
          </w:p>
        </w:tc>
        <w:tc>
          <w:tcPr>
            <w:tcW w:w="56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26</w:t>
            </w:r>
          </w:p>
        </w:tc>
        <w:tc>
          <w:tcPr>
            <w:tcW w:w="611" w:type="pct"/>
            <w:tcBorders>
              <w:top w:val="nil"/>
              <w:left w:val="nil"/>
              <w:bottom w:val="single" w:sz="4" w:space="0" w:color="auto"/>
              <w:right w:val="single" w:sz="8"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1749</w:t>
            </w:r>
          </w:p>
        </w:tc>
      </w:tr>
      <w:tr w:rsidR="007F02FC" w:rsidTr="007F02FC">
        <w:trPr>
          <w:gridBefore w:val="1"/>
          <w:wBefore w:w="33" w:type="pct"/>
          <w:trHeight w:val="287"/>
        </w:trPr>
        <w:tc>
          <w:tcPr>
            <w:tcW w:w="874" w:type="pct"/>
            <w:tcBorders>
              <w:top w:val="nil"/>
              <w:left w:val="single" w:sz="8" w:space="0" w:color="auto"/>
              <w:bottom w:val="single" w:sz="4" w:space="0" w:color="auto"/>
              <w:right w:val="nil"/>
            </w:tcBorders>
            <w:shd w:val="clear" w:color="auto" w:fill="auto"/>
            <w:hideMark/>
          </w:tcPr>
          <w:p w:rsidR="007F02FC" w:rsidRDefault="007F02FC">
            <w:pPr>
              <w:rPr>
                <w:rFonts w:ascii="Arial" w:hAnsi="Arial" w:cs="Arial"/>
                <w:color w:val="000000"/>
                <w:sz w:val="16"/>
                <w:szCs w:val="16"/>
              </w:rPr>
            </w:pPr>
            <w:r>
              <w:rPr>
                <w:rFonts w:ascii="Arial" w:hAnsi="Arial" w:cs="Arial"/>
                <w:color w:val="000000"/>
                <w:sz w:val="16"/>
                <w:szCs w:val="16"/>
              </w:rPr>
              <w:t>SF-LLL</w:t>
            </w:r>
          </w:p>
        </w:tc>
        <w:tc>
          <w:tcPr>
            <w:tcW w:w="686" w:type="pct"/>
            <w:tcBorders>
              <w:top w:val="nil"/>
              <w:left w:val="single" w:sz="8" w:space="0" w:color="auto"/>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633"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53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497"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56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35</w:t>
            </w:r>
          </w:p>
        </w:tc>
        <w:tc>
          <w:tcPr>
            <w:tcW w:w="611" w:type="pct"/>
            <w:tcBorders>
              <w:top w:val="nil"/>
              <w:left w:val="nil"/>
              <w:bottom w:val="single" w:sz="4" w:space="0" w:color="auto"/>
              <w:right w:val="single" w:sz="8"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2332</w:t>
            </w:r>
          </w:p>
        </w:tc>
      </w:tr>
      <w:tr w:rsidR="007F02FC" w:rsidTr="007F02FC">
        <w:trPr>
          <w:gridBefore w:val="1"/>
          <w:wBefore w:w="33" w:type="pct"/>
          <w:trHeight w:val="287"/>
        </w:trPr>
        <w:tc>
          <w:tcPr>
            <w:tcW w:w="874" w:type="pct"/>
            <w:tcBorders>
              <w:top w:val="nil"/>
              <w:left w:val="single" w:sz="8" w:space="0" w:color="auto"/>
              <w:bottom w:val="nil"/>
              <w:right w:val="nil"/>
            </w:tcBorders>
            <w:shd w:val="clear" w:color="auto" w:fill="auto"/>
            <w:hideMark/>
          </w:tcPr>
          <w:p w:rsidR="007F02FC" w:rsidRDefault="007F02FC">
            <w:pPr>
              <w:rPr>
                <w:rFonts w:ascii="Arial" w:hAnsi="Arial" w:cs="Arial"/>
                <w:color w:val="000000"/>
                <w:sz w:val="16"/>
                <w:szCs w:val="16"/>
              </w:rPr>
            </w:pPr>
            <w:r>
              <w:rPr>
                <w:rFonts w:ascii="Arial" w:hAnsi="Arial" w:cs="Arial"/>
                <w:color w:val="000000"/>
                <w:sz w:val="16"/>
                <w:szCs w:val="16"/>
              </w:rPr>
              <w:t>HUD-96011</w:t>
            </w:r>
          </w:p>
        </w:tc>
        <w:tc>
          <w:tcPr>
            <w:tcW w:w="686" w:type="pct"/>
            <w:tcBorders>
              <w:top w:val="nil"/>
              <w:left w:val="single" w:sz="8" w:space="0" w:color="auto"/>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633"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564"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67</w:t>
            </w:r>
          </w:p>
        </w:tc>
        <w:tc>
          <w:tcPr>
            <w:tcW w:w="53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0.03</w:t>
            </w:r>
          </w:p>
        </w:tc>
        <w:tc>
          <w:tcPr>
            <w:tcW w:w="497"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2.01</w:t>
            </w:r>
          </w:p>
        </w:tc>
        <w:tc>
          <w:tcPr>
            <w:tcW w:w="566" w:type="pct"/>
            <w:tcBorders>
              <w:top w:val="nil"/>
              <w:left w:val="nil"/>
              <w:bottom w:val="single" w:sz="4"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auto"/>
              <w:right w:val="single" w:sz="8"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70</w:t>
            </w:r>
          </w:p>
        </w:tc>
      </w:tr>
      <w:tr w:rsidR="007F02FC" w:rsidTr="007F02FC">
        <w:trPr>
          <w:gridBefore w:val="1"/>
          <w:wBefore w:w="33" w:type="pct"/>
          <w:trHeight w:val="623"/>
        </w:trPr>
        <w:tc>
          <w:tcPr>
            <w:tcW w:w="874" w:type="pct"/>
            <w:tcBorders>
              <w:top w:val="single" w:sz="4" w:space="0" w:color="auto"/>
              <w:left w:val="single" w:sz="8" w:space="0" w:color="auto"/>
              <w:bottom w:val="single" w:sz="8" w:space="0" w:color="auto"/>
              <w:right w:val="nil"/>
            </w:tcBorders>
            <w:shd w:val="clear" w:color="auto" w:fill="auto"/>
            <w:hideMark/>
          </w:tcPr>
          <w:p w:rsidR="007F02FC" w:rsidRDefault="007F02FC">
            <w:pPr>
              <w:rPr>
                <w:rFonts w:ascii="Arial" w:hAnsi="Arial" w:cs="Arial"/>
                <w:color w:val="000000"/>
                <w:sz w:val="16"/>
                <w:szCs w:val="16"/>
              </w:rPr>
            </w:pPr>
            <w:r>
              <w:rPr>
                <w:rFonts w:ascii="Arial" w:hAnsi="Arial" w:cs="Arial"/>
                <w:color w:val="000000"/>
                <w:sz w:val="16"/>
                <w:szCs w:val="16"/>
              </w:rPr>
              <w:t>TOTAL PAPERWORK BURDEN</w:t>
            </w:r>
          </w:p>
        </w:tc>
        <w:tc>
          <w:tcPr>
            <w:tcW w:w="686" w:type="pct"/>
            <w:tcBorders>
              <w:top w:val="nil"/>
              <w:left w:val="single" w:sz="8" w:space="0" w:color="auto"/>
              <w:bottom w:val="single" w:sz="8"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N/A</w:t>
            </w:r>
          </w:p>
        </w:tc>
        <w:tc>
          <w:tcPr>
            <w:tcW w:w="633" w:type="pct"/>
            <w:tcBorders>
              <w:top w:val="nil"/>
              <w:left w:val="nil"/>
              <w:bottom w:val="single" w:sz="8"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10</w:t>
            </w:r>
          </w:p>
        </w:tc>
        <w:tc>
          <w:tcPr>
            <w:tcW w:w="564" w:type="pct"/>
            <w:tcBorders>
              <w:top w:val="nil"/>
              <w:left w:val="nil"/>
              <w:bottom w:val="single" w:sz="8"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N/A</w:t>
            </w:r>
          </w:p>
        </w:tc>
        <w:tc>
          <w:tcPr>
            <w:tcW w:w="536" w:type="pct"/>
            <w:tcBorders>
              <w:top w:val="nil"/>
              <w:left w:val="nil"/>
              <w:bottom w:val="single" w:sz="8"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156.78</w:t>
            </w:r>
          </w:p>
        </w:tc>
        <w:tc>
          <w:tcPr>
            <w:tcW w:w="497" w:type="pct"/>
            <w:tcBorders>
              <w:top w:val="nil"/>
              <w:left w:val="nil"/>
              <w:bottom w:val="single" w:sz="8"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10504</w:t>
            </w:r>
          </w:p>
        </w:tc>
        <w:tc>
          <w:tcPr>
            <w:tcW w:w="566" w:type="pct"/>
            <w:tcBorders>
              <w:top w:val="nil"/>
              <w:left w:val="nil"/>
              <w:bottom w:val="single" w:sz="8" w:space="0" w:color="auto"/>
              <w:right w:val="single" w:sz="4"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 xml:space="preserve">$5,456 </w:t>
            </w:r>
          </w:p>
        </w:tc>
        <w:tc>
          <w:tcPr>
            <w:tcW w:w="611" w:type="pct"/>
            <w:tcBorders>
              <w:top w:val="nil"/>
              <w:left w:val="nil"/>
              <w:bottom w:val="single" w:sz="8" w:space="0" w:color="auto"/>
              <w:right w:val="single" w:sz="8" w:space="0" w:color="auto"/>
            </w:tcBorders>
            <w:shd w:val="clear" w:color="auto" w:fill="auto"/>
            <w:hideMark/>
          </w:tcPr>
          <w:p w:rsidR="007F02FC" w:rsidRDefault="007F02FC">
            <w:pPr>
              <w:jc w:val="right"/>
              <w:rPr>
                <w:rFonts w:ascii="Arial" w:hAnsi="Arial" w:cs="Arial"/>
                <w:color w:val="000000"/>
                <w:sz w:val="16"/>
                <w:szCs w:val="16"/>
              </w:rPr>
            </w:pPr>
            <w:r>
              <w:rPr>
                <w:rFonts w:ascii="Arial" w:hAnsi="Arial" w:cs="Arial"/>
                <w:color w:val="000000"/>
                <w:sz w:val="16"/>
                <w:szCs w:val="16"/>
              </w:rPr>
              <w:t>$365,548</w:t>
            </w:r>
          </w:p>
        </w:tc>
      </w:tr>
      <w:tr w:rsidR="007F02FC" w:rsidTr="007F02FC">
        <w:trPr>
          <w:gridBefore w:val="1"/>
          <w:wBefore w:w="33" w:type="pct"/>
          <w:trHeight w:val="287"/>
        </w:trPr>
        <w:tc>
          <w:tcPr>
            <w:tcW w:w="4967" w:type="pct"/>
            <w:gridSpan w:val="8"/>
            <w:tcBorders>
              <w:top w:val="single" w:sz="8" w:space="0" w:color="auto"/>
              <w:left w:val="nil"/>
              <w:bottom w:val="nil"/>
              <w:right w:val="nil"/>
            </w:tcBorders>
            <w:shd w:val="clear" w:color="auto" w:fill="auto"/>
            <w:noWrap/>
            <w:vAlign w:val="bottom"/>
            <w:hideMark/>
          </w:tcPr>
          <w:p w:rsidR="007F02FC" w:rsidRDefault="007F02FC">
            <w:pPr>
              <w:rPr>
                <w:rFonts w:ascii="Arial" w:hAnsi="Arial" w:cs="Arial"/>
                <w:color w:val="000000"/>
                <w:sz w:val="16"/>
                <w:szCs w:val="16"/>
              </w:rPr>
            </w:pPr>
            <w:r>
              <w:rPr>
                <w:rFonts w:ascii="Arial" w:hAnsi="Arial" w:cs="Arial"/>
                <w:color w:val="000000"/>
                <w:sz w:val="16"/>
                <w:szCs w:val="16"/>
              </w:rPr>
              <w:t>*Based number of hours per response at GS-13 salary of $34.80/hr.</w:t>
            </w:r>
          </w:p>
        </w:tc>
      </w:tr>
    </w:tbl>
    <w:p w:rsidR="00C50CC5" w:rsidRDefault="00C50CC5"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C50CC5" w:rsidRDefault="00C50CC5" w:rsidP="003A412A">
      <w:pPr>
        <w:tabs>
          <w:tab w:val="left" w:pos="720"/>
        </w:tabs>
      </w:pPr>
    </w:p>
    <w:p w:rsidR="00FD2F6C" w:rsidRPr="002F7B69" w:rsidRDefault="00FD2F6C" w:rsidP="003A412A">
      <w:pPr>
        <w:tabs>
          <w:tab w:val="left" w:pos="720"/>
        </w:tabs>
        <w:rPr>
          <w:sz w:val="22"/>
          <w:szCs w:val="22"/>
        </w:rPr>
      </w:pPr>
      <w:r w:rsidRPr="00D01748">
        <w:rPr>
          <w:sz w:val="22"/>
          <w:szCs w:val="22"/>
        </w:rPr>
        <w:t xml:space="preserve">HUD estimates </w:t>
      </w:r>
      <w:r w:rsidR="001E0C51" w:rsidRPr="00D01748">
        <w:rPr>
          <w:sz w:val="22"/>
          <w:szCs w:val="22"/>
        </w:rPr>
        <w:t>45-day threshold review and subsequent Phase 1 Application review to take 8 and 15 hours respectively</w:t>
      </w:r>
      <w:r w:rsidRPr="00D01748">
        <w:rPr>
          <w:sz w:val="22"/>
          <w:szCs w:val="22"/>
        </w:rPr>
        <w:t>.</w:t>
      </w:r>
      <w:r w:rsidR="001E0C51" w:rsidRPr="00D01748">
        <w:rPr>
          <w:sz w:val="22"/>
          <w:szCs w:val="22"/>
        </w:rPr>
        <w:t xml:space="preserve"> </w:t>
      </w:r>
      <w:r w:rsidR="00BE6B90" w:rsidRPr="00D01748">
        <w:rPr>
          <w:sz w:val="22"/>
          <w:szCs w:val="22"/>
        </w:rPr>
        <w:t xml:space="preserve"> The total annualized cost is estimated at $</w:t>
      </w:r>
      <w:r w:rsidR="007B0C87">
        <w:rPr>
          <w:sz w:val="22"/>
          <w:szCs w:val="22"/>
        </w:rPr>
        <w:t>107,254</w:t>
      </w:r>
      <w:r w:rsidR="00BE6B90" w:rsidRPr="00D01748">
        <w:rPr>
          <w:sz w:val="22"/>
          <w:szCs w:val="22"/>
        </w:rPr>
        <w:t xml:space="preserve">. This amount is based on </w:t>
      </w:r>
      <w:r w:rsidR="007B0C87">
        <w:rPr>
          <w:sz w:val="22"/>
          <w:szCs w:val="22"/>
        </w:rPr>
        <w:t xml:space="preserve">3,082 </w:t>
      </w:r>
      <w:r w:rsidRPr="00D01748">
        <w:rPr>
          <w:sz w:val="22"/>
          <w:szCs w:val="22"/>
        </w:rPr>
        <w:t>hours of review at a GS-13 salary of $34.</w:t>
      </w:r>
      <w:r w:rsidR="00BF1141" w:rsidRPr="00D01748">
        <w:rPr>
          <w:sz w:val="22"/>
          <w:szCs w:val="22"/>
        </w:rPr>
        <w:t>80</w:t>
      </w:r>
      <w:r w:rsidRPr="00D01748">
        <w:rPr>
          <w:sz w:val="22"/>
          <w:szCs w:val="22"/>
        </w:rPr>
        <w:t>/hr.</w:t>
      </w:r>
      <w:r w:rsidRPr="002F7B69">
        <w:rPr>
          <w:sz w:val="22"/>
          <w:szCs w:val="22"/>
        </w:rPr>
        <w:t xml:space="preserve"> </w:t>
      </w:r>
    </w:p>
    <w:p w:rsidR="00C50CC5" w:rsidRPr="002F7B69" w:rsidRDefault="00FD2F6C" w:rsidP="003A412A">
      <w:pPr>
        <w:tabs>
          <w:tab w:val="left" w:pos="720"/>
        </w:tabs>
        <w:rPr>
          <w:sz w:val="22"/>
        </w:rPr>
      </w:pPr>
      <w:r w:rsidRPr="002F7B69">
        <w:rPr>
          <w:sz w:val="22"/>
          <w:szCs w:val="22"/>
        </w:rPr>
        <w:t xml:space="preserve"> </w:t>
      </w:r>
    </w:p>
    <w:p w:rsidR="00354A58" w:rsidRPr="002F7B69" w:rsidRDefault="00354A58" w:rsidP="003A412A">
      <w:pPr>
        <w:keepNext/>
        <w:numPr>
          <w:ilvl w:val="1"/>
          <w:numId w:val="10"/>
        </w:numPr>
        <w:tabs>
          <w:tab w:val="left" w:pos="360"/>
          <w:tab w:val="left" w:pos="720"/>
        </w:tabs>
        <w:rPr>
          <w:b/>
          <w:sz w:val="22"/>
        </w:rPr>
      </w:pPr>
      <w:r w:rsidRPr="002F7B69">
        <w:rPr>
          <w:b/>
          <w:sz w:val="22"/>
        </w:rPr>
        <w:t>Explanation of Program Changes / Adjustments</w:t>
      </w:r>
    </w:p>
    <w:p w:rsidR="00354A58" w:rsidRPr="002F7B69" w:rsidRDefault="007B2A8F" w:rsidP="003A412A">
      <w:pPr>
        <w:pStyle w:val="BodyTextIndent3"/>
        <w:tabs>
          <w:tab w:val="clear" w:pos="360"/>
          <w:tab w:val="clear" w:pos="840"/>
          <w:tab w:val="left" w:pos="0"/>
          <w:tab w:val="left" w:pos="720"/>
          <w:tab w:val="left" w:pos="1080"/>
        </w:tabs>
        <w:ind w:left="0"/>
        <w:rPr>
          <w:sz w:val="22"/>
          <w:szCs w:val="22"/>
        </w:rPr>
      </w:pPr>
      <w:r>
        <w:rPr>
          <w:sz w:val="22"/>
          <w:szCs w:val="22"/>
        </w:rPr>
        <w:t>This is a one-time solicitation that has not been undertaken before. As such, there are no changes/adjustments.</w:t>
      </w:r>
    </w:p>
    <w:p w:rsidR="00354A58" w:rsidRPr="002F7B69" w:rsidRDefault="00354A58" w:rsidP="003A412A">
      <w:pPr>
        <w:pStyle w:val="BodyTextIndent"/>
        <w:keepNext/>
        <w:tabs>
          <w:tab w:val="clear" w:pos="360"/>
          <w:tab w:val="clear" w:pos="840"/>
          <w:tab w:val="left" w:pos="0"/>
          <w:tab w:val="left" w:pos="720"/>
        </w:tabs>
        <w:ind w:left="0" w:firstLine="0"/>
      </w:pPr>
    </w:p>
    <w:p w:rsidR="00354A58" w:rsidRPr="002F7B69" w:rsidRDefault="00354A58" w:rsidP="003A412A">
      <w:pPr>
        <w:numPr>
          <w:ilvl w:val="1"/>
          <w:numId w:val="10"/>
        </w:numPr>
        <w:tabs>
          <w:tab w:val="left" w:pos="360"/>
          <w:tab w:val="left" w:pos="720"/>
        </w:tabs>
        <w:rPr>
          <w:b/>
          <w:sz w:val="22"/>
        </w:rPr>
      </w:pPr>
      <w:r w:rsidRPr="002F7B69">
        <w:rPr>
          <w:b/>
          <w:sz w:val="22"/>
        </w:rPr>
        <w:t>Publication of Results</w:t>
      </w:r>
    </w:p>
    <w:p w:rsidR="00354A58" w:rsidRPr="007B2A8F" w:rsidRDefault="007B2A8F" w:rsidP="005C1B55">
      <w:pPr>
        <w:tabs>
          <w:tab w:val="left" w:pos="0"/>
          <w:tab w:val="left" w:pos="720"/>
          <w:tab w:val="left" w:pos="840"/>
        </w:tabs>
      </w:pPr>
      <w:r>
        <w:rPr>
          <w:sz w:val="22"/>
        </w:rPr>
        <w:t xml:space="preserve">HUD will publish the results of the Phase 1 solicitation </w:t>
      </w:r>
      <w:r w:rsidR="007B0C87">
        <w:rPr>
          <w:sz w:val="22"/>
        </w:rPr>
        <w:t>60</w:t>
      </w:r>
      <w:r w:rsidR="00D01748">
        <w:rPr>
          <w:b/>
          <w:sz w:val="22"/>
        </w:rPr>
        <w:t xml:space="preserve"> </w:t>
      </w:r>
      <w:r w:rsidRPr="007B2A8F">
        <w:rPr>
          <w:sz w:val="22"/>
        </w:rPr>
        <w:t>days</w:t>
      </w:r>
      <w:r>
        <w:rPr>
          <w:sz w:val="22"/>
        </w:rPr>
        <w:t xml:space="preserve"> after the </w:t>
      </w:r>
      <w:r w:rsidR="007B0C87">
        <w:rPr>
          <w:sz w:val="22"/>
        </w:rPr>
        <w:t xml:space="preserve">Phase 1 </w:t>
      </w:r>
      <w:r>
        <w:rPr>
          <w:sz w:val="22"/>
        </w:rPr>
        <w:t>application deadline, which will be</w:t>
      </w:r>
      <w:r w:rsidR="0011556D">
        <w:rPr>
          <w:sz w:val="22"/>
        </w:rPr>
        <w:t xml:space="preserve"> </w:t>
      </w:r>
      <w:r w:rsidR="007B0C87">
        <w:rPr>
          <w:sz w:val="22"/>
        </w:rPr>
        <w:t xml:space="preserve">180 days after </w:t>
      </w:r>
      <w:r>
        <w:rPr>
          <w:sz w:val="22"/>
        </w:rPr>
        <w:t>CDBG-RDR NOFA</w:t>
      </w:r>
      <w:r w:rsidR="007B0C87">
        <w:rPr>
          <w:sz w:val="22"/>
        </w:rPr>
        <w:t xml:space="preserve"> publication</w:t>
      </w:r>
      <w:r>
        <w:rPr>
          <w:sz w:val="22"/>
        </w:rPr>
        <w:t>.</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lastRenderedPageBreak/>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984727">
      <w:pPr>
        <w:pStyle w:val="Heading2"/>
      </w:pPr>
      <w:r>
        <w:t>This collection does not employ statistical methods.</w:t>
      </w: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sectPr w:rsidR="00984727"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E5" w:rsidRDefault="00FE7FE5">
      <w:r>
        <w:separator/>
      </w:r>
    </w:p>
  </w:endnote>
  <w:endnote w:type="continuationSeparator" w:id="0">
    <w:p w:rsidR="00FE7FE5" w:rsidRDefault="00F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43" w:rsidRDefault="00795A4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43" w:rsidRDefault="00795A4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95A43">
      <w:tc>
        <w:tcPr>
          <w:tcW w:w="8388" w:type="dxa"/>
          <w:tcBorders>
            <w:top w:val="single" w:sz="6" w:space="0" w:color="auto"/>
            <w:left w:val="nil"/>
            <w:right w:val="single" w:sz="6" w:space="0" w:color="auto"/>
          </w:tcBorders>
        </w:tcPr>
        <w:p w:rsidR="00795A43" w:rsidRDefault="00795A43">
          <w:pPr>
            <w:pStyle w:val="Footer"/>
            <w:rPr>
              <w:rFonts w:ascii="Helvetica" w:hAnsi="Helvetica"/>
              <w:sz w:val="16"/>
            </w:rPr>
          </w:pPr>
          <w:r>
            <w:rPr>
              <w:rFonts w:ascii="Helvetica" w:hAnsi="Helvetica"/>
              <w:sz w:val="16"/>
            </w:rPr>
            <w:t>Signature of Senior Officer or Designee:</w:t>
          </w:r>
        </w:p>
        <w:p w:rsidR="00795A43" w:rsidRDefault="00795A43">
          <w:pPr>
            <w:pStyle w:val="Footer"/>
            <w:rPr>
              <w:rFonts w:ascii="Helvetica" w:hAnsi="Helvetica"/>
              <w:sz w:val="16"/>
            </w:rPr>
          </w:pPr>
        </w:p>
        <w:p w:rsidR="00795A43" w:rsidRDefault="00795A43">
          <w:pPr>
            <w:pStyle w:val="Footer"/>
            <w:rPr>
              <w:rFonts w:ascii="Helvetica" w:hAnsi="Helvetica"/>
              <w:sz w:val="16"/>
            </w:rPr>
          </w:pPr>
        </w:p>
        <w:p w:rsidR="00795A43" w:rsidRDefault="00795A43">
          <w:pPr>
            <w:pStyle w:val="Footer"/>
            <w:rPr>
              <w:rFonts w:ascii="Helvetica" w:hAnsi="Helvetica"/>
              <w:sz w:val="16"/>
            </w:rPr>
          </w:pPr>
          <w:r>
            <w:rPr>
              <w:rFonts w:ascii="Helvetica" w:hAnsi="Helvetica"/>
              <w:sz w:val="16"/>
            </w:rPr>
            <w:t>X</w:t>
          </w:r>
        </w:p>
        <w:p w:rsidR="00795A43" w:rsidRDefault="00795A43">
          <w:pPr>
            <w:pStyle w:val="Footer"/>
            <w:rPr>
              <w:rFonts w:ascii="Helvetica" w:hAnsi="Helvetica"/>
              <w:sz w:val="16"/>
            </w:rPr>
          </w:pPr>
          <w:r>
            <w:rPr>
              <w:rFonts w:ascii="Helvetica" w:hAnsi="Helvetica"/>
              <w:sz w:val="16"/>
            </w:rPr>
            <w:t>Lillian Deitzer, Departmental Reports Management Officer,</w:t>
          </w:r>
        </w:p>
        <w:p w:rsidR="00795A43" w:rsidRDefault="00795A4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95A43" w:rsidRDefault="00795A43">
          <w:pPr>
            <w:pStyle w:val="Footer"/>
            <w:rPr>
              <w:rFonts w:ascii="Helvetica" w:hAnsi="Helvetica"/>
              <w:sz w:val="16"/>
            </w:rPr>
          </w:pPr>
          <w:r>
            <w:rPr>
              <w:rFonts w:ascii="Helvetica" w:hAnsi="Helvetica"/>
              <w:sz w:val="16"/>
            </w:rPr>
            <w:t xml:space="preserve">Date: </w:t>
          </w:r>
        </w:p>
      </w:tc>
    </w:tr>
  </w:tbl>
  <w:p w:rsidR="00795A43" w:rsidRDefault="00795A4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E5" w:rsidRDefault="00FE7FE5">
      <w:r>
        <w:separator/>
      </w:r>
    </w:p>
  </w:footnote>
  <w:footnote w:type="continuationSeparator" w:id="0">
    <w:p w:rsidR="00FE7FE5" w:rsidRDefault="00FE7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43" w:rsidRDefault="00795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47F0E02"/>
    <w:multiLevelType w:val="hybridMultilevel"/>
    <w:tmpl w:val="2800FB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B55E58"/>
    <w:multiLevelType w:val="hybridMultilevel"/>
    <w:tmpl w:val="546E9A2C"/>
    <w:lvl w:ilvl="0" w:tplc="D848F4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0317A"/>
    <w:multiLevelType w:val="hybridMultilevel"/>
    <w:tmpl w:val="B2BC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CA104A9"/>
    <w:multiLevelType w:val="hybridMultilevel"/>
    <w:tmpl w:val="CD642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2">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739291B"/>
    <w:multiLevelType w:val="multilevel"/>
    <w:tmpl w:val="3810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
  </w:num>
  <w:num w:numId="4">
    <w:abstractNumId w:val="15"/>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11"/>
  </w:num>
  <w:num w:numId="11">
    <w:abstractNumId w:val="12"/>
  </w:num>
  <w:num w:numId="12">
    <w:abstractNumId w:val="2"/>
  </w:num>
  <w:num w:numId="13">
    <w:abstractNumId w:val="11"/>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5"/>
  </w:num>
  <w:num w:numId="17">
    <w:abstractNumId w:val="7"/>
  </w:num>
  <w:num w:numId="18">
    <w:abstractNumId w:val="9"/>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202F5"/>
    <w:rsid w:val="0006273C"/>
    <w:rsid w:val="0008367B"/>
    <w:rsid w:val="000907EE"/>
    <w:rsid w:val="000908A1"/>
    <w:rsid w:val="00093392"/>
    <w:rsid w:val="000C42FC"/>
    <w:rsid w:val="000C50AD"/>
    <w:rsid w:val="000D0062"/>
    <w:rsid w:val="000D1D4E"/>
    <w:rsid w:val="0011556D"/>
    <w:rsid w:val="00121337"/>
    <w:rsid w:val="00134FDD"/>
    <w:rsid w:val="00140DB2"/>
    <w:rsid w:val="00143496"/>
    <w:rsid w:val="00145558"/>
    <w:rsid w:val="00154DE0"/>
    <w:rsid w:val="00162B56"/>
    <w:rsid w:val="00182D65"/>
    <w:rsid w:val="00194338"/>
    <w:rsid w:val="001B27B8"/>
    <w:rsid w:val="001E0C51"/>
    <w:rsid w:val="001F365B"/>
    <w:rsid w:val="001F6E57"/>
    <w:rsid w:val="00225A41"/>
    <w:rsid w:val="00233C3E"/>
    <w:rsid w:val="0025368C"/>
    <w:rsid w:val="00272CEE"/>
    <w:rsid w:val="00276746"/>
    <w:rsid w:val="00286922"/>
    <w:rsid w:val="00293EA6"/>
    <w:rsid w:val="00297959"/>
    <w:rsid w:val="002C281D"/>
    <w:rsid w:val="002C6439"/>
    <w:rsid w:val="002C71A6"/>
    <w:rsid w:val="002C7F10"/>
    <w:rsid w:val="002D65A0"/>
    <w:rsid w:val="002E67B1"/>
    <w:rsid w:val="002E745E"/>
    <w:rsid w:val="002F16A5"/>
    <w:rsid w:val="002F3A27"/>
    <w:rsid w:val="002F7B69"/>
    <w:rsid w:val="003248F2"/>
    <w:rsid w:val="00333599"/>
    <w:rsid w:val="00337EDD"/>
    <w:rsid w:val="00350E97"/>
    <w:rsid w:val="00352054"/>
    <w:rsid w:val="00354A58"/>
    <w:rsid w:val="00357D5E"/>
    <w:rsid w:val="00370633"/>
    <w:rsid w:val="0037213F"/>
    <w:rsid w:val="00384F7F"/>
    <w:rsid w:val="003A3307"/>
    <w:rsid w:val="003A412A"/>
    <w:rsid w:val="003A6EE3"/>
    <w:rsid w:val="003C3A89"/>
    <w:rsid w:val="003D2B63"/>
    <w:rsid w:val="003F3CAA"/>
    <w:rsid w:val="003F73D5"/>
    <w:rsid w:val="00417A35"/>
    <w:rsid w:val="004A1D04"/>
    <w:rsid w:val="004B437C"/>
    <w:rsid w:val="004C203E"/>
    <w:rsid w:val="004E7BBD"/>
    <w:rsid w:val="0050389A"/>
    <w:rsid w:val="00515BA0"/>
    <w:rsid w:val="00521B6A"/>
    <w:rsid w:val="005238EB"/>
    <w:rsid w:val="0052459D"/>
    <w:rsid w:val="00534029"/>
    <w:rsid w:val="00545A23"/>
    <w:rsid w:val="005603FB"/>
    <w:rsid w:val="00561B75"/>
    <w:rsid w:val="0057390E"/>
    <w:rsid w:val="00583FA3"/>
    <w:rsid w:val="005C1B55"/>
    <w:rsid w:val="005D26B8"/>
    <w:rsid w:val="005E2697"/>
    <w:rsid w:val="005E3551"/>
    <w:rsid w:val="005F00EF"/>
    <w:rsid w:val="005F2A4A"/>
    <w:rsid w:val="005F5D90"/>
    <w:rsid w:val="00612D31"/>
    <w:rsid w:val="0065312A"/>
    <w:rsid w:val="0066041B"/>
    <w:rsid w:val="00674911"/>
    <w:rsid w:val="00681485"/>
    <w:rsid w:val="00684CC7"/>
    <w:rsid w:val="006A1F25"/>
    <w:rsid w:val="006D1BB4"/>
    <w:rsid w:val="006D2F38"/>
    <w:rsid w:val="006D3925"/>
    <w:rsid w:val="006D45BA"/>
    <w:rsid w:val="006E4AE6"/>
    <w:rsid w:val="00702C6A"/>
    <w:rsid w:val="00711139"/>
    <w:rsid w:val="00711A55"/>
    <w:rsid w:val="00737812"/>
    <w:rsid w:val="007753C0"/>
    <w:rsid w:val="00785688"/>
    <w:rsid w:val="00791B6B"/>
    <w:rsid w:val="00795A43"/>
    <w:rsid w:val="007B0C87"/>
    <w:rsid w:val="007B2A8F"/>
    <w:rsid w:val="007B4A0F"/>
    <w:rsid w:val="007C6916"/>
    <w:rsid w:val="007D72DC"/>
    <w:rsid w:val="007F02FC"/>
    <w:rsid w:val="007F11C9"/>
    <w:rsid w:val="007F1E8E"/>
    <w:rsid w:val="00810168"/>
    <w:rsid w:val="00837B85"/>
    <w:rsid w:val="0084584B"/>
    <w:rsid w:val="0086497C"/>
    <w:rsid w:val="0087481C"/>
    <w:rsid w:val="00874F91"/>
    <w:rsid w:val="008769F7"/>
    <w:rsid w:val="00890F22"/>
    <w:rsid w:val="00891707"/>
    <w:rsid w:val="008924FD"/>
    <w:rsid w:val="008A0F6D"/>
    <w:rsid w:val="008B631D"/>
    <w:rsid w:val="008D530D"/>
    <w:rsid w:val="008D77EF"/>
    <w:rsid w:val="008F0581"/>
    <w:rsid w:val="008F2416"/>
    <w:rsid w:val="0091386F"/>
    <w:rsid w:val="00921DAA"/>
    <w:rsid w:val="00931EC6"/>
    <w:rsid w:val="00945385"/>
    <w:rsid w:val="009574E5"/>
    <w:rsid w:val="00976D92"/>
    <w:rsid w:val="00982374"/>
    <w:rsid w:val="00984727"/>
    <w:rsid w:val="009A1F75"/>
    <w:rsid w:val="009A30EF"/>
    <w:rsid w:val="00A00BCF"/>
    <w:rsid w:val="00A14B86"/>
    <w:rsid w:val="00A16A4D"/>
    <w:rsid w:val="00A16B41"/>
    <w:rsid w:val="00A40877"/>
    <w:rsid w:val="00A56F08"/>
    <w:rsid w:val="00A57FCA"/>
    <w:rsid w:val="00AE04C9"/>
    <w:rsid w:val="00AE162A"/>
    <w:rsid w:val="00B10184"/>
    <w:rsid w:val="00B103FA"/>
    <w:rsid w:val="00B139A5"/>
    <w:rsid w:val="00B40275"/>
    <w:rsid w:val="00B44075"/>
    <w:rsid w:val="00B529B1"/>
    <w:rsid w:val="00B60778"/>
    <w:rsid w:val="00B66A98"/>
    <w:rsid w:val="00B87DB8"/>
    <w:rsid w:val="00BA6D99"/>
    <w:rsid w:val="00BC4702"/>
    <w:rsid w:val="00BD7827"/>
    <w:rsid w:val="00BE0FE7"/>
    <w:rsid w:val="00BE6B90"/>
    <w:rsid w:val="00BF1141"/>
    <w:rsid w:val="00C026A6"/>
    <w:rsid w:val="00C34575"/>
    <w:rsid w:val="00C50CC5"/>
    <w:rsid w:val="00C5576E"/>
    <w:rsid w:val="00C61C69"/>
    <w:rsid w:val="00C63E76"/>
    <w:rsid w:val="00C6635E"/>
    <w:rsid w:val="00C87496"/>
    <w:rsid w:val="00CD0C8E"/>
    <w:rsid w:val="00D01748"/>
    <w:rsid w:val="00D2515B"/>
    <w:rsid w:val="00D36835"/>
    <w:rsid w:val="00D5032C"/>
    <w:rsid w:val="00D53983"/>
    <w:rsid w:val="00D64A55"/>
    <w:rsid w:val="00D801DF"/>
    <w:rsid w:val="00DC23FE"/>
    <w:rsid w:val="00DC53AB"/>
    <w:rsid w:val="00DC7111"/>
    <w:rsid w:val="00DE39B6"/>
    <w:rsid w:val="00DF670C"/>
    <w:rsid w:val="00DF7475"/>
    <w:rsid w:val="00E01921"/>
    <w:rsid w:val="00E24B39"/>
    <w:rsid w:val="00E31BD6"/>
    <w:rsid w:val="00E851AA"/>
    <w:rsid w:val="00E85DA6"/>
    <w:rsid w:val="00E92915"/>
    <w:rsid w:val="00EA1FB4"/>
    <w:rsid w:val="00EA3E8C"/>
    <w:rsid w:val="00EA53BA"/>
    <w:rsid w:val="00EA5F98"/>
    <w:rsid w:val="00EC1755"/>
    <w:rsid w:val="00EC5912"/>
    <w:rsid w:val="00EE1550"/>
    <w:rsid w:val="00EF0DA8"/>
    <w:rsid w:val="00EF2BF1"/>
    <w:rsid w:val="00F274BF"/>
    <w:rsid w:val="00F47DF3"/>
    <w:rsid w:val="00F543A0"/>
    <w:rsid w:val="00F81DCC"/>
    <w:rsid w:val="00F854F3"/>
    <w:rsid w:val="00F93FAB"/>
    <w:rsid w:val="00F97B4B"/>
    <w:rsid w:val="00FA1256"/>
    <w:rsid w:val="00FA22D8"/>
    <w:rsid w:val="00FB2F04"/>
    <w:rsid w:val="00FD2F6C"/>
    <w:rsid w:val="00FE1E54"/>
    <w:rsid w:val="00FE3243"/>
    <w:rsid w:val="00FE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Strong">
    <w:name w:val="Strong"/>
    <w:basedOn w:val="DefaultParagraphFont"/>
    <w:uiPriority w:val="22"/>
    <w:qFormat/>
    <w:rsid w:val="003F73D5"/>
    <w:rPr>
      <w:b/>
      <w:bCs/>
    </w:rPr>
  </w:style>
  <w:style w:type="character" w:styleId="CommentReference">
    <w:name w:val="annotation reference"/>
    <w:basedOn w:val="DefaultParagraphFont"/>
    <w:uiPriority w:val="99"/>
    <w:unhideWhenUsed/>
    <w:rsid w:val="00DF670C"/>
    <w:rPr>
      <w:sz w:val="16"/>
      <w:szCs w:val="16"/>
    </w:rPr>
  </w:style>
  <w:style w:type="paragraph" w:styleId="CommentText">
    <w:name w:val="annotation text"/>
    <w:basedOn w:val="Normal"/>
    <w:link w:val="CommentTextChar"/>
    <w:uiPriority w:val="99"/>
    <w:unhideWhenUsed/>
    <w:rsid w:val="00DF670C"/>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DF670C"/>
    <w:rPr>
      <w:rFonts w:eastAsia="PMingLi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Strong">
    <w:name w:val="Strong"/>
    <w:basedOn w:val="DefaultParagraphFont"/>
    <w:uiPriority w:val="22"/>
    <w:qFormat/>
    <w:rsid w:val="003F73D5"/>
    <w:rPr>
      <w:b/>
      <w:bCs/>
    </w:rPr>
  </w:style>
  <w:style w:type="character" w:styleId="CommentReference">
    <w:name w:val="annotation reference"/>
    <w:basedOn w:val="DefaultParagraphFont"/>
    <w:uiPriority w:val="99"/>
    <w:unhideWhenUsed/>
    <w:rsid w:val="00DF670C"/>
    <w:rPr>
      <w:sz w:val="16"/>
      <w:szCs w:val="16"/>
    </w:rPr>
  </w:style>
  <w:style w:type="paragraph" w:styleId="CommentText">
    <w:name w:val="annotation text"/>
    <w:basedOn w:val="Normal"/>
    <w:link w:val="CommentTextChar"/>
    <w:uiPriority w:val="99"/>
    <w:unhideWhenUsed/>
    <w:rsid w:val="00DF670C"/>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DF670C"/>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351348655">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1237351752">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394162866">
      <w:bodyDiv w:val="1"/>
      <w:marLeft w:val="0"/>
      <w:marRight w:val="0"/>
      <w:marTop w:val="0"/>
      <w:marBottom w:val="0"/>
      <w:divBdr>
        <w:top w:val="none" w:sz="0" w:space="0" w:color="auto"/>
        <w:left w:val="none" w:sz="0" w:space="0" w:color="auto"/>
        <w:bottom w:val="none" w:sz="0" w:space="0" w:color="auto"/>
        <w:right w:val="none" w:sz="0" w:space="0" w:color="auto"/>
      </w:divBdr>
    </w:div>
    <w:div w:id="1577327390">
      <w:bodyDiv w:val="1"/>
      <w:marLeft w:val="0"/>
      <w:marRight w:val="0"/>
      <w:marTop w:val="0"/>
      <w:marBottom w:val="0"/>
      <w:divBdr>
        <w:top w:val="none" w:sz="0" w:space="0" w:color="auto"/>
        <w:left w:val="none" w:sz="0" w:space="0" w:color="auto"/>
        <w:bottom w:val="none" w:sz="0" w:space="0" w:color="auto"/>
        <w:right w:val="none" w:sz="0" w:space="0" w:color="auto"/>
      </w:divBdr>
    </w:div>
    <w:div w:id="1701776979">
      <w:bodyDiv w:val="1"/>
      <w:marLeft w:val="0"/>
      <w:marRight w:val="0"/>
      <w:marTop w:val="0"/>
      <w:marBottom w:val="0"/>
      <w:divBdr>
        <w:top w:val="none" w:sz="0" w:space="0" w:color="auto"/>
        <w:left w:val="none" w:sz="0" w:space="0" w:color="auto"/>
        <w:bottom w:val="none" w:sz="0" w:space="0" w:color="auto"/>
        <w:right w:val="none" w:sz="0" w:space="0" w:color="auto"/>
      </w:divBdr>
    </w:div>
    <w:div w:id="1823427143">
      <w:bodyDiv w:val="1"/>
      <w:marLeft w:val="0"/>
      <w:marRight w:val="0"/>
      <w:marTop w:val="0"/>
      <w:marBottom w:val="0"/>
      <w:divBdr>
        <w:top w:val="none" w:sz="0" w:space="0" w:color="auto"/>
        <w:left w:val="none" w:sz="0" w:space="0" w:color="auto"/>
        <w:bottom w:val="none" w:sz="0" w:space="0" w:color="auto"/>
        <w:right w:val="none" w:sz="0" w:space="0" w:color="auto"/>
      </w:divBdr>
    </w:div>
    <w:div w:id="1863394411">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 w:id="21419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ilientRecovery@hu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hud.gov/hudportal/documents/huddoc?id=2014-gens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rants.gov/web/grants/applicants/organization-registration.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rants.gov/web/grants/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125A-062E-48F3-A9D7-6A105B0F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19351</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3</cp:revision>
  <cp:lastPrinted>2012-12-11T20:14:00Z</cp:lastPrinted>
  <dcterms:created xsi:type="dcterms:W3CDTF">2014-09-09T11:18:00Z</dcterms:created>
  <dcterms:modified xsi:type="dcterms:W3CDTF">2014-09-09T11:59:00Z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434445429</vt:i4>
  </property>
  <property fmtid="{D5CDD505-2E9C-101B-9397-08002B2CF9AE}" pid="3" name="_NewReviewCycle">
    <vt:lpwstr/>
  </property>
  <property fmtid="{D5CDD505-2E9C-101B-9397-08002B2CF9AE}" pid="4" name="_EmailSubject">
    <vt:lpwstr>PRA Package HUD National Disaster Resilience NOFA </vt:lpwstr>
  </property>
  <property fmtid="{D5CDD505-2E9C-101B-9397-08002B2CF9AE}" pid="5" name="_AuthorEmail">
    <vt:lpwstr>meg.barclay@hud.gov</vt:lpwstr>
  </property>
  <property fmtid="{D5CDD505-2E9C-101B-9397-08002B2CF9AE}" pid="6" name="_AuthorEmailDisplayName">
    <vt:lpwstr>Barclay, Meg</vt:lpwstr>
  </property>
  <property fmtid="{D5CDD505-2E9C-101B-9397-08002B2CF9AE}" pid="7" name="_PreviousAdHocReviewCycleID">
    <vt:i4>-2118211500</vt:i4>
  </property>
  <property fmtid="{D5CDD505-2E9C-101B-9397-08002B2CF9AE}" pid="8" name="_ReviewingToolsShownOnce">
    <vt:lpwstr/>
  </property>
</Properties>
</file>