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657" w:rsidRDefault="00340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340657" w:rsidRDefault="003406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Cs/>
          <w:sz w:val="24"/>
        </w:rPr>
      </w:pPr>
    </w:p>
    <w:p w:rsidR="00340657" w:rsidRDefault="00340657">
      <w:pPr>
        <w:pStyle w:val="Heading2"/>
      </w:pPr>
      <w:r>
        <w:t>Construction Complaint – Request for Financial Assistance</w:t>
      </w:r>
    </w:p>
    <w:p w:rsidR="00340657" w:rsidRDefault="003406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OMB Control Number 2502-0047</w:t>
      </w:r>
    </w:p>
    <w:p w:rsidR="00340657" w:rsidRDefault="003406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(HUD-92556)</w:t>
      </w:r>
    </w:p>
    <w:p w:rsidR="00340657" w:rsidRDefault="003406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340657" w:rsidRDefault="00340657">
      <w:pPr>
        <w:pStyle w:val="Heading1"/>
        <w:rPr>
          <w:rFonts w:ascii="Times New Roman" w:hAnsi="Times New Roman"/>
        </w:rPr>
      </w:pPr>
      <w:r>
        <w:rPr>
          <w:rFonts w:ascii="Times New Roman" w:hAnsi="Times New Roman"/>
        </w:rPr>
        <w:t xml:space="preserve">A. </w:t>
      </w:r>
      <w:r>
        <w:rPr>
          <w:rFonts w:ascii="Times New Roman" w:hAnsi="Times New Roman"/>
        </w:rPr>
        <w:tab/>
        <w:t>Justification</w:t>
      </w:r>
    </w:p>
    <w:p w:rsidR="00340657" w:rsidRDefault="00340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340657" w:rsidRDefault="0034065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Pr>
          <w:sz w:val="24"/>
        </w:rPr>
        <w:t>Section 2(a) of the National Housing Act (P.L. 479, 48 Stat. 1246, 12 U.S.C. 1709(a)) authorizes the Secretary of the Department of Housing and Urban Development to insure qualified financial institutions against losses involved in mortgage insurance.  The Housing Act of 1954, Section 801(a) [12 U.S.C. 1701j</w:t>
      </w:r>
      <w:r>
        <w:rPr>
          <w:sz w:val="24"/>
        </w:rPr>
        <w:noBreakHyphen/>
        <w:t xml:space="preserve">1] details the requirements for eligibility of the property with respect to compliance with HUD statutory and regulatory requirements. </w:t>
      </w:r>
      <w:r w:rsidR="006E75B3">
        <w:rPr>
          <w:sz w:val="24"/>
        </w:rPr>
        <w:t>After a complete research</w:t>
      </w:r>
      <w:r w:rsidR="00433DBE">
        <w:rPr>
          <w:sz w:val="24"/>
        </w:rPr>
        <w:t xml:space="preserve"> of the 518a data for the past </w:t>
      </w:r>
      <w:r w:rsidR="00F81D55">
        <w:rPr>
          <w:sz w:val="24"/>
        </w:rPr>
        <w:t>12</w:t>
      </w:r>
      <w:r w:rsidR="006E75B3">
        <w:rPr>
          <w:sz w:val="24"/>
        </w:rPr>
        <w:t xml:space="preserve"> years there </w:t>
      </w:r>
      <w:r w:rsidR="00F81D55">
        <w:rPr>
          <w:sz w:val="24"/>
        </w:rPr>
        <w:t>is one complaint pending</w:t>
      </w:r>
      <w:r w:rsidR="006E75B3">
        <w:rPr>
          <w:sz w:val="24"/>
        </w:rPr>
        <w:t>.  However, to comply with OMB collection data requirements this collect is maintain in the event that 10 or more complaint respondents may file a complaint.</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The form HUD-92556 is submitted by homeowners and is used by HUD to provide orderly processing of homeowner complaints.  This form is used in establishing a list of complaint items that the builder is responsible to correct as provided for in a warranty of completion and performance.  The form is also used to list structural defects that may cause the property to be considered unsafe for habitation as described in the National Housing Act, Section 518(a) [12 U.S.C. 1735b], and for the mortgagor to request financial assistance.</w:t>
      </w:r>
      <w:r w:rsidR="006E75B3">
        <w:rPr>
          <w:sz w:val="24"/>
        </w:rPr>
        <w:t xml:space="preserve">  After a complete research of 518a </w:t>
      </w:r>
      <w:r w:rsidR="00E57FFE">
        <w:rPr>
          <w:sz w:val="24"/>
        </w:rPr>
        <w:t xml:space="preserve">collected </w:t>
      </w:r>
      <w:r w:rsidR="006E75B3">
        <w:rPr>
          <w:sz w:val="24"/>
        </w:rPr>
        <w:t xml:space="preserve">data for the past </w:t>
      </w:r>
      <w:r w:rsidR="00F81D55">
        <w:rPr>
          <w:sz w:val="24"/>
        </w:rPr>
        <w:t>12</w:t>
      </w:r>
      <w:r w:rsidR="006E75B3">
        <w:rPr>
          <w:sz w:val="24"/>
        </w:rPr>
        <w:t xml:space="preserve"> years there </w:t>
      </w:r>
      <w:r w:rsidR="00F81D55">
        <w:rPr>
          <w:sz w:val="24"/>
        </w:rPr>
        <w:t xml:space="preserve">is one complaint pending, there have been no other </w:t>
      </w:r>
      <w:r w:rsidR="00744507">
        <w:rPr>
          <w:sz w:val="24"/>
        </w:rPr>
        <w:t>application’s</w:t>
      </w:r>
      <w:bookmarkStart w:id="0" w:name="_GoBack"/>
      <w:bookmarkEnd w:id="0"/>
      <w:r w:rsidR="006E75B3">
        <w:rPr>
          <w:sz w:val="24"/>
        </w:rPr>
        <w:t>.</w:t>
      </w:r>
      <w:r w:rsidR="00850966">
        <w:rPr>
          <w:sz w:val="24"/>
        </w:rPr>
        <w:t xml:space="preserve"> </w:t>
      </w:r>
      <w:r w:rsidR="006E75B3">
        <w:rPr>
          <w:sz w:val="24"/>
        </w:rPr>
        <w:t xml:space="preserve"> </w:t>
      </w:r>
      <w:r w:rsidR="00B10018">
        <w:rPr>
          <w:sz w:val="24"/>
        </w:rPr>
        <w:t>However</w:t>
      </w:r>
      <w:r w:rsidR="000E1880">
        <w:rPr>
          <w:sz w:val="24"/>
        </w:rPr>
        <w:t>,</w:t>
      </w:r>
      <w:r w:rsidR="00B10018">
        <w:rPr>
          <w:sz w:val="24"/>
        </w:rPr>
        <w:t xml:space="preserve"> to comply with OMB information collection requirements, this information collection </w:t>
      </w:r>
      <w:r w:rsidR="000E1880">
        <w:rPr>
          <w:sz w:val="24"/>
        </w:rPr>
        <w:t>numbers need</w:t>
      </w:r>
      <w:r w:rsidR="00B10018">
        <w:rPr>
          <w:sz w:val="24"/>
        </w:rPr>
        <w:t xml:space="preserve"> to stay current in the event more than 10 or more responses are submitted in the upcoming year. </w:t>
      </w:r>
    </w:p>
    <w:p w:rsidR="00340657" w:rsidRDefault="00340657">
      <w:pPr>
        <w:tabs>
          <w:tab w:val="left" w:pos="360"/>
        </w:tabs>
        <w:rPr>
          <w:sz w:val="24"/>
        </w:rPr>
      </w:pPr>
    </w:p>
    <w:p w:rsidR="00340657" w:rsidRDefault="00340657">
      <w:pPr>
        <w:numPr>
          <w:ilvl w:val="0"/>
          <w:numId w:val="12"/>
        </w:numPr>
        <w:rPr>
          <w:sz w:val="24"/>
        </w:rPr>
      </w:pPr>
      <w:r>
        <w:rPr>
          <w:sz w:val="24"/>
        </w:rPr>
        <w:t xml:space="preserve">The collection of information does not involve the use of any technological collection techniques.   HUD requires an original signature on form HUD-92556 because the mortgagor is certifying that he/she/they are the owners of the property and that, if HUD provides assistance to correct structural defects in the property, the Secretary of HUD is given all rights, equities, and remedies that the owners may have had against the builder, seller, or other persons.  In addition, the owner(s) are certifying that HUD is entitled to all money damages to which the owner(s) may have been entitled.  </w:t>
      </w:r>
      <w:r w:rsidR="009A71D9">
        <w:rPr>
          <w:sz w:val="24"/>
        </w:rPr>
        <w:t xml:space="preserve">No </w:t>
      </w:r>
      <w:r w:rsidR="000237E9">
        <w:rPr>
          <w:sz w:val="24"/>
        </w:rPr>
        <w:t>auto</w:t>
      </w:r>
      <w:r w:rsidR="00EA5D09">
        <w:rPr>
          <w:sz w:val="24"/>
        </w:rPr>
        <w:t>mate</w:t>
      </w:r>
      <w:r w:rsidR="00850966">
        <w:rPr>
          <w:sz w:val="24"/>
        </w:rPr>
        <w:t>d</w:t>
      </w:r>
      <w:r w:rsidR="00EA5D09">
        <w:rPr>
          <w:sz w:val="24"/>
        </w:rPr>
        <w:t xml:space="preserve"> response is being considered</w:t>
      </w:r>
      <w:r w:rsidR="000237E9">
        <w:rPr>
          <w:sz w:val="24"/>
        </w:rPr>
        <w:t xml:space="preserve"> because of the low number of respondents or the number of complaints does not justify cost of automation.</w:t>
      </w:r>
      <w:r>
        <w:rPr>
          <w:sz w:val="24"/>
        </w:rPr>
        <w:t xml:space="preserve"> </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No duplication with other forms or processes exists; other forms or reports do not provide similar information.</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There is no impact on small businesses or other entities.</w:t>
      </w:r>
    </w:p>
    <w:p w:rsidR="00340657" w:rsidRDefault="00340657">
      <w:pPr>
        <w:tabs>
          <w:tab w:val="left" w:pos="360"/>
          <w:tab w:val="left" w:pos="720"/>
        </w:tabs>
        <w:rPr>
          <w:sz w:val="24"/>
        </w:rPr>
      </w:pPr>
    </w:p>
    <w:p w:rsidR="00340657" w:rsidRDefault="00340657">
      <w:pPr>
        <w:pStyle w:val="BodyTextIndent"/>
        <w:numPr>
          <w:ilvl w:val="0"/>
          <w:numId w:val="12"/>
        </w:numPr>
      </w:pPr>
      <w:r>
        <w:t>If the requested information were not collected, homeowners would have no recourse in resolving their construction complaints.  HUD will use the information to construct a listing of builders that do not meet their obligations.  There are no known technical or legal obstacles to reducing the burden.</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There are no special circumstances involved in this collection.</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 xml:space="preserve">In accordance with 5 CFR 1320.8(d), the agency’s notice soliciting comments was announced in the </w:t>
      </w:r>
      <w:r>
        <w:rPr>
          <w:i/>
          <w:iCs/>
          <w:sz w:val="24"/>
        </w:rPr>
        <w:t>Federal Register</w:t>
      </w:r>
      <w:r>
        <w:rPr>
          <w:sz w:val="24"/>
        </w:rPr>
        <w:t xml:space="preserve"> </w:t>
      </w:r>
      <w:r w:rsidR="00924628">
        <w:rPr>
          <w:sz w:val="24"/>
        </w:rPr>
        <w:t>on Friday, September 12, 2014</w:t>
      </w:r>
      <w:r w:rsidR="00671025">
        <w:rPr>
          <w:rFonts w:ascii="Melior" w:hAnsi="Melior" w:cs="Melior"/>
        </w:rPr>
        <w:t xml:space="preserve">, </w:t>
      </w:r>
      <w:r w:rsidR="00924628">
        <w:rPr>
          <w:rFonts w:ascii="Melior" w:hAnsi="Melior" w:cs="Melior"/>
        </w:rPr>
        <w:t>(</w:t>
      </w:r>
      <w:r w:rsidR="00924628">
        <w:rPr>
          <w:sz w:val="24"/>
        </w:rPr>
        <w:t xml:space="preserve">Vol. 79, </w:t>
      </w:r>
      <w:proofErr w:type="gramStart"/>
      <w:r w:rsidR="00924628">
        <w:rPr>
          <w:sz w:val="24"/>
        </w:rPr>
        <w:t>No</w:t>
      </w:r>
      <w:proofErr w:type="gramEnd"/>
      <w:r w:rsidR="00924628">
        <w:rPr>
          <w:sz w:val="24"/>
        </w:rPr>
        <w:t>. 177</w:t>
      </w:r>
      <w:r w:rsidR="00671025">
        <w:rPr>
          <w:sz w:val="24"/>
        </w:rPr>
        <w:t xml:space="preserve"> page </w:t>
      </w:r>
      <w:r w:rsidR="00924628">
        <w:rPr>
          <w:sz w:val="24"/>
        </w:rPr>
        <w:t>54736)</w:t>
      </w:r>
      <w:r w:rsidR="00762AD9">
        <w:rPr>
          <w:bCs/>
          <w:sz w:val="24"/>
        </w:rPr>
        <w:t xml:space="preserve">. </w:t>
      </w:r>
      <w:r w:rsidR="00671025" w:rsidRPr="00671025">
        <w:rPr>
          <w:bCs/>
          <w:sz w:val="24"/>
        </w:rPr>
        <w:t xml:space="preserve"> </w:t>
      </w:r>
      <w:r w:rsidR="00762AD9">
        <w:rPr>
          <w:sz w:val="24"/>
        </w:rPr>
        <w:t>Comments …</w:t>
      </w:r>
      <w:r w:rsidR="00671025">
        <w:rPr>
          <w:sz w:val="24"/>
        </w:rPr>
        <w:t xml:space="preserve">  </w:t>
      </w:r>
      <w:r w:rsidR="00671025" w:rsidRPr="00671025">
        <w:rPr>
          <w:sz w:val="24"/>
        </w:rPr>
        <w:t xml:space="preserve"> </w:t>
      </w:r>
    </w:p>
    <w:p w:rsidR="00340657" w:rsidRDefault="00340657">
      <w:pPr>
        <w:ind w:left="360"/>
        <w:rPr>
          <w:sz w:val="24"/>
        </w:rPr>
      </w:pPr>
    </w:p>
    <w:p w:rsidR="0036201A" w:rsidRDefault="00340657">
      <w:pPr>
        <w:pStyle w:val="BodyText"/>
        <w:ind w:left="360"/>
      </w:pPr>
      <w:r>
        <w:t>HUD Headquarters staff con</w:t>
      </w:r>
      <w:r w:rsidR="00DC23F1">
        <w:t xml:space="preserve">tacted </w:t>
      </w:r>
      <w:r>
        <w:t xml:space="preserve">all of the four Homeownership Centers </w:t>
      </w:r>
      <w:r w:rsidR="00DC23F1">
        <w:t xml:space="preserve">and staff </w:t>
      </w:r>
    </w:p>
    <w:p w:rsidR="0036201A" w:rsidRDefault="00DC23F1">
      <w:pPr>
        <w:pStyle w:val="BodyText"/>
        <w:ind w:left="360"/>
      </w:pPr>
      <w:r>
        <w:t>Santa Ana</w:t>
      </w:r>
      <w:r w:rsidR="00850966">
        <w:t>:</w:t>
      </w:r>
      <w:r>
        <w:t xml:space="preserve"> </w:t>
      </w:r>
      <w:r w:rsidR="0036201A">
        <w:t>Bill Schuler</w:t>
      </w:r>
      <w:proofErr w:type="gramStart"/>
      <w:r>
        <w:t>,</w:t>
      </w:r>
      <w:r w:rsidR="0036201A">
        <w:t>714</w:t>
      </w:r>
      <w:proofErr w:type="gramEnd"/>
      <w:r w:rsidR="0036201A">
        <w:t xml:space="preserve">-796-7200 </w:t>
      </w:r>
    </w:p>
    <w:p w:rsidR="0036201A" w:rsidRDefault="00DC23F1">
      <w:pPr>
        <w:pStyle w:val="BodyText"/>
        <w:ind w:left="360"/>
      </w:pPr>
      <w:r>
        <w:t>Denver</w:t>
      </w:r>
      <w:r w:rsidR="00850966">
        <w:t>:</w:t>
      </w:r>
      <w:r>
        <w:t xml:space="preserve"> </w:t>
      </w:r>
      <w:r w:rsidR="0036201A">
        <w:t>Gary Eisenbraun, 303-6757637</w:t>
      </w:r>
    </w:p>
    <w:p w:rsidR="0036201A" w:rsidRDefault="00DC23F1">
      <w:pPr>
        <w:pStyle w:val="BodyText"/>
        <w:ind w:left="360"/>
      </w:pPr>
      <w:r>
        <w:t>Atlanta</w:t>
      </w:r>
      <w:r w:rsidR="00850966">
        <w:t>:</w:t>
      </w:r>
      <w:r w:rsidR="0036201A">
        <w:t xml:space="preserve"> Malcolm Jefferson 678-732-2668</w:t>
      </w:r>
      <w:r>
        <w:t xml:space="preserve"> </w:t>
      </w:r>
    </w:p>
    <w:p w:rsidR="0036201A" w:rsidRDefault="00DC23F1">
      <w:pPr>
        <w:pStyle w:val="BodyText"/>
        <w:ind w:left="360"/>
      </w:pPr>
      <w:r>
        <w:t>Philadelphia</w:t>
      </w:r>
      <w:r w:rsidR="00850966">
        <w:t>:</w:t>
      </w:r>
      <w:r>
        <w:t xml:space="preserve"> </w:t>
      </w:r>
      <w:r w:rsidR="00433DBE">
        <w:t>Krish Raja</w:t>
      </w:r>
      <w:r w:rsidR="0036201A">
        <w:t>, 215-861-7539</w:t>
      </w:r>
    </w:p>
    <w:p w:rsidR="00340657" w:rsidRDefault="00340657">
      <w:pPr>
        <w:pStyle w:val="BodyText"/>
        <w:ind w:left="360"/>
      </w:pPr>
      <w:proofErr w:type="gramStart"/>
      <w:r>
        <w:lastRenderedPageBreak/>
        <w:t>in</w:t>
      </w:r>
      <w:proofErr w:type="gramEnd"/>
      <w:r>
        <w:t xml:space="preserve"> regards to the Construction Complaint (Form HUD-92556).  The </w:t>
      </w:r>
      <w:r w:rsidR="00ED4BFE">
        <w:t xml:space="preserve">Santa Ana Homeownership reports that they have a complaint pending, however the program has not been otherwise utilized in </w:t>
      </w:r>
      <w:r w:rsidR="0036201A">
        <w:t>twelve</w:t>
      </w:r>
      <w:r>
        <w:t xml:space="preserve"> years.  However, the builder’s warranty is only a one-year warranty, and this complaint process is the only alternative for construction complaints after the first year.</w:t>
      </w:r>
    </w:p>
    <w:p w:rsidR="00340657" w:rsidRDefault="00340657">
      <w:pPr>
        <w:pStyle w:val="BodyText"/>
        <w:ind w:left="360"/>
      </w:pPr>
    </w:p>
    <w:p w:rsidR="00340657" w:rsidRDefault="00340657">
      <w:pPr>
        <w:numPr>
          <w:ilvl w:val="0"/>
          <w:numId w:val="12"/>
        </w:numPr>
        <w:rPr>
          <w:sz w:val="24"/>
        </w:rPr>
      </w:pPr>
      <w:r>
        <w:rPr>
          <w:sz w:val="24"/>
        </w:rPr>
        <w:t xml:space="preserve">No payments or gifts are to be provided to respondents. </w:t>
      </w:r>
    </w:p>
    <w:p w:rsidR="00340657" w:rsidRDefault="00340657">
      <w:pPr>
        <w:tabs>
          <w:tab w:val="left" w:pos="360"/>
        </w:tabs>
        <w:ind w:left="360" w:hanging="360"/>
        <w:rPr>
          <w:sz w:val="24"/>
        </w:rPr>
      </w:pPr>
    </w:p>
    <w:p w:rsidR="00340657" w:rsidRDefault="001514A9">
      <w:pPr>
        <w:numPr>
          <w:ilvl w:val="0"/>
          <w:numId w:val="12"/>
        </w:numPr>
        <w:rPr>
          <w:sz w:val="24"/>
        </w:rPr>
      </w:pPr>
      <w:r>
        <w:rPr>
          <w:sz w:val="24"/>
        </w:rPr>
        <w:t xml:space="preserve">No insurance of </w:t>
      </w:r>
      <w:r w:rsidR="00340657">
        <w:rPr>
          <w:sz w:val="24"/>
        </w:rPr>
        <w:t xml:space="preserve">Confidentiality is </w:t>
      </w:r>
      <w:r w:rsidR="00433DBE">
        <w:rPr>
          <w:sz w:val="24"/>
        </w:rPr>
        <w:t>made</w:t>
      </w:r>
      <w:r w:rsidR="00340657">
        <w:rPr>
          <w:sz w:val="24"/>
        </w:rPr>
        <w:t xml:space="preserve"> </w:t>
      </w:r>
      <w:r w:rsidR="00433DBE">
        <w:rPr>
          <w:sz w:val="24"/>
        </w:rPr>
        <w:t xml:space="preserve">but confidentiality is maintained </w:t>
      </w:r>
      <w:r w:rsidR="00340657">
        <w:rPr>
          <w:sz w:val="24"/>
        </w:rPr>
        <w:t xml:space="preserve">to the extent </w:t>
      </w:r>
      <w:r>
        <w:rPr>
          <w:sz w:val="24"/>
        </w:rPr>
        <w:t>im</w:t>
      </w:r>
      <w:r w:rsidR="00340657">
        <w:rPr>
          <w:sz w:val="24"/>
        </w:rPr>
        <w:t>possible, but as explained in the Privacy Act Notice Statement on the form, this is not always possible when HUD is investigating the claim.</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There are no questions of a sensitive nature.</w:t>
      </w:r>
    </w:p>
    <w:p w:rsidR="00340657" w:rsidRDefault="00340657">
      <w:pPr>
        <w:tabs>
          <w:tab w:val="left" w:pos="360"/>
        </w:tabs>
        <w:ind w:left="360" w:hanging="360"/>
        <w:rPr>
          <w:sz w:val="24"/>
        </w:rPr>
      </w:pPr>
    </w:p>
    <w:p w:rsidR="00340657" w:rsidRDefault="00340657">
      <w:pPr>
        <w:pStyle w:val="BodyTextIndent"/>
        <w:keepNext/>
        <w:numPr>
          <w:ilvl w:val="0"/>
          <w:numId w:val="12"/>
        </w:numPr>
      </w:pPr>
      <w:r>
        <w:t xml:space="preserve">Respondent Burden and Cost in table below.  There have been no construction complaints (HUD-92556) in the last three years however; this information collection needs to stay current in the event more than 9 responses are submitted in the upcoming year.  Therefore an adjustment has been made to the estimated number of respondents.  </w:t>
      </w:r>
    </w:p>
    <w:p w:rsidR="00340657" w:rsidRDefault="00340657">
      <w:pPr>
        <w:keepNext/>
        <w:tabs>
          <w:tab w:val="left" w:pos="360"/>
        </w:tabs>
        <w:ind w:left="360" w:hanging="360"/>
        <w:rPr>
          <w:sz w:val="24"/>
        </w:rPr>
      </w:pPr>
    </w:p>
    <w:tbl>
      <w:tblPr>
        <w:tblW w:w="10098"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4"/>
        <w:gridCol w:w="1434"/>
        <w:gridCol w:w="1350"/>
        <w:gridCol w:w="1260"/>
        <w:gridCol w:w="1260"/>
        <w:gridCol w:w="1120"/>
        <w:gridCol w:w="1285"/>
        <w:gridCol w:w="1105"/>
      </w:tblGrid>
      <w:tr w:rsidR="00340657">
        <w:trPr>
          <w:jc w:val="center"/>
        </w:trPr>
        <w:tc>
          <w:tcPr>
            <w:tcW w:w="1284" w:type="dxa"/>
            <w:vAlign w:val="center"/>
          </w:tcPr>
          <w:p w:rsidR="00340657" w:rsidRDefault="00340657">
            <w:pPr>
              <w:jc w:val="center"/>
              <w:rPr>
                <w:rFonts w:ascii="Arial" w:hAnsi="Arial" w:cs="Arial"/>
                <w:b/>
                <w:bCs/>
                <w:sz w:val="18"/>
              </w:rPr>
            </w:pPr>
            <w:r>
              <w:rPr>
                <w:rFonts w:ascii="Arial" w:hAnsi="Arial" w:cs="Arial"/>
                <w:b/>
                <w:bCs/>
                <w:sz w:val="18"/>
              </w:rPr>
              <w:t>Information Collection</w:t>
            </w:r>
          </w:p>
        </w:tc>
        <w:tc>
          <w:tcPr>
            <w:tcW w:w="1434" w:type="dxa"/>
            <w:vAlign w:val="center"/>
          </w:tcPr>
          <w:p w:rsidR="00340657" w:rsidRDefault="00340657">
            <w:pPr>
              <w:jc w:val="center"/>
              <w:rPr>
                <w:rFonts w:ascii="Arial" w:hAnsi="Arial" w:cs="Arial"/>
                <w:b/>
                <w:bCs/>
                <w:sz w:val="18"/>
              </w:rPr>
            </w:pPr>
            <w:r>
              <w:rPr>
                <w:rFonts w:ascii="Arial" w:hAnsi="Arial" w:cs="Arial"/>
                <w:b/>
                <w:bCs/>
                <w:sz w:val="18"/>
              </w:rPr>
              <w:t>Number of Respondents</w:t>
            </w:r>
          </w:p>
        </w:tc>
        <w:tc>
          <w:tcPr>
            <w:tcW w:w="1350" w:type="dxa"/>
            <w:vAlign w:val="center"/>
          </w:tcPr>
          <w:p w:rsidR="00340657" w:rsidRDefault="00340657">
            <w:pPr>
              <w:jc w:val="center"/>
              <w:rPr>
                <w:rFonts w:ascii="Arial" w:hAnsi="Arial" w:cs="Arial"/>
                <w:b/>
                <w:bCs/>
                <w:sz w:val="18"/>
              </w:rPr>
            </w:pPr>
            <w:r>
              <w:rPr>
                <w:rFonts w:ascii="Arial" w:hAnsi="Arial" w:cs="Arial"/>
                <w:b/>
                <w:bCs/>
                <w:sz w:val="18"/>
              </w:rPr>
              <w:t>Frequency of Response</w:t>
            </w:r>
          </w:p>
        </w:tc>
        <w:tc>
          <w:tcPr>
            <w:tcW w:w="1260" w:type="dxa"/>
            <w:vAlign w:val="center"/>
          </w:tcPr>
          <w:p w:rsidR="00340657" w:rsidRDefault="00340657">
            <w:pPr>
              <w:jc w:val="center"/>
              <w:rPr>
                <w:rFonts w:ascii="Arial" w:hAnsi="Arial" w:cs="Arial"/>
                <w:b/>
                <w:bCs/>
                <w:sz w:val="18"/>
              </w:rPr>
            </w:pPr>
            <w:r>
              <w:rPr>
                <w:rFonts w:ascii="Arial" w:hAnsi="Arial" w:cs="Arial"/>
                <w:b/>
                <w:bCs/>
                <w:sz w:val="18"/>
              </w:rPr>
              <w:t>Responses</w:t>
            </w:r>
          </w:p>
          <w:p w:rsidR="00340657" w:rsidRDefault="00340657">
            <w:pPr>
              <w:jc w:val="center"/>
              <w:rPr>
                <w:rFonts w:ascii="Arial" w:hAnsi="Arial" w:cs="Arial"/>
                <w:b/>
                <w:bCs/>
                <w:sz w:val="18"/>
              </w:rPr>
            </w:pPr>
            <w:r>
              <w:rPr>
                <w:rFonts w:ascii="Arial" w:hAnsi="Arial" w:cs="Arial"/>
                <w:b/>
                <w:bCs/>
                <w:sz w:val="18"/>
              </w:rPr>
              <w:t>Per Annum</w:t>
            </w:r>
          </w:p>
        </w:tc>
        <w:tc>
          <w:tcPr>
            <w:tcW w:w="1260" w:type="dxa"/>
            <w:vAlign w:val="center"/>
          </w:tcPr>
          <w:p w:rsidR="00340657" w:rsidRDefault="00340657">
            <w:pPr>
              <w:jc w:val="center"/>
              <w:rPr>
                <w:rFonts w:ascii="Arial" w:hAnsi="Arial" w:cs="Arial"/>
                <w:b/>
                <w:bCs/>
                <w:sz w:val="18"/>
              </w:rPr>
            </w:pPr>
            <w:r>
              <w:rPr>
                <w:rFonts w:ascii="Arial" w:hAnsi="Arial" w:cs="Arial"/>
                <w:b/>
                <w:bCs/>
                <w:sz w:val="18"/>
              </w:rPr>
              <w:t>Burden Hour Per Response</w:t>
            </w:r>
          </w:p>
        </w:tc>
        <w:tc>
          <w:tcPr>
            <w:tcW w:w="1120" w:type="dxa"/>
            <w:vAlign w:val="center"/>
          </w:tcPr>
          <w:p w:rsidR="00340657" w:rsidRDefault="00340657">
            <w:pPr>
              <w:jc w:val="center"/>
              <w:rPr>
                <w:rFonts w:ascii="Arial" w:hAnsi="Arial" w:cs="Arial"/>
                <w:b/>
                <w:bCs/>
                <w:sz w:val="18"/>
              </w:rPr>
            </w:pPr>
            <w:r>
              <w:rPr>
                <w:rFonts w:ascii="Arial" w:hAnsi="Arial" w:cs="Arial"/>
                <w:b/>
                <w:bCs/>
                <w:sz w:val="18"/>
              </w:rPr>
              <w:t>Annual Burden Hours</w:t>
            </w:r>
          </w:p>
        </w:tc>
        <w:tc>
          <w:tcPr>
            <w:tcW w:w="1285" w:type="dxa"/>
            <w:vAlign w:val="center"/>
          </w:tcPr>
          <w:p w:rsidR="00340657" w:rsidRDefault="00340657">
            <w:pPr>
              <w:jc w:val="center"/>
              <w:rPr>
                <w:rFonts w:ascii="Arial" w:hAnsi="Arial" w:cs="Arial"/>
                <w:b/>
                <w:bCs/>
                <w:sz w:val="18"/>
              </w:rPr>
            </w:pPr>
            <w:r>
              <w:rPr>
                <w:rFonts w:ascii="Arial" w:hAnsi="Arial" w:cs="Arial"/>
                <w:b/>
                <w:bCs/>
                <w:sz w:val="18"/>
              </w:rPr>
              <w:t>Hourly Cost Per Response</w:t>
            </w:r>
          </w:p>
        </w:tc>
        <w:tc>
          <w:tcPr>
            <w:tcW w:w="1105" w:type="dxa"/>
            <w:vAlign w:val="center"/>
          </w:tcPr>
          <w:p w:rsidR="00340657" w:rsidRDefault="00340657">
            <w:pPr>
              <w:jc w:val="center"/>
              <w:rPr>
                <w:rFonts w:ascii="Arial" w:hAnsi="Arial" w:cs="Arial"/>
                <w:b/>
                <w:bCs/>
                <w:sz w:val="18"/>
              </w:rPr>
            </w:pPr>
            <w:r>
              <w:rPr>
                <w:rFonts w:ascii="Arial" w:hAnsi="Arial" w:cs="Arial"/>
                <w:b/>
                <w:bCs/>
                <w:sz w:val="18"/>
              </w:rPr>
              <w:t>Annual Cost</w:t>
            </w:r>
          </w:p>
          <w:p w:rsidR="00340657" w:rsidRDefault="00340657">
            <w:pPr>
              <w:jc w:val="center"/>
              <w:rPr>
                <w:rFonts w:ascii="Arial" w:hAnsi="Arial" w:cs="Arial"/>
                <w:b/>
                <w:bCs/>
                <w:sz w:val="18"/>
              </w:rPr>
            </w:pPr>
          </w:p>
        </w:tc>
      </w:tr>
      <w:tr w:rsidR="00340657">
        <w:trPr>
          <w:jc w:val="center"/>
        </w:trPr>
        <w:tc>
          <w:tcPr>
            <w:tcW w:w="1284" w:type="dxa"/>
          </w:tcPr>
          <w:p w:rsidR="00340657" w:rsidRDefault="00340657">
            <w:pPr>
              <w:rPr>
                <w:rFonts w:ascii="Arial" w:hAnsi="Arial" w:cs="Arial"/>
                <w:b/>
                <w:bCs/>
              </w:rPr>
            </w:pPr>
            <w:r>
              <w:rPr>
                <w:rFonts w:ascii="Arial" w:hAnsi="Arial" w:cs="Arial"/>
                <w:b/>
                <w:bCs/>
              </w:rPr>
              <w:t>HUD-92556</w:t>
            </w:r>
          </w:p>
        </w:tc>
        <w:tc>
          <w:tcPr>
            <w:tcW w:w="1434" w:type="dxa"/>
          </w:tcPr>
          <w:p w:rsidR="00340657" w:rsidRDefault="00E3243B">
            <w:pPr>
              <w:jc w:val="center"/>
              <w:rPr>
                <w:rFonts w:ascii="Arial" w:hAnsi="Arial" w:cs="Arial"/>
                <w:b/>
                <w:bCs/>
              </w:rPr>
            </w:pPr>
            <w:r>
              <w:rPr>
                <w:rFonts w:ascii="Arial" w:hAnsi="Arial" w:cs="Arial"/>
                <w:b/>
                <w:bCs/>
              </w:rPr>
              <w:t>10</w:t>
            </w:r>
          </w:p>
        </w:tc>
        <w:tc>
          <w:tcPr>
            <w:tcW w:w="1350" w:type="dxa"/>
          </w:tcPr>
          <w:p w:rsidR="00340657" w:rsidRDefault="00E3243B">
            <w:pPr>
              <w:jc w:val="center"/>
              <w:rPr>
                <w:rFonts w:ascii="Arial" w:hAnsi="Arial" w:cs="Arial"/>
                <w:b/>
                <w:bCs/>
              </w:rPr>
            </w:pPr>
            <w:r>
              <w:rPr>
                <w:rFonts w:ascii="Arial" w:hAnsi="Arial" w:cs="Arial"/>
                <w:b/>
                <w:bCs/>
              </w:rPr>
              <w:t>1</w:t>
            </w:r>
          </w:p>
        </w:tc>
        <w:tc>
          <w:tcPr>
            <w:tcW w:w="1260" w:type="dxa"/>
          </w:tcPr>
          <w:p w:rsidR="00340657" w:rsidRDefault="00E3243B">
            <w:pPr>
              <w:jc w:val="center"/>
              <w:rPr>
                <w:rFonts w:ascii="Arial" w:hAnsi="Arial" w:cs="Arial"/>
                <w:b/>
                <w:bCs/>
              </w:rPr>
            </w:pPr>
            <w:r>
              <w:rPr>
                <w:rFonts w:ascii="Arial" w:hAnsi="Arial" w:cs="Arial"/>
                <w:b/>
                <w:bCs/>
              </w:rPr>
              <w:t>10</w:t>
            </w:r>
          </w:p>
        </w:tc>
        <w:tc>
          <w:tcPr>
            <w:tcW w:w="1260" w:type="dxa"/>
          </w:tcPr>
          <w:p w:rsidR="00340657" w:rsidRDefault="00340657">
            <w:pPr>
              <w:jc w:val="center"/>
              <w:rPr>
                <w:rFonts w:ascii="Arial" w:hAnsi="Arial" w:cs="Arial"/>
                <w:b/>
                <w:bCs/>
              </w:rPr>
            </w:pPr>
            <w:r>
              <w:rPr>
                <w:rFonts w:ascii="Arial" w:hAnsi="Arial" w:cs="Arial"/>
                <w:b/>
                <w:bCs/>
              </w:rPr>
              <w:t>.50</w:t>
            </w:r>
          </w:p>
        </w:tc>
        <w:tc>
          <w:tcPr>
            <w:tcW w:w="1120" w:type="dxa"/>
          </w:tcPr>
          <w:p w:rsidR="00340657" w:rsidRDefault="00E3243B">
            <w:pPr>
              <w:jc w:val="center"/>
              <w:rPr>
                <w:rFonts w:ascii="Arial" w:hAnsi="Arial" w:cs="Arial"/>
                <w:b/>
                <w:bCs/>
              </w:rPr>
            </w:pPr>
            <w:r>
              <w:rPr>
                <w:rFonts w:ascii="Arial" w:hAnsi="Arial" w:cs="Arial"/>
                <w:b/>
                <w:bCs/>
              </w:rPr>
              <w:t>5</w:t>
            </w:r>
          </w:p>
        </w:tc>
        <w:tc>
          <w:tcPr>
            <w:tcW w:w="1285" w:type="dxa"/>
          </w:tcPr>
          <w:p w:rsidR="00340657" w:rsidRDefault="00CF1A4C">
            <w:pPr>
              <w:jc w:val="right"/>
              <w:rPr>
                <w:rFonts w:ascii="Arial" w:hAnsi="Arial" w:cs="Arial"/>
                <w:b/>
                <w:bCs/>
              </w:rPr>
            </w:pPr>
            <w:r>
              <w:rPr>
                <w:rFonts w:ascii="Arial" w:hAnsi="Arial" w:cs="Arial"/>
                <w:b/>
                <w:bCs/>
              </w:rPr>
              <w:t>25.39</w:t>
            </w:r>
          </w:p>
        </w:tc>
        <w:tc>
          <w:tcPr>
            <w:tcW w:w="1105" w:type="dxa"/>
          </w:tcPr>
          <w:p w:rsidR="00340657" w:rsidRDefault="00CF1A4C">
            <w:pPr>
              <w:jc w:val="right"/>
              <w:rPr>
                <w:rFonts w:ascii="Arial" w:hAnsi="Arial" w:cs="Arial"/>
                <w:b/>
                <w:bCs/>
              </w:rPr>
            </w:pPr>
            <w:r>
              <w:rPr>
                <w:rFonts w:ascii="Arial" w:hAnsi="Arial" w:cs="Arial"/>
                <w:b/>
                <w:bCs/>
              </w:rPr>
              <w:t>126.95</w:t>
            </w:r>
          </w:p>
        </w:tc>
      </w:tr>
    </w:tbl>
    <w:p w:rsidR="00340657" w:rsidRDefault="00340657">
      <w:pPr>
        <w:pStyle w:val="Header"/>
        <w:tabs>
          <w:tab w:val="clear" w:pos="4320"/>
          <w:tab w:val="clear" w:pos="8640"/>
        </w:tabs>
        <w:ind w:left="360"/>
      </w:pPr>
      <w:r>
        <w:t>The hourly rate is based on an estimated average ann</w:t>
      </w:r>
      <w:r w:rsidR="00CF1A4C">
        <w:t>ual homeowner salary of $52,979</w:t>
      </w:r>
    </w:p>
    <w:p w:rsidR="00340657" w:rsidRDefault="00340657"/>
    <w:p w:rsidR="00340657" w:rsidRDefault="00340657">
      <w:pPr>
        <w:numPr>
          <w:ilvl w:val="0"/>
          <w:numId w:val="12"/>
        </w:numPr>
        <w:rPr>
          <w:sz w:val="24"/>
        </w:rPr>
      </w:pPr>
      <w:r>
        <w:rPr>
          <w:sz w:val="24"/>
        </w:rPr>
        <w:t>There are no additional costs to the respondents.</w:t>
      </w:r>
    </w:p>
    <w:p w:rsidR="00340657" w:rsidRDefault="00340657">
      <w:pPr>
        <w:tabs>
          <w:tab w:val="left" w:pos="360"/>
        </w:tabs>
        <w:ind w:left="360" w:hanging="360"/>
        <w:rPr>
          <w:sz w:val="24"/>
        </w:rPr>
      </w:pPr>
    </w:p>
    <w:p w:rsidR="00340657" w:rsidRDefault="00340657">
      <w:pPr>
        <w:pStyle w:val="BodyTextIndent"/>
        <w:numPr>
          <w:ilvl w:val="0"/>
          <w:numId w:val="12"/>
        </w:numPr>
      </w:pPr>
      <w:r>
        <w:t xml:space="preserve">Cost to the Federal Government: </w:t>
      </w:r>
    </w:p>
    <w:p w:rsidR="00340657" w:rsidRDefault="00340657">
      <w:pPr>
        <w:tabs>
          <w:tab w:val="left" w:pos="360"/>
        </w:tabs>
        <w:ind w:left="360" w:hanging="360"/>
        <w:rPr>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1458"/>
        <w:gridCol w:w="1458"/>
        <w:gridCol w:w="1458"/>
        <w:gridCol w:w="1458"/>
        <w:gridCol w:w="1458"/>
      </w:tblGrid>
      <w:tr w:rsidR="00340657">
        <w:tc>
          <w:tcPr>
            <w:tcW w:w="1458" w:type="dxa"/>
            <w:vAlign w:val="center"/>
          </w:tcPr>
          <w:p w:rsidR="00340657" w:rsidRDefault="00340657">
            <w:pPr>
              <w:jc w:val="center"/>
              <w:rPr>
                <w:rFonts w:ascii="Arial" w:hAnsi="Arial" w:cs="Arial"/>
                <w:b/>
                <w:bCs/>
              </w:rPr>
            </w:pPr>
            <w:r>
              <w:rPr>
                <w:rFonts w:ascii="Arial" w:hAnsi="Arial" w:cs="Arial"/>
                <w:b/>
                <w:bCs/>
              </w:rPr>
              <w:t>Information Collection</w:t>
            </w:r>
          </w:p>
        </w:tc>
        <w:tc>
          <w:tcPr>
            <w:tcW w:w="1458" w:type="dxa"/>
            <w:vAlign w:val="center"/>
          </w:tcPr>
          <w:p w:rsidR="00340657" w:rsidRDefault="00340657">
            <w:pPr>
              <w:jc w:val="center"/>
              <w:rPr>
                <w:rFonts w:ascii="Arial" w:hAnsi="Arial" w:cs="Arial"/>
                <w:b/>
                <w:bCs/>
              </w:rPr>
            </w:pPr>
            <w:r>
              <w:rPr>
                <w:rFonts w:ascii="Arial" w:hAnsi="Arial" w:cs="Arial"/>
                <w:b/>
                <w:bCs/>
              </w:rPr>
              <w:t>Responses</w:t>
            </w:r>
          </w:p>
          <w:p w:rsidR="00340657" w:rsidRDefault="00340657">
            <w:pPr>
              <w:jc w:val="center"/>
              <w:rPr>
                <w:rFonts w:ascii="Arial" w:hAnsi="Arial" w:cs="Arial"/>
                <w:b/>
                <w:bCs/>
              </w:rPr>
            </w:pPr>
            <w:r>
              <w:rPr>
                <w:rFonts w:ascii="Arial" w:hAnsi="Arial" w:cs="Arial"/>
                <w:b/>
                <w:bCs/>
              </w:rPr>
              <w:t>Per Annum</w:t>
            </w:r>
          </w:p>
        </w:tc>
        <w:tc>
          <w:tcPr>
            <w:tcW w:w="1458" w:type="dxa"/>
            <w:vAlign w:val="center"/>
          </w:tcPr>
          <w:p w:rsidR="00340657" w:rsidRDefault="00340657">
            <w:pPr>
              <w:jc w:val="center"/>
              <w:rPr>
                <w:rFonts w:ascii="Arial" w:hAnsi="Arial" w:cs="Arial"/>
                <w:b/>
                <w:bCs/>
              </w:rPr>
            </w:pPr>
            <w:r>
              <w:rPr>
                <w:rFonts w:ascii="Arial" w:hAnsi="Arial" w:cs="Arial"/>
                <w:b/>
                <w:bCs/>
              </w:rPr>
              <w:t>Hours Per Response</w:t>
            </w:r>
          </w:p>
        </w:tc>
        <w:tc>
          <w:tcPr>
            <w:tcW w:w="1458" w:type="dxa"/>
            <w:vAlign w:val="center"/>
          </w:tcPr>
          <w:p w:rsidR="00340657" w:rsidRDefault="00340657">
            <w:pPr>
              <w:jc w:val="center"/>
              <w:rPr>
                <w:rFonts w:ascii="Arial" w:hAnsi="Arial" w:cs="Arial"/>
                <w:b/>
                <w:bCs/>
              </w:rPr>
            </w:pPr>
            <w:r>
              <w:rPr>
                <w:rFonts w:ascii="Arial" w:hAnsi="Arial" w:cs="Arial"/>
                <w:b/>
                <w:bCs/>
              </w:rPr>
              <w:t>Annual Hours</w:t>
            </w:r>
          </w:p>
        </w:tc>
        <w:tc>
          <w:tcPr>
            <w:tcW w:w="1458" w:type="dxa"/>
            <w:vAlign w:val="center"/>
          </w:tcPr>
          <w:p w:rsidR="00340657" w:rsidRDefault="00340657">
            <w:pPr>
              <w:jc w:val="center"/>
              <w:rPr>
                <w:rFonts w:ascii="Arial" w:hAnsi="Arial" w:cs="Arial"/>
                <w:b/>
                <w:bCs/>
              </w:rPr>
            </w:pPr>
            <w:r>
              <w:rPr>
                <w:rFonts w:ascii="Arial" w:hAnsi="Arial" w:cs="Arial"/>
                <w:b/>
                <w:bCs/>
              </w:rPr>
              <w:t xml:space="preserve">Hourly Cost </w:t>
            </w:r>
          </w:p>
        </w:tc>
        <w:tc>
          <w:tcPr>
            <w:tcW w:w="1458" w:type="dxa"/>
            <w:vAlign w:val="center"/>
          </w:tcPr>
          <w:p w:rsidR="00340657" w:rsidRDefault="00340657">
            <w:pPr>
              <w:jc w:val="center"/>
              <w:rPr>
                <w:rFonts w:ascii="Arial" w:hAnsi="Arial" w:cs="Arial"/>
                <w:b/>
                <w:bCs/>
              </w:rPr>
            </w:pPr>
            <w:r>
              <w:rPr>
                <w:rFonts w:ascii="Arial" w:hAnsi="Arial" w:cs="Arial"/>
                <w:b/>
                <w:bCs/>
              </w:rPr>
              <w:t>Annual Cost</w:t>
            </w:r>
          </w:p>
        </w:tc>
      </w:tr>
      <w:tr w:rsidR="00340657">
        <w:tc>
          <w:tcPr>
            <w:tcW w:w="1458" w:type="dxa"/>
          </w:tcPr>
          <w:p w:rsidR="00340657" w:rsidRDefault="00340657">
            <w:pPr>
              <w:rPr>
                <w:rFonts w:ascii="Arial" w:hAnsi="Arial" w:cs="Arial"/>
              </w:rPr>
            </w:pPr>
          </w:p>
        </w:tc>
        <w:tc>
          <w:tcPr>
            <w:tcW w:w="1458" w:type="dxa"/>
          </w:tcPr>
          <w:p w:rsidR="00340657" w:rsidRDefault="00340657">
            <w:pPr>
              <w:rPr>
                <w:rFonts w:ascii="Arial" w:hAnsi="Arial" w:cs="Arial"/>
              </w:rPr>
            </w:pPr>
          </w:p>
        </w:tc>
        <w:tc>
          <w:tcPr>
            <w:tcW w:w="1458" w:type="dxa"/>
          </w:tcPr>
          <w:p w:rsidR="00340657" w:rsidRDefault="00340657">
            <w:pPr>
              <w:rPr>
                <w:rFonts w:ascii="Arial" w:hAnsi="Arial" w:cs="Arial"/>
              </w:rPr>
            </w:pPr>
          </w:p>
        </w:tc>
        <w:tc>
          <w:tcPr>
            <w:tcW w:w="1458" w:type="dxa"/>
          </w:tcPr>
          <w:p w:rsidR="00340657" w:rsidRDefault="00340657">
            <w:pPr>
              <w:rPr>
                <w:rFonts w:ascii="Arial" w:hAnsi="Arial" w:cs="Arial"/>
              </w:rPr>
            </w:pPr>
          </w:p>
        </w:tc>
        <w:tc>
          <w:tcPr>
            <w:tcW w:w="1458" w:type="dxa"/>
          </w:tcPr>
          <w:p w:rsidR="00340657" w:rsidRDefault="00340657">
            <w:pPr>
              <w:rPr>
                <w:rFonts w:ascii="Arial" w:hAnsi="Arial" w:cs="Arial"/>
              </w:rPr>
            </w:pPr>
          </w:p>
        </w:tc>
        <w:tc>
          <w:tcPr>
            <w:tcW w:w="1458" w:type="dxa"/>
          </w:tcPr>
          <w:p w:rsidR="00340657" w:rsidRDefault="00340657">
            <w:pPr>
              <w:rPr>
                <w:rFonts w:ascii="Arial" w:hAnsi="Arial" w:cs="Arial"/>
              </w:rPr>
            </w:pPr>
          </w:p>
        </w:tc>
      </w:tr>
      <w:tr w:rsidR="00340657">
        <w:tc>
          <w:tcPr>
            <w:tcW w:w="1458" w:type="dxa"/>
          </w:tcPr>
          <w:p w:rsidR="00340657" w:rsidRDefault="00340657">
            <w:pPr>
              <w:rPr>
                <w:rFonts w:ascii="Arial" w:hAnsi="Arial" w:cs="Arial"/>
                <w:b/>
                <w:bCs/>
              </w:rPr>
            </w:pPr>
            <w:r>
              <w:rPr>
                <w:rFonts w:ascii="Arial" w:hAnsi="Arial" w:cs="Arial"/>
                <w:b/>
                <w:bCs/>
              </w:rPr>
              <w:t>HUD-92556</w:t>
            </w:r>
          </w:p>
        </w:tc>
        <w:tc>
          <w:tcPr>
            <w:tcW w:w="1458" w:type="dxa"/>
          </w:tcPr>
          <w:p w:rsidR="00340657" w:rsidRDefault="00E3243B">
            <w:pPr>
              <w:jc w:val="center"/>
              <w:rPr>
                <w:rFonts w:ascii="Arial" w:hAnsi="Arial" w:cs="Arial"/>
                <w:b/>
                <w:bCs/>
              </w:rPr>
            </w:pPr>
            <w:r>
              <w:rPr>
                <w:rFonts w:ascii="Arial" w:hAnsi="Arial" w:cs="Arial"/>
                <w:b/>
                <w:bCs/>
              </w:rPr>
              <w:t>10</w:t>
            </w:r>
          </w:p>
        </w:tc>
        <w:tc>
          <w:tcPr>
            <w:tcW w:w="1458" w:type="dxa"/>
          </w:tcPr>
          <w:p w:rsidR="00340657" w:rsidRDefault="00E3243B">
            <w:pPr>
              <w:jc w:val="center"/>
              <w:rPr>
                <w:rFonts w:ascii="Arial" w:hAnsi="Arial" w:cs="Arial"/>
                <w:b/>
                <w:bCs/>
              </w:rPr>
            </w:pPr>
            <w:r>
              <w:rPr>
                <w:rFonts w:ascii="Arial" w:hAnsi="Arial" w:cs="Arial"/>
                <w:b/>
                <w:bCs/>
              </w:rPr>
              <w:t>2</w:t>
            </w:r>
          </w:p>
        </w:tc>
        <w:tc>
          <w:tcPr>
            <w:tcW w:w="1458" w:type="dxa"/>
          </w:tcPr>
          <w:p w:rsidR="00340657" w:rsidRDefault="00E3243B">
            <w:pPr>
              <w:jc w:val="center"/>
              <w:rPr>
                <w:rFonts w:ascii="Arial" w:hAnsi="Arial" w:cs="Arial"/>
                <w:b/>
                <w:bCs/>
              </w:rPr>
            </w:pPr>
            <w:r>
              <w:rPr>
                <w:rFonts w:ascii="Arial" w:hAnsi="Arial" w:cs="Arial"/>
                <w:b/>
                <w:bCs/>
              </w:rPr>
              <w:t>20</w:t>
            </w:r>
          </w:p>
        </w:tc>
        <w:tc>
          <w:tcPr>
            <w:tcW w:w="1458" w:type="dxa"/>
          </w:tcPr>
          <w:p w:rsidR="00340657" w:rsidRDefault="00E3243B" w:rsidP="00433DBE">
            <w:pPr>
              <w:jc w:val="center"/>
              <w:rPr>
                <w:rFonts w:ascii="Arial" w:hAnsi="Arial" w:cs="Arial"/>
                <w:b/>
                <w:bCs/>
              </w:rPr>
            </w:pPr>
            <w:r>
              <w:rPr>
                <w:rFonts w:ascii="Arial" w:hAnsi="Arial" w:cs="Arial"/>
                <w:b/>
                <w:bCs/>
              </w:rPr>
              <w:t>$3</w:t>
            </w:r>
            <w:r w:rsidR="00433DBE">
              <w:rPr>
                <w:rFonts w:ascii="Arial" w:hAnsi="Arial" w:cs="Arial"/>
                <w:b/>
                <w:bCs/>
              </w:rPr>
              <w:t>4</w:t>
            </w:r>
            <w:r>
              <w:rPr>
                <w:rFonts w:ascii="Arial" w:hAnsi="Arial" w:cs="Arial"/>
                <w:b/>
                <w:bCs/>
              </w:rPr>
              <w:t>.</w:t>
            </w:r>
            <w:r w:rsidR="00433DBE">
              <w:rPr>
                <w:rFonts w:ascii="Arial" w:hAnsi="Arial" w:cs="Arial"/>
                <w:b/>
                <w:bCs/>
              </w:rPr>
              <w:t>34</w:t>
            </w:r>
          </w:p>
        </w:tc>
        <w:tc>
          <w:tcPr>
            <w:tcW w:w="1458" w:type="dxa"/>
          </w:tcPr>
          <w:p w:rsidR="00340657" w:rsidRDefault="00E3243B" w:rsidP="00433DBE">
            <w:pPr>
              <w:jc w:val="center"/>
              <w:rPr>
                <w:rFonts w:ascii="Arial" w:hAnsi="Arial" w:cs="Arial"/>
                <w:b/>
                <w:bCs/>
              </w:rPr>
            </w:pPr>
            <w:r>
              <w:rPr>
                <w:rFonts w:ascii="Arial" w:hAnsi="Arial" w:cs="Arial"/>
                <w:b/>
                <w:bCs/>
              </w:rPr>
              <w:t>$6</w:t>
            </w:r>
            <w:r w:rsidR="00433DBE">
              <w:rPr>
                <w:rFonts w:ascii="Arial" w:hAnsi="Arial" w:cs="Arial"/>
                <w:b/>
                <w:bCs/>
              </w:rPr>
              <w:t>86</w:t>
            </w:r>
            <w:r w:rsidR="00E57FFE">
              <w:rPr>
                <w:rFonts w:ascii="Arial" w:hAnsi="Arial" w:cs="Arial"/>
                <w:b/>
                <w:bCs/>
              </w:rPr>
              <w:t>.</w:t>
            </w:r>
            <w:r w:rsidR="00433DBE">
              <w:rPr>
                <w:rFonts w:ascii="Arial" w:hAnsi="Arial" w:cs="Arial"/>
                <w:b/>
                <w:bCs/>
              </w:rPr>
              <w:t>8</w:t>
            </w:r>
            <w:r w:rsidR="00E57FFE">
              <w:rPr>
                <w:rFonts w:ascii="Arial" w:hAnsi="Arial" w:cs="Arial"/>
                <w:b/>
                <w:bCs/>
              </w:rPr>
              <w:t>0</w:t>
            </w:r>
          </w:p>
        </w:tc>
      </w:tr>
    </w:tbl>
    <w:p w:rsidR="00340657" w:rsidRDefault="00340657">
      <w:pPr>
        <w:pStyle w:val="BodyTextIndent2"/>
        <w:rPr>
          <w:sz w:val="24"/>
        </w:rPr>
      </w:pPr>
      <w:r>
        <w:t>Hourly cos</w:t>
      </w:r>
      <w:r w:rsidR="00E3243B">
        <w:t>t i</w:t>
      </w:r>
      <w:r w:rsidR="00E57FFE">
        <w:t>s based on an estimate of $3</w:t>
      </w:r>
      <w:r w:rsidR="00433DBE">
        <w:t>4</w:t>
      </w:r>
      <w:r w:rsidR="00E57FFE">
        <w:t>.</w:t>
      </w:r>
      <w:r w:rsidR="00433DBE">
        <w:t>34 (base cost of a GS 13)</w:t>
      </w:r>
      <w:r>
        <w:t xml:space="preserve"> per hour that includes overhead, staff preparation time, etc.  This cost involves the time it takes to review the information collection and to notify homeowners and builders.  </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 xml:space="preserve">This is an extension of a currently approved collection.  </w:t>
      </w:r>
      <w:r w:rsidR="00F81D55">
        <w:rPr>
          <w:sz w:val="24"/>
        </w:rPr>
        <w:t>One c</w:t>
      </w:r>
      <w:r>
        <w:rPr>
          <w:sz w:val="24"/>
        </w:rPr>
        <w:t>omplaint file</w:t>
      </w:r>
      <w:r w:rsidR="00924628">
        <w:rPr>
          <w:sz w:val="24"/>
        </w:rPr>
        <w:t>d in</w:t>
      </w:r>
      <w:r>
        <w:rPr>
          <w:sz w:val="24"/>
        </w:rPr>
        <w:t xml:space="preserve"> the last three years.  </w:t>
      </w:r>
    </w:p>
    <w:p w:rsidR="00E57FFE" w:rsidRDefault="00E57FFE" w:rsidP="00E57FFE">
      <w:pPr>
        <w:tabs>
          <w:tab w:val="left" w:pos="360"/>
        </w:tabs>
        <w:rPr>
          <w:sz w:val="24"/>
        </w:rPr>
      </w:pPr>
    </w:p>
    <w:p w:rsidR="00340657" w:rsidRDefault="00340657">
      <w:pPr>
        <w:numPr>
          <w:ilvl w:val="0"/>
          <w:numId w:val="12"/>
        </w:numPr>
        <w:rPr>
          <w:sz w:val="24"/>
        </w:rPr>
      </w:pPr>
      <w:r>
        <w:rPr>
          <w:sz w:val="24"/>
        </w:rPr>
        <w:t>No information collected will result in being published or tabulated for publication.</w:t>
      </w:r>
    </w:p>
    <w:p w:rsidR="00340657" w:rsidRDefault="00340657">
      <w:pPr>
        <w:tabs>
          <w:tab w:val="left" w:pos="360"/>
          <w:tab w:val="left" w:pos="720"/>
        </w:tabs>
        <w:rPr>
          <w:sz w:val="24"/>
        </w:rPr>
      </w:pPr>
    </w:p>
    <w:p w:rsidR="00340657" w:rsidRDefault="00340657">
      <w:pPr>
        <w:numPr>
          <w:ilvl w:val="0"/>
          <w:numId w:val="12"/>
        </w:numPr>
        <w:tabs>
          <w:tab w:val="left" w:pos="720"/>
        </w:tabs>
        <w:rPr>
          <w:sz w:val="24"/>
        </w:rPr>
      </w:pPr>
      <w:r>
        <w:rPr>
          <w:sz w:val="24"/>
        </w:rPr>
        <w:t>HUD is not seeking approval to avoid displaying the OMB expiration date.</w:t>
      </w:r>
    </w:p>
    <w:p w:rsidR="00340657" w:rsidRDefault="00340657">
      <w:pPr>
        <w:tabs>
          <w:tab w:val="left" w:pos="360"/>
        </w:tabs>
        <w:ind w:left="360" w:hanging="360"/>
        <w:rPr>
          <w:sz w:val="24"/>
        </w:rPr>
      </w:pPr>
    </w:p>
    <w:p w:rsidR="00340657" w:rsidRDefault="00340657">
      <w:pPr>
        <w:numPr>
          <w:ilvl w:val="0"/>
          <w:numId w:val="12"/>
        </w:numPr>
        <w:rPr>
          <w:sz w:val="24"/>
        </w:rPr>
      </w:pPr>
      <w:r>
        <w:rPr>
          <w:sz w:val="24"/>
        </w:rPr>
        <w:t>There are no exceptions to the certification statement identified in item 19 of the OMB 83-I.</w:t>
      </w:r>
    </w:p>
    <w:p w:rsidR="00340657" w:rsidRDefault="00340657">
      <w:pPr>
        <w:tabs>
          <w:tab w:val="left" w:pos="360"/>
          <w:tab w:val="left" w:pos="720"/>
        </w:tabs>
        <w:rPr>
          <w:sz w:val="24"/>
        </w:rPr>
      </w:pPr>
    </w:p>
    <w:p w:rsidR="00340657" w:rsidRDefault="00340657">
      <w:pPr>
        <w:tabs>
          <w:tab w:val="left" w:pos="360"/>
          <w:tab w:val="left" w:pos="720"/>
        </w:tabs>
        <w:rPr>
          <w:sz w:val="24"/>
        </w:rPr>
      </w:pPr>
    </w:p>
    <w:p w:rsidR="00340657" w:rsidRDefault="003406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Pr>
          <w:b/>
          <w:sz w:val="24"/>
        </w:rPr>
        <w:t xml:space="preserve">B. </w:t>
      </w:r>
      <w:r>
        <w:rPr>
          <w:b/>
          <w:sz w:val="24"/>
        </w:rPr>
        <w:tab/>
        <w:t>Collections of Information Employing Statistical Methods</w:t>
      </w:r>
    </w:p>
    <w:p w:rsidR="00340657" w:rsidRDefault="00340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340657" w:rsidRDefault="00340657">
      <w:pPr>
        <w:pStyle w:val="BodyTextIndent"/>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tab/>
        <w:t>This collection of information does not employ statistical methods.</w:t>
      </w:r>
    </w:p>
    <w:p w:rsidR="00340657" w:rsidRDefault="00340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rPr>
      </w:pPr>
    </w:p>
    <w:p w:rsidR="00340657" w:rsidRDefault="00340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rPr>
      </w:pPr>
    </w:p>
    <w:p w:rsidR="00340657" w:rsidRDefault="00340657">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sectPr w:rsidR="00340657" w:rsidSect="00EA53C1">
      <w:footerReference w:type="default" r:id="rId8"/>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C97" w:rsidRDefault="00690C97">
      <w:r>
        <w:separator/>
      </w:r>
    </w:p>
  </w:endnote>
  <w:endnote w:type="continuationSeparator" w:id="0">
    <w:p w:rsidR="00690C97" w:rsidRDefault="0069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97" w:rsidRDefault="00C56B36">
    <w:pPr>
      <w:pStyle w:val="Footer"/>
      <w:framePr w:wrap="around" w:vAnchor="text" w:hAnchor="margin" w:xAlign="center" w:y="1"/>
      <w:rPr>
        <w:rStyle w:val="PageNumber"/>
      </w:rPr>
    </w:pPr>
    <w:r>
      <w:rPr>
        <w:rStyle w:val="PageNumber"/>
      </w:rPr>
      <w:fldChar w:fldCharType="begin"/>
    </w:r>
    <w:r w:rsidR="00690C97">
      <w:rPr>
        <w:rStyle w:val="PageNumber"/>
      </w:rPr>
      <w:instrText xml:space="preserve">PAGE  </w:instrText>
    </w:r>
    <w:r>
      <w:rPr>
        <w:rStyle w:val="PageNumber"/>
      </w:rPr>
      <w:fldChar w:fldCharType="separate"/>
    </w:r>
    <w:r w:rsidR="00744507">
      <w:rPr>
        <w:rStyle w:val="PageNumber"/>
        <w:noProof/>
      </w:rPr>
      <w:t>2</w:t>
    </w:r>
    <w:r>
      <w:rPr>
        <w:rStyle w:val="PageNumber"/>
      </w:rPr>
      <w:fldChar w:fldCharType="end"/>
    </w:r>
  </w:p>
  <w:p w:rsidR="00690C97" w:rsidRDefault="00690C97" w:rsidP="00762AD9">
    <w:pPr>
      <w:pStyle w:val="Footer"/>
      <w:pBdr>
        <w:top w:val="single" w:sz="6" w:space="1" w:color="auto"/>
      </w:pBdr>
      <w:tabs>
        <w:tab w:val="clear" w:pos="4320"/>
        <w:tab w:val="clear" w:pos="8640"/>
        <w:tab w:val="right" w:pos="10920"/>
      </w:tabs>
      <w:ind w:left="-120" w:right="-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C97" w:rsidRDefault="00690C97">
      <w:r>
        <w:separator/>
      </w:r>
    </w:p>
  </w:footnote>
  <w:footnote w:type="continuationSeparator" w:id="0">
    <w:p w:rsidR="00690C97" w:rsidRDefault="00690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916975"/>
    <w:multiLevelType w:val="hybridMultilevel"/>
    <w:tmpl w:val="1374AA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39D7BB6"/>
    <w:multiLevelType w:val="hybridMultilevel"/>
    <w:tmpl w:val="BAB8C3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8A7729"/>
    <w:multiLevelType w:val="hybridMultilevel"/>
    <w:tmpl w:val="F78C60DE"/>
    <w:lvl w:ilvl="0" w:tplc="FAE273F4">
      <w:start w:val="16"/>
      <w:numFmt w:val="decimal"/>
      <w:lvlText w:val="%1."/>
      <w:lvlJc w:val="left"/>
      <w:pPr>
        <w:tabs>
          <w:tab w:val="num" w:pos="1080"/>
        </w:tabs>
        <w:ind w:left="1080" w:hanging="360"/>
      </w:pPr>
      <w:rPr>
        <w:rFonts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E69117E"/>
    <w:multiLevelType w:val="hybridMultilevel"/>
    <w:tmpl w:val="85F23C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50B06B4"/>
    <w:multiLevelType w:val="hybridMultilevel"/>
    <w:tmpl w:val="8E26D3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2D4E23"/>
    <w:multiLevelType w:val="hybridMultilevel"/>
    <w:tmpl w:val="974CC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3"/>
  </w:num>
  <w:num w:numId="3">
    <w:abstractNumId w:val="1"/>
  </w:num>
  <w:num w:numId="4">
    <w:abstractNumId w:val="12"/>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9"/>
  </w:num>
  <w:num w:numId="10">
    <w:abstractNumId w:val="2"/>
  </w:num>
  <w:num w:numId="11">
    <w:abstractNumId w:val="5"/>
  </w:num>
  <w:num w:numId="12">
    <w:abstractNumId w:val="6"/>
  </w:num>
  <w:num w:numId="13">
    <w:abstractNumId w:val="7"/>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57"/>
    <w:rsid w:val="000237E9"/>
    <w:rsid w:val="000D1301"/>
    <w:rsid w:val="000E1880"/>
    <w:rsid w:val="001514A9"/>
    <w:rsid w:val="001A684D"/>
    <w:rsid w:val="001A75E4"/>
    <w:rsid w:val="002000BA"/>
    <w:rsid w:val="00212BA0"/>
    <w:rsid w:val="002C5BCE"/>
    <w:rsid w:val="00340657"/>
    <w:rsid w:val="0036201A"/>
    <w:rsid w:val="00425BED"/>
    <w:rsid w:val="00433DBE"/>
    <w:rsid w:val="004F3ECC"/>
    <w:rsid w:val="00545869"/>
    <w:rsid w:val="00671025"/>
    <w:rsid w:val="00690C97"/>
    <w:rsid w:val="006E75B3"/>
    <w:rsid w:val="00744507"/>
    <w:rsid w:val="00762AD9"/>
    <w:rsid w:val="00850966"/>
    <w:rsid w:val="00892E50"/>
    <w:rsid w:val="00924628"/>
    <w:rsid w:val="00943FCB"/>
    <w:rsid w:val="00960933"/>
    <w:rsid w:val="00992C0A"/>
    <w:rsid w:val="009A71D9"/>
    <w:rsid w:val="00AC31B9"/>
    <w:rsid w:val="00B10018"/>
    <w:rsid w:val="00C56B36"/>
    <w:rsid w:val="00C91456"/>
    <w:rsid w:val="00CF1A4C"/>
    <w:rsid w:val="00D01CC9"/>
    <w:rsid w:val="00DB12CD"/>
    <w:rsid w:val="00DC23F1"/>
    <w:rsid w:val="00DD110D"/>
    <w:rsid w:val="00DE6619"/>
    <w:rsid w:val="00E3243B"/>
    <w:rsid w:val="00E57FFE"/>
    <w:rsid w:val="00E81362"/>
    <w:rsid w:val="00EA53C1"/>
    <w:rsid w:val="00EA5D09"/>
    <w:rsid w:val="00EB1678"/>
    <w:rsid w:val="00ED4BFE"/>
    <w:rsid w:val="00F81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3C1"/>
    <w:pPr>
      <w:overflowPunct w:val="0"/>
      <w:autoSpaceDE w:val="0"/>
      <w:autoSpaceDN w:val="0"/>
      <w:adjustRightInd w:val="0"/>
      <w:textAlignment w:val="baseline"/>
    </w:pPr>
  </w:style>
  <w:style w:type="paragraph" w:styleId="Heading1">
    <w:name w:val="heading 1"/>
    <w:basedOn w:val="Normal"/>
    <w:next w:val="Normal"/>
    <w:qFormat/>
    <w:rsid w:val="00EA53C1"/>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outlineLvl w:val="0"/>
    </w:pPr>
    <w:rPr>
      <w:rFonts w:ascii="Helvetica" w:hAnsi="Helvetica"/>
      <w:b/>
      <w:sz w:val="24"/>
      <w:szCs w:val="24"/>
    </w:rPr>
  </w:style>
  <w:style w:type="paragraph" w:styleId="Heading2">
    <w:name w:val="heading 2"/>
    <w:basedOn w:val="Normal"/>
    <w:next w:val="Normal"/>
    <w:qFormat/>
    <w:rsid w:val="00EA53C1"/>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jc w:val="center"/>
      <w:textAlignment w:val="auto"/>
      <w:outlineLvl w:val="1"/>
    </w:pPr>
    <w:rPr>
      <w:rFonts w:ascii="Helvetica" w:hAnsi="Helvetic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53C1"/>
    <w:pPr>
      <w:tabs>
        <w:tab w:val="center" w:pos="4320"/>
        <w:tab w:val="right" w:pos="8640"/>
      </w:tabs>
    </w:pPr>
  </w:style>
  <w:style w:type="paragraph" w:styleId="Footer">
    <w:name w:val="footer"/>
    <w:basedOn w:val="Normal"/>
    <w:rsid w:val="00EA53C1"/>
    <w:pPr>
      <w:tabs>
        <w:tab w:val="center" w:pos="4320"/>
        <w:tab w:val="right" w:pos="8640"/>
      </w:tabs>
    </w:pPr>
  </w:style>
  <w:style w:type="paragraph" w:styleId="BodyTextIndent">
    <w:name w:val="Body Text Indent"/>
    <w:basedOn w:val="Normal"/>
    <w:rsid w:val="00EA53C1"/>
    <w:pPr>
      <w:tabs>
        <w:tab w:val="left" w:pos="360"/>
      </w:tabs>
      <w:ind w:left="360" w:hanging="360"/>
    </w:pPr>
    <w:rPr>
      <w:sz w:val="24"/>
    </w:rPr>
  </w:style>
  <w:style w:type="character" w:styleId="PageNumber">
    <w:name w:val="page number"/>
    <w:basedOn w:val="DefaultParagraphFont"/>
    <w:rsid w:val="00EA53C1"/>
  </w:style>
  <w:style w:type="paragraph" w:styleId="BodyTextIndent2">
    <w:name w:val="Body Text Indent 2"/>
    <w:basedOn w:val="Normal"/>
    <w:rsid w:val="00EA53C1"/>
    <w:pPr>
      <w:tabs>
        <w:tab w:val="left" w:pos="360"/>
      </w:tabs>
      <w:ind w:left="720"/>
    </w:pPr>
  </w:style>
  <w:style w:type="paragraph" w:styleId="Title">
    <w:name w:val="Title"/>
    <w:basedOn w:val="Normal"/>
    <w:qFormat/>
    <w:rsid w:val="00EA53C1"/>
    <w:pPr>
      <w:jc w:val="center"/>
    </w:pPr>
    <w:rPr>
      <w:rFonts w:ascii="Helvetica" w:hAnsi="Helvetica"/>
      <w:b/>
      <w:sz w:val="28"/>
    </w:rPr>
  </w:style>
  <w:style w:type="paragraph" w:styleId="BodyText">
    <w:name w:val="Body Text"/>
    <w:basedOn w:val="Normal"/>
    <w:rsid w:val="00EA53C1"/>
    <w:pPr>
      <w:overflowPunct/>
      <w:spacing w:line="240" w:lineRule="atLeast"/>
      <w:textAlignment w:val="auto"/>
    </w:pPr>
    <w:rPr>
      <w:color w:val="000000"/>
      <w:sz w:val="24"/>
    </w:rPr>
  </w:style>
  <w:style w:type="paragraph" w:styleId="HTMLPreformatted">
    <w:name w:val="HTML Preformatted"/>
    <w:basedOn w:val="Normal"/>
    <w:rsid w:val="00EA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3C1"/>
    <w:pPr>
      <w:overflowPunct w:val="0"/>
      <w:autoSpaceDE w:val="0"/>
      <w:autoSpaceDN w:val="0"/>
      <w:adjustRightInd w:val="0"/>
      <w:textAlignment w:val="baseline"/>
    </w:pPr>
  </w:style>
  <w:style w:type="paragraph" w:styleId="Heading1">
    <w:name w:val="heading 1"/>
    <w:basedOn w:val="Normal"/>
    <w:next w:val="Normal"/>
    <w:qFormat/>
    <w:rsid w:val="00EA53C1"/>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outlineLvl w:val="0"/>
    </w:pPr>
    <w:rPr>
      <w:rFonts w:ascii="Helvetica" w:hAnsi="Helvetica"/>
      <w:b/>
      <w:sz w:val="24"/>
      <w:szCs w:val="24"/>
    </w:rPr>
  </w:style>
  <w:style w:type="paragraph" w:styleId="Heading2">
    <w:name w:val="heading 2"/>
    <w:basedOn w:val="Normal"/>
    <w:next w:val="Normal"/>
    <w:qFormat/>
    <w:rsid w:val="00EA53C1"/>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jc w:val="center"/>
      <w:textAlignment w:val="auto"/>
      <w:outlineLvl w:val="1"/>
    </w:pPr>
    <w:rPr>
      <w:rFonts w:ascii="Helvetica" w:hAnsi="Helvetic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53C1"/>
    <w:pPr>
      <w:tabs>
        <w:tab w:val="center" w:pos="4320"/>
        <w:tab w:val="right" w:pos="8640"/>
      </w:tabs>
    </w:pPr>
  </w:style>
  <w:style w:type="paragraph" w:styleId="Footer">
    <w:name w:val="footer"/>
    <w:basedOn w:val="Normal"/>
    <w:rsid w:val="00EA53C1"/>
    <w:pPr>
      <w:tabs>
        <w:tab w:val="center" w:pos="4320"/>
        <w:tab w:val="right" w:pos="8640"/>
      </w:tabs>
    </w:pPr>
  </w:style>
  <w:style w:type="paragraph" w:styleId="BodyTextIndent">
    <w:name w:val="Body Text Indent"/>
    <w:basedOn w:val="Normal"/>
    <w:rsid w:val="00EA53C1"/>
    <w:pPr>
      <w:tabs>
        <w:tab w:val="left" w:pos="360"/>
      </w:tabs>
      <w:ind w:left="360" w:hanging="360"/>
    </w:pPr>
    <w:rPr>
      <w:sz w:val="24"/>
    </w:rPr>
  </w:style>
  <w:style w:type="character" w:styleId="PageNumber">
    <w:name w:val="page number"/>
    <w:basedOn w:val="DefaultParagraphFont"/>
    <w:rsid w:val="00EA53C1"/>
  </w:style>
  <w:style w:type="paragraph" w:styleId="BodyTextIndent2">
    <w:name w:val="Body Text Indent 2"/>
    <w:basedOn w:val="Normal"/>
    <w:rsid w:val="00EA53C1"/>
    <w:pPr>
      <w:tabs>
        <w:tab w:val="left" w:pos="360"/>
      </w:tabs>
      <w:ind w:left="720"/>
    </w:pPr>
  </w:style>
  <w:style w:type="paragraph" w:styleId="Title">
    <w:name w:val="Title"/>
    <w:basedOn w:val="Normal"/>
    <w:qFormat/>
    <w:rsid w:val="00EA53C1"/>
    <w:pPr>
      <w:jc w:val="center"/>
    </w:pPr>
    <w:rPr>
      <w:rFonts w:ascii="Helvetica" w:hAnsi="Helvetica"/>
      <w:b/>
      <w:sz w:val="28"/>
    </w:rPr>
  </w:style>
  <w:style w:type="paragraph" w:styleId="BodyText">
    <w:name w:val="Body Text"/>
    <w:basedOn w:val="Normal"/>
    <w:rsid w:val="00EA53C1"/>
    <w:pPr>
      <w:overflowPunct/>
      <w:spacing w:line="240" w:lineRule="atLeast"/>
      <w:textAlignment w:val="auto"/>
    </w:pPr>
    <w:rPr>
      <w:color w:val="000000"/>
      <w:sz w:val="24"/>
    </w:rPr>
  </w:style>
  <w:style w:type="paragraph" w:styleId="HTMLPreformatted">
    <w:name w:val="HTML Preformatted"/>
    <w:basedOn w:val="Normal"/>
    <w:rsid w:val="00EA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3</cp:revision>
  <cp:lastPrinted>2014-12-11T19:29:00Z</cp:lastPrinted>
  <dcterms:created xsi:type="dcterms:W3CDTF">2014-12-11T19:29:00Z</dcterms:created>
  <dcterms:modified xsi:type="dcterms:W3CDTF">2014-12-11T19:29:00Z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-1921402043</vt:i4>
  </property>
  <property fmtid="{D5CDD505-2E9C-101B-9397-08002B2CF9AE}" pid="3" name="_NewReviewCycle">
    <vt:lpwstr/>
  </property>
  <property fmtid="{D5CDD505-2E9C-101B-9397-08002B2CF9AE}" pid="4" name="_EmailSubject">
    <vt:lpwstr>2502-0047</vt:lpwstr>
  </property>
  <property fmtid="{D5CDD505-2E9C-101B-9397-08002B2CF9AE}" pid="5" name="_AuthorEmail">
    <vt:lpwstr>Ada.L.Bohorfoush@hud.gov</vt:lpwstr>
  </property>
  <property fmtid="{D5CDD505-2E9C-101B-9397-08002B2CF9AE}" pid="6" name="_AuthorEmailDisplayName">
    <vt:lpwstr>Bohorfoush, Ada L</vt:lpwstr>
  </property>
  <property fmtid="{D5CDD505-2E9C-101B-9397-08002B2CF9AE}" pid="7" name="_PreviousAdHocReviewCycleID">
    <vt:i4>-231166700</vt:i4>
  </property>
  <property fmtid="{D5CDD505-2E9C-101B-9397-08002B2CF9AE}" pid="8" name="_ReviewingToolsShownOnce">
    <vt:lpwstr/>
  </property>
</Properties>
</file>