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80" w:rsidRDefault="007D343F">
      <w:pPr>
        <w:jc w:val="right"/>
        <w:rPr>
          <w:bCs/>
          <w:sz w:val="24"/>
          <w:szCs w:val="24"/>
        </w:rPr>
      </w:pPr>
      <w:r w:rsidRPr="007D343F">
        <w:rPr>
          <w:bCs/>
          <w:sz w:val="24"/>
          <w:szCs w:val="24"/>
        </w:rPr>
        <w:t>6560-50</w:t>
      </w:r>
      <w:r w:rsidR="008973A2">
        <w:rPr>
          <w:bCs/>
          <w:sz w:val="24"/>
          <w:szCs w:val="24"/>
        </w:rPr>
        <w:t>-P</w:t>
      </w:r>
    </w:p>
    <w:p w:rsidR="007E7A35" w:rsidRDefault="007E7A35" w:rsidP="007E7A35">
      <w:pPr>
        <w:rPr>
          <w:sz w:val="24"/>
          <w:szCs w:val="24"/>
        </w:rPr>
      </w:pPr>
      <w:r>
        <w:rPr>
          <w:b/>
          <w:bCs/>
          <w:sz w:val="24"/>
          <w:szCs w:val="24"/>
        </w:rPr>
        <w:t>ENVIRONMENTAL PROTECTION AGENCY</w:t>
      </w:r>
    </w:p>
    <w:p w:rsidR="007E7A35" w:rsidRDefault="007E7A35" w:rsidP="007E7A35">
      <w:pPr>
        <w:rPr>
          <w:sz w:val="24"/>
          <w:szCs w:val="24"/>
        </w:rPr>
      </w:pPr>
    </w:p>
    <w:p w:rsidR="00B45F53" w:rsidRDefault="00EF15FD" w:rsidP="004C35C9">
      <w:pPr>
        <w:numPr>
          <w:ilvl w:val="12"/>
          <w:numId w:val="0"/>
        </w:numPr>
        <w:rPr>
          <w:b/>
          <w:bCs/>
          <w:sz w:val="24"/>
          <w:szCs w:val="24"/>
        </w:rPr>
      </w:pPr>
      <w:r>
        <w:rPr>
          <w:b/>
          <w:bCs/>
          <w:sz w:val="24"/>
          <w:szCs w:val="24"/>
        </w:rPr>
        <w:t>[EPA-HQ-OAR-2007-0595</w:t>
      </w:r>
      <w:r w:rsidR="007C1576">
        <w:rPr>
          <w:b/>
          <w:bCs/>
          <w:sz w:val="24"/>
          <w:szCs w:val="24"/>
        </w:rPr>
        <w:t xml:space="preserve">; </w:t>
      </w:r>
      <w:proofErr w:type="spellStart"/>
      <w:r w:rsidR="007C1576">
        <w:rPr>
          <w:b/>
          <w:bCs/>
          <w:sz w:val="24"/>
          <w:szCs w:val="24"/>
        </w:rPr>
        <w:t>FRL</w:t>
      </w:r>
      <w:proofErr w:type="spellEnd"/>
      <w:r w:rsidR="00345EAA">
        <w:rPr>
          <w:b/>
          <w:bCs/>
          <w:sz w:val="24"/>
          <w:szCs w:val="24"/>
        </w:rPr>
        <w:t xml:space="preserve"> </w:t>
      </w:r>
      <w:r w:rsidR="006A3BDE">
        <w:rPr>
          <w:b/>
          <w:bCs/>
          <w:sz w:val="24"/>
          <w:szCs w:val="24"/>
        </w:rPr>
        <w:t>–</w:t>
      </w:r>
      <w:r w:rsidR="00345EAA">
        <w:rPr>
          <w:b/>
          <w:bCs/>
          <w:sz w:val="24"/>
          <w:szCs w:val="24"/>
        </w:rPr>
        <w:t xml:space="preserve"> </w:t>
      </w:r>
      <w:r w:rsidR="006A3BDE">
        <w:rPr>
          <w:b/>
          <w:bCs/>
          <w:sz w:val="24"/>
          <w:szCs w:val="24"/>
        </w:rPr>
        <w:t>9917-04-OEI</w:t>
      </w:r>
      <w:bookmarkStart w:id="0" w:name="_GoBack"/>
      <w:bookmarkEnd w:id="0"/>
      <w:r w:rsidR="00345EAA">
        <w:rPr>
          <w:b/>
          <w:bCs/>
          <w:sz w:val="24"/>
          <w:szCs w:val="24"/>
        </w:rPr>
        <w:t>]</w:t>
      </w:r>
    </w:p>
    <w:p w:rsidR="004C35C9" w:rsidRDefault="004C35C9" w:rsidP="007E7A35">
      <w:pPr>
        <w:rPr>
          <w:sz w:val="24"/>
          <w:szCs w:val="24"/>
        </w:rPr>
      </w:pPr>
    </w:p>
    <w:p w:rsidR="00B60CF6" w:rsidRPr="00270BA9" w:rsidRDefault="00BA10F0" w:rsidP="00B60CF6">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 Comment Request;</w:t>
      </w:r>
      <w:r w:rsidR="00EF15FD">
        <w:rPr>
          <w:b/>
          <w:color w:val="0000FF"/>
          <w:sz w:val="24"/>
          <w:szCs w:val="24"/>
        </w:rPr>
        <w:t xml:space="preserve"> </w:t>
      </w:r>
      <w:r w:rsidR="00EF15FD">
        <w:rPr>
          <w:b/>
          <w:bCs/>
          <w:sz w:val="24"/>
          <w:szCs w:val="24"/>
        </w:rPr>
        <w:t xml:space="preserve">Regulation of Fuels and Fuel Additives: </w:t>
      </w:r>
      <w:r w:rsidR="00EF15FD">
        <w:rPr>
          <w:b/>
          <w:sz w:val="24"/>
          <w:szCs w:val="24"/>
        </w:rPr>
        <w:t>Detergent Gasoline (Renewal)</w:t>
      </w:r>
      <w:r w:rsidR="00EF15FD">
        <w:rPr>
          <w:b/>
          <w:bCs/>
          <w:sz w:val="24"/>
          <w:szCs w:val="24"/>
        </w:rPr>
        <w:t xml:space="preserve"> </w:t>
      </w:r>
      <w:r w:rsidR="00B60CF6" w:rsidRPr="00270BA9">
        <w:rPr>
          <w:b/>
          <w:color w:val="3366FF"/>
          <w:sz w:val="24"/>
          <w:szCs w:val="24"/>
        </w:rPr>
        <w:t xml:space="preserve"> </w:t>
      </w:r>
    </w:p>
    <w:p w:rsidR="007E7A35" w:rsidRDefault="007E7A35" w:rsidP="007E7A35">
      <w:pPr>
        <w:rPr>
          <w:sz w:val="24"/>
          <w:szCs w:val="24"/>
        </w:rPr>
      </w:pPr>
    </w:p>
    <w:p w:rsidR="007E7A35" w:rsidRDefault="007E7A35" w:rsidP="007E7A35">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RDefault="007E7A35" w:rsidP="007E7A35">
      <w:pPr>
        <w:spacing w:line="480" w:lineRule="auto"/>
        <w:rPr>
          <w:sz w:val="24"/>
          <w:szCs w:val="24"/>
        </w:rPr>
      </w:pPr>
      <w:r>
        <w:rPr>
          <w:b/>
          <w:bCs/>
          <w:sz w:val="24"/>
          <w:szCs w:val="24"/>
        </w:rPr>
        <w:t>ACTION</w:t>
      </w:r>
      <w:r>
        <w:rPr>
          <w:sz w:val="24"/>
          <w:szCs w:val="24"/>
        </w:rPr>
        <w:t>:</w:t>
      </w:r>
      <w:r>
        <w:rPr>
          <w:sz w:val="24"/>
          <w:szCs w:val="24"/>
        </w:rPr>
        <w:tab/>
        <w:t>Notice.</w:t>
      </w:r>
    </w:p>
    <w:p w:rsidR="007E7A35" w:rsidRDefault="007E7A35" w:rsidP="007E7A35">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00BA10F0" w:rsidRPr="00BA10F0">
        <w:rPr>
          <w:sz w:val="24"/>
          <w:szCs w:val="24"/>
        </w:rPr>
        <w:t>submitt</w:t>
      </w:r>
      <w:r w:rsidR="00552A73">
        <w:rPr>
          <w:sz w:val="24"/>
          <w:szCs w:val="24"/>
        </w:rPr>
        <w:t>ed</w:t>
      </w:r>
      <w:r w:rsidR="00BA10F0" w:rsidRPr="00BA10F0">
        <w:rPr>
          <w:sz w:val="24"/>
          <w:szCs w:val="24"/>
        </w:rPr>
        <w:t xml:space="preserve"> </w:t>
      </w:r>
      <w:r w:rsidR="00552A73">
        <w:rPr>
          <w:sz w:val="24"/>
          <w:szCs w:val="24"/>
        </w:rPr>
        <w:t xml:space="preserve">an </w:t>
      </w:r>
      <w:r w:rsidR="00BA10F0" w:rsidRPr="00BA10F0">
        <w:rPr>
          <w:sz w:val="24"/>
          <w:szCs w:val="24"/>
        </w:rPr>
        <w:t xml:space="preserve">information collection request </w:t>
      </w:r>
      <w:r w:rsidR="00BA10F0">
        <w:rPr>
          <w:sz w:val="24"/>
          <w:szCs w:val="24"/>
        </w:rPr>
        <w:t>(ICR)</w:t>
      </w:r>
      <w:r w:rsidR="00552A73">
        <w:rPr>
          <w:sz w:val="24"/>
          <w:szCs w:val="24"/>
        </w:rPr>
        <w:t>, “</w:t>
      </w:r>
      <w:r w:rsidR="00EF15FD" w:rsidRPr="00EF15FD">
        <w:rPr>
          <w:sz w:val="24"/>
          <w:szCs w:val="24"/>
        </w:rPr>
        <w:t>Regulation of Fuels and Fuel Additives: Detergent Gasoline (Renewal)</w:t>
      </w:r>
      <w:r w:rsidR="00552A73">
        <w:rPr>
          <w:sz w:val="24"/>
          <w:szCs w:val="24"/>
        </w:rPr>
        <w:t>” (EPA ICR No.</w:t>
      </w:r>
      <w:r w:rsidR="00EF15FD">
        <w:rPr>
          <w:sz w:val="24"/>
          <w:szCs w:val="24"/>
        </w:rPr>
        <w:t xml:space="preserve"> 1655.09</w:t>
      </w:r>
      <w:r w:rsidR="00552A73">
        <w:rPr>
          <w:sz w:val="24"/>
          <w:szCs w:val="24"/>
        </w:rPr>
        <w:t>, OMB Control No.</w:t>
      </w:r>
      <w:r w:rsidR="00EF15FD">
        <w:rPr>
          <w:sz w:val="24"/>
          <w:szCs w:val="24"/>
        </w:rPr>
        <w:t xml:space="preserve"> 2060-0275</w:t>
      </w:r>
      <w:r w:rsidR="00552A73">
        <w:rPr>
          <w:sz w:val="24"/>
          <w:szCs w:val="24"/>
        </w:rPr>
        <w:t xml:space="preserve">) </w:t>
      </w:r>
      <w:r w:rsidR="00BA10F0" w:rsidRPr="00BA10F0">
        <w:rPr>
          <w:sz w:val="24"/>
          <w:szCs w:val="24"/>
        </w:rPr>
        <w:t xml:space="preserve">to </w:t>
      </w:r>
      <w:r w:rsidR="00BA10F0" w:rsidRPr="00BA10F0">
        <w:rPr>
          <w:sz w:val="24"/>
          <w:szCs w:val="24"/>
        </w:rPr>
        <w:lastRenderedPageBreak/>
        <w:t>the Office of Management and Budget (OMB) for review and approval in accordance w</w:t>
      </w:r>
      <w:r w:rsidR="00BA10F0">
        <w:rPr>
          <w:sz w:val="24"/>
          <w:szCs w:val="24"/>
        </w:rPr>
        <w:t xml:space="preserve">ith the Paperwork Reduction Act (44 </w:t>
      </w:r>
      <w:proofErr w:type="spellStart"/>
      <w:r w:rsidR="00BA10F0">
        <w:rPr>
          <w:sz w:val="24"/>
          <w:szCs w:val="24"/>
        </w:rPr>
        <w:t>U.S.C</w:t>
      </w:r>
      <w:proofErr w:type="spellEnd"/>
      <w:r w:rsidR="00BA10F0">
        <w:rPr>
          <w:sz w:val="24"/>
          <w:szCs w:val="24"/>
        </w:rPr>
        <w:t xml:space="preserve">. 3501 </w:t>
      </w:r>
      <w:r w:rsidR="00BA10F0" w:rsidRPr="00B60CF6">
        <w:rPr>
          <w:i/>
          <w:sz w:val="24"/>
          <w:szCs w:val="24"/>
        </w:rPr>
        <w:t>et seq</w:t>
      </w:r>
      <w:r w:rsidR="00BA10F0">
        <w:rPr>
          <w:sz w:val="24"/>
          <w:szCs w:val="24"/>
        </w:rPr>
        <w:t>.)</w:t>
      </w:r>
      <w:r w:rsidR="00BA10F0" w:rsidRPr="00BA10F0">
        <w:rPr>
          <w:sz w:val="24"/>
          <w:szCs w:val="24"/>
        </w:rPr>
        <w:t xml:space="preserve">. </w:t>
      </w:r>
      <w:r w:rsidR="00552A73" w:rsidRPr="00BA10F0">
        <w:rPr>
          <w:sz w:val="24"/>
          <w:szCs w:val="24"/>
        </w:rPr>
        <w:t xml:space="preserve">This is </w:t>
      </w:r>
      <w:r w:rsidR="00552A73">
        <w:rPr>
          <w:sz w:val="24"/>
          <w:szCs w:val="24"/>
        </w:rPr>
        <w:t xml:space="preserve">a </w:t>
      </w:r>
      <w:r w:rsidR="00552A73" w:rsidRPr="00BA10F0">
        <w:rPr>
          <w:sz w:val="24"/>
          <w:szCs w:val="24"/>
        </w:rPr>
        <w:t>proposed extension of</w:t>
      </w:r>
      <w:r w:rsidR="00552A73">
        <w:rPr>
          <w:sz w:val="24"/>
          <w:szCs w:val="24"/>
        </w:rPr>
        <w:t xml:space="preserve"> the ICR, which is currently approved through </w:t>
      </w:r>
      <w:r w:rsidR="00EF15FD">
        <w:rPr>
          <w:sz w:val="24"/>
          <w:szCs w:val="24"/>
        </w:rPr>
        <w:t>September 30, 2014</w:t>
      </w:r>
      <w:r w:rsidR="00552A73">
        <w:rPr>
          <w:sz w:val="24"/>
          <w:szCs w:val="24"/>
        </w:rPr>
        <w:t>. P</w:t>
      </w:r>
      <w:r w:rsidR="00FF7A1C">
        <w:rPr>
          <w:sz w:val="24"/>
          <w:szCs w:val="24"/>
        </w:rPr>
        <w:t xml:space="preserve">ublic comments were previously requested via </w:t>
      </w:r>
      <w:r w:rsidR="00BA10F0" w:rsidRPr="00BA10F0">
        <w:rPr>
          <w:sz w:val="24"/>
          <w:szCs w:val="24"/>
        </w:rPr>
        <w:t xml:space="preserve">the </w:t>
      </w:r>
      <w:r w:rsidR="00BA10F0" w:rsidRPr="00552A73">
        <w:rPr>
          <w:i/>
          <w:sz w:val="24"/>
          <w:szCs w:val="24"/>
        </w:rPr>
        <w:t>Federal Register</w:t>
      </w:r>
      <w:r w:rsidR="00BA10F0" w:rsidRPr="00BA10F0">
        <w:rPr>
          <w:sz w:val="24"/>
          <w:szCs w:val="24"/>
        </w:rPr>
        <w:t xml:space="preserve"> (</w:t>
      </w:r>
      <w:r w:rsidR="00EF15FD">
        <w:rPr>
          <w:sz w:val="24"/>
          <w:szCs w:val="24"/>
        </w:rPr>
        <w:t>79</w:t>
      </w:r>
      <w:r w:rsidR="00BA10F0" w:rsidRPr="00BA10F0">
        <w:rPr>
          <w:sz w:val="24"/>
          <w:szCs w:val="24"/>
        </w:rPr>
        <w:t xml:space="preserve"> FR </w:t>
      </w:r>
      <w:r w:rsidR="00EF15FD">
        <w:rPr>
          <w:sz w:val="24"/>
          <w:szCs w:val="24"/>
        </w:rPr>
        <w:t>24417</w:t>
      </w:r>
      <w:r w:rsidR="00BA10F0" w:rsidRPr="00BA10F0">
        <w:rPr>
          <w:sz w:val="24"/>
          <w:szCs w:val="24"/>
        </w:rPr>
        <w:t>) on</w:t>
      </w:r>
      <w:r w:rsidR="00EF15FD">
        <w:rPr>
          <w:sz w:val="24"/>
          <w:szCs w:val="24"/>
        </w:rPr>
        <w:t xml:space="preserve"> April 30, 2014</w:t>
      </w:r>
      <w:r w:rsidR="00BA10F0" w:rsidRPr="00BA10F0">
        <w:rPr>
          <w:sz w:val="24"/>
          <w:szCs w:val="24"/>
        </w:rPr>
        <w:t xml:space="preserve"> </w:t>
      </w:r>
      <w:r w:rsidR="00FF7A1C">
        <w:rPr>
          <w:sz w:val="24"/>
          <w:szCs w:val="24"/>
        </w:rPr>
        <w:t xml:space="preserve">during </w:t>
      </w:r>
      <w:r w:rsidR="00BA10F0" w:rsidRP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An Agency may not conduct or sponsor and a person is not required to respond to a collection of information unless it displays a currently valid OMB control number.</w:t>
      </w:r>
    </w:p>
    <w:p w:rsidR="00B60CF6" w:rsidRPr="003E549D" w:rsidRDefault="007E7A35" w:rsidP="008212C2">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00B60CF6" w:rsidRPr="00956EBC">
        <w:rPr>
          <w:color w:val="0000FF"/>
          <w:sz w:val="24"/>
          <w:szCs w:val="24"/>
          <w:u w:val="single"/>
        </w:rPr>
        <w:t xml:space="preserve"> </w:t>
      </w:r>
      <w:r w:rsidR="00B60CF6">
        <w:rPr>
          <w:sz w:val="24"/>
          <w:szCs w:val="24"/>
          <w:u w:val="single"/>
        </w:rPr>
        <w:t>days after publication in the Federal Register</w:t>
      </w:r>
      <w:r w:rsidR="00B60CF6">
        <w:rPr>
          <w:sz w:val="24"/>
          <w:szCs w:val="24"/>
        </w:rPr>
        <w:t>].</w:t>
      </w:r>
    </w:p>
    <w:p w:rsidR="007E7A35" w:rsidRDefault="007E7A35" w:rsidP="007E7A35">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 xml:space="preserve">Number </w:t>
      </w:r>
      <w:r w:rsidR="00EF15FD" w:rsidRPr="007F40C4">
        <w:rPr>
          <w:bCs/>
          <w:sz w:val="24"/>
          <w:szCs w:val="24"/>
        </w:rPr>
        <w:t>EPA-HQ-OAR-2007-0595</w:t>
      </w:r>
      <w:r w:rsidR="008212C2" w:rsidRPr="008212C2">
        <w:rPr>
          <w:sz w:val="24"/>
          <w:szCs w:val="24"/>
        </w:rPr>
        <w:t>,</w:t>
      </w:r>
      <w:r w:rsidR="008212C2">
        <w:rPr>
          <w:sz w:val="24"/>
          <w:szCs w:val="24"/>
        </w:rPr>
        <w:t xml:space="preserve">  </w:t>
      </w:r>
      <w:r>
        <w:rPr>
          <w:sz w:val="24"/>
          <w:szCs w:val="24"/>
        </w:rPr>
        <w:t xml:space="preserve">to (1) EPA online using </w:t>
      </w:r>
      <w:r w:rsidR="00896240">
        <w:rPr>
          <w:sz w:val="24"/>
          <w:szCs w:val="24"/>
        </w:rPr>
        <w:t>www.regulations.gov</w:t>
      </w:r>
      <w:r>
        <w:rPr>
          <w:sz w:val="24"/>
          <w:szCs w:val="24"/>
        </w:rPr>
        <w:t xml:space="preserve"> (our preferred method),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t xml:space="preserve">1200 Pennsylvania Ave., NW, Washington, DC 20460, and (2) </w:t>
      </w:r>
      <w:r w:rsidR="00FF7A1C" w:rsidRPr="00FF7A1C">
        <w:rPr>
          <w:sz w:val="24"/>
          <w:szCs w:val="24"/>
        </w:rPr>
        <w:t xml:space="preserve">OMB </w:t>
      </w:r>
      <w:r w:rsidR="00FF7A1C">
        <w:rPr>
          <w:sz w:val="24"/>
          <w:szCs w:val="24"/>
        </w:rPr>
        <w:t>via e</w:t>
      </w:r>
      <w:r w:rsidR="00FF7A1C" w:rsidRPr="00FF7A1C">
        <w:rPr>
          <w:sz w:val="24"/>
          <w:szCs w:val="24"/>
        </w:rPr>
        <w:t>mail to oira</w:t>
      </w:r>
      <w:r w:rsidR="00FF7A1C">
        <w:rPr>
          <w:sz w:val="24"/>
          <w:szCs w:val="24"/>
        </w:rPr>
        <w:t xml:space="preserve">_submission@omb.eop.gov. Address comments to OMB </w:t>
      </w:r>
      <w:r w:rsidR="00FF7A1C" w:rsidRPr="00FF7A1C">
        <w:rPr>
          <w:sz w:val="24"/>
          <w:szCs w:val="24"/>
        </w:rPr>
        <w:t xml:space="preserve">Desk Officer for </w:t>
      </w:r>
      <w:r w:rsidR="00FF7A1C">
        <w:rPr>
          <w:sz w:val="24"/>
          <w:szCs w:val="24"/>
        </w:rPr>
        <w:t>EPA.</w:t>
      </w:r>
    </w:p>
    <w:p w:rsidR="00D1312F" w:rsidRDefault="00B55F25" w:rsidP="007E7A35">
      <w:pPr>
        <w:spacing w:line="480" w:lineRule="auto"/>
        <w:rPr>
          <w:sz w:val="24"/>
          <w:szCs w:val="24"/>
        </w:rPr>
      </w:pPr>
      <w:r>
        <w:rPr>
          <w:sz w:val="24"/>
          <w:szCs w:val="24"/>
        </w:rPr>
        <w:tab/>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Pr>
          <w:sz w:val="24"/>
          <w:szCs w:val="24"/>
        </w:rPr>
        <w:t>information claimed to be Confidential Business Information (CBI) or other information whose disclosure is restricted by statute.</w:t>
      </w:r>
    </w:p>
    <w:p w:rsidR="00B3747E" w:rsidRPr="00B3747E" w:rsidRDefault="007E7A35" w:rsidP="00B3747E">
      <w:pPr>
        <w:spacing w:line="480" w:lineRule="auto"/>
        <w:rPr>
          <w:b/>
          <w:color w:val="0000FF"/>
          <w:sz w:val="24"/>
          <w:szCs w:val="24"/>
        </w:rPr>
      </w:pPr>
      <w:r>
        <w:rPr>
          <w:b/>
          <w:bCs/>
          <w:sz w:val="24"/>
          <w:szCs w:val="24"/>
        </w:rPr>
        <w:t>FOR FURTHER INFORMATION CONTACT</w:t>
      </w:r>
      <w:r>
        <w:rPr>
          <w:sz w:val="24"/>
          <w:szCs w:val="24"/>
        </w:rPr>
        <w:t xml:space="preserve">:  </w:t>
      </w:r>
      <w:r w:rsidR="00EF15FD">
        <w:rPr>
          <w:sz w:val="24"/>
          <w:szCs w:val="24"/>
        </w:rPr>
        <w:t>Jaimee Dong,</w:t>
      </w:r>
      <w:r w:rsidR="00EF15FD">
        <w:rPr>
          <w:b/>
          <w:color w:val="0000FF"/>
          <w:sz w:val="24"/>
          <w:szCs w:val="24"/>
        </w:rPr>
        <w:t xml:space="preserve"> </w:t>
      </w:r>
      <w:r w:rsidR="00EF15FD">
        <w:rPr>
          <w:sz w:val="24"/>
          <w:szCs w:val="24"/>
        </w:rPr>
        <w:t>Office of</w:t>
      </w:r>
      <w:r w:rsidR="00EF15FD">
        <w:rPr>
          <w:b/>
          <w:color w:val="0000FF"/>
          <w:sz w:val="24"/>
          <w:szCs w:val="24"/>
        </w:rPr>
        <w:t xml:space="preserve"> </w:t>
      </w:r>
      <w:r w:rsidR="00EF15FD">
        <w:rPr>
          <w:sz w:val="24"/>
          <w:szCs w:val="24"/>
        </w:rPr>
        <w:t>Transportation and Air Quality</w:t>
      </w:r>
      <w:r w:rsidR="00EF15FD">
        <w:rPr>
          <w:bCs/>
          <w:sz w:val="24"/>
          <w:szCs w:val="24"/>
        </w:rPr>
        <w:t>,</w:t>
      </w:r>
      <w:r w:rsidR="00EF15FD">
        <w:rPr>
          <w:sz w:val="24"/>
          <w:szCs w:val="24"/>
        </w:rPr>
        <w:t xml:space="preserve"> (Mail Code: 6406J), Environmental Protection Agency,</w:t>
      </w:r>
      <w:r w:rsidR="00EF15FD">
        <w:rPr>
          <w:color w:val="0000FF"/>
          <w:sz w:val="24"/>
          <w:szCs w:val="24"/>
        </w:rPr>
        <w:t xml:space="preserve"> </w:t>
      </w:r>
      <w:r w:rsidR="00EF15FD">
        <w:rPr>
          <w:sz w:val="24"/>
          <w:szCs w:val="24"/>
        </w:rPr>
        <w:t>1200 Pennsylvania Ave., NW, Washington, DC 20460; telephone number:</w:t>
      </w:r>
      <w:r w:rsidR="00EF15FD">
        <w:rPr>
          <w:color w:val="3366FF"/>
          <w:sz w:val="24"/>
          <w:szCs w:val="24"/>
        </w:rPr>
        <w:t xml:space="preserve"> </w:t>
      </w:r>
      <w:r w:rsidR="00EF15FD">
        <w:rPr>
          <w:sz w:val="24"/>
          <w:szCs w:val="24"/>
        </w:rPr>
        <w:t>(202) 343-9672; fax number:</w:t>
      </w:r>
      <w:r w:rsidR="00EF15FD">
        <w:rPr>
          <w:color w:val="3366FF"/>
          <w:sz w:val="24"/>
          <w:szCs w:val="24"/>
        </w:rPr>
        <w:t xml:space="preserve"> </w:t>
      </w:r>
      <w:r w:rsidR="00EF15FD">
        <w:rPr>
          <w:sz w:val="24"/>
          <w:szCs w:val="24"/>
        </w:rPr>
        <w:t>(202) 343-2802</w:t>
      </w:r>
      <w:r w:rsidR="00EF15FD">
        <w:rPr>
          <w:b/>
          <w:color w:val="0000FF"/>
          <w:sz w:val="24"/>
          <w:szCs w:val="24"/>
        </w:rPr>
        <w:t>;</w:t>
      </w:r>
      <w:r w:rsidR="00EF15FD">
        <w:rPr>
          <w:sz w:val="24"/>
          <w:szCs w:val="24"/>
        </w:rPr>
        <w:t xml:space="preserve"> email address: dong.jaimee</w:t>
      </w:r>
      <w:r w:rsidR="00EF15FD">
        <w:rPr>
          <w:bCs/>
          <w:sz w:val="24"/>
          <w:szCs w:val="24"/>
        </w:rPr>
        <w:t>@epa.gov</w:t>
      </w:r>
      <w:r w:rsidR="00EF15FD">
        <w:rPr>
          <w:sz w:val="24"/>
          <w:szCs w:val="24"/>
        </w:rPr>
        <w:t>.</w:t>
      </w:r>
    </w:p>
    <w:p w:rsidR="000F1673" w:rsidRDefault="007E7A35" w:rsidP="000F1673">
      <w:pPr>
        <w:spacing w:line="480" w:lineRule="auto"/>
        <w:rPr>
          <w:sz w:val="24"/>
          <w:szCs w:val="24"/>
        </w:rPr>
      </w:pPr>
      <w:r>
        <w:rPr>
          <w:b/>
          <w:bCs/>
          <w:sz w:val="24"/>
          <w:szCs w:val="24"/>
        </w:rPr>
        <w:t>SUPPLEMENTARY INFORMATION</w:t>
      </w:r>
      <w:r>
        <w:rPr>
          <w:sz w:val="24"/>
          <w:szCs w:val="24"/>
        </w:rPr>
        <w:t xml:space="preserve">:  </w:t>
      </w:r>
      <w:r w:rsidR="0066431E">
        <w:rPr>
          <w:sz w:val="24"/>
          <w:szCs w:val="24"/>
        </w:rPr>
        <w:t xml:space="preserve">Supporting documents which explain in detail the information that the EPA will be collecting are available in the public docket for this ICR. The docket can be viewed online at </w:t>
      </w:r>
      <w:r w:rsidR="0066431E" w:rsidRPr="00A14F5D">
        <w:rPr>
          <w:sz w:val="24"/>
          <w:szCs w:val="24"/>
        </w:rPr>
        <w:t>www.regulations.gov</w:t>
      </w:r>
      <w:r w:rsidR="0066431E">
        <w:rPr>
          <w:sz w:val="24"/>
          <w:szCs w:val="24"/>
        </w:rPr>
        <w:t xml:space="preserve"> or in person at the EPA Docket Center, </w:t>
      </w:r>
      <w:proofErr w:type="spellStart"/>
      <w:r w:rsidR="008973A2">
        <w:rPr>
          <w:sz w:val="24"/>
          <w:szCs w:val="24"/>
        </w:rPr>
        <w:t>WJC</w:t>
      </w:r>
      <w:proofErr w:type="spellEnd"/>
      <w:r w:rsidR="0066431E">
        <w:rPr>
          <w:sz w:val="24"/>
          <w:szCs w:val="24"/>
        </w:rPr>
        <w:t xml:space="preserve"> West, Room 3334, </w:t>
      </w:r>
      <w:proofErr w:type="gramStart"/>
      <w:r w:rsidR="0066431E">
        <w:rPr>
          <w:sz w:val="24"/>
          <w:szCs w:val="24"/>
        </w:rPr>
        <w:t>1301</w:t>
      </w:r>
      <w:proofErr w:type="gramEnd"/>
      <w:r w:rsidR="0066431E">
        <w:rPr>
          <w:sz w:val="24"/>
          <w:szCs w:val="24"/>
        </w:rPr>
        <w:t xml:space="preserve"> Constitution Ave., NW, Washington, DC. The telephone number for the Docket Center is 202-566-1744.  For additional information about EPA’s public docket, </w:t>
      </w:r>
      <w:r w:rsidR="0066431E" w:rsidRPr="00095AF6">
        <w:rPr>
          <w:sz w:val="24"/>
          <w:szCs w:val="24"/>
        </w:rPr>
        <w:t xml:space="preserve">visit </w:t>
      </w:r>
      <w:r w:rsidR="0066431E" w:rsidRPr="00C441FE">
        <w:rPr>
          <w:sz w:val="24"/>
          <w:szCs w:val="24"/>
        </w:rPr>
        <w:t>http://www.epa.gov/dockets</w:t>
      </w:r>
      <w:r w:rsidR="0066431E" w:rsidRPr="00095AF6">
        <w:rPr>
          <w:sz w:val="24"/>
          <w:szCs w:val="24"/>
        </w:rPr>
        <w:t>.</w:t>
      </w:r>
    </w:p>
    <w:p w:rsidR="007E7A35" w:rsidRDefault="007D343F" w:rsidP="007E7A35">
      <w:pPr>
        <w:spacing w:line="480" w:lineRule="auto"/>
        <w:rPr>
          <w:color w:val="008000"/>
          <w:sz w:val="24"/>
          <w:szCs w:val="24"/>
        </w:rPr>
      </w:pPr>
      <w:r w:rsidRPr="007D343F">
        <w:rPr>
          <w:bCs/>
          <w:i/>
          <w:sz w:val="24"/>
          <w:szCs w:val="24"/>
        </w:rPr>
        <w:t>Abstract</w:t>
      </w:r>
      <w:r w:rsidRPr="007D343F">
        <w:rPr>
          <w:i/>
          <w:sz w:val="24"/>
          <w:szCs w:val="24"/>
        </w:rPr>
        <w:t>:</w:t>
      </w:r>
      <w:r w:rsidR="007E7A35">
        <w:rPr>
          <w:color w:val="008000"/>
          <w:sz w:val="24"/>
          <w:szCs w:val="24"/>
        </w:rPr>
        <w:t xml:space="preserve"> </w:t>
      </w:r>
      <w:r w:rsidR="00EF15FD">
        <w:rPr>
          <w:sz w:val="24"/>
          <w:szCs w:val="24"/>
        </w:rPr>
        <w:t>Gasoline combustion results in the formation of engine deposits that contribute to increased emissions.  Detergent additives deter deposit formation.  The Clean Air Act requires gasoline to contain a detergent additive.  The regulations at 40 CFR part 80, subpart G specify certification requirements for manufacturers of detergent additives, recordkeeping and reporting requirements for blenders of detergents into gasoline or post-refinery component (any gasoline blending stock or any oxygenate which is blended with gasoline subsequent to the gasoline refining process), and recordkeeping and reporting requirements for manufacturers, transferors, or transferees of detergents, gasoline, or post-refinery component (PRC).  These requirements ensure that (1) a detergent is effective before it is certified by EPA, (2) a certified detergent, at the minimum concentration necessary to be effective (known as the lowest additive concentration (LAC)), is blended into gasoline, and (3) only gasoline which contains a certified detergent at its LAC is delivered to the consumer.  The EPA maintains a list of certified gasoline detergents, which is publicly available.</w:t>
      </w:r>
    </w:p>
    <w:p w:rsidR="00114A4C" w:rsidRPr="00EF15FD" w:rsidRDefault="00114A4C" w:rsidP="00114A4C">
      <w:pPr>
        <w:spacing w:line="480" w:lineRule="auto"/>
        <w:rPr>
          <w:bCs/>
          <w:sz w:val="24"/>
          <w:szCs w:val="24"/>
        </w:rPr>
      </w:pPr>
      <w:r w:rsidRPr="007D343F">
        <w:rPr>
          <w:bCs/>
          <w:i/>
          <w:sz w:val="24"/>
          <w:szCs w:val="24"/>
        </w:rPr>
        <w:t>Form Numbers:</w:t>
      </w:r>
      <w:r w:rsidR="00EF15FD">
        <w:rPr>
          <w:bCs/>
          <w:sz w:val="24"/>
          <w:szCs w:val="24"/>
        </w:rPr>
        <w:t xml:space="preserve"> None</w:t>
      </w:r>
    </w:p>
    <w:p w:rsidR="00EF15FD" w:rsidRDefault="007D343F" w:rsidP="00EF15FD">
      <w:pPr>
        <w:spacing w:line="480" w:lineRule="auto"/>
        <w:rPr>
          <w:sz w:val="24"/>
          <w:szCs w:val="24"/>
        </w:rPr>
      </w:pPr>
      <w:r w:rsidRPr="007D343F">
        <w:rPr>
          <w:i/>
          <w:sz w:val="24"/>
          <w:szCs w:val="24"/>
        </w:rPr>
        <w:t>Respondents/affected entities:</w:t>
      </w:r>
      <w:r w:rsidR="007E7A35">
        <w:rPr>
          <w:sz w:val="24"/>
          <w:szCs w:val="24"/>
        </w:rPr>
        <w:t xml:space="preserve"> </w:t>
      </w:r>
      <w:r w:rsidR="00EF15FD">
        <w:rPr>
          <w:sz w:val="24"/>
          <w:szCs w:val="24"/>
        </w:rPr>
        <w:t>Manufacturers, transferors and transferees, and blenders into gasoline or post-refinery component of detergent additives; and detergent additive researchers</w:t>
      </w:r>
      <w:r w:rsidR="00EF15FD">
        <w:rPr>
          <w:color w:val="0080FF"/>
          <w:sz w:val="24"/>
          <w:szCs w:val="24"/>
        </w:rPr>
        <w:t xml:space="preserve"> </w:t>
      </w:r>
    </w:p>
    <w:p w:rsidR="000B2475" w:rsidRDefault="000B2475" w:rsidP="000B2475">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sidR="00EF15FD">
        <w:rPr>
          <w:sz w:val="24"/>
          <w:szCs w:val="24"/>
        </w:rPr>
        <w:t xml:space="preserve"> Mandatory</w:t>
      </w:r>
    </w:p>
    <w:p w:rsidR="007E7A35" w:rsidRDefault="007D343F" w:rsidP="007E7A35">
      <w:pPr>
        <w:spacing w:line="480" w:lineRule="auto"/>
        <w:rPr>
          <w:sz w:val="24"/>
          <w:szCs w:val="24"/>
        </w:rPr>
      </w:pPr>
      <w:r w:rsidRPr="007D343F">
        <w:rPr>
          <w:i/>
          <w:sz w:val="24"/>
          <w:szCs w:val="24"/>
        </w:rPr>
        <w:t>Estimated number of respondents:</w:t>
      </w:r>
      <w:r w:rsidR="007E7A35">
        <w:rPr>
          <w:sz w:val="24"/>
          <w:szCs w:val="24"/>
        </w:rPr>
        <w:t xml:space="preserve"> </w:t>
      </w:r>
      <w:r w:rsidR="00EF15FD">
        <w:rPr>
          <w:sz w:val="24"/>
          <w:szCs w:val="24"/>
        </w:rPr>
        <w:t>1354</w:t>
      </w:r>
      <w:r w:rsidRPr="007D343F">
        <w:rPr>
          <w:color w:val="0000FF"/>
          <w:sz w:val="24"/>
          <w:szCs w:val="24"/>
        </w:rPr>
        <w:t xml:space="preserve"> </w:t>
      </w:r>
      <w:r w:rsidRPr="00114A4C">
        <w:rPr>
          <w:sz w:val="24"/>
          <w:szCs w:val="24"/>
        </w:rPr>
        <w:t>(total).</w:t>
      </w:r>
    </w:p>
    <w:p w:rsidR="007E7A35" w:rsidRDefault="007D343F" w:rsidP="007E7A35">
      <w:pPr>
        <w:spacing w:line="480" w:lineRule="auto"/>
        <w:rPr>
          <w:sz w:val="24"/>
          <w:szCs w:val="24"/>
        </w:rPr>
      </w:pPr>
      <w:r w:rsidRPr="007D343F">
        <w:rPr>
          <w:i/>
          <w:sz w:val="24"/>
          <w:szCs w:val="24"/>
        </w:rPr>
        <w:t>Frequency of response:</w:t>
      </w:r>
      <w:r w:rsidR="007E7A35">
        <w:rPr>
          <w:sz w:val="24"/>
          <w:szCs w:val="24"/>
        </w:rPr>
        <w:t xml:space="preserve"> </w:t>
      </w:r>
      <w:r w:rsidR="00EF15FD">
        <w:rPr>
          <w:sz w:val="24"/>
          <w:szCs w:val="24"/>
        </w:rPr>
        <w:t>Once, occasionally annually</w:t>
      </w:r>
    </w:p>
    <w:p w:rsidR="007E7A35" w:rsidRDefault="00126F3A" w:rsidP="00126F3A">
      <w:pPr>
        <w:spacing w:line="480" w:lineRule="auto"/>
        <w:rPr>
          <w:color w:val="0080FF"/>
          <w:sz w:val="24"/>
          <w:szCs w:val="24"/>
        </w:rPr>
      </w:pPr>
      <w:r>
        <w:rPr>
          <w:i/>
          <w:sz w:val="24"/>
          <w:szCs w:val="24"/>
        </w:rPr>
        <w:t xml:space="preserve">Total estimated </w:t>
      </w:r>
      <w:r w:rsidR="007D343F" w:rsidRPr="007D343F">
        <w:rPr>
          <w:i/>
          <w:sz w:val="24"/>
          <w:szCs w:val="24"/>
        </w:rPr>
        <w:t>burden:</w:t>
      </w:r>
      <w:r w:rsidR="007E7A35">
        <w:rPr>
          <w:sz w:val="24"/>
          <w:szCs w:val="24"/>
        </w:rPr>
        <w:t xml:space="preserve"> </w:t>
      </w:r>
      <w:r w:rsidR="00EF15FD">
        <w:rPr>
          <w:sz w:val="24"/>
          <w:szCs w:val="24"/>
        </w:rPr>
        <w:t>220,181</w:t>
      </w:r>
      <w:r w:rsidR="00EF15FD" w:rsidRPr="009926D8">
        <w:rPr>
          <w:b/>
          <w:color w:val="0000FF"/>
          <w:sz w:val="24"/>
          <w:szCs w:val="24"/>
        </w:rPr>
        <w:t xml:space="preserve"> </w:t>
      </w:r>
      <w:r w:rsidR="00114A4C">
        <w:rPr>
          <w:sz w:val="24"/>
          <w:szCs w:val="24"/>
        </w:rPr>
        <w:t xml:space="preserve">hours (per year). </w:t>
      </w:r>
      <w:r w:rsidR="007E7A35">
        <w:rPr>
          <w:color w:val="0080FF"/>
          <w:sz w:val="24"/>
          <w:szCs w:val="24"/>
        </w:rPr>
        <w:t xml:space="preserve"> </w:t>
      </w:r>
      <w:r>
        <w:rPr>
          <w:sz w:val="24"/>
          <w:szCs w:val="24"/>
        </w:rPr>
        <w:t>Burden is defined at 5 CFR 1320.03(b)</w:t>
      </w:r>
    </w:p>
    <w:p w:rsidR="007E7A35" w:rsidRDefault="00126F3A" w:rsidP="007E7A35">
      <w:pPr>
        <w:spacing w:line="480" w:lineRule="auto"/>
        <w:rPr>
          <w:color w:val="0080FF"/>
          <w:sz w:val="24"/>
          <w:szCs w:val="24"/>
        </w:rPr>
      </w:pPr>
      <w:r>
        <w:rPr>
          <w:sz w:val="24"/>
          <w:szCs w:val="24"/>
        </w:rPr>
        <w:t>T</w:t>
      </w:r>
      <w:r w:rsidR="007D343F" w:rsidRPr="007D343F">
        <w:rPr>
          <w:i/>
          <w:sz w:val="24"/>
          <w:szCs w:val="24"/>
        </w:rPr>
        <w:t xml:space="preserve">otal </w:t>
      </w:r>
      <w:r>
        <w:rPr>
          <w:i/>
          <w:sz w:val="24"/>
          <w:szCs w:val="24"/>
        </w:rPr>
        <w:t xml:space="preserve">estimated </w:t>
      </w:r>
      <w:r w:rsidR="007D343F" w:rsidRPr="007D343F">
        <w:rPr>
          <w:i/>
          <w:sz w:val="24"/>
          <w:szCs w:val="24"/>
        </w:rPr>
        <w:t>cost:</w:t>
      </w:r>
      <w:r w:rsidR="007E7A35">
        <w:rPr>
          <w:sz w:val="24"/>
          <w:szCs w:val="24"/>
        </w:rPr>
        <w:t xml:space="preserve"> </w:t>
      </w:r>
      <w:r w:rsidR="00EF15FD">
        <w:rPr>
          <w:sz w:val="24"/>
          <w:szCs w:val="24"/>
        </w:rPr>
        <w:t>$18,854,168 including $335,040 annualized capital or O&amp;M costs.</w:t>
      </w:r>
      <w:r w:rsidR="004B057E" w:rsidRPr="009926D8">
        <w:rPr>
          <w:b/>
          <w:color w:val="0000FF"/>
          <w:sz w:val="24"/>
          <w:szCs w:val="24"/>
        </w:rPr>
        <w:t xml:space="preserve"> </w:t>
      </w:r>
    </w:p>
    <w:p w:rsidR="007E7A35" w:rsidRDefault="007D343F" w:rsidP="007E7A35">
      <w:pPr>
        <w:spacing w:line="480" w:lineRule="auto"/>
        <w:rPr>
          <w:color w:val="0080FF"/>
          <w:sz w:val="24"/>
          <w:szCs w:val="24"/>
        </w:rPr>
      </w:pPr>
      <w:r w:rsidRPr="007D343F">
        <w:rPr>
          <w:i/>
          <w:sz w:val="24"/>
          <w:szCs w:val="24"/>
        </w:rPr>
        <w:t>Changes in the Estimates:</w:t>
      </w:r>
      <w:r w:rsidR="007E7A35">
        <w:rPr>
          <w:sz w:val="24"/>
          <w:szCs w:val="24"/>
        </w:rPr>
        <w:t xml:space="preserve"> </w:t>
      </w:r>
      <w:r w:rsidR="00EF15FD">
        <w:rPr>
          <w:sz w:val="24"/>
          <w:szCs w:val="24"/>
        </w:rPr>
        <w:t xml:space="preserve">There is </w:t>
      </w:r>
      <w:r w:rsidR="00EF15FD">
        <w:rPr>
          <w:sz w:val="24"/>
          <w:szCs w:val="24"/>
        </w:rPr>
        <w:t>no change</w:t>
      </w:r>
      <w:r w:rsidR="00EF15FD">
        <w:rPr>
          <w:sz w:val="24"/>
          <w:szCs w:val="24"/>
        </w:rPr>
        <w:t xml:space="preserve"> in the total estimated burden currently identified in the OMB Inventory of Approved ICR Burdens.  </w:t>
      </w:r>
    </w:p>
    <w:p w:rsidR="007E7A35" w:rsidRDefault="007E7A35" w:rsidP="007E7A35">
      <w:pPr>
        <w:spacing w:line="480" w:lineRule="auto"/>
        <w:rPr>
          <w:sz w:val="24"/>
          <w:szCs w:val="24"/>
        </w:rPr>
      </w:pPr>
      <w:r>
        <w:rPr>
          <w:sz w:val="24"/>
          <w:szCs w:val="24"/>
        </w:rPr>
        <w:t xml:space="preserve">Dated: </w:t>
      </w:r>
      <w:r w:rsidR="00114A4C">
        <w:rPr>
          <w:sz w:val="24"/>
          <w:szCs w:val="24"/>
        </w:rPr>
        <w:t>_____________________________________</w:t>
      </w:r>
    </w:p>
    <w:p w:rsidR="007E7A35" w:rsidRDefault="007E7A35" w:rsidP="007E7A35">
      <w:pPr>
        <w:rPr>
          <w:sz w:val="24"/>
          <w:szCs w:val="24"/>
        </w:rPr>
      </w:pPr>
      <w:r>
        <w:rPr>
          <w:sz w:val="24"/>
          <w:szCs w:val="24"/>
        </w:rPr>
        <w:t>_____________________________</w:t>
      </w:r>
      <w:r w:rsidR="00114A4C">
        <w:rPr>
          <w:sz w:val="24"/>
          <w:szCs w:val="24"/>
        </w:rPr>
        <w:t>______________</w:t>
      </w:r>
    </w:p>
    <w:p w:rsidR="000561BA" w:rsidRDefault="00EF15FD" w:rsidP="000561BA">
      <w:pPr>
        <w:rPr>
          <w:sz w:val="24"/>
          <w:szCs w:val="24"/>
          <w:lang w:val="en-CA"/>
        </w:rPr>
      </w:pPr>
      <w:r>
        <w:rPr>
          <w:sz w:val="24"/>
          <w:szCs w:val="24"/>
        </w:rPr>
        <w:t>Courtney Kerwin</w:t>
      </w:r>
      <w:r w:rsidR="007E7A35">
        <w:rPr>
          <w:sz w:val="24"/>
          <w:szCs w:val="24"/>
        </w:rPr>
        <w:t xml:space="preserve">, </w:t>
      </w:r>
      <w:r>
        <w:rPr>
          <w:sz w:val="24"/>
          <w:szCs w:val="24"/>
        </w:rPr>
        <w:t xml:space="preserve">Acting </w:t>
      </w:r>
      <w:r w:rsidR="007E7A35">
        <w:rPr>
          <w:sz w:val="24"/>
          <w:szCs w:val="24"/>
        </w:rPr>
        <w:t>Director, Collection Strategies Division.</w:t>
      </w:r>
    </w:p>
    <w:p w:rsidR="008956DF" w:rsidRDefault="008956DF" w:rsidP="000561BA">
      <w:pPr>
        <w:numPr>
          <w:ilvl w:val="12"/>
          <w:numId w:val="0"/>
        </w:numPr>
        <w:spacing w:line="480" w:lineRule="auto"/>
        <w:rPr>
          <w:color w:val="0080FF"/>
          <w:sz w:val="24"/>
          <w:szCs w:val="24"/>
        </w:rPr>
      </w:pPr>
    </w:p>
    <w:sectPr w:rsidR="008956DF" w:rsidSect="00B60CF6">
      <w:headerReference w:type="even" r:id="rId7"/>
      <w:headerReference w:type="default" r:id="rId8"/>
      <w:footerReference w:type="default" r:id="rId9"/>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D08" w:rsidRDefault="00EB1D08">
      <w:r>
        <w:separator/>
      </w:r>
    </w:p>
  </w:endnote>
  <w:endnote w:type="continuationSeparator" w:id="0">
    <w:p w:rsidR="00EB1D08" w:rsidRDefault="00EB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380D28" w:rsidP="00B60CF6">
    <w:pPr>
      <w:pStyle w:val="Footer"/>
      <w:jc w:val="center"/>
      <w:rPr>
        <w:szCs w:val="24"/>
      </w:rPr>
    </w:pPr>
  </w:p>
  <w:p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D08" w:rsidRDefault="00EB1D08">
      <w:r>
        <w:separator/>
      </w:r>
    </w:p>
  </w:footnote>
  <w:footnote w:type="continuationSeparator" w:id="0">
    <w:p w:rsidR="00EB1D08" w:rsidRDefault="00EB1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5228CB"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rsidR="00380D28" w:rsidRDefault="0038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5228CB"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separate"/>
    </w:r>
    <w:r w:rsidR="006A3BDE">
      <w:rPr>
        <w:rStyle w:val="PageNumber"/>
        <w:noProof/>
      </w:rPr>
      <w:t>3</w:t>
    </w:r>
    <w:r>
      <w:rPr>
        <w:rStyle w:val="PageNumber"/>
      </w:rPr>
      <w:fldChar w:fldCharType="end"/>
    </w:r>
  </w:p>
  <w:p w:rsidR="00380D28" w:rsidRDefault="00380D28">
    <w:pP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4C6DD4"/>
    <w:lvl w:ilvl="0">
      <w:numFmt w:val="bullet"/>
      <w:lvlText w:val="*"/>
      <w:lvlJc w:val="left"/>
    </w:lvl>
  </w:abstractNum>
  <w:abstractNum w:abstractNumId="1">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7"/>
    <w:rsid w:val="000339AB"/>
    <w:rsid w:val="000561BA"/>
    <w:rsid w:val="000631AA"/>
    <w:rsid w:val="0006418A"/>
    <w:rsid w:val="000744B3"/>
    <w:rsid w:val="000B175F"/>
    <w:rsid w:val="000B2475"/>
    <w:rsid w:val="000F1673"/>
    <w:rsid w:val="00114A4C"/>
    <w:rsid w:val="00123FB3"/>
    <w:rsid w:val="00126F3A"/>
    <w:rsid w:val="00142542"/>
    <w:rsid w:val="001B1E04"/>
    <w:rsid w:val="001B4BC2"/>
    <w:rsid w:val="001E46F0"/>
    <w:rsid w:val="002148C3"/>
    <w:rsid w:val="0023624C"/>
    <w:rsid w:val="002A6B35"/>
    <w:rsid w:val="002E0B51"/>
    <w:rsid w:val="002E2C1F"/>
    <w:rsid w:val="0032784D"/>
    <w:rsid w:val="00345EAA"/>
    <w:rsid w:val="0036517C"/>
    <w:rsid w:val="00372C19"/>
    <w:rsid w:val="00380D28"/>
    <w:rsid w:val="00386B83"/>
    <w:rsid w:val="00393477"/>
    <w:rsid w:val="003C3861"/>
    <w:rsid w:val="00437310"/>
    <w:rsid w:val="00440ACC"/>
    <w:rsid w:val="004573E7"/>
    <w:rsid w:val="004B057E"/>
    <w:rsid w:val="004C35C9"/>
    <w:rsid w:val="005228CB"/>
    <w:rsid w:val="00540CB0"/>
    <w:rsid w:val="00552A73"/>
    <w:rsid w:val="00645336"/>
    <w:rsid w:val="0066431E"/>
    <w:rsid w:val="0066537A"/>
    <w:rsid w:val="0067259F"/>
    <w:rsid w:val="0069201E"/>
    <w:rsid w:val="00694854"/>
    <w:rsid w:val="006A3BDE"/>
    <w:rsid w:val="006D2582"/>
    <w:rsid w:val="0072234D"/>
    <w:rsid w:val="00725701"/>
    <w:rsid w:val="00727254"/>
    <w:rsid w:val="00730E04"/>
    <w:rsid w:val="007328F6"/>
    <w:rsid w:val="007752B3"/>
    <w:rsid w:val="00793E8A"/>
    <w:rsid w:val="007B27FA"/>
    <w:rsid w:val="007C1576"/>
    <w:rsid w:val="007D343F"/>
    <w:rsid w:val="007D4CD2"/>
    <w:rsid w:val="007E7A35"/>
    <w:rsid w:val="007F40C4"/>
    <w:rsid w:val="00803922"/>
    <w:rsid w:val="008212C2"/>
    <w:rsid w:val="00822304"/>
    <w:rsid w:val="008956DF"/>
    <w:rsid w:val="00896240"/>
    <w:rsid w:val="008973A2"/>
    <w:rsid w:val="008E7034"/>
    <w:rsid w:val="009548E1"/>
    <w:rsid w:val="00964DD3"/>
    <w:rsid w:val="009926D8"/>
    <w:rsid w:val="00A006EA"/>
    <w:rsid w:val="00A12FE6"/>
    <w:rsid w:val="00A14F5D"/>
    <w:rsid w:val="00A876AA"/>
    <w:rsid w:val="00B3747E"/>
    <w:rsid w:val="00B45F53"/>
    <w:rsid w:val="00B55F25"/>
    <w:rsid w:val="00B60CF6"/>
    <w:rsid w:val="00B65DB1"/>
    <w:rsid w:val="00BA10F0"/>
    <w:rsid w:val="00BB3A71"/>
    <w:rsid w:val="00BB425E"/>
    <w:rsid w:val="00BD67EA"/>
    <w:rsid w:val="00C970E8"/>
    <w:rsid w:val="00CB3752"/>
    <w:rsid w:val="00CD610F"/>
    <w:rsid w:val="00D05149"/>
    <w:rsid w:val="00D1312F"/>
    <w:rsid w:val="00DA19C3"/>
    <w:rsid w:val="00DC47B6"/>
    <w:rsid w:val="00E44FAA"/>
    <w:rsid w:val="00EB1D08"/>
    <w:rsid w:val="00EC0180"/>
    <w:rsid w:val="00ED0168"/>
    <w:rsid w:val="00ED4701"/>
    <w:rsid w:val="00EF15FD"/>
    <w:rsid w:val="00F25772"/>
    <w:rsid w:val="00F45658"/>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A336C8-8571-4C9E-908C-76117D9E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21358">
      <w:bodyDiv w:val="1"/>
      <w:marLeft w:val="0"/>
      <w:marRight w:val="0"/>
      <w:marTop w:val="0"/>
      <w:marBottom w:val="0"/>
      <w:divBdr>
        <w:top w:val="none" w:sz="0" w:space="0" w:color="auto"/>
        <w:left w:val="none" w:sz="0" w:space="0" w:color="auto"/>
        <w:bottom w:val="none" w:sz="0" w:space="0" w:color="auto"/>
        <w:right w:val="none" w:sz="0" w:space="0" w:color="auto"/>
      </w:divBdr>
    </w:div>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666</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4830</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3</cp:revision>
  <cp:lastPrinted>2005-12-08T18:16:00Z</cp:lastPrinted>
  <dcterms:created xsi:type="dcterms:W3CDTF">2014-09-18T13:07:00Z</dcterms:created>
  <dcterms:modified xsi:type="dcterms:W3CDTF">2014-09-18T13:13:00Z</dcterms:modified>
</cp:coreProperties>
</file>