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48CA7" w14:textId="77777777" w:rsidR="00B3407F" w:rsidRPr="003E5045" w:rsidRDefault="00B3407F" w:rsidP="0092596C">
      <w:pPr>
        <w:spacing w:after="0" w:line="240" w:lineRule="auto"/>
        <w:jc w:val="center"/>
        <w:rPr>
          <w:rFonts w:ascii="Times New Roman" w:hAnsi="Times New Roman"/>
          <w:sz w:val="24"/>
          <w:szCs w:val="24"/>
        </w:rPr>
      </w:pPr>
      <w:r w:rsidRPr="003E5045">
        <w:rPr>
          <w:rFonts w:ascii="Times New Roman" w:hAnsi="Times New Roman"/>
          <w:sz w:val="24"/>
          <w:szCs w:val="24"/>
        </w:rPr>
        <w:t>Supporting Statement</w:t>
      </w:r>
    </w:p>
    <w:p w14:paraId="0C54A8A8" w14:textId="4E5AECB8" w:rsidR="00B3407F" w:rsidRPr="003E5045" w:rsidRDefault="00B3407F" w:rsidP="0092596C">
      <w:pPr>
        <w:spacing w:after="0" w:line="240" w:lineRule="auto"/>
        <w:jc w:val="center"/>
        <w:rPr>
          <w:rFonts w:ascii="Times New Roman" w:hAnsi="Times New Roman"/>
          <w:b/>
          <w:sz w:val="24"/>
          <w:szCs w:val="24"/>
        </w:rPr>
      </w:pPr>
      <w:r w:rsidRPr="003E5045">
        <w:rPr>
          <w:rFonts w:ascii="Times New Roman" w:hAnsi="Times New Roman"/>
          <w:b/>
          <w:sz w:val="24"/>
          <w:szCs w:val="24"/>
        </w:rPr>
        <w:t>FERC-725</w:t>
      </w:r>
      <w:r w:rsidR="00B25A0A">
        <w:rPr>
          <w:rFonts w:ascii="Times New Roman" w:hAnsi="Times New Roman"/>
          <w:b/>
          <w:sz w:val="24"/>
          <w:szCs w:val="24"/>
        </w:rPr>
        <w:t>X</w:t>
      </w:r>
      <w:r w:rsidRPr="003E5045">
        <w:rPr>
          <w:rFonts w:ascii="Times New Roman" w:hAnsi="Times New Roman"/>
          <w:b/>
          <w:sz w:val="24"/>
          <w:szCs w:val="24"/>
        </w:rPr>
        <w:t>, Mandatory Reliability Stand</w:t>
      </w:r>
      <w:bookmarkStart w:id="0" w:name="_GoBack"/>
      <w:bookmarkEnd w:id="0"/>
      <w:r w:rsidRPr="003E5045">
        <w:rPr>
          <w:rFonts w:ascii="Times New Roman" w:hAnsi="Times New Roman"/>
          <w:b/>
          <w:sz w:val="24"/>
          <w:szCs w:val="24"/>
        </w:rPr>
        <w:t>ards</w:t>
      </w:r>
      <w:r w:rsidR="006E33D4" w:rsidRPr="003E5045">
        <w:rPr>
          <w:rFonts w:ascii="Times New Roman" w:hAnsi="Times New Roman"/>
          <w:b/>
          <w:sz w:val="24"/>
          <w:szCs w:val="24"/>
        </w:rPr>
        <w:t xml:space="preserve">: </w:t>
      </w:r>
      <w:r w:rsidR="00B25A0A">
        <w:rPr>
          <w:rFonts w:ascii="Times New Roman" w:hAnsi="Times New Roman"/>
          <w:b/>
          <w:sz w:val="24"/>
          <w:szCs w:val="24"/>
        </w:rPr>
        <w:t>Voltage and Reactive (VAR) Standards</w:t>
      </w:r>
      <w:r w:rsidR="00C71EE2">
        <w:rPr>
          <w:rFonts w:ascii="Times New Roman" w:hAnsi="Times New Roman"/>
          <w:b/>
          <w:sz w:val="24"/>
          <w:szCs w:val="24"/>
        </w:rPr>
        <w:t xml:space="preserve"> and FERC-725A, Mandatory Reliability Standards for the Bulk-Power System</w:t>
      </w:r>
    </w:p>
    <w:p w14:paraId="1BA2EBEC" w14:textId="38B9511B" w:rsidR="00B3407F" w:rsidRPr="003E5045" w:rsidRDefault="00B25A0A" w:rsidP="0092596C">
      <w:pPr>
        <w:spacing w:after="0" w:line="240" w:lineRule="auto"/>
        <w:jc w:val="center"/>
        <w:rPr>
          <w:rFonts w:ascii="Times New Roman" w:hAnsi="Times New Roman"/>
          <w:sz w:val="24"/>
          <w:szCs w:val="24"/>
        </w:rPr>
      </w:pPr>
      <w:r>
        <w:rPr>
          <w:rFonts w:ascii="Times New Roman" w:hAnsi="Times New Roman"/>
          <w:sz w:val="24"/>
          <w:szCs w:val="24"/>
        </w:rPr>
        <w:t>As modified by the Letter Order in Docket No. RD14-11</w:t>
      </w:r>
    </w:p>
    <w:p w14:paraId="54417468" w14:textId="77777777" w:rsidR="00FD66F1" w:rsidRPr="003E5045" w:rsidRDefault="00FD66F1" w:rsidP="0092596C">
      <w:pPr>
        <w:spacing w:after="0" w:line="240" w:lineRule="auto"/>
        <w:rPr>
          <w:rFonts w:ascii="Times New Roman" w:hAnsi="Times New Roman" w:cs="Times New Roman"/>
          <w:sz w:val="24"/>
          <w:szCs w:val="24"/>
        </w:rPr>
      </w:pPr>
    </w:p>
    <w:p w14:paraId="6E1B920B" w14:textId="3BBD0584" w:rsidR="00333EE2" w:rsidRDefault="00333EE2" w:rsidP="00333EE2">
      <w:pPr>
        <w:spacing w:after="0" w:line="240" w:lineRule="auto"/>
        <w:rPr>
          <w:rFonts w:ascii="Times New Roman" w:hAnsi="Times New Roman" w:cs="Times New Roman"/>
          <w:sz w:val="24"/>
          <w:szCs w:val="24"/>
        </w:rPr>
      </w:pPr>
      <w:proofErr w:type="gramStart"/>
      <w:r w:rsidRPr="003E5045">
        <w:rPr>
          <w:rFonts w:ascii="Times New Roman" w:hAnsi="Times New Roman" w:cs="Times New Roman"/>
          <w:sz w:val="24"/>
          <w:szCs w:val="24"/>
        </w:rPr>
        <w:t xml:space="preserve">In </w:t>
      </w:r>
      <w:r w:rsidR="007A7A19" w:rsidRPr="003E5045">
        <w:rPr>
          <w:rFonts w:ascii="Times New Roman" w:hAnsi="Times New Roman" w:cs="Times New Roman"/>
          <w:sz w:val="24"/>
          <w:szCs w:val="24"/>
        </w:rPr>
        <w:t xml:space="preserve">Docket </w:t>
      </w:r>
      <w:r w:rsidR="00B25A0A">
        <w:rPr>
          <w:rFonts w:ascii="Times New Roman" w:hAnsi="Times New Roman" w:cs="Times New Roman"/>
          <w:sz w:val="24"/>
          <w:szCs w:val="24"/>
        </w:rPr>
        <w:t>No.</w:t>
      </w:r>
      <w:proofErr w:type="gramEnd"/>
      <w:r w:rsidR="00B25A0A">
        <w:rPr>
          <w:rFonts w:ascii="Times New Roman" w:hAnsi="Times New Roman" w:cs="Times New Roman"/>
          <w:sz w:val="24"/>
          <w:szCs w:val="24"/>
        </w:rPr>
        <w:t xml:space="preserve"> RD14-11</w:t>
      </w:r>
      <w:r w:rsidR="005B4642" w:rsidRPr="003E5045">
        <w:rPr>
          <w:rFonts w:ascii="Times New Roman" w:hAnsi="Times New Roman" w:cs="Times New Roman"/>
          <w:sz w:val="24"/>
          <w:szCs w:val="24"/>
        </w:rPr>
        <w:t xml:space="preserve"> </w:t>
      </w:r>
      <w:r w:rsidR="007A7A19" w:rsidRPr="003E5045">
        <w:rPr>
          <w:rFonts w:ascii="Times New Roman" w:hAnsi="Times New Roman" w:cs="Times New Roman"/>
          <w:sz w:val="24"/>
          <w:szCs w:val="24"/>
        </w:rPr>
        <w:t>the Commission approve</w:t>
      </w:r>
      <w:r w:rsidR="00B25A0A">
        <w:rPr>
          <w:rFonts w:ascii="Times New Roman" w:hAnsi="Times New Roman" w:cs="Times New Roman"/>
          <w:sz w:val="24"/>
          <w:szCs w:val="24"/>
        </w:rPr>
        <w:t>d</w:t>
      </w:r>
      <w:r w:rsidR="007A7A19" w:rsidRPr="003E5045">
        <w:rPr>
          <w:rFonts w:ascii="Times New Roman" w:hAnsi="Times New Roman" w:cs="Times New Roman"/>
          <w:sz w:val="24"/>
          <w:szCs w:val="24"/>
        </w:rPr>
        <w:t xml:space="preserve"> Reliability Standard</w:t>
      </w:r>
      <w:r w:rsidR="00B25A0A">
        <w:rPr>
          <w:rFonts w:ascii="Times New Roman" w:hAnsi="Times New Roman" w:cs="Times New Roman"/>
          <w:sz w:val="24"/>
          <w:szCs w:val="24"/>
        </w:rPr>
        <w:t>s</w:t>
      </w:r>
      <w:r w:rsidR="007A7A19" w:rsidRPr="003E5045">
        <w:rPr>
          <w:rFonts w:ascii="Times New Roman" w:hAnsi="Times New Roman" w:cs="Times New Roman"/>
          <w:sz w:val="24"/>
          <w:szCs w:val="24"/>
        </w:rPr>
        <w:t xml:space="preserve"> </w:t>
      </w:r>
      <w:r w:rsidR="00A65959">
        <w:rPr>
          <w:rFonts w:ascii="Times New Roman" w:hAnsi="Times New Roman" w:cs="Times New Roman"/>
          <w:sz w:val="24"/>
          <w:szCs w:val="24"/>
        </w:rPr>
        <w:t>VAR-001-4 and VAR-002-3</w:t>
      </w:r>
      <w:r w:rsidR="00F26F6E" w:rsidRPr="002360D0">
        <w:rPr>
          <w:rStyle w:val="FootnoteReference"/>
          <w:rFonts w:ascii="Times New Roman" w:hAnsi="Times New Roman" w:cs="Times New Roman"/>
          <w:sz w:val="24"/>
          <w:szCs w:val="24"/>
          <w:vertAlign w:val="superscript"/>
        </w:rPr>
        <w:footnoteReference w:id="1"/>
      </w:r>
      <w:r w:rsidR="00CD7540" w:rsidRPr="003E5045">
        <w:rPr>
          <w:rFonts w:ascii="Times New Roman" w:hAnsi="Times New Roman" w:cs="Times New Roman"/>
          <w:sz w:val="24"/>
          <w:szCs w:val="24"/>
        </w:rPr>
        <w:t>.</w:t>
      </w:r>
      <w:r w:rsidR="007A7A19" w:rsidRPr="003E5045">
        <w:rPr>
          <w:rFonts w:ascii="Times New Roman" w:hAnsi="Times New Roman" w:cs="Times New Roman"/>
          <w:sz w:val="24"/>
          <w:szCs w:val="24"/>
        </w:rPr>
        <w:t xml:space="preserve"> </w:t>
      </w:r>
      <w:r w:rsidR="00CD7540" w:rsidRPr="003E5045">
        <w:rPr>
          <w:rFonts w:ascii="Times New Roman" w:hAnsi="Times New Roman" w:cs="Times New Roman"/>
          <w:sz w:val="24"/>
          <w:szCs w:val="24"/>
        </w:rPr>
        <w:t xml:space="preserve"> The North American Electric Reliability Corporation (NERC), the Commission-certified Electric Reliability Organization (ERO), submitted the proposed Reliability Standard</w:t>
      </w:r>
      <w:r w:rsidR="00A65959">
        <w:rPr>
          <w:rFonts w:ascii="Times New Roman" w:hAnsi="Times New Roman" w:cs="Times New Roman"/>
          <w:sz w:val="24"/>
          <w:szCs w:val="24"/>
        </w:rPr>
        <w:t>s</w:t>
      </w:r>
      <w:r w:rsidR="00CD7540" w:rsidRPr="003E5045">
        <w:rPr>
          <w:rFonts w:ascii="Times New Roman" w:hAnsi="Times New Roman" w:cs="Times New Roman"/>
          <w:sz w:val="24"/>
          <w:szCs w:val="24"/>
        </w:rPr>
        <w:t xml:space="preserve"> for Commission approval</w:t>
      </w:r>
      <w:r w:rsidR="00A65959">
        <w:rPr>
          <w:rFonts w:ascii="Times New Roman" w:hAnsi="Times New Roman" w:cs="Times New Roman"/>
          <w:sz w:val="24"/>
          <w:szCs w:val="24"/>
        </w:rPr>
        <w:t>.</w:t>
      </w:r>
      <w:r w:rsidR="00CD7540" w:rsidRPr="003E5045">
        <w:rPr>
          <w:rFonts w:ascii="Times New Roman" w:hAnsi="Times New Roman" w:cs="Times New Roman"/>
          <w:sz w:val="24"/>
          <w:szCs w:val="24"/>
        </w:rPr>
        <w:t xml:space="preserve">  The Reliability Standard</w:t>
      </w:r>
      <w:r w:rsidR="00A65959">
        <w:rPr>
          <w:rFonts w:ascii="Times New Roman" w:hAnsi="Times New Roman" w:cs="Times New Roman"/>
          <w:sz w:val="24"/>
          <w:szCs w:val="24"/>
        </w:rPr>
        <w:t>s</w:t>
      </w:r>
      <w:r w:rsidR="00CD7540" w:rsidRPr="003E5045">
        <w:rPr>
          <w:rFonts w:ascii="Times New Roman" w:hAnsi="Times New Roman" w:cs="Times New Roman"/>
          <w:sz w:val="24"/>
          <w:szCs w:val="24"/>
        </w:rPr>
        <w:t xml:space="preserve"> </w:t>
      </w:r>
      <w:r w:rsidR="00A65959">
        <w:rPr>
          <w:rFonts w:ascii="Times New Roman" w:hAnsi="Times New Roman" w:cs="Times New Roman"/>
          <w:sz w:val="24"/>
          <w:szCs w:val="24"/>
        </w:rPr>
        <w:t>are</w:t>
      </w:r>
      <w:r w:rsidR="00A65959" w:rsidRPr="00A65959">
        <w:rPr>
          <w:rFonts w:ascii="Times New Roman" w:hAnsi="Times New Roman" w:cs="Times New Roman"/>
          <w:sz w:val="24"/>
          <w:szCs w:val="24"/>
        </w:rPr>
        <w:t xml:space="preserve"> designed to prevent voltage instability and voltage collapse on the Bulk-Power System.</w:t>
      </w:r>
    </w:p>
    <w:p w14:paraId="2E0D4C4D" w14:textId="77777777" w:rsidR="005F5621" w:rsidRDefault="005F5621" w:rsidP="00333EE2">
      <w:pPr>
        <w:spacing w:after="0" w:line="240" w:lineRule="auto"/>
        <w:rPr>
          <w:rFonts w:ascii="Times New Roman" w:hAnsi="Times New Roman" w:cs="Times New Roman"/>
          <w:sz w:val="24"/>
          <w:szCs w:val="24"/>
        </w:rPr>
      </w:pPr>
    </w:p>
    <w:p w14:paraId="4F34F505" w14:textId="1B3A3241" w:rsidR="005F5621" w:rsidRDefault="005F5621" w:rsidP="00333EE2">
      <w:pPr>
        <w:spacing w:after="0" w:line="240" w:lineRule="auto"/>
        <w:rPr>
          <w:rFonts w:ascii="Times New Roman" w:hAnsi="Times New Roman" w:cs="Times New Roman"/>
          <w:sz w:val="24"/>
          <w:szCs w:val="24"/>
        </w:rPr>
      </w:pPr>
      <w:r w:rsidRPr="005F5621">
        <w:rPr>
          <w:rFonts w:ascii="Times New Roman" w:hAnsi="Times New Roman" w:cs="Times New Roman"/>
          <w:sz w:val="24"/>
          <w:szCs w:val="24"/>
        </w:rPr>
        <w:t xml:space="preserve">Commission staff analyzed the proposed and currently enforced </w:t>
      </w:r>
      <w:r>
        <w:rPr>
          <w:rFonts w:ascii="Times New Roman" w:hAnsi="Times New Roman" w:cs="Times New Roman"/>
          <w:sz w:val="24"/>
          <w:szCs w:val="24"/>
        </w:rPr>
        <w:t>VAR</w:t>
      </w:r>
      <w:r w:rsidR="00B44D64">
        <w:rPr>
          <w:rFonts w:ascii="Times New Roman" w:hAnsi="Times New Roman" w:cs="Times New Roman"/>
          <w:sz w:val="24"/>
          <w:szCs w:val="24"/>
        </w:rPr>
        <w:t xml:space="preserve"> (Voltage and Reactive)</w:t>
      </w:r>
      <w:r>
        <w:rPr>
          <w:rFonts w:ascii="Times New Roman" w:hAnsi="Times New Roman" w:cs="Times New Roman"/>
          <w:sz w:val="24"/>
          <w:szCs w:val="24"/>
        </w:rPr>
        <w:t xml:space="preserve"> </w:t>
      </w:r>
      <w:r w:rsidRPr="005F5621">
        <w:rPr>
          <w:rFonts w:ascii="Times New Roman" w:hAnsi="Times New Roman" w:cs="Times New Roman"/>
          <w:sz w:val="24"/>
          <w:szCs w:val="24"/>
        </w:rPr>
        <w:t>standards and has concluded that while information collection requirements have been deleted, added, and/or changed, the overall paperwork burden and applicable respondent universe r</w:t>
      </w:r>
      <w:r w:rsidR="00B44D64">
        <w:rPr>
          <w:rFonts w:ascii="Times New Roman" w:hAnsi="Times New Roman" w:cs="Times New Roman"/>
          <w:sz w:val="24"/>
          <w:szCs w:val="24"/>
        </w:rPr>
        <w:t xml:space="preserve">emains </w:t>
      </w:r>
      <w:r w:rsidR="00B44D64" w:rsidRPr="003709E8">
        <w:rPr>
          <w:rFonts w:ascii="Times New Roman" w:hAnsi="Times New Roman" w:cs="Times New Roman"/>
          <w:sz w:val="24"/>
          <w:szCs w:val="24"/>
        </w:rPr>
        <w:t>unchanged</w:t>
      </w:r>
      <w:r w:rsidR="00B44D64" w:rsidRPr="002360D0">
        <w:rPr>
          <w:rFonts w:ascii="Times New Roman" w:hAnsi="Times New Roman" w:cs="Times New Roman"/>
          <w:sz w:val="24"/>
          <w:szCs w:val="24"/>
        </w:rPr>
        <w:t xml:space="preserve">.  However, to better account for </w:t>
      </w:r>
      <w:r w:rsidR="00691674" w:rsidRPr="002360D0">
        <w:rPr>
          <w:rFonts w:ascii="Times New Roman" w:hAnsi="Times New Roman" w:cs="Times New Roman"/>
          <w:sz w:val="24"/>
          <w:szCs w:val="24"/>
        </w:rPr>
        <w:t xml:space="preserve">current and future </w:t>
      </w:r>
      <w:r w:rsidR="00B44D64" w:rsidRPr="002360D0">
        <w:rPr>
          <w:rFonts w:ascii="Times New Roman" w:hAnsi="Times New Roman" w:cs="Times New Roman"/>
          <w:sz w:val="24"/>
          <w:szCs w:val="24"/>
        </w:rPr>
        <w:t>changes</w:t>
      </w:r>
      <w:r w:rsidR="00691674" w:rsidRPr="002360D0">
        <w:rPr>
          <w:rFonts w:ascii="Times New Roman" w:hAnsi="Times New Roman" w:cs="Times New Roman"/>
          <w:sz w:val="24"/>
          <w:szCs w:val="24"/>
        </w:rPr>
        <w:t xml:space="preserve"> to VAR standards</w:t>
      </w:r>
      <w:r w:rsidR="00AB79CF" w:rsidRPr="002360D0">
        <w:rPr>
          <w:rFonts w:ascii="Times New Roman" w:hAnsi="Times New Roman" w:cs="Times New Roman"/>
          <w:sz w:val="24"/>
          <w:szCs w:val="24"/>
        </w:rPr>
        <w:t>,</w:t>
      </w:r>
      <w:r w:rsidR="00B44D64" w:rsidRPr="002360D0">
        <w:rPr>
          <w:rFonts w:ascii="Times New Roman" w:hAnsi="Times New Roman" w:cs="Times New Roman"/>
          <w:sz w:val="24"/>
          <w:szCs w:val="24"/>
        </w:rPr>
        <w:t xml:space="preserve"> the </w:t>
      </w:r>
      <w:r w:rsidRPr="002360D0">
        <w:rPr>
          <w:rFonts w:ascii="Times New Roman" w:hAnsi="Times New Roman" w:cs="Times New Roman"/>
          <w:sz w:val="24"/>
          <w:szCs w:val="24"/>
        </w:rPr>
        <w:t xml:space="preserve">Commission </w:t>
      </w:r>
      <w:r w:rsidR="003B7A86" w:rsidRPr="002360D0">
        <w:rPr>
          <w:rFonts w:ascii="Times New Roman" w:hAnsi="Times New Roman" w:cs="Times New Roman"/>
          <w:sz w:val="24"/>
          <w:szCs w:val="24"/>
        </w:rPr>
        <w:t xml:space="preserve">is submitting </w:t>
      </w:r>
      <w:r w:rsidRPr="002360D0">
        <w:rPr>
          <w:rFonts w:ascii="Times New Roman" w:hAnsi="Times New Roman" w:cs="Times New Roman"/>
          <w:sz w:val="24"/>
          <w:szCs w:val="24"/>
        </w:rPr>
        <w:t>a request for approval</w:t>
      </w:r>
      <w:r w:rsidR="00B44D64" w:rsidRPr="002360D0">
        <w:rPr>
          <w:rFonts w:ascii="Times New Roman" w:hAnsi="Times New Roman" w:cs="Times New Roman"/>
          <w:sz w:val="24"/>
          <w:szCs w:val="24"/>
        </w:rPr>
        <w:t xml:space="preserve"> to remove burden hours from FERC-725A</w:t>
      </w:r>
      <w:r w:rsidR="00F26F6E" w:rsidRPr="002360D0">
        <w:rPr>
          <w:rStyle w:val="FootnoteReference"/>
          <w:rFonts w:ascii="Times New Roman" w:hAnsi="Times New Roman" w:cs="Times New Roman"/>
          <w:sz w:val="24"/>
          <w:szCs w:val="24"/>
          <w:vertAlign w:val="superscript"/>
        </w:rPr>
        <w:footnoteReference w:id="2"/>
      </w:r>
      <w:r w:rsidR="00B44D64" w:rsidRPr="002360D0">
        <w:rPr>
          <w:rFonts w:ascii="Times New Roman" w:hAnsi="Times New Roman" w:cs="Times New Roman"/>
          <w:sz w:val="24"/>
          <w:szCs w:val="24"/>
        </w:rPr>
        <w:t>, where the information collec</w:t>
      </w:r>
      <w:r w:rsidR="00AB79CF" w:rsidRPr="002360D0">
        <w:rPr>
          <w:rFonts w:ascii="Times New Roman" w:hAnsi="Times New Roman" w:cs="Times New Roman"/>
          <w:sz w:val="24"/>
          <w:szCs w:val="24"/>
        </w:rPr>
        <w:t xml:space="preserve">tion requirement </w:t>
      </w:r>
      <w:r w:rsidR="00691674" w:rsidRPr="002360D0">
        <w:rPr>
          <w:rFonts w:ascii="Times New Roman" w:hAnsi="Times New Roman" w:cs="Times New Roman"/>
          <w:sz w:val="24"/>
          <w:szCs w:val="24"/>
        </w:rPr>
        <w:t xml:space="preserve">for the VAR standards </w:t>
      </w:r>
      <w:r w:rsidR="00B44D64" w:rsidRPr="002360D0">
        <w:rPr>
          <w:rFonts w:ascii="Times New Roman" w:hAnsi="Times New Roman" w:cs="Times New Roman"/>
          <w:sz w:val="24"/>
          <w:szCs w:val="24"/>
        </w:rPr>
        <w:t xml:space="preserve">currently </w:t>
      </w:r>
      <w:r w:rsidR="00691674" w:rsidRPr="002360D0">
        <w:rPr>
          <w:rFonts w:ascii="Times New Roman" w:hAnsi="Times New Roman" w:cs="Times New Roman"/>
          <w:sz w:val="24"/>
          <w:szCs w:val="24"/>
        </w:rPr>
        <w:t>reside</w:t>
      </w:r>
      <w:r w:rsidR="00B44D64" w:rsidRPr="002360D0">
        <w:rPr>
          <w:rFonts w:ascii="Times New Roman" w:hAnsi="Times New Roman" w:cs="Times New Roman"/>
          <w:sz w:val="24"/>
          <w:szCs w:val="24"/>
        </w:rPr>
        <w:t xml:space="preserve"> and to add the same amount of burden hours</w:t>
      </w:r>
      <w:r w:rsidR="003B7A86" w:rsidRPr="002360D0">
        <w:rPr>
          <w:rFonts w:ascii="Times New Roman" w:hAnsi="Times New Roman" w:cs="Times New Roman"/>
          <w:sz w:val="24"/>
          <w:szCs w:val="24"/>
        </w:rPr>
        <w:t xml:space="preserve"> to</w:t>
      </w:r>
      <w:r w:rsidR="00B44D64" w:rsidRPr="002360D0">
        <w:rPr>
          <w:rFonts w:ascii="Times New Roman" w:hAnsi="Times New Roman" w:cs="Times New Roman"/>
          <w:sz w:val="24"/>
          <w:szCs w:val="24"/>
        </w:rPr>
        <w:t xml:space="preserve"> a new collection, FERC-725X, where the Commission intends to eventually account for all the paperwork burden related to </w:t>
      </w:r>
      <w:r w:rsidR="00691674" w:rsidRPr="002360D0">
        <w:rPr>
          <w:rFonts w:ascii="Times New Roman" w:hAnsi="Times New Roman" w:cs="Times New Roman"/>
          <w:sz w:val="24"/>
          <w:szCs w:val="24"/>
        </w:rPr>
        <w:t>current and future</w:t>
      </w:r>
      <w:r w:rsidR="00B44D64" w:rsidRPr="002360D0">
        <w:rPr>
          <w:rFonts w:ascii="Times New Roman" w:hAnsi="Times New Roman" w:cs="Times New Roman"/>
          <w:sz w:val="24"/>
          <w:szCs w:val="24"/>
        </w:rPr>
        <w:t xml:space="preserve"> VAR standards.</w:t>
      </w:r>
      <w:r w:rsidR="003709E8">
        <w:rPr>
          <w:rFonts w:ascii="Times New Roman" w:hAnsi="Times New Roman" w:cs="Times New Roman"/>
          <w:sz w:val="24"/>
          <w:szCs w:val="24"/>
        </w:rPr>
        <w:t xml:space="preserve">  FERC-725A will still retain reliability standards that resulted from Order 693</w:t>
      </w:r>
      <w:r w:rsidR="00FC7FB6" w:rsidRPr="002360D0">
        <w:rPr>
          <w:rStyle w:val="FootnoteReference"/>
          <w:rFonts w:ascii="Times New Roman" w:hAnsi="Times New Roman" w:cs="Times New Roman"/>
          <w:sz w:val="24"/>
          <w:szCs w:val="24"/>
          <w:vertAlign w:val="superscript"/>
        </w:rPr>
        <w:footnoteReference w:id="3"/>
      </w:r>
      <w:r w:rsidR="003709E8" w:rsidRPr="002360D0">
        <w:rPr>
          <w:rFonts w:ascii="Times New Roman" w:hAnsi="Times New Roman" w:cs="Times New Roman"/>
          <w:sz w:val="24"/>
          <w:szCs w:val="24"/>
          <w:vertAlign w:val="superscript"/>
        </w:rPr>
        <w:t xml:space="preserve"> </w:t>
      </w:r>
      <w:r w:rsidR="003709E8">
        <w:rPr>
          <w:rFonts w:ascii="Times New Roman" w:hAnsi="Times New Roman" w:cs="Times New Roman"/>
          <w:sz w:val="24"/>
          <w:szCs w:val="24"/>
        </w:rPr>
        <w:t>that have not yet been moved to other, more specific collections.</w:t>
      </w:r>
      <w:r w:rsidR="00431E3E">
        <w:rPr>
          <w:rFonts w:ascii="Times New Roman" w:hAnsi="Times New Roman" w:cs="Times New Roman"/>
          <w:sz w:val="24"/>
          <w:szCs w:val="24"/>
        </w:rPr>
        <w:t xml:space="preserve">  </w:t>
      </w:r>
    </w:p>
    <w:p w14:paraId="32BEAF27" w14:textId="77777777" w:rsidR="0002242D" w:rsidRPr="003E5045" w:rsidRDefault="0002242D" w:rsidP="0092596C">
      <w:pPr>
        <w:spacing w:after="0" w:line="240" w:lineRule="auto"/>
        <w:rPr>
          <w:rFonts w:ascii="Times New Roman" w:hAnsi="Times New Roman" w:cs="Times New Roman"/>
          <w:sz w:val="24"/>
          <w:szCs w:val="24"/>
        </w:rPr>
      </w:pPr>
    </w:p>
    <w:p w14:paraId="58522815" w14:textId="77777777" w:rsidR="00A72E7B" w:rsidRPr="003E5045" w:rsidRDefault="00A72E7B"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CIRCUMSTANCES THAT MAKE THE COLLECTION OF INFORMATION NECESSARY</w:t>
      </w:r>
    </w:p>
    <w:p w14:paraId="62D8A151" w14:textId="77777777" w:rsidR="00A72E7B" w:rsidRPr="003E5045" w:rsidRDefault="00A72E7B" w:rsidP="0092596C">
      <w:pPr>
        <w:spacing w:after="0" w:line="240" w:lineRule="auto"/>
        <w:rPr>
          <w:rFonts w:ascii="Times New Roman" w:hAnsi="Times New Roman" w:cs="Times New Roman"/>
          <w:sz w:val="24"/>
          <w:szCs w:val="24"/>
        </w:rPr>
      </w:pPr>
    </w:p>
    <w:p w14:paraId="2BB18BA6" w14:textId="77777777" w:rsidR="00DF401D" w:rsidRPr="003E5045" w:rsidRDefault="00DF401D" w:rsidP="0092596C">
      <w:pPr>
        <w:pStyle w:val="FERCparanumber"/>
        <w:widowControl/>
        <w:numPr>
          <w:ilvl w:val="0"/>
          <w:numId w:val="0"/>
        </w:numPr>
        <w:spacing w:line="240" w:lineRule="auto"/>
        <w:rPr>
          <w:sz w:val="24"/>
        </w:rPr>
      </w:pPr>
      <w:r w:rsidRPr="003E5045">
        <w:rPr>
          <w:sz w:val="24"/>
        </w:rPr>
        <w:t>On August 8, 2005, The Electricity Modernization Act of 2005, which is Title XII of the Energy Policy Act of 2005 (</w:t>
      </w:r>
      <w:proofErr w:type="spellStart"/>
      <w:r w:rsidRPr="003E5045">
        <w:rPr>
          <w:sz w:val="24"/>
        </w:rPr>
        <w:t>EPAct</w:t>
      </w:r>
      <w:proofErr w:type="spellEnd"/>
      <w:r w:rsidRPr="003E5045">
        <w:rPr>
          <w:sz w:val="24"/>
        </w:rPr>
        <w:t xml:space="preserve"> 2005), was enacted into law.</w:t>
      </w:r>
      <w:r w:rsidRPr="003E5045">
        <w:rPr>
          <w:rStyle w:val="FootnoteReference"/>
          <w:sz w:val="24"/>
          <w:vertAlign w:val="superscript"/>
        </w:rPr>
        <w:footnoteReference w:id="4"/>
      </w:r>
      <w:r w:rsidRPr="003E5045">
        <w:rPr>
          <w:sz w:val="24"/>
        </w:rPr>
        <w:t xml:space="preserve">  </w:t>
      </w:r>
      <w:proofErr w:type="spellStart"/>
      <w:r w:rsidRPr="003E5045">
        <w:rPr>
          <w:sz w:val="24"/>
        </w:rPr>
        <w:t>EPAct</w:t>
      </w:r>
      <w:proofErr w:type="spellEnd"/>
      <w:r w:rsidRPr="003E5045">
        <w:rPr>
          <w:sz w:val="24"/>
        </w:rPr>
        <w:t xml:space="preserve"> 2005 added a new section 215 to the Federal Power Act (FPA), which requires a Commission-certified Electric Reliability Organization (ERO) to develop mandatory and enforceable Reliability Standards, which are subject to Commission review and approval.  Once approved</w:t>
      </w:r>
      <w:r w:rsidR="0081469B" w:rsidRPr="003E5045">
        <w:rPr>
          <w:sz w:val="24"/>
        </w:rPr>
        <w:t>,</w:t>
      </w:r>
      <w:r w:rsidRPr="003E5045">
        <w:rPr>
          <w:sz w:val="24"/>
        </w:rPr>
        <w:t xml:space="preserve"> the Reliability Standards m</w:t>
      </w:r>
      <w:r w:rsidR="00F9136F" w:rsidRPr="003E5045">
        <w:rPr>
          <w:sz w:val="24"/>
        </w:rPr>
        <w:t>ust</w:t>
      </w:r>
      <w:r w:rsidRPr="003E5045">
        <w:rPr>
          <w:sz w:val="24"/>
        </w:rPr>
        <w:t xml:space="preserve"> be enforced by the ERO, s</w:t>
      </w:r>
      <w:r w:rsidR="003E5045" w:rsidRPr="003E5045">
        <w:rPr>
          <w:sz w:val="24"/>
        </w:rPr>
        <w:t xml:space="preserve">ubject to Commission oversight.  The Commission implements section 215 in 18 CFR 40.  </w:t>
      </w:r>
    </w:p>
    <w:p w14:paraId="2F3CC003" w14:textId="77777777" w:rsidR="00487611" w:rsidRPr="003E5045" w:rsidRDefault="00487611" w:rsidP="0092596C">
      <w:pPr>
        <w:spacing w:after="0" w:line="240" w:lineRule="auto"/>
        <w:rPr>
          <w:rFonts w:ascii="Times New Roman" w:hAnsi="Times New Roman" w:cs="Times New Roman"/>
          <w:sz w:val="24"/>
          <w:szCs w:val="24"/>
        </w:rPr>
      </w:pPr>
    </w:p>
    <w:p w14:paraId="7B5F8665" w14:textId="77777777" w:rsidR="00A72E7B" w:rsidRPr="003E504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HOW, BY WHOM, AND FOR WHAT PURPOSE THE INFORMATION IS TO BE USED AND THE CONSEQUENCES OF NOT COLLECTING THE INFORMATION</w:t>
      </w:r>
    </w:p>
    <w:p w14:paraId="1AB3C475" w14:textId="77777777" w:rsidR="009A6326" w:rsidRDefault="009A6326" w:rsidP="009A6326">
      <w:pPr>
        <w:spacing w:after="0" w:line="240" w:lineRule="auto"/>
        <w:rPr>
          <w:rFonts w:ascii="Times New Roman" w:hAnsi="Times New Roman" w:cs="Times New Roman"/>
          <w:sz w:val="24"/>
          <w:szCs w:val="24"/>
        </w:rPr>
      </w:pPr>
    </w:p>
    <w:p w14:paraId="7D7583F8" w14:textId="77777777" w:rsidR="00522C92" w:rsidRDefault="00522C92" w:rsidP="00522C92">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is an excerpt from NERC’s petition for approval of Reliability Standards VAR-001-4 and VAR-002-3 and describes the purpose and need for this group of standards:</w:t>
      </w:r>
    </w:p>
    <w:p w14:paraId="2054AE6B" w14:textId="77777777" w:rsidR="00522C92" w:rsidRDefault="00522C92" w:rsidP="00522C92">
      <w:pPr>
        <w:spacing w:after="0" w:line="240" w:lineRule="auto"/>
        <w:ind w:left="720"/>
        <w:rPr>
          <w:rFonts w:ascii="Times New Roman" w:hAnsi="Times New Roman" w:cs="Times New Roman"/>
          <w:sz w:val="24"/>
          <w:szCs w:val="24"/>
        </w:rPr>
      </w:pPr>
    </w:p>
    <w:p w14:paraId="6BB3F2F2" w14:textId="77777777" w:rsidR="00522C92" w:rsidRDefault="00522C92" w:rsidP="00522C92">
      <w:pPr>
        <w:spacing w:after="0" w:line="240" w:lineRule="auto"/>
        <w:ind w:left="720"/>
        <w:rPr>
          <w:rFonts w:ascii="Times New Roman" w:hAnsi="Times New Roman" w:cs="Times New Roman"/>
          <w:sz w:val="24"/>
          <w:szCs w:val="24"/>
        </w:rPr>
      </w:pPr>
      <w:r w:rsidRPr="00E0663D">
        <w:rPr>
          <w:rFonts w:ascii="Times New Roman" w:hAnsi="Times New Roman" w:cs="Times New Roman"/>
          <w:sz w:val="24"/>
          <w:szCs w:val="24"/>
        </w:rPr>
        <w:t xml:space="preserve">The Voltage and Reactive (“VAR”) group of Reliability Standards, which consists of two continent-wide Reliability Standards, VAR-001-3 and VAR-002-2b, is designed to maintain voltage stability on the Bulk-Power System, protect transmission, generation, distribution, and customer equipment, and support the reliable operation of the Bulk-Power System. </w:t>
      </w:r>
      <w:r>
        <w:rPr>
          <w:rFonts w:ascii="Times New Roman" w:hAnsi="Times New Roman" w:cs="Times New Roman"/>
          <w:sz w:val="24"/>
          <w:szCs w:val="24"/>
        </w:rPr>
        <w:t xml:space="preserve"> </w:t>
      </w:r>
      <w:r w:rsidRPr="00E0663D">
        <w:rPr>
          <w:rFonts w:ascii="Times New Roman" w:hAnsi="Times New Roman" w:cs="Times New Roman"/>
          <w:sz w:val="24"/>
          <w:szCs w:val="24"/>
        </w:rPr>
        <w:t xml:space="preserve">Voltage stability is the ability of a power system to maintain acceptable voltage levels throughout the system under normal operating conditions and following a disturbance. </w:t>
      </w:r>
      <w:r>
        <w:rPr>
          <w:rFonts w:ascii="Times New Roman" w:hAnsi="Times New Roman" w:cs="Times New Roman"/>
          <w:sz w:val="24"/>
          <w:szCs w:val="24"/>
        </w:rPr>
        <w:t xml:space="preserve"> </w:t>
      </w:r>
      <w:r w:rsidRPr="00E0663D">
        <w:rPr>
          <w:rFonts w:ascii="Times New Roman" w:hAnsi="Times New Roman" w:cs="Times New Roman"/>
          <w:sz w:val="24"/>
          <w:szCs w:val="24"/>
        </w:rPr>
        <w:t>Failure to maintain acceptable voltage levels (</w:t>
      </w:r>
      <w:r w:rsidRPr="00E0663D">
        <w:rPr>
          <w:rFonts w:ascii="Times New Roman" w:hAnsi="Times New Roman" w:cs="Times New Roman"/>
          <w:i/>
          <w:iCs/>
          <w:sz w:val="24"/>
          <w:szCs w:val="24"/>
        </w:rPr>
        <w:t>i.e.</w:t>
      </w:r>
      <w:r w:rsidRPr="00E0663D">
        <w:rPr>
          <w:rFonts w:ascii="Times New Roman" w:hAnsi="Times New Roman" w:cs="Times New Roman"/>
          <w:sz w:val="24"/>
          <w:szCs w:val="24"/>
        </w:rPr>
        <w:t>, voltage levels become too high or too low) may cause violations of System Operating Limits (“SOLs”) and Interconnection Reliability Operating Limits (“IROLs”), result in damage to Bulk-Power System equipment, and thereby threaten the reliable operation of the Bulk-Power System.</w:t>
      </w:r>
      <w:r>
        <w:rPr>
          <w:rFonts w:ascii="Times New Roman" w:hAnsi="Times New Roman" w:cs="Times New Roman"/>
          <w:sz w:val="24"/>
          <w:szCs w:val="24"/>
        </w:rPr>
        <w:t xml:space="preserve">  </w:t>
      </w:r>
      <w:r w:rsidRPr="00487611">
        <w:rPr>
          <w:rFonts w:ascii="Times New Roman" w:hAnsi="Times New Roman" w:cs="Times New Roman"/>
          <w:sz w:val="24"/>
          <w:szCs w:val="24"/>
        </w:rPr>
        <w:t>The primary factor in maintaining voltage stability is having the appropriate amount of Reactive Power on the system.</w:t>
      </w:r>
      <w:r w:rsidRPr="00487611">
        <w:rPr>
          <w:rStyle w:val="FootnoteReference"/>
          <w:rFonts w:ascii="Times New Roman" w:hAnsi="Times New Roman" w:cs="Times New Roman"/>
          <w:sz w:val="24"/>
          <w:szCs w:val="24"/>
          <w:vertAlign w:val="superscript"/>
        </w:rPr>
        <w:footnoteReference w:id="5"/>
      </w:r>
      <w:r w:rsidRPr="0048761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87611">
        <w:rPr>
          <w:rFonts w:ascii="Times New Roman" w:hAnsi="Times New Roman" w:cs="Times New Roman"/>
          <w:sz w:val="24"/>
          <w:szCs w:val="24"/>
        </w:rPr>
        <w:t>Proposed Reliability Standards VAR-001-4 and VAR-002-3 are intended to replace and improve upon Reliability Standards VAR-001-3 and VAR-002-2b, respectively, to ensure that the Bulk-Power System operates at acceptable voltage levels and that sufficient Reactive Power is available to maintain voltage stability.</w:t>
      </w:r>
    </w:p>
    <w:p w14:paraId="6477723D" w14:textId="77777777" w:rsidR="00522C92" w:rsidRPr="003E5045" w:rsidRDefault="00522C92" w:rsidP="009A6326">
      <w:pPr>
        <w:spacing w:after="0" w:line="240" w:lineRule="auto"/>
        <w:rPr>
          <w:rFonts w:ascii="Times New Roman" w:hAnsi="Times New Roman" w:cs="Times New Roman"/>
          <w:sz w:val="24"/>
          <w:szCs w:val="24"/>
        </w:rPr>
      </w:pPr>
    </w:p>
    <w:p w14:paraId="76919A1B" w14:textId="79893394" w:rsidR="00F55597" w:rsidRDefault="00522C92"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Additionally, t</w:t>
      </w:r>
      <w:r w:rsidR="00446E59">
        <w:rPr>
          <w:rFonts w:ascii="Times New Roman" w:hAnsi="Times New Roman" w:cs="Times New Roman"/>
          <w:sz w:val="24"/>
          <w:szCs w:val="24"/>
        </w:rPr>
        <w:t>he following paragraphs describe the information collection requirements contained in this collection.</w:t>
      </w:r>
      <w:r w:rsidR="000F1B1B">
        <w:rPr>
          <w:rFonts w:ascii="Times New Roman" w:hAnsi="Times New Roman" w:cs="Times New Roman"/>
          <w:sz w:val="24"/>
          <w:szCs w:val="24"/>
        </w:rPr>
        <w:t xml:space="preserve">  Each Reliability Standard requirement is accompanied by a compliance measure </w:t>
      </w:r>
      <w:r w:rsidR="00E92E79">
        <w:rPr>
          <w:rFonts w:ascii="Times New Roman" w:hAnsi="Times New Roman" w:cs="Times New Roman"/>
          <w:sz w:val="24"/>
          <w:szCs w:val="24"/>
        </w:rPr>
        <w:t>which requires the applicable entity to have evidence that it complied with the requirement.</w:t>
      </w:r>
      <w:r w:rsidR="00446E59">
        <w:rPr>
          <w:rFonts w:ascii="Times New Roman" w:hAnsi="Times New Roman" w:cs="Times New Roman"/>
          <w:sz w:val="24"/>
          <w:szCs w:val="24"/>
        </w:rPr>
        <w:t xml:space="preserve">  The approved Reliability Standards </w:t>
      </w:r>
      <w:r w:rsidR="008F0F5A">
        <w:rPr>
          <w:rFonts w:ascii="Times New Roman" w:hAnsi="Times New Roman" w:cs="Times New Roman"/>
          <w:sz w:val="24"/>
          <w:szCs w:val="24"/>
        </w:rPr>
        <w:t>are included in their entirety as supplemental documents to this information collection request.</w:t>
      </w:r>
    </w:p>
    <w:p w14:paraId="16D76A7A" w14:textId="77777777" w:rsidR="008F0F5A" w:rsidRDefault="008F0F5A" w:rsidP="0092596C">
      <w:pPr>
        <w:spacing w:after="0" w:line="240" w:lineRule="auto"/>
        <w:rPr>
          <w:rFonts w:ascii="Times New Roman" w:hAnsi="Times New Roman" w:cs="Times New Roman"/>
          <w:sz w:val="24"/>
          <w:szCs w:val="24"/>
        </w:rPr>
      </w:pPr>
    </w:p>
    <w:p w14:paraId="4469D345" w14:textId="77777777" w:rsidR="00FB5918" w:rsidRPr="001C1D2F" w:rsidRDefault="00FB5918" w:rsidP="00FB5918">
      <w:pPr>
        <w:pStyle w:val="Default"/>
      </w:pPr>
      <w:r w:rsidRPr="001C1D2F">
        <w:rPr>
          <w:b/>
        </w:rPr>
        <w:t>Reliability Standard VAR-001-4</w:t>
      </w:r>
      <w:r w:rsidRPr="001C1D2F">
        <w:t xml:space="preserve"> requires each Transmission Operator to: </w:t>
      </w:r>
    </w:p>
    <w:p w14:paraId="6066EFD4" w14:textId="77777777" w:rsidR="002B1453" w:rsidRPr="001C1D2F" w:rsidRDefault="002B1453" w:rsidP="00FB5918">
      <w:pPr>
        <w:pStyle w:val="Default"/>
      </w:pPr>
    </w:p>
    <w:p w14:paraId="2ADAD12A" w14:textId="1B57E202" w:rsidR="00FB5918" w:rsidRPr="001C1D2F" w:rsidRDefault="00FB5918" w:rsidP="00FB5918">
      <w:pPr>
        <w:pStyle w:val="Default"/>
        <w:spacing w:after="189"/>
      </w:pPr>
      <w:r w:rsidRPr="001C1D2F">
        <w:t xml:space="preserve">• Specify a system-wide voltage schedule (which is either a range or a target value with an associated tolerance band) as part of its plan to operate within SOLs and IROLs, and to provide the voltage schedule to its Reliability Coordinator and adjacent Transmission Operators upon request (Requirement R1); </w:t>
      </w:r>
    </w:p>
    <w:p w14:paraId="2796FC98" w14:textId="77777777" w:rsidR="00FB5918" w:rsidRPr="001C1D2F" w:rsidRDefault="00FB5918" w:rsidP="00FB5918">
      <w:pPr>
        <w:pStyle w:val="Default"/>
        <w:spacing w:after="189"/>
      </w:pPr>
      <w:r w:rsidRPr="001C1D2F">
        <w:t xml:space="preserve">• Schedule sufficient reactive resources to regulate voltage levels (Requirement R2); </w:t>
      </w:r>
    </w:p>
    <w:p w14:paraId="66651FDE" w14:textId="77777777" w:rsidR="00FB5918" w:rsidRPr="001C1D2F" w:rsidRDefault="00FB5918" w:rsidP="00FB5918">
      <w:pPr>
        <w:pStyle w:val="Default"/>
        <w:spacing w:after="189"/>
      </w:pPr>
      <w:r w:rsidRPr="001C1D2F">
        <w:t xml:space="preserve">• Operate or direct the operation of devices to regulate transmission voltage and reactive flows (Requirement R3); </w:t>
      </w:r>
    </w:p>
    <w:p w14:paraId="508480E2" w14:textId="77777777" w:rsidR="00FB5918" w:rsidRPr="001C1D2F" w:rsidRDefault="00FB5918" w:rsidP="00FB5918">
      <w:pPr>
        <w:pStyle w:val="Default"/>
        <w:spacing w:after="189"/>
      </w:pPr>
      <w:r w:rsidRPr="001C1D2F">
        <w:t xml:space="preserve">• Develop a set of criteria to exempt generators from certain requirements under Reliability Standard VAR-002-3 related to voltage or Reactive Power schedules, automatic voltage regulations, and notification (Requirement R4); </w:t>
      </w:r>
    </w:p>
    <w:p w14:paraId="065133E6" w14:textId="77777777" w:rsidR="00FB5918" w:rsidRPr="001C1D2F" w:rsidRDefault="00FB5918" w:rsidP="00FB5918">
      <w:pPr>
        <w:pStyle w:val="Default"/>
      </w:pPr>
      <w:r w:rsidRPr="001C1D2F">
        <w:t xml:space="preserve">• Specify a voltage or Reactive Power schedule (which is either a range or a target value with an associated tolerance band) for generators at either the high or low voltage side of the generator step-up transformer, provide the schedule to the associated Generator Operator, direct the Generator Operator to comply with that schedule in automatic voltage control mode, provide the </w:t>
      </w:r>
      <w:r w:rsidRPr="001C1D2F">
        <w:lastRenderedPageBreak/>
        <w:t>Generator Operator the notification requirements for deviating from the schedule, and, if requested, provide the Generator Operator the criteria used to develop the schedule (Requirement R5); and</w:t>
      </w:r>
    </w:p>
    <w:p w14:paraId="7E20E372" w14:textId="77777777" w:rsidR="00FB5918" w:rsidRPr="001C1D2F" w:rsidRDefault="00FB5918" w:rsidP="00FB5918">
      <w:pPr>
        <w:spacing w:after="0" w:line="240" w:lineRule="auto"/>
        <w:rPr>
          <w:rFonts w:ascii="Times New Roman" w:hAnsi="Times New Roman" w:cs="Times New Roman"/>
          <w:sz w:val="24"/>
          <w:szCs w:val="24"/>
        </w:rPr>
      </w:pPr>
    </w:p>
    <w:p w14:paraId="4EC295C2" w14:textId="77777777" w:rsidR="00FB5918" w:rsidRPr="001C1D2F" w:rsidRDefault="00FB5918" w:rsidP="00FB5918">
      <w:pPr>
        <w:spacing w:after="0" w:line="240" w:lineRule="auto"/>
        <w:rPr>
          <w:rFonts w:ascii="Times New Roman" w:hAnsi="Times New Roman" w:cs="Times New Roman"/>
          <w:sz w:val="24"/>
          <w:szCs w:val="24"/>
        </w:rPr>
      </w:pPr>
      <w:r w:rsidRPr="001C1D2F">
        <w:rPr>
          <w:rFonts w:ascii="Times New Roman" w:hAnsi="Times New Roman" w:cs="Times New Roman"/>
          <w:sz w:val="24"/>
          <w:szCs w:val="24"/>
        </w:rPr>
        <w:t xml:space="preserve">• Communicate step-up transformer tap changes, the time frame for completion, and the justification for these changes to Generator Owners (Requirement R6). </w:t>
      </w:r>
    </w:p>
    <w:p w14:paraId="20CD21D9" w14:textId="77777777" w:rsidR="008F0F5A" w:rsidRPr="001C1D2F" w:rsidRDefault="008F0F5A" w:rsidP="0092596C">
      <w:pPr>
        <w:spacing w:after="0" w:line="240" w:lineRule="auto"/>
        <w:rPr>
          <w:rFonts w:ascii="Times New Roman" w:hAnsi="Times New Roman" w:cs="Times New Roman"/>
          <w:sz w:val="24"/>
          <w:szCs w:val="24"/>
        </w:rPr>
      </w:pPr>
    </w:p>
    <w:p w14:paraId="612A2B81" w14:textId="77777777" w:rsidR="00E92E79" w:rsidRPr="001C1D2F" w:rsidRDefault="00FB5918" w:rsidP="00FB5918">
      <w:pPr>
        <w:pStyle w:val="Default"/>
      </w:pPr>
      <w:r w:rsidRPr="001C1D2F">
        <w:rPr>
          <w:b/>
        </w:rPr>
        <w:t>Reliability Standard VAR-002-3</w:t>
      </w:r>
      <w:r w:rsidRPr="001C1D2F">
        <w:t xml:space="preserve"> requires each Generator Operator to:</w:t>
      </w:r>
    </w:p>
    <w:p w14:paraId="431C1063" w14:textId="29D3DC51" w:rsidR="00FB5918" w:rsidRPr="001C1D2F" w:rsidRDefault="00FB5918" w:rsidP="00FB5918">
      <w:pPr>
        <w:pStyle w:val="Default"/>
      </w:pPr>
      <w:r w:rsidRPr="001C1D2F">
        <w:t xml:space="preserve"> </w:t>
      </w:r>
    </w:p>
    <w:p w14:paraId="26AD81FB" w14:textId="77777777" w:rsidR="00FB5918" w:rsidRPr="001C1D2F" w:rsidRDefault="00FB5918" w:rsidP="00FB5918">
      <w:pPr>
        <w:pStyle w:val="Default"/>
        <w:spacing w:after="189"/>
      </w:pPr>
      <w:r w:rsidRPr="001C1D2F">
        <w:t xml:space="preserve">• Operate each of its generators connected to the interconnected transmission system in automatic voltage control mode or in a different control mode as instructed by the Transmission Operator, unless the Generator Operator (1) is exempted pursuant to the criteria developed under VAR-001-4, Requirement R4, or (2) makes certain notifications to the Transmission Operator specifying the reasons it cannot so operate (Requirement R1); </w:t>
      </w:r>
    </w:p>
    <w:p w14:paraId="69602FC1" w14:textId="3FB7CAD8" w:rsidR="00FB5918" w:rsidRPr="001C1D2F" w:rsidRDefault="00FB5918" w:rsidP="00FB5918">
      <w:pPr>
        <w:pStyle w:val="Default"/>
        <w:spacing w:after="189"/>
      </w:pPr>
      <w:r w:rsidRPr="001C1D2F">
        <w:t>• Maintain the Transmission Operator’s generator voltage or Reactive Power schedule, unless the Generator Operator (1) is exempted pursuant to the criteria developed under VAR-001-4, Requirement R4, or (2) complies with the notification requirements for deviations as established by the Transmission Owner pursuant to VAR-001-4, Requirement R5 (Requirement R2);</w:t>
      </w:r>
    </w:p>
    <w:p w14:paraId="2A14FA72" w14:textId="77777777" w:rsidR="00FB5918" w:rsidRPr="001C1D2F" w:rsidRDefault="00FB5918" w:rsidP="00FB5918">
      <w:pPr>
        <w:pStyle w:val="Default"/>
        <w:spacing w:after="189"/>
      </w:pPr>
      <w:r w:rsidRPr="001C1D2F">
        <w:t xml:space="preserve">• Notify the Transmission Operator of a change in status of its voltage controlling device within 30 minutes, unless the status is restored within that time period (Requirement R3); and </w:t>
      </w:r>
    </w:p>
    <w:p w14:paraId="01D8C082" w14:textId="77777777" w:rsidR="00FB5918" w:rsidRPr="001C1D2F" w:rsidRDefault="00FB5918" w:rsidP="00FB5918">
      <w:pPr>
        <w:pStyle w:val="Default"/>
      </w:pPr>
      <w:r w:rsidRPr="001C1D2F">
        <w:t xml:space="preserve">• Notify the Transmission Operator of a change in reactive capability due to factors other than those described in VAR-002-3, Requirement R3 within 30 minutes unless the capability has been restored during that time period (Requirement R4). </w:t>
      </w:r>
    </w:p>
    <w:p w14:paraId="13709092" w14:textId="77777777" w:rsidR="002B1453" w:rsidRPr="001C1D2F" w:rsidRDefault="002B1453" w:rsidP="00FB5918">
      <w:pPr>
        <w:pStyle w:val="Default"/>
      </w:pPr>
    </w:p>
    <w:p w14:paraId="69FBBED8" w14:textId="77777777" w:rsidR="00FB5918" w:rsidRPr="001C1D2F" w:rsidRDefault="00FB5918" w:rsidP="00FB5918">
      <w:pPr>
        <w:pStyle w:val="Default"/>
        <w:spacing w:after="189"/>
      </w:pPr>
      <w:r w:rsidRPr="001C1D2F">
        <w:t xml:space="preserve">• Provide information on its step-up transformers and auxiliary transformers within 30 days of a request from the Transmission Operator or Transmission Planner (Requirement R5); and </w:t>
      </w:r>
    </w:p>
    <w:p w14:paraId="79D54A71" w14:textId="77777777" w:rsidR="00FB5918" w:rsidRPr="001C1D2F" w:rsidRDefault="00FB5918" w:rsidP="00FB5918">
      <w:pPr>
        <w:pStyle w:val="Default"/>
      </w:pPr>
      <w:r w:rsidRPr="001C1D2F">
        <w:t xml:space="preserve">• Comply with the Transmission Operator’s step-up transformer tap change directives unless compliance would violate safety, an equipment rating, or applicable laws, rules or regulations (Requirement R6). </w:t>
      </w:r>
    </w:p>
    <w:p w14:paraId="2CB40D51" w14:textId="77777777" w:rsidR="00FB5918" w:rsidRPr="003E5045" w:rsidRDefault="00FB5918" w:rsidP="0092596C">
      <w:pPr>
        <w:spacing w:after="0" w:line="240" w:lineRule="auto"/>
        <w:rPr>
          <w:rFonts w:ascii="Times New Roman" w:hAnsi="Times New Roman" w:cs="Times New Roman"/>
          <w:sz w:val="24"/>
          <w:szCs w:val="24"/>
        </w:rPr>
      </w:pPr>
    </w:p>
    <w:p w14:paraId="4AD206ED" w14:textId="77777777" w:rsidR="00EB3E6F" w:rsidRPr="003E504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DESCRIBE ANY CONSIDERATION OF THE USE OF IMPROVED INFORMATION TECHNOLOGY TO REDUCE THE BURDEN AND TECHNICAL OR LEGAL OBSTACLES TO REDUCING BURDEN</w:t>
      </w:r>
    </w:p>
    <w:p w14:paraId="76609B85" w14:textId="77777777" w:rsidR="00EB3E6F" w:rsidRPr="003E5045" w:rsidRDefault="00EB3E6F" w:rsidP="0092596C">
      <w:pPr>
        <w:spacing w:after="0" w:line="240" w:lineRule="auto"/>
        <w:rPr>
          <w:rFonts w:ascii="Times New Roman" w:hAnsi="Times New Roman" w:cs="Times New Roman"/>
          <w:sz w:val="24"/>
          <w:szCs w:val="24"/>
        </w:rPr>
      </w:pPr>
    </w:p>
    <w:p w14:paraId="6FB38FAD" w14:textId="18404FD4" w:rsidR="00AB5028" w:rsidRPr="00AB5028" w:rsidRDefault="00AB5028" w:rsidP="00AB5028">
      <w:pPr>
        <w:spacing w:after="0" w:line="240" w:lineRule="auto"/>
        <w:rPr>
          <w:rFonts w:ascii="Times New Roman" w:hAnsi="Times New Roman" w:cs="Times New Roman"/>
          <w:sz w:val="24"/>
          <w:szCs w:val="24"/>
        </w:rPr>
      </w:pPr>
      <w:r w:rsidRPr="00AB5028">
        <w:rPr>
          <w:rFonts w:ascii="Times New Roman" w:hAnsi="Times New Roman" w:cs="Times New Roman"/>
          <w:sz w:val="24"/>
          <w:szCs w:val="24"/>
        </w:rPr>
        <w:t>The use of current or improved technology is not covered in Reliability Standards, and is therefore left to the discretion of each reporting entity.</w:t>
      </w:r>
      <w:r w:rsidR="0064100C">
        <w:rPr>
          <w:rFonts w:ascii="Times New Roman" w:hAnsi="Times New Roman" w:cs="Times New Roman"/>
          <w:sz w:val="24"/>
          <w:szCs w:val="24"/>
        </w:rPr>
        <w:t xml:space="preserve"> </w:t>
      </w:r>
      <w:r w:rsidRPr="00AB5028">
        <w:rPr>
          <w:rFonts w:ascii="Times New Roman" w:hAnsi="Times New Roman" w:cs="Times New Roman"/>
          <w:sz w:val="24"/>
          <w:szCs w:val="24"/>
        </w:rPr>
        <w:t xml:space="preserve"> 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14:paraId="4038A5B8" w14:textId="77777777" w:rsidR="00EB3E6F" w:rsidRPr="003E5045" w:rsidRDefault="00EB3E6F" w:rsidP="0092596C">
      <w:pPr>
        <w:spacing w:after="0" w:line="240" w:lineRule="auto"/>
        <w:rPr>
          <w:rFonts w:ascii="Times New Roman" w:hAnsi="Times New Roman" w:cs="Times New Roman"/>
          <w:sz w:val="24"/>
          <w:szCs w:val="24"/>
        </w:rPr>
      </w:pPr>
    </w:p>
    <w:p w14:paraId="583A6147" w14:textId="77777777" w:rsidR="00EB3E6F" w:rsidRPr="003E504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DESCRIBE EFFORTS TO IDENTIF</w:t>
      </w:r>
      <w:r w:rsidR="00E05FA3" w:rsidRPr="003E5045">
        <w:rPr>
          <w:rFonts w:ascii="Times New Roman" w:hAnsi="Times New Roman" w:cs="Times New Roman"/>
          <w:b/>
          <w:sz w:val="24"/>
          <w:szCs w:val="24"/>
        </w:rPr>
        <w:t>Y</w:t>
      </w:r>
      <w:r w:rsidRPr="003E5045">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52B2CE0A" w14:textId="77777777" w:rsidR="00EB3E6F" w:rsidRPr="003E5045" w:rsidRDefault="00EB3E6F" w:rsidP="0092596C">
      <w:pPr>
        <w:spacing w:after="0" w:line="240" w:lineRule="auto"/>
        <w:rPr>
          <w:rFonts w:ascii="Times New Roman" w:hAnsi="Times New Roman" w:cs="Times New Roman"/>
          <w:sz w:val="24"/>
          <w:szCs w:val="24"/>
        </w:rPr>
      </w:pPr>
    </w:p>
    <w:p w14:paraId="26366794" w14:textId="7911768D" w:rsidR="00D342FA" w:rsidRDefault="00C00D70" w:rsidP="0092596C">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The information collection</w:t>
      </w:r>
      <w:r w:rsidR="00AB5028">
        <w:rPr>
          <w:rFonts w:ascii="Times New Roman" w:hAnsi="Times New Roman" w:cs="Times New Roman"/>
          <w:sz w:val="24"/>
          <w:szCs w:val="24"/>
        </w:rPr>
        <w:t xml:space="preserve"> requirements are unique to these</w:t>
      </w:r>
      <w:r w:rsidRPr="003E5045">
        <w:rPr>
          <w:rFonts w:ascii="Times New Roman" w:hAnsi="Times New Roman" w:cs="Times New Roman"/>
          <w:sz w:val="24"/>
          <w:szCs w:val="24"/>
        </w:rPr>
        <w:t xml:space="preserve"> </w:t>
      </w:r>
      <w:r w:rsidR="00A808EC">
        <w:rPr>
          <w:rFonts w:ascii="Times New Roman" w:hAnsi="Times New Roman" w:cs="Times New Roman"/>
          <w:sz w:val="24"/>
          <w:szCs w:val="24"/>
        </w:rPr>
        <w:t>R</w:t>
      </w:r>
      <w:r w:rsidRPr="003E5045">
        <w:rPr>
          <w:rFonts w:ascii="Times New Roman" w:hAnsi="Times New Roman" w:cs="Times New Roman"/>
          <w:sz w:val="24"/>
          <w:szCs w:val="24"/>
        </w:rPr>
        <w:t xml:space="preserve">eliability </w:t>
      </w:r>
      <w:r w:rsidR="00A808EC">
        <w:rPr>
          <w:rFonts w:ascii="Times New Roman" w:hAnsi="Times New Roman" w:cs="Times New Roman"/>
          <w:sz w:val="24"/>
          <w:szCs w:val="24"/>
        </w:rPr>
        <w:t>S</w:t>
      </w:r>
      <w:r w:rsidRPr="003E5045">
        <w:rPr>
          <w:rFonts w:ascii="Times New Roman" w:hAnsi="Times New Roman" w:cs="Times New Roman"/>
          <w:sz w:val="24"/>
          <w:szCs w:val="24"/>
        </w:rPr>
        <w:t>tandard</w:t>
      </w:r>
      <w:r w:rsidR="00AB5028">
        <w:rPr>
          <w:rFonts w:ascii="Times New Roman" w:hAnsi="Times New Roman" w:cs="Times New Roman"/>
          <w:sz w:val="24"/>
          <w:szCs w:val="24"/>
        </w:rPr>
        <w:t>s</w:t>
      </w:r>
      <w:r w:rsidRPr="003E5045">
        <w:rPr>
          <w:rFonts w:ascii="Times New Roman" w:hAnsi="Times New Roman" w:cs="Times New Roman"/>
          <w:sz w:val="24"/>
          <w:szCs w:val="24"/>
        </w:rPr>
        <w:t xml:space="preserve"> and to this information collection.  The Commission does not know of any duplication in the requirements.</w:t>
      </w:r>
    </w:p>
    <w:p w14:paraId="320DD1C1" w14:textId="77777777" w:rsidR="00C00D70" w:rsidRPr="003E5045" w:rsidRDefault="00C00D70" w:rsidP="0092596C">
      <w:pPr>
        <w:spacing w:after="0" w:line="240" w:lineRule="auto"/>
        <w:rPr>
          <w:rFonts w:ascii="Times New Roman" w:hAnsi="Times New Roman" w:cs="Times New Roman"/>
          <w:sz w:val="24"/>
          <w:szCs w:val="24"/>
        </w:rPr>
      </w:pPr>
    </w:p>
    <w:p w14:paraId="57349548" w14:textId="77777777" w:rsidR="00EB3E6F" w:rsidRPr="003E504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METHODS USED TO MINIMIZE THE BURDEN IN COLLECTION OF INFORMATION INVOLVING SMALL ENTITIES</w:t>
      </w:r>
    </w:p>
    <w:p w14:paraId="174FBF87" w14:textId="77777777" w:rsidR="00EB3E6F" w:rsidRPr="003E5045" w:rsidRDefault="00EB3E6F" w:rsidP="0092596C">
      <w:pPr>
        <w:spacing w:after="0" w:line="240" w:lineRule="auto"/>
        <w:rPr>
          <w:rFonts w:ascii="Times New Roman" w:hAnsi="Times New Roman" w:cs="Times New Roman"/>
          <w:sz w:val="24"/>
          <w:szCs w:val="24"/>
        </w:rPr>
      </w:pPr>
    </w:p>
    <w:p w14:paraId="7643432A" w14:textId="7D5E5A34" w:rsidR="0064100C" w:rsidRDefault="00677B17"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The new versions of</w:t>
      </w:r>
      <w:r w:rsidR="00DD7871">
        <w:rPr>
          <w:rFonts w:ascii="Times New Roman" w:hAnsi="Times New Roman" w:cs="Times New Roman"/>
          <w:sz w:val="24"/>
          <w:szCs w:val="24"/>
        </w:rPr>
        <w:t xml:space="preserve"> the VAR standards FERC approved</w:t>
      </w:r>
      <w:r>
        <w:rPr>
          <w:rFonts w:ascii="Times New Roman" w:hAnsi="Times New Roman" w:cs="Times New Roman"/>
          <w:sz w:val="24"/>
          <w:szCs w:val="24"/>
        </w:rPr>
        <w:t xml:space="preserve"> in RD14-11 do </w:t>
      </w:r>
      <w:r w:rsidR="00B738C2">
        <w:rPr>
          <w:rFonts w:ascii="Times New Roman" w:hAnsi="Times New Roman" w:cs="Times New Roman"/>
          <w:sz w:val="24"/>
          <w:szCs w:val="24"/>
        </w:rPr>
        <w:t>not materially change the burden imposed on small entities.</w:t>
      </w:r>
    </w:p>
    <w:p w14:paraId="5FCA2BC0" w14:textId="77777777" w:rsidR="00677B17" w:rsidRDefault="00677B17" w:rsidP="0092596C">
      <w:pPr>
        <w:spacing w:after="0" w:line="240" w:lineRule="auto"/>
        <w:rPr>
          <w:rFonts w:ascii="Times New Roman" w:hAnsi="Times New Roman" w:cs="Times New Roman"/>
          <w:sz w:val="24"/>
          <w:szCs w:val="24"/>
        </w:rPr>
      </w:pPr>
    </w:p>
    <w:p w14:paraId="7E0D6DC6" w14:textId="77777777" w:rsidR="00C00D70" w:rsidRPr="003E5045" w:rsidRDefault="00C00D70" w:rsidP="0092596C">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 xml:space="preserve">In general, small entities may </w:t>
      </w:r>
      <w:r w:rsidR="00B86284" w:rsidRPr="003E5045">
        <w:rPr>
          <w:rFonts w:ascii="Times New Roman" w:hAnsi="Times New Roman" w:cs="Times New Roman"/>
          <w:sz w:val="24"/>
          <w:szCs w:val="24"/>
        </w:rPr>
        <w:t xml:space="preserve">reduce their burden by taking part in a joint registration organization or </w:t>
      </w:r>
      <w:r w:rsidRPr="003E5045">
        <w:rPr>
          <w:rFonts w:ascii="Times New Roman" w:hAnsi="Times New Roman" w:cs="Times New Roman"/>
          <w:sz w:val="24"/>
          <w:szCs w:val="24"/>
        </w:rPr>
        <w:t>a coordinated functional registration</w:t>
      </w:r>
      <w:r w:rsidR="00B86284" w:rsidRPr="003E5045">
        <w:rPr>
          <w:rFonts w:ascii="Times New Roman" w:hAnsi="Times New Roman" w:cs="Times New Roman"/>
          <w:sz w:val="24"/>
          <w:szCs w:val="24"/>
        </w:rPr>
        <w:t>.  These options allow an entity to share its compliance burden with other entities.</w:t>
      </w:r>
      <w:r w:rsidR="00B701FF">
        <w:rPr>
          <w:rFonts w:ascii="Times New Roman" w:hAnsi="Times New Roman" w:cs="Times New Roman"/>
          <w:sz w:val="24"/>
          <w:szCs w:val="24"/>
        </w:rPr>
        <w:t xml:space="preserve">  Detailed information regarding these options </w:t>
      </w:r>
      <w:proofErr w:type="gramStart"/>
      <w:r w:rsidR="00B701FF">
        <w:rPr>
          <w:rFonts w:ascii="Times New Roman" w:hAnsi="Times New Roman" w:cs="Times New Roman"/>
          <w:sz w:val="24"/>
          <w:szCs w:val="24"/>
        </w:rPr>
        <w:t>are</w:t>
      </w:r>
      <w:proofErr w:type="gramEnd"/>
      <w:r w:rsidR="00B701FF">
        <w:rPr>
          <w:rFonts w:ascii="Times New Roman" w:hAnsi="Times New Roman" w:cs="Times New Roman"/>
          <w:sz w:val="24"/>
          <w:szCs w:val="24"/>
        </w:rPr>
        <w:t xml:space="preserve"> available in NERC’s Rules of Procedure</w:t>
      </w:r>
      <w:r w:rsidR="00CB79F6">
        <w:rPr>
          <w:rFonts w:ascii="Times New Roman" w:hAnsi="Times New Roman" w:cs="Times New Roman"/>
          <w:sz w:val="24"/>
          <w:szCs w:val="24"/>
        </w:rPr>
        <w:t xml:space="preserve"> at</w:t>
      </w:r>
      <w:r w:rsidR="00B701FF">
        <w:rPr>
          <w:rFonts w:ascii="Times New Roman" w:hAnsi="Times New Roman" w:cs="Times New Roman"/>
          <w:sz w:val="24"/>
          <w:szCs w:val="24"/>
        </w:rPr>
        <w:t xml:space="preserve"> sections 507 and 508.</w:t>
      </w:r>
      <w:r w:rsidR="00B701FF" w:rsidRPr="00A2666C">
        <w:rPr>
          <w:rStyle w:val="FootnoteReference"/>
          <w:rFonts w:ascii="Times New Roman" w:hAnsi="Times New Roman" w:cs="Times New Roman"/>
          <w:sz w:val="24"/>
          <w:szCs w:val="24"/>
          <w:vertAlign w:val="superscript"/>
        </w:rPr>
        <w:footnoteReference w:id="6"/>
      </w:r>
    </w:p>
    <w:p w14:paraId="643951F1" w14:textId="77777777" w:rsidR="00EB3E6F" w:rsidRPr="003E5045" w:rsidRDefault="00EB3E6F" w:rsidP="0092596C">
      <w:pPr>
        <w:spacing w:after="0" w:line="240" w:lineRule="auto"/>
        <w:rPr>
          <w:rFonts w:ascii="Times New Roman" w:hAnsi="Times New Roman" w:cs="Times New Roman"/>
          <w:sz w:val="24"/>
          <w:szCs w:val="24"/>
        </w:rPr>
      </w:pPr>
    </w:p>
    <w:p w14:paraId="06098510" w14:textId="77777777" w:rsidR="00EB3E6F" w:rsidRPr="003E504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CONSEQUENCE TO FEDERAL PROGRAM IF COLLECTION WERE CONDUCTED LESS FREQUENTLY</w:t>
      </w:r>
    </w:p>
    <w:p w14:paraId="3642699D" w14:textId="77777777" w:rsidR="00EB3E6F" w:rsidRPr="003E5045" w:rsidRDefault="00EB3E6F" w:rsidP="0092596C">
      <w:pPr>
        <w:spacing w:after="0" w:line="240" w:lineRule="auto"/>
        <w:rPr>
          <w:rFonts w:ascii="Times New Roman" w:hAnsi="Times New Roman" w:cs="Times New Roman"/>
          <w:sz w:val="24"/>
          <w:szCs w:val="24"/>
        </w:rPr>
      </w:pPr>
    </w:p>
    <w:p w14:paraId="6F23607D" w14:textId="73A01E6D" w:rsidR="005B3C50" w:rsidRDefault="005B3C50"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Maintaining proper voltage levels is necessary to ensure reliability on the Bulk-Power System.  The information collection requirements support the objective to maintain proper voltage levels.  Relaxing any of the information collection requi</w:t>
      </w:r>
      <w:r w:rsidR="00CE1890">
        <w:rPr>
          <w:rFonts w:ascii="Times New Roman" w:hAnsi="Times New Roman" w:cs="Times New Roman"/>
          <w:sz w:val="24"/>
          <w:szCs w:val="24"/>
        </w:rPr>
        <w:t xml:space="preserve">rements could lead to unstable voltage levels and damage to Bulk-Power System equipment. </w:t>
      </w:r>
      <w:r>
        <w:rPr>
          <w:rFonts w:ascii="Times New Roman" w:hAnsi="Times New Roman" w:cs="Times New Roman"/>
          <w:sz w:val="24"/>
          <w:szCs w:val="24"/>
        </w:rPr>
        <w:t xml:space="preserve">  </w:t>
      </w:r>
    </w:p>
    <w:p w14:paraId="572EE9F5" w14:textId="3B3980DD" w:rsidR="00B86284" w:rsidRPr="003E5045" w:rsidRDefault="005B3C50"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DD24D39" w14:textId="77777777" w:rsidR="00EB3E6F" w:rsidRPr="003E504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EXPLAIN ANY SPECIAL CIRCUMSTANCES RELATING TO THE INFORMATION COLLECTION</w:t>
      </w:r>
    </w:p>
    <w:p w14:paraId="47E948CA" w14:textId="77777777" w:rsidR="00EB3E6F" w:rsidRPr="003E5045" w:rsidRDefault="00EB3E6F" w:rsidP="0092596C">
      <w:pPr>
        <w:spacing w:after="0" w:line="240" w:lineRule="auto"/>
        <w:rPr>
          <w:rFonts w:ascii="Times New Roman" w:hAnsi="Times New Roman" w:cs="Times New Roman"/>
          <w:sz w:val="24"/>
          <w:szCs w:val="24"/>
        </w:rPr>
      </w:pPr>
    </w:p>
    <w:p w14:paraId="5B9A595A" w14:textId="77777777" w:rsidR="00F82DB7" w:rsidRPr="003E5045" w:rsidRDefault="00F82DB7" w:rsidP="00F82DB7">
      <w:pPr>
        <w:spacing w:after="0" w:line="240" w:lineRule="auto"/>
        <w:rPr>
          <w:rFonts w:ascii="Times New Roman" w:hAnsi="Times New Roman"/>
          <w:sz w:val="24"/>
          <w:szCs w:val="24"/>
        </w:rPr>
      </w:pPr>
      <w:r w:rsidRPr="003E5045">
        <w:rPr>
          <w:rFonts w:ascii="Times New Roman" w:hAnsi="Times New Roman"/>
          <w:sz w:val="24"/>
          <w:szCs w:val="24"/>
        </w:rPr>
        <w:t xml:space="preserve">There </w:t>
      </w:r>
      <w:r w:rsidR="00AB18E0" w:rsidRPr="003E5045">
        <w:rPr>
          <w:rFonts w:ascii="Times New Roman" w:hAnsi="Times New Roman"/>
          <w:sz w:val="24"/>
          <w:szCs w:val="24"/>
        </w:rPr>
        <w:t>are no</w:t>
      </w:r>
      <w:r w:rsidRPr="003E5045">
        <w:rPr>
          <w:rFonts w:ascii="Times New Roman" w:hAnsi="Times New Roman"/>
          <w:sz w:val="24"/>
          <w:szCs w:val="24"/>
        </w:rPr>
        <w:t xml:space="preserve"> special circumstance</w:t>
      </w:r>
      <w:r w:rsidR="00AB18E0" w:rsidRPr="003E5045">
        <w:rPr>
          <w:rFonts w:ascii="Times New Roman" w:hAnsi="Times New Roman"/>
          <w:sz w:val="24"/>
          <w:szCs w:val="24"/>
        </w:rPr>
        <w:t>s</w:t>
      </w:r>
      <w:r w:rsidRPr="003E5045">
        <w:rPr>
          <w:rFonts w:ascii="Times New Roman" w:hAnsi="Times New Roman"/>
          <w:sz w:val="24"/>
          <w:szCs w:val="24"/>
        </w:rPr>
        <w:t xml:space="preserve"> as described in 5 CFR 1320.5</w:t>
      </w:r>
      <w:r w:rsidR="00AB18E0" w:rsidRPr="003E5045">
        <w:rPr>
          <w:rFonts w:ascii="Times New Roman" w:hAnsi="Times New Roman"/>
          <w:sz w:val="24"/>
          <w:szCs w:val="24"/>
        </w:rPr>
        <w:t xml:space="preserve"> pertaining to this collection.</w:t>
      </w:r>
      <w:r w:rsidRPr="003E5045">
        <w:rPr>
          <w:rFonts w:ascii="Times New Roman" w:hAnsi="Times New Roman"/>
          <w:sz w:val="24"/>
          <w:szCs w:val="24"/>
        </w:rPr>
        <w:t xml:space="preserve"> </w:t>
      </w:r>
    </w:p>
    <w:p w14:paraId="4B62C815" w14:textId="77777777" w:rsidR="00EB3E6F" w:rsidRPr="003E5045" w:rsidRDefault="00EB3E6F" w:rsidP="0092596C">
      <w:pPr>
        <w:spacing w:after="0" w:line="240" w:lineRule="auto"/>
        <w:rPr>
          <w:rFonts w:ascii="Times New Roman" w:hAnsi="Times New Roman" w:cs="Times New Roman"/>
          <w:sz w:val="24"/>
          <w:szCs w:val="24"/>
        </w:rPr>
      </w:pPr>
    </w:p>
    <w:p w14:paraId="27A2A72C" w14:textId="77777777" w:rsidR="00EB3E6F" w:rsidRPr="003E504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DESCRIBE EFFORTS TO CONSULT OUTSIDE THE AGENCY: SUMMARIZE PUBLIC COMMENTS AND THE AGENCY’S RESPONSE</w:t>
      </w:r>
    </w:p>
    <w:p w14:paraId="25F3F8C9" w14:textId="77777777" w:rsidR="00EB3E6F" w:rsidRPr="003E5045" w:rsidRDefault="00EB3E6F" w:rsidP="0092596C">
      <w:pPr>
        <w:spacing w:after="0" w:line="240" w:lineRule="auto"/>
        <w:rPr>
          <w:rFonts w:ascii="Times New Roman" w:hAnsi="Times New Roman" w:cs="Times New Roman"/>
          <w:sz w:val="24"/>
          <w:szCs w:val="24"/>
        </w:rPr>
      </w:pPr>
    </w:p>
    <w:p w14:paraId="1B9BFA88" w14:textId="195D723C" w:rsidR="0072126E" w:rsidRDefault="0072126E" w:rsidP="0092596C">
      <w:pPr>
        <w:spacing w:after="0" w:line="240" w:lineRule="auto"/>
        <w:rPr>
          <w:rFonts w:ascii="Times New Roman" w:hAnsi="Times New Roman"/>
          <w:sz w:val="24"/>
          <w:szCs w:val="24"/>
        </w:rPr>
      </w:pPr>
      <w:r w:rsidRPr="003E5045">
        <w:rPr>
          <w:rFonts w:ascii="Times New Roman" w:hAnsi="Times New Roman"/>
          <w:bCs/>
          <w:sz w:val="24"/>
          <w:szCs w:val="24"/>
        </w:rPr>
        <w:t>The ERO process to establish Reliability Standards is a collaborative process with the ERO, Regional Entities and other stakeholders developing and reviewing drafts, and providing comments, with the final proposed standard submitted to the FERC for review and approval.</w:t>
      </w:r>
      <w:r w:rsidRPr="003E5045">
        <w:rPr>
          <w:rFonts w:ascii="Times New Roman" w:hAnsi="Times New Roman"/>
          <w:b/>
          <w:bCs/>
          <w:sz w:val="24"/>
          <w:szCs w:val="24"/>
          <w:vertAlign w:val="superscript"/>
        </w:rPr>
        <w:footnoteReference w:id="7"/>
      </w:r>
      <w:r w:rsidRPr="003E5045">
        <w:rPr>
          <w:rFonts w:ascii="Times New Roman" w:hAnsi="Times New Roman"/>
          <w:bCs/>
          <w:sz w:val="24"/>
          <w:szCs w:val="24"/>
        </w:rPr>
        <w:t xml:space="preserve">  </w:t>
      </w:r>
      <w:r w:rsidR="00EB68C9">
        <w:rPr>
          <w:rFonts w:ascii="Times New Roman" w:hAnsi="Times New Roman"/>
          <w:bCs/>
          <w:sz w:val="24"/>
          <w:szCs w:val="24"/>
        </w:rPr>
        <w:lastRenderedPageBreak/>
        <w:t>T</w:t>
      </w:r>
      <w:r w:rsidR="00EB68C9" w:rsidRPr="00EB68C9">
        <w:rPr>
          <w:rFonts w:ascii="Times New Roman" w:hAnsi="Times New Roman"/>
          <w:bCs/>
          <w:sz w:val="24"/>
          <w:szCs w:val="24"/>
        </w:rPr>
        <w:t>he Reliability Standard</w:t>
      </w:r>
      <w:r w:rsidR="003111E7">
        <w:rPr>
          <w:rFonts w:ascii="Times New Roman" w:hAnsi="Times New Roman"/>
          <w:bCs/>
          <w:sz w:val="24"/>
          <w:szCs w:val="24"/>
        </w:rPr>
        <w:t>s</w:t>
      </w:r>
      <w:r w:rsidR="00EB68C9" w:rsidRPr="00EB68C9">
        <w:rPr>
          <w:rFonts w:ascii="Times New Roman" w:hAnsi="Times New Roman"/>
          <w:bCs/>
          <w:sz w:val="24"/>
          <w:szCs w:val="24"/>
        </w:rPr>
        <w:t xml:space="preserve"> w</w:t>
      </w:r>
      <w:r w:rsidR="003111E7">
        <w:rPr>
          <w:rFonts w:ascii="Times New Roman" w:hAnsi="Times New Roman"/>
          <w:bCs/>
          <w:sz w:val="24"/>
          <w:szCs w:val="24"/>
        </w:rPr>
        <w:t>ere</w:t>
      </w:r>
      <w:r w:rsidR="00EB68C9" w:rsidRPr="00EB68C9">
        <w:rPr>
          <w:rFonts w:ascii="Times New Roman" w:hAnsi="Times New Roman"/>
          <w:bCs/>
          <w:sz w:val="24"/>
          <w:szCs w:val="24"/>
        </w:rPr>
        <w:t xml:space="preserve"> approved during the industry vetting process (before </w:t>
      </w:r>
      <w:r w:rsidR="003111E7">
        <w:rPr>
          <w:rFonts w:ascii="Times New Roman" w:hAnsi="Times New Roman"/>
          <w:bCs/>
          <w:sz w:val="24"/>
          <w:szCs w:val="24"/>
        </w:rPr>
        <w:t>they</w:t>
      </w:r>
      <w:r w:rsidR="00EB68C9" w:rsidRPr="00EB68C9">
        <w:rPr>
          <w:rFonts w:ascii="Times New Roman" w:hAnsi="Times New Roman"/>
          <w:bCs/>
          <w:sz w:val="24"/>
          <w:szCs w:val="24"/>
        </w:rPr>
        <w:t xml:space="preserve"> w</w:t>
      </w:r>
      <w:r w:rsidR="003111E7">
        <w:rPr>
          <w:rFonts w:ascii="Times New Roman" w:hAnsi="Times New Roman"/>
          <w:bCs/>
          <w:sz w:val="24"/>
          <w:szCs w:val="24"/>
        </w:rPr>
        <w:t>ere</w:t>
      </w:r>
      <w:r w:rsidR="00EB68C9" w:rsidRPr="00EB68C9">
        <w:rPr>
          <w:rFonts w:ascii="Times New Roman" w:hAnsi="Times New Roman"/>
          <w:bCs/>
          <w:sz w:val="24"/>
          <w:szCs w:val="24"/>
        </w:rPr>
        <w:t xml:space="preserve"> submitted to FERC).</w:t>
      </w:r>
      <w:r w:rsidR="002140A7">
        <w:rPr>
          <w:rFonts w:ascii="Times New Roman" w:hAnsi="Times New Roman"/>
          <w:bCs/>
          <w:sz w:val="24"/>
          <w:szCs w:val="24"/>
        </w:rPr>
        <w:t xml:space="preserve">  The development process is consistent with the attributes necessary for ANSI accreditation and is both open and balanced.</w:t>
      </w:r>
      <w:r w:rsidR="00EB68C9">
        <w:rPr>
          <w:rFonts w:ascii="Times New Roman" w:hAnsi="Times New Roman"/>
          <w:bCs/>
          <w:sz w:val="24"/>
          <w:szCs w:val="24"/>
        </w:rPr>
        <w:t xml:space="preserve">  </w:t>
      </w:r>
      <w:r w:rsidRPr="003E5045">
        <w:rPr>
          <w:rFonts w:ascii="Times New Roman" w:hAnsi="Times New Roman"/>
          <w:bCs/>
          <w:sz w:val="24"/>
          <w:szCs w:val="24"/>
        </w:rPr>
        <w:t xml:space="preserve">In addition, </w:t>
      </w:r>
      <w:r w:rsidR="00CE1890">
        <w:rPr>
          <w:rFonts w:ascii="Times New Roman" w:hAnsi="Times New Roman"/>
          <w:bCs/>
          <w:sz w:val="24"/>
          <w:szCs w:val="24"/>
        </w:rPr>
        <w:t>FERC published two notices in the Federal Register regarding this information collection</w:t>
      </w:r>
      <w:r w:rsidR="008B64E9">
        <w:rPr>
          <w:rFonts w:ascii="Times New Roman" w:hAnsi="Times New Roman"/>
          <w:bCs/>
          <w:sz w:val="24"/>
          <w:szCs w:val="24"/>
        </w:rPr>
        <w:t xml:space="preserve">.  The first notice was published on </w:t>
      </w:r>
      <w:r w:rsidR="005C4AD5">
        <w:rPr>
          <w:rFonts w:ascii="Times New Roman" w:hAnsi="Times New Roman"/>
          <w:bCs/>
          <w:sz w:val="24"/>
          <w:szCs w:val="24"/>
        </w:rPr>
        <w:t>August 11, 2014 (79 FR 46781)</w:t>
      </w:r>
      <w:r w:rsidR="008B64E9">
        <w:rPr>
          <w:rFonts w:ascii="Times New Roman" w:hAnsi="Times New Roman"/>
          <w:bCs/>
          <w:sz w:val="24"/>
          <w:szCs w:val="24"/>
        </w:rPr>
        <w:t>, and provided p</w:t>
      </w:r>
      <w:r w:rsidRPr="003E5045">
        <w:rPr>
          <w:rFonts w:ascii="Times New Roman" w:hAnsi="Times New Roman"/>
          <w:bCs/>
          <w:sz w:val="24"/>
          <w:szCs w:val="24"/>
        </w:rPr>
        <w:t xml:space="preserve">ublic utilities and licensees, state commissions, Federal agencies, and other interested parties an opportunity to submit data, views, comments or suggestions concerning the proposed collection of data. </w:t>
      </w:r>
      <w:r w:rsidR="005C4AD5">
        <w:rPr>
          <w:rFonts w:ascii="Times New Roman" w:hAnsi="Times New Roman"/>
          <w:bCs/>
          <w:sz w:val="24"/>
          <w:szCs w:val="24"/>
        </w:rPr>
        <w:t xml:space="preserve"> FERC did not receive any comments in response to this notice.</w:t>
      </w:r>
      <w:r w:rsidRPr="003E5045">
        <w:rPr>
          <w:rFonts w:ascii="Times New Roman" w:hAnsi="Times New Roman"/>
          <w:sz w:val="24"/>
          <w:szCs w:val="24"/>
        </w:rPr>
        <w:t xml:space="preserve"> </w:t>
      </w:r>
      <w:r w:rsidR="005C4AD5">
        <w:rPr>
          <w:rFonts w:ascii="Times New Roman" w:hAnsi="Times New Roman"/>
          <w:sz w:val="24"/>
          <w:szCs w:val="24"/>
        </w:rPr>
        <w:t xml:space="preserve"> </w:t>
      </w:r>
      <w:r w:rsidR="008B64E9">
        <w:rPr>
          <w:rFonts w:ascii="Times New Roman" w:hAnsi="Times New Roman"/>
          <w:sz w:val="24"/>
          <w:szCs w:val="24"/>
        </w:rPr>
        <w:t>The second notice was publish</w:t>
      </w:r>
      <w:r w:rsidR="005C4AD5">
        <w:rPr>
          <w:rFonts w:ascii="Times New Roman" w:hAnsi="Times New Roman"/>
          <w:sz w:val="24"/>
          <w:szCs w:val="24"/>
        </w:rPr>
        <w:t xml:space="preserve">ed in the Federal </w:t>
      </w:r>
      <w:r w:rsidR="005C4AD5" w:rsidRPr="00672678">
        <w:rPr>
          <w:rFonts w:ascii="Times New Roman" w:hAnsi="Times New Roman"/>
          <w:sz w:val="24"/>
          <w:szCs w:val="24"/>
        </w:rPr>
        <w:t xml:space="preserve">Register on </w:t>
      </w:r>
      <w:r w:rsidR="00672678" w:rsidRPr="00672678">
        <w:rPr>
          <w:rFonts w:ascii="Times New Roman" w:hAnsi="Times New Roman"/>
          <w:sz w:val="24"/>
          <w:szCs w:val="24"/>
        </w:rPr>
        <w:t>10/31/2014</w:t>
      </w:r>
      <w:r w:rsidR="00BB0D59" w:rsidRPr="00672678">
        <w:rPr>
          <w:rFonts w:ascii="Times New Roman" w:hAnsi="Times New Roman"/>
          <w:sz w:val="24"/>
          <w:szCs w:val="24"/>
        </w:rPr>
        <w:t xml:space="preserve"> (79 FR </w:t>
      </w:r>
      <w:r w:rsidR="00672678" w:rsidRPr="00672678">
        <w:rPr>
          <w:rFonts w:ascii="Times New Roman" w:hAnsi="Times New Roman"/>
          <w:sz w:val="24"/>
          <w:szCs w:val="24"/>
        </w:rPr>
        <w:t>64758</w:t>
      </w:r>
      <w:r w:rsidR="005C4AD5" w:rsidRPr="00672678">
        <w:rPr>
          <w:rFonts w:ascii="Times New Roman" w:hAnsi="Times New Roman"/>
          <w:sz w:val="24"/>
          <w:szCs w:val="24"/>
        </w:rPr>
        <w:t>)</w:t>
      </w:r>
      <w:r w:rsidR="008B64E9" w:rsidRPr="00672678">
        <w:rPr>
          <w:rFonts w:ascii="Times New Roman" w:hAnsi="Times New Roman"/>
          <w:sz w:val="24"/>
          <w:szCs w:val="24"/>
        </w:rPr>
        <w:t xml:space="preserve"> and</w:t>
      </w:r>
      <w:r w:rsidR="008B64E9">
        <w:rPr>
          <w:rFonts w:ascii="Times New Roman" w:hAnsi="Times New Roman"/>
          <w:sz w:val="24"/>
          <w:szCs w:val="24"/>
        </w:rPr>
        <w:t xml:space="preserve"> provided opportunity for further comment as well as alerting the public of this submission to OMB.</w:t>
      </w:r>
    </w:p>
    <w:p w14:paraId="1241F3FD" w14:textId="77777777" w:rsidR="00EB3E6F" w:rsidRPr="003E5045" w:rsidRDefault="00EB3E6F" w:rsidP="0092596C">
      <w:pPr>
        <w:spacing w:after="0" w:line="240" w:lineRule="auto"/>
        <w:rPr>
          <w:rFonts w:ascii="Times New Roman" w:hAnsi="Times New Roman" w:cs="Times New Roman"/>
          <w:sz w:val="24"/>
          <w:szCs w:val="24"/>
        </w:rPr>
      </w:pPr>
    </w:p>
    <w:p w14:paraId="0739E3CA" w14:textId="77777777" w:rsidR="00EB3E6F" w:rsidRPr="003E5045"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EXPLAIN ANY PAYMENT OR GIFTS TO RESPONDENTS</w:t>
      </w:r>
    </w:p>
    <w:p w14:paraId="52E47CAC" w14:textId="77777777" w:rsidR="00D80FBD" w:rsidRPr="003E5045" w:rsidRDefault="00D80FBD" w:rsidP="0092596C">
      <w:pPr>
        <w:spacing w:after="0" w:line="240" w:lineRule="auto"/>
        <w:rPr>
          <w:rFonts w:ascii="Times New Roman" w:hAnsi="Times New Roman" w:cs="Times New Roman"/>
          <w:sz w:val="24"/>
          <w:szCs w:val="24"/>
        </w:rPr>
      </w:pPr>
    </w:p>
    <w:p w14:paraId="228FA67B" w14:textId="77777777" w:rsidR="0072126E" w:rsidRPr="003E5045" w:rsidRDefault="0072126E" w:rsidP="0092596C">
      <w:pPr>
        <w:spacing w:after="0" w:line="240" w:lineRule="auto"/>
        <w:rPr>
          <w:rFonts w:ascii="Times New Roman" w:hAnsi="Times New Roman"/>
          <w:sz w:val="24"/>
          <w:szCs w:val="24"/>
        </w:rPr>
      </w:pPr>
      <w:r w:rsidRPr="003E5045">
        <w:rPr>
          <w:rFonts w:ascii="Times New Roman" w:hAnsi="Times New Roman"/>
          <w:sz w:val="24"/>
          <w:szCs w:val="24"/>
        </w:rPr>
        <w:t>The Commission does not make payments or provide gifts for respondents related to this collection.</w:t>
      </w:r>
    </w:p>
    <w:p w14:paraId="7BF287E9" w14:textId="77777777" w:rsidR="00D80FBD" w:rsidRPr="003E5045" w:rsidRDefault="00D80FBD" w:rsidP="0092596C">
      <w:pPr>
        <w:spacing w:after="0" w:line="240" w:lineRule="auto"/>
        <w:rPr>
          <w:rFonts w:ascii="Times New Roman" w:hAnsi="Times New Roman" w:cs="Times New Roman"/>
          <w:sz w:val="24"/>
          <w:szCs w:val="24"/>
        </w:rPr>
      </w:pPr>
    </w:p>
    <w:p w14:paraId="2254DD92" w14:textId="77777777" w:rsidR="00D80FBD" w:rsidRPr="003E5045"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DESCRIBE ANY ASSURANCE OF CONFIDENTIALITY PROVIDED TO RESPONDENTS</w:t>
      </w:r>
    </w:p>
    <w:p w14:paraId="2CC5017B" w14:textId="77777777" w:rsidR="00182858" w:rsidRPr="003E5045" w:rsidRDefault="00182858" w:rsidP="0092596C">
      <w:pPr>
        <w:spacing w:after="0" w:line="240" w:lineRule="auto"/>
        <w:rPr>
          <w:rFonts w:ascii="Times New Roman" w:hAnsi="Times New Roman" w:cs="Times New Roman"/>
          <w:sz w:val="24"/>
          <w:szCs w:val="24"/>
        </w:rPr>
      </w:pPr>
    </w:p>
    <w:p w14:paraId="1CD6A48D" w14:textId="35399228" w:rsidR="00D80FBD" w:rsidRDefault="009D2601"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These standards</w:t>
      </w:r>
      <w:r w:rsidR="00B33F06">
        <w:rPr>
          <w:rFonts w:ascii="Times New Roman" w:hAnsi="Times New Roman" w:cs="Times New Roman"/>
          <w:sz w:val="24"/>
          <w:szCs w:val="24"/>
        </w:rPr>
        <w:t xml:space="preserve"> do not require any information or data to be submitted to FERC.</w:t>
      </w:r>
      <w:r w:rsidR="00522C92">
        <w:rPr>
          <w:rStyle w:val="FootnoteReference"/>
          <w:rFonts w:ascii="Times New Roman" w:hAnsi="Times New Roman" w:cs="Times New Roman"/>
          <w:sz w:val="24"/>
          <w:szCs w:val="24"/>
        </w:rPr>
        <w:footnoteReference w:id="8"/>
      </w:r>
      <w:r w:rsidR="00B33F06">
        <w:rPr>
          <w:rFonts w:ascii="Times New Roman" w:hAnsi="Times New Roman" w:cs="Times New Roman"/>
          <w:sz w:val="24"/>
          <w:szCs w:val="24"/>
        </w:rPr>
        <w:t xml:space="preserve">  </w:t>
      </w:r>
    </w:p>
    <w:p w14:paraId="694ADCCF" w14:textId="77777777" w:rsidR="009D2601" w:rsidRDefault="009D2601" w:rsidP="0092596C">
      <w:pPr>
        <w:spacing w:after="0" w:line="240" w:lineRule="auto"/>
        <w:rPr>
          <w:rFonts w:ascii="Times New Roman" w:hAnsi="Times New Roman" w:cs="Times New Roman"/>
          <w:sz w:val="24"/>
          <w:szCs w:val="24"/>
        </w:rPr>
      </w:pPr>
    </w:p>
    <w:p w14:paraId="7805E58F" w14:textId="0C1C62F3" w:rsidR="009D2601" w:rsidRPr="003E5045" w:rsidRDefault="009D2601" w:rsidP="0092596C">
      <w:pPr>
        <w:spacing w:after="0" w:line="240" w:lineRule="auto"/>
        <w:rPr>
          <w:rFonts w:ascii="Times New Roman" w:hAnsi="Times New Roman" w:cs="Times New Roman"/>
          <w:sz w:val="24"/>
          <w:szCs w:val="24"/>
        </w:rPr>
      </w:pPr>
      <w:r w:rsidRPr="009D2601">
        <w:rPr>
          <w:rFonts w:ascii="Times New Roman" w:hAnsi="Times New Roman" w:cs="Times New Roman"/>
          <w:sz w:val="24"/>
          <w:szCs w:val="24"/>
        </w:rPr>
        <w:t>According</w:t>
      </w:r>
      <w:r w:rsidR="00D96203">
        <w:rPr>
          <w:rFonts w:ascii="Times New Roman" w:hAnsi="Times New Roman" w:cs="Times New Roman"/>
          <w:sz w:val="24"/>
          <w:szCs w:val="24"/>
        </w:rPr>
        <w:t xml:space="preserve"> to the NERC Rule of Procedure S</w:t>
      </w:r>
      <w:r w:rsidRPr="009D2601">
        <w:rPr>
          <w:rFonts w:ascii="Times New Roman" w:hAnsi="Times New Roman" w:cs="Times New Roman"/>
          <w:sz w:val="24"/>
          <w:szCs w:val="24"/>
        </w:rPr>
        <w:t>ection 1502</w:t>
      </w:r>
      <w:r w:rsidRPr="009D2601">
        <w:rPr>
          <w:rFonts w:ascii="Times New Roman" w:hAnsi="Times New Roman" w:cs="Times New Roman"/>
          <w:sz w:val="24"/>
          <w:szCs w:val="24"/>
          <w:vertAlign w:val="superscript"/>
        </w:rPr>
        <w:footnoteReference w:id="9"/>
      </w:r>
      <w:r w:rsidRPr="009D2601">
        <w:rPr>
          <w:rFonts w:ascii="Times New Roman" w:hAnsi="Times New Roman" w:cs="Times New Roman"/>
          <w:sz w:val="24"/>
          <w:szCs w:val="24"/>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71737908" w14:textId="77777777" w:rsidR="00D80FBD" w:rsidRPr="003E5045" w:rsidRDefault="00D80FBD" w:rsidP="0092596C">
      <w:pPr>
        <w:spacing w:after="0" w:line="240" w:lineRule="auto"/>
        <w:rPr>
          <w:rFonts w:ascii="Times New Roman" w:hAnsi="Times New Roman" w:cs="Times New Roman"/>
          <w:sz w:val="24"/>
          <w:szCs w:val="24"/>
        </w:rPr>
      </w:pPr>
    </w:p>
    <w:p w14:paraId="75F71081" w14:textId="77777777" w:rsidR="00C57895" w:rsidRPr="00C57895" w:rsidRDefault="00C57895" w:rsidP="00C57895">
      <w:pPr>
        <w:pStyle w:val="ListParagraph"/>
        <w:numPr>
          <w:ilvl w:val="0"/>
          <w:numId w:val="1"/>
        </w:numPr>
        <w:spacing w:after="0" w:line="240" w:lineRule="auto"/>
        <w:ind w:left="360"/>
        <w:rPr>
          <w:rFonts w:ascii="Times New Roman" w:hAnsi="Times New Roman" w:cs="Times New Roman"/>
          <w:b/>
          <w:sz w:val="24"/>
          <w:szCs w:val="24"/>
        </w:rPr>
      </w:pPr>
      <w:r w:rsidRPr="00C57895">
        <w:rPr>
          <w:rFonts w:ascii="Times New Roman" w:hAnsi="Times New Roman" w:cs="Times New Roman"/>
          <w:b/>
          <w:sz w:val="26"/>
          <w:szCs w:val="26"/>
        </w:rPr>
        <w:t xml:space="preserve">PROVIDE ADDITIONAL JUSTIFICATION FOR ANY QUESTIONS OF A SENSITIVE NATURE, SUCH AS SEXUAL BEHAVIOR AND ATTITUDES, RELIGIOUS BELIEFS, AND OTHER MATTERS THAT ARE COMMONLY CONSIDERED PRIVATE. </w:t>
      </w:r>
    </w:p>
    <w:p w14:paraId="22411495" w14:textId="77777777" w:rsidR="00C57895" w:rsidRPr="00C57895" w:rsidRDefault="00C57895" w:rsidP="00C57895">
      <w:pPr>
        <w:spacing w:after="0" w:line="240" w:lineRule="auto"/>
        <w:rPr>
          <w:rFonts w:ascii="Times New Roman" w:hAnsi="Times New Roman" w:cs="Times New Roman"/>
          <w:b/>
          <w:sz w:val="24"/>
          <w:szCs w:val="24"/>
        </w:rPr>
      </w:pPr>
    </w:p>
    <w:p w14:paraId="35BF6B60" w14:textId="77777777" w:rsidR="00C57895" w:rsidRPr="00F13C21" w:rsidRDefault="00C57895" w:rsidP="00C57895">
      <w:pPr>
        <w:spacing w:after="0" w:line="240" w:lineRule="auto"/>
        <w:rPr>
          <w:rFonts w:ascii="Times New Roman" w:hAnsi="Times New Roman" w:cs="Times New Roman"/>
          <w:sz w:val="24"/>
          <w:szCs w:val="24"/>
        </w:rPr>
      </w:pPr>
      <w:r w:rsidRPr="00F13C21">
        <w:rPr>
          <w:rFonts w:ascii="Times New Roman" w:hAnsi="Times New Roman" w:cs="Times New Roman"/>
          <w:sz w:val="24"/>
          <w:szCs w:val="24"/>
        </w:rPr>
        <w:t>This collection does not contain any questions of a sensitive nature.</w:t>
      </w:r>
    </w:p>
    <w:p w14:paraId="0B871426" w14:textId="77777777" w:rsidR="00D80FBD" w:rsidRPr="003E5045" w:rsidRDefault="00D80FBD" w:rsidP="0092596C">
      <w:pPr>
        <w:spacing w:after="0" w:line="240" w:lineRule="auto"/>
        <w:rPr>
          <w:rFonts w:ascii="Times New Roman" w:hAnsi="Times New Roman" w:cs="Times New Roman"/>
          <w:sz w:val="24"/>
          <w:szCs w:val="24"/>
        </w:rPr>
      </w:pPr>
    </w:p>
    <w:p w14:paraId="581CBA37" w14:textId="77777777" w:rsidR="00D80FBD" w:rsidRPr="003E5045"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ESTIMATED BURDEN OF COLLECTION OF INFORMATION</w:t>
      </w:r>
    </w:p>
    <w:p w14:paraId="6120A399" w14:textId="77777777" w:rsidR="00A4336A" w:rsidRPr="003E5045" w:rsidRDefault="00A4336A" w:rsidP="0092596C">
      <w:pPr>
        <w:spacing w:after="0" w:line="240" w:lineRule="auto"/>
        <w:rPr>
          <w:rFonts w:ascii="Times New Roman" w:hAnsi="Times New Roman" w:cs="Times New Roman"/>
          <w:sz w:val="24"/>
          <w:szCs w:val="24"/>
        </w:rPr>
      </w:pPr>
    </w:p>
    <w:p w14:paraId="3C406EAD" w14:textId="22A697A5" w:rsidR="00C22CE2" w:rsidRDefault="00C22CE2" w:rsidP="00C22CE2">
      <w:pPr>
        <w:spacing w:after="0" w:line="240" w:lineRule="auto"/>
        <w:rPr>
          <w:rFonts w:ascii="Times New Roman" w:hAnsi="Times New Roman" w:cs="Times New Roman"/>
          <w:sz w:val="24"/>
          <w:szCs w:val="24"/>
        </w:rPr>
      </w:pPr>
      <w:r w:rsidRPr="00C22CE2">
        <w:rPr>
          <w:rFonts w:ascii="Times New Roman" w:hAnsi="Times New Roman" w:cs="Times New Roman"/>
          <w:sz w:val="24"/>
          <w:szCs w:val="24"/>
        </w:rPr>
        <w:t>Commission staff analyzed the proposed and currently enforced standards and has concluded that while information collection requirements have been deleted, added, and/or changed, the overall paperwork burden and applicable respondent universe remains unchanged.  To improve accounting of the burden, the Commission recognizes that in the transition from VAR-001-3 to VAR-001-4 requirement R1 there is a decrease in documentation rel</w:t>
      </w:r>
      <w:r w:rsidR="00F13C21">
        <w:rPr>
          <w:rFonts w:ascii="Times New Roman" w:hAnsi="Times New Roman" w:cs="Times New Roman"/>
          <w:sz w:val="24"/>
          <w:szCs w:val="24"/>
        </w:rPr>
        <w:t xml:space="preserve">ated to policies and </w:t>
      </w:r>
      <w:r w:rsidR="00F13C21">
        <w:rPr>
          <w:rFonts w:ascii="Times New Roman" w:hAnsi="Times New Roman" w:cs="Times New Roman"/>
          <w:sz w:val="24"/>
          <w:szCs w:val="24"/>
        </w:rPr>
        <w:lastRenderedPageBreak/>
        <w:t>procedures. H</w:t>
      </w:r>
      <w:r w:rsidRPr="00C22CE2">
        <w:rPr>
          <w:rFonts w:ascii="Times New Roman" w:hAnsi="Times New Roman" w:cs="Times New Roman"/>
          <w:sz w:val="24"/>
          <w:szCs w:val="24"/>
        </w:rPr>
        <w:t xml:space="preserve">owever, the transmission operators are now required to have documentation related to system voltage and reactive power schedules as well as documentation related to coordination with adjacent transmission operators and applicable reliability coordinators.  The Commission estimates that this transition leads to a decrease of 160 hours as well as an increase of 160 hours, for a net change of zero.  For the transition from VAR-002-2b to VAR-002-3 the Commission estimates that changes in requirement R1 lead to an increase of 80 hours for </w:t>
      </w:r>
      <w:r w:rsidR="003E4922">
        <w:rPr>
          <w:rFonts w:ascii="Times New Roman" w:hAnsi="Times New Roman" w:cs="Times New Roman"/>
          <w:sz w:val="24"/>
          <w:szCs w:val="24"/>
        </w:rPr>
        <w:t>documentation</w:t>
      </w:r>
      <w:r w:rsidRPr="00C22CE2">
        <w:rPr>
          <w:rFonts w:ascii="Times New Roman" w:hAnsi="Times New Roman" w:cs="Times New Roman"/>
          <w:sz w:val="24"/>
          <w:szCs w:val="24"/>
        </w:rPr>
        <w:t xml:space="preserve"> and changes in requirement R2 lead to an increase in 120 hours for </w:t>
      </w:r>
      <w:r w:rsidR="003E4922">
        <w:rPr>
          <w:rFonts w:ascii="Times New Roman" w:hAnsi="Times New Roman" w:cs="Times New Roman"/>
          <w:sz w:val="24"/>
          <w:szCs w:val="24"/>
        </w:rPr>
        <w:t>documentation</w:t>
      </w:r>
      <w:r w:rsidRPr="00C22CE2">
        <w:rPr>
          <w:rFonts w:ascii="Times New Roman" w:hAnsi="Times New Roman" w:cs="Times New Roman"/>
          <w:sz w:val="24"/>
          <w:szCs w:val="24"/>
        </w:rPr>
        <w:t>.  However, the Commission estimates a decrease of the same magnitude (</w:t>
      </w:r>
      <w:r w:rsidR="00F13C21">
        <w:rPr>
          <w:rFonts w:ascii="Times New Roman" w:hAnsi="Times New Roman" w:cs="Times New Roman"/>
          <w:sz w:val="24"/>
          <w:szCs w:val="24"/>
        </w:rPr>
        <w:t xml:space="preserve">80 hours + 120 hours = </w:t>
      </w:r>
      <w:r w:rsidRPr="00C22CE2">
        <w:rPr>
          <w:rFonts w:ascii="Times New Roman" w:hAnsi="Times New Roman" w:cs="Times New Roman"/>
          <w:sz w:val="24"/>
          <w:szCs w:val="24"/>
        </w:rPr>
        <w:t xml:space="preserve">200 hours) related to the changes in requirements R3 and R4.  The remaining information collection requirements in the two standards remain essentially unchanged.  </w:t>
      </w:r>
      <w:r w:rsidRPr="002360D0">
        <w:rPr>
          <w:rFonts w:ascii="Times New Roman" w:hAnsi="Times New Roman" w:cs="Times New Roman"/>
          <w:sz w:val="24"/>
          <w:szCs w:val="24"/>
        </w:rPr>
        <w:t>Based on the above estimates the Commission intends to submit a reduction of 360</w:t>
      </w:r>
      <w:r w:rsidR="00552DDC" w:rsidRPr="002360D0">
        <w:rPr>
          <w:rFonts w:ascii="Times New Roman" w:hAnsi="Times New Roman" w:cs="Times New Roman"/>
          <w:sz w:val="24"/>
          <w:szCs w:val="24"/>
        </w:rPr>
        <w:t xml:space="preserve"> hours</w:t>
      </w:r>
      <w:r w:rsidR="00FC7FB6" w:rsidRPr="002360D0">
        <w:rPr>
          <w:rFonts w:ascii="Times New Roman" w:hAnsi="Times New Roman" w:cs="Times New Roman"/>
          <w:sz w:val="24"/>
          <w:szCs w:val="24"/>
        </w:rPr>
        <w:t>[</w:t>
      </w:r>
      <w:r w:rsidR="00552DDC" w:rsidRPr="002360D0">
        <w:rPr>
          <w:rFonts w:ascii="Times New Roman" w:hAnsi="Times New Roman" w:cs="Times New Roman"/>
          <w:sz w:val="24"/>
          <w:szCs w:val="24"/>
        </w:rPr>
        <w:t xml:space="preserve">retired standards: </w:t>
      </w:r>
      <w:r w:rsidR="00FC7FB6" w:rsidRPr="002360D0">
        <w:rPr>
          <w:rFonts w:ascii="Times New Roman" w:hAnsi="Times New Roman" w:cs="Times New Roman"/>
          <w:sz w:val="24"/>
          <w:szCs w:val="24"/>
        </w:rPr>
        <w:t>VAR-001-3</w:t>
      </w:r>
      <w:r w:rsidR="004B6275">
        <w:rPr>
          <w:rFonts w:ascii="Times New Roman" w:hAnsi="Times New Roman" w:cs="Times New Roman"/>
          <w:sz w:val="24"/>
          <w:szCs w:val="24"/>
        </w:rPr>
        <w:t xml:space="preserve"> R1</w:t>
      </w:r>
      <w:r w:rsidR="00FC7FB6" w:rsidRPr="002360D0">
        <w:rPr>
          <w:rFonts w:ascii="Times New Roman" w:hAnsi="Times New Roman" w:cs="Times New Roman"/>
          <w:sz w:val="24"/>
          <w:szCs w:val="24"/>
        </w:rPr>
        <w:t xml:space="preserve"> (-160 hours) + VAR-002-2b</w:t>
      </w:r>
      <w:r w:rsidR="004B6275">
        <w:rPr>
          <w:rFonts w:ascii="Times New Roman" w:hAnsi="Times New Roman" w:cs="Times New Roman"/>
          <w:sz w:val="24"/>
          <w:szCs w:val="24"/>
        </w:rPr>
        <w:t xml:space="preserve"> R3 &amp; R4</w:t>
      </w:r>
      <w:r w:rsidR="00FC7FB6" w:rsidRPr="002360D0">
        <w:rPr>
          <w:rFonts w:ascii="Times New Roman" w:hAnsi="Times New Roman" w:cs="Times New Roman"/>
          <w:sz w:val="24"/>
          <w:szCs w:val="24"/>
        </w:rPr>
        <w:t xml:space="preserve"> (-200 hours)</w:t>
      </w:r>
      <w:r w:rsidR="00552DDC" w:rsidRPr="002360D0">
        <w:rPr>
          <w:rFonts w:ascii="Times New Roman" w:hAnsi="Times New Roman" w:cs="Times New Roman"/>
          <w:sz w:val="24"/>
          <w:szCs w:val="24"/>
        </w:rPr>
        <w:t>]</w:t>
      </w:r>
      <w:r w:rsidRPr="002360D0">
        <w:rPr>
          <w:rFonts w:ascii="Times New Roman" w:hAnsi="Times New Roman" w:cs="Times New Roman"/>
          <w:sz w:val="24"/>
          <w:szCs w:val="24"/>
        </w:rPr>
        <w:t xml:space="preserve"> from FERC-725A and an increase of 360 hours</w:t>
      </w:r>
      <w:r w:rsidR="00552DDC" w:rsidRPr="002360D0">
        <w:rPr>
          <w:rFonts w:ascii="Times New Roman" w:hAnsi="Times New Roman" w:cs="Times New Roman"/>
          <w:sz w:val="24"/>
          <w:szCs w:val="24"/>
        </w:rPr>
        <w:t xml:space="preserve"> [approved standards: VAR-001-4</w:t>
      </w:r>
      <w:r w:rsidR="004B6275">
        <w:rPr>
          <w:rFonts w:ascii="Times New Roman" w:hAnsi="Times New Roman" w:cs="Times New Roman"/>
          <w:sz w:val="24"/>
          <w:szCs w:val="24"/>
        </w:rPr>
        <w:t xml:space="preserve"> R1</w:t>
      </w:r>
      <w:r w:rsidR="00552DDC" w:rsidRPr="002360D0">
        <w:rPr>
          <w:rFonts w:ascii="Times New Roman" w:hAnsi="Times New Roman" w:cs="Times New Roman"/>
          <w:sz w:val="24"/>
          <w:szCs w:val="24"/>
        </w:rPr>
        <w:t xml:space="preserve"> (160 hours) + VAR-002-3 R1 (80 hours) + VAR-002-3 R2 (120 hours)]</w:t>
      </w:r>
      <w:r w:rsidRPr="002360D0">
        <w:rPr>
          <w:rFonts w:ascii="Times New Roman" w:hAnsi="Times New Roman" w:cs="Times New Roman"/>
          <w:sz w:val="24"/>
          <w:szCs w:val="24"/>
        </w:rPr>
        <w:t xml:space="preserve"> into FERC-725X, a new collection FERC is using to account for burden related to VAR reliability standards.</w:t>
      </w:r>
      <w:r w:rsidRPr="00C22CE2">
        <w:rPr>
          <w:rFonts w:ascii="Times New Roman" w:hAnsi="Times New Roman" w:cs="Times New Roman"/>
          <w:sz w:val="24"/>
          <w:szCs w:val="24"/>
        </w:rPr>
        <w:t xml:space="preserve">   The following table summarizes the burden changes:</w:t>
      </w:r>
    </w:p>
    <w:p w14:paraId="5354CB0F" w14:textId="77777777" w:rsidR="00A54B3E" w:rsidRPr="00C22CE2" w:rsidRDefault="00A54B3E" w:rsidP="00C22CE2">
      <w:pPr>
        <w:spacing w:after="0" w:line="240" w:lineRule="auto"/>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1803"/>
        <w:gridCol w:w="1531"/>
        <w:gridCol w:w="1256"/>
        <w:gridCol w:w="1386"/>
        <w:gridCol w:w="1700"/>
      </w:tblGrid>
      <w:tr w:rsidR="00C22CE2" w:rsidRPr="00C22CE2" w14:paraId="27F0F635" w14:textId="77777777" w:rsidTr="00C22CE2">
        <w:trPr>
          <w:cantSplit/>
        </w:trPr>
        <w:tc>
          <w:tcPr>
            <w:tcW w:w="1022" w:type="pct"/>
            <w:shd w:val="clear" w:color="auto" w:fill="D9D9D9"/>
            <w:vAlign w:val="bottom"/>
          </w:tcPr>
          <w:p w14:paraId="0EE2C89B" w14:textId="77777777" w:rsidR="00C22CE2" w:rsidRPr="00C22CE2" w:rsidRDefault="00C22CE2" w:rsidP="00C22CE2">
            <w:pPr>
              <w:spacing w:after="0" w:line="240" w:lineRule="auto"/>
              <w:jc w:val="center"/>
              <w:rPr>
                <w:rFonts w:ascii="Times New Roman" w:hAnsi="Times New Roman" w:cs="Times New Roman"/>
                <w:b/>
                <w:sz w:val="24"/>
                <w:szCs w:val="24"/>
              </w:rPr>
            </w:pPr>
            <w:r w:rsidRPr="00C22CE2">
              <w:rPr>
                <w:rFonts w:ascii="Times New Roman" w:hAnsi="Times New Roman" w:cs="Times New Roman"/>
                <w:b/>
                <w:sz w:val="24"/>
                <w:szCs w:val="24"/>
              </w:rPr>
              <w:t>Changes</w:t>
            </w:r>
          </w:p>
        </w:tc>
        <w:tc>
          <w:tcPr>
            <w:tcW w:w="934" w:type="pct"/>
            <w:shd w:val="clear" w:color="auto" w:fill="D9D9D9"/>
            <w:vAlign w:val="bottom"/>
          </w:tcPr>
          <w:p w14:paraId="2D36890C" w14:textId="77777777" w:rsidR="00C22CE2" w:rsidRPr="00C22CE2" w:rsidRDefault="00C22CE2" w:rsidP="00C22CE2">
            <w:pPr>
              <w:spacing w:after="0" w:line="240" w:lineRule="auto"/>
              <w:jc w:val="center"/>
              <w:rPr>
                <w:rFonts w:ascii="Times New Roman" w:hAnsi="Times New Roman" w:cs="Times New Roman"/>
                <w:b/>
                <w:sz w:val="24"/>
                <w:szCs w:val="24"/>
              </w:rPr>
            </w:pPr>
            <w:r w:rsidRPr="00C22CE2">
              <w:rPr>
                <w:rFonts w:ascii="Times New Roman" w:hAnsi="Times New Roman" w:cs="Times New Roman"/>
                <w:b/>
                <w:sz w:val="24"/>
                <w:szCs w:val="24"/>
              </w:rPr>
              <w:t>Number of Respondents</w:t>
            </w:r>
            <w:bookmarkStart w:id="1" w:name="_Ref366073937"/>
            <w:r w:rsidRPr="00C22CE2">
              <w:rPr>
                <w:rFonts w:ascii="Times New Roman" w:hAnsi="Times New Roman" w:cs="Times New Roman"/>
                <w:b/>
                <w:sz w:val="24"/>
                <w:szCs w:val="24"/>
                <w:vertAlign w:val="superscript"/>
              </w:rPr>
              <w:footnoteReference w:id="10"/>
            </w:r>
            <w:bookmarkEnd w:id="1"/>
            <w:r w:rsidRPr="00C22CE2">
              <w:rPr>
                <w:rFonts w:ascii="Times New Roman" w:hAnsi="Times New Roman" w:cs="Times New Roman"/>
                <w:b/>
                <w:sz w:val="24"/>
                <w:szCs w:val="24"/>
              </w:rPr>
              <w:br/>
              <w:t>(1)</w:t>
            </w:r>
          </w:p>
        </w:tc>
        <w:tc>
          <w:tcPr>
            <w:tcW w:w="793" w:type="pct"/>
            <w:shd w:val="clear" w:color="auto" w:fill="D9D9D9"/>
            <w:vAlign w:val="bottom"/>
          </w:tcPr>
          <w:p w14:paraId="203467AE" w14:textId="77777777" w:rsidR="00C22CE2" w:rsidRPr="00C22CE2" w:rsidRDefault="00C22CE2" w:rsidP="00C22CE2">
            <w:pPr>
              <w:spacing w:after="0" w:line="240" w:lineRule="auto"/>
              <w:jc w:val="center"/>
              <w:rPr>
                <w:rFonts w:ascii="Times New Roman" w:hAnsi="Times New Roman" w:cs="Times New Roman"/>
                <w:b/>
                <w:sz w:val="24"/>
                <w:szCs w:val="24"/>
              </w:rPr>
            </w:pPr>
            <w:r w:rsidRPr="00C22CE2">
              <w:rPr>
                <w:rFonts w:ascii="Times New Roman" w:hAnsi="Times New Roman" w:cs="Times New Roman"/>
                <w:b/>
                <w:sz w:val="24"/>
                <w:szCs w:val="24"/>
              </w:rPr>
              <w:t>Number of Responses per Respondent</w:t>
            </w:r>
          </w:p>
          <w:p w14:paraId="157A3B48" w14:textId="77777777" w:rsidR="00C22CE2" w:rsidRPr="00C22CE2" w:rsidRDefault="00C22CE2" w:rsidP="00C22CE2">
            <w:pPr>
              <w:spacing w:after="0" w:line="240" w:lineRule="auto"/>
              <w:jc w:val="center"/>
              <w:rPr>
                <w:rFonts w:ascii="Times New Roman" w:hAnsi="Times New Roman" w:cs="Times New Roman"/>
                <w:b/>
                <w:sz w:val="24"/>
                <w:szCs w:val="24"/>
              </w:rPr>
            </w:pPr>
            <w:r w:rsidRPr="00C22CE2">
              <w:rPr>
                <w:rFonts w:ascii="Times New Roman" w:hAnsi="Times New Roman" w:cs="Times New Roman"/>
                <w:b/>
                <w:sz w:val="24"/>
                <w:szCs w:val="24"/>
              </w:rPr>
              <w:t>(2)</w:t>
            </w:r>
          </w:p>
        </w:tc>
        <w:tc>
          <w:tcPr>
            <w:tcW w:w="651" w:type="pct"/>
            <w:shd w:val="clear" w:color="auto" w:fill="D9D9D9"/>
            <w:vAlign w:val="bottom"/>
          </w:tcPr>
          <w:p w14:paraId="0D40EE0F" w14:textId="77777777" w:rsidR="00C22CE2" w:rsidRPr="00C22CE2" w:rsidRDefault="00C22CE2" w:rsidP="00C22CE2">
            <w:pPr>
              <w:spacing w:after="0" w:line="240" w:lineRule="auto"/>
              <w:jc w:val="center"/>
              <w:rPr>
                <w:rFonts w:ascii="Times New Roman" w:hAnsi="Times New Roman" w:cs="Times New Roman"/>
                <w:b/>
                <w:sz w:val="24"/>
                <w:szCs w:val="24"/>
              </w:rPr>
            </w:pPr>
            <w:r w:rsidRPr="00C22CE2">
              <w:rPr>
                <w:rFonts w:ascii="Times New Roman" w:hAnsi="Times New Roman" w:cs="Times New Roman"/>
                <w:b/>
                <w:sz w:val="24"/>
                <w:szCs w:val="24"/>
              </w:rPr>
              <w:t>Average Burden Hours Per Response</w:t>
            </w:r>
          </w:p>
          <w:p w14:paraId="0EF97212" w14:textId="77777777" w:rsidR="00C22CE2" w:rsidRPr="00C22CE2" w:rsidRDefault="00C22CE2" w:rsidP="00C22CE2">
            <w:pPr>
              <w:spacing w:after="0" w:line="240" w:lineRule="auto"/>
              <w:jc w:val="center"/>
              <w:rPr>
                <w:rFonts w:ascii="Times New Roman" w:hAnsi="Times New Roman" w:cs="Times New Roman"/>
                <w:b/>
                <w:sz w:val="24"/>
                <w:szCs w:val="24"/>
              </w:rPr>
            </w:pPr>
            <w:r w:rsidRPr="00C22CE2">
              <w:rPr>
                <w:rFonts w:ascii="Times New Roman" w:hAnsi="Times New Roman" w:cs="Times New Roman"/>
                <w:b/>
                <w:sz w:val="24"/>
                <w:szCs w:val="24"/>
              </w:rPr>
              <w:t>(3)</w:t>
            </w:r>
          </w:p>
        </w:tc>
        <w:tc>
          <w:tcPr>
            <w:tcW w:w="718" w:type="pct"/>
            <w:shd w:val="clear" w:color="auto" w:fill="D9D9D9"/>
            <w:vAlign w:val="bottom"/>
          </w:tcPr>
          <w:p w14:paraId="1299CDFF" w14:textId="77777777" w:rsidR="00C22CE2" w:rsidRPr="00C22CE2" w:rsidRDefault="00C22CE2" w:rsidP="00C22CE2">
            <w:pPr>
              <w:spacing w:after="0" w:line="240" w:lineRule="auto"/>
              <w:jc w:val="center"/>
              <w:rPr>
                <w:rFonts w:ascii="Times New Roman" w:hAnsi="Times New Roman" w:cs="Times New Roman"/>
                <w:b/>
                <w:sz w:val="24"/>
                <w:szCs w:val="24"/>
              </w:rPr>
            </w:pPr>
            <w:r w:rsidRPr="00C22CE2">
              <w:rPr>
                <w:rFonts w:ascii="Times New Roman" w:hAnsi="Times New Roman" w:cs="Times New Roman"/>
                <w:b/>
                <w:sz w:val="24"/>
                <w:szCs w:val="24"/>
              </w:rPr>
              <w:t>Total Annual Burden Hours</w:t>
            </w:r>
          </w:p>
          <w:p w14:paraId="31805E9E" w14:textId="77777777" w:rsidR="00C22CE2" w:rsidRPr="00C22CE2" w:rsidRDefault="00C22CE2" w:rsidP="00C22CE2">
            <w:pPr>
              <w:spacing w:after="0" w:line="240" w:lineRule="auto"/>
              <w:jc w:val="center"/>
              <w:rPr>
                <w:rFonts w:ascii="Times New Roman" w:hAnsi="Times New Roman" w:cs="Times New Roman"/>
                <w:b/>
                <w:sz w:val="24"/>
                <w:szCs w:val="24"/>
              </w:rPr>
            </w:pPr>
            <w:r w:rsidRPr="00C22CE2">
              <w:rPr>
                <w:rFonts w:ascii="Times New Roman" w:hAnsi="Times New Roman" w:cs="Times New Roman"/>
                <w:b/>
                <w:sz w:val="24"/>
                <w:szCs w:val="24"/>
              </w:rPr>
              <w:t>(1)x(2)x(3)</w:t>
            </w:r>
          </w:p>
        </w:tc>
        <w:tc>
          <w:tcPr>
            <w:tcW w:w="881" w:type="pct"/>
            <w:shd w:val="clear" w:color="auto" w:fill="D9D9D9"/>
            <w:vAlign w:val="bottom"/>
          </w:tcPr>
          <w:p w14:paraId="24BAA8F8" w14:textId="77777777" w:rsidR="00C22CE2" w:rsidRPr="00C22CE2" w:rsidRDefault="00C22CE2" w:rsidP="00C22CE2">
            <w:pPr>
              <w:spacing w:after="0" w:line="240" w:lineRule="auto"/>
              <w:jc w:val="center"/>
              <w:rPr>
                <w:rFonts w:ascii="Times New Roman" w:hAnsi="Times New Roman" w:cs="Times New Roman"/>
                <w:b/>
                <w:sz w:val="24"/>
                <w:szCs w:val="24"/>
              </w:rPr>
            </w:pPr>
            <w:r w:rsidRPr="00C22CE2">
              <w:rPr>
                <w:rFonts w:ascii="Times New Roman" w:hAnsi="Times New Roman" w:cs="Times New Roman"/>
                <w:b/>
                <w:sz w:val="24"/>
                <w:szCs w:val="24"/>
              </w:rPr>
              <w:t>Total Annual Cost</w:t>
            </w:r>
            <w:bookmarkStart w:id="2" w:name="_Ref366073887"/>
            <w:r w:rsidRPr="00C22CE2">
              <w:rPr>
                <w:rFonts w:ascii="Times New Roman" w:hAnsi="Times New Roman" w:cs="Times New Roman"/>
                <w:b/>
                <w:sz w:val="24"/>
                <w:szCs w:val="24"/>
                <w:vertAlign w:val="superscript"/>
              </w:rPr>
              <w:footnoteReference w:id="11"/>
            </w:r>
            <w:bookmarkEnd w:id="2"/>
          </w:p>
        </w:tc>
      </w:tr>
      <w:tr w:rsidR="00C22CE2" w:rsidRPr="00C22CE2" w14:paraId="3A230550" w14:textId="77777777" w:rsidTr="00C22CE2">
        <w:trPr>
          <w:cantSplit/>
        </w:trPr>
        <w:tc>
          <w:tcPr>
            <w:tcW w:w="1022" w:type="pct"/>
          </w:tcPr>
          <w:p w14:paraId="62220700" w14:textId="77777777" w:rsidR="00C22CE2" w:rsidRPr="00C22CE2" w:rsidRDefault="00C22CE2" w:rsidP="00C22CE2">
            <w:pPr>
              <w:spacing w:after="0" w:line="240" w:lineRule="auto"/>
              <w:rPr>
                <w:rFonts w:ascii="Times New Roman" w:hAnsi="Times New Roman" w:cs="Times New Roman"/>
                <w:sz w:val="24"/>
                <w:szCs w:val="24"/>
              </w:rPr>
            </w:pPr>
            <w:r w:rsidRPr="00C22CE2">
              <w:rPr>
                <w:rFonts w:ascii="Times New Roman" w:hAnsi="Times New Roman" w:cs="Times New Roman"/>
                <w:sz w:val="24"/>
                <w:szCs w:val="24"/>
              </w:rPr>
              <w:t>VAR-001-4 Requirement R1 Increase (FERC-725X)</w:t>
            </w:r>
          </w:p>
        </w:tc>
        <w:tc>
          <w:tcPr>
            <w:tcW w:w="934" w:type="pct"/>
            <w:vAlign w:val="bottom"/>
          </w:tcPr>
          <w:p w14:paraId="4E736A3C"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184 (TOP)</w:t>
            </w:r>
          </w:p>
        </w:tc>
        <w:tc>
          <w:tcPr>
            <w:tcW w:w="793" w:type="pct"/>
            <w:vAlign w:val="bottom"/>
          </w:tcPr>
          <w:p w14:paraId="3CBF5477"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1</w:t>
            </w:r>
          </w:p>
        </w:tc>
        <w:tc>
          <w:tcPr>
            <w:tcW w:w="651" w:type="pct"/>
            <w:vAlign w:val="bottom"/>
          </w:tcPr>
          <w:p w14:paraId="13183CD0"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160</w:t>
            </w:r>
          </w:p>
        </w:tc>
        <w:tc>
          <w:tcPr>
            <w:tcW w:w="718" w:type="pct"/>
            <w:vAlign w:val="bottom"/>
          </w:tcPr>
          <w:p w14:paraId="23E1BA67"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29,440</w:t>
            </w:r>
          </w:p>
        </w:tc>
        <w:tc>
          <w:tcPr>
            <w:tcW w:w="881" w:type="pct"/>
            <w:vAlign w:val="bottom"/>
          </w:tcPr>
          <w:p w14:paraId="25B8B5CB"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$1,766,400</w:t>
            </w:r>
          </w:p>
        </w:tc>
      </w:tr>
      <w:tr w:rsidR="00C22CE2" w:rsidRPr="00C22CE2" w14:paraId="42D065E3" w14:textId="77777777" w:rsidTr="00C22CE2">
        <w:trPr>
          <w:cantSplit/>
          <w:trHeight w:val="467"/>
        </w:trPr>
        <w:tc>
          <w:tcPr>
            <w:tcW w:w="1022" w:type="pct"/>
          </w:tcPr>
          <w:p w14:paraId="6C8F9C5C" w14:textId="2A20D3DE" w:rsidR="00C22CE2" w:rsidRPr="00C22CE2" w:rsidRDefault="00C22CE2" w:rsidP="00C22CE2">
            <w:pPr>
              <w:spacing w:after="0" w:line="240" w:lineRule="auto"/>
              <w:rPr>
                <w:rFonts w:ascii="Times New Roman" w:hAnsi="Times New Roman" w:cs="Times New Roman"/>
                <w:sz w:val="24"/>
                <w:szCs w:val="24"/>
              </w:rPr>
            </w:pPr>
            <w:r w:rsidRPr="00C22CE2">
              <w:rPr>
                <w:rFonts w:ascii="Times New Roman" w:hAnsi="Times New Roman" w:cs="Times New Roman"/>
                <w:sz w:val="24"/>
                <w:szCs w:val="24"/>
              </w:rPr>
              <w:t>VAR-001-</w:t>
            </w:r>
            <w:r w:rsidR="003111E7">
              <w:rPr>
                <w:rFonts w:ascii="Times New Roman" w:hAnsi="Times New Roman" w:cs="Times New Roman"/>
                <w:sz w:val="24"/>
                <w:szCs w:val="24"/>
              </w:rPr>
              <w:t>3</w:t>
            </w:r>
            <w:r w:rsidRPr="00C22CE2">
              <w:rPr>
                <w:rFonts w:ascii="Times New Roman" w:hAnsi="Times New Roman" w:cs="Times New Roman"/>
                <w:sz w:val="24"/>
                <w:szCs w:val="24"/>
              </w:rPr>
              <w:t xml:space="preserve"> Requirement R1 Decrease (FERC-725A)</w:t>
            </w:r>
          </w:p>
        </w:tc>
        <w:tc>
          <w:tcPr>
            <w:tcW w:w="934" w:type="pct"/>
            <w:vAlign w:val="bottom"/>
          </w:tcPr>
          <w:p w14:paraId="5C6E6E81"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184 (TOP)</w:t>
            </w:r>
          </w:p>
        </w:tc>
        <w:tc>
          <w:tcPr>
            <w:tcW w:w="793" w:type="pct"/>
            <w:vAlign w:val="bottom"/>
          </w:tcPr>
          <w:p w14:paraId="13923916"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1</w:t>
            </w:r>
          </w:p>
        </w:tc>
        <w:tc>
          <w:tcPr>
            <w:tcW w:w="651" w:type="pct"/>
            <w:vAlign w:val="bottom"/>
          </w:tcPr>
          <w:p w14:paraId="6BA4BBE2"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-160</w:t>
            </w:r>
          </w:p>
        </w:tc>
        <w:tc>
          <w:tcPr>
            <w:tcW w:w="718" w:type="pct"/>
            <w:vAlign w:val="bottom"/>
          </w:tcPr>
          <w:p w14:paraId="29C8C477"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-29,440</w:t>
            </w:r>
          </w:p>
        </w:tc>
        <w:tc>
          <w:tcPr>
            <w:tcW w:w="881" w:type="pct"/>
            <w:vAlign w:val="bottom"/>
          </w:tcPr>
          <w:p w14:paraId="1625CA59"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-$1,766,400</w:t>
            </w:r>
          </w:p>
        </w:tc>
      </w:tr>
      <w:tr w:rsidR="00C22CE2" w:rsidRPr="00C22CE2" w14:paraId="0AF78977" w14:textId="77777777" w:rsidTr="00C22CE2">
        <w:trPr>
          <w:cantSplit/>
          <w:trHeight w:val="485"/>
        </w:trPr>
        <w:tc>
          <w:tcPr>
            <w:tcW w:w="1022" w:type="pct"/>
          </w:tcPr>
          <w:p w14:paraId="4FE1A016" w14:textId="77777777" w:rsidR="00C22CE2" w:rsidRPr="00C22CE2" w:rsidRDefault="00C22CE2" w:rsidP="00C22CE2">
            <w:pPr>
              <w:spacing w:after="0" w:line="240" w:lineRule="auto"/>
              <w:rPr>
                <w:rFonts w:ascii="Times New Roman" w:hAnsi="Times New Roman" w:cs="Times New Roman"/>
                <w:sz w:val="24"/>
                <w:szCs w:val="24"/>
              </w:rPr>
            </w:pPr>
            <w:r w:rsidRPr="00C22CE2">
              <w:rPr>
                <w:rFonts w:ascii="Times New Roman" w:hAnsi="Times New Roman" w:cs="Times New Roman"/>
                <w:sz w:val="24"/>
                <w:szCs w:val="24"/>
              </w:rPr>
              <w:t>VAR-002-3 Requirement R1 Increase (FERC-725X)</w:t>
            </w:r>
          </w:p>
        </w:tc>
        <w:tc>
          <w:tcPr>
            <w:tcW w:w="934" w:type="pct"/>
            <w:tcBorders>
              <w:bottom w:val="single" w:sz="4" w:space="0" w:color="auto"/>
            </w:tcBorders>
            <w:vAlign w:val="bottom"/>
          </w:tcPr>
          <w:p w14:paraId="1DC7580B"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874 (GOP)</w:t>
            </w:r>
          </w:p>
        </w:tc>
        <w:tc>
          <w:tcPr>
            <w:tcW w:w="793" w:type="pct"/>
            <w:tcBorders>
              <w:bottom w:val="single" w:sz="4" w:space="0" w:color="auto"/>
            </w:tcBorders>
            <w:vAlign w:val="bottom"/>
          </w:tcPr>
          <w:p w14:paraId="03894EA1"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1</w:t>
            </w:r>
          </w:p>
        </w:tc>
        <w:tc>
          <w:tcPr>
            <w:tcW w:w="651" w:type="pct"/>
            <w:tcBorders>
              <w:bottom w:val="single" w:sz="4" w:space="0" w:color="auto"/>
            </w:tcBorders>
            <w:vAlign w:val="bottom"/>
          </w:tcPr>
          <w:p w14:paraId="459A258B"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80</w:t>
            </w:r>
          </w:p>
        </w:tc>
        <w:tc>
          <w:tcPr>
            <w:tcW w:w="718" w:type="pct"/>
            <w:vAlign w:val="bottom"/>
          </w:tcPr>
          <w:p w14:paraId="459F2208"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69,920</w:t>
            </w:r>
          </w:p>
        </w:tc>
        <w:tc>
          <w:tcPr>
            <w:tcW w:w="881" w:type="pct"/>
            <w:vAlign w:val="bottom"/>
          </w:tcPr>
          <w:p w14:paraId="04E97343"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$4,195,200</w:t>
            </w:r>
          </w:p>
        </w:tc>
      </w:tr>
      <w:tr w:rsidR="00C22CE2" w:rsidRPr="00C22CE2" w14:paraId="1FCCDCAD" w14:textId="77777777" w:rsidTr="00C22CE2">
        <w:trPr>
          <w:cantSplit/>
          <w:trHeight w:val="485"/>
        </w:trPr>
        <w:tc>
          <w:tcPr>
            <w:tcW w:w="1022" w:type="pct"/>
          </w:tcPr>
          <w:p w14:paraId="55614F94" w14:textId="77777777" w:rsidR="00C22CE2" w:rsidRPr="00C22CE2" w:rsidRDefault="00C22CE2" w:rsidP="00C22CE2">
            <w:pPr>
              <w:spacing w:after="0" w:line="240" w:lineRule="auto"/>
              <w:rPr>
                <w:rFonts w:ascii="Times New Roman" w:hAnsi="Times New Roman" w:cs="Times New Roman"/>
                <w:sz w:val="24"/>
                <w:szCs w:val="24"/>
              </w:rPr>
            </w:pPr>
            <w:r w:rsidRPr="00C22CE2">
              <w:rPr>
                <w:rFonts w:ascii="Times New Roman" w:hAnsi="Times New Roman" w:cs="Times New Roman"/>
                <w:sz w:val="24"/>
                <w:szCs w:val="24"/>
              </w:rPr>
              <w:t>VAR-002-3 Requirement R2 Increase (FERC-725X)</w:t>
            </w:r>
          </w:p>
        </w:tc>
        <w:tc>
          <w:tcPr>
            <w:tcW w:w="934" w:type="pct"/>
            <w:tcBorders>
              <w:bottom w:val="single" w:sz="4" w:space="0" w:color="auto"/>
            </w:tcBorders>
            <w:vAlign w:val="bottom"/>
          </w:tcPr>
          <w:p w14:paraId="1136C732"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874 (GOP)</w:t>
            </w:r>
          </w:p>
        </w:tc>
        <w:tc>
          <w:tcPr>
            <w:tcW w:w="793" w:type="pct"/>
            <w:tcBorders>
              <w:bottom w:val="single" w:sz="4" w:space="0" w:color="auto"/>
            </w:tcBorders>
            <w:vAlign w:val="bottom"/>
          </w:tcPr>
          <w:p w14:paraId="7D848840"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1</w:t>
            </w:r>
          </w:p>
        </w:tc>
        <w:tc>
          <w:tcPr>
            <w:tcW w:w="651" w:type="pct"/>
            <w:tcBorders>
              <w:bottom w:val="single" w:sz="4" w:space="0" w:color="auto"/>
            </w:tcBorders>
            <w:vAlign w:val="bottom"/>
          </w:tcPr>
          <w:p w14:paraId="606BFD34"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120</w:t>
            </w:r>
          </w:p>
        </w:tc>
        <w:tc>
          <w:tcPr>
            <w:tcW w:w="718" w:type="pct"/>
            <w:vAlign w:val="bottom"/>
          </w:tcPr>
          <w:p w14:paraId="29DD9AC5"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104,880</w:t>
            </w:r>
          </w:p>
        </w:tc>
        <w:tc>
          <w:tcPr>
            <w:tcW w:w="881" w:type="pct"/>
            <w:vAlign w:val="bottom"/>
          </w:tcPr>
          <w:p w14:paraId="35873A1B"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$6,292,800</w:t>
            </w:r>
          </w:p>
        </w:tc>
      </w:tr>
      <w:tr w:rsidR="00C22CE2" w:rsidRPr="00C22CE2" w14:paraId="11218BC9" w14:textId="77777777" w:rsidTr="00C22CE2">
        <w:trPr>
          <w:cantSplit/>
          <w:trHeight w:val="485"/>
        </w:trPr>
        <w:tc>
          <w:tcPr>
            <w:tcW w:w="1022" w:type="pct"/>
          </w:tcPr>
          <w:p w14:paraId="113A9B89" w14:textId="32B1DF9E" w:rsidR="00C22CE2" w:rsidRPr="00C22CE2" w:rsidRDefault="00C22CE2" w:rsidP="00C22CE2">
            <w:pPr>
              <w:spacing w:after="0" w:line="240" w:lineRule="auto"/>
              <w:rPr>
                <w:rFonts w:ascii="Times New Roman" w:hAnsi="Times New Roman" w:cs="Times New Roman"/>
                <w:sz w:val="24"/>
                <w:szCs w:val="24"/>
              </w:rPr>
            </w:pPr>
            <w:r w:rsidRPr="00C22CE2">
              <w:rPr>
                <w:rFonts w:ascii="Times New Roman" w:hAnsi="Times New Roman" w:cs="Times New Roman"/>
                <w:sz w:val="24"/>
                <w:szCs w:val="24"/>
              </w:rPr>
              <w:lastRenderedPageBreak/>
              <w:t>VAR-002-</w:t>
            </w:r>
            <w:r w:rsidR="00522C92">
              <w:rPr>
                <w:rFonts w:ascii="Times New Roman" w:hAnsi="Times New Roman" w:cs="Times New Roman"/>
                <w:sz w:val="24"/>
                <w:szCs w:val="24"/>
              </w:rPr>
              <w:t>2b</w:t>
            </w:r>
            <w:r w:rsidRPr="00C22CE2">
              <w:rPr>
                <w:rFonts w:ascii="Times New Roman" w:hAnsi="Times New Roman" w:cs="Times New Roman"/>
                <w:sz w:val="24"/>
                <w:szCs w:val="24"/>
              </w:rPr>
              <w:t xml:space="preserve"> Requirements R3 and R4 Decrease (FERC-725A)</w:t>
            </w:r>
          </w:p>
        </w:tc>
        <w:tc>
          <w:tcPr>
            <w:tcW w:w="934" w:type="pct"/>
            <w:tcBorders>
              <w:bottom w:val="single" w:sz="4" w:space="0" w:color="auto"/>
            </w:tcBorders>
            <w:vAlign w:val="bottom"/>
          </w:tcPr>
          <w:p w14:paraId="106DA393"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874 (GOP)</w:t>
            </w:r>
          </w:p>
        </w:tc>
        <w:tc>
          <w:tcPr>
            <w:tcW w:w="793" w:type="pct"/>
            <w:tcBorders>
              <w:bottom w:val="single" w:sz="4" w:space="0" w:color="auto"/>
            </w:tcBorders>
            <w:vAlign w:val="bottom"/>
          </w:tcPr>
          <w:p w14:paraId="5928F8D8"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1</w:t>
            </w:r>
          </w:p>
        </w:tc>
        <w:tc>
          <w:tcPr>
            <w:tcW w:w="651" w:type="pct"/>
            <w:tcBorders>
              <w:bottom w:val="single" w:sz="4" w:space="0" w:color="auto"/>
            </w:tcBorders>
            <w:vAlign w:val="bottom"/>
          </w:tcPr>
          <w:p w14:paraId="13DF6A63"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-200</w:t>
            </w:r>
          </w:p>
        </w:tc>
        <w:tc>
          <w:tcPr>
            <w:tcW w:w="718" w:type="pct"/>
            <w:vAlign w:val="bottom"/>
          </w:tcPr>
          <w:p w14:paraId="7D010B5D"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-174,800</w:t>
            </w:r>
          </w:p>
        </w:tc>
        <w:tc>
          <w:tcPr>
            <w:tcW w:w="881" w:type="pct"/>
            <w:vAlign w:val="bottom"/>
          </w:tcPr>
          <w:p w14:paraId="2C1DDFDA" w14:textId="77777777" w:rsidR="00C22CE2" w:rsidRPr="00C22CE2" w:rsidRDefault="00C22CE2" w:rsidP="00C22CE2">
            <w:pPr>
              <w:spacing w:after="0" w:line="240" w:lineRule="auto"/>
              <w:jc w:val="right"/>
              <w:rPr>
                <w:rFonts w:ascii="Times New Roman" w:hAnsi="Times New Roman" w:cs="Times New Roman"/>
                <w:sz w:val="24"/>
                <w:szCs w:val="24"/>
              </w:rPr>
            </w:pPr>
            <w:r w:rsidRPr="00C22CE2">
              <w:rPr>
                <w:rFonts w:ascii="Times New Roman" w:hAnsi="Times New Roman" w:cs="Times New Roman"/>
                <w:sz w:val="24"/>
                <w:szCs w:val="24"/>
              </w:rPr>
              <w:t>-$10,488,000</w:t>
            </w:r>
          </w:p>
        </w:tc>
      </w:tr>
      <w:tr w:rsidR="00C22CE2" w:rsidRPr="00C22CE2" w14:paraId="3C6492A9" w14:textId="77777777" w:rsidTr="00C22CE2">
        <w:trPr>
          <w:cantSplit/>
          <w:trHeight w:val="485"/>
        </w:trPr>
        <w:tc>
          <w:tcPr>
            <w:tcW w:w="1022" w:type="pct"/>
            <w:tcBorders>
              <w:bottom w:val="single" w:sz="4" w:space="0" w:color="auto"/>
            </w:tcBorders>
          </w:tcPr>
          <w:p w14:paraId="4EFC4C79" w14:textId="090B5BA8" w:rsidR="00C22CE2" w:rsidRPr="00C22CE2" w:rsidRDefault="00C22CE2" w:rsidP="005C219C">
            <w:pPr>
              <w:spacing w:after="0" w:line="240" w:lineRule="auto"/>
              <w:rPr>
                <w:rFonts w:ascii="Times New Roman" w:hAnsi="Times New Roman" w:cs="Times New Roman"/>
                <w:b/>
                <w:sz w:val="24"/>
                <w:szCs w:val="24"/>
              </w:rPr>
            </w:pPr>
            <w:r w:rsidRPr="00C22CE2">
              <w:rPr>
                <w:rFonts w:ascii="Times New Roman" w:hAnsi="Times New Roman" w:cs="Times New Roman"/>
                <w:b/>
                <w:sz w:val="24"/>
                <w:szCs w:val="24"/>
              </w:rPr>
              <w:t>TOTAL</w:t>
            </w:r>
            <w:r w:rsidR="005C219C">
              <w:rPr>
                <w:rFonts w:ascii="Times New Roman" w:hAnsi="Times New Roman" w:cs="Times New Roman"/>
                <w:b/>
                <w:sz w:val="24"/>
                <w:szCs w:val="24"/>
              </w:rPr>
              <w:t xml:space="preserve"> NET CHANGE</w:t>
            </w:r>
          </w:p>
        </w:tc>
        <w:tc>
          <w:tcPr>
            <w:tcW w:w="2378" w:type="pct"/>
            <w:gridSpan w:val="3"/>
            <w:tcBorders>
              <w:bottom w:val="single" w:sz="4" w:space="0" w:color="auto"/>
            </w:tcBorders>
            <w:shd w:val="clear" w:color="auto" w:fill="D9D9D9"/>
            <w:vAlign w:val="bottom"/>
          </w:tcPr>
          <w:p w14:paraId="400EAF79" w14:textId="77777777" w:rsidR="00C22CE2" w:rsidRPr="00C22CE2" w:rsidRDefault="00C22CE2" w:rsidP="00C22CE2">
            <w:pPr>
              <w:spacing w:after="0" w:line="240" w:lineRule="auto"/>
              <w:jc w:val="right"/>
              <w:rPr>
                <w:rFonts w:ascii="Times New Roman" w:hAnsi="Times New Roman" w:cs="Times New Roman"/>
                <w:sz w:val="24"/>
                <w:szCs w:val="24"/>
              </w:rPr>
            </w:pPr>
          </w:p>
        </w:tc>
        <w:tc>
          <w:tcPr>
            <w:tcW w:w="718" w:type="pct"/>
            <w:tcBorders>
              <w:bottom w:val="single" w:sz="4" w:space="0" w:color="auto"/>
            </w:tcBorders>
            <w:vAlign w:val="bottom"/>
          </w:tcPr>
          <w:p w14:paraId="0E6E95EB" w14:textId="77777777" w:rsidR="00C22CE2" w:rsidRPr="00C22CE2" w:rsidRDefault="00C22CE2" w:rsidP="00C22CE2">
            <w:pPr>
              <w:spacing w:after="0" w:line="240" w:lineRule="auto"/>
              <w:jc w:val="right"/>
              <w:rPr>
                <w:rFonts w:ascii="Times New Roman" w:hAnsi="Times New Roman" w:cs="Times New Roman"/>
                <w:b/>
                <w:sz w:val="24"/>
                <w:szCs w:val="24"/>
              </w:rPr>
            </w:pPr>
            <w:r w:rsidRPr="00C22CE2">
              <w:rPr>
                <w:rFonts w:ascii="Times New Roman" w:hAnsi="Times New Roman" w:cs="Times New Roman"/>
                <w:b/>
                <w:sz w:val="24"/>
                <w:szCs w:val="24"/>
              </w:rPr>
              <w:t>0</w:t>
            </w:r>
          </w:p>
        </w:tc>
        <w:tc>
          <w:tcPr>
            <w:tcW w:w="881" w:type="pct"/>
            <w:tcBorders>
              <w:bottom w:val="single" w:sz="4" w:space="0" w:color="auto"/>
            </w:tcBorders>
            <w:vAlign w:val="bottom"/>
          </w:tcPr>
          <w:p w14:paraId="437A0D7F" w14:textId="77777777" w:rsidR="00C22CE2" w:rsidRPr="00C22CE2" w:rsidRDefault="00C22CE2" w:rsidP="00C22CE2">
            <w:pPr>
              <w:spacing w:after="0" w:line="240" w:lineRule="auto"/>
              <w:jc w:val="right"/>
              <w:rPr>
                <w:rFonts w:ascii="Times New Roman" w:hAnsi="Times New Roman" w:cs="Times New Roman"/>
                <w:b/>
                <w:sz w:val="24"/>
                <w:szCs w:val="24"/>
              </w:rPr>
            </w:pPr>
            <w:r w:rsidRPr="00C22CE2">
              <w:rPr>
                <w:rFonts w:ascii="Times New Roman" w:hAnsi="Times New Roman" w:cs="Times New Roman"/>
                <w:b/>
                <w:sz w:val="24"/>
                <w:szCs w:val="24"/>
              </w:rPr>
              <w:t>$0</w:t>
            </w:r>
          </w:p>
        </w:tc>
      </w:tr>
    </w:tbl>
    <w:p w14:paraId="5F7EF39A" w14:textId="77777777" w:rsidR="003C3532" w:rsidRPr="003E5045" w:rsidRDefault="003C3532" w:rsidP="0092596C">
      <w:pPr>
        <w:spacing w:after="0" w:line="240" w:lineRule="auto"/>
        <w:rPr>
          <w:rFonts w:ascii="Times New Roman" w:hAnsi="Times New Roman" w:cs="Times New Roman"/>
          <w:sz w:val="24"/>
          <w:szCs w:val="24"/>
        </w:rPr>
      </w:pPr>
    </w:p>
    <w:p w14:paraId="245439CE" w14:textId="77777777" w:rsidR="00D80FBD" w:rsidRPr="003E5045" w:rsidRDefault="00E636D7"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ESTIMATE OF THE TOTAL ANNUAL COST BURDEN TO RESPONDENTS</w:t>
      </w:r>
    </w:p>
    <w:p w14:paraId="4E3A6C07" w14:textId="77777777" w:rsidR="00E636D7" w:rsidRPr="003E5045" w:rsidRDefault="00E636D7" w:rsidP="0092596C">
      <w:pPr>
        <w:spacing w:after="0" w:line="240" w:lineRule="auto"/>
        <w:rPr>
          <w:rFonts w:ascii="Times New Roman" w:hAnsi="Times New Roman" w:cs="Times New Roman"/>
          <w:sz w:val="24"/>
          <w:szCs w:val="24"/>
        </w:rPr>
      </w:pPr>
    </w:p>
    <w:p w14:paraId="324F1A5E" w14:textId="7C90DC24" w:rsidR="004552E9" w:rsidRPr="003E5045" w:rsidRDefault="00C60AAE" w:rsidP="0092596C">
      <w:pPr>
        <w:spacing w:after="0" w:line="240" w:lineRule="auto"/>
        <w:rPr>
          <w:rFonts w:ascii="Times New Roman" w:hAnsi="Times New Roman"/>
          <w:sz w:val="24"/>
          <w:szCs w:val="24"/>
        </w:rPr>
      </w:pPr>
      <w:r>
        <w:rPr>
          <w:rFonts w:ascii="Times New Roman" w:hAnsi="Times New Roman"/>
          <w:sz w:val="24"/>
          <w:szCs w:val="24"/>
        </w:rPr>
        <w:t xml:space="preserve">The total annual cost burden to respondents </w:t>
      </w:r>
      <w:r w:rsidR="009D2601">
        <w:rPr>
          <w:rFonts w:ascii="Times New Roman" w:hAnsi="Times New Roman"/>
          <w:sz w:val="24"/>
          <w:szCs w:val="24"/>
        </w:rPr>
        <w:t>is solely related to the burden hours (salaries</w:t>
      </w:r>
      <w:r w:rsidR="00E06163">
        <w:rPr>
          <w:rFonts w:ascii="Times New Roman" w:hAnsi="Times New Roman"/>
          <w:sz w:val="24"/>
          <w:szCs w:val="24"/>
        </w:rPr>
        <w:t xml:space="preserve"> plus benefits</w:t>
      </w:r>
      <w:r w:rsidR="009D2601">
        <w:rPr>
          <w:rFonts w:ascii="Times New Roman" w:hAnsi="Times New Roman"/>
          <w:sz w:val="24"/>
          <w:szCs w:val="24"/>
        </w:rPr>
        <w:t xml:space="preserve">) and is </w:t>
      </w:r>
      <w:r w:rsidR="00C22CE2">
        <w:rPr>
          <w:rFonts w:ascii="Times New Roman" w:hAnsi="Times New Roman"/>
          <w:sz w:val="24"/>
          <w:szCs w:val="24"/>
        </w:rPr>
        <w:t>shown</w:t>
      </w:r>
      <w:r w:rsidR="009D2601">
        <w:rPr>
          <w:rFonts w:ascii="Times New Roman" w:hAnsi="Times New Roman"/>
          <w:sz w:val="24"/>
          <w:szCs w:val="24"/>
        </w:rPr>
        <w:t xml:space="preserve"> in </w:t>
      </w:r>
      <w:r w:rsidR="00F13C21">
        <w:rPr>
          <w:rFonts w:ascii="Times New Roman" w:hAnsi="Times New Roman"/>
          <w:sz w:val="24"/>
          <w:szCs w:val="24"/>
        </w:rPr>
        <w:t xml:space="preserve">Question </w:t>
      </w:r>
      <w:r w:rsidR="009D2601">
        <w:rPr>
          <w:rFonts w:ascii="Times New Roman" w:hAnsi="Times New Roman"/>
          <w:sz w:val="24"/>
          <w:szCs w:val="24"/>
        </w:rPr>
        <w:t xml:space="preserve">#12.  There are no capital or start-up type costs.  </w:t>
      </w:r>
    </w:p>
    <w:p w14:paraId="1FB3491D" w14:textId="77777777" w:rsidR="00E636D7" w:rsidRPr="003E5045" w:rsidRDefault="00E636D7" w:rsidP="0092596C">
      <w:pPr>
        <w:spacing w:after="0" w:line="240" w:lineRule="auto"/>
        <w:rPr>
          <w:rFonts w:ascii="Times New Roman" w:hAnsi="Times New Roman" w:cs="Times New Roman"/>
          <w:sz w:val="24"/>
          <w:szCs w:val="24"/>
        </w:rPr>
      </w:pPr>
    </w:p>
    <w:p w14:paraId="3C08A385" w14:textId="77777777" w:rsidR="00E636D7" w:rsidRPr="003E5045"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ESTIMATED ANNUALIZED COST TO FEDERAL GOVERNMENT</w:t>
      </w:r>
    </w:p>
    <w:p w14:paraId="3275F1D2" w14:textId="77777777" w:rsidR="00A276F5" w:rsidRPr="003E5045" w:rsidRDefault="00A276F5" w:rsidP="0092596C">
      <w:pPr>
        <w:spacing w:after="0" w:line="240" w:lineRule="auto"/>
        <w:rPr>
          <w:rFonts w:ascii="Times New Roman" w:hAnsi="Times New Roman" w:cs="Times New Roman"/>
          <w:sz w:val="24"/>
          <w:szCs w:val="24"/>
        </w:rPr>
      </w:pPr>
    </w:p>
    <w:p w14:paraId="71CACA38" w14:textId="594A2BD8" w:rsidR="004552E9" w:rsidRPr="003E5045" w:rsidRDefault="004552E9" w:rsidP="0092596C">
      <w:pPr>
        <w:spacing w:after="0" w:line="240" w:lineRule="auto"/>
        <w:rPr>
          <w:rFonts w:ascii="Times New Roman" w:hAnsi="Times New Roman"/>
          <w:sz w:val="24"/>
          <w:szCs w:val="24"/>
        </w:rPr>
      </w:pPr>
      <w:r w:rsidRPr="003E5045">
        <w:rPr>
          <w:rFonts w:ascii="Times New Roman" w:hAnsi="Times New Roman"/>
          <w:sz w:val="24"/>
          <w:szCs w:val="24"/>
        </w:rPr>
        <w:t>The Regional Entities and NERC do most of the data processing, monitoring and compliance work for Reliability Standards.  Any involvement by the Commission is covered under the FERC-725 collection (</w:t>
      </w:r>
      <w:r w:rsidR="00E06163">
        <w:rPr>
          <w:rFonts w:ascii="Times New Roman" w:hAnsi="Times New Roman"/>
          <w:sz w:val="24"/>
          <w:szCs w:val="24"/>
        </w:rPr>
        <w:t xml:space="preserve">OMB Control No. </w:t>
      </w:r>
      <w:r w:rsidRPr="003E5045">
        <w:rPr>
          <w:rFonts w:ascii="Times New Roman" w:hAnsi="Times New Roman"/>
          <w:sz w:val="24"/>
          <w:szCs w:val="24"/>
        </w:rPr>
        <w:t xml:space="preserve">1902-0225) and is not part of this request or package.  </w:t>
      </w:r>
    </w:p>
    <w:p w14:paraId="0BBCCABF" w14:textId="77777777" w:rsidR="00076203" w:rsidRPr="00076203" w:rsidRDefault="00076203" w:rsidP="00076203">
      <w:pPr>
        <w:spacing w:after="0"/>
        <w:rPr>
          <w:rFonts w:ascii="Times New Roman" w:eastAsia="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076203" w:rsidRPr="00076203" w14:paraId="575027DC" w14:textId="77777777" w:rsidTr="004076DE">
        <w:tc>
          <w:tcPr>
            <w:tcW w:w="3182" w:type="dxa"/>
            <w:shd w:val="clear" w:color="auto" w:fill="CCCCCC"/>
          </w:tcPr>
          <w:p w14:paraId="64BAB35D" w14:textId="73E67F7C" w:rsidR="00076203" w:rsidRPr="00076203" w:rsidRDefault="00076203" w:rsidP="0092617D">
            <w:pPr>
              <w:spacing w:after="0" w:line="240" w:lineRule="auto"/>
              <w:rPr>
                <w:rFonts w:ascii="Times New Roman" w:eastAsia="Times New Roman" w:hAnsi="Times New Roman" w:cs="Times New Roman"/>
                <w:b/>
                <w:sz w:val="24"/>
                <w:szCs w:val="24"/>
              </w:rPr>
            </w:pPr>
          </w:p>
        </w:tc>
        <w:tc>
          <w:tcPr>
            <w:tcW w:w="3201" w:type="dxa"/>
            <w:shd w:val="clear" w:color="auto" w:fill="CCCCCC"/>
          </w:tcPr>
          <w:p w14:paraId="697FD68B" w14:textId="77777777" w:rsidR="00076203" w:rsidRPr="00076203" w:rsidRDefault="00076203" w:rsidP="00076203">
            <w:pPr>
              <w:spacing w:after="0" w:line="240" w:lineRule="auto"/>
              <w:rPr>
                <w:rFonts w:ascii="Times New Roman" w:eastAsia="Times New Roman" w:hAnsi="Times New Roman" w:cs="Times New Roman"/>
                <w:b/>
                <w:sz w:val="24"/>
                <w:szCs w:val="24"/>
              </w:rPr>
            </w:pPr>
            <w:r w:rsidRPr="00076203">
              <w:rPr>
                <w:rFonts w:ascii="Times New Roman" w:eastAsia="Times New Roman" w:hAnsi="Times New Roman" w:cs="Times New Roman"/>
                <w:b/>
                <w:sz w:val="24"/>
                <w:szCs w:val="24"/>
              </w:rPr>
              <w:t>Number of Employees (FTEs)</w:t>
            </w:r>
          </w:p>
        </w:tc>
        <w:tc>
          <w:tcPr>
            <w:tcW w:w="2995" w:type="dxa"/>
            <w:shd w:val="clear" w:color="auto" w:fill="CCCCCC"/>
          </w:tcPr>
          <w:p w14:paraId="68567194" w14:textId="77777777" w:rsidR="00076203" w:rsidRPr="00076203" w:rsidRDefault="00076203" w:rsidP="00076203">
            <w:pPr>
              <w:spacing w:after="0" w:line="240" w:lineRule="auto"/>
              <w:rPr>
                <w:rFonts w:ascii="Times New Roman" w:eastAsia="Times New Roman" w:hAnsi="Times New Roman" w:cs="Times New Roman"/>
                <w:b/>
                <w:sz w:val="24"/>
                <w:szCs w:val="24"/>
              </w:rPr>
            </w:pPr>
            <w:r w:rsidRPr="00076203">
              <w:rPr>
                <w:rFonts w:ascii="Times New Roman" w:eastAsia="Times New Roman" w:hAnsi="Times New Roman" w:cs="Times New Roman"/>
                <w:b/>
                <w:sz w:val="24"/>
                <w:szCs w:val="24"/>
              </w:rPr>
              <w:t>Estimated Annual Federal Cost</w:t>
            </w:r>
          </w:p>
        </w:tc>
      </w:tr>
      <w:tr w:rsidR="00076203" w:rsidRPr="00076203" w14:paraId="3157B413" w14:textId="77777777" w:rsidTr="00FC5757">
        <w:tc>
          <w:tcPr>
            <w:tcW w:w="3182" w:type="dxa"/>
          </w:tcPr>
          <w:p w14:paraId="39160EBF" w14:textId="77777777" w:rsidR="00076203" w:rsidRPr="00076203" w:rsidRDefault="00076203" w:rsidP="00076203">
            <w:pPr>
              <w:spacing w:after="0" w:line="240" w:lineRule="auto"/>
              <w:rPr>
                <w:rFonts w:ascii="Times New Roman" w:eastAsia="Times New Roman" w:hAnsi="Times New Roman" w:cs="Times New Roman"/>
                <w:sz w:val="24"/>
                <w:szCs w:val="24"/>
              </w:rPr>
            </w:pPr>
            <w:r w:rsidRPr="00076203">
              <w:rPr>
                <w:rFonts w:ascii="Times New Roman" w:eastAsia="Times New Roman" w:hAnsi="Times New Roman" w:cs="Times New Roman"/>
                <w:sz w:val="24"/>
                <w:szCs w:val="24"/>
              </w:rPr>
              <w:t>Analysis and Processing of filings</w:t>
            </w:r>
          </w:p>
        </w:tc>
        <w:tc>
          <w:tcPr>
            <w:tcW w:w="3201" w:type="dxa"/>
            <w:vAlign w:val="bottom"/>
          </w:tcPr>
          <w:p w14:paraId="1E40777A" w14:textId="77777777" w:rsidR="00076203" w:rsidRPr="00076203" w:rsidRDefault="00076203" w:rsidP="00FC575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95" w:type="dxa"/>
            <w:vAlign w:val="bottom"/>
          </w:tcPr>
          <w:p w14:paraId="2A343EBD" w14:textId="77777777" w:rsidR="00076203" w:rsidRPr="00076203" w:rsidRDefault="00076203" w:rsidP="00FC575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076203" w:rsidRPr="00076203" w14:paraId="4CF033F2" w14:textId="77777777" w:rsidTr="00FC5757">
        <w:tc>
          <w:tcPr>
            <w:tcW w:w="3182" w:type="dxa"/>
          </w:tcPr>
          <w:p w14:paraId="0CA40776" w14:textId="698E421D" w:rsidR="00076203" w:rsidRPr="00076203" w:rsidRDefault="00076203" w:rsidP="00076203">
            <w:pPr>
              <w:spacing w:after="0" w:line="240" w:lineRule="auto"/>
              <w:rPr>
                <w:rFonts w:ascii="Times New Roman" w:eastAsia="Times New Roman" w:hAnsi="Times New Roman" w:cs="Times New Roman"/>
                <w:sz w:val="24"/>
                <w:szCs w:val="24"/>
              </w:rPr>
            </w:pPr>
            <w:r w:rsidRPr="00D81467">
              <w:rPr>
                <w:rFonts w:ascii="Times New Roman" w:eastAsia="Times New Roman" w:hAnsi="Times New Roman" w:cs="Times New Roman"/>
                <w:sz w:val="24"/>
                <w:szCs w:val="24"/>
              </w:rPr>
              <w:t>Paperwork Reduction Act Administrative Cost</w:t>
            </w:r>
            <w:bookmarkStart w:id="3" w:name="_Ref389748397"/>
            <w:r w:rsidRPr="00D81467">
              <w:rPr>
                <w:rFonts w:ascii="Times New Roman" w:eastAsia="Times New Roman" w:hAnsi="Times New Roman" w:cs="Times New Roman"/>
                <w:sz w:val="24"/>
                <w:szCs w:val="24"/>
                <w:vertAlign w:val="superscript"/>
              </w:rPr>
              <w:footnoteReference w:id="12"/>
            </w:r>
            <w:bookmarkEnd w:id="3"/>
            <w:r w:rsidR="00FC5757">
              <w:rPr>
                <w:rFonts w:ascii="Times New Roman" w:eastAsia="Times New Roman" w:hAnsi="Times New Roman" w:cs="Times New Roman"/>
                <w:sz w:val="24"/>
                <w:szCs w:val="24"/>
              </w:rPr>
              <w:t xml:space="preserve"> for FERC-725X</w:t>
            </w:r>
          </w:p>
        </w:tc>
        <w:tc>
          <w:tcPr>
            <w:tcW w:w="3201" w:type="dxa"/>
            <w:shd w:val="clear" w:color="auto" w:fill="D9D9D9" w:themeFill="background1" w:themeFillShade="D9"/>
            <w:vAlign w:val="bottom"/>
          </w:tcPr>
          <w:p w14:paraId="0BBEE315" w14:textId="77777777" w:rsidR="00076203" w:rsidRPr="00076203" w:rsidRDefault="00076203" w:rsidP="00FC5757">
            <w:pPr>
              <w:spacing w:after="0" w:line="240" w:lineRule="auto"/>
              <w:jc w:val="right"/>
              <w:rPr>
                <w:rFonts w:ascii="Times New Roman" w:eastAsia="Times New Roman" w:hAnsi="Times New Roman" w:cs="Times New Roman"/>
                <w:sz w:val="24"/>
                <w:szCs w:val="24"/>
              </w:rPr>
            </w:pPr>
          </w:p>
        </w:tc>
        <w:tc>
          <w:tcPr>
            <w:tcW w:w="2995" w:type="dxa"/>
            <w:vAlign w:val="bottom"/>
          </w:tcPr>
          <w:p w14:paraId="351A4C5C" w14:textId="77777777" w:rsidR="00076203" w:rsidRPr="00076203" w:rsidRDefault="00076203" w:rsidP="00FC5757">
            <w:pPr>
              <w:spacing w:after="0" w:line="240" w:lineRule="auto"/>
              <w:jc w:val="right"/>
              <w:rPr>
                <w:rFonts w:ascii="Times New Roman" w:eastAsia="Times New Roman" w:hAnsi="Times New Roman" w:cs="Times New Roman"/>
                <w:sz w:val="24"/>
                <w:szCs w:val="24"/>
              </w:rPr>
            </w:pPr>
            <w:r w:rsidRPr="00076203">
              <w:rPr>
                <w:rFonts w:ascii="Times New Roman" w:eastAsia="Times New Roman" w:hAnsi="Times New Roman" w:cs="Times New Roman"/>
                <w:sz w:val="24"/>
                <w:szCs w:val="24"/>
              </w:rPr>
              <w:t>$</w:t>
            </w:r>
            <w:r w:rsidR="00D81467">
              <w:rPr>
                <w:rFonts w:ascii="Times New Roman" w:eastAsia="Times New Roman" w:hAnsi="Times New Roman" w:cs="Times New Roman"/>
                <w:sz w:val="24"/>
                <w:szCs w:val="24"/>
              </w:rPr>
              <w:t>5,092</w:t>
            </w:r>
          </w:p>
        </w:tc>
      </w:tr>
      <w:tr w:rsidR="00FC5757" w:rsidRPr="00076203" w14:paraId="681F0EBC" w14:textId="77777777" w:rsidTr="00FC5757">
        <w:tc>
          <w:tcPr>
            <w:tcW w:w="3182" w:type="dxa"/>
          </w:tcPr>
          <w:p w14:paraId="147BB9F5" w14:textId="32CF5491" w:rsidR="00FC5757" w:rsidRPr="00D81467" w:rsidRDefault="00FC5757" w:rsidP="00076203">
            <w:pPr>
              <w:spacing w:after="0" w:line="240" w:lineRule="auto"/>
              <w:rPr>
                <w:rFonts w:ascii="Times New Roman" w:eastAsia="Times New Roman" w:hAnsi="Times New Roman" w:cs="Times New Roman"/>
                <w:sz w:val="24"/>
                <w:szCs w:val="24"/>
              </w:rPr>
            </w:pPr>
            <w:r w:rsidRPr="00D81467">
              <w:rPr>
                <w:rFonts w:ascii="Times New Roman" w:eastAsia="Times New Roman" w:hAnsi="Times New Roman" w:cs="Times New Roman"/>
                <w:sz w:val="24"/>
                <w:szCs w:val="24"/>
              </w:rPr>
              <w:t>Paperwork Reduction Act Administrative Cost</w:t>
            </w:r>
            <w:r w:rsidRPr="00D81467">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for FERC-725A</w:t>
            </w:r>
          </w:p>
        </w:tc>
        <w:tc>
          <w:tcPr>
            <w:tcW w:w="3201" w:type="dxa"/>
            <w:shd w:val="clear" w:color="auto" w:fill="D9D9D9" w:themeFill="background1" w:themeFillShade="D9"/>
            <w:vAlign w:val="bottom"/>
          </w:tcPr>
          <w:p w14:paraId="6999B069" w14:textId="77777777" w:rsidR="00FC5757" w:rsidRPr="00076203" w:rsidRDefault="00FC5757" w:rsidP="00FC5757">
            <w:pPr>
              <w:spacing w:after="0" w:line="240" w:lineRule="auto"/>
              <w:jc w:val="right"/>
              <w:rPr>
                <w:rFonts w:ascii="Times New Roman" w:eastAsia="Times New Roman" w:hAnsi="Times New Roman" w:cs="Times New Roman"/>
                <w:sz w:val="24"/>
                <w:szCs w:val="24"/>
              </w:rPr>
            </w:pPr>
          </w:p>
        </w:tc>
        <w:tc>
          <w:tcPr>
            <w:tcW w:w="2995" w:type="dxa"/>
            <w:vAlign w:val="bottom"/>
          </w:tcPr>
          <w:p w14:paraId="4811A621" w14:textId="0AB59A20" w:rsidR="00FC5757" w:rsidRPr="00076203" w:rsidRDefault="00FC5757" w:rsidP="00FC5757">
            <w:pPr>
              <w:spacing w:after="0" w:line="240" w:lineRule="auto"/>
              <w:jc w:val="right"/>
              <w:rPr>
                <w:rFonts w:ascii="Times New Roman" w:eastAsia="Times New Roman" w:hAnsi="Times New Roman" w:cs="Times New Roman"/>
                <w:sz w:val="24"/>
                <w:szCs w:val="24"/>
              </w:rPr>
            </w:pPr>
            <w:r w:rsidRPr="00076203">
              <w:rPr>
                <w:rFonts w:ascii="Times New Roman" w:eastAsia="Times New Roman" w:hAnsi="Times New Roman" w:cs="Times New Roman"/>
                <w:sz w:val="24"/>
                <w:szCs w:val="24"/>
              </w:rPr>
              <w:t>$</w:t>
            </w:r>
            <w:r>
              <w:rPr>
                <w:rFonts w:ascii="Times New Roman" w:eastAsia="Times New Roman" w:hAnsi="Times New Roman" w:cs="Times New Roman"/>
                <w:sz w:val="24"/>
                <w:szCs w:val="24"/>
              </w:rPr>
              <w:t>5,092</w:t>
            </w:r>
          </w:p>
        </w:tc>
      </w:tr>
    </w:tbl>
    <w:p w14:paraId="3605B28A" w14:textId="77777777" w:rsidR="00A276F5" w:rsidRPr="003E5045" w:rsidRDefault="00A276F5" w:rsidP="0092596C">
      <w:pPr>
        <w:spacing w:after="0" w:line="240" w:lineRule="auto"/>
        <w:rPr>
          <w:rFonts w:ascii="Times New Roman" w:hAnsi="Times New Roman" w:cs="Times New Roman"/>
          <w:sz w:val="24"/>
          <w:szCs w:val="24"/>
        </w:rPr>
      </w:pPr>
    </w:p>
    <w:p w14:paraId="139F39FE" w14:textId="77777777" w:rsidR="00A276F5" w:rsidRPr="003E5045" w:rsidRDefault="00A276F5" w:rsidP="0092596C">
      <w:pPr>
        <w:spacing w:after="0" w:line="240" w:lineRule="auto"/>
        <w:rPr>
          <w:rFonts w:ascii="Times New Roman" w:hAnsi="Times New Roman" w:cs="Times New Roman"/>
          <w:sz w:val="24"/>
          <w:szCs w:val="24"/>
        </w:rPr>
      </w:pPr>
    </w:p>
    <w:p w14:paraId="5E80814A" w14:textId="77777777" w:rsidR="00A276F5" w:rsidRPr="003E5045"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REASONS FOR CHANGES IN BURDEN INCLUDING THE NEED FOR ANY INCREASE</w:t>
      </w:r>
    </w:p>
    <w:p w14:paraId="02ECE0AF" w14:textId="77777777" w:rsidR="00DB14A2" w:rsidRPr="003E5045" w:rsidRDefault="00DB14A2" w:rsidP="00DB14A2">
      <w:pPr>
        <w:spacing w:after="0" w:line="240" w:lineRule="auto"/>
        <w:rPr>
          <w:rFonts w:ascii="Times New Roman" w:hAnsi="Times New Roman" w:cs="Times New Roman"/>
          <w:sz w:val="24"/>
          <w:szCs w:val="24"/>
          <w:u w:val="single"/>
        </w:rPr>
      </w:pPr>
    </w:p>
    <w:p w14:paraId="54744329" w14:textId="0DA61D31" w:rsidR="00DF739D" w:rsidRDefault="00DF739D" w:rsidP="0092596C">
      <w:pPr>
        <w:spacing w:after="0" w:line="240" w:lineRule="auto"/>
        <w:rPr>
          <w:rFonts w:ascii="Times New Roman" w:hAnsi="Times New Roman" w:cs="Times New Roman"/>
          <w:sz w:val="24"/>
          <w:szCs w:val="24"/>
        </w:rPr>
      </w:pPr>
      <w:proofErr w:type="gramStart"/>
      <w:r w:rsidRPr="003E5045">
        <w:rPr>
          <w:rFonts w:ascii="Times New Roman" w:hAnsi="Times New Roman" w:cs="Times New Roman"/>
          <w:sz w:val="24"/>
          <w:szCs w:val="24"/>
        </w:rPr>
        <w:t xml:space="preserve">The </w:t>
      </w:r>
      <w:r w:rsidR="00D07698">
        <w:rPr>
          <w:rFonts w:ascii="Times New Roman" w:hAnsi="Times New Roman" w:cs="Times New Roman"/>
          <w:sz w:val="24"/>
          <w:szCs w:val="24"/>
        </w:rPr>
        <w:t>Order in Docket No.</w:t>
      </w:r>
      <w:proofErr w:type="gramEnd"/>
      <w:r w:rsidR="00D07698">
        <w:rPr>
          <w:rFonts w:ascii="Times New Roman" w:hAnsi="Times New Roman" w:cs="Times New Roman"/>
          <w:sz w:val="24"/>
          <w:szCs w:val="24"/>
        </w:rPr>
        <w:t xml:space="preserve"> RD14-11 does not result in a </w:t>
      </w:r>
      <w:r w:rsidR="00F66561">
        <w:rPr>
          <w:rFonts w:ascii="Times New Roman" w:hAnsi="Times New Roman" w:cs="Times New Roman"/>
          <w:sz w:val="24"/>
          <w:szCs w:val="24"/>
        </w:rPr>
        <w:t xml:space="preserve">net </w:t>
      </w:r>
      <w:r w:rsidR="00D07698">
        <w:rPr>
          <w:rFonts w:ascii="Times New Roman" w:hAnsi="Times New Roman" w:cs="Times New Roman"/>
          <w:sz w:val="24"/>
          <w:szCs w:val="24"/>
        </w:rPr>
        <w:t>burden change.  However, we</w:t>
      </w:r>
      <w:r w:rsidR="00FC5757">
        <w:rPr>
          <w:rFonts w:ascii="Times New Roman" w:hAnsi="Times New Roman" w:cs="Times New Roman"/>
          <w:sz w:val="24"/>
          <w:szCs w:val="24"/>
        </w:rPr>
        <w:t xml:space="preserve"> are accounting for the burden reductions in FERC-725A, where the existing information collection requirements for the VAR standards are cleared, and for the burden increases in new collection </w:t>
      </w:r>
      <w:r w:rsidR="00FC5757">
        <w:rPr>
          <w:rFonts w:ascii="Times New Roman" w:hAnsi="Times New Roman" w:cs="Times New Roman"/>
          <w:sz w:val="24"/>
          <w:szCs w:val="24"/>
        </w:rPr>
        <w:lastRenderedPageBreak/>
        <w:t xml:space="preserve">FERC-725X, where we will eventually include </w:t>
      </w:r>
      <w:proofErr w:type="gramStart"/>
      <w:r w:rsidR="00FC5757">
        <w:rPr>
          <w:rFonts w:ascii="Times New Roman" w:hAnsi="Times New Roman" w:cs="Times New Roman"/>
          <w:sz w:val="24"/>
          <w:szCs w:val="24"/>
        </w:rPr>
        <w:t>all the</w:t>
      </w:r>
      <w:proofErr w:type="gramEnd"/>
      <w:r w:rsidR="00FC5757">
        <w:rPr>
          <w:rFonts w:ascii="Times New Roman" w:hAnsi="Times New Roman" w:cs="Times New Roman"/>
          <w:sz w:val="24"/>
          <w:szCs w:val="24"/>
        </w:rPr>
        <w:t xml:space="preserve"> burden related to the VAR standards.</w:t>
      </w:r>
      <w:r w:rsidR="003A2853">
        <w:rPr>
          <w:rFonts w:ascii="Times New Roman" w:hAnsi="Times New Roman" w:cs="Times New Roman"/>
          <w:sz w:val="24"/>
          <w:szCs w:val="24"/>
        </w:rPr>
        <w:t xml:space="preserve"> </w:t>
      </w:r>
      <w:r w:rsidR="00E76E34">
        <w:rPr>
          <w:rFonts w:ascii="Times New Roman" w:hAnsi="Times New Roman" w:cs="Times New Roman"/>
          <w:sz w:val="24"/>
          <w:szCs w:val="24"/>
        </w:rPr>
        <w:t>More specifically:</w:t>
      </w:r>
    </w:p>
    <w:p w14:paraId="1726A079" w14:textId="1BEEB434" w:rsidR="00443F3C" w:rsidRDefault="00443F3C" w:rsidP="002360D0">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The retirement of VAR-001-3 (R1) results in a decrease of -29,440 hours from FERC-725A (i.e. where the standard was first placed VAR standards as a result of Order 693)</w:t>
      </w:r>
    </w:p>
    <w:p w14:paraId="226EBF1A" w14:textId="3FE705D8" w:rsidR="00E76E34" w:rsidRDefault="00443F3C" w:rsidP="002360D0">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The retirement of VAR-002-2b (R3 and R4) resulted in a decrease of -174,800 hours from FERC-725A</w:t>
      </w:r>
    </w:p>
    <w:p w14:paraId="080C74F6" w14:textId="77777777" w:rsidR="00443F3C" w:rsidRDefault="00443F3C" w:rsidP="002360D0">
      <w:pPr>
        <w:pStyle w:val="ListParagraph"/>
        <w:spacing w:after="0" w:line="240" w:lineRule="auto"/>
        <w:rPr>
          <w:rFonts w:ascii="Times New Roman" w:hAnsi="Times New Roman" w:cs="Times New Roman"/>
          <w:sz w:val="24"/>
          <w:szCs w:val="24"/>
        </w:rPr>
      </w:pPr>
    </w:p>
    <w:p w14:paraId="1CD7F8AD" w14:textId="5DE7FE75" w:rsidR="00443F3C" w:rsidRDefault="00443F3C" w:rsidP="002360D0">
      <w:pPr>
        <w:spacing w:after="0" w:line="240" w:lineRule="auto"/>
        <w:ind w:left="360"/>
        <w:rPr>
          <w:rFonts w:ascii="Times New Roman" w:hAnsi="Times New Roman" w:cs="Times New Roman"/>
          <w:sz w:val="24"/>
          <w:szCs w:val="24"/>
        </w:rPr>
      </w:pPr>
      <w:r w:rsidRPr="002360D0">
        <w:rPr>
          <w:rFonts w:ascii="Times New Roman" w:hAnsi="Times New Roman" w:cs="Times New Roman"/>
          <w:b/>
          <w:sz w:val="24"/>
          <w:szCs w:val="24"/>
        </w:rPr>
        <w:t>Total effect on FERC-725A burden</w:t>
      </w:r>
      <w:r>
        <w:rPr>
          <w:rFonts w:ascii="Times New Roman" w:hAnsi="Times New Roman" w:cs="Times New Roman"/>
          <w:sz w:val="24"/>
          <w:szCs w:val="24"/>
        </w:rPr>
        <w:t>: -204,240 hours [(-29,440 hours) + (-174,800 hours) = -204,240 hours]</w:t>
      </w:r>
    </w:p>
    <w:p w14:paraId="12887EAD" w14:textId="77777777" w:rsidR="00443F3C" w:rsidRDefault="00443F3C" w:rsidP="002360D0">
      <w:pPr>
        <w:spacing w:after="0" w:line="240" w:lineRule="auto"/>
        <w:ind w:left="360"/>
        <w:rPr>
          <w:rFonts w:ascii="Times New Roman" w:hAnsi="Times New Roman" w:cs="Times New Roman"/>
          <w:sz w:val="24"/>
          <w:szCs w:val="24"/>
        </w:rPr>
      </w:pPr>
    </w:p>
    <w:p w14:paraId="06AAFFFE" w14:textId="2F83E6B7" w:rsidR="00443F3C" w:rsidRDefault="00443F3C" w:rsidP="002360D0">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The approval of VAR-001-4 (R1) results in an increase of 29,440 hours into FERC-725X (i.e. the information collection intended specifically to house VAR standards)</w:t>
      </w:r>
    </w:p>
    <w:p w14:paraId="7236C5D1" w14:textId="008B21C7" w:rsidR="00443F3C" w:rsidRDefault="00443F3C" w:rsidP="002360D0">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The approval of VAR-002-3 (R1) results in an increase of 69,920 hours into FERC-725X.</w:t>
      </w:r>
    </w:p>
    <w:p w14:paraId="2696C187" w14:textId="0B6DA2D5" w:rsidR="00443F3C" w:rsidRDefault="00443F3C" w:rsidP="002360D0">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The approval of VAR-002-3 (R2) results in an increase of 104,880 hours into FERC-725X.</w:t>
      </w:r>
    </w:p>
    <w:p w14:paraId="60EFC1F4" w14:textId="77777777" w:rsidR="00443F3C" w:rsidRDefault="00443F3C" w:rsidP="00443F3C">
      <w:pPr>
        <w:spacing w:after="0" w:line="240" w:lineRule="auto"/>
        <w:rPr>
          <w:rFonts w:ascii="Times New Roman" w:hAnsi="Times New Roman" w:cs="Times New Roman"/>
          <w:sz w:val="24"/>
          <w:szCs w:val="24"/>
        </w:rPr>
      </w:pPr>
    </w:p>
    <w:p w14:paraId="0BDBD622" w14:textId="66026417" w:rsidR="00443F3C" w:rsidRPr="002360D0" w:rsidRDefault="00443F3C" w:rsidP="002360D0">
      <w:pPr>
        <w:spacing w:after="0" w:line="240" w:lineRule="auto"/>
        <w:ind w:left="360"/>
        <w:rPr>
          <w:rFonts w:ascii="Times New Roman" w:hAnsi="Times New Roman" w:cs="Times New Roman"/>
          <w:sz w:val="24"/>
          <w:szCs w:val="24"/>
        </w:rPr>
      </w:pPr>
      <w:r w:rsidRPr="002360D0">
        <w:rPr>
          <w:rFonts w:ascii="Times New Roman" w:hAnsi="Times New Roman" w:cs="Times New Roman"/>
          <w:b/>
          <w:sz w:val="24"/>
          <w:szCs w:val="24"/>
        </w:rPr>
        <w:t>Total effect on FERC-725X burden</w:t>
      </w:r>
      <w:r>
        <w:rPr>
          <w:rFonts w:ascii="Times New Roman" w:hAnsi="Times New Roman" w:cs="Times New Roman"/>
          <w:sz w:val="24"/>
          <w:szCs w:val="24"/>
        </w:rPr>
        <w:t>: 204,240 hours [29,440 hours + 69,920 hours + 104,880 hours = 204,240 hours]</w:t>
      </w:r>
    </w:p>
    <w:p w14:paraId="0B414E79" w14:textId="77777777" w:rsidR="00DF739D" w:rsidRPr="003E5045" w:rsidRDefault="00DF739D" w:rsidP="0092596C">
      <w:pPr>
        <w:spacing w:after="0" w:line="240" w:lineRule="auto"/>
        <w:rPr>
          <w:rFonts w:ascii="Times New Roman" w:hAnsi="Times New Roman" w:cs="Times New Roman"/>
          <w:sz w:val="24"/>
          <w:szCs w:val="24"/>
        </w:rPr>
      </w:pPr>
    </w:p>
    <w:p w14:paraId="636C2284" w14:textId="7AAFFC22" w:rsidR="0092596C" w:rsidRPr="003E5045" w:rsidRDefault="0092596C" w:rsidP="0092596C">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The following table</w:t>
      </w:r>
      <w:r w:rsidR="005D051B">
        <w:rPr>
          <w:rFonts w:ascii="Times New Roman" w:hAnsi="Times New Roman" w:cs="Times New Roman"/>
          <w:sz w:val="24"/>
          <w:szCs w:val="24"/>
        </w:rPr>
        <w:t>s</w:t>
      </w:r>
      <w:r w:rsidRPr="003E5045">
        <w:rPr>
          <w:rFonts w:ascii="Times New Roman" w:hAnsi="Times New Roman" w:cs="Times New Roman"/>
          <w:sz w:val="24"/>
          <w:szCs w:val="24"/>
        </w:rPr>
        <w:t xml:space="preserve"> show</w:t>
      </w:r>
      <w:r w:rsidR="005D051B">
        <w:rPr>
          <w:rFonts w:ascii="Times New Roman" w:hAnsi="Times New Roman" w:cs="Times New Roman"/>
          <w:sz w:val="24"/>
          <w:szCs w:val="24"/>
        </w:rPr>
        <w:t xml:space="preserve"> the</w:t>
      </w:r>
      <w:r w:rsidRPr="003E5045">
        <w:rPr>
          <w:rFonts w:ascii="Times New Roman" w:hAnsi="Times New Roman" w:cs="Times New Roman"/>
          <w:sz w:val="24"/>
          <w:szCs w:val="24"/>
        </w:rPr>
        <w:t xml:space="preserve"> burden inventory</w:t>
      </w:r>
      <w:r w:rsidR="003A2853">
        <w:rPr>
          <w:rFonts w:ascii="Times New Roman" w:hAnsi="Times New Roman" w:cs="Times New Roman"/>
          <w:sz w:val="24"/>
          <w:szCs w:val="24"/>
        </w:rPr>
        <w:t xml:space="preserve"> for the </w:t>
      </w:r>
      <w:r w:rsidR="008B0A37" w:rsidRPr="003E5045">
        <w:rPr>
          <w:rFonts w:ascii="Times New Roman" w:hAnsi="Times New Roman" w:cs="Times New Roman"/>
          <w:sz w:val="24"/>
          <w:szCs w:val="24"/>
        </w:rPr>
        <w:t>FERC-725</w:t>
      </w:r>
      <w:r w:rsidR="005D051B">
        <w:rPr>
          <w:rFonts w:ascii="Times New Roman" w:hAnsi="Times New Roman" w:cs="Times New Roman"/>
          <w:sz w:val="24"/>
          <w:szCs w:val="24"/>
        </w:rPr>
        <w:t>A and 725X as a result of the Commission Order</w:t>
      </w:r>
      <w:r w:rsidRPr="003E5045">
        <w:rPr>
          <w:rFonts w:ascii="Times New Roman" w:hAnsi="Times New Roman" w:cs="Times New Roman"/>
          <w:sz w:val="24"/>
          <w:szCs w:val="24"/>
        </w:rPr>
        <w:t>.</w:t>
      </w:r>
    </w:p>
    <w:p w14:paraId="46750263" w14:textId="77777777" w:rsidR="0092596C" w:rsidRPr="003E5045" w:rsidRDefault="0092596C" w:rsidP="0092596C">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92596C" w:rsidRPr="003E5045" w14:paraId="7D6D9CA9" w14:textId="77777777" w:rsidTr="0092596C">
        <w:trPr>
          <w:trHeight w:val="870"/>
        </w:trPr>
        <w:tc>
          <w:tcPr>
            <w:tcW w:w="2679" w:type="dxa"/>
            <w:shd w:val="clear" w:color="auto" w:fill="D9D9D9"/>
            <w:vAlign w:val="bottom"/>
          </w:tcPr>
          <w:p w14:paraId="11E9610A" w14:textId="663E44BE" w:rsidR="0092596C" w:rsidRPr="003E5045" w:rsidRDefault="0092596C" w:rsidP="0092596C">
            <w:pPr>
              <w:spacing w:after="0" w:line="240" w:lineRule="auto"/>
              <w:jc w:val="center"/>
              <w:rPr>
                <w:rFonts w:ascii="Times New Roman" w:hAnsi="Times New Roman"/>
                <w:b/>
                <w:sz w:val="24"/>
                <w:szCs w:val="24"/>
              </w:rPr>
            </w:pPr>
            <w:r w:rsidRPr="003E5045">
              <w:rPr>
                <w:rFonts w:ascii="Times New Roman" w:hAnsi="Times New Roman"/>
                <w:b/>
                <w:sz w:val="24"/>
                <w:szCs w:val="24"/>
              </w:rPr>
              <w:t>FERC-725</w:t>
            </w:r>
            <w:r w:rsidR="005D051B">
              <w:rPr>
                <w:rFonts w:ascii="Times New Roman" w:hAnsi="Times New Roman"/>
                <w:b/>
                <w:sz w:val="24"/>
                <w:szCs w:val="24"/>
              </w:rPr>
              <w:t>A</w:t>
            </w:r>
          </w:p>
        </w:tc>
        <w:tc>
          <w:tcPr>
            <w:tcW w:w="1461" w:type="dxa"/>
            <w:shd w:val="clear" w:color="auto" w:fill="D9D9D9"/>
            <w:vAlign w:val="bottom"/>
          </w:tcPr>
          <w:p w14:paraId="413C84A4" w14:textId="77777777" w:rsidR="0092596C" w:rsidRPr="003E5045" w:rsidRDefault="0092596C" w:rsidP="0092596C">
            <w:pPr>
              <w:spacing w:after="0" w:line="240" w:lineRule="auto"/>
              <w:jc w:val="center"/>
              <w:rPr>
                <w:rFonts w:ascii="Times New Roman" w:hAnsi="Times New Roman"/>
                <w:b/>
                <w:sz w:val="24"/>
                <w:szCs w:val="24"/>
              </w:rPr>
            </w:pPr>
            <w:r w:rsidRPr="003E5045">
              <w:rPr>
                <w:rFonts w:ascii="Times New Roman" w:hAnsi="Times New Roman"/>
                <w:b/>
                <w:sz w:val="24"/>
                <w:szCs w:val="24"/>
              </w:rPr>
              <w:t>Total Request</w:t>
            </w:r>
          </w:p>
        </w:tc>
        <w:tc>
          <w:tcPr>
            <w:tcW w:w="1620" w:type="dxa"/>
            <w:shd w:val="clear" w:color="auto" w:fill="D9D9D9"/>
            <w:vAlign w:val="bottom"/>
          </w:tcPr>
          <w:p w14:paraId="49B95068" w14:textId="77777777" w:rsidR="0092596C" w:rsidRPr="003E5045" w:rsidRDefault="0092596C" w:rsidP="0092596C">
            <w:pPr>
              <w:spacing w:after="0" w:line="240" w:lineRule="auto"/>
              <w:jc w:val="center"/>
              <w:rPr>
                <w:rFonts w:ascii="Times New Roman" w:hAnsi="Times New Roman"/>
                <w:b/>
                <w:sz w:val="24"/>
                <w:szCs w:val="24"/>
              </w:rPr>
            </w:pPr>
            <w:r w:rsidRPr="003E5045">
              <w:rPr>
                <w:rFonts w:ascii="Times New Roman" w:hAnsi="Times New Roman"/>
                <w:b/>
                <w:sz w:val="24"/>
                <w:szCs w:val="24"/>
              </w:rPr>
              <w:t>Previously Approved</w:t>
            </w:r>
          </w:p>
        </w:tc>
        <w:tc>
          <w:tcPr>
            <w:tcW w:w="1800" w:type="dxa"/>
            <w:shd w:val="clear" w:color="auto" w:fill="D9D9D9"/>
            <w:vAlign w:val="bottom"/>
          </w:tcPr>
          <w:p w14:paraId="654E94E6" w14:textId="77777777" w:rsidR="0092596C" w:rsidRPr="003E5045" w:rsidRDefault="0092596C" w:rsidP="0092596C">
            <w:pPr>
              <w:spacing w:after="0" w:line="240" w:lineRule="auto"/>
              <w:jc w:val="center"/>
              <w:rPr>
                <w:rFonts w:ascii="Times New Roman" w:hAnsi="Times New Roman"/>
                <w:b/>
                <w:sz w:val="24"/>
                <w:szCs w:val="24"/>
              </w:rPr>
            </w:pPr>
            <w:r w:rsidRPr="003E5045">
              <w:rPr>
                <w:rFonts w:ascii="Times New Roman" w:hAnsi="Times New Roman"/>
                <w:b/>
                <w:sz w:val="24"/>
                <w:szCs w:val="24"/>
              </w:rPr>
              <w:t>Change due to Adjustment in Estimate</w:t>
            </w:r>
          </w:p>
        </w:tc>
        <w:tc>
          <w:tcPr>
            <w:tcW w:w="1800" w:type="dxa"/>
            <w:shd w:val="clear" w:color="auto" w:fill="D9D9D9"/>
            <w:vAlign w:val="bottom"/>
          </w:tcPr>
          <w:p w14:paraId="12B323B5" w14:textId="77777777" w:rsidR="0092596C" w:rsidRPr="003E5045" w:rsidRDefault="0092596C" w:rsidP="0092596C">
            <w:pPr>
              <w:spacing w:after="0" w:line="240" w:lineRule="auto"/>
              <w:jc w:val="center"/>
              <w:rPr>
                <w:rFonts w:ascii="Times New Roman" w:hAnsi="Times New Roman"/>
                <w:b/>
                <w:sz w:val="24"/>
                <w:szCs w:val="24"/>
              </w:rPr>
            </w:pPr>
            <w:r w:rsidRPr="003E5045">
              <w:rPr>
                <w:rFonts w:ascii="Times New Roman" w:hAnsi="Times New Roman"/>
                <w:b/>
                <w:sz w:val="24"/>
                <w:szCs w:val="24"/>
              </w:rPr>
              <w:t>Change Due to Agency Discretion</w:t>
            </w:r>
          </w:p>
        </w:tc>
      </w:tr>
      <w:tr w:rsidR="00A54B3E" w:rsidRPr="003E5045" w14:paraId="77FFD818" w14:textId="77777777" w:rsidTr="0092596C">
        <w:trPr>
          <w:trHeight w:val="591"/>
        </w:trPr>
        <w:tc>
          <w:tcPr>
            <w:tcW w:w="2679" w:type="dxa"/>
          </w:tcPr>
          <w:p w14:paraId="711FEB4A" w14:textId="77777777" w:rsidR="00A54B3E" w:rsidRPr="003E5045" w:rsidRDefault="00A54B3E" w:rsidP="00A54B3E">
            <w:pPr>
              <w:spacing w:after="0" w:line="240" w:lineRule="auto"/>
              <w:jc w:val="center"/>
              <w:rPr>
                <w:rFonts w:ascii="Times New Roman" w:hAnsi="Times New Roman"/>
                <w:sz w:val="24"/>
                <w:szCs w:val="24"/>
              </w:rPr>
            </w:pPr>
            <w:r w:rsidRPr="003E5045">
              <w:rPr>
                <w:rFonts w:ascii="Times New Roman" w:hAnsi="Times New Roman"/>
                <w:sz w:val="24"/>
                <w:szCs w:val="24"/>
              </w:rPr>
              <w:t>Annual Number of Responses</w:t>
            </w:r>
          </w:p>
        </w:tc>
        <w:tc>
          <w:tcPr>
            <w:tcW w:w="1461" w:type="dxa"/>
            <w:vAlign w:val="center"/>
          </w:tcPr>
          <w:p w14:paraId="7092654C" w14:textId="6BFC2BC5" w:rsidR="00A54B3E" w:rsidRPr="003E5045" w:rsidRDefault="007B5D03" w:rsidP="00A54B3E">
            <w:pPr>
              <w:spacing w:after="0" w:line="240" w:lineRule="auto"/>
              <w:jc w:val="right"/>
              <w:rPr>
                <w:rFonts w:ascii="Times New Roman" w:hAnsi="Times New Roman"/>
                <w:sz w:val="24"/>
                <w:szCs w:val="24"/>
              </w:rPr>
            </w:pPr>
            <w:r>
              <w:rPr>
                <w:rFonts w:ascii="Times New Roman" w:hAnsi="Times New Roman"/>
                <w:sz w:val="24"/>
                <w:szCs w:val="24"/>
              </w:rPr>
              <w:t>3,770</w:t>
            </w:r>
          </w:p>
        </w:tc>
        <w:tc>
          <w:tcPr>
            <w:tcW w:w="1620" w:type="dxa"/>
            <w:vAlign w:val="center"/>
          </w:tcPr>
          <w:p w14:paraId="3B4518B5" w14:textId="4F32BD07" w:rsidR="00A54B3E" w:rsidRPr="003E5045" w:rsidRDefault="00A54B3E" w:rsidP="00A54B3E">
            <w:pPr>
              <w:spacing w:after="0" w:line="240" w:lineRule="auto"/>
              <w:jc w:val="right"/>
              <w:rPr>
                <w:rFonts w:ascii="Times New Roman" w:hAnsi="Times New Roman"/>
                <w:sz w:val="24"/>
                <w:szCs w:val="24"/>
              </w:rPr>
            </w:pPr>
            <w:r>
              <w:rPr>
                <w:rFonts w:ascii="Times New Roman" w:hAnsi="Times New Roman"/>
                <w:sz w:val="24"/>
                <w:szCs w:val="24"/>
              </w:rPr>
              <w:t>3,770</w:t>
            </w:r>
          </w:p>
        </w:tc>
        <w:tc>
          <w:tcPr>
            <w:tcW w:w="1800" w:type="dxa"/>
            <w:vAlign w:val="center"/>
          </w:tcPr>
          <w:p w14:paraId="64D1BA95" w14:textId="6F3AEDC6" w:rsidR="00A54B3E" w:rsidRPr="003E5045" w:rsidRDefault="007B5D03" w:rsidP="00A54B3E">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14:paraId="5CEFD65F" w14:textId="075F548A" w:rsidR="00A54B3E" w:rsidRPr="003E5045" w:rsidRDefault="007B5D03" w:rsidP="00A54B3E">
            <w:pPr>
              <w:spacing w:after="0" w:line="240" w:lineRule="auto"/>
              <w:jc w:val="right"/>
              <w:rPr>
                <w:rFonts w:ascii="Times New Roman" w:hAnsi="Times New Roman"/>
                <w:sz w:val="24"/>
                <w:szCs w:val="24"/>
              </w:rPr>
            </w:pPr>
            <w:r>
              <w:rPr>
                <w:rFonts w:ascii="Times New Roman" w:hAnsi="Times New Roman"/>
                <w:sz w:val="24"/>
                <w:szCs w:val="24"/>
              </w:rPr>
              <w:t>-</w:t>
            </w:r>
          </w:p>
        </w:tc>
      </w:tr>
      <w:tr w:rsidR="00A54B3E" w:rsidRPr="003E5045" w14:paraId="552A4CB4" w14:textId="77777777" w:rsidTr="0092596C">
        <w:trPr>
          <w:trHeight w:val="575"/>
        </w:trPr>
        <w:tc>
          <w:tcPr>
            <w:tcW w:w="2679" w:type="dxa"/>
          </w:tcPr>
          <w:p w14:paraId="2D120BE7" w14:textId="77777777" w:rsidR="00A54B3E" w:rsidRPr="003E5045" w:rsidRDefault="00A54B3E" w:rsidP="00A54B3E">
            <w:pPr>
              <w:spacing w:after="0" w:line="240" w:lineRule="auto"/>
              <w:jc w:val="center"/>
              <w:rPr>
                <w:rFonts w:ascii="Times New Roman" w:hAnsi="Times New Roman"/>
                <w:sz w:val="24"/>
                <w:szCs w:val="24"/>
              </w:rPr>
            </w:pPr>
            <w:r w:rsidRPr="003E5045">
              <w:rPr>
                <w:rFonts w:ascii="Times New Roman" w:hAnsi="Times New Roman"/>
                <w:sz w:val="24"/>
                <w:szCs w:val="24"/>
              </w:rPr>
              <w:t>Annual Time Burden (</w:t>
            </w:r>
            <w:proofErr w:type="spellStart"/>
            <w:r w:rsidRPr="003E5045">
              <w:rPr>
                <w:rFonts w:ascii="Times New Roman" w:hAnsi="Times New Roman"/>
                <w:sz w:val="24"/>
                <w:szCs w:val="24"/>
              </w:rPr>
              <w:t>Hr</w:t>
            </w:r>
            <w:proofErr w:type="spellEnd"/>
            <w:r w:rsidRPr="003E5045">
              <w:rPr>
                <w:rFonts w:ascii="Times New Roman" w:hAnsi="Times New Roman"/>
                <w:sz w:val="24"/>
                <w:szCs w:val="24"/>
              </w:rPr>
              <w:t>)</w:t>
            </w:r>
          </w:p>
        </w:tc>
        <w:tc>
          <w:tcPr>
            <w:tcW w:w="1461" w:type="dxa"/>
            <w:vAlign w:val="center"/>
          </w:tcPr>
          <w:p w14:paraId="285F6813" w14:textId="7C772A2D" w:rsidR="00A54B3E" w:rsidRPr="003E5045" w:rsidRDefault="00F43AA8" w:rsidP="00A54B3E">
            <w:pPr>
              <w:spacing w:after="0" w:line="240" w:lineRule="auto"/>
              <w:jc w:val="right"/>
              <w:rPr>
                <w:rFonts w:ascii="Times New Roman" w:hAnsi="Times New Roman"/>
                <w:sz w:val="24"/>
                <w:szCs w:val="24"/>
              </w:rPr>
            </w:pPr>
            <w:r w:rsidRPr="00F43AA8">
              <w:rPr>
                <w:rFonts w:ascii="Times New Roman" w:hAnsi="Times New Roman"/>
                <w:sz w:val="24"/>
                <w:szCs w:val="24"/>
              </w:rPr>
              <w:t>1</w:t>
            </w:r>
            <w:r>
              <w:rPr>
                <w:rFonts w:ascii="Times New Roman" w:hAnsi="Times New Roman"/>
                <w:sz w:val="24"/>
                <w:szCs w:val="24"/>
              </w:rPr>
              <w:t>,</w:t>
            </w:r>
            <w:r w:rsidRPr="00F43AA8">
              <w:rPr>
                <w:rFonts w:ascii="Times New Roman" w:hAnsi="Times New Roman"/>
                <w:sz w:val="24"/>
                <w:szCs w:val="24"/>
              </w:rPr>
              <w:t>624</w:t>
            </w:r>
            <w:r>
              <w:rPr>
                <w:rFonts w:ascii="Times New Roman" w:hAnsi="Times New Roman"/>
                <w:sz w:val="24"/>
                <w:szCs w:val="24"/>
              </w:rPr>
              <w:t>,</w:t>
            </w:r>
            <w:r w:rsidRPr="00F43AA8">
              <w:rPr>
                <w:rFonts w:ascii="Times New Roman" w:hAnsi="Times New Roman"/>
                <w:sz w:val="24"/>
                <w:szCs w:val="24"/>
              </w:rPr>
              <w:t>746</w:t>
            </w:r>
          </w:p>
        </w:tc>
        <w:tc>
          <w:tcPr>
            <w:tcW w:w="1620" w:type="dxa"/>
            <w:vAlign w:val="center"/>
          </w:tcPr>
          <w:p w14:paraId="6F285B7E" w14:textId="688A9E4A" w:rsidR="00A54B3E" w:rsidRPr="003E5045" w:rsidRDefault="00A54B3E" w:rsidP="00A54B3E">
            <w:pPr>
              <w:spacing w:after="0" w:line="240" w:lineRule="auto"/>
              <w:jc w:val="right"/>
              <w:rPr>
                <w:rFonts w:ascii="Times New Roman" w:hAnsi="Times New Roman"/>
                <w:sz w:val="24"/>
                <w:szCs w:val="24"/>
              </w:rPr>
            </w:pPr>
            <w:r>
              <w:rPr>
                <w:rFonts w:ascii="Times New Roman" w:hAnsi="Times New Roman"/>
                <w:sz w:val="24"/>
                <w:szCs w:val="24"/>
              </w:rPr>
              <w:t>1,828,986</w:t>
            </w:r>
          </w:p>
        </w:tc>
        <w:tc>
          <w:tcPr>
            <w:tcW w:w="1800" w:type="dxa"/>
            <w:vAlign w:val="center"/>
          </w:tcPr>
          <w:p w14:paraId="7A4AF29F" w14:textId="42C0B53F" w:rsidR="00A54B3E" w:rsidRPr="003E5045" w:rsidRDefault="007B5D03" w:rsidP="00A54B3E">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14:paraId="284AB5B9" w14:textId="50DD9F55" w:rsidR="00A54B3E" w:rsidRPr="003E5045" w:rsidRDefault="00F43AA8" w:rsidP="00A54B3E">
            <w:pPr>
              <w:spacing w:after="0" w:line="240" w:lineRule="auto"/>
              <w:jc w:val="right"/>
              <w:rPr>
                <w:rFonts w:ascii="Times New Roman" w:hAnsi="Times New Roman"/>
                <w:sz w:val="24"/>
                <w:szCs w:val="24"/>
              </w:rPr>
            </w:pPr>
            <w:r>
              <w:rPr>
                <w:rFonts w:ascii="Times New Roman" w:hAnsi="Times New Roman"/>
                <w:sz w:val="24"/>
                <w:szCs w:val="24"/>
              </w:rPr>
              <w:t>-</w:t>
            </w:r>
            <w:r w:rsidR="00A54B3E">
              <w:rPr>
                <w:rFonts w:ascii="Times New Roman" w:hAnsi="Times New Roman"/>
                <w:sz w:val="24"/>
                <w:szCs w:val="24"/>
              </w:rPr>
              <w:t>204,240</w:t>
            </w:r>
          </w:p>
        </w:tc>
      </w:tr>
      <w:tr w:rsidR="00A54B3E" w:rsidRPr="003E5045" w14:paraId="7D896E47" w14:textId="77777777" w:rsidTr="0092596C">
        <w:trPr>
          <w:trHeight w:val="295"/>
        </w:trPr>
        <w:tc>
          <w:tcPr>
            <w:tcW w:w="2679" w:type="dxa"/>
          </w:tcPr>
          <w:p w14:paraId="52CD6EB4" w14:textId="77777777" w:rsidR="00A54B3E" w:rsidRPr="003E5045" w:rsidRDefault="00A54B3E" w:rsidP="00A54B3E">
            <w:pPr>
              <w:spacing w:after="0" w:line="240" w:lineRule="auto"/>
              <w:jc w:val="center"/>
              <w:rPr>
                <w:rFonts w:ascii="Times New Roman" w:hAnsi="Times New Roman"/>
                <w:sz w:val="24"/>
                <w:szCs w:val="24"/>
              </w:rPr>
            </w:pPr>
            <w:r w:rsidRPr="003E5045">
              <w:rPr>
                <w:rFonts w:ascii="Times New Roman" w:hAnsi="Times New Roman"/>
                <w:sz w:val="24"/>
                <w:szCs w:val="24"/>
              </w:rPr>
              <w:t>Annual Cost Burden ($)</w:t>
            </w:r>
          </w:p>
        </w:tc>
        <w:tc>
          <w:tcPr>
            <w:tcW w:w="1461" w:type="dxa"/>
            <w:vAlign w:val="center"/>
          </w:tcPr>
          <w:p w14:paraId="2E1CDD03" w14:textId="5A357BDC" w:rsidR="00A54B3E" w:rsidRPr="003E5045" w:rsidRDefault="00F43AA8" w:rsidP="00A54B3E">
            <w:pPr>
              <w:spacing w:after="0" w:line="240" w:lineRule="auto"/>
              <w:jc w:val="right"/>
              <w:rPr>
                <w:rFonts w:ascii="Times New Roman" w:hAnsi="Times New Roman"/>
                <w:sz w:val="24"/>
                <w:szCs w:val="24"/>
              </w:rPr>
            </w:pPr>
            <w:r>
              <w:rPr>
                <w:rFonts w:ascii="Times New Roman" w:hAnsi="Times New Roman"/>
                <w:sz w:val="24"/>
                <w:szCs w:val="24"/>
              </w:rPr>
              <w:t>126,725</w:t>
            </w:r>
          </w:p>
        </w:tc>
        <w:tc>
          <w:tcPr>
            <w:tcW w:w="1620" w:type="dxa"/>
            <w:vAlign w:val="center"/>
          </w:tcPr>
          <w:p w14:paraId="24578BF7" w14:textId="28E77A8A" w:rsidR="00A54B3E" w:rsidRPr="003E5045" w:rsidRDefault="00A54B3E" w:rsidP="00A54B3E">
            <w:pPr>
              <w:spacing w:after="0" w:line="240" w:lineRule="auto"/>
              <w:jc w:val="right"/>
              <w:rPr>
                <w:rFonts w:ascii="Times New Roman" w:hAnsi="Times New Roman"/>
                <w:sz w:val="24"/>
                <w:szCs w:val="24"/>
              </w:rPr>
            </w:pPr>
            <w:r>
              <w:rPr>
                <w:rFonts w:ascii="Times New Roman" w:hAnsi="Times New Roman"/>
                <w:sz w:val="24"/>
                <w:szCs w:val="24"/>
              </w:rPr>
              <w:t>126,725</w:t>
            </w:r>
          </w:p>
        </w:tc>
        <w:tc>
          <w:tcPr>
            <w:tcW w:w="1800" w:type="dxa"/>
            <w:vAlign w:val="center"/>
          </w:tcPr>
          <w:p w14:paraId="4DA14E55" w14:textId="75F61683" w:rsidR="00A54B3E" w:rsidRPr="003E5045" w:rsidRDefault="007B5D03" w:rsidP="00A54B3E">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14:paraId="4046F748" w14:textId="7CCA9D9E" w:rsidR="00A54B3E" w:rsidRPr="003E5045" w:rsidRDefault="007B5D03" w:rsidP="00A54B3E">
            <w:pPr>
              <w:spacing w:after="0" w:line="240" w:lineRule="auto"/>
              <w:jc w:val="right"/>
              <w:rPr>
                <w:rFonts w:ascii="Times New Roman" w:hAnsi="Times New Roman"/>
                <w:sz w:val="24"/>
                <w:szCs w:val="24"/>
              </w:rPr>
            </w:pPr>
            <w:r>
              <w:rPr>
                <w:rFonts w:ascii="Times New Roman" w:hAnsi="Times New Roman"/>
                <w:sz w:val="24"/>
                <w:szCs w:val="24"/>
              </w:rPr>
              <w:t>-</w:t>
            </w:r>
          </w:p>
        </w:tc>
      </w:tr>
    </w:tbl>
    <w:p w14:paraId="1C5893EE" w14:textId="77777777" w:rsidR="0092596C" w:rsidRDefault="0092596C" w:rsidP="0092596C">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5D051B" w:rsidRPr="003E5045" w14:paraId="49C04719" w14:textId="77777777" w:rsidTr="002D7229">
        <w:trPr>
          <w:trHeight w:val="870"/>
        </w:trPr>
        <w:tc>
          <w:tcPr>
            <w:tcW w:w="2679" w:type="dxa"/>
            <w:shd w:val="clear" w:color="auto" w:fill="D9D9D9"/>
            <w:vAlign w:val="bottom"/>
          </w:tcPr>
          <w:p w14:paraId="32FB3523" w14:textId="5913D588" w:rsidR="005D051B" w:rsidRPr="003E5045" w:rsidRDefault="005D051B" w:rsidP="002D7229">
            <w:pPr>
              <w:spacing w:after="0" w:line="240" w:lineRule="auto"/>
              <w:jc w:val="center"/>
              <w:rPr>
                <w:rFonts w:ascii="Times New Roman" w:hAnsi="Times New Roman"/>
                <w:b/>
                <w:sz w:val="24"/>
                <w:szCs w:val="24"/>
              </w:rPr>
            </w:pPr>
            <w:r w:rsidRPr="003E5045">
              <w:rPr>
                <w:rFonts w:ascii="Times New Roman" w:hAnsi="Times New Roman"/>
                <w:b/>
                <w:sz w:val="24"/>
                <w:szCs w:val="24"/>
              </w:rPr>
              <w:t>FERC-725</w:t>
            </w:r>
            <w:r>
              <w:rPr>
                <w:rFonts w:ascii="Times New Roman" w:hAnsi="Times New Roman"/>
                <w:b/>
                <w:sz w:val="24"/>
                <w:szCs w:val="24"/>
              </w:rPr>
              <w:t>X</w:t>
            </w:r>
          </w:p>
        </w:tc>
        <w:tc>
          <w:tcPr>
            <w:tcW w:w="1461" w:type="dxa"/>
            <w:shd w:val="clear" w:color="auto" w:fill="D9D9D9"/>
            <w:vAlign w:val="bottom"/>
          </w:tcPr>
          <w:p w14:paraId="6A323DD4" w14:textId="77777777" w:rsidR="005D051B" w:rsidRPr="003E5045" w:rsidRDefault="005D051B" w:rsidP="002D7229">
            <w:pPr>
              <w:spacing w:after="0" w:line="240" w:lineRule="auto"/>
              <w:jc w:val="center"/>
              <w:rPr>
                <w:rFonts w:ascii="Times New Roman" w:hAnsi="Times New Roman"/>
                <w:b/>
                <w:sz w:val="24"/>
                <w:szCs w:val="24"/>
              </w:rPr>
            </w:pPr>
            <w:r w:rsidRPr="003E5045">
              <w:rPr>
                <w:rFonts w:ascii="Times New Roman" w:hAnsi="Times New Roman"/>
                <w:b/>
                <w:sz w:val="24"/>
                <w:szCs w:val="24"/>
              </w:rPr>
              <w:t>Total Request</w:t>
            </w:r>
          </w:p>
        </w:tc>
        <w:tc>
          <w:tcPr>
            <w:tcW w:w="1620" w:type="dxa"/>
            <w:shd w:val="clear" w:color="auto" w:fill="D9D9D9"/>
            <w:vAlign w:val="bottom"/>
          </w:tcPr>
          <w:p w14:paraId="247ADE1C" w14:textId="77777777" w:rsidR="005D051B" w:rsidRPr="003E5045" w:rsidRDefault="005D051B" w:rsidP="002D7229">
            <w:pPr>
              <w:spacing w:after="0" w:line="240" w:lineRule="auto"/>
              <w:jc w:val="center"/>
              <w:rPr>
                <w:rFonts w:ascii="Times New Roman" w:hAnsi="Times New Roman"/>
                <w:b/>
                <w:sz w:val="24"/>
                <w:szCs w:val="24"/>
              </w:rPr>
            </w:pPr>
            <w:r w:rsidRPr="003E5045">
              <w:rPr>
                <w:rFonts w:ascii="Times New Roman" w:hAnsi="Times New Roman"/>
                <w:b/>
                <w:sz w:val="24"/>
                <w:szCs w:val="24"/>
              </w:rPr>
              <w:t>Previously Approved</w:t>
            </w:r>
          </w:p>
        </w:tc>
        <w:tc>
          <w:tcPr>
            <w:tcW w:w="1800" w:type="dxa"/>
            <w:shd w:val="clear" w:color="auto" w:fill="D9D9D9"/>
            <w:vAlign w:val="bottom"/>
          </w:tcPr>
          <w:p w14:paraId="18A7A7D3" w14:textId="77777777" w:rsidR="005D051B" w:rsidRPr="003E5045" w:rsidRDefault="005D051B" w:rsidP="002D7229">
            <w:pPr>
              <w:spacing w:after="0" w:line="240" w:lineRule="auto"/>
              <w:jc w:val="center"/>
              <w:rPr>
                <w:rFonts w:ascii="Times New Roman" w:hAnsi="Times New Roman"/>
                <w:b/>
                <w:sz w:val="24"/>
                <w:szCs w:val="24"/>
              </w:rPr>
            </w:pPr>
            <w:r w:rsidRPr="003E5045">
              <w:rPr>
                <w:rFonts w:ascii="Times New Roman" w:hAnsi="Times New Roman"/>
                <w:b/>
                <w:sz w:val="24"/>
                <w:szCs w:val="24"/>
              </w:rPr>
              <w:t>Change due to Adjustment in Estimate</w:t>
            </w:r>
          </w:p>
        </w:tc>
        <w:tc>
          <w:tcPr>
            <w:tcW w:w="1800" w:type="dxa"/>
            <w:shd w:val="clear" w:color="auto" w:fill="D9D9D9"/>
            <w:vAlign w:val="bottom"/>
          </w:tcPr>
          <w:p w14:paraId="72DE0059" w14:textId="77777777" w:rsidR="005D051B" w:rsidRPr="003E5045" w:rsidRDefault="005D051B" w:rsidP="002D7229">
            <w:pPr>
              <w:spacing w:after="0" w:line="240" w:lineRule="auto"/>
              <w:jc w:val="center"/>
              <w:rPr>
                <w:rFonts w:ascii="Times New Roman" w:hAnsi="Times New Roman"/>
                <w:b/>
                <w:sz w:val="24"/>
                <w:szCs w:val="24"/>
              </w:rPr>
            </w:pPr>
            <w:r w:rsidRPr="003E5045">
              <w:rPr>
                <w:rFonts w:ascii="Times New Roman" w:hAnsi="Times New Roman"/>
                <w:b/>
                <w:sz w:val="24"/>
                <w:szCs w:val="24"/>
              </w:rPr>
              <w:t>Change Due to Agency Discretion</w:t>
            </w:r>
          </w:p>
        </w:tc>
      </w:tr>
      <w:tr w:rsidR="005D051B" w:rsidRPr="003E5045" w14:paraId="04CB6EB7" w14:textId="77777777" w:rsidTr="002D7229">
        <w:trPr>
          <w:trHeight w:val="591"/>
        </w:trPr>
        <w:tc>
          <w:tcPr>
            <w:tcW w:w="2679" w:type="dxa"/>
          </w:tcPr>
          <w:p w14:paraId="70747228" w14:textId="77777777" w:rsidR="005D051B" w:rsidRPr="003E5045" w:rsidRDefault="005D051B" w:rsidP="002D7229">
            <w:pPr>
              <w:spacing w:after="0" w:line="240" w:lineRule="auto"/>
              <w:jc w:val="center"/>
              <w:rPr>
                <w:rFonts w:ascii="Times New Roman" w:hAnsi="Times New Roman"/>
                <w:sz w:val="24"/>
                <w:szCs w:val="24"/>
              </w:rPr>
            </w:pPr>
            <w:r w:rsidRPr="003E5045">
              <w:rPr>
                <w:rFonts w:ascii="Times New Roman" w:hAnsi="Times New Roman"/>
                <w:sz w:val="24"/>
                <w:szCs w:val="24"/>
              </w:rPr>
              <w:t>Annual Number of Responses</w:t>
            </w:r>
          </w:p>
        </w:tc>
        <w:tc>
          <w:tcPr>
            <w:tcW w:w="1461" w:type="dxa"/>
            <w:vAlign w:val="center"/>
          </w:tcPr>
          <w:p w14:paraId="3E4C4DD6" w14:textId="783E6EB3" w:rsidR="005D051B" w:rsidRPr="003E5045" w:rsidRDefault="00F43AA8" w:rsidP="002D7229">
            <w:pPr>
              <w:spacing w:after="0" w:line="240" w:lineRule="auto"/>
              <w:jc w:val="right"/>
              <w:rPr>
                <w:rFonts w:ascii="Times New Roman" w:hAnsi="Times New Roman"/>
                <w:sz w:val="24"/>
                <w:szCs w:val="24"/>
              </w:rPr>
            </w:pPr>
            <w:r>
              <w:rPr>
                <w:rFonts w:ascii="Times New Roman" w:hAnsi="Times New Roman"/>
                <w:sz w:val="24"/>
                <w:szCs w:val="24"/>
              </w:rPr>
              <w:t>1,058</w:t>
            </w:r>
          </w:p>
        </w:tc>
        <w:tc>
          <w:tcPr>
            <w:tcW w:w="1620" w:type="dxa"/>
            <w:vAlign w:val="center"/>
          </w:tcPr>
          <w:p w14:paraId="1052D466" w14:textId="614C9519" w:rsidR="005D051B" w:rsidRPr="003E5045" w:rsidRDefault="00F43AA8" w:rsidP="002D7229">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14:paraId="54AB15BC" w14:textId="77777777" w:rsidR="005D051B" w:rsidRPr="003E5045" w:rsidRDefault="005D051B" w:rsidP="002D7229">
            <w:pPr>
              <w:spacing w:after="0" w:line="240" w:lineRule="auto"/>
              <w:jc w:val="right"/>
              <w:rPr>
                <w:rFonts w:ascii="Times New Roman" w:hAnsi="Times New Roman"/>
                <w:sz w:val="24"/>
                <w:szCs w:val="24"/>
              </w:rPr>
            </w:pPr>
          </w:p>
        </w:tc>
        <w:tc>
          <w:tcPr>
            <w:tcW w:w="1800" w:type="dxa"/>
            <w:vAlign w:val="center"/>
          </w:tcPr>
          <w:p w14:paraId="426DAE7B" w14:textId="37955DDB" w:rsidR="005D051B" w:rsidRPr="003E5045" w:rsidRDefault="00F43AA8" w:rsidP="002D7229">
            <w:pPr>
              <w:spacing w:after="0" w:line="240" w:lineRule="auto"/>
              <w:jc w:val="right"/>
              <w:rPr>
                <w:rFonts w:ascii="Times New Roman" w:hAnsi="Times New Roman"/>
                <w:sz w:val="24"/>
                <w:szCs w:val="24"/>
              </w:rPr>
            </w:pPr>
            <w:r>
              <w:rPr>
                <w:rFonts w:ascii="Times New Roman" w:hAnsi="Times New Roman"/>
                <w:sz w:val="24"/>
                <w:szCs w:val="24"/>
              </w:rPr>
              <w:t>1,058</w:t>
            </w:r>
          </w:p>
        </w:tc>
      </w:tr>
      <w:tr w:rsidR="005D051B" w:rsidRPr="003E5045" w14:paraId="7A494CA1" w14:textId="77777777" w:rsidTr="002D7229">
        <w:trPr>
          <w:trHeight w:val="575"/>
        </w:trPr>
        <w:tc>
          <w:tcPr>
            <w:tcW w:w="2679" w:type="dxa"/>
          </w:tcPr>
          <w:p w14:paraId="0B6327A5" w14:textId="77777777" w:rsidR="005D051B" w:rsidRPr="003E5045" w:rsidRDefault="005D051B" w:rsidP="002D7229">
            <w:pPr>
              <w:spacing w:after="0" w:line="240" w:lineRule="auto"/>
              <w:jc w:val="center"/>
              <w:rPr>
                <w:rFonts w:ascii="Times New Roman" w:hAnsi="Times New Roman"/>
                <w:sz w:val="24"/>
                <w:szCs w:val="24"/>
              </w:rPr>
            </w:pPr>
            <w:r w:rsidRPr="003E5045">
              <w:rPr>
                <w:rFonts w:ascii="Times New Roman" w:hAnsi="Times New Roman"/>
                <w:sz w:val="24"/>
                <w:szCs w:val="24"/>
              </w:rPr>
              <w:t>Annual Time Burden (</w:t>
            </w:r>
            <w:proofErr w:type="spellStart"/>
            <w:r w:rsidRPr="003E5045">
              <w:rPr>
                <w:rFonts w:ascii="Times New Roman" w:hAnsi="Times New Roman"/>
                <w:sz w:val="24"/>
                <w:szCs w:val="24"/>
              </w:rPr>
              <w:t>Hr</w:t>
            </w:r>
            <w:proofErr w:type="spellEnd"/>
            <w:r w:rsidRPr="003E5045">
              <w:rPr>
                <w:rFonts w:ascii="Times New Roman" w:hAnsi="Times New Roman"/>
                <w:sz w:val="24"/>
                <w:szCs w:val="24"/>
              </w:rPr>
              <w:t>)</w:t>
            </w:r>
          </w:p>
        </w:tc>
        <w:tc>
          <w:tcPr>
            <w:tcW w:w="1461" w:type="dxa"/>
            <w:vAlign w:val="center"/>
          </w:tcPr>
          <w:p w14:paraId="75F48B27" w14:textId="0E29C88F" w:rsidR="005D051B" w:rsidRPr="003E5045" w:rsidRDefault="00F43AA8" w:rsidP="002D7229">
            <w:pPr>
              <w:spacing w:after="0" w:line="240" w:lineRule="auto"/>
              <w:jc w:val="right"/>
              <w:rPr>
                <w:rFonts w:ascii="Times New Roman" w:hAnsi="Times New Roman"/>
                <w:sz w:val="24"/>
                <w:szCs w:val="24"/>
              </w:rPr>
            </w:pPr>
            <w:r>
              <w:rPr>
                <w:rFonts w:ascii="Times New Roman" w:hAnsi="Times New Roman"/>
                <w:sz w:val="24"/>
                <w:szCs w:val="24"/>
              </w:rPr>
              <w:t>204,240</w:t>
            </w:r>
          </w:p>
        </w:tc>
        <w:tc>
          <w:tcPr>
            <w:tcW w:w="1620" w:type="dxa"/>
            <w:vAlign w:val="center"/>
          </w:tcPr>
          <w:p w14:paraId="418B496F" w14:textId="6622D4DA" w:rsidR="005D051B" w:rsidRPr="003E5045" w:rsidRDefault="00F43AA8" w:rsidP="002D7229">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14:paraId="178D0151" w14:textId="77777777" w:rsidR="005D051B" w:rsidRPr="003E5045" w:rsidRDefault="005D051B" w:rsidP="002D7229">
            <w:pPr>
              <w:spacing w:after="0" w:line="240" w:lineRule="auto"/>
              <w:jc w:val="right"/>
              <w:rPr>
                <w:rFonts w:ascii="Times New Roman" w:hAnsi="Times New Roman"/>
                <w:sz w:val="24"/>
                <w:szCs w:val="24"/>
              </w:rPr>
            </w:pPr>
          </w:p>
        </w:tc>
        <w:tc>
          <w:tcPr>
            <w:tcW w:w="1800" w:type="dxa"/>
            <w:vAlign w:val="center"/>
          </w:tcPr>
          <w:p w14:paraId="177839AC" w14:textId="0299ECEC" w:rsidR="005D051B" w:rsidRPr="003E5045" w:rsidRDefault="00F43AA8" w:rsidP="002D7229">
            <w:pPr>
              <w:spacing w:after="0" w:line="240" w:lineRule="auto"/>
              <w:jc w:val="right"/>
              <w:rPr>
                <w:rFonts w:ascii="Times New Roman" w:hAnsi="Times New Roman"/>
                <w:sz w:val="24"/>
                <w:szCs w:val="24"/>
              </w:rPr>
            </w:pPr>
            <w:r>
              <w:rPr>
                <w:rFonts w:ascii="Times New Roman" w:hAnsi="Times New Roman"/>
                <w:sz w:val="24"/>
                <w:szCs w:val="24"/>
              </w:rPr>
              <w:t>204,240</w:t>
            </w:r>
          </w:p>
        </w:tc>
      </w:tr>
      <w:tr w:rsidR="005D051B" w:rsidRPr="003E5045" w14:paraId="72496A2B" w14:textId="77777777" w:rsidTr="002D7229">
        <w:trPr>
          <w:trHeight w:val="295"/>
        </w:trPr>
        <w:tc>
          <w:tcPr>
            <w:tcW w:w="2679" w:type="dxa"/>
          </w:tcPr>
          <w:p w14:paraId="690DB1D3" w14:textId="77777777" w:rsidR="005D051B" w:rsidRPr="003E5045" w:rsidRDefault="005D051B" w:rsidP="002D7229">
            <w:pPr>
              <w:spacing w:after="0" w:line="240" w:lineRule="auto"/>
              <w:jc w:val="center"/>
              <w:rPr>
                <w:rFonts w:ascii="Times New Roman" w:hAnsi="Times New Roman"/>
                <w:sz w:val="24"/>
                <w:szCs w:val="24"/>
              </w:rPr>
            </w:pPr>
            <w:r w:rsidRPr="003E5045">
              <w:rPr>
                <w:rFonts w:ascii="Times New Roman" w:hAnsi="Times New Roman"/>
                <w:sz w:val="24"/>
                <w:szCs w:val="24"/>
              </w:rPr>
              <w:t>Annual Cost Burden ($)</w:t>
            </w:r>
          </w:p>
        </w:tc>
        <w:tc>
          <w:tcPr>
            <w:tcW w:w="1461" w:type="dxa"/>
            <w:vAlign w:val="center"/>
          </w:tcPr>
          <w:p w14:paraId="4D6BD6E0" w14:textId="73FFCF6B" w:rsidR="005D051B" w:rsidRPr="003E5045" w:rsidRDefault="00F43AA8" w:rsidP="002D7229">
            <w:pPr>
              <w:spacing w:after="0" w:line="240" w:lineRule="auto"/>
              <w:jc w:val="right"/>
              <w:rPr>
                <w:rFonts w:ascii="Times New Roman" w:hAnsi="Times New Roman"/>
                <w:sz w:val="24"/>
                <w:szCs w:val="24"/>
              </w:rPr>
            </w:pPr>
            <w:r>
              <w:rPr>
                <w:rFonts w:ascii="Times New Roman" w:hAnsi="Times New Roman"/>
                <w:sz w:val="24"/>
                <w:szCs w:val="24"/>
              </w:rPr>
              <w:t>-</w:t>
            </w:r>
          </w:p>
        </w:tc>
        <w:tc>
          <w:tcPr>
            <w:tcW w:w="1620" w:type="dxa"/>
            <w:vAlign w:val="center"/>
          </w:tcPr>
          <w:p w14:paraId="3D1F2671" w14:textId="5200D21F" w:rsidR="005D051B" w:rsidRPr="003E5045" w:rsidRDefault="00F43AA8" w:rsidP="002D7229">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14:paraId="6F12996F" w14:textId="77777777" w:rsidR="005D051B" w:rsidRPr="003E5045" w:rsidRDefault="005D051B" w:rsidP="002D7229">
            <w:pPr>
              <w:spacing w:after="0" w:line="240" w:lineRule="auto"/>
              <w:jc w:val="right"/>
              <w:rPr>
                <w:rFonts w:ascii="Times New Roman" w:hAnsi="Times New Roman"/>
                <w:sz w:val="24"/>
                <w:szCs w:val="24"/>
              </w:rPr>
            </w:pPr>
          </w:p>
        </w:tc>
        <w:tc>
          <w:tcPr>
            <w:tcW w:w="1800" w:type="dxa"/>
            <w:vAlign w:val="center"/>
          </w:tcPr>
          <w:p w14:paraId="3795361B" w14:textId="0489DAA3" w:rsidR="005D051B" w:rsidRPr="003E5045" w:rsidRDefault="00F43AA8" w:rsidP="002D7229">
            <w:pPr>
              <w:spacing w:after="0" w:line="240" w:lineRule="auto"/>
              <w:jc w:val="right"/>
              <w:rPr>
                <w:rFonts w:ascii="Times New Roman" w:hAnsi="Times New Roman"/>
                <w:sz w:val="24"/>
                <w:szCs w:val="24"/>
              </w:rPr>
            </w:pPr>
            <w:r>
              <w:rPr>
                <w:rFonts w:ascii="Times New Roman" w:hAnsi="Times New Roman"/>
                <w:sz w:val="24"/>
                <w:szCs w:val="24"/>
              </w:rPr>
              <w:t>-</w:t>
            </w:r>
          </w:p>
        </w:tc>
      </w:tr>
    </w:tbl>
    <w:p w14:paraId="33F75817" w14:textId="77777777" w:rsidR="005D051B" w:rsidRDefault="005D051B" w:rsidP="0092596C">
      <w:pPr>
        <w:spacing w:after="0" w:line="240" w:lineRule="auto"/>
        <w:rPr>
          <w:rFonts w:ascii="Times New Roman" w:hAnsi="Times New Roman" w:cs="Times New Roman"/>
          <w:sz w:val="24"/>
          <w:szCs w:val="24"/>
        </w:rPr>
      </w:pPr>
    </w:p>
    <w:p w14:paraId="1B982226" w14:textId="17B85310" w:rsidR="00FC7FB6" w:rsidRDefault="00061DB2"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Please note</w:t>
      </w:r>
      <w:r w:rsidR="00FC7FB6">
        <w:rPr>
          <w:rFonts w:ascii="Times New Roman" w:hAnsi="Times New Roman" w:cs="Times New Roman"/>
          <w:sz w:val="24"/>
          <w:szCs w:val="24"/>
        </w:rPr>
        <w:t xml:space="preserve"> that </w:t>
      </w:r>
      <w:r>
        <w:rPr>
          <w:rFonts w:ascii="Times New Roman" w:hAnsi="Times New Roman" w:cs="Times New Roman"/>
          <w:sz w:val="24"/>
          <w:szCs w:val="24"/>
        </w:rPr>
        <w:t>the</w:t>
      </w:r>
      <w:r w:rsidR="00FC7FB6">
        <w:rPr>
          <w:rFonts w:ascii="Times New Roman" w:hAnsi="Times New Roman" w:cs="Times New Roman"/>
          <w:sz w:val="24"/>
          <w:szCs w:val="24"/>
        </w:rPr>
        <w:t xml:space="preserve"> numbers of</w:t>
      </w:r>
      <w:r>
        <w:rPr>
          <w:rFonts w:ascii="Times New Roman" w:hAnsi="Times New Roman" w:cs="Times New Roman"/>
          <w:sz w:val="24"/>
          <w:szCs w:val="24"/>
        </w:rPr>
        <w:t xml:space="preserve"> entities affected by the aforementioned retirements and approvals in FERC-725A and FERC-725X</w:t>
      </w:r>
      <w:r w:rsidR="00FC7FB6">
        <w:rPr>
          <w:rFonts w:ascii="Times New Roman" w:hAnsi="Times New Roman" w:cs="Times New Roman"/>
          <w:sz w:val="24"/>
          <w:szCs w:val="24"/>
        </w:rPr>
        <w:t xml:space="preserve"> (3,770 and 1,058 respectively)</w:t>
      </w:r>
      <w:r>
        <w:rPr>
          <w:rFonts w:ascii="Times New Roman" w:hAnsi="Times New Roman" w:cs="Times New Roman"/>
          <w:sz w:val="24"/>
          <w:szCs w:val="24"/>
        </w:rPr>
        <w:t xml:space="preserve"> are not equal.  </w:t>
      </w:r>
    </w:p>
    <w:p w14:paraId="06B56ECC" w14:textId="77777777" w:rsidR="00FC7FB6" w:rsidRDefault="00FC7FB6" w:rsidP="0092596C">
      <w:pPr>
        <w:spacing w:after="0" w:line="240" w:lineRule="auto"/>
        <w:rPr>
          <w:rFonts w:ascii="Times New Roman" w:hAnsi="Times New Roman" w:cs="Times New Roman"/>
          <w:sz w:val="24"/>
          <w:szCs w:val="24"/>
        </w:rPr>
      </w:pPr>
    </w:p>
    <w:p w14:paraId="79682ED8" w14:textId="1557496F" w:rsidR="00FC7FB6" w:rsidRDefault="00061DB2"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FERC-725A affects a total of 3,770 entities while the FERC-725X only affects 1,058.  This is due to FERC-725A containing </w:t>
      </w:r>
      <w:r w:rsidR="00FC7FB6">
        <w:rPr>
          <w:rFonts w:ascii="Times New Roman" w:hAnsi="Times New Roman" w:cs="Times New Roman"/>
          <w:sz w:val="24"/>
          <w:szCs w:val="24"/>
        </w:rPr>
        <w:t xml:space="preserve">much </w:t>
      </w:r>
      <w:r>
        <w:rPr>
          <w:rFonts w:ascii="Times New Roman" w:hAnsi="Times New Roman" w:cs="Times New Roman"/>
          <w:sz w:val="24"/>
          <w:szCs w:val="24"/>
        </w:rPr>
        <w:t>more</w:t>
      </w:r>
      <w:r w:rsidR="00FC7FB6">
        <w:rPr>
          <w:rFonts w:ascii="Times New Roman" w:hAnsi="Times New Roman" w:cs="Times New Roman"/>
          <w:sz w:val="24"/>
          <w:szCs w:val="24"/>
        </w:rPr>
        <w:t xml:space="preserve"> (i.e. more types of reliability standards)</w:t>
      </w:r>
      <w:r>
        <w:rPr>
          <w:rFonts w:ascii="Times New Roman" w:hAnsi="Times New Roman" w:cs="Times New Roman"/>
          <w:sz w:val="24"/>
          <w:szCs w:val="24"/>
        </w:rPr>
        <w:t xml:space="preserve"> than just VAR reliability standards.  More</w:t>
      </w:r>
      <w:r w:rsidR="00FC7FB6">
        <w:rPr>
          <w:rFonts w:ascii="Times New Roman" w:hAnsi="Times New Roman" w:cs="Times New Roman"/>
          <w:sz w:val="24"/>
          <w:szCs w:val="24"/>
        </w:rPr>
        <w:t>over</w:t>
      </w:r>
      <w:r>
        <w:rPr>
          <w:rFonts w:ascii="Times New Roman" w:hAnsi="Times New Roman" w:cs="Times New Roman"/>
          <w:sz w:val="24"/>
          <w:szCs w:val="24"/>
        </w:rPr>
        <w:t xml:space="preserve">, the </w:t>
      </w:r>
      <w:r w:rsidR="00FC7FB6">
        <w:rPr>
          <w:rFonts w:ascii="Times New Roman" w:hAnsi="Times New Roman" w:cs="Times New Roman"/>
          <w:sz w:val="24"/>
          <w:szCs w:val="24"/>
        </w:rPr>
        <w:t xml:space="preserve">FERC-725A </w:t>
      </w:r>
      <w:r>
        <w:rPr>
          <w:rFonts w:ascii="Times New Roman" w:hAnsi="Times New Roman" w:cs="Times New Roman"/>
          <w:sz w:val="24"/>
          <w:szCs w:val="24"/>
        </w:rPr>
        <w:t>table above represents the total inventory of currently approved information</w:t>
      </w:r>
      <w:r w:rsidR="00FC7FB6">
        <w:rPr>
          <w:rFonts w:ascii="Times New Roman" w:hAnsi="Times New Roman" w:cs="Times New Roman"/>
          <w:sz w:val="24"/>
          <w:szCs w:val="24"/>
        </w:rPr>
        <w:t xml:space="preserve"> collection</w:t>
      </w:r>
      <w:r>
        <w:rPr>
          <w:rFonts w:ascii="Times New Roman" w:hAnsi="Times New Roman" w:cs="Times New Roman"/>
          <w:sz w:val="24"/>
          <w:szCs w:val="24"/>
        </w:rPr>
        <w:t xml:space="preserve"> burden for FERC-725A, not just the burden affected in the RD14-11-000 Order.  </w:t>
      </w:r>
      <w:proofErr w:type="gramStart"/>
      <w:r>
        <w:rPr>
          <w:rFonts w:ascii="Times New Roman" w:hAnsi="Times New Roman" w:cs="Times New Roman"/>
          <w:sz w:val="24"/>
          <w:szCs w:val="24"/>
        </w:rPr>
        <w:t>Conversely, the FERC-725X represents new burden due solely to activity in RD14-11-000</w:t>
      </w:r>
      <w:r w:rsidR="00FC7FB6">
        <w:rPr>
          <w:rFonts w:ascii="Times New Roman" w:hAnsi="Times New Roman" w:cs="Times New Roman"/>
          <w:sz w:val="24"/>
          <w:szCs w:val="24"/>
        </w:rPr>
        <w:t>.</w:t>
      </w:r>
      <w:proofErr w:type="gramEnd"/>
      <w:r w:rsidR="00FC7FB6">
        <w:rPr>
          <w:rFonts w:ascii="Times New Roman" w:hAnsi="Times New Roman" w:cs="Times New Roman"/>
          <w:sz w:val="24"/>
          <w:szCs w:val="24"/>
        </w:rPr>
        <w:t xml:space="preserve">  </w:t>
      </w:r>
    </w:p>
    <w:p w14:paraId="44D0C23C" w14:textId="77777777" w:rsidR="00FC7FB6" w:rsidRDefault="00FC7FB6" w:rsidP="0092596C">
      <w:pPr>
        <w:spacing w:after="0" w:line="240" w:lineRule="auto"/>
        <w:rPr>
          <w:rFonts w:ascii="Times New Roman" w:hAnsi="Times New Roman" w:cs="Times New Roman"/>
          <w:sz w:val="24"/>
          <w:szCs w:val="24"/>
        </w:rPr>
      </w:pPr>
    </w:p>
    <w:p w14:paraId="52D6EBD6" w14:textId="2B2823A0" w:rsidR="00061DB2" w:rsidRPr="003E5045" w:rsidRDefault="00FC7FB6"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Since FERC-725X will be a new collection, the entirety of its new burden will be due to RD14-11-000 and, more importantly, the VAR standards the order approves [VAR-001-4 and VAR-002-3 (R1 and R2)].  This is the reason that FERC-725X affects so fewer entities</w:t>
      </w:r>
      <w:r w:rsidR="00552DDC">
        <w:rPr>
          <w:rFonts w:ascii="Times New Roman" w:hAnsi="Times New Roman" w:cs="Times New Roman"/>
          <w:sz w:val="24"/>
          <w:szCs w:val="24"/>
        </w:rPr>
        <w:t xml:space="preserve"> (1,058 vs 3,770)</w:t>
      </w:r>
      <w:r>
        <w:rPr>
          <w:rFonts w:ascii="Times New Roman" w:hAnsi="Times New Roman" w:cs="Times New Roman"/>
          <w:sz w:val="24"/>
          <w:szCs w:val="24"/>
        </w:rPr>
        <w:t xml:space="preserve"> than FERC-725A.</w:t>
      </w:r>
    </w:p>
    <w:p w14:paraId="0D2FC7F0" w14:textId="77777777" w:rsidR="00970FE4" w:rsidRPr="003E5045" w:rsidRDefault="00970FE4" w:rsidP="0092596C">
      <w:pPr>
        <w:spacing w:after="0" w:line="240" w:lineRule="auto"/>
        <w:rPr>
          <w:rFonts w:ascii="Times New Roman" w:hAnsi="Times New Roman" w:cs="Times New Roman"/>
          <w:sz w:val="24"/>
          <w:szCs w:val="24"/>
        </w:rPr>
      </w:pPr>
    </w:p>
    <w:p w14:paraId="7D15F7AF" w14:textId="77777777" w:rsidR="00A276F5" w:rsidRPr="003E5045"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TIME SCHEDULE FOR PUBLICATION OF DATA</w:t>
      </w:r>
    </w:p>
    <w:p w14:paraId="4ECBE8F0" w14:textId="77777777" w:rsidR="00826750" w:rsidRPr="003E5045" w:rsidRDefault="00826750" w:rsidP="0092596C">
      <w:pPr>
        <w:spacing w:after="0" w:line="240" w:lineRule="auto"/>
        <w:rPr>
          <w:rFonts w:ascii="Times New Roman" w:hAnsi="Times New Roman" w:cs="Times New Roman"/>
          <w:sz w:val="24"/>
          <w:szCs w:val="24"/>
        </w:rPr>
      </w:pPr>
    </w:p>
    <w:p w14:paraId="7FB41C78" w14:textId="0A86DFF9" w:rsidR="00414F32" w:rsidRPr="003E5045" w:rsidRDefault="00826750" w:rsidP="0092596C">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There are no data publications as part of this collection</w:t>
      </w:r>
      <w:r w:rsidR="00045A8C">
        <w:rPr>
          <w:rFonts w:ascii="Times New Roman" w:hAnsi="Times New Roman" w:cs="Times New Roman"/>
          <w:sz w:val="24"/>
          <w:szCs w:val="24"/>
        </w:rPr>
        <w:t>.</w:t>
      </w:r>
      <w:r w:rsidR="00045A8C" w:rsidRPr="00045A8C">
        <w:t xml:space="preserve"> </w:t>
      </w:r>
      <w:r w:rsidR="00045A8C">
        <w:t xml:space="preserve"> </w:t>
      </w:r>
    </w:p>
    <w:p w14:paraId="3BB52D44" w14:textId="77777777" w:rsidR="00414F32" w:rsidRPr="003E5045" w:rsidRDefault="00414F32" w:rsidP="0092596C">
      <w:pPr>
        <w:spacing w:after="0" w:line="240" w:lineRule="auto"/>
        <w:rPr>
          <w:rFonts w:ascii="Times New Roman" w:hAnsi="Times New Roman" w:cs="Times New Roman"/>
          <w:sz w:val="24"/>
          <w:szCs w:val="24"/>
        </w:rPr>
      </w:pPr>
    </w:p>
    <w:p w14:paraId="30966557" w14:textId="77777777" w:rsidR="00414F32" w:rsidRPr="003E5045"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DISPLAY OF EXPIRATION DATE</w:t>
      </w:r>
    </w:p>
    <w:p w14:paraId="14BA9A11" w14:textId="77777777" w:rsidR="00414F32" w:rsidRPr="003E5045" w:rsidRDefault="00414F32" w:rsidP="0092596C">
      <w:pPr>
        <w:spacing w:after="0" w:line="240" w:lineRule="auto"/>
        <w:rPr>
          <w:rFonts w:ascii="Times New Roman" w:hAnsi="Times New Roman" w:cs="Times New Roman"/>
          <w:sz w:val="24"/>
          <w:szCs w:val="24"/>
        </w:rPr>
      </w:pPr>
    </w:p>
    <w:p w14:paraId="55B54163" w14:textId="77777777" w:rsidR="00076203" w:rsidRPr="00076203" w:rsidRDefault="00D81467" w:rsidP="00076203">
      <w:pPr>
        <w:spacing w:after="0"/>
        <w:rPr>
          <w:rFonts w:ascii="Times New Roman" w:hAnsi="Times New Roman"/>
          <w:sz w:val="24"/>
          <w:szCs w:val="24"/>
        </w:rPr>
      </w:pPr>
      <w:r>
        <w:rPr>
          <w:rFonts w:ascii="Times New Roman" w:hAnsi="Times New Roman"/>
          <w:sz w:val="24"/>
          <w:szCs w:val="24"/>
        </w:rPr>
        <w:t>The expiration date</w:t>
      </w:r>
      <w:r w:rsidR="00076203" w:rsidRPr="00E84A39">
        <w:rPr>
          <w:rFonts w:ascii="Times New Roman" w:hAnsi="Times New Roman"/>
          <w:sz w:val="24"/>
          <w:szCs w:val="24"/>
        </w:rPr>
        <w:t xml:space="preserve"> </w:t>
      </w:r>
      <w:r>
        <w:rPr>
          <w:rFonts w:ascii="Times New Roman" w:hAnsi="Times New Roman"/>
          <w:sz w:val="24"/>
          <w:szCs w:val="24"/>
        </w:rPr>
        <w:t>is</w:t>
      </w:r>
      <w:r w:rsidR="00076203" w:rsidRPr="00E84A39">
        <w:rPr>
          <w:rFonts w:ascii="Times New Roman" w:hAnsi="Times New Roman"/>
          <w:sz w:val="24"/>
          <w:szCs w:val="24"/>
        </w:rPr>
        <w:t xml:space="preserve"> displayed </w:t>
      </w:r>
      <w:r w:rsidR="00076203">
        <w:rPr>
          <w:rFonts w:ascii="Times New Roman" w:hAnsi="Times New Roman"/>
          <w:sz w:val="24"/>
          <w:szCs w:val="24"/>
        </w:rPr>
        <w:t xml:space="preserve">in a table posted </w:t>
      </w:r>
      <w:r w:rsidR="00076203" w:rsidRPr="00E84A39">
        <w:rPr>
          <w:rFonts w:ascii="Times New Roman" w:hAnsi="Times New Roman"/>
          <w:sz w:val="24"/>
          <w:szCs w:val="24"/>
        </w:rPr>
        <w:t xml:space="preserve">on ferc.gov </w:t>
      </w:r>
      <w:r w:rsidR="00076203">
        <w:rPr>
          <w:rFonts w:ascii="Times New Roman" w:hAnsi="Times New Roman"/>
          <w:sz w:val="24"/>
          <w:szCs w:val="24"/>
        </w:rPr>
        <w:t>at</w:t>
      </w:r>
      <w:r w:rsidR="00076203" w:rsidRPr="00E84A39">
        <w:rPr>
          <w:rFonts w:ascii="Times New Roman" w:hAnsi="Times New Roman"/>
          <w:sz w:val="24"/>
          <w:szCs w:val="24"/>
        </w:rPr>
        <w:t xml:space="preserve"> </w:t>
      </w:r>
      <w:hyperlink r:id="rId13" w:history="1">
        <w:r w:rsidR="00076203" w:rsidRPr="00E84A39">
          <w:rPr>
            <w:rStyle w:val="Hyperlink"/>
            <w:rFonts w:ascii="Times New Roman" w:hAnsi="Times New Roman"/>
            <w:sz w:val="24"/>
            <w:szCs w:val="24"/>
          </w:rPr>
          <w:t>http://www.ferc.gov/docs-filing/info-collections.asp</w:t>
        </w:r>
      </w:hyperlink>
      <w:r w:rsidR="00076203" w:rsidRPr="00E84A39">
        <w:rPr>
          <w:rFonts w:ascii="Times New Roman" w:hAnsi="Times New Roman"/>
          <w:sz w:val="24"/>
          <w:szCs w:val="24"/>
        </w:rPr>
        <w:t>.</w:t>
      </w:r>
    </w:p>
    <w:p w14:paraId="259A4A2F" w14:textId="77777777" w:rsidR="00414F32" w:rsidRPr="003E5045" w:rsidRDefault="00414F32" w:rsidP="0092596C">
      <w:pPr>
        <w:spacing w:after="0" w:line="240" w:lineRule="auto"/>
        <w:rPr>
          <w:rFonts w:ascii="Times New Roman" w:hAnsi="Times New Roman" w:cs="Times New Roman"/>
          <w:sz w:val="24"/>
          <w:szCs w:val="24"/>
        </w:rPr>
      </w:pPr>
    </w:p>
    <w:p w14:paraId="2B1CB109" w14:textId="77777777" w:rsidR="00414F32" w:rsidRPr="003E5045"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EXCEPTIONS TO THE CERTIFICATION STATEMENT</w:t>
      </w:r>
    </w:p>
    <w:p w14:paraId="06C07672" w14:textId="77777777" w:rsidR="0057700F" w:rsidRPr="003E5045" w:rsidRDefault="0057700F" w:rsidP="0092596C">
      <w:pPr>
        <w:spacing w:after="0" w:line="240" w:lineRule="auto"/>
        <w:rPr>
          <w:rFonts w:ascii="Times New Roman" w:hAnsi="Times New Roman" w:cs="Times New Roman"/>
          <w:b/>
          <w:sz w:val="24"/>
          <w:szCs w:val="24"/>
        </w:rPr>
      </w:pPr>
    </w:p>
    <w:p w14:paraId="208CB487" w14:textId="155900DE" w:rsidR="00970FE4" w:rsidRPr="003E5045" w:rsidRDefault="00B16372" w:rsidP="0092596C">
      <w:pPr>
        <w:spacing w:after="0" w:line="240" w:lineRule="auto"/>
        <w:rPr>
          <w:rFonts w:ascii="Times New Roman" w:hAnsi="Times New Roman" w:cs="Times New Roman"/>
          <w:sz w:val="24"/>
          <w:szCs w:val="24"/>
        </w:rPr>
      </w:pPr>
      <w:r w:rsidRPr="003E5045">
        <w:rPr>
          <w:rFonts w:ascii="Times New Roman" w:eastAsia="Calibri" w:hAnsi="Times New Roman" w:cs="Times New Roman"/>
          <w:sz w:val="24"/>
          <w:szCs w:val="24"/>
        </w:rPr>
        <w:t xml:space="preserve">The Commission does not </w:t>
      </w:r>
      <w:r w:rsidR="006E16FF">
        <w:rPr>
          <w:rFonts w:ascii="Times New Roman" w:eastAsia="Calibri" w:hAnsi="Times New Roman" w:cs="Times New Roman"/>
          <w:sz w:val="24"/>
          <w:szCs w:val="24"/>
        </w:rPr>
        <w:t xml:space="preserve">expect to </w:t>
      </w:r>
      <w:r w:rsidRPr="003E5045">
        <w:rPr>
          <w:rFonts w:ascii="Times New Roman" w:eastAsia="Calibri" w:hAnsi="Times New Roman" w:cs="Times New Roman"/>
          <w:sz w:val="24"/>
          <w:szCs w:val="24"/>
        </w:rPr>
        <w:t xml:space="preserve">use statistical methods </w:t>
      </w:r>
      <w:r w:rsidR="006E16FF">
        <w:rPr>
          <w:rFonts w:ascii="Times New Roman" w:eastAsia="Calibri" w:hAnsi="Times New Roman" w:cs="Times New Roman"/>
          <w:sz w:val="24"/>
          <w:szCs w:val="24"/>
        </w:rPr>
        <w:t>to analyze the information collected under this control number</w:t>
      </w:r>
      <w:r w:rsidRPr="003E5045">
        <w:rPr>
          <w:rFonts w:ascii="Times New Roman" w:eastAsia="Calibri" w:hAnsi="Times New Roman" w:cs="Times New Roman"/>
          <w:sz w:val="24"/>
          <w:szCs w:val="24"/>
        </w:rPr>
        <w:t xml:space="preserve">.  </w:t>
      </w:r>
    </w:p>
    <w:p w14:paraId="50F672F6" w14:textId="77777777" w:rsidR="00414F32" w:rsidRPr="003E5045" w:rsidRDefault="00414F32" w:rsidP="0092596C">
      <w:pPr>
        <w:spacing w:after="0" w:line="240" w:lineRule="auto"/>
        <w:rPr>
          <w:rFonts w:ascii="Times New Roman" w:hAnsi="Times New Roman" w:cs="Times New Roman"/>
          <w:sz w:val="24"/>
          <w:szCs w:val="24"/>
        </w:rPr>
      </w:pPr>
    </w:p>
    <w:sectPr w:rsidR="00414F32" w:rsidRPr="003E504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9A75B" w14:textId="77777777" w:rsidR="002563EE" w:rsidRDefault="002563EE" w:rsidP="00FD66F1">
      <w:pPr>
        <w:spacing w:after="0" w:line="240" w:lineRule="auto"/>
      </w:pPr>
      <w:r>
        <w:separator/>
      </w:r>
    </w:p>
  </w:endnote>
  <w:endnote w:type="continuationSeparator" w:id="0">
    <w:p w14:paraId="0E139345" w14:textId="77777777" w:rsidR="002563EE" w:rsidRDefault="002563EE"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61CD90CB" w14:textId="77777777" w:rsidR="00C60AAE" w:rsidRPr="000A6548" w:rsidRDefault="00C60AAE">
        <w:pPr>
          <w:pStyle w:val="Footer"/>
          <w:jc w:val="right"/>
          <w:rPr>
            <w:rFonts w:ascii="Times New Roman" w:hAnsi="Times New Roman" w:cs="Times New Roman"/>
          </w:rPr>
        </w:pPr>
        <w:r w:rsidRPr="000A6548">
          <w:rPr>
            <w:rFonts w:ascii="Times New Roman" w:hAnsi="Times New Roman" w:cs="Times New Roman"/>
          </w:rPr>
          <w:fldChar w:fldCharType="begin"/>
        </w:r>
        <w:r w:rsidRPr="000A6548">
          <w:rPr>
            <w:rFonts w:ascii="Times New Roman" w:hAnsi="Times New Roman" w:cs="Times New Roman"/>
          </w:rPr>
          <w:instrText xml:space="preserve"> PAGE   \* MERGEFORMAT </w:instrText>
        </w:r>
        <w:r w:rsidRPr="000A6548">
          <w:rPr>
            <w:rFonts w:ascii="Times New Roman" w:hAnsi="Times New Roman" w:cs="Times New Roman"/>
          </w:rPr>
          <w:fldChar w:fldCharType="separate"/>
        </w:r>
        <w:r w:rsidR="00D710BB">
          <w:rPr>
            <w:rFonts w:ascii="Times New Roman" w:hAnsi="Times New Roman" w:cs="Times New Roman"/>
            <w:noProof/>
          </w:rPr>
          <w:t>1</w:t>
        </w:r>
        <w:r w:rsidRPr="000A6548">
          <w:rPr>
            <w:rFonts w:ascii="Times New Roman" w:hAnsi="Times New Roman" w:cs="Times New Roman"/>
            <w:noProof/>
          </w:rPr>
          <w:fldChar w:fldCharType="end"/>
        </w:r>
      </w:p>
    </w:sdtContent>
  </w:sdt>
  <w:p w14:paraId="26389D61" w14:textId="77777777" w:rsidR="00C60AAE" w:rsidRDefault="00C60A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F44EF" w14:textId="77777777" w:rsidR="002563EE" w:rsidRDefault="002563EE" w:rsidP="00FD66F1">
      <w:pPr>
        <w:spacing w:after="0" w:line="240" w:lineRule="auto"/>
      </w:pPr>
      <w:r>
        <w:separator/>
      </w:r>
    </w:p>
  </w:footnote>
  <w:footnote w:type="continuationSeparator" w:id="0">
    <w:p w14:paraId="4AA2EFE1" w14:textId="77777777" w:rsidR="002563EE" w:rsidRDefault="002563EE" w:rsidP="00FD66F1">
      <w:pPr>
        <w:spacing w:after="0" w:line="240" w:lineRule="auto"/>
      </w:pPr>
      <w:r>
        <w:continuationSeparator/>
      </w:r>
    </w:p>
  </w:footnote>
  <w:footnote w:id="1">
    <w:p w14:paraId="5D89715E" w14:textId="2EF879B3" w:rsidR="00F26F6E" w:rsidRDefault="00F26F6E">
      <w:pPr>
        <w:pStyle w:val="FootnoteText"/>
      </w:pPr>
      <w:r>
        <w:rPr>
          <w:rStyle w:val="FootnoteReference"/>
        </w:rPr>
        <w:footnoteRef/>
      </w:r>
      <w:r>
        <w:t xml:space="preserve"> The letter order approving these reliability standards was issued on 8/1/2014 (</w:t>
      </w:r>
      <w:r w:rsidRPr="00F26F6E">
        <w:t>http://elibrary.ferc.gov/idmws/common/OpenNat.asp?fileID=13606637</w:t>
      </w:r>
      <w:r>
        <w:t>)</w:t>
      </w:r>
    </w:p>
  </w:footnote>
  <w:footnote w:id="2">
    <w:p w14:paraId="67577D68" w14:textId="3DEB7DED" w:rsidR="00F26F6E" w:rsidRDefault="00F26F6E">
      <w:pPr>
        <w:pStyle w:val="FootnoteText"/>
      </w:pPr>
      <w:r>
        <w:rPr>
          <w:rStyle w:val="FootnoteReference"/>
        </w:rPr>
        <w:footnoteRef/>
      </w:r>
      <w:r>
        <w:t xml:space="preserve"> FERC-725A contains most of the burden hours associated with nationwide Reliability Standards</w:t>
      </w:r>
      <w:r w:rsidR="003709E8">
        <w:t xml:space="preserve"> as</w:t>
      </w:r>
      <w:r w:rsidR="00552DDC">
        <w:t xml:space="preserve"> a</w:t>
      </w:r>
      <w:r w:rsidR="003709E8">
        <w:t xml:space="preserve"> result of Order 693 (72 FR 16598, 4/4/2007)</w:t>
      </w:r>
    </w:p>
  </w:footnote>
  <w:footnote w:id="3">
    <w:p w14:paraId="40499C43" w14:textId="3CF2CE5B" w:rsidR="00FC7FB6" w:rsidRDefault="00FC7FB6">
      <w:pPr>
        <w:pStyle w:val="FootnoteText"/>
      </w:pPr>
      <w:r>
        <w:rPr>
          <w:rStyle w:val="FootnoteReference"/>
        </w:rPr>
        <w:footnoteRef/>
      </w:r>
      <w:r>
        <w:t xml:space="preserve"> 72 FR 16598 (4/4/2007)</w:t>
      </w:r>
    </w:p>
  </w:footnote>
  <w:footnote w:id="4">
    <w:p w14:paraId="57CD4688" w14:textId="77777777" w:rsidR="00C60AAE" w:rsidRPr="00F13C21" w:rsidRDefault="00C60AAE" w:rsidP="00D95B47">
      <w:pPr>
        <w:pStyle w:val="FootnoteText"/>
      </w:pPr>
      <w:r w:rsidRPr="00F13C21">
        <w:rPr>
          <w:rStyle w:val="FootnoteReference"/>
        </w:rPr>
        <w:footnoteRef/>
      </w:r>
      <w:r w:rsidRPr="00F13C21">
        <w:t xml:space="preserve"> The Energy Policy Act of 2005, Pub. L. No 109-58, Title XII, Subtitle A, 119 Stat. 594, 941 (2005), codified at 16 U.S.C. 824o (2000).</w:t>
      </w:r>
    </w:p>
  </w:footnote>
  <w:footnote w:id="5">
    <w:p w14:paraId="717C10F7" w14:textId="77777777" w:rsidR="00522C92" w:rsidRPr="00F13C21" w:rsidRDefault="00522C92" w:rsidP="00522C92">
      <w:pPr>
        <w:pStyle w:val="FootnoteText"/>
      </w:pPr>
      <w:r w:rsidRPr="00F13C21">
        <w:rPr>
          <w:rStyle w:val="FootnoteReference"/>
        </w:rPr>
        <w:footnoteRef/>
      </w:r>
      <w:r w:rsidRPr="00F13C21">
        <w:t xml:space="preserve"> Reactive Power is the portion of electricity that establishes and sustains the electric and magnetic fields of Bulk-Power System equipment and supports voltage stability.  </w:t>
      </w:r>
    </w:p>
  </w:footnote>
  <w:footnote w:id="6">
    <w:p w14:paraId="0BF0EC7D" w14:textId="77777777" w:rsidR="00B701FF" w:rsidRPr="00F13C21" w:rsidRDefault="00B701FF" w:rsidP="00D95B47">
      <w:pPr>
        <w:pStyle w:val="FootnoteText"/>
        <w:tabs>
          <w:tab w:val="left" w:pos="720"/>
        </w:tabs>
      </w:pPr>
      <w:r w:rsidRPr="00F13C21">
        <w:rPr>
          <w:rStyle w:val="FootnoteReference"/>
          <w:b/>
          <w:vertAlign w:val="superscript"/>
        </w:rPr>
        <w:footnoteRef/>
      </w:r>
      <w:r w:rsidRPr="00F13C21">
        <w:t xml:space="preserve"> </w:t>
      </w:r>
      <w:proofErr w:type="gramStart"/>
      <w:r w:rsidRPr="00F13C21">
        <w:t xml:space="preserve">Available at </w:t>
      </w:r>
      <w:hyperlink r:id="rId1" w:history="1">
        <w:r w:rsidRPr="00F13C21">
          <w:rPr>
            <w:rStyle w:val="Hyperlink"/>
          </w:rPr>
          <w:t>http://www.nerc.com/FilingsOrders/us/RuleOfProcedureDL/NERC_ROP_Effective_20140701_updated_20140602.pdf</w:t>
        </w:r>
      </w:hyperlink>
      <w:r w:rsidRPr="00F13C21">
        <w:t>.</w:t>
      </w:r>
      <w:proofErr w:type="gramEnd"/>
      <w:r w:rsidRPr="00F13C21">
        <w:t xml:space="preserve"> </w:t>
      </w:r>
    </w:p>
  </w:footnote>
  <w:footnote w:id="7">
    <w:p w14:paraId="34AD3873" w14:textId="718C3292" w:rsidR="00C60AAE" w:rsidRPr="00F13C21" w:rsidRDefault="00C60AAE" w:rsidP="00D95B47">
      <w:pPr>
        <w:pStyle w:val="FootnoteText"/>
        <w:spacing w:after="240"/>
      </w:pPr>
      <w:r w:rsidRPr="00F13C21">
        <w:rPr>
          <w:rStyle w:val="FootnoteReference"/>
          <w:b/>
          <w:vertAlign w:val="superscript"/>
        </w:rPr>
        <w:footnoteRef/>
      </w:r>
      <w:r w:rsidRPr="00F13C21">
        <w:t xml:space="preserve"> Details of the current ERO Reliability Standard processes are available on the NERC website at </w:t>
      </w:r>
      <w:hyperlink r:id="rId2" w:history="1">
        <w:r w:rsidR="00CF44C7" w:rsidRPr="000728AA">
          <w:rPr>
            <w:rStyle w:val="Hyperlink"/>
          </w:rPr>
          <w:t>http://www.nerc.com/files/Appendix_3A_StandardsProcessesManual_20120131.pdf</w:t>
        </w:r>
      </w:hyperlink>
      <w:r w:rsidR="00CF44C7">
        <w:t xml:space="preserve"> </w:t>
      </w:r>
      <w:r w:rsidRPr="00F13C21">
        <w:t xml:space="preserve"> </w:t>
      </w:r>
    </w:p>
  </w:footnote>
  <w:footnote w:id="8">
    <w:p w14:paraId="270BD7D5" w14:textId="1F980A8C" w:rsidR="00522C92" w:rsidRPr="00522C92" w:rsidRDefault="00522C92">
      <w:pPr>
        <w:pStyle w:val="FootnoteText"/>
      </w:pPr>
      <w:r w:rsidRPr="00500193">
        <w:rPr>
          <w:rStyle w:val="FootnoteReference"/>
          <w:b/>
          <w:vertAlign w:val="superscript"/>
        </w:rPr>
        <w:footnoteRef/>
      </w:r>
      <w:r w:rsidRPr="00500193">
        <w:rPr>
          <w:b/>
        </w:rPr>
        <w:t xml:space="preserve"> </w:t>
      </w:r>
      <w:r w:rsidRPr="00445BBA">
        <w:t>FERC regulations at 18 CFR 388.112 do allow entities submitting information to FERC to request privileged treatment of such information.</w:t>
      </w:r>
    </w:p>
  </w:footnote>
  <w:footnote w:id="9">
    <w:p w14:paraId="208ADBA3" w14:textId="77777777" w:rsidR="009D2601" w:rsidRPr="00F13C21" w:rsidRDefault="009D2601" w:rsidP="00D95B47">
      <w:pPr>
        <w:pStyle w:val="FootnoteText"/>
      </w:pPr>
      <w:r w:rsidRPr="00F13C21">
        <w:rPr>
          <w:rStyle w:val="FootnoteReference"/>
          <w:b/>
          <w:vertAlign w:val="superscript"/>
        </w:rPr>
        <w:footnoteRef/>
      </w:r>
      <w:r w:rsidRPr="00F13C21">
        <w:t xml:space="preserve"> </w:t>
      </w:r>
      <w:proofErr w:type="gramStart"/>
      <w:r w:rsidRPr="00F13C21">
        <w:t>Section 1502, Paragraph 2, available at NERC’s website (</w:t>
      </w:r>
      <w:hyperlink r:id="rId3" w:history="1">
        <w:r w:rsidRPr="00F13C21">
          <w:rPr>
            <w:rStyle w:val="Hyperlink"/>
          </w:rPr>
          <w:t>http://www.nerc.com/FilingsOrders/us/RuleOfProcedureDL/NERC_ROP_Effective_20140701_updated_20140602%20(updated).pdf)</w:t>
        </w:r>
      </w:hyperlink>
      <w:r w:rsidRPr="00F13C21">
        <w:t>.</w:t>
      </w:r>
      <w:proofErr w:type="gramEnd"/>
      <w:r w:rsidRPr="00F13C21">
        <w:t xml:space="preserve">  </w:t>
      </w:r>
    </w:p>
  </w:footnote>
  <w:footnote w:id="10">
    <w:p w14:paraId="795B28D8" w14:textId="77777777" w:rsidR="00C22CE2" w:rsidRPr="00F13C21" w:rsidRDefault="00C22CE2" w:rsidP="00D95B47">
      <w:pPr>
        <w:pStyle w:val="FootnoteText"/>
      </w:pPr>
      <w:r w:rsidRPr="00F13C21">
        <w:rPr>
          <w:rStyle w:val="FootnoteReference"/>
        </w:rPr>
        <w:footnoteRef/>
      </w:r>
      <w:r w:rsidRPr="00F13C21">
        <w:t xml:space="preserve">  TOP = Transmission Operator, GOP = Generator Operator.</w:t>
      </w:r>
    </w:p>
  </w:footnote>
  <w:footnote w:id="11">
    <w:p w14:paraId="393AE34D" w14:textId="77777777" w:rsidR="00C22CE2" w:rsidRPr="00F13C21" w:rsidRDefault="00C22CE2" w:rsidP="00D95B47">
      <w:pPr>
        <w:pStyle w:val="FootnoteText"/>
      </w:pPr>
      <w:r w:rsidRPr="00F13C21">
        <w:rPr>
          <w:rStyle w:val="FootnoteReference"/>
        </w:rPr>
        <w:footnoteRef/>
      </w:r>
      <w:r w:rsidRPr="00F13C21">
        <w:t xml:space="preserve">  The estimate for cost per hour (rounded to the nearest dollar) is derived as follows: </w:t>
      </w:r>
    </w:p>
    <w:p w14:paraId="232ECC21" w14:textId="77777777" w:rsidR="00C22CE2" w:rsidRPr="00F13C21" w:rsidRDefault="00C22CE2" w:rsidP="00D95B47">
      <w:pPr>
        <w:numPr>
          <w:ilvl w:val="0"/>
          <w:numId w:val="21"/>
        </w:numPr>
        <w:spacing w:after="0" w:line="240" w:lineRule="auto"/>
        <w:ind w:firstLine="0"/>
        <w:contextualSpacing/>
        <w:rPr>
          <w:rFonts w:ascii="Times New Roman" w:hAnsi="Times New Roman" w:cs="Times New Roman"/>
          <w:sz w:val="20"/>
          <w:szCs w:val="20"/>
          <w:u w:val="single"/>
        </w:rPr>
      </w:pPr>
      <w:r w:rsidRPr="00F13C21">
        <w:rPr>
          <w:rFonts w:ascii="Times New Roman" w:hAnsi="Times New Roman" w:cs="Times New Roman"/>
          <w:sz w:val="20"/>
          <w:szCs w:val="20"/>
        </w:rPr>
        <w:t xml:space="preserve">$61/hour, the average salary plus benefits (representing 30.1% of the total compensation) per engineer (from Bureau of Labor Statistics at </w:t>
      </w:r>
      <w:hyperlink r:id="rId4" w:history="1">
        <w:r w:rsidRPr="00F13C21">
          <w:rPr>
            <w:rFonts w:ascii="Times New Roman" w:hAnsi="Times New Roman" w:cs="Times New Roman"/>
            <w:color w:val="0000FF"/>
            <w:sz w:val="20"/>
            <w:szCs w:val="20"/>
            <w:u w:val="single"/>
          </w:rPr>
          <w:t>http://bls.gov/oes/current/naics3_221000.htm</w:t>
        </w:r>
      </w:hyperlink>
      <w:r w:rsidRPr="00F13C21">
        <w:rPr>
          <w:rFonts w:ascii="Times New Roman" w:hAnsi="Times New Roman" w:cs="Times New Roman"/>
          <w:color w:val="0000FF"/>
          <w:sz w:val="20"/>
          <w:szCs w:val="20"/>
          <w:u w:val="single"/>
        </w:rPr>
        <w:t xml:space="preserve"> </w:t>
      </w:r>
      <w:r w:rsidRPr="00F13C21">
        <w:rPr>
          <w:rFonts w:ascii="Times New Roman" w:hAnsi="Times New Roman" w:cs="Times New Roman"/>
          <w:sz w:val="20"/>
          <w:szCs w:val="20"/>
        </w:rPr>
        <w:t xml:space="preserve">and </w:t>
      </w:r>
      <w:hyperlink r:id="rId5" w:history="1">
        <w:r w:rsidRPr="00F13C21">
          <w:rPr>
            <w:rStyle w:val="Hyperlink"/>
            <w:rFonts w:ascii="Times New Roman" w:hAnsi="Times New Roman"/>
            <w:sz w:val="20"/>
            <w:szCs w:val="20"/>
          </w:rPr>
          <w:t>http://www.bls.gov/news.release/ecec.nr0.htm</w:t>
        </w:r>
      </w:hyperlink>
    </w:p>
  </w:footnote>
  <w:footnote w:id="12">
    <w:p w14:paraId="3F4CEEFE" w14:textId="2131E1BB" w:rsidR="00C60AAE" w:rsidRPr="00F13C21" w:rsidRDefault="00C60AAE" w:rsidP="00401F33">
      <w:pPr>
        <w:pStyle w:val="FootnoteText"/>
      </w:pPr>
      <w:r w:rsidRPr="00F13C21">
        <w:rPr>
          <w:rStyle w:val="FootnoteReference"/>
        </w:rPr>
        <w:footnoteRef/>
      </w:r>
      <w:r w:rsidRPr="00F13C21">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 </w:t>
      </w:r>
    </w:p>
  </w:footnote>
  <w:footnote w:id="13">
    <w:p w14:paraId="210AF902" w14:textId="2EEA79C4" w:rsidR="00FC5757" w:rsidRPr="00F13C21" w:rsidRDefault="00FC5757" w:rsidP="00401F33">
      <w:pPr>
        <w:pStyle w:val="FootnoteText"/>
      </w:pPr>
      <w:r w:rsidRPr="00F13C21">
        <w:rPr>
          <w:rStyle w:val="FootnoteReference"/>
        </w:rPr>
        <w:footnoteRef/>
      </w:r>
      <w:r w:rsidRPr="00F13C21">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3AFB5" w14:textId="4301E4E4" w:rsidR="00C60AAE" w:rsidRDefault="00C60AAE" w:rsidP="00B3407F">
    <w:pPr>
      <w:pStyle w:val="Header"/>
      <w:rPr>
        <w:rFonts w:ascii="Times New Roman" w:hAnsi="Times New Roman"/>
        <w:sz w:val="24"/>
        <w:szCs w:val="24"/>
      </w:rPr>
    </w:pPr>
    <w:r>
      <w:rPr>
        <w:rFonts w:ascii="Times New Roman" w:hAnsi="Times New Roman"/>
        <w:sz w:val="24"/>
        <w:szCs w:val="24"/>
      </w:rPr>
      <w:t>FERC-725</w:t>
    </w:r>
    <w:r w:rsidR="00F94FD1">
      <w:rPr>
        <w:rFonts w:ascii="Times New Roman" w:hAnsi="Times New Roman"/>
        <w:sz w:val="24"/>
        <w:szCs w:val="24"/>
      </w:rPr>
      <w:t>X</w:t>
    </w:r>
    <w:r>
      <w:rPr>
        <w:rFonts w:ascii="Times New Roman" w:hAnsi="Times New Roman"/>
        <w:sz w:val="24"/>
        <w:szCs w:val="24"/>
      </w:rPr>
      <w:t xml:space="preserve"> </w:t>
    </w:r>
    <w:r w:rsidR="00C71EE2">
      <w:rPr>
        <w:rFonts w:ascii="Times New Roman" w:hAnsi="Times New Roman"/>
        <w:sz w:val="24"/>
        <w:szCs w:val="24"/>
      </w:rPr>
      <w:t xml:space="preserve">and FERC-725A </w:t>
    </w:r>
    <w:r>
      <w:rPr>
        <w:rFonts w:ascii="Times New Roman" w:hAnsi="Times New Roman"/>
        <w:sz w:val="24"/>
        <w:szCs w:val="24"/>
      </w:rPr>
      <w:t>(OMB Control No</w:t>
    </w:r>
    <w:r w:rsidR="00D31E5A">
      <w:rPr>
        <w:rFonts w:ascii="Times New Roman" w:hAnsi="Times New Roman"/>
        <w:sz w:val="24"/>
        <w:szCs w:val="24"/>
      </w:rPr>
      <w:t>s</w:t>
    </w:r>
    <w:r>
      <w:rPr>
        <w:rFonts w:ascii="Times New Roman" w:hAnsi="Times New Roman"/>
        <w:sz w:val="24"/>
        <w:szCs w:val="24"/>
      </w:rPr>
      <w:t xml:space="preserve">.: </w:t>
    </w:r>
    <w:r w:rsidR="00F94FD1">
      <w:rPr>
        <w:rFonts w:ascii="Times New Roman" w:hAnsi="Times New Roman"/>
        <w:sz w:val="24"/>
        <w:szCs w:val="24"/>
      </w:rPr>
      <w:t>to be determined</w:t>
    </w:r>
    <w:r w:rsidR="00C71EE2">
      <w:rPr>
        <w:rFonts w:ascii="Times New Roman" w:hAnsi="Times New Roman"/>
        <w:sz w:val="24"/>
        <w:szCs w:val="24"/>
      </w:rPr>
      <w:t xml:space="preserve"> and 1902-0244</w:t>
    </w:r>
    <w:r>
      <w:rPr>
        <w:rFonts w:ascii="Times New Roman" w:hAnsi="Times New Roman"/>
        <w:sz w:val="24"/>
        <w:szCs w:val="24"/>
      </w:rPr>
      <w:t>)</w:t>
    </w:r>
  </w:p>
  <w:p w14:paraId="353B924A" w14:textId="77777777" w:rsidR="00431E3E" w:rsidRDefault="00D96203" w:rsidP="00B3407F">
    <w:pPr>
      <w:pStyle w:val="Header"/>
      <w:rPr>
        <w:rFonts w:ascii="Times New Roman" w:hAnsi="Times New Roman"/>
        <w:sz w:val="24"/>
        <w:szCs w:val="24"/>
      </w:rPr>
    </w:pPr>
    <w:r>
      <w:rPr>
        <w:rFonts w:ascii="Times New Roman" w:hAnsi="Times New Roman"/>
        <w:sz w:val="24"/>
        <w:szCs w:val="24"/>
      </w:rPr>
      <w:t xml:space="preserve">Order in </w:t>
    </w:r>
    <w:r w:rsidR="00C60AAE">
      <w:rPr>
        <w:rFonts w:ascii="Times New Roman" w:hAnsi="Times New Roman"/>
        <w:sz w:val="24"/>
        <w:szCs w:val="24"/>
      </w:rPr>
      <w:t>Docket No. R</w:t>
    </w:r>
    <w:r w:rsidR="00F94FD1">
      <w:rPr>
        <w:rFonts w:ascii="Times New Roman" w:hAnsi="Times New Roman"/>
        <w:sz w:val="24"/>
        <w:szCs w:val="24"/>
      </w:rPr>
      <w:t>D</w:t>
    </w:r>
    <w:r w:rsidR="00C60AAE">
      <w:rPr>
        <w:rFonts w:ascii="Times New Roman" w:hAnsi="Times New Roman"/>
        <w:sz w:val="24"/>
        <w:szCs w:val="24"/>
      </w:rPr>
      <w:t>14-</w:t>
    </w:r>
    <w:r w:rsidR="00F94FD1">
      <w:rPr>
        <w:rFonts w:ascii="Times New Roman" w:hAnsi="Times New Roman"/>
        <w:sz w:val="24"/>
        <w:szCs w:val="24"/>
      </w:rPr>
      <w:t>1</w:t>
    </w:r>
    <w:r w:rsidR="00C60AAE">
      <w:rPr>
        <w:rFonts w:ascii="Times New Roman" w:hAnsi="Times New Roman"/>
        <w:sz w:val="24"/>
        <w:szCs w:val="24"/>
      </w:rPr>
      <w:t>1</w:t>
    </w:r>
    <w:r w:rsidR="00C60AAE" w:rsidRPr="001F1AD2">
      <w:rPr>
        <w:rFonts w:ascii="Times New Roman" w:hAnsi="Times New Roman"/>
        <w:sz w:val="24"/>
        <w:szCs w:val="24"/>
      </w:rPr>
      <w:t xml:space="preserve"> </w:t>
    </w:r>
    <w:r>
      <w:rPr>
        <w:rFonts w:ascii="Times New Roman" w:hAnsi="Times New Roman"/>
        <w:sz w:val="24"/>
        <w:szCs w:val="24"/>
      </w:rPr>
      <w:t>(I</w:t>
    </w:r>
    <w:r w:rsidR="00C60AAE">
      <w:rPr>
        <w:rFonts w:ascii="Times New Roman" w:hAnsi="Times New Roman"/>
        <w:sz w:val="24"/>
        <w:szCs w:val="24"/>
      </w:rPr>
      <w:t xml:space="preserve">ssued </w:t>
    </w:r>
    <w:r>
      <w:rPr>
        <w:rFonts w:ascii="Times New Roman" w:hAnsi="Times New Roman"/>
        <w:sz w:val="24"/>
        <w:szCs w:val="24"/>
      </w:rPr>
      <w:t>8/1/2014)</w:t>
    </w:r>
  </w:p>
  <w:p w14:paraId="68789A9A" w14:textId="3A8DBEC3" w:rsidR="00C60AAE" w:rsidRDefault="00431E3E" w:rsidP="00B3407F">
    <w:pPr>
      <w:pStyle w:val="Header"/>
      <w:rPr>
        <w:rFonts w:ascii="Times New Roman" w:hAnsi="Times New Roman"/>
        <w:sz w:val="24"/>
        <w:szCs w:val="24"/>
      </w:rPr>
    </w:pPr>
    <w:r>
      <w:rPr>
        <w:rFonts w:ascii="Times New Roman" w:hAnsi="Times New Roman"/>
        <w:sz w:val="24"/>
        <w:szCs w:val="24"/>
      </w:rPr>
      <w:t>Updated: 4/21/2015</w:t>
    </w:r>
    <w:r w:rsidR="00C60AAE">
      <w:rPr>
        <w:rFonts w:ascii="Times New Roman" w:hAnsi="Times New Roman"/>
        <w:sz w:val="24"/>
        <w:szCs w:val="24"/>
      </w:rPr>
      <w:t xml:space="preserve"> </w:t>
    </w:r>
  </w:p>
  <w:p w14:paraId="471E81C5" w14:textId="77777777" w:rsidR="00C60AAE" w:rsidRDefault="00C60AAE" w:rsidP="00B340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01444D3F"/>
    <w:multiLevelType w:val="hybridMultilevel"/>
    <w:tmpl w:val="412A4D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3">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nsid w:val="38BA6B57"/>
    <w:multiLevelType w:val="hybridMultilevel"/>
    <w:tmpl w:val="6634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FB756CA"/>
    <w:multiLevelType w:val="hybridMultilevel"/>
    <w:tmpl w:val="D8EA1246"/>
    <w:lvl w:ilvl="0" w:tplc="F8101DFE">
      <w:start w:val="2"/>
      <w:numFmt w:val="decimal"/>
      <w:lvlText w:val="%1."/>
      <w:lvlJc w:val="left"/>
      <w:pPr>
        <w:tabs>
          <w:tab w:val="num" w:pos="720"/>
        </w:tabs>
        <w:ind w:left="720" w:hanging="360"/>
      </w:pPr>
      <w:rPr>
        <w:rFonts w:hint="default"/>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260868"/>
    <w:multiLevelType w:val="hybridMultilevel"/>
    <w:tmpl w:val="FF063818"/>
    <w:lvl w:ilvl="0" w:tplc="04090001">
      <w:start w:val="1"/>
      <w:numFmt w:val="bullet"/>
      <w:pStyle w:val="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646145"/>
    <w:multiLevelType w:val="hybridMultilevel"/>
    <w:tmpl w:val="A9BA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893EE1"/>
    <w:multiLevelType w:val="hybridMultilevel"/>
    <w:tmpl w:val="FEB892D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3">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13"/>
  </w:num>
  <w:num w:numId="3">
    <w:abstractNumId w:val="18"/>
  </w:num>
  <w:num w:numId="4">
    <w:abstractNumId w:val="21"/>
  </w:num>
  <w:num w:numId="5">
    <w:abstractNumId w:val="23"/>
  </w:num>
  <w:num w:numId="6">
    <w:abstractNumId w:val="22"/>
  </w:num>
  <w:num w:numId="7">
    <w:abstractNumId w:val="12"/>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0">
    <w:abstractNumId w:val="16"/>
  </w:num>
  <w:num w:numId="21">
    <w:abstractNumId w:val="15"/>
  </w:num>
  <w:num w:numId="22">
    <w:abstractNumId w:val="14"/>
  </w:num>
  <w:num w:numId="23">
    <w:abstractNumId w:val="1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42C0"/>
    <w:rsid w:val="00015458"/>
    <w:rsid w:val="00021A58"/>
    <w:rsid w:val="0002242D"/>
    <w:rsid w:val="00024320"/>
    <w:rsid w:val="00035845"/>
    <w:rsid w:val="00045A8C"/>
    <w:rsid w:val="00061DB2"/>
    <w:rsid w:val="00071E8E"/>
    <w:rsid w:val="00076203"/>
    <w:rsid w:val="0008455C"/>
    <w:rsid w:val="000A6548"/>
    <w:rsid w:val="000B0C37"/>
    <w:rsid w:val="000E4604"/>
    <w:rsid w:val="000E56E7"/>
    <w:rsid w:val="000F1B1B"/>
    <w:rsid w:val="00117E4C"/>
    <w:rsid w:val="00137DE4"/>
    <w:rsid w:val="00143103"/>
    <w:rsid w:val="001607F6"/>
    <w:rsid w:val="001622A5"/>
    <w:rsid w:val="0016465E"/>
    <w:rsid w:val="00165CDB"/>
    <w:rsid w:val="001701C1"/>
    <w:rsid w:val="0017787C"/>
    <w:rsid w:val="00181727"/>
    <w:rsid w:val="00182858"/>
    <w:rsid w:val="00185730"/>
    <w:rsid w:val="00190012"/>
    <w:rsid w:val="001B22EC"/>
    <w:rsid w:val="001C1311"/>
    <w:rsid w:val="001C1D2F"/>
    <w:rsid w:val="001C300E"/>
    <w:rsid w:val="001D73C6"/>
    <w:rsid w:val="001E506C"/>
    <w:rsid w:val="001E5901"/>
    <w:rsid w:val="001F1AD2"/>
    <w:rsid w:val="00203C65"/>
    <w:rsid w:val="00212FCA"/>
    <w:rsid w:val="002140A7"/>
    <w:rsid w:val="00216634"/>
    <w:rsid w:val="00216890"/>
    <w:rsid w:val="00220C8C"/>
    <w:rsid w:val="002249B4"/>
    <w:rsid w:val="00231EBD"/>
    <w:rsid w:val="0023536A"/>
    <w:rsid w:val="002360D0"/>
    <w:rsid w:val="0025473B"/>
    <w:rsid w:val="00254C5D"/>
    <w:rsid w:val="002563EE"/>
    <w:rsid w:val="0026674D"/>
    <w:rsid w:val="002800F3"/>
    <w:rsid w:val="002A3817"/>
    <w:rsid w:val="002B13E2"/>
    <w:rsid w:val="002B1453"/>
    <w:rsid w:val="002D5620"/>
    <w:rsid w:val="002E3274"/>
    <w:rsid w:val="002E48FF"/>
    <w:rsid w:val="002F1612"/>
    <w:rsid w:val="003111E7"/>
    <w:rsid w:val="00324D7D"/>
    <w:rsid w:val="00327137"/>
    <w:rsid w:val="00333EE2"/>
    <w:rsid w:val="00345EF7"/>
    <w:rsid w:val="00352AD0"/>
    <w:rsid w:val="003624BB"/>
    <w:rsid w:val="003709E8"/>
    <w:rsid w:val="003723E3"/>
    <w:rsid w:val="00376399"/>
    <w:rsid w:val="003A2853"/>
    <w:rsid w:val="003B25DD"/>
    <w:rsid w:val="003B7A86"/>
    <w:rsid w:val="003C235A"/>
    <w:rsid w:val="003C3532"/>
    <w:rsid w:val="003D11E0"/>
    <w:rsid w:val="003D2DC4"/>
    <w:rsid w:val="003D69FC"/>
    <w:rsid w:val="003E4922"/>
    <w:rsid w:val="003E5045"/>
    <w:rsid w:val="003F745C"/>
    <w:rsid w:val="00401F33"/>
    <w:rsid w:val="004076DE"/>
    <w:rsid w:val="00414F32"/>
    <w:rsid w:val="00415C53"/>
    <w:rsid w:val="00417592"/>
    <w:rsid w:val="00431E3E"/>
    <w:rsid w:val="004407B9"/>
    <w:rsid w:val="00443F3C"/>
    <w:rsid w:val="00445BBA"/>
    <w:rsid w:val="00446E59"/>
    <w:rsid w:val="00451BC6"/>
    <w:rsid w:val="00453246"/>
    <w:rsid w:val="004552E9"/>
    <w:rsid w:val="00457F4F"/>
    <w:rsid w:val="004779B9"/>
    <w:rsid w:val="0048277D"/>
    <w:rsid w:val="00487611"/>
    <w:rsid w:val="00491C2D"/>
    <w:rsid w:val="0049729F"/>
    <w:rsid w:val="004A32F7"/>
    <w:rsid w:val="004A6CC9"/>
    <w:rsid w:val="004B01EE"/>
    <w:rsid w:val="004B6275"/>
    <w:rsid w:val="004B6FBB"/>
    <w:rsid w:val="004C4C89"/>
    <w:rsid w:val="004D7BDC"/>
    <w:rsid w:val="004F6977"/>
    <w:rsid w:val="004F7A4D"/>
    <w:rsid w:val="00500193"/>
    <w:rsid w:val="00504E92"/>
    <w:rsid w:val="005229F0"/>
    <w:rsid w:val="00522C92"/>
    <w:rsid w:val="00522F69"/>
    <w:rsid w:val="00530462"/>
    <w:rsid w:val="0053287C"/>
    <w:rsid w:val="005335A7"/>
    <w:rsid w:val="00537D89"/>
    <w:rsid w:val="00552DDC"/>
    <w:rsid w:val="00571C5E"/>
    <w:rsid w:val="0057700F"/>
    <w:rsid w:val="00577124"/>
    <w:rsid w:val="00580974"/>
    <w:rsid w:val="005A1F8D"/>
    <w:rsid w:val="005A2792"/>
    <w:rsid w:val="005B3C50"/>
    <w:rsid w:val="005B4642"/>
    <w:rsid w:val="005B77CE"/>
    <w:rsid w:val="005C219C"/>
    <w:rsid w:val="005C4AD5"/>
    <w:rsid w:val="005C60CF"/>
    <w:rsid w:val="005D051B"/>
    <w:rsid w:val="005D7AC9"/>
    <w:rsid w:val="005E7290"/>
    <w:rsid w:val="005F1C3C"/>
    <w:rsid w:val="005F5621"/>
    <w:rsid w:val="00600303"/>
    <w:rsid w:val="00601BAC"/>
    <w:rsid w:val="00602795"/>
    <w:rsid w:val="00606EE3"/>
    <w:rsid w:val="006166FA"/>
    <w:rsid w:val="00622DC1"/>
    <w:rsid w:val="0063469E"/>
    <w:rsid w:val="0064100C"/>
    <w:rsid w:val="00653BD5"/>
    <w:rsid w:val="00661CAF"/>
    <w:rsid w:val="00664BC0"/>
    <w:rsid w:val="00672678"/>
    <w:rsid w:val="00677B17"/>
    <w:rsid w:val="006835EB"/>
    <w:rsid w:val="00690136"/>
    <w:rsid w:val="00691674"/>
    <w:rsid w:val="00694A76"/>
    <w:rsid w:val="006E16FF"/>
    <w:rsid w:val="006E33D4"/>
    <w:rsid w:val="006E6BF1"/>
    <w:rsid w:val="0072126E"/>
    <w:rsid w:val="00730307"/>
    <w:rsid w:val="00734692"/>
    <w:rsid w:val="007518B7"/>
    <w:rsid w:val="00763EAE"/>
    <w:rsid w:val="00764D4D"/>
    <w:rsid w:val="00773AEB"/>
    <w:rsid w:val="00777B05"/>
    <w:rsid w:val="00784B2E"/>
    <w:rsid w:val="00785D02"/>
    <w:rsid w:val="00787670"/>
    <w:rsid w:val="007A2C74"/>
    <w:rsid w:val="007A2F92"/>
    <w:rsid w:val="007A7A19"/>
    <w:rsid w:val="007B5D03"/>
    <w:rsid w:val="007E0896"/>
    <w:rsid w:val="007E7C0F"/>
    <w:rsid w:val="007F2CD9"/>
    <w:rsid w:val="0081469B"/>
    <w:rsid w:val="0081641C"/>
    <w:rsid w:val="00821554"/>
    <w:rsid w:val="00824B30"/>
    <w:rsid w:val="00826750"/>
    <w:rsid w:val="00837F0A"/>
    <w:rsid w:val="00851015"/>
    <w:rsid w:val="00853FEA"/>
    <w:rsid w:val="008619E1"/>
    <w:rsid w:val="00876F75"/>
    <w:rsid w:val="00883F19"/>
    <w:rsid w:val="00894651"/>
    <w:rsid w:val="008A21A4"/>
    <w:rsid w:val="008B0A37"/>
    <w:rsid w:val="008B64E9"/>
    <w:rsid w:val="008B703B"/>
    <w:rsid w:val="008C1300"/>
    <w:rsid w:val="008C288D"/>
    <w:rsid w:val="008E6ADC"/>
    <w:rsid w:val="008E70CD"/>
    <w:rsid w:val="008F0F5A"/>
    <w:rsid w:val="008F3AD3"/>
    <w:rsid w:val="00913A8B"/>
    <w:rsid w:val="0092057D"/>
    <w:rsid w:val="0092596C"/>
    <w:rsid w:val="0092617D"/>
    <w:rsid w:val="009462AC"/>
    <w:rsid w:val="009469AB"/>
    <w:rsid w:val="00951B34"/>
    <w:rsid w:val="00970FE4"/>
    <w:rsid w:val="0097671B"/>
    <w:rsid w:val="0098144A"/>
    <w:rsid w:val="00990149"/>
    <w:rsid w:val="009A1F25"/>
    <w:rsid w:val="009A2394"/>
    <w:rsid w:val="009A6041"/>
    <w:rsid w:val="009A6326"/>
    <w:rsid w:val="009B7ADB"/>
    <w:rsid w:val="009C1CCF"/>
    <w:rsid w:val="009D2601"/>
    <w:rsid w:val="009E1190"/>
    <w:rsid w:val="009E68B7"/>
    <w:rsid w:val="009F358B"/>
    <w:rsid w:val="00A1539F"/>
    <w:rsid w:val="00A22222"/>
    <w:rsid w:val="00A2666C"/>
    <w:rsid w:val="00A276F5"/>
    <w:rsid w:val="00A30951"/>
    <w:rsid w:val="00A4336A"/>
    <w:rsid w:val="00A548BE"/>
    <w:rsid w:val="00A549C4"/>
    <w:rsid w:val="00A54B3E"/>
    <w:rsid w:val="00A563E2"/>
    <w:rsid w:val="00A65959"/>
    <w:rsid w:val="00A72E7B"/>
    <w:rsid w:val="00A808EC"/>
    <w:rsid w:val="00A91783"/>
    <w:rsid w:val="00A9229B"/>
    <w:rsid w:val="00A92B54"/>
    <w:rsid w:val="00A92E6C"/>
    <w:rsid w:val="00A968FB"/>
    <w:rsid w:val="00A96B65"/>
    <w:rsid w:val="00AB0888"/>
    <w:rsid w:val="00AB18E0"/>
    <w:rsid w:val="00AB5028"/>
    <w:rsid w:val="00AB50C1"/>
    <w:rsid w:val="00AB7329"/>
    <w:rsid w:val="00AB79CF"/>
    <w:rsid w:val="00AC488E"/>
    <w:rsid w:val="00AC5B54"/>
    <w:rsid w:val="00AD3DE5"/>
    <w:rsid w:val="00AE44B8"/>
    <w:rsid w:val="00AF32F2"/>
    <w:rsid w:val="00B016F3"/>
    <w:rsid w:val="00B1381C"/>
    <w:rsid w:val="00B16372"/>
    <w:rsid w:val="00B25A0A"/>
    <w:rsid w:val="00B33F06"/>
    <w:rsid w:val="00B3407F"/>
    <w:rsid w:val="00B4329E"/>
    <w:rsid w:val="00B44D64"/>
    <w:rsid w:val="00B5301A"/>
    <w:rsid w:val="00B62DC2"/>
    <w:rsid w:val="00B701FF"/>
    <w:rsid w:val="00B738C2"/>
    <w:rsid w:val="00B745E3"/>
    <w:rsid w:val="00B76FBC"/>
    <w:rsid w:val="00B86284"/>
    <w:rsid w:val="00BA1C7D"/>
    <w:rsid w:val="00BA5743"/>
    <w:rsid w:val="00BA7C56"/>
    <w:rsid w:val="00BB0D59"/>
    <w:rsid w:val="00BB71CF"/>
    <w:rsid w:val="00BC302C"/>
    <w:rsid w:val="00BF383A"/>
    <w:rsid w:val="00C00D70"/>
    <w:rsid w:val="00C01698"/>
    <w:rsid w:val="00C10C1A"/>
    <w:rsid w:val="00C118F9"/>
    <w:rsid w:val="00C22CE2"/>
    <w:rsid w:val="00C25045"/>
    <w:rsid w:val="00C25EF3"/>
    <w:rsid w:val="00C44AE9"/>
    <w:rsid w:val="00C510DD"/>
    <w:rsid w:val="00C52D3B"/>
    <w:rsid w:val="00C57485"/>
    <w:rsid w:val="00C57895"/>
    <w:rsid w:val="00C60AAE"/>
    <w:rsid w:val="00C60EDC"/>
    <w:rsid w:val="00C71EE2"/>
    <w:rsid w:val="00C80015"/>
    <w:rsid w:val="00C867EB"/>
    <w:rsid w:val="00C96F41"/>
    <w:rsid w:val="00CA495F"/>
    <w:rsid w:val="00CA4F8C"/>
    <w:rsid w:val="00CA59C3"/>
    <w:rsid w:val="00CB5C60"/>
    <w:rsid w:val="00CB79F6"/>
    <w:rsid w:val="00CC086F"/>
    <w:rsid w:val="00CD061C"/>
    <w:rsid w:val="00CD7540"/>
    <w:rsid w:val="00CD7DBB"/>
    <w:rsid w:val="00CE1890"/>
    <w:rsid w:val="00CE34E4"/>
    <w:rsid w:val="00CF44C7"/>
    <w:rsid w:val="00CF734E"/>
    <w:rsid w:val="00D037AB"/>
    <w:rsid w:val="00D05A7F"/>
    <w:rsid w:val="00D07698"/>
    <w:rsid w:val="00D119C3"/>
    <w:rsid w:val="00D20588"/>
    <w:rsid w:val="00D31E5A"/>
    <w:rsid w:val="00D31FF3"/>
    <w:rsid w:val="00D342FA"/>
    <w:rsid w:val="00D35285"/>
    <w:rsid w:val="00D438B3"/>
    <w:rsid w:val="00D606BB"/>
    <w:rsid w:val="00D70C0D"/>
    <w:rsid w:val="00D710BB"/>
    <w:rsid w:val="00D734E6"/>
    <w:rsid w:val="00D73ECF"/>
    <w:rsid w:val="00D80FBD"/>
    <w:rsid w:val="00D81467"/>
    <w:rsid w:val="00D832EC"/>
    <w:rsid w:val="00D8341B"/>
    <w:rsid w:val="00D95B47"/>
    <w:rsid w:val="00D96203"/>
    <w:rsid w:val="00D976F6"/>
    <w:rsid w:val="00DB14A2"/>
    <w:rsid w:val="00DC4E36"/>
    <w:rsid w:val="00DD0C60"/>
    <w:rsid w:val="00DD3306"/>
    <w:rsid w:val="00DD5283"/>
    <w:rsid w:val="00DD7871"/>
    <w:rsid w:val="00DE1A72"/>
    <w:rsid w:val="00DF401D"/>
    <w:rsid w:val="00DF56DA"/>
    <w:rsid w:val="00DF739D"/>
    <w:rsid w:val="00E05800"/>
    <w:rsid w:val="00E05FA3"/>
    <w:rsid w:val="00E06163"/>
    <w:rsid w:val="00E0663D"/>
    <w:rsid w:val="00E11CA6"/>
    <w:rsid w:val="00E14565"/>
    <w:rsid w:val="00E20612"/>
    <w:rsid w:val="00E25FED"/>
    <w:rsid w:val="00E32441"/>
    <w:rsid w:val="00E37D76"/>
    <w:rsid w:val="00E51641"/>
    <w:rsid w:val="00E57AAC"/>
    <w:rsid w:val="00E636D7"/>
    <w:rsid w:val="00E66168"/>
    <w:rsid w:val="00E76E34"/>
    <w:rsid w:val="00E77D58"/>
    <w:rsid w:val="00E87A4F"/>
    <w:rsid w:val="00E92E79"/>
    <w:rsid w:val="00EB1FF5"/>
    <w:rsid w:val="00EB3E6F"/>
    <w:rsid w:val="00EB4764"/>
    <w:rsid w:val="00EB68C9"/>
    <w:rsid w:val="00EC0232"/>
    <w:rsid w:val="00ED5560"/>
    <w:rsid w:val="00EF085B"/>
    <w:rsid w:val="00EF4103"/>
    <w:rsid w:val="00F12DC2"/>
    <w:rsid w:val="00F13C21"/>
    <w:rsid w:val="00F152DF"/>
    <w:rsid w:val="00F26F6E"/>
    <w:rsid w:val="00F41C13"/>
    <w:rsid w:val="00F43AA8"/>
    <w:rsid w:val="00F55597"/>
    <w:rsid w:val="00F66561"/>
    <w:rsid w:val="00F82DB7"/>
    <w:rsid w:val="00F9136F"/>
    <w:rsid w:val="00F94FD1"/>
    <w:rsid w:val="00FB16E6"/>
    <w:rsid w:val="00FB5918"/>
    <w:rsid w:val="00FC1142"/>
    <w:rsid w:val="00FC5757"/>
    <w:rsid w:val="00FC7738"/>
    <w:rsid w:val="00FC7FB6"/>
    <w:rsid w:val="00FD66F1"/>
    <w:rsid w:val="00FD67BB"/>
    <w:rsid w:val="00FF5145"/>
    <w:rsid w:val="00FF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E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uiPriority w:val="99"/>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paragraph" w:customStyle="1" w:styleId="Level1">
    <w:name w:val="Level 1"/>
    <w:basedOn w:val="Normal"/>
    <w:rsid w:val="00C57895"/>
    <w:pPr>
      <w:widowControl w:val="0"/>
      <w:numPr>
        <w:numId w:val="3"/>
      </w:numPr>
      <w:autoSpaceDE w:val="0"/>
      <w:autoSpaceDN w:val="0"/>
      <w:adjustRightInd w:val="0"/>
      <w:spacing w:after="0" w:line="240" w:lineRule="auto"/>
      <w:ind w:hanging="720"/>
      <w:outlineLvl w:val="0"/>
    </w:pPr>
    <w:rPr>
      <w:rFonts w:ascii="Times New Roman" w:eastAsia="Times New Roman" w:hAnsi="Times New Roman" w:cs="Times New Roman"/>
      <w:sz w:val="24"/>
      <w:szCs w:val="24"/>
    </w:rPr>
  </w:style>
  <w:style w:type="paragraph" w:customStyle="1" w:styleId="Default">
    <w:name w:val="Default"/>
    <w:rsid w:val="00FB591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uiPriority w:val="99"/>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paragraph" w:customStyle="1" w:styleId="Level1">
    <w:name w:val="Level 1"/>
    <w:basedOn w:val="Normal"/>
    <w:rsid w:val="00C57895"/>
    <w:pPr>
      <w:widowControl w:val="0"/>
      <w:numPr>
        <w:numId w:val="3"/>
      </w:numPr>
      <w:autoSpaceDE w:val="0"/>
      <w:autoSpaceDN w:val="0"/>
      <w:adjustRightInd w:val="0"/>
      <w:spacing w:after="0" w:line="240" w:lineRule="auto"/>
      <w:ind w:hanging="720"/>
      <w:outlineLvl w:val="0"/>
    </w:pPr>
    <w:rPr>
      <w:rFonts w:ascii="Times New Roman" w:eastAsia="Times New Roman" w:hAnsi="Times New Roman" w:cs="Times New Roman"/>
      <w:sz w:val="24"/>
      <w:szCs w:val="24"/>
    </w:rPr>
  </w:style>
  <w:style w:type="paragraph" w:customStyle="1" w:styleId="Default">
    <w:name w:val="Default"/>
    <w:rsid w:val="00FB591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062">
      <w:bodyDiv w:val="1"/>
      <w:marLeft w:val="0"/>
      <w:marRight w:val="0"/>
      <w:marTop w:val="0"/>
      <w:marBottom w:val="0"/>
      <w:divBdr>
        <w:top w:val="none" w:sz="0" w:space="0" w:color="auto"/>
        <w:left w:val="none" w:sz="0" w:space="0" w:color="auto"/>
        <w:bottom w:val="none" w:sz="0" w:space="0" w:color="auto"/>
        <w:right w:val="none" w:sz="0" w:space="0" w:color="auto"/>
      </w:divBdr>
    </w:div>
    <w:div w:id="202983013">
      <w:bodyDiv w:val="1"/>
      <w:marLeft w:val="0"/>
      <w:marRight w:val="0"/>
      <w:marTop w:val="0"/>
      <w:marBottom w:val="0"/>
      <w:divBdr>
        <w:top w:val="none" w:sz="0" w:space="0" w:color="auto"/>
        <w:left w:val="none" w:sz="0" w:space="0" w:color="auto"/>
        <w:bottom w:val="none" w:sz="0" w:space="0" w:color="auto"/>
        <w:right w:val="none" w:sz="0" w:space="0" w:color="auto"/>
      </w:divBdr>
    </w:div>
    <w:div w:id="436288447">
      <w:bodyDiv w:val="1"/>
      <w:marLeft w:val="0"/>
      <w:marRight w:val="0"/>
      <w:marTop w:val="0"/>
      <w:marBottom w:val="0"/>
      <w:divBdr>
        <w:top w:val="none" w:sz="0" w:space="0" w:color="auto"/>
        <w:left w:val="none" w:sz="0" w:space="0" w:color="auto"/>
        <w:bottom w:val="none" w:sz="0" w:space="0" w:color="auto"/>
        <w:right w:val="none" w:sz="0" w:space="0" w:color="auto"/>
      </w:divBdr>
    </w:div>
    <w:div w:id="524827324">
      <w:bodyDiv w:val="1"/>
      <w:marLeft w:val="0"/>
      <w:marRight w:val="0"/>
      <w:marTop w:val="0"/>
      <w:marBottom w:val="0"/>
      <w:divBdr>
        <w:top w:val="none" w:sz="0" w:space="0" w:color="auto"/>
        <w:left w:val="none" w:sz="0" w:space="0" w:color="auto"/>
        <w:bottom w:val="none" w:sz="0" w:space="0" w:color="auto"/>
        <w:right w:val="none" w:sz="0" w:space="0" w:color="auto"/>
      </w:divBdr>
    </w:div>
    <w:div w:id="609314428">
      <w:bodyDiv w:val="1"/>
      <w:marLeft w:val="0"/>
      <w:marRight w:val="0"/>
      <w:marTop w:val="0"/>
      <w:marBottom w:val="0"/>
      <w:divBdr>
        <w:top w:val="none" w:sz="0" w:space="0" w:color="auto"/>
        <w:left w:val="none" w:sz="0" w:space="0" w:color="auto"/>
        <w:bottom w:val="none" w:sz="0" w:space="0" w:color="auto"/>
        <w:right w:val="none" w:sz="0" w:space="0" w:color="auto"/>
      </w:divBdr>
    </w:div>
    <w:div w:id="1328752263">
      <w:bodyDiv w:val="1"/>
      <w:marLeft w:val="0"/>
      <w:marRight w:val="0"/>
      <w:marTop w:val="0"/>
      <w:marBottom w:val="0"/>
      <w:divBdr>
        <w:top w:val="none" w:sz="0" w:space="0" w:color="auto"/>
        <w:left w:val="none" w:sz="0" w:space="0" w:color="auto"/>
        <w:bottom w:val="none" w:sz="0" w:space="0" w:color="auto"/>
        <w:right w:val="none" w:sz="0" w:space="0" w:color="auto"/>
      </w:divBdr>
    </w:div>
    <w:div w:id="1473787175">
      <w:bodyDiv w:val="1"/>
      <w:marLeft w:val="0"/>
      <w:marRight w:val="0"/>
      <w:marTop w:val="0"/>
      <w:marBottom w:val="0"/>
      <w:divBdr>
        <w:top w:val="none" w:sz="0" w:space="0" w:color="auto"/>
        <w:left w:val="none" w:sz="0" w:space="0" w:color="auto"/>
        <w:bottom w:val="none" w:sz="0" w:space="0" w:color="auto"/>
        <w:right w:val="none" w:sz="0" w:space="0" w:color="auto"/>
      </w:divBdr>
    </w:div>
    <w:div w:id="1716660428">
      <w:bodyDiv w:val="1"/>
      <w:marLeft w:val="0"/>
      <w:marRight w:val="0"/>
      <w:marTop w:val="0"/>
      <w:marBottom w:val="0"/>
      <w:divBdr>
        <w:top w:val="none" w:sz="0" w:space="0" w:color="auto"/>
        <w:left w:val="none" w:sz="0" w:space="0" w:color="auto"/>
        <w:bottom w:val="none" w:sz="0" w:space="0" w:color="auto"/>
        <w:right w:val="none" w:sz="0" w:space="0" w:color="auto"/>
      </w:divBdr>
    </w:div>
    <w:div w:id="2010138141">
      <w:bodyDiv w:val="1"/>
      <w:marLeft w:val="0"/>
      <w:marRight w:val="0"/>
      <w:marTop w:val="0"/>
      <w:marBottom w:val="0"/>
      <w:divBdr>
        <w:top w:val="none" w:sz="0" w:space="0" w:color="auto"/>
        <w:left w:val="none" w:sz="0" w:space="0" w:color="auto"/>
        <w:bottom w:val="none" w:sz="0" w:space="0" w:color="auto"/>
        <w:right w:val="none" w:sz="0" w:space="0" w:color="auto"/>
      </w:divBdr>
    </w:div>
    <w:div w:id="206602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FilingsOrders/us/RuleOfProcedureDL/NERC_ROP_Effective_20140701_updated_20140602%20(updated).pdf)" TargetMode="External"/><Relationship Id="rId2" Type="http://schemas.openxmlformats.org/officeDocument/2006/relationships/hyperlink" Target="http://www.nerc.com/files/Appendix_3A_StandardsProcessesManual_20120131.pdf" TargetMode="External"/><Relationship Id="rId1" Type="http://schemas.openxmlformats.org/officeDocument/2006/relationships/hyperlink" Target="http://www.nerc.com/FilingsOrders/us/RuleOfProcedureDL/NERC_ROP_Effective_20140701_updated_20140602.pdf" TargetMode="External"/><Relationship Id="rId5" Type="http://schemas.openxmlformats.org/officeDocument/2006/relationships/hyperlink" Target="http://www.bls.gov/news.release/ecec.nr0.htm" TargetMode="External"/><Relationship Id="rId4" Type="http://schemas.openxmlformats.org/officeDocument/2006/relationships/hyperlink" Target="http://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725X</_x0031__x002e__x0020_Collection_x0020_Number>
    <Date xmlns="d6eefc7d-9817-4fa6-84d5-3bc009be21b8" xsi:nil="true"/>
    <Status xmlns="d6eefc7d-9817-4fa6-84d5-3bc009be21b8">Final</Status>
    <_x0032__x002e__x0020_Docket_x0020_Number xmlns="d6eefc7d-9817-4fa6-84d5-3bc009be21b8" xsi:nil="true"/>
    <_x0032__x002e__x0020_Collection_x0020_Number xmlns="d6eefc7d-9817-4fa6-84d5-3bc009be21b8">725A</_x0032__x002e__x0020_Collection_x0020_Number>
    <_x0031__x002e__x0020_Docket_x0020_Number xmlns="d6eefc7d-9817-4fa6-84d5-3bc009be21b8">RD14-11</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50f21749c83d5a1fa3edc2888aee1b51">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8147A-E17F-422B-A07F-F554D09B7FF5}">
  <ds:schemaRefs>
    <ds:schemaRef ds:uri="http://schemas.microsoft.com/office/2006/metadata/customXsn"/>
  </ds:schemaRefs>
</ds:datastoreItem>
</file>

<file path=customXml/itemProps2.xml><?xml version="1.0" encoding="utf-8"?>
<ds:datastoreItem xmlns:ds="http://schemas.openxmlformats.org/officeDocument/2006/customXml" ds:itemID="{EDC8EE49-B13C-4CBF-8C27-6F9387446396}">
  <ds:schemaRefs>
    <ds:schemaRef ds:uri="http://schemas.microsoft.com/sharepoint/v3/contenttype/forms"/>
  </ds:schemaRefs>
</ds:datastoreItem>
</file>

<file path=customXml/itemProps3.xml><?xml version="1.0" encoding="utf-8"?>
<ds:datastoreItem xmlns:ds="http://schemas.openxmlformats.org/officeDocument/2006/customXml" ds:itemID="{FD5F59CE-8395-4AB3-87B1-CD831C71D2F5}">
  <ds:schemaRefs>
    <ds:schemaRef ds:uri="http://schemas.microsoft.com/office/2006/metadata/properties"/>
    <ds:schemaRef ds:uri="d6eefc7d-9817-4fa6-84d5-3bc009be21b8"/>
  </ds:schemaRefs>
</ds:datastoreItem>
</file>

<file path=customXml/itemProps4.xml><?xml version="1.0" encoding="utf-8"?>
<ds:datastoreItem xmlns:ds="http://schemas.openxmlformats.org/officeDocument/2006/customXml" ds:itemID="{0BA6A620-BFAF-42A8-8002-BBBB7C222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043F9A-7447-467D-AA98-01F616A0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2779</Words>
  <Characters>15844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2015-04-22T15:31:00Z</dcterms:created>
  <dcterms:modified xsi:type="dcterms:W3CDTF">2015-04-22T15:31:00Z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0x0101003837EBEE62F2E248B8AD112B0E89FEBA</vt:lpwstr>
  </property>
  <property fmtid="{D5CDD505-2E9C-101B-9397-08002B2CF9AE}" pid="4" name="_AdHocReviewCycleID">
    <vt:i4>-1430822271</vt:i4>
  </property>
  <property fmtid="{D5CDD505-2E9C-101B-9397-08002B2CF9AE}" pid="5" name="_ReviewingToolsShownOnce">
    <vt:lpwstr/>
  </property>
</Properties>
</file>